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jc w:val="center"/>
        <w:rPr>
          <w:rFonts w:hint="eastAsia" w:ascii="宋体" w:hAnsi="宋体" w:cs="宋体"/>
          <w:b/>
          <w:bCs/>
          <w:color w:val="auto"/>
          <w:sz w:val="56"/>
          <w:szCs w:val="72"/>
          <w:highlight w:val="none"/>
          <w:shd w:val="clear" w:color="auto" w:fill="FFFFFF"/>
          <w:lang w:eastAsia="zh-CN"/>
        </w:rPr>
      </w:pPr>
    </w:p>
    <w:p>
      <w:pPr>
        <w:widowControl/>
        <w:spacing w:line="720" w:lineRule="auto"/>
        <w:jc w:val="center"/>
        <w:rPr>
          <w:rFonts w:ascii="宋体" w:hAnsi="宋体" w:cs="宋体"/>
          <w:b/>
          <w:bCs/>
          <w:color w:val="auto"/>
          <w:sz w:val="56"/>
          <w:szCs w:val="72"/>
          <w:highlight w:val="none"/>
          <w:shd w:val="clear" w:color="auto" w:fill="FFFFFF"/>
        </w:rPr>
      </w:pPr>
      <w:r>
        <w:rPr>
          <w:rFonts w:hint="eastAsia" w:ascii="宋体" w:hAnsi="宋体" w:cs="宋体"/>
          <w:b/>
          <w:bCs/>
          <w:color w:val="auto"/>
          <w:sz w:val="56"/>
          <w:szCs w:val="72"/>
          <w:highlight w:val="none"/>
          <w:shd w:val="clear" w:color="auto" w:fill="FFFFFF"/>
        </w:rPr>
        <w:t>增城开发区宁西家园项目全过程造价咨询服务合同</w:t>
      </w:r>
    </w:p>
    <w:p>
      <w:pPr>
        <w:widowControl/>
        <w:spacing w:line="360" w:lineRule="auto"/>
        <w:jc w:val="center"/>
        <w:rPr>
          <w:rFonts w:ascii="宋体" w:hAnsi="宋体"/>
          <w:b/>
          <w:bCs/>
          <w:color w:val="auto"/>
          <w:sz w:val="32"/>
          <w:szCs w:val="32"/>
          <w:highlight w:val="none"/>
        </w:rPr>
      </w:pPr>
    </w:p>
    <w:p>
      <w:pPr>
        <w:widowControl/>
        <w:spacing w:line="360" w:lineRule="auto"/>
        <w:jc w:val="center"/>
        <w:rPr>
          <w:rFonts w:ascii="宋体" w:hAnsi="宋体"/>
          <w:b/>
          <w:bCs/>
          <w:color w:val="auto"/>
          <w:sz w:val="32"/>
          <w:szCs w:val="32"/>
          <w:highlight w:val="none"/>
        </w:rPr>
      </w:pPr>
    </w:p>
    <w:p>
      <w:pPr>
        <w:widowControl/>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合同编号：</w:t>
      </w:r>
    </w:p>
    <w:p>
      <w:pPr>
        <w:widowControl/>
        <w:spacing w:line="360" w:lineRule="auto"/>
        <w:jc w:val="left"/>
        <w:rPr>
          <w:rFonts w:ascii="宋体" w:hAnsi="宋体"/>
          <w:color w:val="auto"/>
          <w:szCs w:val="20"/>
          <w:highlight w:val="none"/>
        </w:rPr>
      </w:pPr>
    </w:p>
    <w:p>
      <w:pPr>
        <w:widowControl/>
        <w:spacing w:line="360" w:lineRule="auto"/>
        <w:jc w:val="left"/>
        <w:rPr>
          <w:rFonts w:ascii="宋体" w:hAnsi="宋体"/>
          <w:b/>
          <w:color w:val="auto"/>
          <w:sz w:val="24"/>
          <w:szCs w:val="20"/>
          <w:highlight w:val="none"/>
        </w:rPr>
      </w:pPr>
    </w:p>
    <w:p>
      <w:pPr>
        <w:widowControl/>
        <w:spacing w:line="360" w:lineRule="auto"/>
        <w:jc w:val="left"/>
        <w:rPr>
          <w:rFonts w:ascii="宋体" w:hAnsi="宋体"/>
          <w:b/>
          <w:color w:val="auto"/>
          <w:sz w:val="24"/>
          <w:szCs w:val="20"/>
          <w:highlight w:val="none"/>
        </w:rPr>
      </w:pPr>
    </w:p>
    <w:p>
      <w:pPr>
        <w:widowControl/>
        <w:spacing w:line="360" w:lineRule="auto"/>
        <w:jc w:val="left"/>
        <w:rPr>
          <w:rFonts w:ascii="宋体" w:hAnsi="宋体"/>
          <w:b/>
          <w:color w:val="auto"/>
          <w:sz w:val="24"/>
          <w:szCs w:val="20"/>
          <w:highlight w:val="none"/>
        </w:rPr>
      </w:pPr>
    </w:p>
    <w:p>
      <w:pPr>
        <w:widowControl/>
        <w:spacing w:line="360" w:lineRule="auto"/>
        <w:jc w:val="left"/>
        <w:rPr>
          <w:rFonts w:ascii="宋体" w:hAnsi="宋体"/>
          <w:b/>
          <w:color w:val="auto"/>
          <w:sz w:val="24"/>
          <w:szCs w:val="20"/>
          <w:highlight w:val="none"/>
        </w:rPr>
      </w:pPr>
    </w:p>
    <w:p>
      <w:pPr>
        <w:widowControl/>
        <w:spacing w:line="360" w:lineRule="auto"/>
        <w:jc w:val="left"/>
        <w:rPr>
          <w:rFonts w:ascii="宋体" w:hAnsi="宋体"/>
          <w:b/>
          <w:color w:val="auto"/>
          <w:sz w:val="24"/>
          <w:szCs w:val="20"/>
          <w:highlight w:val="none"/>
        </w:rPr>
      </w:pPr>
    </w:p>
    <w:p>
      <w:pPr>
        <w:widowControl/>
        <w:spacing w:line="360" w:lineRule="auto"/>
        <w:jc w:val="left"/>
        <w:rPr>
          <w:rFonts w:ascii="宋体" w:hAnsi="宋体"/>
          <w:b/>
          <w:color w:val="auto"/>
          <w:sz w:val="24"/>
          <w:szCs w:val="20"/>
          <w:highlight w:val="none"/>
        </w:rPr>
      </w:pPr>
    </w:p>
    <w:p>
      <w:pPr>
        <w:widowControl/>
        <w:spacing w:line="360" w:lineRule="auto"/>
        <w:jc w:val="left"/>
        <w:rPr>
          <w:rFonts w:ascii="宋体" w:hAnsi="宋体"/>
          <w:b/>
          <w:color w:val="auto"/>
          <w:sz w:val="24"/>
          <w:szCs w:val="20"/>
          <w:highlight w:val="none"/>
        </w:rPr>
      </w:pPr>
    </w:p>
    <w:p>
      <w:pPr>
        <w:widowControl/>
        <w:spacing w:line="360" w:lineRule="auto"/>
        <w:jc w:val="left"/>
        <w:rPr>
          <w:rFonts w:ascii="宋体" w:hAnsi="宋体"/>
          <w:b/>
          <w:color w:val="auto"/>
          <w:sz w:val="24"/>
          <w:szCs w:val="20"/>
          <w:highlight w:val="none"/>
        </w:rPr>
      </w:pPr>
    </w:p>
    <w:p>
      <w:pPr>
        <w:widowControl/>
        <w:spacing w:line="360" w:lineRule="auto"/>
        <w:jc w:val="left"/>
        <w:rPr>
          <w:rFonts w:ascii="宋体" w:hAnsi="宋体" w:cs="仿宋_GB2312"/>
          <w:b/>
          <w:color w:val="auto"/>
          <w:w w:val="90"/>
          <w:sz w:val="32"/>
          <w:szCs w:val="32"/>
          <w:highlight w:val="none"/>
          <w:lang w:val="zh-CN"/>
        </w:rPr>
      </w:pPr>
      <w:r>
        <w:rPr>
          <w:rFonts w:hint="eastAsia" w:ascii="宋体" w:hAnsi="宋体"/>
          <w:b/>
          <w:color w:val="auto"/>
          <w:sz w:val="32"/>
          <w:szCs w:val="32"/>
          <w:highlight w:val="none"/>
        </w:rPr>
        <w:t>甲方（委托人）：</w:t>
      </w:r>
      <w:r>
        <w:rPr>
          <w:rFonts w:hint="eastAsia" w:ascii="宋体" w:hAnsi="宋体" w:cs="仿宋_GB2312"/>
          <w:b/>
          <w:color w:val="auto"/>
          <w:w w:val="90"/>
          <w:sz w:val="32"/>
          <w:szCs w:val="32"/>
          <w:highlight w:val="none"/>
          <w:lang w:val="zh-CN"/>
        </w:rPr>
        <w:t>广州城祥投资发展有限公司</w:t>
      </w:r>
    </w:p>
    <w:p>
      <w:pPr>
        <w:widowControl/>
        <w:spacing w:line="360" w:lineRule="auto"/>
        <w:jc w:val="left"/>
        <w:rPr>
          <w:rFonts w:ascii="宋体" w:hAnsi="宋体"/>
          <w:b/>
          <w:color w:val="auto"/>
          <w:spacing w:val="-20"/>
          <w:w w:val="90"/>
          <w:sz w:val="32"/>
          <w:szCs w:val="32"/>
          <w:highlight w:val="none"/>
        </w:rPr>
      </w:pPr>
      <w:r>
        <w:rPr>
          <w:rFonts w:hint="eastAsia" w:ascii="宋体" w:hAnsi="宋体"/>
          <w:b/>
          <w:color w:val="auto"/>
          <w:sz w:val="32"/>
          <w:szCs w:val="32"/>
          <w:highlight w:val="none"/>
        </w:rPr>
        <w:t>乙方（</w:t>
      </w:r>
      <w:r>
        <w:rPr>
          <w:rFonts w:hint="eastAsia" w:ascii="宋体" w:hAnsi="宋体" w:cs="仿宋_GB2312"/>
          <w:b/>
          <w:color w:val="auto"/>
          <w:sz w:val="32"/>
          <w:szCs w:val="32"/>
          <w:highlight w:val="none"/>
          <w:lang w:val="zh-CN"/>
        </w:rPr>
        <w:t>受托人）：</w:t>
      </w:r>
      <w:r>
        <w:rPr>
          <w:rFonts w:hint="eastAsia" w:ascii="宋体" w:hAnsi="宋体" w:cs="仿宋_GB2312"/>
          <w:b/>
          <w:color w:val="auto"/>
          <w:w w:val="90"/>
          <w:sz w:val="32"/>
          <w:szCs w:val="32"/>
          <w:highlight w:val="none"/>
          <w:lang w:val="zh-CN"/>
        </w:rPr>
        <w:t xml:space="preserve">   </w:t>
      </w:r>
    </w:p>
    <w:p>
      <w:pPr>
        <w:widowControl/>
        <w:spacing w:before="100" w:beforeAutospacing="1" w:after="100" w:afterAutospacing="1" w:line="360" w:lineRule="auto"/>
        <w:jc w:val="center"/>
        <w:outlineLvl w:val="0"/>
        <w:rPr>
          <w:rFonts w:ascii="宋体" w:hAnsi="宋体" w:cs="宋体"/>
          <w:b/>
          <w:bCs/>
          <w:color w:val="auto"/>
          <w:sz w:val="36"/>
          <w:szCs w:val="36"/>
          <w:highlight w:val="none"/>
        </w:rPr>
      </w:pPr>
      <w:r>
        <w:rPr>
          <w:rFonts w:ascii="宋体" w:hAnsi="宋体" w:cs="宋体"/>
          <w:b/>
          <w:bCs/>
          <w:color w:val="auto"/>
          <w:sz w:val="30"/>
          <w:szCs w:val="24"/>
          <w:highlight w:val="none"/>
        </w:rPr>
        <w:br w:type="page"/>
      </w:r>
      <w:bookmarkStart w:id="0" w:name="_Toc2314"/>
      <w:r>
        <w:rPr>
          <w:rFonts w:hint="eastAsia" w:ascii="宋体" w:hAnsi="宋体" w:cs="宋体"/>
          <w:b/>
          <w:bCs/>
          <w:color w:val="auto"/>
          <w:sz w:val="36"/>
          <w:szCs w:val="36"/>
          <w:highlight w:val="none"/>
        </w:rPr>
        <w:t>第一部分　合同协议书</w:t>
      </w:r>
      <w:bookmarkEnd w:id="0"/>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委托人</w:t>
      </w:r>
      <w:r>
        <w:rPr>
          <w:rFonts w:hint="eastAsia" w:ascii="宋体" w:hAnsi="宋体" w:cs="宋体"/>
          <w:b/>
          <w:color w:val="auto"/>
          <w:sz w:val="24"/>
          <w:szCs w:val="24"/>
          <w:highlight w:val="none"/>
          <w:u w:val="single"/>
          <w:lang w:eastAsia="zh-CN"/>
        </w:rPr>
        <w:t>广州城祥投资发展有限公司</w:t>
      </w:r>
      <w:r>
        <w:rPr>
          <w:rFonts w:hint="eastAsia" w:ascii="宋体" w:hAnsi="宋体" w:cs="宋体"/>
          <w:color w:val="auto"/>
          <w:sz w:val="24"/>
          <w:szCs w:val="24"/>
          <w:highlight w:val="none"/>
        </w:rPr>
        <w:t>（以下称甲方）与</w:t>
      </w:r>
      <w:r>
        <w:rPr>
          <w:rFonts w:hint="eastAsia" w:ascii="宋体" w:hAnsi="宋体" w:cs="宋体"/>
          <w:b/>
          <w:color w:val="auto"/>
          <w:sz w:val="24"/>
          <w:szCs w:val="24"/>
          <w:highlight w:val="none"/>
          <w:u w:val="none"/>
          <w:lang w:val="en-US" w:eastAsia="zh-CN"/>
        </w:rPr>
        <w:t>_____</w:t>
      </w:r>
      <w:r>
        <w:rPr>
          <w:rFonts w:hint="eastAsia" w:ascii="宋体" w:hAnsi="宋体" w:cs="宋体"/>
          <w:color w:val="auto"/>
          <w:sz w:val="24"/>
          <w:szCs w:val="24"/>
          <w:highlight w:val="none"/>
        </w:rPr>
        <w:t>（以下称乙方）依照《中华人民共和国民法典》、《中华人民共和国建筑法》及其它有关法律、法规的规定，遵循平等、自愿、公平和诚实信用的原则，就</w:t>
      </w:r>
      <w:r>
        <w:rPr>
          <w:rFonts w:hint="eastAsia" w:ascii="宋体" w:hAnsi="宋体"/>
          <w:color w:val="auto"/>
          <w:sz w:val="24"/>
          <w:szCs w:val="24"/>
          <w:highlight w:val="none"/>
          <w:u w:val="single"/>
          <w:lang w:eastAsia="zh-CN"/>
        </w:rPr>
        <w:t>增城开发区宁西家园项目全过程造价咨询服务</w:t>
      </w:r>
      <w:r>
        <w:rPr>
          <w:rFonts w:hint="eastAsia" w:ascii="宋体" w:hAnsi="宋体" w:cs="宋体"/>
          <w:color w:val="auto"/>
          <w:sz w:val="24"/>
          <w:szCs w:val="24"/>
          <w:highlight w:val="none"/>
        </w:rPr>
        <w:t>事项协商一致，订立本合同。</w:t>
      </w:r>
    </w:p>
    <w:p>
      <w:pPr>
        <w:widowControl/>
        <w:spacing w:line="360" w:lineRule="auto"/>
        <w:ind w:firstLine="200"/>
        <w:jc w:val="left"/>
        <w:outlineLvl w:val="1"/>
        <w:rPr>
          <w:rFonts w:ascii="宋体" w:hAnsi="宋体" w:cs="宋体"/>
          <w:b/>
          <w:color w:val="auto"/>
          <w:sz w:val="24"/>
          <w:szCs w:val="24"/>
          <w:highlight w:val="none"/>
        </w:rPr>
      </w:pPr>
      <w:bookmarkStart w:id="1" w:name="_Toc9642"/>
      <w:r>
        <w:rPr>
          <w:rFonts w:hint="eastAsia" w:ascii="宋体" w:hAnsi="宋体" w:cs="宋体"/>
          <w:b/>
          <w:color w:val="auto"/>
          <w:sz w:val="24"/>
          <w:szCs w:val="24"/>
          <w:highlight w:val="none"/>
        </w:rPr>
        <w:t>一、甲方委托乙方为以下项目提供建设工程造价咨询服务：</w:t>
      </w:r>
      <w:bookmarkEnd w:id="1"/>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1.项目名称：</w:t>
      </w:r>
      <w:r>
        <w:rPr>
          <w:rFonts w:hint="eastAsia" w:ascii="宋体" w:hAnsi="宋体"/>
          <w:color w:val="auto"/>
          <w:sz w:val="24"/>
          <w:szCs w:val="24"/>
          <w:highlight w:val="none"/>
          <w:u w:val="single"/>
          <w:lang w:eastAsia="zh-CN"/>
        </w:rPr>
        <w:t>增城开发区宁西家园项目全过程造价咨询服务</w:t>
      </w:r>
      <w:r>
        <w:rPr>
          <w:rFonts w:hint="eastAsia" w:ascii="宋体" w:hAnsi="宋体" w:cs="宋体"/>
          <w:color w:val="auto"/>
          <w:sz w:val="24"/>
          <w:szCs w:val="24"/>
          <w:highlight w:val="none"/>
          <w:u w:val="single"/>
        </w:rPr>
        <w:t>。</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2.项目地点：</w:t>
      </w:r>
      <w:r>
        <w:rPr>
          <w:rFonts w:hint="eastAsia" w:ascii="宋体" w:hAnsi="宋体" w:cs="宋体"/>
          <w:color w:val="auto"/>
          <w:sz w:val="24"/>
          <w:szCs w:val="24"/>
          <w:highlight w:val="none"/>
          <w:u w:val="single"/>
          <w:lang w:val="en-US" w:eastAsia="zh-CN"/>
        </w:rPr>
        <w:t>广州市增城区宁西街沙宁路东侧</w:t>
      </w:r>
      <w:r>
        <w:rPr>
          <w:rFonts w:hint="eastAsia" w:ascii="宋体" w:hAnsi="宋体" w:cs="宋体"/>
          <w:color w:val="auto"/>
          <w:sz w:val="24"/>
          <w:szCs w:val="24"/>
          <w:highlight w:val="none"/>
          <w:u w:val="single"/>
        </w:rPr>
        <w:t>。</w:t>
      </w:r>
    </w:p>
    <w:p>
      <w:pPr>
        <w:tabs>
          <w:tab w:val="left" w:pos="7513"/>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3.项目规模：</w:t>
      </w:r>
      <w:r>
        <w:rPr>
          <w:rFonts w:hint="eastAsia" w:ascii="宋体" w:hAnsi="宋体" w:cs="宋体"/>
          <w:color w:val="auto"/>
          <w:sz w:val="24"/>
          <w:szCs w:val="24"/>
          <w:highlight w:val="none"/>
          <w:lang w:val="en-US" w:eastAsia="zh-CN"/>
        </w:rPr>
        <w:t>项目总用地面积170792.55㎡，建设用地面积 163117.24 ㎡ 。项目总建筑面积594297.82 ㎡，其中可计容建筑面积 441035㎡，不计容建筑面积153262.82 ㎡。项目主要建设内容包括：</w:t>
      </w:r>
    </w:p>
    <w:p>
      <w:pPr>
        <w:tabs>
          <w:tab w:val="left" w:pos="751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（1）配建无偿移交的复建安置住宅、复建村集体物业、36班小学、18班幼儿园、社区养老服务机构、社区居委会、托育机构等其他公共配套设施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合共计容建筑面积96070 ㎡。</w:t>
      </w:r>
    </w:p>
    <w:p>
      <w:pPr>
        <w:tabs>
          <w:tab w:val="left" w:pos="751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）地块出让时要求配建的防护绿地，面积为 19550.64 ㎡。</w:t>
      </w:r>
    </w:p>
    <w:p>
      <w:pPr>
        <w:tabs>
          <w:tab w:val="left" w:pos="751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）项目地块可售商品房计容建筑面积340180 ㎡。</w:t>
      </w:r>
    </w:p>
    <w:p>
      <w:pPr>
        <w:tabs>
          <w:tab w:val="left" w:pos="7513"/>
        </w:tabs>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）其他配套商业、预留物业等，计容建筑面积 4785 ㎡</w:t>
      </w:r>
      <w:r>
        <w:rPr>
          <w:rFonts w:hint="eastAsia" w:ascii="宋体" w:hAnsi="宋体"/>
          <w:color w:val="auto"/>
          <w:sz w:val="24"/>
          <w:szCs w:val="24"/>
          <w:highlight w:val="none"/>
          <w:lang w:val="en-US" w:eastAsia="zh-CN"/>
        </w:rPr>
        <w:t>。</w:t>
      </w:r>
    </w:p>
    <w:p>
      <w:pPr>
        <w:tabs>
          <w:tab w:val="left" w:pos="7513"/>
        </w:tabs>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项目总投资为514012.90万元，建设期利息13409.24 万元，其中本项目建设工程费用约256762.13万元，项目资金来源为建设单位自筹和申请银行贷款。</w:t>
      </w:r>
    </w:p>
    <w:p>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二、服务范围</w:t>
      </w:r>
    </w:p>
    <w:p>
      <w:pPr>
        <w:spacing w:line="360" w:lineRule="auto"/>
        <w:ind w:firstLine="420"/>
        <w:rPr>
          <w:rFonts w:ascii="宋体" w:hAnsi="宋体" w:cs="宋体"/>
          <w:snapToGrid w:val="0"/>
          <w:color w:val="auto"/>
          <w:kern w:val="0"/>
          <w:sz w:val="24"/>
          <w:szCs w:val="24"/>
          <w:highlight w:val="none"/>
        </w:rPr>
      </w:pPr>
      <w:r>
        <w:rPr>
          <w:rFonts w:hint="eastAsia" w:ascii="宋体" w:hAnsi="宋体" w:cs="Arial"/>
          <w:color w:val="auto"/>
          <w:sz w:val="24"/>
          <w:szCs w:val="24"/>
          <w:highlight w:val="none"/>
        </w:rPr>
        <w:t>主要包括，(1)投资控制，(</w:t>
      </w:r>
      <w:r>
        <w:rPr>
          <w:rFonts w:hint="eastAsia" w:ascii="宋体" w:hAnsi="宋体" w:cs="Arial"/>
          <w:color w:val="auto"/>
          <w:sz w:val="24"/>
          <w:szCs w:val="24"/>
          <w:highlight w:val="none"/>
          <w:lang w:val="en-US" w:eastAsia="zh-CN"/>
        </w:rPr>
        <w:t>2</w:t>
      </w:r>
      <w:r>
        <w:rPr>
          <w:rFonts w:hint="eastAsia" w:ascii="宋体" w:hAnsi="宋体" w:cs="Arial"/>
          <w:color w:val="auto"/>
          <w:sz w:val="24"/>
          <w:szCs w:val="24"/>
          <w:highlight w:val="none"/>
        </w:rPr>
        <w:t>)设计概算审核（如需），(</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)施工图预算审核，</w:t>
      </w:r>
      <w:r>
        <w:rPr>
          <w:rFonts w:hint="eastAsia" w:ascii="宋体" w:hAnsi="宋体" w:cs="Arial"/>
          <w:strike w:val="0"/>
          <w:color w:val="auto"/>
          <w:sz w:val="24"/>
          <w:szCs w:val="24"/>
          <w:highlight w:val="none"/>
        </w:rPr>
        <w:t>(</w:t>
      </w:r>
      <w:r>
        <w:rPr>
          <w:rFonts w:hint="eastAsia" w:ascii="宋体" w:hAnsi="宋体" w:cs="Arial"/>
          <w:strike w:val="0"/>
          <w:color w:val="auto"/>
          <w:sz w:val="24"/>
          <w:szCs w:val="24"/>
          <w:highlight w:val="none"/>
          <w:lang w:eastAsia="zh-CN"/>
        </w:rPr>
        <w:t>4</w:t>
      </w:r>
      <w:r>
        <w:rPr>
          <w:rFonts w:hint="eastAsia" w:ascii="宋体" w:hAnsi="宋体" w:cs="Arial"/>
          <w:strike w:val="0"/>
          <w:color w:val="auto"/>
          <w:sz w:val="24"/>
          <w:szCs w:val="24"/>
          <w:highlight w:val="none"/>
        </w:rPr>
        <w:t>)招标工程量清单和招标控制价编制</w:t>
      </w:r>
      <w:r>
        <w:rPr>
          <w:rFonts w:hint="eastAsia" w:ascii="宋体" w:hAnsi="宋体" w:cs="Arial"/>
          <w:strike w:val="0"/>
          <w:color w:val="auto"/>
          <w:sz w:val="24"/>
          <w:szCs w:val="24"/>
          <w:highlight w:val="none"/>
          <w:lang w:eastAsia="zh-CN"/>
        </w:rPr>
        <w:t>（</w:t>
      </w:r>
      <w:r>
        <w:rPr>
          <w:rFonts w:hint="eastAsia" w:ascii="宋体" w:hAnsi="宋体" w:cs="Arial"/>
          <w:color w:val="auto"/>
          <w:sz w:val="24"/>
          <w:szCs w:val="24"/>
          <w:highlight w:val="none"/>
        </w:rPr>
        <w:t>如需</w:t>
      </w:r>
      <w:r>
        <w:rPr>
          <w:rFonts w:hint="eastAsia" w:ascii="宋体" w:hAnsi="宋体" w:cs="Arial"/>
          <w:strike w:val="0"/>
          <w:color w:val="auto"/>
          <w:sz w:val="24"/>
          <w:szCs w:val="24"/>
          <w:highlight w:val="none"/>
          <w:lang w:eastAsia="zh-CN"/>
        </w:rPr>
        <w:t>）</w:t>
      </w:r>
      <w:r>
        <w:rPr>
          <w:rFonts w:hint="eastAsia" w:ascii="宋体" w:hAnsi="宋体" w:cs="Arial"/>
          <w:strike w:val="0"/>
          <w:color w:val="auto"/>
          <w:sz w:val="24"/>
          <w:szCs w:val="24"/>
          <w:highlight w:val="none"/>
        </w:rPr>
        <w:t>，</w:t>
      </w:r>
      <w:r>
        <w:rPr>
          <w:rFonts w:hint="eastAsia" w:ascii="宋体" w:hAnsi="宋体" w:cs="Arial"/>
          <w:color w:val="auto"/>
          <w:sz w:val="24"/>
          <w:szCs w:val="24"/>
          <w:highlight w:val="none"/>
        </w:rPr>
        <w:t>(</w:t>
      </w:r>
      <w:r>
        <w:rPr>
          <w:rFonts w:hint="eastAsia" w:ascii="宋体" w:hAnsi="宋体" w:cs="Arial"/>
          <w:color w:val="auto"/>
          <w:sz w:val="24"/>
          <w:szCs w:val="24"/>
          <w:highlight w:val="none"/>
          <w:lang w:val="en-US" w:eastAsia="zh-CN"/>
        </w:rPr>
        <w:t>5</w:t>
      </w:r>
      <w:r>
        <w:rPr>
          <w:rFonts w:hint="eastAsia" w:ascii="宋体" w:hAnsi="宋体" w:cs="Arial"/>
          <w:color w:val="auto"/>
          <w:sz w:val="24"/>
          <w:szCs w:val="24"/>
          <w:highlight w:val="none"/>
        </w:rPr>
        <w:t>)计量支付审核，(</w:t>
      </w:r>
      <w:r>
        <w:rPr>
          <w:rFonts w:hint="eastAsia" w:ascii="宋体" w:hAnsi="宋体" w:cs="Arial"/>
          <w:color w:val="auto"/>
          <w:sz w:val="24"/>
          <w:szCs w:val="24"/>
          <w:highlight w:val="none"/>
          <w:lang w:val="en-US" w:eastAsia="zh-CN"/>
        </w:rPr>
        <w:t>6</w:t>
      </w:r>
      <w:r>
        <w:rPr>
          <w:rFonts w:hint="eastAsia" w:ascii="宋体" w:hAnsi="宋体" w:cs="Arial"/>
          <w:color w:val="auto"/>
          <w:sz w:val="24"/>
          <w:szCs w:val="24"/>
          <w:highlight w:val="none"/>
        </w:rPr>
        <w:t>)主材单价、综合单价、合同变更费用审核，(</w:t>
      </w:r>
      <w:r>
        <w:rPr>
          <w:rFonts w:hint="eastAsia" w:ascii="宋体" w:hAnsi="宋体" w:cs="Arial"/>
          <w:color w:val="auto"/>
          <w:sz w:val="24"/>
          <w:szCs w:val="24"/>
          <w:highlight w:val="none"/>
          <w:lang w:val="en-US" w:eastAsia="zh-CN"/>
        </w:rPr>
        <w:t>7</w:t>
      </w:r>
      <w:r>
        <w:rPr>
          <w:rFonts w:hint="eastAsia" w:ascii="宋体" w:hAnsi="宋体" w:cs="Arial"/>
          <w:color w:val="auto"/>
          <w:sz w:val="24"/>
          <w:szCs w:val="24"/>
          <w:highlight w:val="none"/>
        </w:rPr>
        <w:t>)设计费、监理费和检测监测费等费用审</w:t>
      </w:r>
      <w:r>
        <w:rPr>
          <w:rFonts w:hint="eastAsia" w:ascii="宋体" w:hAnsi="宋体" w:cs="Arial"/>
          <w:color w:val="auto"/>
          <w:sz w:val="24"/>
          <w:szCs w:val="24"/>
          <w:highlight w:val="none"/>
          <w:u w:val="none"/>
        </w:rPr>
        <w:t>核，(</w:t>
      </w:r>
      <w:r>
        <w:rPr>
          <w:rFonts w:hint="eastAsia" w:ascii="宋体" w:hAnsi="宋体" w:cs="Arial"/>
          <w:color w:val="auto"/>
          <w:sz w:val="24"/>
          <w:szCs w:val="24"/>
          <w:highlight w:val="none"/>
          <w:u w:val="none"/>
          <w:lang w:val="en-US" w:eastAsia="zh-CN"/>
        </w:rPr>
        <w:t>8</w:t>
      </w:r>
      <w:r>
        <w:rPr>
          <w:rFonts w:hint="eastAsia" w:ascii="宋体" w:hAnsi="宋体" w:cs="Arial"/>
          <w:color w:val="auto"/>
          <w:sz w:val="24"/>
          <w:szCs w:val="24"/>
          <w:highlight w:val="none"/>
          <w:u w:val="none"/>
        </w:rPr>
        <w:t>)图纸设计变更会签、材料设备看样定板会签，(</w:t>
      </w:r>
      <w:r>
        <w:rPr>
          <w:rFonts w:hint="eastAsia" w:ascii="宋体" w:hAnsi="宋体" w:cs="Arial"/>
          <w:color w:val="auto"/>
          <w:sz w:val="24"/>
          <w:szCs w:val="24"/>
          <w:highlight w:val="none"/>
          <w:u w:val="none"/>
          <w:lang w:val="en-US" w:eastAsia="zh-CN"/>
        </w:rPr>
        <w:t>9</w:t>
      </w:r>
      <w:r>
        <w:rPr>
          <w:rFonts w:hint="eastAsia" w:ascii="宋体" w:hAnsi="宋体" w:cs="Arial"/>
          <w:color w:val="auto"/>
          <w:sz w:val="24"/>
          <w:szCs w:val="24"/>
          <w:highlight w:val="none"/>
          <w:u w:val="none"/>
        </w:rPr>
        <w:t>)委托合同价格审核，(1</w:t>
      </w:r>
      <w:r>
        <w:rPr>
          <w:rFonts w:hint="eastAsia" w:ascii="宋体" w:hAnsi="宋体" w:cs="Arial"/>
          <w:color w:val="auto"/>
          <w:sz w:val="24"/>
          <w:szCs w:val="24"/>
          <w:highlight w:val="none"/>
          <w:u w:val="none"/>
          <w:lang w:val="en-US" w:eastAsia="zh-CN"/>
        </w:rPr>
        <w:t>0</w:t>
      </w:r>
      <w:r>
        <w:rPr>
          <w:rFonts w:hint="eastAsia" w:ascii="宋体" w:hAnsi="宋体" w:cs="Arial"/>
          <w:color w:val="auto"/>
          <w:sz w:val="24"/>
          <w:szCs w:val="24"/>
          <w:highlight w:val="none"/>
          <w:u w:val="none"/>
        </w:rPr>
        <w:t>)</w:t>
      </w:r>
      <w:r>
        <w:rPr>
          <w:rFonts w:hint="eastAsia" w:ascii="宋体" w:hAnsi="宋体" w:cs="宋体"/>
          <w:strike w:val="0"/>
          <w:dstrike w:val="0"/>
          <w:color w:val="auto"/>
          <w:kern w:val="0"/>
          <w:sz w:val="24"/>
          <w:szCs w:val="24"/>
          <w:highlight w:val="none"/>
          <w:u w:val="none"/>
          <w:lang w:val="en-US" w:eastAsia="zh-CN"/>
        </w:rPr>
        <w:t>设计施工总承包工程</w:t>
      </w:r>
      <w:r>
        <w:rPr>
          <w:rFonts w:hint="eastAsia" w:ascii="宋体" w:hAnsi="宋体" w:cs="Arial"/>
          <w:color w:val="auto"/>
          <w:sz w:val="24"/>
          <w:szCs w:val="24"/>
          <w:highlight w:val="none"/>
          <w:u w:val="none"/>
        </w:rPr>
        <w:t>结算</w:t>
      </w:r>
      <w:r>
        <w:rPr>
          <w:rFonts w:hint="eastAsia" w:ascii="宋体" w:hAnsi="宋体" w:cs="Arial"/>
          <w:color w:val="auto"/>
          <w:sz w:val="24"/>
          <w:szCs w:val="24"/>
          <w:highlight w:val="none"/>
        </w:rPr>
        <w:t>审核，</w:t>
      </w:r>
      <w:r>
        <w:rPr>
          <w:rFonts w:hint="eastAsia" w:ascii="宋体" w:hAnsi="宋体" w:cs="Arial"/>
          <w:strike w:val="0"/>
          <w:dstrike w:val="0"/>
          <w:color w:val="auto"/>
          <w:sz w:val="24"/>
          <w:szCs w:val="24"/>
          <w:highlight w:val="none"/>
        </w:rPr>
        <w:t>(1</w:t>
      </w:r>
      <w:r>
        <w:rPr>
          <w:rFonts w:hint="eastAsia" w:ascii="宋体" w:hAnsi="宋体" w:cs="Arial"/>
          <w:strike w:val="0"/>
          <w:dstrike w:val="0"/>
          <w:color w:val="auto"/>
          <w:sz w:val="24"/>
          <w:szCs w:val="24"/>
          <w:highlight w:val="none"/>
          <w:lang w:val="en-US" w:eastAsia="zh-CN"/>
        </w:rPr>
        <w:t>1</w:t>
      </w:r>
      <w:r>
        <w:rPr>
          <w:rFonts w:hint="eastAsia" w:ascii="宋体" w:hAnsi="宋体" w:cs="Arial"/>
          <w:strike w:val="0"/>
          <w:dstrike w:val="0"/>
          <w:color w:val="auto"/>
          <w:sz w:val="24"/>
          <w:szCs w:val="24"/>
          <w:highlight w:val="none"/>
        </w:rPr>
        <w:t>)项目业主单独发包（如有）的专业工程施工或设备材料采购的合同结算审核等。</w:t>
      </w:r>
    </w:p>
    <w:p>
      <w:pPr>
        <w:widowControl/>
        <w:spacing w:line="360" w:lineRule="auto"/>
        <w:ind w:firstLine="200"/>
        <w:jc w:val="left"/>
        <w:outlineLvl w:val="1"/>
        <w:rPr>
          <w:rFonts w:ascii="宋体" w:hAnsi="宋体" w:cs="宋体"/>
          <w:b/>
          <w:color w:val="auto"/>
          <w:sz w:val="24"/>
          <w:szCs w:val="24"/>
          <w:highlight w:val="none"/>
        </w:rPr>
      </w:pPr>
      <w:bookmarkStart w:id="2" w:name="_Toc20947"/>
      <w:r>
        <w:rPr>
          <w:rFonts w:hint="eastAsia" w:ascii="宋体" w:hAnsi="宋体" w:cs="宋体"/>
          <w:b/>
          <w:color w:val="auto"/>
          <w:sz w:val="24"/>
          <w:szCs w:val="24"/>
          <w:highlight w:val="none"/>
        </w:rPr>
        <w:t>三、服务期限</w:t>
      </w:r>
      <w:bookmarkEnd w:id="2"/>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本合同服务期限自收到甲方</w:t>
      </w:r>
      <w:r>
        <w:rPr>
          <w:rFonts w:hint="eastAsia" w:ascii="宋体" w:hAnsi="宋体" w:cs="宋体"/>
          <w:color w:val="auto"/>
          <w:sz w:val="24"/>
          <w:szCs w:val="24"/>
          <w:highlight w:val="none"/>
          <w:lang w:val="en-US" w:eastAsia="zh-CN"/>
        </w:rPr>
        <w:t>书面</w:t>
      </w:r>
      <w:r>
        <w:rPr>
          <w:rFonts w:hint="eastAsia" w:ascii="宋体" w:hAnsi="宋体" w:cs="宋体"/>
          <w:color w:val="auto"/>
          <w:sz w:val="24"/>
          <w:szCs w:val="24"/>
          <w:highlight w:val="none"/>
        </w:rPr>
        <w:t>通知开始之日起至本合同约定造价咨询服务工作全部完成时止。甲方根据实际情况，有权对本合同服务期限进行适当调整。</w:t>
      </w:r>
    </w:p>
    <w:p>
      <w:pPr>
        <w:widowControl/>
        <w:spacing w:line="360" w:lineRule="auto"/>
        <w:ind w:firstLine="200"/>
        <w:jc w:val="left"/>
        <w:outlineLvl w:val="1"/>
        <w:rPr>
          <w:rFonts w:ascii="宋体" w:hAnsi="宋体" w:cs="宋体"/>
          <w:b/>
          <w:color w:val="auto"/>
          <w:sz w:val="24"/>
          <w:szCs w:val="24"/>
          <w:highlight w:val="none"/>
        </w:rPr>
      </w:pPr>
      <w:bookmarkStart w:id="3" w:name="_Toc6381"/>
      <w:r>
        <w:rPr>
          <w:rFonts w:hint="eastAsia" w:ascii="宋体" w:hAnsi="宋体" w:cs="宋体"/>
          <w:b/>
          <w:color w:val="auto"/>
          <w:sz w:val="24"/>
          <w:szCs w:val="24"/>
          <w:highlight w:val="none"/>
        </w:rPr>
        <w:t>四、服务报酬</w:t>
      </w:r>
      <w:bookmarkEnd w:id="3"/>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经甲乙双方协商一致，本合同服务报酬以人民币为计算及支付货币，具体计算方法按第二部分合同条款第七条的约定执行。</w:t>
      </w:r>
    </w:p>
    <w:p>
      <w:pPr>
        <w:widowControl/>
        <w:spacing w:line="360" w:lineRule="auto"/>
        <w:ind w:firstLine="200"/>
        <w:jc w:val="left"/>
        <w:outlineLvl w:val="1"/>
        <w:rPr>
          <w:rFonts w:ascii="宋体" w:hAnsi="宋体" w:cs="宋体"/>
          <w:b/>
          <w:color w:val="auto"/>
          <w:sz w:val="24"/>
          <w:szCs w:val="24"/>
          <w:highlight w:val="none"/>
        </w:rPr>
      </w:pPr>
      <w:bookmarkStart w:id="4" w:name="_Toc11215"/>
      <w:r>
        <w:rPr>
          <w:rFonts w:hint="eastAsia" w:ascii="宋体" w:hAnsi="宋体" w:cs="宋体"/>
          <w:b/>
          <w:color w:val="auto"/>
          <w:sz w:val="24"/>
          <w:szCs w:val="24"/>
          <w:highlight w:val="none"/>
        </w:rPr>
        <w:t>五、</w:t>
      </w:r>
      <w:r>
        <w:rPr>
          <w:rFonts w:ascii="宋体" w:hAnsi="宋体" w:cs="宋体"/>
          <w:b/>
          <w:color w:val="auto"/>
          <w:sz w:val="24"/>
          <w:szCs w:val="24"/>
          <w:highlight w:val="none"/>
        </w:rPr>
        <w:t>合同文件构成</w:t>
      </w:r>
      <w:r>
        <w:rPr>
          <w:rFonts w:hint="eastAsia" w:ascii="宋体" w:hAnsi="宋体" w:cs="宋体"/>
          <w:b/>
          <w:color w:val="auto"/>
          <w:sz w:val="24"/>
          <w:szCs w:val="24"/>
          <w:highlight w:val="none"/>
        </w:rPr>
        <w:t>及优先顺序</w:t>
      </w:r>
      <w:bookmarkEnd w:id="4"/>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下列文件应被认为是组成本合同的一部分，并互为补充和解释，如各文件存在冲突之处，以如下排列次序在前者优先适用：</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1.国家和广东省、广州市关于本项目的有关文件；</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2.本合同履行期间甲乙双方签订的补充合同（协议）或修正文件；</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3.合同协议书；</w:t>
      </w:r>
    </w:p>
    <w:p>
      <w:pPr>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4.中标通知书；</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5.合同条款；</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6.甲方制定的各项造价（咨询）管理制度及规定（包括继续沿用甲方更名前的各项管理制度及规定，如有更新则按更新后的执行，下同）；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7.合同附件[属本条第（1）项和第（6）项内容的除外]；</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4"/>
          <w:highlight w:val="none"/>
          <w:u w:val="single"/>
          <w:lang w:eastAsia="zh-CN"/>
        </w:rPr>
        <w:t>增城开发区宁西家园项目全过程造价咨询服务</w:t>
      </w:r>
      <w:r>
        <w:rPr>
          <w:rFonts w:hint="eastAsia" w:ascii="宋体" w:hAnsi="宋体" w:cs="宋体"/>
          <w:color w:val="auto"/>
          <w:sz w:val="24"/>
          <w:szCs w:val="24"/>
          <w:highlight w:val="none"/>
        </w:rPr>
        <w:t>招标文件[含招标文件补充文件、澄清文件、答疑文件等，属本条第（7）项内容的除外]；</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9.乙方投标文件[含投标文件澄清等，属本条第（7）项内容的除外]；</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10.国家及广东省、广州市的标准、规范及有关技术文件；</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11.组成合同的其它文件。</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通过上述顺序解释仍无法明确的事项，由甲方与乙方协商解决；如协商不成，由甲方按照公平合理和有利于本合同工程建设的原则作出决定。如乙方对此决定不服的，应在接到甲方决定之日起3天内提出书面异议；如期满不提出书面异议的，视为同意甲方的决定。甲方收到乙方的书面异议后应作出进一步的决定，如乙方仍有异议的，可按第二部分合同条款第十一条的约定处理，但在有关部门没有作出正式裁决之前，乙方必须无条件先行执行甲方的决定。</w:t>
      </w:r>
    </w:p>
    <w:p>
      <w:pPr>
        <w:widowControl/>
        <w:spacing w:line="360" w:lineRule="auto"/>
        <w:ind w:firstLine="200"/>
        <w:jc w:val="left"/>
        <w:outlineLvl w:val="1"/>
        <w:rPr>
          <w:rFonts w:ascii="宋体" w:hAnsi="宋体" w:cs="宋体"/>
          <w:b/>
          <w:color w:val="auto"/>
          <w:sz w:val="24"/>
          <w:szCs w:val="24"/>
          <w:highlight w:val="none"/>
        </w:rPr>
      </w:pPr>
      <w:bookmarkStart w:id="5" w:name="_Toc6606"/>
      <w:r>
        <w:rPr>
          <w:rFonts w:hint="eastAsia" w:ascii="宋体" w:hAnsi="宋体" w:cs="宋体"/>
          <w:b/>
          <w:color w:val="auto"/>
          <w:sz w:val="24"/>
          <w:szCs w:val="24"/>
          <w:highlight w:val="none"/>
        </w:rPr>
        <w:t>六、</w:t>
      </w:r>
      <w:r>
        <w:rPr>
          <w:rFonts w:hint="eastAsia" w:ascii="宋体" w:hAnsi="宋体" w:cs="宋体"/>
          <w:color w:val="auto"/>
          <w:sz w:val="24"/>
          <w:szCs w:val="24"/>
          <w:highlight w:val="none"/>
        </w:rPr>
        <w:t>乙方承诺按照本合同的约定履行合同义务。</w:t>
      </w:r>
      <w:bookmarkEnd w:id="5"/>
    </w:p>
    <w:p>
      <w:pPr>
        <w:widowControl/>
        <w:spacing w:line="360" w:lineRule="auto"/>
        <w:ind w:firstLine="200"/>
        <w:jc w:val="left"/>
        <w:outlineLvl w:val="1"/>
        <w:rPr>
          <w:rFonts w:ascii="宋体" w:hAnsi="宋体" w:cs="宋体"/>
          <w:b/>
          <w:color w:val="auto"/>
          <w:sz w:val="24"/>
          <w:szCs w:val="24"/>
          <w:highlight w:val="none"/>
        </w:rPr>
      </w:pPr>
      <w:bookmarkStart w:id="6" w:name="_Toc32336"/>
      <w:r>
        <w:rPr>
          <w:rFonts w:hint="eastAsia" w:ascii="宋体" w:hAnsi="宋体" w:cs="宋体"/>
          <w:b/>
          <w:color w:val="auto"/>
          <w:sz w:val="24"/>
          <w:szCs w:val="24"/>
          <w:highlight w:val="none"/>
        </w:rPr>
        <w:t>七、</w:t>
      </w:r>
      <w:r>
        <w:rPr>
          <w:rFonts w:hint="eastAsia" w:ascii="宋体" w:hAnsi="宋体" w:cs="宋体"/>
          <w:color w:val="auto"/>
          <w:sz w:val="24"/>
          <w:szCs w:val="24"/>
          <w:highlight w:val="none"/>
        </w:rPr>
        <w:t>甲方承诺按照本合同约定的履行合同义务。</w:t>
      </w:r>
      <w:bookmarkEnd w:id="6"/>
    </w:p>
    <w:p>
      <w:pPr>
        <w:widowControl/>
        <w:spacing w:line="360" w:lineRule="auto"/>
        <w:ind w:firstLine="200"/>
        <w:jc w:val="left"/>
        <w:outlineLvl w:val="1"/>
        <w:rPr>
          <w:rFonts w:ascii="宋体" w:hAnsi="宋体" w:cs="宋体"/>
          <w:b/>
          <w:color w:val="auto"/>
          <w:sz w:val="24"/>
          <w:szCs w:val="24"/>
          <w:highlight w:val="none"/>
        </w:rPr>
      </w:pPr>
      <w:bookmarkStart w:id="7" w:name="_Toc7679"/>
      <w:r>
        <w:rPr>
          <w:rFonts w:hint="eastAsia" w:ascii="宋体" w:hAnsi="宋体" w:cs="宋体"/>
          <w:b/>
          <w:color w:val="auto"/>
          <w:sz w:val="24"/>
          <w:szCs w:val="24"/>
          <w:highlight w:val="none"/>
        </w:rPr>
        <w:t>八、词语定义</w:t>
      </w:r>
      <w:bookmarkEnd w:id="7"/>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本合同协议书中有关词语含义与合同条款中分别赋予它们的定义相同。</w:t>
      </w:r>
    </w:p>
    <w:p>
      <w:pPr>
        <w:widowControl/>
        <w:spacing w:line="360" w:lineRule="auto"/>
        <w:ind w:firstLine="200"/>
        <w:jc w:val="left"/>
        <w:outlineLvl w:val="1"/>
        <w:rPr>
          <w:rFonts w:ascii="宋体" w:hAnsi="宋体" w:cs="宋体"/>
          <w:b/>
          <w:color w:val="auto"/>
          <w:sz w:val="24"/>
          <w:szCs w:val="24"/>
          <w:highlight w:val="none"/>
        </w:rPr>
      </w:pPr>
      <w:bookmarkStart w:id="8" w:name="_Toc3396"/>
      <w:r>
        <w:rPr>
          <w:rFonts w:hint="eastAsia" w:ascii="宋体" w:hAnsi="宋体" w:cs="宋体"/>
          <w:b/>
          <w:color w:val="auto"/>
          <w:sz w:val="24"/>
          <w:szCs w:val="24"/>
          <w:highlight w:val="none"/>
        </w:rPr>
        <w:t>九、合同生效及终止</w:t>
      </w:r>
      <w:bookmarkEnd w:id="8"/>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1.本合同自双方签字盖章（公章或合同专用章）之日起生效。</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2.乙方完成甲方委托的全部工作内容且业主单位按合同约定支付了服务报酬后本合同即终止。</w:t>
      </w:r>
    </w:p>
    <w:p>
      <w:pPr>
        <w:widowControl/>
        <w:spacing w:line="360" w:lineRule="auto"/>
        <w:ind w:firstLine="200"/>
        <w:jc w:val="left"/>
        <w:outlineLvl w:val="1"/>
        <w:rPr>
          <w:rFonts w:ascii="宋体" w:hAnsi="宋体" w:cs="宋体"/>
          <w:b/>
          <w:color w:val="auto"/>
          <w:sz w:val="24"/>
          <w:szCs w:val="24"/>
          <w:highlight w:val="none"/>
        </w:rPr>
      </w:pPr>
      <w:bookmarkStart w:id="9" w:name="_Toc29359"/>
      <w:r>
        <w:rPr>
          <w:rFonts w:hint="eastAsia" w:ascii="宋体" w:hAnsi="宋体" w:cs="宋体"/>
          <w:b/>
          <w:color w:val="auto"/>
          <w:sz w:val="24"/>
          <w:szCs w:val="24"/>
          <w:highlight w:val="none"/>
        </w:rPr>
        <w:t>十、合同份数</w:t>
      </w:r>
      <w:bookmarkEnd w:id="9"/>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本合同正本一式两份，双方各执一份；副本八份，其中甲方执六份，乙方执二份。合同正、副本具有同等效力，但当合同正本与副本的表述不一致时，以合同正本为准。</w:t>
      </w:r>
    </w:p>
    <w:p>
      <w:pPr>
        <w:widowControl/>
        <w:spacing w:line="360" w:lineRule="auto"/>
        <w:jc w:val="left"/>
        <w:rPr>
          <w:rFonts w:ascii="宋体" w:hAnsi="宋体" w:cs="宋体"/>
          <w:color w:val="auto"/>
          <w:sz w:val="24"/>
          <w:szCs w:val="24"/>
          <w:highlight w:val="none"/>
        </w:rPr>
      </w:pPr>
    </w:p>
    <w:p>
      <w:pPr>
        <w:widowControl/>
        <w:spacing w:line="360" w:lineRule="auto"/>
        <w:jc w:val="left"/>
        <w:rPr>
          <w:rFonts w:ascii="宋体" w:hAnsi="宋体" w:cs="宋体"/>
          <w:color w:val="auto"/>
          <w:sz w:val="24"/>
          <w:szCs w:val="24"/>
          <w:highlight w:val="none"/>
        </w:rPr>
      </w:pPr>
    </w:p>
    <w:p>
      <w:pPr>
        <w:widowControl/>
        <w:spacing w:line="360" w:lineRule="auto"/>
        <w:jc w:val="left"/>
        <w:rPr>
          <w:rFonts w:ascii="宋体" w:hAnsi="宋体" w:cs="宋体"/>
          <w:color w:val="auto"/>
          <w:w w:val="90"/>
          <w:szCs w:val="21"/>
          <w:highlight w:val="none"/>
        </w:rPr>
      </w:pPr>
      <w:r>
        <w:rPr>
          <w:rFonts w:hint="eastAsia" w:ascii="宋体" w:hAnsi="宋体" w:cs="宋体"/>
          <w:color w:val="auto"/>
          <w:sz w:val="24"/>
          <w:szCs w:val="24"/>
          <w:highlight w:val="none"/>
        </w:rPr>
        <w:t>甲方：</w:t>
      </w:r>
      <w:r>
        <w:rPr>
          <w:rFonts w:hint="eastAsia" w:ascii="宋体" w:hAnsi="宋体" w:cs="宋体"/>
          <w:b/>
          <w:color w:val="auto"/>
          <w:spacing w:val="-20"/>
          <w:sz w:val="24"/>
          <w:szCs w:val="24"/>
          <w:highlight w:val="none"/>
          <w:lang w:eastAsia="zh-CN"/>
        </w:rPr>
        <w:t>广州城祥投资发展有限公司</w:t>
      </w:r>
      <w:r>
        <w:rPr>
          <w:rFonts w:hint="eastAsia" w:ascii="宋体" w:hAnsi="宋体" w:cs="宋体"/>
          <w:color w:val="auto"/>
          <w:spacing w:val="-20"/>
          <w:sz w:val="24"/>
          <w:szCs w:val="24"/>
          <w:highlight w:val="none"/>
        </w:rPr>
        <w:t xml:space="preserve"> </w:t>
      </w:r>
      <w:r>
        <w:rPr>
          <w:rFonts w:hint="eastAsia" w:ascii="宋体" w:hAnsi="宋体" w:cs="宋体"/>
          <w:color w:val="auto"/>
          <w:sz w:val="24"/>
          <w:szCs w:val="24"/>
          <w:highlight w:val="none"/>
        </w:rPr>
        <w:t xml:space="preserve">      乙方：</w:t>
      </w:r>
      <w:r>
        <w:rPr>
          <w:rFonts w:hint="eastAsia" w:ascii="宋体" w:hAnsi="宋体" w:cs="宋体"/>
          <w:b/>
          <w:color w:val="auto"/>
          <w:w w:val="90"/>
          <w:szCs w:val="21"/>
          <w:highlight w:val="none"/>
        </w:rPr>
        <w:t xml:space="preserve"> </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（盖章）                                （盖章）</w:t>
      </w:r>
    </w:p>
    <w:p>
      <w:pPr>
        <w:widowControl/>
        <w:spacing w:line="360" w:lineRule="auto"/>
        <w:contextualSpacing/>
        <w:jc w:val="left"/>
        <w:rPr>
          <w:rFonts w:ascii="宋体" w:hAnsi="宋体" w:cs="宋体"/>
          <w:color w:val="auto"/>
          <w:sz w:val="24"/>
          <w:szCs w:val="24"/>
          <w:highlight w:val="none"/>
        </w:rPr>
      </w:pP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pPr>
        <w:widowControl/>
        <w:spacing w:line="360" w:lineRule="auto"/>
        <w:contextualSpacing/>
        <w:jc w:val="left"/>
        <w:rPr>
          <w:rFonts w:ascii="宋体" w:hAnsi="宋体" w:cs="宋体"/>
          <w:color w:val="auto"/>
          <w:sz w:val="24"/>
          <w:szCs w:val="24"/>
          <w:highlight w:val="none"/>
        </w:rPr>
      </w:pP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pPr>
        <w:widowControl/>
        <w:spacing w:line="360" w:lineRule="auto"/>
        <w:contextualSpacing/>
        <w:jc w:val="left"/>
        <w:rPr>
          <w:rFonts w:hint="eastAsia" w:ascii="宋体" w:hAnsi="宋体"/>
          <w:color w:val="auto"/>
          <w:sz w:val="24"/>
          <w:highlight w:val="none"/>
          <w:lang w:eastAsia="zh-CN"/>
        </w:rPr>
      </w:pPr>
      <w:r>
        <w:rPr>
          <w:rFonts w:hint="eastAsia" w:ascii="宋体" w:hAnsi="宋体" w:cs="宋体"/>
          <w:color w:val="auto"/>
          <w:sz w:val="24"/>
          <w:szCs w:val="24"/>
          <w:highlight w:val="none"/>
        </w:rPr>
        <w:t>地址：</w:t>
      </w:r>
      <w:r>
        <w:rPr>
          <w:rFonts w:hint="eastAsia" w:ascii="宋体" w:hAnsi="宋体"/>
          <w:color w:val="auto"/>
          <w:sz w:val="24"/>
          <w:highlight w:val="none"/>
          <w:lang w:eastAsia="zh-CN"/>
        </w:rPr>
        <w:t>广州市增城区宁西街道九</w:t>
      </w:r>
      <w:r>
        <w:rPr>
          <w:rFonts w:hint="eastAsia" w:ascii="宋体" w:hAnsi="宋体"/>
          <w:color w:val="auto"/>
          <w:sz w:val="24"/>
          <w:highlight w:val="none"/>
          <w:lang w:val="en-US" w:eastAsia="zh-CN"/>
        </w:rPr>
        <w:t xml:space="preserve">          </w:t>
      </w:r>
      <w:r>
        <w:rPr>
          <w:rFonts w:hint="eastAsia" w:ascii="宋体" w:hAnsi="宋体" w:cs="宋体"/>
          <w:color w:val="auto"/>
          <w:sz w:val="24"/>
          <w:szCs w:val="24"/>
          <w:highlight w:val="none"/>
        </w:rPr>
        <w:t>地址</w:t>
      </w:r>
    </w:p>
    <w:p>
      <w:pPr>
        <w:widowControl/>
        <w:spacing w:line="360" w:lineRule="auto"/>
        <w:contextualSpacing/>
        <w:jc w:val="left"/>
        <w:rPr>
          <w:rFonts w:hint="default" w:ascii="宋体" w:hAnsi="宋体"/>
          <w:color w:val="auto"/>
          <w:kern w:val="0"/>
          <w:sz w:val="24"/>
          <w:highlight w:val="none"/>
          <w:u w:val="single"/>
          <w:lang w:val="en-US" w:eastAsia="zh-CN"/>
        </w:rPr>
      </w:pPr>
      <w:r>
        <w:rPr>
          <w:rFonts w:hint="eastAsia" w:ascii="宋体" w:hAnsi="宋体"/>
          <w:color w:val="auto"/>
          <w:sz w:val="24"/>
          <w:highlight w:val="none"/>
          <w:lang w:eastAsia="zh-CN"/>
        </w:rPr>
        <w:t>如村泥坑街三巷6-1号</w:t>
      </w:r>
      <w:r>
        <w:rPr>
          <w:rFonts w:hint="eastAsia" w:ascii="宋体" w:hAnsi="宋体"/>
          <w:color w:val="auto"/>
          <w:sz w:val="24"/>
          <w:highlight w:val="none"/>
          <w:lang w:val="en-US" w:eastAsia="zh-CN"/>
        </w:rPr>
        <w:t xml:space="preserve">                  </w:t>
      </w:r>
      <w:r>
        <w:rPr>
          <w:rFonts w:hint="eastAsia" w:ascii="宋体" w:hAnsi="宋体" w:cs="宋体"/>
          <w:color w:val="auto"/>
          <w:sz w:val="24"/>
          <w:szCs w:val="24"/>
          <w:highlight w:val="none"/>
        </w:rPr>
        <w:t>：</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邮编：510006                          邮编：</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电话：020-</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电话：</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传真：020-</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传真：</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签订日期：    年  月  日              开户银行：</w:t>
      </w:r>
    </w:p>
    <w:p>
      <w:pPr>
        <w:widowControl/>
        <w:spacing w:line="360" w:lineRule="auto"/>
        <w:ind w:firstLine="4560" w:firstLineChars="190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银行账号：</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签订日期：    年  月   日</w:t>
      </w:r>
    </w:p>
    <w:p>
      <w:pPr>
        <w:widowControl/>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本合同签订于广东省广州市</w:t>
      </w:r>
      <w:r>
        <w:rPr>
          <w:rFonts w:hint="eastAsia" w:ascii="宋体" w:hAnsi="宋体" w:cs="宋体"/>
          <w:color w:val="auto"/>
          <w:sz w:val="24"/>
          <w:szCs w:val="24"/>
          <w:highlight w:val="none"/>
          <w:lang w:eastAsia="zh-CN"/>
        </w:rPr>
        <w:t>增城</w:t>
      </w:r>
      <w:r>
        <w:rPr>
          <w:rFonts w:hint="eastAsia" w:ascii="宋体" w:hAnsi="宋体" w:cs="宋体"/>
          <w:color w:val="auto"/>
          <w:sz w:val="24"/>
          <w:szCs w:val="24"/>
          <w:highlight w:val="none"/>
        </w:rPr>
        <w:t>区。</w:t>
      </w:r>
    </w:p>
    <w:p>
      <w:pPr>
        <w:widowControl/>
        <w:spacing w:before="100" w:beforeAutospacing="1" w:after="100" w:afterAutospacing="1" w:line="360" w:lineRule="auto"/>
        <w:jc w:val="center"/>
        <w:outlineLvl w:val="0"/>
        <w:rPr>
          <w:rFonts w:ascii="宋体" w:hAnsi="宋体" w:cs="宋体"/>
          <w:b/>
          <w:bCs/>
          <w:color w:val="auto"/>
          <w:sz w:val="36"/>
          <w:szCs w:val="36"/>
          <w:highlight w:val="none"/>
        </w:rPr>
      </w:pPr>
      <w:r>
        <w:rPr>
          <w:rFonts w:ascii="宋体" w:hAnsi="宋体" w:cs="宋体"/>
          <w:b/>
          <w:bCs/>
          <w:color w:val="auto"/>
          <w:sz w:val="36"/>
          <w:szCs w:val="36"/>
          <w:highlight w:val="none"/>
        </w:rPr>
        <w:br w:type="page"/>
      </w:r>
      <w:bookmarkStart w:id="10" w:name="_Toc3628"/>
      <w:r>
        <w:rPr>
          <w:rFonts w:hint="eastAsia" w:ascii="宋体" w:hAnsi="宋体" w:cs="宋体"/>
          <w:b/>
          <w:bCs/>
          <w:color w:val="auto"/>
          <w:sz w:val="36"/>
          <w:szCs w:val="36"/>
          <w:highlight w:val="none"/>
        </w:rPr>
        <w:t>第二部分　合同条款</w:t>
      </w:r>
      <w:bookmarkEnd w:id="10"/>
    </w:p>
    <w:p>
      <w:pPr>
        <w:widowControl/>
        <w:spacing w:line="360" w:lineRule="auto"/>
        <w:ind w:firstLine="200"/>
        <w:jc w:val="left"/>
        <w:outlineLvl w:val="1"/>
        <w:rPr>
          <w:rFonts w:ascii="宋体" w:hAnsi="宋体" w:cs="宋体"/>
          <w:b/>
          <w:color w:val="auto"/>
          <w:sz w:val="24"/>
          <w:szCs w:val="24"/>
          <w:highlight w:val="none"/>
        </w:rPr>
      </w:pPr>
      <w:bookmarkStart w:id="11" w:name="_Toc26661"/>
      <w:r>
        <w:rPr>
          <w:rFonts w:hint="eastAsia" w:ascii="宋体" w:hAnsi="宋体" w:cs="宋体"/>
          <w:b/>
          <w:color w:val="auto"/>
          <w:sz w:val="24"/>
          <w:szCs w:val="24"/>
          <w:highlight w:val="none"/>
        </w:rPr>
        <w:t>一、词语定义</w:t>
      </w:r>
      <w:bookmarkEnd w:id="11"/>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1.1甲方：是指委托建设工程造价咨询业务和聘用工程造价咨询单位的一方，在本合同中特指</w:t>
      </w:r>
      <w:r>
        <w:rPr>
          <w:rFonts w:hint="eastAsia" w:ascii="宋体" w:hAnsi="宋体" w:cs="宋体"/>
          <w:b/>
          <w:color w:val="auto"/>
          <w:sz w:val="24"/>
          <w:szCs w:val="24"/>
          <w:highlight w:val="none"/>
          <w:u w:val="single"/>
          <w:lang w:eastAsia="zh-CN"/>
        </w:rPr>
        <w:t>广州城祥投资发展有限公司</w:t>
      </w:r>
      <w:r>
        <w:rPr>
          <w:rFonts w:hint="eastAsia" w:ascii="宋体" w:hAnsi="宋体" w:cs="宋体"/>
          <w:color w:val="auto"/>
          <w:sz w:val="24"/>
          <w:szCs w:val="24"/>
          <w:highlight w:val="none"/>
        </w:rPr>
        <w:t>。</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1.2乙方：是指承担建设工程造价咨询业务和工程造价咨询责任的一方，在本合同中特指</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1.3第三人：是指除甲方、乙方以外与本合同约定咨询业务有关的当事人。</w:t>
      </w:r>
    </w:p>
    <w:p>
      <w:pPr>
        <w:spacing w:line="360" w:lineRule="auto"/>
        <w:ind w:firstLine="420"/>
        <w:rPr>
          <w:rFonts w:ascii="宋体" w:hAnsi="宋体" w:cs="宋体"/>
          <w:strike/>
          <w:color w:val="auto"/>
          <w:sz w:val="24"/>
          <w:szCs w:val="24"/>
          <w:highlight w:val="none"/>
        </w:rPr>
      </w:pPr>
      <w:r>
        <w:rPr>
          <w:rFonts w:hint="eastAsia" w:ascii="宋体" w:hAnsi="宋体" w:cs="宋体"/>
          <w:color w:val="auto"/>
          <w:sz w:val="24"/>
          <w:szCs w:val="24"/>
          <w:highlight w:val="none"/>
        </w:rPr>
        <w:t>1.4</w:t>
      </w:r>
      <w:r>
        <w:rPr>
          <w:rFonts w:hint="eastAsia" w:ascii="宋体" w:hAnsi="宋体" w:cs="宋体"/>
          <w:snapToGrid w:val="0"/>
          <w:color w:val="auto"/>
          <w:kern w:val="0"/>
          <w:sz w:val="24"/>
          <w:szCs w:val="24"/>
          <w:highlight w:val="none"/>
        </w:rPr>
        <w:t>天：本合同中规定按天计算时间的，开始当天不计入，从次日开始计算。时限的最后一天是休息日或者其他法定节假日的，以节假日次日为时限的</w:t>
      </w:r>
      <w:r>
        <w:rPr>
          <w:rFonts w:hint="eastAsia" w:ascii="宋体" w:hAnsi="宋体" w:cs="宋体"/>
          <w:color w:val="auto"/>
          <w:sz w:val="24"/>
          <w:szCs w:val="24"/>
          <w:highlight w:val="none"/>
        </w:rPr>
        <w:t>最后</w:t>
      </w:r>
      <w:r>
        <w:rPr>
          <w:rFonts w:hint="eastAsia" w:ascii="宋体" w:hAnsi="宋体" w:cs="宋体"/>
          <w:snapToGrid w:val="0"/>
          <w:color w:val="auto"/>
          <w:kern w:val="0"/>
          <w:sz w:val="24"/>
          <w:szCs w:val="24"/>
          <w:highlight w:val="none"/>
        </w:rPr>
        <w:t>一天。时限的最后一天的截止时间为当日24时。</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1.5月：是指根据公历从一个月份中任何一日开始到下一个月相应日期的前一日的时间段。</w:t>
      </w:r>
    </w:p>
    <w:p>
      <w:pPr>
        <w:widowControl/>
        <w:spacing w:line="360" w:lineRule="auto"/>
        <w:ind w:firstLine="200"/>
        <w:jc w:val="left"/>
        <w:outlineLvl w:val="1"/>
        <w:rPr>
          <w:rFonts w:ascii="宋体" w:hAnsi="宋体" w:cs="宋体"/>
          <w:b/>
          <w:color w:val="auto"/>
          <w:sz w:val="24"/>
          <w:szCs w:val="24"/>
          <w:highlight w:val="none"/>
        </w:rPr>
      </w:pPr>
      <w:bookmarkStart w:id="12" w:name="_Toc26077"/>
      <w:r>
        <w:rPr>
          <w:rFonts w:hint="eastAsia" w:ascii="宋体" w:hAnsi="宋体" w:cs="宋体"/>
          <w:b/>
          <w:color w:val="auto"/>
          <w:sz w:val="24"/>
          <w:szCs w:val="24"/>
          <w:highlight w:val="none"/>
        </w:rPr>
        <w:t>二、本合同适用的法律、法规及工程造价计价办法和规定</w:t>
      </w:r>
      <w:bookmarkEnd w:id="12"/>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2.1本合同适用中华人民共和国法律、法规。</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2.2本合同适用的工程造价计价办法和规定是：《广东省住房和城乡建设厅关于印发&lt;广东省建设工程计价依据（2018）&gt;的通知》（粤建市〔2019〕6号）、《建设工程工程量清单计价规范》（GB50500-2013）及2012年《广东省房屋建筑和市政修缮工程综合定额》等相关规定。国家及广东省、广州市有最新规定的，从其规定。</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2.3其它计价依据：甲方的要求、图纸、招标文件。</w:t>
      </w:r>
    </w:p>
    <w:p>
      <w:pPr>
        <w:widowControl/>
        <w:spacing w:line="360" w:lineRule="auto"/>
        <w:ind w:firstLine="200"/>
        <w:jc w:val="left"/>
        <w:outlineLvl w:val="1"/>
        <w:rPr>
          <w:rFonts w:ascii="宋体" w:hAnsi="宋体" w:cs="宋体"/>
          <w:b/>
          <w:color w:val="auto"/>
          <w:sz w:val="24"/>
          <w:szCs w:val="24"/>
          <w:highlight w:val="none"/>
        </w:rPr>
      </w:pPr>
      <w:bookmarkStart w:id="13" w:name="_Toc22272"/>
      <w:r>
        <w:rPr>
          <w:rFonts w:hint="eastAsia" w:ascii="宋体" w:hAnsi="宋体" w:cs="宋体"/>
          <w:b/>
          <w:color w:val="auto"/>
          <w:sz w:val="24"/>
          <w:szCs w:val="24"/>
          <w:highlight w:val="none"/>
        </w:rPr>
        <w:t>三、本合同适用的语言文字</w:t>
      </w:r>
      <w:bookmarkEnd w:id="13"/>
    </w:p>
    <w:p>
      <w:pPr>
        <w:spacing w:line="360" w:lineRule="auto"/>
        <w:ind w:firstLine="420"/>
        <w:rPr>
          <w:rFonts w:ascii="宋体" w:hAnsi="宋体" w:cs="宋体"/>
          <w:color w:val="auto"/>
          <w:sz w:val="24"/>
          <w:szCs w:val="24"/>
          <w:highlight w:val="none"/>
        </w:rPr>
      </w:pPr>
      <w:r>
        <w:rPr>
          <w:rFonts w:hint="eastAsia" w:ascii="宋体" w:hAnsi="宋体" w:cs="宋体"/>
          <w:snapToGrid w:val="0"/>
          <w:color w:val="auto"/>
          <w:sz w:val="24"/>
          <w:szCs w:val="24"/>
          <w:highlight w:val="none"/>
        </w:rPr>
        <w:t>本合同及其补充协议、甲乙双方来往文件等均使用中文书写。使用其他文字书写的对双方均不具有法律约束力，但如翻译成中文并经双方法定代表人（或其</w:t>
      </w:r>
      <w:r>
        <w:rPr>
          <w:rFonts w:hint="eastAsia" w:ascii="宋体" w:hAnsi="宋体" w:cs="宋体"/>
          <w:color w:val="auto"/>
          <w:sz w:val="24"/>
          <w:szCs w:val="24"/>
          <w:highlight w:val="none"/>
        </w:rPr>
        <w:t>委托代理人）签字或双方盖章确认的，则对双方均具有法律约束力。</w:t>
      </w:r>
    </w:p>
    <w:p>
      <w:pPr>
        <w:widowControl/>
        <w:spacing w:line="360" w:lineRule="auto"/>
        <w:ind w:firstLine="200"/>
        <w:jc w:val="left"/>
        <w:outlineLvl w:val="1"/>
        <w:rPr>
          <w:rFonts w:ascii="宋体" w:hAnsi="宋体" w:cs="宋体"/>
          <w:color w:val="auto"/>
          <w:sz w:val="24"/>
          <w:szCs w:val="24"/>
          <w:highlight w:val="none"/>
        </w:rPr>
      </w:pPr>
      <w:bookmarkStart w:id="14" w:name="_Toc23844"/>
      <w:r>
        <w:rPr>
          <w:rFonts w:hint="eastAsia" w:ascii="宋体" w:hAnsi="宋体" w:cs="宋体"/>
          <w:b/>
          <w:bCs/>
          <w:color w:val="auto"/>
          <w:sz w:val="24"/>
          <w:szCs w:val="24"/>
          <w:highlight w:val="none"/>
        </w:rPr>
        <w:t>四</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内容</w:t>
      </w:r>
      <w:r>
        <w:rPr>
          <w:rFonts w:hint="eastAsia" w:ascii="宋体" w:hAnsi="宋体" w:cs="宋体"/>
          <w:b/>
          <w:bCs/>
          <w:color w:val="auto"/>
          <w:sz w:val="24"/>
          <w:szCs w:val="24"/>
          <w:highlight w:val="none"/>
        </w:rPr>
        <w:t>及相关服务</w:t>
      </w:r>
      <w:r>
        <w:rPr>
          <w:rFonts w:ascii="宋体" w:hAnsi="宋体" w:cs="宋体"/>
          <w:b/>
          <w:bCs/>
          <w:color w:val="auto"/>
          <w:sz w:val="24"/>
          <w:szCs w:val="24"/>
          <w:highlight w:val="none"/>
        </w:rPr>
        <w:t>要求</w:t>
      </w:r>
      <w:bookmarkEnd w:id="14"/>
    </w:p>
    <w:p>
      <w:pPr>
        <w:spacing w:line="360" w:lineRule="auto"/>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4.1本项目</w:t>
      </w:r>
      <w:r>
        <w:rPr>
          <w:rFonts w:ascii="宋体" w:hAnsi="宋体" w:cs="Arial"/>
          <w:color w:val="auto"/>
          <w:sz w:val="24"/>
          <w:szCs w:val="24"/>
          <w:highlight w:val="none"/>
          <w:shd w:val="clear" w:color="auto" w:fill="FFFFFF"/>
        </w:rPr>
        <w:t>工程造价咨询服务的主要内容</w:t>
      </w:r>
      <w:r>
        <w:rPr>
          <w:rFonts w:hint="eastAsia" w:ascii="宋体" w:hAnsi="宋体" w:cs="宋体"/>
          <w:color w:val="auto"/>
          <w:kern w:val="0"/>
          <w:sz w:val="24"/>
          <w:szCs w:val="24"/>
          <w:highlight w:val="none"/>
        </w:rPr>
        <w:t>具体如下：</w:t>
      </w:r>
    </w:p>
    <w:p>
      <w:pPr>
        <w:pStyle w:val="2"/>
        <w:rPr>
          <w:rFonts w:hint="eastAsia" w:ascii="宋体" w:hAnsi="宋体" w:cs="宋体"/>
          <w:color w:val="auto"/>
          <w:kern w:val="0"/>
          <w:sz w:val="24"/>
          <w:szCs w:val="24"/>
          <w:highlight w:val="none"/>
        </w:rPr>
      </w:pPr>
    </w:p>
    <w:p>
      <w:pPr>
        <w:rPr>
          <w:color w:val="auto"/>
        </w:rPr>
      </w:pPr>
    </w:p>
    <w:tbl>
      <w:tblPr>
        <w:tblStyle w:val="21"/>
        <w:tblW w:w="885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1070"/>
        <w:gridCol w:w="712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9" w:hRule="atLeast"/>
          <w:tblHeader/>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jc w:val="center"/>
              <w:rPr>
                <w:rFonts w:ascii="宋体" w:hAnsi="宋体" w:cs="宋体"/>
                <w:b/>
                <w:color w:val="auto"/>
                <w:szCs w:val="21"/>
                <w:highlight w:val="none"/>
                <w:shd w:val="clear" w:color="auto" w:fill="FFFFFF"/>
              </w:rPr>
            </w:pPr>
            <w:r>
              <w:rPr>
                <w:rFonts w:hint="eastAsia" w:ascii="宋体" w:hAnsi="宋体" w:cs="宋体"/>
                <w:b/>
                <w:color w:val="auto"/>
                <w:kern w:val="0"/>
                <w:szCs w:val="21"/>
                <w:highlight w:val="none"/>
                <w:shd w:val="clear" w:color="auto" w:fill="FFFFFF"/>
              </w:rPr>
              <w:t>序号</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jc w:val="center"/>
              <w:rPr>
                <w:rFonts w:ascii="宋体" w:hAnsi="宋体" w:cs="宋体"/>
                <w:b/>
                <w:color w:val="auto"/>
                <w:szCs w:val="21"/>
                <w:highlight w:val="none"/>
                <w:shd w:val="clear" w:color="auto" w:fill="FFFFFF"/>
              </w:rPr>
            </w:pPr>
            <w:r>
              <w:rPr>
                <w:rFonts w:hint="eastAsia" w:ascii="宋体" w:hAnsi="宋体" w:cs="宋体"/>
                <w:b/>
                <w:color w:val="auto"/>
                <w:kern w:val="0"/>
                <w:szCs w:val="21"/>
                <w:highlight w:val="none"/>
                <w:shd w:val="clear" w:color="auto" w:fill="FFFFFF"/>
              </w:rPr>
              <w:t>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jc w:val="center"/>
              <w:rPr>
                <w:rFonts w:ascii="宋体" w:hAnsi="宋体" w:cs="宋体"/>
                <w:b/>
                <w:color w:val="auto"/>
                <w:szCs w:val="21"/>
                <w:highlight w:val="none"/>
                <w:shd w:val="clear" w:color="auto" w:fill="FFFFFF"/>
              </w:rPr>
            </w:pPr>
            <w:r>
              <w:rPr>
                <w:rFonts w:hint="eastAsia" w:ascii="宋体" w:hAnsi="宋体" w:cs="宋体"/>
                <w:b/>
                <w:color w:val="auto"/>
                <w:kern w:val="0"/>
                <w:szCs w:val="21"/>
                <w:highlight w:val="none"/>
                <w:shd w:val="clear" w:color="auto" w:fill="FFFFFF"/>
              </w:rPr>
              <w:t>服务内容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1</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概算阶段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如需）</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numPr>
                <w:ilvl w:val="0"/>
                <w:numId w:val="2"/>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负责审核、评审（如需）概算文件，按招标人要求提交概算审核、评审（如需）意见；</w:t>
            </w:r>
          </w:p>
          <w:p>
            <w:pPr>
              <w:widowControl/>
              <w:numPr>
                <w:ilvl w:val="0"/>
                <w:numId w:val="2"/>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负责提交材料设备汇总表，对设计中采用的主材、设备等提供市场信息，提出优化建议；</w:t>
            </w:r>
          </w:p>
          <w:p>
            <w:pPr>
              <w:widowControl/>
              <w:numPr>
                <w:ilvl w:val="0"/>
                <w:numId w:val="2"/>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根据批准的概算，负责审核并提出工程项目的各专业工程和各阶段造价限额设计量化指标；</w:t>
            </w:r>
          </w:p>
          <w:p>
            <w:pPr>
              <w:widowControl/>
              <w:numPr>
                <w:ilvl w:val="0"/>
                <w:numId w:val="2"/>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跟进概算评审的各阶段工作，及时反馈意见，对评审工作进行分解分析，给出专业意见及合理化建议。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施工图预算阶段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numPr>
                <w:ilvl w:val="0"/>
                <w:numId w:val="3"/>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负责审核施工图预算（含设计图纸修改后调整相应预算），按招标人要求提交审核报告；</w:t>
            </w:r>
          </w:p>
          <w:p>
            <w:pPr>
              <w:widowControl/>
              <w:numPr>
                <w:ilvl w:val="0"/>
                <w:numId w:val="3"/>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负责提交材料设备汇总表，对设计中采用的主材、设备等提供市场信息，提出优化建议。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hint="eastAsia" w:ascii="宋体" w:hAnsi="宋体" w:eastAsia="宋体" w:cs="宋体"/>
                <w:strike/>
                <w:dstrike w:val="0"/>
                <w:color w:val="auto"/>
                <w:kern w:val="0"/>
                <w:szCs w:val="21"/>
                <w:highlight w:val="none"/>
                <w:shd w:val="clear" w:color="auto" w:fill="FFFFFF"/>
                <w:lang w:eastAsia="zh-CN"/>
              </w:rPr>
            </w:pPr>
            <w:r>
              <w:rPr>
                <w:rFonts w:hint="eastAsia" w:ascii="宋体" w:hAnsi="宋体" w:cs="宋体"/>
                <w:strike w:val="0"/>
                <w:dstrike w:val="0"/>
                <w:color w:val="auto"/>
                <w:kern w:val="0"/>
                <w:szCs w:val="21"/>
                <w:highlight w:val="none"/>
                <w:shd w:val="clear" w:color="auto" w:fill="FFFFFF"/>
                <w:lang w:val="en-US" w:eastAsia="zh-CN"/>
              </w:rPr>
              <w:t>3</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ascii="宋体" w:hAnsi="宋体" w:cs="宋体"/>
                <w:strike w:val="0"/>
                <w:dstrike w:val="0"/>
                <w:color w:val="auto"/>
                <w:kern w:val="0"/>
                <w:szCs w:val="21"/>
                <w:highlight w:val="none"/>
              </w:rPr>
            </w:pPr>
            <w:r>
              <w:rPr>
                <w:rFonts w:hint="eastAsia" w:ascii="宋体" w:hAnsi="宋体" w:cs="宋体"/>
                <w:strike w:val="0"/>
                <w:dstrike w:val="0"/>
                <w:color w:val="auto"/>
                <w:kern w:val="0"/>
                <w:szCs w:val="21"/>
                <w:highlight w:val="none"/>
              </w:rPr>
              <w:t>招标阶段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如需）</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numPr>
                <w:ilvl w:val="0"/>
                <w:numId w:val="4"/>
              </w:numPr>
              <w:spacing w:line="276" w:lineRule="auto"/>
              <w:ind w:left="425" w:leftChars="0" w:hanging="425" w:firstLineChars="0"/>
              <w:contextualSpacing/>
              <w:rPr>
                <w:rFonts w:ascii="宋体" w:hAnsi="宋体" w:cs="宋体"/>
                <w:strike w:val="0"/>
                <w:dstrike w:val="0"/>
                <w:color w:val="auto"/>
                <w:kern w:val="0"/>
                <w:szCs w:val="21"/>
                <w:highlight w:val="none"/>
              </w:rPr>
            </w:pPr>
            <w:r>
              <w:rPr>
                <w:rFonts w:hint="eastAsia" w:ascii="宋体" w:hAnsi="宋体" w:cs="宋体"/>
                <w:strike w:val="0"/>
                <w:dstrike w:val="0"/>
                <w:color w:val="auto"/>
                <w:kern w:val="0"/>
                <w:szCs w:val="21"/>
                <w:highlight w:val="none"/>
              </w:rPr>
              <w:t>负责按招标人要求编制招标工程量清单及招标控制价，负责进行市场调查、询价，在招标人指定地点进行对数、编制或调整等；</w:t>
            </w:r>
          </w:p>
          <w:p>
            <w:pPr>
              <w:widowControl/>
              <w:numPr>
                <w:ilvl w:val="0"/>
                <w:numId w:val="4"/>
              </w:numPr>
              <w:spacing w:line="276" w:lineRule="auto"/>
              <w:ind w:left="425" w:leftChars="0" w:hanging="425" w:firstLineChars="0"/>
              <w:contextualSpacing/>
              <w:rPr>
                <w:rFonts w:ascii="宋体" w:hAnsi="宋体" w:cs="宋体"/>
                <w:strike w:val="0"/>
                <w:dstrike w:val="0"/>
                <w:color w:val="auto"/>
                <w:kern w:val="0"/>
                <w:szCs w:val="21"/>
                <w:highlight w:val="none"/>
              </w:rPr>
            </w:pPr>
            <w:r>
              <w:rPr>
                <w:rFonts w:hint="eastAsia" w:ascii="宋体" w:hAnsi="宋体" w:cs="宋体"/>
                <w:strike w:val="0"/>
                <w:dstrike w:val="0"/>
                <w:color w:val="auto"/>
                <w:kern w:val="0"/>
                <w:szCs w:val="21"/>
                <w:highlight w:val="none"/>
              </w:rPr>
              <w:t>负责根据设计单位的图纸及技术规范、用户需求书，编制设备、材料询价或采购清单；</w:t>
            </w:r>
          </w:p>
          <w:p>
            <w:pPr>
              <w:widowControl/>
              <w:numPr>
                <w:ilvl w:val="0"/>
                <w:numId w:val="4"/>
              </w:numPr>
              <w:spacing w:line="276" w:lineRule="auto"/>
              <w:ind w:left="425" w:leftChars="0" w:hanging="425" w:firstLineChars="0"/>
              <w:contextualSpacing/>
              <w:rPr>
                <w:rFonts w:ascii="宋体" w:hAnsi="宋体" w:cs="宋体"/>
                <w:strike w:val="0"/>
                <w:dstrike w:val="0"/>
                <w:color w:val="auto"/>
                <w:kern w:val="0"/>
                <w:szCs w:val="21"/>
                <w:highlight w:val="none"/>
              </w:rPr>
            </w:pPr>
            <w:r>
              <w:rPr>
                <w:rFonts w:hint="eastAsia" w:ascii="宋体" w:hAnsi="宋体" w:cs="宋体"/>
                <w:strike w:val="0"/>
                <w:dstrike w:val="0"/>
                <w:color w:val="auto"/>
                <w:kern w:val="0"/>
                <w:szCs w:val="21"/>
                <w:highlight w:val="none"/>
              </w:rPr>
              <w:t>负责</w:t>
            </w:r>
            <w:r>
              <w:rPr>
                <w:rFonts w:ascii="宋体" w:hAnsi="宋体" w:cs="宋体"/>
                <w:strike w:val="0"/>
                <w:dstrike w:val="0"/>
                <w:color w:val="auto"/>
                <w:kern w:val="0"/>
                <w:szCs w:val="21"/>
                <w:highlight w:val="none"/>
              </w:rPr>
              <w:t>对</w:t>
            </w:r>
            <w:r>
              <w:rPr>
                <w:rFonts w:hint="eastAsia" w:ascii="宋体" w:hAnsi="宋体" w:cs="宋体"/>
                <w:strike w:val="0"/>
                <w:dstrike w:val="0"/>
                <w:color w:val="auto"/>
                <w:kern w:val="0"/>
                <w:szCs w:val="21"/>
                <w:highlight w:val="none"/>
              </w:rPr>
              <w:t>中标人</w:t>
            </w:r>
            <w:r>
              <w:rPr>
                <w:rFonts w:ascii="宋体" w:hAnsi="宋体" w:cs="宋体"/>
                <w:strike w:val="0"/>
                <w:dstrike w:val="0"/>
                <w:color w:val="auto"/>
                <w:kern w:val="0"/>
                <w:szCs w:val="21"/>
                <w:highlight w:val="none"/>
              </w:rPr>
              <w:t>提出的</w:t>
            </w:r>
            <w:r>
              <w:rPr>
                <w:rFonts w:hint="eastAsia" w:ascii="宋体" w:hAnsi="宋体" w:cs="宋体"/>
                <w:strike w:val="0"/>
                <w:dstrike w:val="0"/>
                <w:color w:val="auto"/>
                <w:kern w:val="0"/>
                <w:szCs w:val="21"/>
                <w:highlight w:val="none"/>
              </w:rPr>
              <w:t>造价问题的解答。按广州市建设工程造价管理站招标控制价备案要求提供造价文件（含编制说明、最高投标限价公布函、招标控制价软件版、</w:t>
            </w:r>
            <w:r>
              <w:rPr>
                <w:rFonts w:ascii="宋体" w:hAnsi="宋体" w:cs="宋体"/>
                <w:strike w:val="0"/>
                <w:dstrike w:val="0"/>
                <w:color w:val="auto"/>
                <w:kern w:val="0"/>
                <w:szCs w:val="21"/>
                <w:highlight w:val="none"/>
              </w:rPr>
              <w:t>EXCEL版、XML</w:t>
            </w:r>
            <w:r>
              <w:rPr>
                <w:rFonts w:hint="eastAsia" w:ascii="宋体" w:hAnsi="宋体" w:cs="宋体"/>
                <w:strike w:val="0"/>
                <w:dstrike w:val="0"/>
                <w:color w:val="auto"/>
                <w:kern w:val="0"/>
                <w:szCs w:val="21"/>
                <w:highlight w:val="none"/>
              </w:rPr>
              <w:t>（cos）</w:t>
            </w:r>
            <w:r>
              <w:rPr>
                <w:rFonts w:ascii="宋体" w:hAnsi="宋体" w:cs="宋体"/>
                <w:strike w:val="0"/>
                <w:dstrike w:val="0"/>
                <w:color w:val="auto"/>
                <w:kern w:val="0"/>
                <w:szCs w:val="21"/>
                <w:highlight w:val="none"/>
              </w:rPr>
              <w:t>版、指标分析表等），并会同招标代理单位完成</w:t>
            </w:r>
            <w:r>
              <w:rPr>
                <w:rFonts w:hint="eastAsia" w:ascii="宋体" w:hAnsi="宋体" w:cs="宋体"/>
                <w:strike w:val="0"/>
                <w:dstrike w:val="0"/>
                <w:color w:val="auto"/>
                <w:kern w:val="0"/>
                <w:szCs w:val="21"/>
                <w:highlight w:val="none"/>
              </w:rPr>
              <w:t>招标控制价</w:t>
            </w:r>
            <w:r>
              <w:rPr>
                <w:rFonts w:ascii="宋体" w:hAnsi="宋体" w:cs="宋体"/>
                <w:strike w:val="0"/>
                <w:dstrike w:val="0"/>
                <w:color w:val="auto"/>
                <w:kern w:val="0"/>
                <w:szCs w:val="21"/>
                <w:highlight w:val="none"/>
              </w:rPr>
              <w:t>备案工作；</w:t>
            </w:r>
          </w:p>
          <w:p>
            <w:pPr>
              <w:widowControl/>
              <w:numPr>
                <w:ilvl w:val="0"/>
                <w:numId w:val="4"/>
              </w:numPr>
              <w:spacing w:line="276" w:lineRule="auto"/>
              <w:ind w:left="425" w:leftChars="0" w:hanging="425" w:firstLineChars="0"/>
              <w:contextualSpacing/>
              <w:rPr>
                <w:rFonts w:ascii="宋体" w:hAnsi="宋体" w:cs="宋体"/>
                <w:strike w:val="0"/>
                <w:dstrike w:val="0"/>
                <w:color w:val="auto"/>
                <w:kern w:val="0"/>
                <w:szCs w:val="21"/>
                <w:highlight w:val="none"/>
              </w:rPr>
            </w:pPr>
            <w:r>
              <w:rPr>
                <w:rFonts w:hint="eastAsia" w:ascii="宋体" w:hAnsi="宋体" w:cs="宋体"/>
                <w:strike w:val="0"/>
                <w:dstrike w:val="0"/>
                <w:color w:val="auto"/>
                <w:kern w:val="0"/>
                <w:szCs w:val="21"/>
                <w:highlight w:val="none"/>
              </w:rPr>
              <w:t>负责对中标人的经济标文件或报价书等进行分析和汇总，提出造价控制建议，并形成清标报告；</w:t>
            </w:r>
          </w:p>
          <w:p>
            <w:pPr>
              <w:widowControl/>
              <w:numPr>
                <w:ilvl w:val="0"/>
                <w:numId w:val="4"/>
              </w:numPr>
              <w:spacing w:line="276" w:lineRule="auto"/>
              <w:ind w:left="425" w:leftChars="0" w:hanging="425" w:firstLineChars="0"/>
              <w:contextualSpacing/>
              <w:rPr>
                <w:rFonts w:ascii="宋体" w:hAnsi="宋体" w:cs="宋体"/>
                <w:strike w:val="0"/>
                <w:dstrike w:val="0"/>
                <w:color w:val="auto"/>
                <w:kern w:val="0"/>
                <w:szCs w:val="21"/>
                <w:highlight w:val="none"/>
              </w:rPr>
            </w:pPr>
            <w:r>
              <w:rPr>
                <w:rFonts w:hint="eastAsia" w:ascii="宋体" w:hAnsi="宋体" w:cs="宋体"/>
                <w:strike w:val="0"/>
                <w:dstrike w:val="0"/>
                <w:color w:val="auto"/>
                <w:kern w:val="0"/>
                <w:szCs w:val="21"/>
                <w:highlight w:val="none"/>
              </w:rPr>
              <w:t>负责对合同方式和可能存在的风险因素及解决办法等提出合理化建议供招标人参考。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4</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施工阶段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numPr>
                <w:ilvl w:val="0"/>
                <w:numId w:val="5"/>
              </w:numPr>
              <w:spacing w:line="276" w:lineRule="auto"/>
              <w:ind w:left="425" w:leftChars="0" w:hanging="425" w:firstLineChars="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负责主材单价、综合单价、变更签证等合同变更费用审核；检测监测费用编制或审核；图纸设计变更会签、材料设备看样定板会签；必要时按招标人要求集中会审；</w:t>
            </w:r>
          </w:p>
          <w:p>
            <w:pPr>
              <w:widowControl/>
              <w:numPr>
                <w:ilvl w:val="0"/>
                <w:numId w:val="5"/>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负责施工过程造价控制，定期召开造价控制会议，每月底提交投资控制报告，含项目整体资金使用情况、结算价预估分析、动态成本（须与目标成本对比分析偏差原因及解决方案建议）等；</w:t>
            </w:r>
          </w:p>
          <w:p>
            <w:pPr>
              <w:widowControl/>
              <w:numPr>
                <w:ilvl w:val="0"/>
                <w:numId w:val="5"/>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制定项目总体投资进度计划，根据实际进度与每月实际投资和计划投资作分析比较，分析成本超支的原因和修正项目投资进度计划；</w:t>
            </w:r>
            <w:r>
              <w:rPr>
                <w:rFonts w:ascii="宋体" w:hAnsi="宋体" w:cs="宋体"/>
                <w:color w:val="auto"/>
                <w:kern w:val="0"/>
                <w:szCs w:val="21"/>
                <w:highlight w:val="none"/>
              </w:rPr>
              <w:t xml:space="preserve"> </w:t>
            </w:r>
          </w:p>
          <w:p>
            <w:pPr>
              <w:widowControl/>
              <w:numPr>
                <w:ilvl w:val="0"/>
                <w:numId w:val="5"/>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审核工程量与进度款（即计量支付，下同）；</w:t>
            </w:r>
          </w:p>
          <w:p>
            <w:pPr>
              <w:widowControl/>
              <w:numPr>
                <w:ilvl w:val="0"/>
                <w:numId w:val="5"/>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 xml:space="preserve">负责建立合同台账、支付台账、变更台账（按变更原因分类）、签证台账、动态投资台账等； </w:t>
            </w:r>
          </w:p>
          <w:p>
            <w:pPr>
              <w:widowControl/>
              <w:numPr>
                <w:ilvl w:val="0"/>
                <w:numId w:val="5"/>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负责定期收集和整理有关设备材料的市场价格动态信息，对施工方案、材料选用提供成本控制建议；</w:t>
            </w:r>
          </w:p>
          <w:p>
            <w:pPr>
              <w:widowControl/>
              <w:numPr>
                <w:ilvl w:val="0"/>
                <w:numId w:val="5"/>
              </w:numPr>
              <w:spacing w:line="276" w:lineRule="auto"/>
              <w:ind w:left="425" w:leftChars="0" w:hanging="425" w:firstLineChars="0"/>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负责协助第三方的合同索赔处理，参加合同变更谈判，负责处理合同变更，维护业主的合法权益。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结（决）算阶段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numPr>
                <w:ilvl w:val="0"/>
                <w:numId w:val="6"/>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负责编制结算计划，建立结算台账；</w:t>
            </w:r>
          </w:p>
          <w:p>
            <w:pPr>
              <w:widowControl/>
              <w:numPr>
                <w:ilvl w:val="0"/>
                <w:numId w:val="6"/>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负责收集和整理结算依据资料，负责组织过程结算；</w:t>
            </w:r>
          </w:p>
          <w:p>
            <w:pPr>
              <w:widowControl/>
              <w:numPr>
                <w:ilvl w:val="0"/>
                <w:numId w:val="6"/>
              </w:numPr>
              <w:spacing w:line="276" w:lineRule="auto"/>
              <w:ind w:left="425" w:leftChars="0" w:hanging="425" w:firstLineChars="0"/>
              <w:contextualSpacing/>
              <w:rPr>
                <w:rFonts w:ascii="宋体" w:hAnsi="宋体" w:cs="宋体"/>
                <w:color w:val="auto"/>
                <w:kern w:val="0"/>
                <w:szCs w:val="21"/>
                <w:highlight w:val="none"/>
              </w:rPr>
            </w:pPr>
            <w:r>
              <w:rPr>
                <w:rFonts w:hint="eastAsia" w:cs="Calibri"/>
                <w:color w:val="auto"/>
                <w:szCs w:val="21"/>
                <w:highlight w:val="none"/>
              </w:rPr>
              <w:t>负责</w:t>
            </w:r>
            <w:r>
              <w:rPr>
                <w:rFonts w:hint="eastAsia" w:cs="Calibri"/>
                <w:strike w:val="0"/>
                <w:dstrike w:val="0"/>
                <w:color w:val="auto"/>
                <w:szCs w:val="21"/>
                <w:highlight w:val="none"/>
                <w:lang w:val="en-US" w:eastAsia="zh-CN"/>
              </w:rPr>
              <w:t>竣工</w:t>
            </w:r>
            <w:r>
              <w:rPr>
                <w:rFonts w:hint="eastAsia" w:cs="Calibri"/>
                <w:color w:val="auto"/>
                <w:szCs w:val="21"/>
                <w:highlight w:val="none"/>
              </w:rPr>
              <w:t>结算审核、要求收到承建（服务）单位报送的结算文件后按甲方要求的时间</w:t>
            </w:r>
            <w:r>
              <w:rPr>
                <w:rFonts w:hint="eastAsia" w:cs="Calibri"/>
                <w:color w:val="auto"/>
                <w:szCs w:val="21"/>
                <w:highlight w:val="none"/>
                <w:lang w:val="en-US" w:eastAsia="zh-CN"/>
              </w:rPr>
              <w:t>内</w:t>
            </w:r>
            <w:r>
              <w:rPr>
                <w:rFonts w:hint="eastAsia" w:cs="Calibri"/>
                <w:color w:val="auto"/>
                <w:szCs w:val="21"/>
                <w:highlight w:val="none"/>
              </w:rPr>
              <w:t>出具结算审核报告</w:t>
            </w:r>
            <w:r>
              <w:rPr>
                <w:rFonts w:hint="eastAsia" w:ascii="宋体" w:hAnsi="宋体" w:cs="Calibri"/>
                <w:color w:val="auto"/>
                <w:szCs w:val="21"/>
                <w:highlight w:val="none"/>
                <w:shd w:val="clear" w:color="auto" w:fill="FFFFFF"/>
              </w:rPr>
              <w:t>；</w:t>
            </w:r>
          </w:p>
          <w:p>
            <w:pPr>
              <w:widowControl/>
              <w:numPr>
                <w:ilvl w:val="0"/>
                <w:numId w:val="6"/>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配合结算定审和决算工作。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6</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hd w:val="solid" w:color="FFFFFF" w:fill="auto"/>
              <w:autoSpaceDN w:val="0"/>
              <w:spacing w:line="276" w:lineRule="auto"/>
              <w:contextualSpacing/>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其他</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numPr>
                <w:ilvl w:val="0"/>
                <w:numId w:val="7"/>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负责按招标人要求编制各类造价管理文件；</w:t>
            </w:r>
          </w:p>
          <w:p>
            <w:pPr>
              <w:widowControl/>
              <w:numPr>
                <w:ilvl w:val="0"/>
                <w:numId w:val="7"/>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负责委托合同价格审核；</w:t>
            </w:r>
          </w:p>
          <w:p>
            <w:pPr>
              <w:widowControl/>
              <w:numPr>
                <w:ilvl w:val="0"/>
                <w:numId w:val="7"/>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参与设计方案论证会议、技术经济方案比选、变更论证等专题会，提出造价专业意见；督促落实各阶段、各专业工程造价限额设计量化指标；</w:t>
            </w:r>
          </w:p>
          <w:p>
            <w:pPr>
              <w:widowControl/>
              <w:numPr>
                <w:ilvl w:val="0"/>
                <w:numId w:val="7"/>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负责组织相关造价控制评审会议，包括邀请相应的经济专家。视情况邀请高级经济顾问对造价问题进行咨询把关；</w:t>
            </w:r>
          </w:p>
          <w:p>
            <w:pPr>
              <w:widowControl/>
              <w:numPr>
                <w:ilvl w:val="0"/>
                <w:numId w:val="7"/>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配合招标人编制详细的工程成本预测和资金流量预测分析，以作为进度和成本控制的目标；随设计的深入定期分析工程成本、定期修正资金流量预测；</w:t>
            </w:r>
          </w:p>
          <w:p>
            <w:pPr>
              <w:widowControl/>
              <w:numPr>
                <w:ilvl w:val="0"/>
                <w:numId w:val="7"/>
              </w:numPr>
              <w:spacing w:line="276" w:lineRule="auto"/>
              <w:ind w:left="425" w:leftChars="0" w:hanging="425" w:firstLineChars="0"/>
              <w:contextualSpacing/>
              <w:rPr>
                <w:rFonts w:ascii="宋体" w:hAnsi="宋体" w:cs="宋体"/>
                <w:color w:val="auto"/>
                <w:kern w:val="0"/>
                <w:szCs w:val="21"/>
                <w:highlight w:val="none"/>
              </w:rPr>
            </w:pPr>
            <w:r>
              <w:rPr>
                <w:rFonts w:hint="eastAsia" w:ascii="宋体" w:hAnsi="宋体" w:cs="宋体"/>
                <w:color w:val="auto"/>
                <w:kern w:val="0"/>
                <w:szCs w:val="21"/>
                <w:highlight w:val="none"/>
              </w:rPr>
              <w:t>招标人安排的其他造价管理工作，如投资匡算、培训等；</w:t>
            </w:r>
          </w:p>
          <w:p>
            <w:pPr>
              <w:widowControl/>
              <w:numPr>
                <w:ilvl w:val="0"/>
                <w:numId w:val="7"/>
              </w:numPr>
              <w:spacing w:line="276" w:lineRule="auto"/>
              <w:ind w:left="425" w:leftChars="0" w:hanging="425" w:firstLineChars="0"/>
              <w:contextualSpacing/>
              <w:rPr>
                <w:rFonts w:ascii="宋体" w:hAnsi="宋体" w:cs="宋体"/>
                <w:strike w:val="0"/>
                <w:dstrike w:val="0"/>
                <w:color w:val="auto"/>
                <w:kern w:val="0"/>
                <w:szCs w:val="21"/>
                <w:highlight w:val="none"/>
              </w:rPr>
            </w:pPr>
            <w:r>
              <w:rPr>
                <w:rFonts w:hint="eastAsia" w:ascii="宋体" w:hAnsi="宋体" w:cs="宋体"/>
                <w:strike w:val="0"/>
                <w:dstrike w:val="0"/>
                <w:color w:val="auto"/>
                <w:kern w:val="0"/>
                <w:szCs w:val="21"/>
                <w:highlight w:val="none"/>
              </w:rPr>
              <w:t>设计费、监理费和检测监测费等费用审核；</w:t>
            </w:r>
          </w:p>
          <w:p>
            <w:pPr>
              <w:widowControl/>
              <w:numPr>
                <w:ilvl w:val="0"/>
                <w:numId w:val="7"/>
              </w:numPr>
              <w:spacing w:line="276" w:lineRule="auto"/>
              <w:ind w:left="425" w:leftChars="0" w:hanging="425"/>
              <w:contextualSpacing/>
              <w:rPr>
                <w:color w:val="auto"/>
                <w:highlight w:val="none"/>
              </w:rPr>
            </w:pPr>
            <w:r>
              <w:rPr>
                <w:rFonts w:hint="eastAsia" w:ascii="宋体" w:hAnsi="宋体" w:cs="宋体"/>
                <w:color w:val="auto"/>
                <w:kern w:val="0"/>
                <w:szCs w:val="21"/>
                <w:highlight w:val="none"/>
              </w:rPr>
              <w:t>按要求配合项目审计工作。</w:t>
            </w:r>
          </w:p>
          <w:p>
            <w:pPr>
              <w:widowControl/>
              <w:numPr>
                <w:ilvl w:val="0"/>
                <w:numId w:val="7"/>
              </w:numPr>
              <w:spacing w:line="276" w:lineRule="auto"/>
              <w:ind w:left="425" w:leftChars="0" w:hanging="425"/>
              <w:contextualSpacing/>
              <w:rPr>
                <w:color w:val="auto"/>
                <w:highlight w:val="none"/>
              </w:rPr>
            </w:pPr>
            <w:r>
              <w:rPr>
                <w:rFonts w:hint="eastAsia" w:ascii="宋体" w:hAnsi="宋体" w:cs="宋体"/>
                <w:color w:val="auto"/>
                <w:kern w:val="0"/>
                <w:szCs w:val="21"/>
                <w:highlight w:val="none"/>
              </w:rPr>
              <w:t>负责预算、结算与施工单位对数工作</w:t>
            </w:r>
          </w:p>
        </w:tc>
      </w:tr>
    </w:tbl>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4.2服务质量要求</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乙方应熟悉并严格按照国家、省、市有关财政、基建、工程造价方面的法律、法规，以及甲方工程造价管理业务制度要求，依据合同相关约定，本着有依有据、合法合规的原则，科学、客观、公正地开展造价咨询工作，乙方提供的</w:t>
      </w:r>
      <w:r>
        <w:rPr>
          <w:rFonts w:hint="eastAsia" w:ascii="宋体" w:hAnsi="宋体" w:cs="宋体"/>
          <w:color w:val="auto"/>
          <w:sz w:val="24"/>
          <w:szCs w:val="24"/>
          <w:highlight w:val="none"/>
        </w:rPr>
        <w:t>工程造价咨询成果文件</w:t>
      </w:r>
      <w:r>
        <w:rPr>
          <w:rFonts w:hint="eastAsia" w:ascii="宋体" w:hAnsi="宋体" w:cs="宋体"/>
          <w:color w:val="auto"/>
          <w:kern w:val="0"/>
          <w:sz w:val="24"/>
          <w:szCs w:val="24"/>
          <w:highlight w:val="none"/>
        </w:rPr>
        <w:t>应合理体现甲方控制项目投资的要求。</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w:t>
      </w:r>
      <w:r>
        <w:rPr>
          <w:rFonts w:ascii="宋体" w:hAnsi="宋体" w:cs="宋体"/>
          <w:color w:val="auto"/>
          <w:kern w:val="0"/>
          <w:sz w:val="24"/>
          <w:szCs w:val="24"/>
          <w:highlight w:val="none"/>
        </w:rPr>
        <w:t>项目建设实行全过程限额设计和施工。概算金额应低于项目立项批复的估算金额。在不降低勘察设计任务书、初步设计文件、材料设备技术需求书中的主要设计指标（建筑高度、建筑面积等）的前提下，确保施工图预算不超过有权审核部门审定工程设计概算中的建安工程费总额。</w:t>
      </w:r>
      <w:r>
        <w:rPr>
          <w:rFonts w:hint="eastAsia" w:ascii="宋体" w:hAnsi="宋体" w:cs="宋体"/>
          <w:color w:val="auto"/>
          <w:kern w:val="0"/>
          <w:sz w:val="24"/>
          <w:szCs w:val="24"/>
          <w:highlight w:val="none"/>
        </w:rPr>
        <w:t>竣工结算总金额不得超出实际实施范围所对应的批复概算金额。</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w:t>
      </w:r>
      <w:r>
        <w:rPr>
          <w:rFonts w:hint="eastAsia" w:ascii="宋体" w:hAnsi="宋体"/>
          <w:color w:val="auto"/>
          <w:sz w:val="24"/>
          <w:szCs w:val="24"/>
          <w:highlight w:val="none"/>
        </w:rPr>
        <w:t>乙方</w:t>
      </w:r>
      <w:r>
        <w:rPr>
          <w:rFonts w:hint="eastAsia" w:ascii="宋体" w:hAnsi="宋体" w:cs="宋体"/>
          <w:color w:val="auto"/>
          <w:kern w:val="0"/>
          <w:sz w:val="24"/>
          <w:szCs w:val="24"/>
          <w:highlight w:val="none"/>
        </w:rPr>
        <w:t>应确保本工程概算文件、施工图预算文件、招标工程量清单、招标控制价等的编制（审核）工作质量，开项必须齐全、工程量必须准确、造价必须合理，并满足工程投资控制和合同的约定。</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4.2.4.乙方</w:t>
      </w:r>
      <w:r>
        <w:rPr>
          <w:rFonts w:ascii="宋体" w:hAnsi="宋体" w:cs="宋体"/>
          <w:color w:val="auto"/>
          <w:kern w:val="0"/>
          <w:sz w:val="24"/>
          <w:szCs w:val="24"/>
          <w:highlight w:val="none"/>
        </w:rPr>
        <w:t>提供的</w:t>
      </w:r>
      <w:r>
        <w:rPr>
          <w:rFonts w:hint="eastAsia" w:ascii="宋体" w:hAnsi="宋体" w:cs="宋体"/>
          <w:color w:val="auto"/>
          <w:kern w:val="0"/>
          <w:sz w:val="24"/>
          <w:szCs w:val="24"/>
          <w:highlight w:val="none"/>
        </w:rPr>
        <w:t>造价成果</w:t>
      </w:r>
      <w:r>
        <w:rPr>
          <w:rFonts w:ascii="宋体" w:hAnsi="宋体" w:cs="宋体"/>
          <w:color w:val="auto"/>
          <w:kern w:val="0"/>
          <w:sz w:val="24"/>
          <w:szCs w:val="24"/>
          <w:highlight w:val="none"/>
        </w:rPr>
        <w:t>文件应包括并不限于：编制说明、造</w:t>
      </w:r>
      <w:r>
        <w:rPr>
          <w:rFonts w:hint="eastAsia" w:ascii="宋体" w:hAnsi="宋体" w:cs="宋体"/>
          <w:color w:val="auto"/>
          <w:kern w:val="0"/>
          <w:sz w:val="24"/>
          <w:szCs w:val="24"/>
          <w:highlight w:val="none"/>
        </w:rPr>
        <w:t>价</w:t>
      </w:r>
      <w:r>
        <w:rPr>
          <w:rFonts w:ascii="宋体" w:hAnsi="宋体" w:cs="宋体"/>
          <w:color w:val="auto"/>
          <w:kern w:val="0"/>
          <w:sz w:val="24"/>
          <w:szCs w:val="24"/>
          <w:highlight w:val="none"/>
        </w:rPr>
        <w:t>文件（含软件版）、工程量计算书、经济指标分析表、</w:t>
      </w:r>
      <w:r>
        <w:rPr>
          <w:rFonts w:hint="eastAsia" w:ascii="宋体" w:hAnsi="宋体" w:cs="宋体"/>
          <w:color w:val="auto"/>
          <w:kern w:val="0"/>
          <w:sz w:val="24"/>
          <w:szCs w:val="24"/>
          <w:highlight w:val="none"/>
        </w:rPr>
        <w:t>主要设备材料价格表、</w:t>
      </w:r>
      <w:r>
        <w:rPr>
          <w:rFonts w:ascii="宋体" w:hAnsi="宋体" w:cs="宋体"/>
          <w:color w:val="auto"/>
          <w:kern w:val="0"/>
          <w:sz w:val="24"/>
          <w:szCs w:val="24"/>
          <w:highlight w:val="none"/>
        </w:rPr>
        <w:t>主要材料设备定价依据文件（含询价文件等）、审核意见落实情况说明和修改对比表等。</w:t>
      </w:r>
    </w:p>
    <w:p>
      <w:pPr>
        <w:spacing w:line="360" w:lineRule="auto"/>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4.2.5乙方至少要提供3个同类项目的技术经济指标供甲方做决策参考。乙方负责对造价成果（含估算</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如有）</w:t>
      </w:r>
      <w:r>
        <w:rPr>
          <w:rFonts w:ascii="宋体" w:hAnsi="宋体" w:cs="宋体"/>
          <w:color w:val="auto"/>
          <w:kern w:val="0"/>
          <w:sz w:val="24"/>
          <w:szCs w:val="24"/>
          <w:highlight w:val="none"/>
        </w:rPr>
        <w:t>及概算</w:t>
      </w:r>
      <w:r>
        <w:rPr>
          <w:rFonts w:hint="eastAsia" w:ascii="宋体" w:hAnsi="宋体" w:cs="宋体"/>
          <w:color w:val="auto"/>
          <w:kern w:val="0"/>
          <w:sz w:val="24"/>
          <w:szCs w:val="24"/>
          <w:highlight w:val="none"/>
        </w:rPr>
        <w:t>、施工图预算</w:t>
      </w:r>
      <w:r>
        <w:rPr>
          <w:rFonts w:ascii="宋体" w:hAnsi="宋体" w:cs="宋体"/>
          <w:color w:val="auto"/>
          <w:kern w:val="0"/>
          <w:sz w:val="24"/>
          <w:szCs w:val="24"/>
          <w:highlight w:val="none"/>
        </w:rPr>
        <w:t>审核结果、招标工程量清单及控制价编制成果、设计变更及合同变更等）进行分析，对比同类项目，找出技术经济指标偏离内容及原因，及时修正，并提出合理化建议。</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4.2.6.</w:t>
      </w:r>
      <w:r>
        <w:rPr>
          <w:rFonts w:hint="eastAsia" w:ascii="宋体" w:hAnsi="宋体"/>
          <w:color w:val="auto"/>
          <w:sz w:val="24"/>
          <w:szCs w:val="24"/>
          <w:highlight w:val="none"/>
        </w:rPr>
        <w:t>乙方</w:t>
      </w:r>
      <w:r>
        <w:rPr>
          <w:rFonts w:hint="eastAsia" w:ascii="宋体" w:hAnsi="宋体" w:cs="宋体"/>
          <w:color w:val="auto"/>
          <w:kern w:val="0"/>
          <w:sz w:val="24"/>
          <w:szCs w:val="24"/>
          <w:highlight w:val="none"/>
        </w:rPr>
        <w:t>应建立健全内部控制制度、质量保证体系和档案管理制度，保证工程造价咨询成果文件的质量，对其完整性、真实性、准确性、有效性负责，并负有保密责任。</w:t>
      </w:r>
    </w:p>
    <w:p>
      <w:pPr>
        <w:widowControl/>
        <w:numPr>
          <w:ilvl w:val="3"/>
          <w:numId w:val="8"/>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确保工程造价咨询成果文件文字表达清晰、装订整齐。</w:t>
      </w:r>
    </w:p>
    <w:p>
      <w:pPr>
        <w:widowControl/>
        <w:numPr>
          <w:ilvl w:val="3"/>
          <w:numId w:val="8"/>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确保工程造价咨询成果文件均由专业造价师（造价员）编制，由技术负责人（包括项目</w:t>
      </w:r>
      <w:r>
        <w:rPr>
          <w:rFonts w:hint="eastAsia" w:ascii="宋体" w:hAnsi="宋体" w:cs="宋体"/>
          <w:color w:val="auto"/>
          <w:kern w:val="0"/>
          <w:sz w:val="24"/>
          <w:szCs w:val="24"/>
          <w:highlight w:val="none"/>
          <w:lang w:val="en-US" w:eastAsia="zh-CN"/>
        </w:rPr>
        <w:t>技术负责人</w:t>
      </w:r>
      <w:r>
        <w:rPr>
          <w:rFonts w:hint="eastAsia" w:ascii="宋体" w:hAnsi="宋体" w:cs="宋体"/>
          <w:color w:val="auto"/>
          <w:kern w:val="0"/>
          <w:sz w:val="24"/>
          <w:szCs w:val="24"/>
          <w:highlight w:val="none"/>
        </w:rPr>
        <w:t>、土建主管、机电主管）审核，由项目负责人或指挥长审定的三级审查制度。工程造价咨询成果文件的编制人应具有注册造价工程师执业资格或造价员从业资格，工程造价咨询成果文件的审核人、审定人应具有注册造价工程师执业资格。工程造价咨询成果文件的编制人、审核人、审定人应在工程造价咨询的成果文件上签署执业(或从业)资格专用印章，最终的成果文件需经项目指挥长或法定代表人签字并加盖公章。</w:t>
      </w:r>
    </w:p>
    <w:p>
      <w:pPr>
        <w:widowControl/>
        <w:numPr>
          <w:ilvl w:val="3"/>
          <w:numId w:val="8"/>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编制人</w:t>
      </w:r>
      <w:r>
        <w:rPr>
          <w:rFonts w:hint="eastAsia" w:ascii="宋体" w:hAnsi="宋体"/>
          <w:snapToGrid w:val="0"/>
          <w:color w:val="auto"/>
          <w:kern w:val="0"/>
          <w:sz w:val="24"/>
          <w:szCs w:val="24"/>
          <w:highlight w:val="none"/>
        </w:rPr>
        <w:t>应认真阅读、复核甲方提供书面资料的有效性、合规性，</w:t>
      </w:r>
      <w:r>
        <w:rPr>
          <w:rFonts w:hint="eastAsia" w:ascii="宋体" w:hAnsi="宋体" w:cs="宋体"/>
          <w:color w:val="auto"/>
          <w:kern w:val="0"/>
          <w:sz w:val="24"/>
          <w:szCs w:val="24"/>
          <w:highlight w:val="none"/>
        </w:rPr>
        <w:t>并应对自身所收集的工程计价基础资料和编制依据的全面性、真实性和适用性负责，全面进行工程的计量与计价，按工程造价咨询服务合同的要求编制工程造价咨询成果文件，并整理好工作过程文件。</w:t>
      </w:r>
    </w:p>
    <w:p>
      <w:pPr>
        <w:widowControl/>
        <w:numPr>
          <w:ilvl w:val="3"/>
          <w:numId w:val="8"/>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审核人应进一步审核甲方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pPr>
        <w:widowControl/>
        <w:numPr>
          <w:ilvl w:val="3"/>
          <w:numId w:val="8"/>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审定人应再次审核甲方提供的书面资料的有效性、合规性，编制人使用工程计价基础资料和编制依据的全面性、真实性和有效性，并应依据工程经济指标进行工程造价的合理性分析，对工程造价咨询质量进行整体控制。</w:t>
      </w:r>
    </w:p>
    <w:p>
      <w:pPr>
        <w:widowControl/>
        <w:numPr>
          <w:ilvl w:val="3"/>
          <w:numId w:val="8"/>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乙方应建立工程造价咨询项目档案，保证项目资料的完整，不得损坏、遗失项目资料。加强项目档案管理，及时做好已完成项目的资料移交和归档工作，妥善保管至报告出具之日起十年后。</w:t>
      </w:r>
    </w:p>
    <w:p>
      <w:pPr>
        <w:widowControl/>
        <w:numPr>
          <w:ilvl w:val="3"/>
          <w:numId w:val="8"/>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加强信息系统管理，及时建立电子信息台账；保证在甲方信息系统中录入或审核的工程造价相关信息及时、完整。</w:t>
      </w:r>
    </w:p>
    <w:p>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4.2.7审核工程量与进度款（即计量支付审核）；计量支付与进度相符，不得超付、借项支付等。</w:t>
      </w:r>
    </w:p>
    <w:p>
      <w:pPr>
        <w:widowControl/>
        <w:tabs>
          <w:tab w:val="left" w:pos="0"/>
          <w:tab w:val="left" w:pos="1146"/>
        </w:tabs>
        <w:spacing w:line="360" w:lineRule="auto"/>
        <w:ind w:left="315" w:leftChars="150" w:firstLine="120" w:firstLineChars="50"/>
        <w:contextualSpacing w:val="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4.2.8投资估算审核偏差在±16%以内；</w:t>
      </w:r>
      <w:r>
        <w:rPr>
          <w:rFonts w:hint="eastAsia" w:ascii="宋体" w:hAnsi="宋体" w:cs="宋体"/>
          <w:color w:val="auto"/>
          <w:kern w:val="0"/>
          <w:sz w:val="24"/>
          <w:szCs w:val="24"/>
        </w:rPr>
        <w:t>概算审核偏差应控制在±3%以内（概算审核偏差=（乙方审核金额-第三方或甲方复审金额）/乙方审核金额）；预算及招标控制价审核偏差应控制在±2%以内（预算/招标控制价审核偏差=（乙方审核金额-第三方或甲方复审金额）/乙方审核金额）；竣工结算审核偏差应控制在±1%以内（竣工结算审核偏差=（乙方审核金额-第三方或甲方复审金额）/乙方审核金额））；单项费用审核偏差应控制在±3%以内（单项费用审核偏差=（乙方审核金额-第三方或甲方复审金额）/乙方审核金额））；单项工程量审核偏差应控制在±3%以内（单项工程量审核偏差=（乙方审核工程量-第三方或甲方复审工程量）/乙方审核工程量）；新增主材价格审核偏差应控制在±5%以内（新增主材价格审核偏差=（乙方审核价格-第三方或甲方复审价格）/乙方审核价格）</w:t>
      </w:r>
      <w:r>
        <w:rPr>
          <w:rFonts w:hint="eastAsia" w:ascii="宋体" w:hAnsi="宋体" w:cs="宋体"/>
          <w:color w:val="auto"/>
          <w:kern w:val="0"/>
          <w:sz w:val="24"/>
          <w:szCs w:val="24"/>
          <w:highlight w:val="none"/>
        </w:rPr>
        <w:t>。</w:t>
      </w:r>
    </w:p>
    <w:p>
      <w:pPr>
        <w:spacing w:line="360" w:lineRule="auto"/>
        <w:ind w:firstLine="420"/>
        <w:rPr>
          <w:rFonts w:ascii="宋体" w:hAnsi="宋体"/>
          <w:color w:val="auto"/>
          <w:sz w:val="24"/>
          <w:szCs w:val="24"/>
          <w:highlight w:val="none"/>
        </w:rPr>
      </w:pPr>
      <w:r>
        <w:rPr>
          <w:rFonts w:hint="eastAsia" w:ascii="宋体" w:hAnsi="宋体"/>
          <w:color w:val="auto"/>
          <w:sz w:val="24"/>
          <w:szCs w:val="24"/>
          <w:highlight w:val="none"/>
        </w:rPr>
        <w:t>4.3服务进度要求</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4.3.1.</w:t>
      </w:r>
      <w:r>
        <w:rPr>
          <w:rFonts w:hint="eastAsia" w:ascii="宋体" w:hAnsi="宋体"/>
          <w:color w:val="auto"/>
          <w:sz w:val="24"/>
          <w:szCs w:val="24"/>
          <w:highlight w:val="none"/>
        </w:rPr>
        <w:t>乙方</w:t>
      </w:r>
      <w:r>
        <w:rPr>
          <w:rFonts w:hint="eastAsia" w:ascii="宋体" w:hAnsi="宋体" w:cs="宋体"/>
          <w:color w:val="auto"/>
          <w:kern w:val="0"/>
          <w:sz w:val="24"/>
          <w:szCs w:val="24"/>
          <w:highlight w:val="none"/>
        </w:rPr>
        <w:t>应对甲方提供资料的完整性、严谨性把关，对因范围不清晰、图纸不详导致基本工程量难以计算等情况，应在收到资料后2个工作日内向甲方提出资料补充要求。</w:t>
      </w:r>
      <w:r>
        <w:rPr>
          <w:rFonts w:hint="eastAsia" w:ascii="宋体" w:hAnsi="宋体"/>
          <w:snapToGrid w:val="0"/>
          <w:color w:val="auto"/>
          <w:kern w:val="0"/>
          <w:sz w:val="24"/>
          <w:szCs w:val="20"/>
          <w:highlight w:val="none"/>
        </w:rPr>
        <w:t>因乙方未能在上述时间内提出要求而</w:t>
      </w:r>
      <w:r>
        <w:rPr>
          <w:rFonts w:hint="eastAsia" w:ascii="宋体" w:hAnsi="宋体" w:cs="宋体"/>
          <w:color w:val="auto"/>
          <w:kern w:val="0"/>
          <w:sz w:val="24"/>
          <w:szCs w:val="24"/>
          <w:highlight w:val="none"/>
        </w:rPr>
        <w:t>造成编审进度延误或</w:t>
      </w:r>
      <w:r>
        <w:rPr>
          <w:rFonts w:hint="eastAsia" w:ascii="宋体" w:hAnsi="宋体"/>
          <w:snapToGrid w:val="0"/>
          <w:color w:val="auto"/>
          <w:kern w:val="0"/>
          <w:sz w:val="24"/>
          <w:szCs w:val="20"/>
          <w:highlight w:val="none"/>
        </w:rPr>
        <w:t>其他损失的均由乙方自行承担全部责任。</w:t>
      </w:r>
    </w:p>
    <w:p>
      <w:pPr>
        <w:spacing w:line="360" w:lineRule="auto"/>
        <w:ind w:firstLine="420"/>
        <w:rPr>
          <w:rFonts w:ascii="宋体" w:hAnsi="宋体" w:cs="宋体"/>
          <w:color w:val="auto"/>
          <w:sz w:val="24"/>
          <w:szCs w:val="24"/>
          <w:highlight w:val="none"/>
        </w:rPr>
      </w:pPr>
      <w:r>
        <w:rPr>
          <w:rFonts w:hint="eastAsia" w:ascii="宋体" w:hAnsi="宋体"/>
          <w:bCs/>
          <w:snapToGrid w:val="0"/>
          <w:color w:val="auto"/>
          <w:sz w:val="24"/>
          <w:szCs w:val="24"/>
          <w:highlight w:val="none"/>
        </w:rPr>
        <w:t>4.3.2.各项服务内容的</w:t>
      </w:r>
      <w:r>
        <w:rPr>
          <w:rFonts w:hint="eastAsia" w:ascii="宋体" w:hAnsi="宋体" w:cs="宋体"/>
          <w:color w:val="auto"/>
          <w:kern w:val="0"/>
          <w:sz w:val="24"/>
          <w:szCs w:val="24"/>
          <w:highlight w:val="none"/>
        </w:rPr>
        <w:t>工作时间</w:t>
      </w:r>
      <w:r>
        <w:rPr>
          <w:rFonts w:hint="eastAsia" w:ascii="宋体" w:hAnsi="宋体"/>
          <w:bCs/>
          <w:snapToGrid w:val="0"/>
          <w:color w:val="auto"/>
          <w:sz w:val="24"/>
          <w:szCs w:val="24"/>
          <w:highlight w:val="none"/>
        </w:rPr>
        <w:t>要求（如有）（以下天数指日历天数）</w:t>
      </w:r>
    </w:p>
    <w:p>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设计概算、施工图预算评审：自收到完整资料起，出具评审初步意见时间为：送审金额3000万元以内（含本数，下同）的内审15天，送审金额3000万元-2亿元（含本数，下同）的内审20天，送审金额2亿元以上的内审25天，特殊情况经批准后内审延长时间不超过10天；对数时间不超过内审时间，争议问题由</w:t>
      </w:r>
      <w:r>
        <w:rPr>
          <w:rFonts w:hint="eastAsia" w:ascii="宋体" w:hAnsi="宋体"/>
          <w:color w:val="auto"/>
          <w:kern w:val="0"/>
          <w:sz w:val="24"/>
          <w:szCs w:val="24"/>
          <w:highlight w:val="none"/>
        </w:rPr>
        <w:t>乙方</w:t>
      </w:r>
      <w:r>
        <w:rPr>
          <w:rFonts w:hint="eastAsia" w:ascii="宋体" w:hAnsi="宋体" w:cs="宋体"/>
          <w:color w:val="auto"/>
          <w:kern w:val="0"/>
          <w:sz w:val="24"/>
          <w:szCs w:val="24"/>
          <w:highlight w:val="none"/>
        </w:rPr>
        <w:t>项目指挥长或法定代表人主持专题会议解决；对数完成后5天内出具最终评审报告。</w:t>
      </w:r>
    </w:p>
    <w:p>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）审核合同价格清单：自收到完整资料起5天内出具电子版审核说明。</w:t>
      </w:r>
    </w:p>
    <w:p>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招标工程量清单、招标控制价编制：公告中招标工程量清单、招标控制价自收到甲方通知起10日内出具，终版招标工程量清单、招标控制价自收到完整资料起完成时间为：招标控制价在3000万元以内的20天，3000万元-2亿元的25天，2亿元以上的30天，特殊情况经批准后延长时间不超过10天。</w:t>
      </w:r>
    </w:p>
    <w:p>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）招标文件（含澄清答疑）审核：自收到资料起2天内出具电子版审核说明。</w:t>
      </w:r>
    </w:p>
    <w:p>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）清标报告：自收到中标人投标文件5天内出具电子版审核说明。开标后90天内完成与中标人的对数并出具清标报告。</w:t>
      </w:r>
    </w:p>
    <w:p>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主材单价、综合单价审核：自收到资料起完成时间为：主材3个以内5天，4-15个10天，16-30个15天，30个以上20天；综合单价3个以内3天，4-15个5天，16个以上10天；特殊情况经批准后延长时间不超过10天；争议问题由乙方项目指挥长或法定代表人主持专题会议解决。</w:t>
      </w:r>
    </w:p>
    <w:p>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）变更签证合同费用（含委托合同、检测费用）编制或审核：30万元以内的5天，30万元以上的10天，特殊情况经批准后延长时间不超过10天，电子版审核说明</w:t>
      </w:r>
      <w:r>
        <w:rPr>
          <w:rFonts w:hint="eastAsia" w:ascii="宋体" w:hAnsi="宋体" w:cs="宋体"/>
          <w:color w:val="auto"/>
          <w:kern w:val="0"/>
          <w:sz w:val="24"/>
          <w:szCs w:val="24"/>
          <w:highlight w:val="none"/>
          <w:lang w:val="en-US" w:eastAsia="zh-CN"/>
        </w:rPr>
        <w:t>应在审核期限届满或出具正式纸质版审核说明（以时间靠前的为准）</w:t>
      </w:r>
      <w:r>
        <w:rPr>
          <w:rFonts w:hint="eastAsia" w:ascii="宋体" w:hAnsi="宋体" w:cs="宋体"/>
          <w:color w:val="auto"/>
          <w:kern w:val="0"/>
          <w:sz w:val="24"/>
          <w:szCs w:val="24"/>
          <w:highlight w:val="none"/>
        </w:rPr>
        <w:t>前2天出具，争议问题由乙方项目指挥长或法定代表人主持专题会议解决。</w:t>
      </w:r>
    </w:p>
    <w:p>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）图纸设计变更会签、材料设备看样定板会签：自收到资料起5天内完成。</w:t>
      </w:r>
    </w:p>
    <w:p>
      <w:pPr>
        <w:widowControl/>
        <w:spacing w:line="360" w:lineRule="auto"/>
        <w:ind w:left="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）工程进度款审核：自接受完整资料起5日完成。</w:t>
      </w:r>
    </w:p>
    <w:p>
      <w:pPr>
        <w:widowControl/>
        <w:spacing w:line="360" w:lineRule="auto"/>
        <w:ind w:firstLine="480" w:firstLineChars="200"/>
        <w:contextualSpacing/>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）结算文件：</w:t>
      </w:r>
      <w:r>
        <w:rPr>
          <w:rFonts w:hint="eastAsia" w:cs="Calibri"/>
          <w:color w:val="auto"/>
          <w:sz w:val="24"/>
          <w:szCs w:val="24"/>
          <w:highlight w:val="none"/>
        </w:rPr>
        <w:t>自收到结算文件起出具结算审核报告时间为：施工类合同30日内，非施工类合同1</w:t>
      </w:r>
      <w:r>
        <w:rPr>
          <w:rFonts w:cs="Calibri"/>
          <w:color w:val="auto"/>
          <w:sz w:val="24"/>
          <w:szCs w:val="24"/>
          <w:highlight w:val="none"/>
        </w:rPr>
        <w:t>0</w:t>
      </w:r>
      <w:r>
        <w:rPr>
          <w:rFonts w:hint="eastAsia" w:cs="Calibri"/>
          <w:color w:val="auto"/>
          <w:sz w:val="24"/>
          <w:szCs w:val="24"/>
          <w:highlight w:val="none"/>
        </w:rPr>
        <w:t>日内。</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4.3.3.以上工作期限为正常的工作期限，特急项目的工作期限由甲方根据实际情况确定，但最短不少于1天；其他咨询服务工作由甲方视具体情况确定；对于甲方提出的疑问，乙方应在24小时内给予答复。</w:t>
      </w:r>
    </w:p>
    <w:p>
      <w:pPr>
        <w:spacing w:line="360" w:lineRule="auto"/>
        <w:ind w:firstLine="420"/>
        <w:rPr>
          <w:rFonts w:ascii="宋体" w:hAnsi="宋体"/>
          <w:color w:val="auto"/>
          <w:sz w:val="24"/>
          <w:szCs w:val="20"/>
          <w:highlight w:val="none"/>
        </w:rPr>
      </w:pPr>
      <w:r>
        <w:rPr>
          <w:rFonts w:hint="eastAsia" w:ascii="宋体" w:hAnsi="宋体"/>
          <w:color w:val="auto"/>
          <w:sz w:val="24"/>
          <w:szCs w:val="24"/>
          <w:highlight w:val="none"/>
        </w:rPr>
        <w:t>4.4服务人员要求</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4.4.1</w:t>
      </w:r>
      <w:r>
        <w:rPr>
          <w:rFonts w:hint="eastAsia" w:ascii="宋体" w:hAnsi="宋体"/>
          <w:color w:val="auto"/>
          <w:sz w:val="24"/>
          <w:szCs w:val="24"/>
          <w:highlight w:val="none"/>
          <w:lang w:val="zh-CN"/>
        </w:rPr>
        <w:t>为本项目提供工程</w:t>
      </w:r>
      <w:r>
        <w:rPr>
          <w:rFonts w:hint="eastAsia" w:ascii="宋体" w:hAnsi="宋体"/>
          <w:color w:val="auto"/>
          <w:sz w:val="24"/>
          <w:szCs w:val="24"/>
          <w:highlight w:val="none"/>
        </w:rPr>
        <w:t>造价咨询服务的具体人员详见</w:t>
      </w:r>
      <w:r>
        <w:rPr>
          <w:rFonts w:hint="eastAsia" w:ascii="宋体" w:hAnsi="宋体"/>
          <w:color w:val="auto"/>
          <w:sz w:val="24"/>
          <w:szCs w:val="24"/>
          <w:highlight w:val="none"/>
          <w:lang w:val="zh-CN"/>
        </w:rPr>
        <w:t>附件</w:t>
      </w:r>
      <w:r>
        <w:rPr>
          <w:rFonts w:hint="eastAsia" w:ascii="宋体" w:hAnsi="宋体"/>
          <w:color w:val="auto"/>
          <w:sz w:val="24"/>
          <w:szCs w:val="24"/>
          <w:highlight w:val="none"/>
          <w:lang w:val="en-US" w:eastAsia="zh-CN"/>
        </w:rPr>
        <w:t>3</w:t>
      </w:r>
      <w:r>
        <w:rPr>
          <w:rFonts w:hint="eastAsia" w:ascii="宋体" w:hAnsi="宋体"/>
          <w:color w:val="auto"/>
          <w:szCs w:val="20"/>
          <w:highlight w:val="none"/>
          <w:lang w:val="zh-CN"/>
        </w:rPr>
        <w:t>。</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4.4.2乙方在投标文件《拟投入本项目造价人员一览表》中配备的人员在通过甲方的面试考核后方可确定为本项目的工程造价咨询服务人员，乙方不得擅自更换已确定为本项目的造价咨询服务人员。确因特殊情况需要更换时，应提前书面提出更换人员的原因及更换人员的名单，更换人员的资质、资历、职称、实际工作能力等应不低于投标文件中所承诺人员的素质，同时乙方应按合同约定承担违约责任，但乙方有合法理由（如服务人员因死亡、重大疾病等原因导致不能履行职责）提出申请并经甲方批准更换相关人员的，乙方可不承担违约责任。 </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4.4.3本项目造价咨询工作必须由上述人员完成。当乙方工作进度不满足甲方要求时，甲方有权要求乙方上述人员驻场办公，必要时，乙方应按甲方要求增加或更换相关人员，直至整改完毕</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增加人员的驻场办公费用</w:t>
      </w:r>
      <w:r>
        <w:rPr>
          <w:rFonts w:hint="eastAsia" w:ascii="宋体" w:hAnsi="宋体" w:cs="宋体"/>
          <w:color w:val="auto"/>
          <w:kern w:val="0"/>
          <w:sz w:val="24"/>
          <w:szCs w:val="24"/>
          <w:highlight w:val="none"/>
        </w:rPr>
        <w:t>已包含在服务报酬中</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甲方不再另行支付。</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4.4.4项目负责人应全面熟悉项目情况，乙方应安排部门经理以上人员（项目指挥长、项目负责人、技术负责人）中的至少1位带队参加会议、完成对数工作。</w:t>
      </w:r>
    </w:p>
    <w:p>
      <w:pPr>
        <w:spacing w:line="360" w:lineRule="auto"/>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4.4.5乙方所派出的服务本项目的造价咨询专业人员必须勤勉尽责，恪守职业道德，本着热情服务、秉公办事、廉洁自律的原则开展工作。如出现服务人员未按照合同履行职责，或与第三方串通造成经济损失，或不服从工作安排，不满足工作要求，不遵守管理制度，服务态度恶劣，不胜任工作等情形的，乙方应在接到甲方通知后3天内予以撤换，所调换人员的资质、资历、职称、实际工作能力等应不低于投标文件中所承诺人员的素质且需按合同约定承担违约责任。</w:t>
      </w:r>
    </w:p>
    <w:p>
      <w:pPr>
        <w:pStyle w:val="2"/>
        <w:spacing w:line="360" w:lineRule="auto"/>
        <w:ind w:left="0" w:leftChars="0" w:firstLine="480" w:firstLineChars="200"/>
        <w:rPr>
          <w:rFonts w:hint="default" w:eastAsia="宋体"/>
          <w:color w:val="auto"/>
          <w:highlight w:val="none"/>
          <w:lang w:val="en-US" w:eastAsia="zh-CN"/>
        </w:rPr>
      </w:pPr>
      <w:r>
        <w:rPr>
          <w:rFonts w:hint="eastAsia" w:ascii="宋体" w:hAnsi="宋体" w:cs="宋体"/>
          <w:color w:val="auto"/>
          <w:kern w:val="0"/>
          <w:sz w:val="24"/>
          <w:szCs w:val="24"/>
          <w:highlight w:val="none"/>
        </w:rPr>
        <w:t>4.4.</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highlight w:val="none"/>
          <w:lang w:val="en-US" w:eastAsia="zh-CN"/>
        </w:rPr>
        <w:t>土建与安装专业需各专业至少安排2名造价人员，合计不少于4名造价人员，</w:t>
      </w:r>
      <w:r>
        <w:rPr>
          <w:rFonts w:hint="eastAsia" w:ascii="宋体" w:hAnsi="宋体" w:cs="宋体"/>
          <w:color w:val="auto"/>
          <w:kern w:val="0"/>
          <w:sz w:val="24"/>
          <w:highlight w:val="none"/>
        </w:rPr>
        <w:t>按</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要求驻场办公。驻场服务期限以甲方通知为准，不超过本项目所有合同结算定审之日。驻场人员应服从甲方的工作安排和管理，由甲方负责考勤，未经同意不得离开；驻场人员的相关费用已包含在服务报酬中，其薪资福利费用由乙方自行承担。乙方委派的所有驻场人员必须严格执行甲方考勤制度。</w:t>
      </w:r>
    </w:p>
    <w:p>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4.5其它服务要求</w:t>
      </w:r>
    </w:p>
    <w:p>
      <w:pPr>
        <w:spacing w:line="360" w:lineRule="auto"/>
        <w:ind w:firstLine="42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4.5.1乙方须遵守甲方各项规章制度和廉政纪律要求，无条件配合甲方的复核、复审和考核等工作。</w:t>
      </w:r>
    </w:p>
    <w:p>
      <w:pPr>
        <w:spacing w:line="360" w:lineRule="auto"/>
        <w:ind w:firstLine="42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4.5.2乙方须具备保障开展工作所需要的交通工具、办公设备和造价审核管理软件等。</w:t>
      </w:r>
    </w:p>
    <w:p>
      <w:pPr>
        <w:spacing w:line="360" w:lineRule="auto"/>
        <w:ind w:firstLine="42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4.5.3乙方应独立完成合同约定的造价咨询服务，未经甲方同意不得将工作内容另行委托第三方实施；对有特殊技术要求的咨询服务项目，需聘请相关专家共同完成咨询服务的，应事先征得甲方同意。未经甲方同意，乙方不得以任何形式向任何单位或个人披露审核项目的相关信息，不得对外提供、泄露相关审核情况。</w:t>
      </w:r>
    </w:p>
    <w:p>
      <w:pPr>
        <w:widowControl/>
        <w:spacing w:line="360" w:lineRule="auto"/>
        <w:ind w:firstLine="200"/>
        <w:jc w:val="left"/>
        <w:outlineLvl w:val="1"/>
        <w:rPr>
          <w:rFonts w:ascii="宋体" w:hAnsi="宋体" w:cs="宋体"/>
          <w:b/>
          <w:snapToGrid w:val="0"/>
          <w:color w:val="auto"/>
          <w:sz w:val="24"/>
          <w:szCs w:val="24"/>
          <w:highlight w:val="none"/>
        </w:rPr>
      </w:pPr>
      <w:bookmarkStart w:id="15" w:name="_Toc4676"/>
      <w:r>
        <w:rPr>
          <w:rFonts w:hint="eastAsia" w:ascii="宋体" w:hAnsi="宋体" w:cs="宋体"/>
          <w:b/>
          <w:snapToGrid w:val="0"/>
          <w:color w:val="auto"/>
          <w:sz w:val="24"/>
          <w:szCs w:val="24"/>
          <w:highlight w:val="none"/>
        </w:rPr>
        <w:t>五、甲方的权利和义务</w:t>
      </w:r>
      <w:bookmarkEnd w:id="15"/>
    </w:p>
    <w:p>
      <w:pPr>
        <w:widowControl/>
        <w:spacing w:line="360" w:lineRule="auto"/>
        <w:contextualSpacing/>
        <w:jc w:val="left"/>
        <w:rPr>
          <w:rFonts w:ascii="宋体" w:hAnsi="宋体" w:cs="宋体"/>
          <w:b/>
          <w:color w:val="auto"/>
          <w:sz w:val="24"/>
          <w:szCs w:val="24"/>
          <w:highlight w:val="none"/>
        </w:rPr>
      </w:pPr>
      <w:r>
        <w:rPr>
          <w:rFonts w:hint="eastAsia" w:ascii="宋体" w:hAnsi="宋体" w:cs="宋体"/>
          <w:b/>
          <w:color w:val="auto"/>
          <w:sz w:val="24"/>
          <w:szCs w:val="24"/>
          <w:highlight w:val="none"/>
        </w:rPr>
        <w:t>5.1甲方的权利</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5.1.1甲方有权向乙方询问工作进展情况及相关的内容，并要求乙方提交造价咨询服务业务范围内的专项报告。</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5.1.2甲方有权阐述对具体问题的意见和建议。</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5.1.3乙方派出的项目技术负责人、专业造价工作人员或驻场服务人员未能满足甲方要求时，甲方有权要求乙方更换相关人员，乙方应在收到甲方通知之日起3个日历天内按甲方要求完成更换。</w:t>
      </w:r>
    </w:p>
    <w:p>
      <w:pPr>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5.1.4当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情况严重的，甲方可以单方面解除合同并要求乙方承担相应的赔偿责任。</w:t>
      </w:r>
    </w:p>
    <w:p>
      <w:pPr>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5.1.5如因甲方内部管理架构等发生重大变化(包括但</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rPr>
        <w:t>限于股权结构、操盘主体发生变化)的，则甲方有权提前解除本合同且无需承担任何违约责任，乙方不得因此提出任何相关的索赔。但甲方应当根据乙方实际提供服务，据实向乙方支付服务费。在此情况下合同提前解除的，双方同意服务费按以下方式计算:根据乙方提交给甲方且经甲方认可的成果文件，按照《广东省建设工程造价咨询服务收费项目和收费标准表》 (价函[2011]742号)对应的计费标准下浮20%后结合中标下浮率，据实计算乙方的服务费。</w:t>
      </w:r>
    </w:p>
    <w:p>
      <w:pPr>
        <w:widowControl/>
        <w:spacing w:line="360" w:lineRule="auto"/>
        <w:contextualSpacing/>
        <w:jc w:val="left"/>
        <w:rPr>
          <w:rFonts w:ascii="宋体" w:hAnsi="宋体" w:cs="宋体"/>
          <w:b/>
          <w:color w:val="auto"/>
          <w:sz w:val="24"/>
          <w:szCs w:val="24"/>
          <w:highlight w:val="none"/>
        </w:rPr>
      </w:pPr>
      <w:r>
        <w:rPr>
          <w:rFonts w:hint="eastAsia" w:ascii="宋体" w:hAnsi="宋体" w:cs="宋体"/>
          <w:b/>
          <w:color w:val="auto"/>
          <w:sz w:val="24"/>
          <w:szCs w:val="24"/>
          <w:highlight w:val="none"/>
        </w:rPr>
        <w:t>5.2甲方的义务</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5.2.1甲方应负责与本合同约定项目造价咨询服务有关的第三人的协调。</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5.2.2</w:t>
      </w:r>
      <w:r>
        <w:rPr>
          <w:rFonts w:hint="eastAsia" w:ascii="宋体" w:hAnsi="宋体" w:cs="宋体"/>
          <w:snapToGrid w:val="0"/>
          <w:color w:val="auto"/>
          <w:sz w:val="24"/>
          <w:szCs w:val="24"/>
          <w:highlight w:val="none"/>
        </w:rPr>
        <w:t>甲方</w:t>
      </w:r>
      <w:r>
        <w:rPr>
          <w:rFonts w:hint="eastAsia" w:ascii="宋体" w:hAnsi="宋体" w:cs="宋体"/>
          <w:color w:val="auto"/>
          <w:sz w:val="24"/>
          <w:szCs w:val="24"/>
          <w:highlight w:val="none"/>
        </w:rPr>
        <w:t>应及时将所拥有的且是乙方</w:t>
      </w:r>
      <w:r>
        <w:rPr>
          <w:rFonts w:hint="eastAsia" w:ascii="宋体" w:hAnsi="宋体" w:cs="宋体"/>
          <w:snapToGrid w:val="0"/>
          <w:color w:val="auto"/>
          <w:sz w:val="24"/>
          <w:szCs w:val="24"/>
          <w:highlight w:val="none"/>
        </w:rPr>
        <w:t>实施本合同约定项目造价咨询服务所必需的有关资料提供给乙方。</w:t>
      </w:r>
      <w:bookmarkStart w:id="27" w:name="_GoBack"/>
      <w:bookmarkEnd w:id="27"/>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5.2.3甲方应在3个工作日内对乙方书面提交并要求做出答复的事宜做出书面答复。乙方要求第三人提供有关资料时，甲方应负责转达及资料转送。</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5.2.4甲方指定</w:t>
      </w:r>
      <w:r>
        <w:rPr>
          <w:rFonts w:hint="eastAsia" w:ascii="宋体" w:hAnsi="宋体" w:cs="宋体"/>
          <w:color w:val="auto"/>
          <w:sz w:val="24"/>
          <w:szCs w:val="24"/>
          <w:highlight w:val="none"/>
          <w:u w:val="single"/>
        </w:rPr>
        <w:t xml:space="preserve">        </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u w:val="single"/>
        </w:rPr>
        <w:t>（联系电话：         ）</w:t>
      </w:r>
      <w:r>
        <w:rPr>
          <w:rFonts w:hint="eastAsia" w:ascii="宋体" w:hAnsi="宋体" w:cs="宋体"/>
          <w:color w:val="auto"/>
          <w:sz w:val="24"/>
          <w:szCs w:val="24"/>
          <w:highlight w:val="none"/>
        </w:rPr>
        <w:t>为联系人，负责与乙方联系。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5.3甲</w:t>
      </w:r>
      <w:r>
        <w:rPr>
          <w:rFonts w:hint="eastAsia" w:ascii="宋体" w:hAnsi="宋体" w:cs="宋体"/>
          <w:snapToGrid w:val="0"/>
          <w:color w:val="auto"/>
          <w:sz w:val="24"/>
          <w:szCs w:val="24"/>
          <w:highlight w:val="none"/>
        </w:rPr>
        <w:t>方其它权利和义务详见甲方造价管理制度及项目管理要求。</w:t>
      </w:r>
    </w:p>
    <w:p>
      <w:pPr>
        <w:widowControl/>
        <w:spacing w:line="360" w:lineRule="auto"/>
        <w:ind w:firstLine="200"/>
        <w:jc w:val="left"/>
        <w:outlineLvl w:val="1"/>
        <w:rPr>
          <w:rFonts w:ascii="宋体" w:hAnsi="宋体" w:cs="宋体"/>
          <w:b/>
          <w:snapToGrid w:val="0"/>
          <w:color w:val="auto"/>
          <w:sz w:val="24"/>
          <w:szCs w:val="24"/>
          <w:highlight w:val="none"/>
        </w:rPr>
      </w:pPr>
      <w:bookmarkStart w:id="16" w:name="_Toc13148"/>
      <w:r>
        <w:rPr>
          <w:rFonts w:hint="eastAsia" w:ascii="宋体" w:hAnsi="宋体" w:cs="宋体"/>
          <w:b/>
          <w:snapToGrid w:val="0"/>
          <w:color w:val="auto"/>
          <w:sz w:val="24"/>
          <w:szCs w:val="24"/>
          <w:highlight w:val="none"/>
        </w:rPr>
        <w:t>六、乙方的权利和义务</w:t>
      </w:r>
      <w:bookmarkEnd w:id="16"/>
    </w:p>
    <w:p>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6.1乙方的权利</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6.1.1服务期限内，乙方有到工程现场勘察的权利。</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6.1.2乙方有权按照本合同约定获得服务报酬。</w:t>
      </w:r>
    </w:p>
    <w:p>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6.2乙方的义务</w:t>
      </w:r>
    </w:p>
    <w:p>
      <w:pPr>
        <w:spacing w:line="360" w:lineRule="auto"/>
        <w:ind w:firstLine="420"/>
        <w:rPr>
          <w:rFonts w:ascii="宋体" w:hAnsi="宋体"/>
          <w:color w:val="auto"/>
          <w:kern w:val="0"/>
          <w:sz w:val="24"/>
          <w:szCs w:val="20"/>
          <w:highlight w:val="none"/>
        </w:rPr>
      </w:pPr>
      <w:r>
        <w:rPr>
          <w:rFonts w:hint="eastAsia" w:ascii="宋体" w:hAnsi="宋体"/>
          <w:color w:val="auto"/>
          <w:kern w:val="0"/>
          <w:sz w:val="24"/>
          <w:szCs w:val="20"/>
          <w:highlight w:val="none"/>
        </w:rPr>
        <w:t>6.2.1乙方应依据《工程造价咨询单位管理办法》</w:t>
      </w:r>
      <w:r>
        <w:rPr>
          <w:rFonts w:hint="eastAsia" w:ascii="宋体" w:hAnsi="宋体"/>
          <w:color w:val="auto"/>
          <w:kern w:val="0"/>
          <w:sz w:val="24"/>
          <w:highlight w:val="none"/>
        </w:rPr>
        <w:t>（中华人民共和国建设部令第149号、中华人民共和国住房和城乡建设部令第50号）、《注册造价工程师管理办法》（中华人民共和国建设部令第150号、中华人民共和国住房和城乡建设部令第50号）等国家、广东省、广州市相关规定与本合同约定以及</w:t>
      </w:r>
      <w:r>
        <w:rPr>
          <w:rFonts w:hint="eastAsia" w:ascii="宋体" w:hAnsi="宋体"/>
          <w:color w:val="auto"/>
          <w:kern w:val="0"/>
          <w:sz w:val="24"/>
          <w:szCs w:val="20"/>
          <w:highlight w:val="none"/>
        </w:rPr>
        <w:t>甲方要求实施本合同项下的咨询服务工作、提交工作成果。</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6.2.2乙方应按本合同约定派出项目技术负责人和专业造价工作人员，并按照甲方要求在甲方指定地点办公，为甲方提供全方位服务，保证造价咨询工作顺利进行。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6.2.3服务期限内，乙方发现甲方提供的资料有缺陷、不明确或存在相互矛盾的，应及时书面通知甲方。</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6.2.4乙方在履行合同过程中接触到的甲方的文件、资料、信息，</w:t>
      </w:r>
      <w:r>
        <w:rPr>
          <w:rFonts w:hint="eastAsia" w:ascii="宋体" w:hAnsi="宋体" w:cs="宋体"/>
          <w:snapToGrid w:val="0"/>
          <w:color w:val="auto"/>
          <w:sz w:val="24"/>
          <w:szCs w:val="24"/>
          <w:highlight w:val="none"/>
        </w:rPr>
        <w:t>均应以绝密件对待；</w:t>
      </w:r>
      <w:r>
        <w:rPr>
          <w:rFonts w:hint="eastAsia" w:ascii="宋体" w:hAnsi="宋体" w:cs="宋体"/>
          <w:color w:val="auto"/>
          <w:sz w:val="24"/>
          <w:szCs w:val="24"/>
          <w:highlight w:val="none"/>
        </w:rPr>
        <w:t>未经甲方书面同意，不得提供给第三人，不得用于本合同以外的其他目的。</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6.2.5未经甲方的书面同意，乙方不得转让本合同约定的权利和义务。</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6.2.6乙方不得从事或参与可能损害甲方利益的任何活动。</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6.2.7未经甲方书面同意，乙方不得更换其派出技术负责人、专业造价工作人员及驻场服务人员。</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6.2.8乙方应当在3个工作日内对甲方或</w:t>
      </w:r>
      <w:r>
        <w:rPr>
          <w:rFonts w:hint="eastAsia" w:ascii="宋体" w:hAnsi="宋体" w:cs="宋体"/>
          <w:color w:val="auto"/>
          <w:sz w:val="24"/>
          <w:szCs w:val="24"/>
          <w:highlight w:val="none"/>
          <w:lang w:val="en-US" w:eastAsia="zh-CN"/>
        </w:rPr>
        <w:t>甲方指定的</w:t>
      </w:r>
      <w:r>
        <w:rPr>
          <w:rFonts w:hint="eastAsia" w:ascii="宋体" w:hAnsi="宋体" w:cs="宋体"/>
          <w:color w:val="auto"/>
          <w:sz w:val="24"/>
          <w:szCs w:val="24"/>
          <w:highlight w:val="none"/>
        </w:rPr>
        <w:t>第三人书面提出并要求做出答复的事宜做出书面答复。</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6.2.9乙方应严格按照合同约定及甲方相关管理办法的规定从事咨询服务工作。</w:t>
      </w:r>
    </w:p>
    <w:p>
      <w:pPr>
        <w:spacing w:line="360" w:lineRule="auto"/>
        <w:ind w:firstLine="420"/>
        <w:rPr>
          <w:rFonts w:ascii="宋体" w:hAnsi="宋体" w:cs="宋体"/>
          <w:snapToGrid w:val="0"/>
          <w:color w:val="auto"/>
          <w:sz w:val="24"/>
          <w:szCs w:val="24"/>
          <w:highlight w:val="none"/>
        </w:rPr>
      </w:pPr>
      <w:r>
        <w:rPr>
          <w:rFonts w:hint="eastAsia" w:ascii="宋体" w:hAnsi="宋体" w:cs="宋体"/>
          <w:color w:val="auto"/>
          <w:sz w:val="24"/>
          <w:szCs w:val="24"/>
          <w:highlight w:val="none"/>
        </w:rPr>
        <w:t>6.2.10</w:t>
      </w:r>
      <w:r>
        <w:rPr>
          <w:rFonts w:ascii="宋体" w:hAnsi="宋体" w:cs="宋体"/>
          <w:color w:val="auto"/>
          <w:sz w:val="24"/>
          <w:szCs w:val="24"/>
          <w:highlight w:val="none"/>
        </w:rPr>
        <w:t>乙方应确保造价咨询工作质量，工程量准确、造价合理，满足工程投资控制的要求</w:t>
      </w:r>
      <w:r>
        <w:rPr>
          <w:rFonts w:hint="eastAsia" w:ascii="宋体" w:hAnsi="宋体" w:cs="宋体"/>
          <w:color w:val="auto"/>
          <w:sz w:val="24"/>
          <w:szCs w:val="24"/>
          <w:highlight w:val="none"/>
        </w:rPr>
        <w:t>。</w:t>
      </w:r>
      <w:r>
        <w:rPr>
          <w:rFonts w:hint="eastAsia" w:ascii="宋体" w:hAnsi="宋体" w:cs="宋体"/>
          <w:bCs/>
          <w:snapToGrid w:val="0"/>
          <w:color w:val="auto"/>
          <w:sz w:val="24"/>
          <w:szCs w:val="24"/>
          <w:highlight w:val="none"/>
        </w:rPr>
        <w:t>否则应按本合同条款第8.2款的约定承担</w:t>
      </w:r>
      <w:r>
        <w:rPr>
          <w:rFonts w:hint="eastAsia" w:ascii="宋体" w:hAnsi="宋体" w:cs="宋体"/>
          <w:snapToGrid w:val="0"/>
          <w:color w:val="auto"/>
          <w:sz w:val="24"/>
          <w:szCs w:val="24"/>
          <w:highlight w:val="none"/>
        </w:rPr>
        <w:t>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6.2.11乙方指定</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rPr>
        <w:t>（联系电话：      ）</w:t>
      </w:r>
      <w:r>
        <w:rPr>
          <w:rFonts w:hint="eastAsia" w:ascii="宋体" w:hAnsi="宋体" w:cs="宋体"/>
          <w:color w:val="auto"/>
          <w:sz w:val="24"/>
          <w:szCs w:val="24"/>
          <w:highlight w:val="none"/>
        </w:rPr>
        <w:t>为联系人，负责与甲方联系。</w:t>
      </w:r>
    </w:p>
    <w:p>
      <w:pPr>
        <w:rPr>
          <w:color w:val="auto"/>
          <w:highlight w:val="none"/>
        </w:rPr>
      </w:pPr>
    </w:p>
    <w:p>
      <w:pPr>
        <w:widowControl/>
        <w:spacing w:line="360" w:lineRule="auto"/>
        <w:ind w:firstLine="200"/>
        <w:jc w:val="left"/>
        <w:outlineLvl w:val="1"/>
        <w:rPr>
          <w:rFonts w:ascii="宋体" w:hAnsi="宋体" w:cs="宋体"/>
          <w:b/>
          <w:color w:val="auto"/>
          <w:sz w:val="24"/>
          <w:szCs w:val="24"/>
          <w:highlight w:val="none"/>
        </w:rPr>
      </w:pPr>
      <w:bookmarkStart w:id="17" w:name="_Toc22842"/>
      <w:r>
        <w:rPr>
          <w:rFonts w:hint="eastAsia" w:ascii="宋体" w:hAnsi="宋体" w:cs="宋体"/>
          <w:b/>
          <w:color w:val="auto"/>
          <w:sz w:val="24"/>
          <w:szCs w:val="24"/>
          <w:highlight w:val="none"/>
        </w:rPr>
        <w:t>七、服务报酬及其支付方式</w:t>
      </w:r>
      <w:bookmarkEnd w:id="17"/>
    </w:p>
    <w:p>
      <w:pPr>
        <w:pStyle w:val="24"/>
        <w:spacing w:line="360" w:lineRule="auto"/>
        <w:ind w:right="144" w:firstLine="602" w:firstLineChars="250"/>
        <w:contextualSpacing/>
        <w:jc w:val="left"/>
        <w:rPr>
          <w:b/>
          <w:color w:val="auto"/>
          <w:highlight w:val="none"/>
        </w:rPr>
      </w:pPr>
      <w:r>
        <w:rPr>
          <w:rFonts w:hint="eastAsia"/>
          <w:b/>
          <w:color w:val="auto"/>
          <w:highlight w:val="none"/>
        </w:rPr>
        <w:t>7.1服务报酬</w:t>
      </w:r>
    </w:p>
    <w:p>
      <w:pPr>
        <w:pStyle w:val="24"/>
        <w:spacing w:line="360" w:lineRule="auto"/>
        <w:ind w:left="57" w:leftChars="27" w:right="144" w:firstLine="480" w:firstLineChars="200"/>
        <w:contextualSpacing/>
        <w:jc w:val="left"/>
        <w:rPr>
          <w:color w:val="auto"/>
          <w:highlight w:val="none"/>
        </w:rPr>
      </w:pPr>
      <w:r>
        <w:rPr>
          <w:rFonts w:hint="eastAsia"/>
          <w:color w:val="auto"/>
          <w:highlight w:val="none"/>
        </w:rPr>
        <w:t>7.1.1甲乙双方约定：本合同造价咨询服务报酬暂定为人民币</w:t>
      </w:r>
      <w:r>
        <w:rPr>
          <w:rFonts w:hint="eastAsia"/>
          <w:color w:val="auto"/>
          <w:highlight w:val="none"/>
          <w:u w:val="single"/>
        </w:rPr>
        <w:t xml:space="preserve">     </w:t>
      </w:r>
      <w:r>
        <w:rPr>
          <w:rFonts w:hint="eastAsia"/>
          <w:color w:val="auto"/>
          <w:highlight w:val="none"/>
        </w:rPr>
        <w:t>元（￥</w:t>
      </w:r>
      <w:r>
        <w:rPr>
          <w:rFonts w:hint="eastAsia"/>
          <w:color w:val="auto"/>
          <w:highlight w:val="none"/>
          <w:u w:val="single"/>
        </w:rPr>
        <w:t xml:space="preserve">     </w:t>
      </w:r>
      <w:r>
        <w:rPr>
          <w:rFonts w:hint="eastAsia"/>
          <w:color w:val="auto"/>
          <w:highlight w:val="none"/>
        </w:rPr>
        <w:t>元），其中，不含税为￥</w:t>
      </w:r>
      <w:r>
        <w:rPr>
          <w:rFonts w:hint="eastAsia"/>
          <w:color w:val="auto"/>
          <w:highlight w:val="none"/>
          <w:u w:val="single"/>
        </w:rPr>
        <w:t xml:space="preserve">      </w:t>
      </w:r>
      <w:r>
        <w:rPr>
          <w:rFonts w:hint="eastAsia"/>
          <w:color w:val="auto"/>
          <w:highlight w:val="none"/>
        </w:rPr>
        <w:t>元，税金为￥</w:t>
      </w:r>
      <w:r>
        <w:rPr>
          <w:rFonts w:hint="eastAsia"/>
          <w:color w:val="auto"/>
          <w:highlight w:val="none"/>
          <w:u w:val="single"/>
        </w:rPr>
        <w:t xml:space="preserve">     </w:t>
      </w:r>
      <w:r>
        <w:rPr>
          <w:rFonts w:hint="eastAsia"/>
          <w:color w:val="auto"/>
          <w:highlight w:val="none"/>
        </w:rPr>
        <w:t>元，增值税率为</w:t>
      </w:r>
      <w:r>
        <w:rPr>
          <w:rFonts w:hint="eastAsia"/>
          <w:color w:val="auto"/>
          <w:highlight w:val="none"/>
          <w:u w:val="single"/>
        </w:rPr>
        <w:t xml:space="preserve">  </w:t>
      </w:r>
      <w:r>
        <w:rPr>
          <w:rFonts w:hint="eastAsia"/>
          <w:color w:val="auto"/>
          <w:highlight w:val="none"/>
        </w:rPr>
        <w:t>%。造价咨询费率为__%[造价咨询费率=合同价(即中标价___万元)/暂定建筑安装工程费(     万元)*100%],服务内容占比暂定为100%。</w:t>
      </w:r>
    </w:p>
    <w:p>
      <w:pPr>
        <w:pStyle w:val="24"/>
        <w:spacing w:line="360" w:lineRule="auto"/>
        <w:ind w:right="144" w:firstLine="480" w:firstLineChars="200"/>
        <w:contextualSpacing/>
        <w:jc w:val="left"/>
        <w:rPr>
          <w:color w:val="auto"/>
          <w:highlight w:val="none"/>
        </w:rPr>
      </w:pPr>
      <w:r>
        <w:rPr>
          <w:rFonts w:hint="eastAsia"/>
          <w:color w:val="auto"/>
          <w:highlight w:val="none"/>
        </w:rPr>
        <w:t>7.1.2甲乙双方一致同意按以下约定进行结算：</w:t>
      </w:r>
    </w:p>
    <w:p>
      <w:pPr>
        <w:pStyle w:val="14"/>
        <w:spacing w:line="360" w:lineRule="auto"/>
        <w:ind w:left="0" w:leftChars="0" w:firstLine="480" w:firstLineChars="200"/>
        <w:rPr>
          <w:color w:val="auto"/>
          <w:highlight w:val="none"/>
        </w:rPr>
      </w:pPr>
      <w:r>
        <w:rPr>
          <w:rFonts w:hint="eastAsia" w:ascii="宋体" w:hAnsi="宋体"/>
          <w:color w:val="auto"/>
          <w:sz w:val="24"/>
          <w:szCs w:val="24"/>
          <w:highlight w:val="none"/>
        </w:rPr>
        <w:t>本合同造价咨询服务酬金暂以本项目暂定建筑安装工程费(     万元)作为造价咨询服务收费的计费额，以中标价作为造价咨询服务酬金的暂定金额；本项目概算批复后，以概算批复的建筑安装工程费作为造价咨询服务收费的计费额，结合造价咨询费率计算调整后的合同价，作为结算前的计算支付服务报酬的合同价，即：调整合同价=（造价咨询服务费中标价÷暂定建筑安装工程费）×概算批复建筑安装工程费；结算时以本项目实际工程结算建筑安装工程费作为造价咨询服务收费的计费额，结合造价咨询费率计算结算合同价，即：结算合同价=（造价咨询服务费中标价÷暂定建筑安装工程费）×实际工程结算建筑安装工程费。结算合同价不得高于本合同暂定金额。</w:t>
      </w:r>
    </w:p>
    <w:p>
      <w:pPr>
        <w:pStyle w:val="18"/>
        <w:spacing w:before="0" w:beforeAutospacing="0" w:after="0" w:afterAutospacing="0" w:line="360" w:lineRule="auto"/>
        <w:ind w:firstLine="480" w:firstLineChars="200"/>
        <w:rPr>
          <w:rFonts w:hint="eastAsia"/>
          <w:color w:val="auto"/>
          <w:highlight w:val="none"/>
        </w:rPr>
      </w:pPr>
      <w:r>
        <w:rPr>
          <w:rFonts w:hint="eastAsia"/>
          <w:color w:val="auto"/>
          <w:highlight w:val="none"/>
        </w:rPr>
        <w:t>按上述约定计取的本合同服务报酬结算金额不得超过估算批复的全过程造价咨询服务费。</w:t>
      </w:r>
    </w:p>
    <w:p>
      <w:pPr>
        <w:pStyle w:val="18"/>
        <w:spacing w:before="0" w:beforeAutospacing="0" w:after="0" w:afterAutospacing="0" w:line="360" w:lineRule="auto"/>
        <w:ind w:firstLine="480" w:firstLineChars="200"/>
        <w:rPr>
          <w:rFonts w:hint="eastAsia"/>
          <w:color w:val="auto"/>
          <w:highlight w:val="none"/>
        </w:rPr>
      </w:pPr>
      <w:r>
        <w:rPr>
          <w:rFonts w:hint="eastAsia"/>
          <w:color w:val="auto"/>
          <w:highlight w:val="none"/>
        </w:rPr>
        <w:t>造价咨询服务报酬最终按照：（1）合同暂定金额、（2）调整合同价、（3）结算合同价、（4）估算批复的全过程造价咨询服务费，上述四者中的最低值进行结算。</w:t>
      </w:r>
    </w:p>
    <w:p>
      <w:pPr>
        <w:pStyle w:val="24"/>
        <w:spacing w:line="360" w:lineRule="auto"/>
        <w:ind w:right="144" w:firstLine="480" w:firstLineChars="200"/>
        <w:contextualSpacing/>
        <w:rPr>
          <w:color w:val="auto"/>
          <w:highlight w:val="none"/>
        </w:rPr>
      </w:pPr>
      <w:r>
        <w:rPr>
          <w:rFonts w:hint="eastAsia"/>
          <w:color w:val="auto"/>
          <w:highlight w:val="none"/>
        </w:rPr>
        <w:t>7.1.3服务报酬</w:t>
      </w:r>
      <w:r>
        <w:rPr>
          <w:rFonts w:hint="eastAsia"/>
          <w:color w:val="auto"/>
          <w:highlight w:val="none"/>
          <w:lang w:val="zh-CN"/>
        </w:rPr>
        <w:t>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招投标、协助评标、定标、合同签订、组卷、提供其他与造价控制有关的技术服务（如主要材料市场信息及经济指标的比较分析）等工作的相关费用已包括在上述费用中，不再另行计费。除本合同另有约定外，乙方不得再向甲方要求支付其它任何费用。</w:t>
      </w:r>
    </w:p>
    <w:p>
      <w:pPr>
        <w:pStyle w:val="14"/>
        <w:spacing w:line="360" w:lineRule="auto"/>
        <w:ind w:left="0" w:leftChars="0" w:firstLine="482" w:firstLineChars="200"/>
        <w:contextualSpacing/>
        <w:rPr>
          <w:rFonts w:ascii="宋体" w:hAnsi="宋体"/>
          <w:b/>
          <w:color w:val="auto"/>
          <w:sz w:val="24"/>
          <w:szCs w:val="24"/>
          <w:highlight w:val="none"/>
          <w:lang w:val="zh-CN"/>
        </w:rPr>
      </w:pPr>
      <w:r>
        <w:rPr>
          <w:rFonts w:ascii="宋体" w:hAnsi="宋体"/>
          <w:b/>
          <w:color w:val="auto"/>
          <w:sz w:val="24"/>
          <w:szCs w:val="24"/>
          <w:highlight w:val="none"/>
          <w:lang w:val="zh-CN"/>
        </w:rPr>
        <w:t>7.2服务报酬支付方式</w:t>
      </w:r>
    </w:p>
    <w:p>
      <w:pPr>
        <w:spacing w:line="360" w:lineRule="auto"/>
        <w:ind w:firstLine="480" w:firstLineChars="200"/>
        <w:rPr>
          <w:rFonts w:ascii="宋体" w:hAnsi="宋体"/>
          <w:b w:val="0"/>
          <w:bCs w:val="0"/>
          <w:color w:val="auto"/>
          <w:sz w:val="24"/>
          <w:szCs w:val="24"/>
          <w:highlight w:val="none"/>
          <w:lang w:val="zh-CN"/>
        </w:rPr>
      </w:pPr>
      <w:r>
        <w:rPr>
          <w:rFonts w:hint="eastAsia" w:ascii="宋体" w:hAnsi="宋体"/>
          <w:b w:val="0"/>
          <w:bCs w:val="0"/>
          <w:color w:val="auto"/>
          <w:sz w:val="24"/>
          <w:szCs w:val="24"/>
          <w:highlight w:val="none"/>
        </w:rPr>
        <w:t>预付款：合同签订生效且乙方已按要求向甲方提交履约担保，甲方收到乙方提出的支付申请后15个工作日内，预付款比例为</w:t>
      </w:r>
      <w:r>
        <w:rPr>
          <w:rFonts w:hint="eastAsia" w:ascii="宋体" w:hAnsi="宋体"/>
          <w:b w:val="0"/>
          <w:bCs w:val="0"/>
          <w:color w:val="auto"/>
          <w:sz w:val="24"/>
          <w:szCs w:val="24"/>
          <w:highlight w:val="none"/>
          <w:lang w:val="zh-CN"/>
        </w:rPr>
        <w:t>本合同</w:t>
      </w:r>
      <w:r>
        <w:rPr>
          <w:rFonts w:hint="eastAsia" w:ascii="宋体" w:hAnsi="宋体"/>
          <w:b w:val="0"/>
          <w:bCs w:val="0"/>
          <w:color w:val="auto"/>
          <w:sz w:val="24"/>
          <w:szCs w:val="24"/>
          <w:highlight w:val="none"/>
        </w:rPr>
        <w:t>价的10%；</w:t>
      </w:r>
    </w:p>
    <w:p>
      <w:pPr>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概算阶段：概算批复后，甲方收到乙方提出的支付申请后15个工作日内，支付调整合同金额的</w:t>
      </w:r>
      <w:r>
        <w:rPr>
          <w:rFonts w:hint="default" w:ascii="宋体" w:hAnsi="宋体"/>
          <w:b w:val="0"/>
          <w:bCs w:val="0"/>
          <w:color w:val="auto"/>
          <w:sz w:val="24"/>
          <w:szCs w:val="24"/>
          <w:highlight w:val="none"/>
          <w:lang w:val="en-US" w:eastAsia="zh-CN"/>
        </w:rPr>
        <w:t>1</w:t>
      </w:r>
      <w:r>
        <w:rPr>
          <w:rFonts w:hint="eastAsia" w:ascii="宋体" w:hAnsi="宋体"/>
          <w:b w:val="0"/>
          <w:bCs w:val="0"/>
          <w:color w:val="auto"/>
          <w:sz w:val="24"/>
          <w:szCs w:val="24"/>
          <w:highlight w:val="none"/>
        </w:rPr>
        <w:t>0%；</w:t>
      </w:r>
    </w:p>
    <w:p>
      <w:pPr>
        <w:spacing w:line="360" w:lineRule="auto"/>
        <w:ind w:firstLine="480" w:firstLineChars="200"/>
        <w:rPr>
          <w:rFonts w:ascii="宋体" w:hAnsi="宋体"/>
          <w:b w:val="0"/>
          <w:bCs w:val="0"/>
          <w:color w:val="auto"/>
          <w:sz w:val="24"/>
          <w:szCs w:val="24"/>
          <w:highlight w:val="none"/>
          <w:lang w:val="zh-CN"/>
        </w:rPr>
      </w:pPr>
      <w:r>
        <w:rPr>
          <w:rFonts w:hint="eastAsia" w:ascii="宋体" w:hAnsi="宋体"/>
          <w:b w:val="0"/>
          <w:bCs w:val="0"/>
          <w:color w:val="auto"/>
          <w:sz w:val="24"/>
          <w:szCs w:val="24"/>
          <w:highlight w:val="none"/>
        </w:rPr>
        <w:t>施工图预算阶段或招标阶段：确定施工合同价格清单后乙方提出支付申请，甲方收到乙方提交的支付申请后15个工作日内，支付调整合同金额的</w:t>
      </w:r>
      <w:r>
        <w:rPr>
          <w:rFonts w:hint="default" w:ascii="宋体" w:hAnsi="宋体"/>
          <w:b w:val="0"/>
          <w:bCs w:val="0"/>
          <w:color w:val="auto"/>
          <w:sz w:val="24"/>
          <w:szCs w:val="24"/>
          <w:highlight w:val="none"/>
          <w:lang w:val="en-US" w:eastAsia="zh-CN"/>
        </w:rPr>
        <w:t>1</w:t>
      </w:r>
      <w:r>
        <w:rPr>
          <w:rFonts w:hint="eastAsia" w:ascii="宋体" w:hAnsi="宋体"/>
          <w:b w:val="0"/>
          <w:bCs w:val="0"/>
          <w:color w:val="auto"/>
          <w:sz w:val="24"/>
          <w:szCs w:val="24"/>
          <w:highlight w:val="none"/>
        </w:rPr>
        <w:t>5%，（如出现多批次施工招标，则本阶段支付金额=调整合同金额的15%×（施工标段招标金额/总招标金额）按每批次招标控制价金额与批复概算中需招标建安工程费金额的比值分次支付）</w:t>
      </w:r>
    </w:p>
    <w:p>
      <w:pPr>
        <w:spacing w:line="360" w:lineRule="auto"/>
        <w:ind w:firstLine="480" w:firstLineChars="200"/>
        <w:rPr>
          <w:rFonts w:ascii="宋体" w:hAnsi="宋体"/>
          <w:b w:val="0"/>
          <w:bCs w:val="0"/>
          <w:color w:val="auto"/>
          <w:sz w:val="24"/>
          <w:szCs w:val="24"/>
          <w:highlight w:val="none"/>
          <w:lang w:val="zh-CN"/>
        </w:rPr>
      </w:pPr>
      <w:r>
        <w:rPr>
          <w:rFonts w:hint="eastAsia" w:ascii="宋体" w:hAnsi="宋体"/>
          <w:b w:val="0"/>
          <w:bCs w:val="0"/>
          <w:color w:val="auto"/>
          <w:sz w:val="24"/>
          <w:szCs w:val="24"/>
          <w:highlight w:val="none"/>
        </w:rPr>
        <w:t>施工阶段及其他工作：按工期分季度支付进度款，每季度结束后乙方提出支付申请，甲方收到乙方提交的支付申请并审核完成后的15个工作日内支付上季度进度款，支付的进度款以调整合同金额的45%为基数，乘以本季度已施工工期占项目暂定总工期的比值；本阶段累计支付至满调整合同金额的45%后停止支付。如本项目停工，则自甲方发出停工函之日起，停工期间不计入已施工工期；</w:t>
      </w:r>
    </w:p>
    <w:p>
      <w:pPr>
        <w:widowControl/>
        <w:spacing w:line="360" w:lineRule="auto"/>
        <w:ind w:firstLine="480"/>
        <w:jc w:val="left"/>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结（决）算阶段：工程项目竣工结算报送给有权限进行结算终审的部门终审至该项目的结算终审，并获得结算批复文件，且完成本合同约定的所有工作内容后，乙方提出支付申请，甲方收到乙方提出的支付申请并审核完成后15个工作日内，累计支付至结算（全过程造价咨询）费的95%。如项目需上级主管部门委托审核单位审定的，结算价与上级主管部门委托审核单位（如有）最终审定价相差幅度超过0.5%（含本数）的，扣除结算价的1%作为违约金；相差幅度超过1%（含本数）的，扣除结算价的3%作为违约金。</w:t>
      </w:r>
    </w:p>
    <w:p>
      <w:pPr>
        <w:widowControl/>
        <w:spacing w:line="360" w:lineRule="auto"/>
        <w:ind w:firstLine="480"/>
        <w:jc w:val="left"/>
        <w:rPr>
          <w:rFonts w:hint="eastAsia"/>
          <w:color w:val="auto"/>
          <w:highlight w:val="none"/>
        </w:rPr>
      </w:pPr>
      <w:r>
        <w:rPr>
          <w:rFonts w:ascii="宋体" w:hAnsi="宋体"/>
          <w:b w:val="0"/>
          <w:bCs w:val="0"/>
          <w:color w:val="auto"/>
          <w:sz w:val="24"/>
          <w:szCs w:val="24"/>
          <w:highlight w:val="none"/>
        </w:rPr>
        <w:t>服务费结算阶段</w:t>
      </w:r>
      <w:r>
        <w:rPr>
          <w:rFonts w:hint="eastAsia" w:ascii="宋体" w:hAnsi="宋体"/>
          <w:b w:val="0"/>
          <w:bCs w:val="0"/>
          <w:color w:val="auto"/>
          <w:sz w:val="24"/>
          <w:szCs w:val="24"/>
          <w:highlight w:val="none"/>
        </w:rPr>
        <w:t>：在完成全部服务内容后，由甲方对乙方造价咨询服务工作质量情况进行考评（具体考核标准详见附件《造价咨询服务考核评分表》）视考评情况予以支付。乙方在考评中得分90分或以上的，按结算金额的5%正常支付；85分≤考评得分＜90分，按结算金额的4%支付；75分≤考评得分＜85分，按结算金额的2.5%支付；65分≤考评得分＜75分，按结算金额的1%支付；考评得分＜65分，则考评情况服务酬金不予结算支付。</w:t>
      </w:r>
    </w:p>
    <w:p>
      <w:pPr>
        <w:widowControl/>
        <w:spacing w:line="360" w:lineRule="auto"/>
        <w:jc w:val="left"/>
        <w:rPr>
          <w:rFonts w:ascii="宋体" w:hAnsi="宋体"/>
          <w:color w:val="auto"/>
          <w:sz w:val="22"/>
          <w:highlight w:val="none"/>
        </w:rPr>
      </w:pPr>
      <w:r>
        <w:rPr>
          <w:rFonts w:hint="eastAsia" w:ascii="宋体" w:hAnsi="宋体"/>
          <w:color w:val="auto"/>
          <w:sz w:val="22"/>
          <w:highlight w:val="none"/>
        </w:rPr>
        <w:t>注：1.每次付款，乙方均需按甲方财务管理制度办理支付申请手续，并提供合法有效增值税一般纳税人服务类专用发票的正式发票。乙方延迟提供合法有效的增值税发票的，甲方有权相应顺延服务费支付时间，乙方不得据此停止履行合同义务。</w:t>
      </w:r>
    </w:p>
    <w:p>
      <w:pPr>
        <w:pStyle w:val="20"/>
        <w:ind w:left="0" w:leftChars="0" w:firstLine="440" w:firstLineChars="0"/>
        <w:rPr>
          <w:rFonts w:hint="eastAsia" w:ascii="宋体" w:hAnsi="宋体"/>
          <w:color w:val="auto"/>
          <w:sz w:val="22"/>
          <w:highlight w:val="none"/>
        </w:rPr>
      </w:pPr>
      <w:r>
        <w:rPr>
          <w:rFonts w:hint="eastAsia" w:ascii="宋体" w:hAnsi="宋体"/>
          <w:color w:val="auto"/>
          <w:sz w:val="22"/>
          <w:highlight w:val="none"/>
        </w:rPr>
        <w:t>2.实际支付可视项目进展情况分次支付。</w:t>
      </w:r>
    </w:p>
    <w:p>
      <w:pPr>
        <w:pStyle w:val="20"/>
        <w:ind w:left="0" w:leftChars="0" w:firstLine="440" w:firstLineChars="0"/>
        <w:rPr>
          <w:rFonts w:hint="eastAsia" w:ascii="宋体" w:hAnsi="宋体"/>
          <w:color w:val="auto"/>
          <w:kern w:val="2"/>
          <w:sz w:val="22"/>
          <w:highlight w:val="none"/>
        </w:rPr>
      </w:pPr>
      <w:r>
        <w:rPr>
          <w:rFonts w:hint="eastAsia" w:ascii="宋体" w:hAnsi="宋体"/>
          <w:color w:val="auto"/>
          <w:kern w:val="2"/>
          <w:sz w:val="22"/>
          <w:highlight w:val="none"/>
        </w:rPr>
        <w:t>3.概算批复后，即根据概算批复调整上述第7.1款的暂定合同金额（调整合同价=（造价咨询服务费中标价÷暂定建筑安装工程费）×概算批复的建筑安装工程费），以调整结（决）算阶段前的实际支付金额。</w:t>
      </w:r>
    </w:p>
    <w:p>
      <w:pPr>
        <w:spacing w:line="360" w:lineRule="auto"/>
        <w:ind w:firstLine="482" w:firstLineChars="200"/>
        <w:rPr>
          <w:rFonts w:hint="eastAsia" w:ascii="宋体" w:hAnsi="宋体"/>
          <w:snapToGrid w:val="0"/>
          <w:color w:val="auto"/>
          <w:sz w:val="24"/>
          <w:highlight w:val="none"/>
        </w:rPr>
      </w:pPr>
      <w:r>
        <w:rPr>
          <w:rFonts w:hint="default" w:ascii="宋体" w:hAnsi="宋体"/>
          <w:b/>
          <w:snapToGrid/>
          <w:color w:val="auto"/>
          <w:kern w:val="0"/>
          <w:sz w:val="24"/>
          <w:szCs w:val="24"/>
          <w:highlight w:val="none"/>
          <w:lang w:val="zh-CN"/>
        </w:rPr>
        <w:t>7.3双方一致同意，如本合同工程审计机关对结算评审提出修正意见的，双方应当本着实事求是的原则，按审计机关意见予以纠正。</w:t>
      </w:r>
    </w:p>
    <w:p>
      <w:pPr>
        <w:widowControl/>
        <w:spacing w:line="360" w:lineRule="auto"/>
        <w:ind w:firstLine="200"/>
        <w:jc w:val="left"/>
        <w:outlineLvl w:val="1"/>
        <w:rPr>
          <w:rFonts w:ascii="宋体" w:hAnsi="宋体" w:cs="宋体"/>
          <w:b/>
          <w:color w:val="auto"/>
          <w:sz w:val="24"/>
          <w:szCs w:val="24"/>
          <w:highlight w:val="none"/>
        </w:rPr>
      </w:pPr>
      <w:bookmarkStart w:id="18" w:name="_Toc29849"/>
      <w:r>
        <w:rPr>
          <w:rFonts w:hint="eastAsia" w:ascii="宋体" w:hAnsi="宋体" w:cs="宋体"/>
          <w:b/>
          <w:color w:val="auto"/>
          <w:sz w:val="24"/>
          <w:szCs w:val="24"/>
          <w:highlight w:val="none"/>
        </w:rPr>
        <w:t>八、违约责任</w:t>
      </w:r>
      <w:bookmarkEnd w:id="18"/>
    </w:p>
    <w:p>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8.1甲方违约责任</w:t>
      </w:r>
    </w:p>
    <w:p>
      <w:pPr>
        <w:spacing w:line="360" w:lineRule="auto"/>
        <w:ind w:firstLine="420"/>
        <w:rPr>
          <w:rFonts w:hint="eastAsia" w:ascii="宋体" w:hAnsi="宋体" w:cs="宋体"/>
          <w:snapToGrid w:val="0"/>
          <w:color w:val="auto"/>
          <w:sz w:val="24"/>
          <w:szCs w:val="24"/>
          <w:highlight w:val="none"/>
        </w:rPr>
      </w:pPr>
      <w:r>
        <w:rPr>
          <w:rFonts w:hint="eastAsia" w:ascii="宋体" w:hAnsi="宋体" w:cs="宋体"/>
          <w:color w:val="auto"/>
          <w:sz w:val="24"/>
          <w:szCs w:val="24"/>
          <w:highlight w:val="none"/>
        </w:rPr>
        <w:t>若由于甲方原因造成未在本合同约定的支付期限内支付服务报酬，甲方除应继续支付服务报酬外，</w:t>
      </w:r>
      <w:r>
        <w:rPr>
          <w:rFonts w:hint="eastAsia" w:ascii="宋体" w:hAnsi="宋体" w:cs="宋体"/>
          <w:snapToGrid w:val="0"/>
          <w:color w:val="auto"/>
          <w:sz w:val="24"/>
          <w:szCs w:val="24"/>
          <w:highlight w:val="none"/>
        </w:rPr>
        <w:t>还应按</w:t>
      </w:r>
      <w:r>
        <w:rPr>
          <w:rFonts w:hint="eastAsia" w:ascii="宋体" w:hAnsi="宋体" w:cs="宋体"/>
          <w:snapToGrid w:val="0"/>
          <w:color w:val="auto"/>
          <w:sz w:val="24"/>
          <w:szCs w:val="24"/>
          <w:highlight w:val="none"/>
          <w:lang w:val="en-US" w:eastAsia="zh-CN"/>
        </w:rPr>
        <w:t>同期央行公布的基准活期存款利率</w:t>
      </w:r>
      <w:r>
        <w:rPr>
          <w:rFonts w:hint="eastAsia" w:ascii="宋体" w:hAnsi="宋体" w:cs="宋体"/>
          <w:snapToGrid w:val="0"/>
          <w:color w:val="auto"/>
          <w:sz w:val="24"/>
          <w:szCs w:val="24"/>
          <w:highlight w:val="none"/>
        </w:rPr>
        <w:t>给乙方计付款项拖欠期间的利息。</w:t>
      </w:r>
    </w:p>
    <w:p>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8.2乙方违约责任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8.2.1乙方承担违约责任的方式包括但不限于：</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（1）书面警告。乙方不履行或不完全履行合同或不执行甲方的指令时，甲方有权向乙方发出书面警告。乙方必须在书面警告限定的时间内履行义务或执行指令，否则应承担一次一般违约责任。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（2）一般违约责任。乙方违反本合同的约定须承担一般违约责任时，必须向甲方交纳违约金人民币3000元/次。</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（3）严重违约责任。乙方违反本合同的约定须承担严重违约责任时，必须向甲方交纳违约金人民币10000元/次。</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（4）下浮支付服务报酬。乙方的违约情节特别严重时，甲方有权在合同约定基础上再下浮支付服务报酬，累计下浮金额不超过服务报酬总额的50%。</w:t>
      </w:r>
    </w:p>
    <w:p>
      <w:pPr>
        <w:spacing w:line="360" w:lineRule="auto"/>
        <w:ind w:firstLine="420"/>
        <w:rPr>
          <w:rFonts w:ascii="宋体" w:hAnsi="宋体" w:cs="宋体"/>
          <w:strike/>
          <w:color w:val="auto"/>
          <w:sz w:val="24"/>
          <w:szCs w:val="24"/>
          <w:highlight w:val="none"/>
        </w:rPr>
      </w:pPr>
      <w:r>
        <w:rPr>
          <w:rFonts w:hint="eastAsia" w:ascii="宋体" w:hAnsi="宋体" w:cs="宋体"/>
          <w:color w:val="auto"/>
          <w:sz w:val="24"/>
          <w:szCs w:val="24"/>
          <w:highlight w:val="none"/>
        </w:rPr>
        <w:t>（5）部分解除合同或解除合同。乙方累计三次以上（含三次）严重违约或甲方认为其违约情节特别恶劣的，甲方有权单方面部分解除合同或解除合同。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（6）赔偿损失。</w:t>
      </w:r>
      <w:r>
        <w:rPr>
          <w:rFonts w:ascii="宋体" w:hAnsi="宋体" w:cs="宋体"/>
          <w:color w:val="auto"/>
          <w:sz w:val="24"/>
          <w:szCs w:val="24"/>
          <w:highlight w:val="none"/>
        </w:rPr>
        <w:t>因</w:t>
      </w:r>
      <w:r>
        <w:rPr>
          <w:rFonts w:hint="eastAsia" w:ascii="宋体" w:hAnsi="宋体" w:cs="宋体"/>
          <w:color w:val="auto"/>
          <w:sz w:val="24"/>
          <w:szCs w:val="24"/>
          <w:highlight w:val="none"/>
        </w:rPr>
        <w:t>乙方违约或工作失误给甲方造成</w:t>
      </w:r>
      <w:r>
        <w:rPr>
          <w:rFonts w:ascii="宋体" w:hAnsi="宋体" w:cs="宋体"/>
          <w:color w:val="auto"/>
          <w:sz w:val="24"/>
          <w:szCs w:val="24"/>
          <w:highlight w:val="none"/>
        </w:rPr>
        <w:t>损失</w:t>
      </w:r>
      <w:r>
        <w:rPr>
          <w:rFonts w:hint="eastAsia" w:ascii="宋体" w:hAnsi="宋体" w:cs="宋体"/>
          <w:color w:val="auto"/>
          <w:sz w:val="24"/>
          <w:szCs w:val="24"/>
          <w:highlight w:val="none"/>
        </w:rPr>
        <w:t>的</w:t>
      </w:r>
      <w:r>
        <w:rPr>
          <w:rFonts w:ascii="宋体" w:hAnsi="宋体" w:cs="宋体"/>
          <w:color w:val="auto"/>
          <w:sz w:val="24"/>
          <w:szCs w:val="24"/>
          <w:highlight w:val="none"/>
        </w:rPr>
        <w:t>，</w:t>
      </w:r>
      <w:r>
        <w:rPr>
          <w:rFonts w:hint="eastAsia" w:ascii="宋体" w:hAnsi="宋体" w:cs="宋体"/>
          <w:color w:val="auto"/>
          <w:sz w:val="24"/>
          <w:szCs w:val="24"/>
          <w:highlight w:val="none"/>
        </w:rPr>
        <w:t>乙方应向甲方赔偿与违约有直接或间接因果关系的所有损失，但</w:t>
      </w:r>
      <w:r>
        <w:rPr>
          <w:rFonts w:ascii="宋体" w:hAnsi="宋体" w:cs="宋体"/>
          <w:color w:val="auto"/>
          <w:sz w:val="24"/>
          <w:szCs w:val="24"/>
          <w:highlight w:val="none"/>
        </w:rPr>
        <w:t>赔偿总额不应超过</w:t>
      </w:r>
      <w:r>
        <w:rPr>
          <w:rFonts w:hint="eastAsia" w:ascii="宋体" w:hAnsi="宋体" w:cs="宋体"/>
          <w:color w:val="auto"/>
          <w:sz w:val="24"/>
          <w:szCs w:val="24"/>
          <w:highlight w:val="none"/>
        </w:rPr>
        <w:t>服务报酬总额。如果损失是由于乙方故意或严重渎职造成的，乙方应全额赔偿由此给甲方所造成的损失。</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8.2.2三次书面警告另行追加一次一般违约责任，三次一般违约责任另行追加一次严重违约责任，累计三次严重违约责任，甲方有权单方面部分解除合同或解除合同。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如：视情况决定将乙方的违约行为通报有关政府主管部门，提起诉讼等。</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8.2.4组织管理方面的违约责任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情节较轻的，可给予书面警告，情节特别严重的，甲方有权视情况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所配备的造价咨询人员不符合本合同约定的，甲方每发现一人次，有权要求乙方承担一次一般违约责任；同时乙方应在甲方规定的时间内改正，否则应另承担一次严重违约责任；同时甲方有权视情况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同时甲方有权视情况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4）乙方违反本合同约定，所配备的造价咨询人员（含驻场人员）不按甲方的作息时间在甲方指定的地点驻场办公的，第一次将向乙方发出书面警告，乙方应在甲方规定的时间内改正，第二次以后，每违反一次按一次一般违约处理；同时甲方有权视情况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（5）乙方违反本合同约定，未经甲方书面同意擅自更换造价咨询人员的，甲方有权发出书面警告，乙方应在甲方规定的时间内改正，否则应承担一次严重违约责任；同时甲方有权方面部分解除合同或解除合同。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乙方违反本合同约定，不按甲方的要求撤换不能胜任工作的造价咨询人员的，甲方有权发出书面警告，乙方应在甲方规定的时间内改正，否则应承担一次严重违约责任；同时甲方有权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（7）甲方要求乙方有关人员必须参加的会议（含对数等），有关人员必须到会，未经甲方同意不到会或不按期到会的，甲方有权给予书面警告。</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8.2.5工作进度方面的违约责任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乙方不按本合同约定的时间向甲方提交合格的造价咨询成果文件的，每延误一天，应按本合同服务报酬总额的1‰向甲方支付违约金；延误20天以上，乙方除按上述约定继续支付违约金外，甲方有权下浮10%支付服务报酬；延误30天以上，甲方有权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（3）乙方不按本合同约定的时间向甲方提交造价咨询工作报告和符合归档要求的造价咨询成果文件的，业主单位支付服务报酬的时间相应顺延，且乙方须承担一次严重违约责任。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8.2.6服务质量方面的违约责任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（1）乙方提交的工作成果存在单项漏项或偏差金额（经核实，确属于乙方责任造成的漏项或偏差金额，下同）＜100万元的，按以下约定处理：</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漏项或偏差金额累计达到100万元以上且不超过500万元时，甲方即有权要求乙方承担一次一般违约责任；最终确认漏项或偏差累计金额达到500万元以上的，甲方有权要求乙方另行承担一次严重违约责任。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（2）乙方提交的工作成果存在单项漏项或偏差金额≥100万元的，每发现一次，甲方有权要求乙方承担一次严重违约责任。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乙方因承担本款违约责任支付的违约金总额累计不应超过本合同服务报酬暂定总额的50%。</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经查实乙方违反本合同约定或者由于乙方的其它原因，致使甲方被投诉的，甲方视情节严重程度有权要求乙方承担一次一般违约或以上的违约责任并下浮10%支付服务报酬。因此致使中标无效需要重新组织招标的，重新组织招标所需要的费用全部由乙方承担。同时，甲方有权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4）乙方未按约定向有关部门提交全部招标控制价备案文件，或有其他未妥善办理招标工程量清单或招标控制价相关手续的情形，致使开标时间延误的，每延误一天，应按本合同服务报酬总额的1‰向甲方支付违约金；延误20天以上，乙方除按上述约定继续支付违约金外，</w:t>
      </w:r>
      <w:r>
        <w:rPr>
          <w:rFonts w:hint="eastAsia" w:ascii="宋体" w:hAnsi="宋体" w:cs="宋体"/>
          <w:strike/>
          <w:color w:val="auto"/>
          <w:sz w:val="24"/>
          <w:szCs w:val="24"/>
          <w:highlight w:val="none"/>
        </w:rPr>
        <w:t>并</w:t>
      </w:r>
      <w:r>
        <w:rPr>
          <w:rFonts w:hint="eastAsia" w:ascii="宋体" w:hAnsi="宋体" w:cs="宋体"/>
          <w:color w:val="auto"/>
          <w:sz w:val="24"/>
          <w:szCs w:val="24"/>
          <w:highlight w:val="none"/>
        </w:rPr>
        <w:t>甲方有权下浮10%支付服务报酬；延误30天以上，甲方有权单方面部分解除合同或解除合同。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（5）乙方对本合同约定有关工作事项故意拖延或者不作出明确处理意见的，每发生一次，乙方须承担一次一般违约责任。若因此给甲方造成损失的，乙方应赔偿甲方的全部损失。</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（6）由于乙方原因，致使本合同项目在施工阶段中发生三类变更的，甲方有权要求乙方承担一次一般违约责任；发生二类变更的，乙方除应承担一次严重违约责任外</w:t>
      </w:r>
      <w:r>
        <w:rPr>
          <w:rFonts w:hint="eastAsia" w:ascii="宋体" w:hAnsi="宋体" w:cs="宋体"/>
          <w:bCs/>
          <w:snapToGrid w:val="0"/>
          <w:color w:val="auto"/>
          <w:kern w:val="0"/>
          <w:sz w:val="24"/>
          <w:szCs w:val="28"/>
          <w:highlight w:val="none"/>
        </w:rPr>
        <w:t>，还应向甲方赔偿相应的损失</w:t>
      </w:r>
      <w:r>
        <w:rPr>
          <w:rFonts w:hint="eastAsia" w:ascii="宋体" w:hAnsi="宋体" w:cs="宋体"/>
          <w:color w:val="auto"/>
          <w:sz w:val="24"/>
          <w:szCs w:val="24"/>
          <w:highlight w:val="none"/>
        </w:rPr>
        <w:t>；发生一类变更的，甲方有权下浮10%支付服务报酬，且乙方应向甲方赔偿相应的损失，同时，甲方有权单方面部分解除合同或解除合同。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（7）竣工结算总金额超出实际实施范围所对应的批复概算金额，甲方有权下浮10%支付服务报酬，同时，甲方有权单方面部分解除合同或解除合同。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8.2.7工作纪律方面的违约责任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（1）对于异常情况，乙方不如实或不及时上报甲方甚至隐瞒不报的，一经核实，乙方须承担一次严重违约责任。若因此给甲方造成损失的，乙方应赔偿甲方的全部损失。</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违反本合同约定，接受了与本合同工程建设项目有关的咨询业务，甲方有权单方面部分解除合同或解除合同；同时，甲方将如实通报政府有关部门，由政府有关部门对其进行处罚。若因此给甲方造成损失，乙方应赔偿甲方的全部损失。</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乙方违反本合同约定或法律规定，向第三方泄露与本合同工程有关的任何招投标资料和情况的，一经核实，甲方有权单方面部分解除合同或解除合同；同时，甲方将如实通报政府有关部门，由政府有关部门对其进行处罚。若因此给甲方造成损失，乙方应赔偿甲方的全部损失。</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4）如发生任何对乙方的投诉情况，经查属实，甲方有权根据情节轻重要求乙方承担一次严重违约责任并且甲方有权下浮10%支付服务报酬。同时，甲方将视情况决定将乙方的违约行为通报有关政府主管部门。如因对乙方的投诉最终导致甲方被投诉的，同时按照</w:t>
      </w:r>
      <w:r>
        <w:rPr>
          <w:rFonts w:hint="eastAsia" w:ascii="宋体" w:hAnsi="宋体" w:cs="宋体"/>
          <w:bCs/>
          <w:snapToGrid w:val="0"/>
          <w:color w:val="auto"/>
          <w:sz w:val="24"/>
          <w:szCs w:val="24"/>
          <w:highlight w:val="none"/>
        </w:rPr>
        <w:t>本合同条款第</w:t>
      </w:r>
      <w:r>
        <w:rPr>
          <w:rFonts w:hint="eastAsia" w:ascii="宋体" w:hAnsi="宋体" w:cs="宋体"/>
          <w:color w:val="auto"/>
          <w:sz w:val="24"/>
          <w:szCs w:val="24"/>
          <w:highlight w:val="none"/>
        </w:rPr>
        <w:t>8.2.6－（3）款执行。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（5）乙方通过提供虚假信息，误导或欺骗等方式，谋取非法利益的；乙方未经甲方书面同意擅自将受托项目转委托给第三方的，每次均须承担严重违约责任一次。</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（6）乙方违反回避制度的；乙方拒绝接受甲方跟踪核查的；乙方不按要求保管甲方提供的相关资料的，每次均须承担一般违约责任一次。</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（7）乙方违反保密义务，每次均须承担严重违约责任一次，并承担其它相应的法律责任。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8.2.8乙方在项目工作质量考评中合格，但分数低于65分且有单项得分低于合格基准分的，甲方有权下浮10%支付造价咨询服务报酬，并要求乙方对相应单项进行整改，乙方必须无条件接受。</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8.2.9乙方向甲方提出的赔偿要求不能成立时，则应补偿由于该赔偿或其他要求所导致甲方的各种费用的支出。</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8.2.10在本合同有效期内，乙方的单位名称变更的，应及时以书面形式通知甲方；乙方法定代表人变更的，应在变更后15日内向甲方提交新法定代表人的职务、职称、联系电话、通信地址等信息。否则视为乙方违约，乙方应当承担一次一般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8.2.11除上述约定之外，乙方不履行或不完全履行合同其他义务的，均构成违约，应当承担一次一般违约责任。情节较轻的，可给予书面警告；情节较重的，应当承担一次严重违约责任。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8.2.12乙方违约责任的认定方式：以甲方发出的通知、通报、会议纪要等书面文件确定的内容为准。</w:t>
      </w:r>
    </w:p>
    <w:p>
      <w:pPr>
        <w:widowControl/>
        <w:spacing w:line="360" w:lineRule="auto"/>
        <w:ind w:firstLine="200"/>
        <w:jc w:val="left"/>
        <w:outlineLvl w:val="1"/>
        <w:rPr>
          <w:rFonts w:ascii="宋体" w:hAnsi="宋体" w:cs="宋体"/>
          <w:color w:val="auto"/>
          <w:sz w:val="24"/>
          <w:szCs w:val="24"/>
          <w:highlight w:val="none"/>
        </w:rPr>
      </w:pPr>
      <w:bookmarkStart w:id="19" w:name="_Toc25909"/>
      <w:r>
        <w:rPr>
          <w:rFonts w:hint="eastAsia" w:ascii="宋体" w:hAnsi="宋体" w:cs="宋体"/>
          <w:b/>
          <w:bCs/>
          <w:color w:val="auto"/>
          <w:sz w:val="24"/>
          <w:szCs w:val="24"/>
          <w:highlight w:val="none"/>
        </w:rPr>
        <w:t>九、合同变更与终止</w:t>
      </w:r>
      <w:bookmarkEnd w:id="19"/>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9.1由于甲方或第三人的原因使乙方工作受到阻碍或延误以致增加了工作量或持续时间，则乙方应当将此情况与可能产生的影响及时书面通知甲方，</w:t>
      </w:r>
      <w:r>
        <w:rPr>
          <w:rFonts w:hint="eastAsia" w:ascii="宋体" w:hAnsi="宋体" w:cs="宋体"/>
          <w:color w:val="auto"/>
          <w:sz w:val="24"/>
          <w:szCs w:val="24"/>
          <w:highlight w:val="none"/>
          <w:lang w:val="en-US" w:eastAsia="zh-CN"/>
        </w:rPr>
        <w:t>经甲方书面同意</w:t>
      </w:r>
      <w:r>
        <w:rPr>
          <w:rFonts w:hint="eastAsia" w:ascii="宋体" w:hAnsi="宋体" w:cs="宋体"/>
          <w:color w:val="auto"/>
          <w:sz w:val="24"/>
          <w:szCs w:val="24"/>
          <w:highlight w:val="none"/>
        </w:rPr>
        <w:t>完成建设工程造价咨询工作的时</w:t>
      </w:r>
      <w:r>
        <w:rPr>
          <w:rFonts w:hint="eastAsia" w:ascii="宋体" w:hAnsi="宋体" w:cs="宋体"/>
          <w:color w:val="auto"/>
          <w:sz w:val="24"/>
          <w:szCs w:val="24"/>
          <w:highlight w:val="none"/>
          <w:lang w:val="en-US" w:eastAsia="zh-CN"/>
        </w:rPr>
        <w:t>间可以</w:t>
      </w:r>
      <w:r>
        <w:rPr>
          <w:rFonts w:hint="eastAsia" w:ascii="宋体" w:hAnsi="宋体" w:cs="宋体"/>
          <w:color w:val="auto"/>
          <w:sz w:val="24"/>
          <w:szCs w:val="24"/>
          <w:highlight w:val="none"/>
        </w:rPr>
        <w:t>相应延长。</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9.2当事人一方要求变更或解除合同时，应当至少提前14天通知对方；因变更或解除合同使一方遭受损失的，应由责任方负责赔偿。</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9.3本合同履行期间，如遇不可抗力，致使合同无法履行的，双方应按有关法律规定及时协商处理。</w:t>
      </w:r>
    </w:p>
    <w:p>
      <w:pPr>
        <w:spacing w:line="360" w:lineRule="auto"/>
        <w:ind w:firstLine="420"/>
        <w:rPr>
          <w:rFonts w:ascii="宋体" w:hAnsi="宋体" w:cs="宋体"/>
          <w:color w:val="auto"/>
          <w:sz w:val="24"/>
          <w:szCs w:val="24"/>
          <w:highlight w:val="none"/>
        </w:rPr>
      </w:pPr>
      <w:r>
        <w:rPr>
          <w:rFonts w:hint="eastAsia" w:ascii="宋体" w:hAnsi="宋体" w:cs="宋体"/>
          <w:bCs/>
          <w:snapToGrid w:val="0"/>
          <w:color w:val="auto"/>
          <w:kern w:val="0"/>
          <w:sz w:val="24"/>
          <w:szCs w:val="28"/>
          <w:highlight w:val="none"/>
        </w:rPr>
        <w:t>不可抗力，是指不能预见、不能避免并不能克服、对本合同的约定工作造成实质性影响的自然灾害和战争、动乱（不包括乙方内部的任何纠纷和纷争）等社会事件。</w:t>
      </w:r>
      <w:r>
        <w:rPr>
          <w:rFonts w:hint="eastAsia" w:ascii="宋体" w:hAnsi="宋体" w:cs="宋体"/>
          <w:bCs/>
          <w:snapToGrid w:val="0"/>
          <w:color w:val="auto"/>
          <w:kern w:val="0"/>
          <w:sz w:val="24"/>
          <w:szCs w:val="24"/>
          <w:highlight w:val="none"/>
        </w:rPr>
        <w:t>政府关于本项目政策的重大调整或本项目建设规划方案重大功能性调整，也属不可抗力。</w:t>
      </w:r>
    </w:p>
    <w:p>
      <w:pPr>
        <w:spacing w:line="360" w:lineRule="auto"/>
        <w:ind w:firstLine="42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9.4变更或解除合同的通知或协议应当采取书面形式，新的协议未达成之前，原合同仍然有效。</w:t>
      </w:r>
    </w:p>
    <w:p>
      <w:pPr>
        <w:widowControl/>
        <w:spacing w:line="360" w:lineRule="auto"/>
        <w:ind w:firstLine="200"/>
        <w:jc w:val="left"/>
        <w:outlineLvl w:val="1"/>
        <w:rPr>
          <w:rFonts w:ascii="宋体" w:hAnsi="宋体" w:cs="宋体"/>
          <w:b/>
          <w:bCs/>
          <w:color w:val="auto"/>
          <w:sz w:val="24"/>
          <w:szCs w:val="24"/>
          <w:highlight w:val="none"/>
        </w:rPr>
      </w:pPr>
      <w:bookmarkStart w:id="20" w:name="_Toc25126"/>
      <w:r>
        <w:rPr>
          <w:rFonts w:hint="eastAsia" w:ascii="宋体" w:hAnsi="宋体" w:cs="宋体"/>
          <w:b/>
          <w:bCs/>
          <w:color w:val="auto"/>
          <w:sz w:val="24"/>
          <w:szCs w:val="24"/>
          <w:highlight w:val="none"/>
        </w:rPr>
        <w:t>十、履约担保及索赔</w:t>
      </w:r>
      <w:bookmarkEnd w:id="20"/>
    </w:p>
    <w:p>
      <w:pPr>
        <w:widowControl/>
        <w:spacing w:line="360" w:lineRule="auto"/>
        <w:ind w:firstLine="200"/>
        <w:jc w:val="left"/>
        <w:outlineLvl w:val="1"/>
        <w:rPr>
          <w:rFonts w:hint="eastAsia" w:ascii="宋体" w:hAnsi="宋体" w:cs="宋体"/>
          <w:bCs/>
          <w:color w:val="auto"/>
          <w:sz w:val="24"/>
          <w:szCs w:val="24"/>
        </w:rPr>
      </w:pPr>
      <w:r>
        <w:rPr>
          <w:rFonts w:hint="eastAsia" w:ascii="宋体" w:hAnsi="宋体" w:cs="宋体"/>
          <w:bCs/>
          <w:color w:val="auto"/>
          <w:sz w:val="24"/>
          <w:szCs w:val="24"/>
        </w:rPr>
        <w:t>10.1 乙方应在本合同签订后14天内按招标文件规定向甲方提交担保金额为合同价款的10%,即人民币______元的履约担保，履约担保的形式：现金、银行保函、保证保险、专业担保公司担保等形式，如缴纳形式为保函，须为在中国境内开具的无条件、不可撤销、见索即付的银行保函或商业保函。</w:t>
      </w:r>
    </w:p>
    <w:p>
      <w:pPr>
        <w:widowControl/>
        <w:spacing w:line="360" w:lineRule="auto"/>
        <w:ind w:firstLine="200"/>
        <w:jc w:val="left"/>
        <w:outlineLvl w:val="1"/>
        <w:rPr>
          <w:rFonts w:hint="eastAsia" w:ascii="宋体" w:hAnsi="宋体" w:cs="宋体"/>
          <w:bCs/>
          <w:color w:val="auto"/>
          <w:sz w:val="24"/>
          <w:szCs w:val="24"/>
        </w:rPr>
      </w:pPr>
      <w:r>
        <w:rPr>
          <w:rFonts w:hint="eastAsia" w:ascii="宋体" w:hAnsi="宋体" w:cs="宋体"/>
          <w:bCs/>
          <w:color w:val="auto"/>
          <w:sz w:val="24"/>
          <w:szCs w:val="24"/>
        </w:rPr>
        <w:t>10.2乙方如未能在上述约定的时间内提交履约担保的，视为自动放弃中标资格，乙方应赔偿由此给甲方造成的全部损失（包括但不限于工程进度延误、重新招标支出等）。</w:t>
      </w:r>
    </w:p>
    <w:p>
      <w:pPr>
        <w:widowControl/>
        <w:spacing w:line="360" w:lineRule="auto"/>
        <w:ind w:firstLine="200"/>
        <w:jc w:val="left"/>
        <w:outlineLvl w:val="1"/>
        <w:rPr>
          <w:rFonts w:hint="eastAsia" w:ascii="宋体" w:hAnsi="宋体" w:cs="宋体"/>
          <w:bCs/>
          <w:color w:val="auto"/>
          <w:sz w:val="24"/>
          <w:szCs w:val="24"/>
        </w:rPr>
      </w:pPr>
      <w:r>
        <w:rPr>
          <w:rFonts w:hint="eastAsia" w:ascii="宋体" w:hAnsi="宋体" w:cs="宋体"/>
          <w:bCs/>
          <w:color w:val="auto"/>
          <w:sz w:val="24"/>
          <w:szCs w:val="24"/>
        </w:rPr>
        <w:t>10.3乙方提交的履约担保是对本合同约定的乙方的全部义务(包括但不限于乙方违约后应支付的违约金和赔偿金)的担保，乙方的任何一次不履行或不完全履行合同义务的行为，甲方均有权提出索赔。</w:t>
      </w:r>
    </w:p>
    <w:p>
      <w:pPr>
        <w:widowControl/>
        <w:spacing w:line="360" w:lineRule="auto"/>
        <w:ind w:firstLine="200"/>
        <w:jc w:val="left"/>
        <w:outlineLvl w:val="1"/>
        <w:rPr>
          <w:rFonts w:hint="eastAsia" w:ascii="宋体" w:hAnsi="宋体" w:cs="宋体"/>
          <w:bCs/>
          <w:color w:val="auto"/>
          <w:sz w:val="24"/>
          <w:szCs w:val="24"/>
        </w:rPr>
      </w:pPr>
      <w:r>
        <w:rPr>
          <w:rFonts w:hint="eastAsia" w:ascii="宋体" w:hAnsi="宋体" w:cs="宋体"/>
          <w:bCs/>
          <w:color w:val="auto"/>
          <w:sz w:val="24"/>
          <w:szCs w:val="24"/>
        </w:rPr>
        <w:t>10.4乙方不履行或不完全履行合同义务的行为导致甲方依据履约担保索赔担保金额的一部分或者全部的，乙方必须在甲方规定的时间内补充提交履约担保，使得本合同履行期间有效的履约担保金额等于乙方按本合同约定第一次提交的履约担保金额。</w:t>
      </w:r>
    </w:p>
    <w:p>
      <w:pPr>
        <w:widowControl/>
        <w:spacing w:line="360" w:lineRule="auto"/>
        <w:ind w:firstLine="200"/>
        <w:jc w:val="left"/>
        <w:outlineLvl w:val="1"/>
        <w:rPr>
          <w:rFonts w:hint="eastAsia" w:ascii="宋体" w:hAnsi="宋体" w:cs="宋体"/>
          <w:bCs/>
          <w:color w:val="auto"/>
          <w:sz w:val="24"/>
          <w:szCs w:val="24"/>
        </w:rPr>
      </w:pPr>
      <w:r>
        <w:rPr>
          <w:rFonts w:hint="eastAsia" w:ascii="宋体" w:hAnsi="宋体" w:cs="宋体"/>
          <w:bCs/>
          <w:color w:val="auto"/>
          <w:sz w:val="24"/>
          <w:szCs w:val="24"/>
        </w:rPr>
        <w:t>10.5如果乙方不按甲方的要求及时补充提交履约担保，则甲方有权单方面部分解除或解除本合同，并按合同条款第8.2.1款的有关约定执行。</w:t>
      </w:r>
    </w:p>
    <w:p>
      <w:pPr>
        <w:widowControl/>
        <w:spacing w:line="360" w:lineRule="auto"/>
        <w:ind w:firstLine="200"/>
        <w:jc w:val="left"/>
        <w:outlineLvl w:val="1"/>
        <w:rPr>
          <w:rFonts w:hint="eastAsia" w:ascii="宋体" w:hAnsi="宋体" w:cs="宋体"/>
          <w:bCs/>
          <w:color w:val="auto"/>
          <w:sz w:val="24"/>
          <w:szCs w:val="24"/>
        </w:rPr>
      </w:pPr>
      <w:r>
        <w:rPr>
          <w:rFonts w:hint="eastAsia" w:ascii="宋体" w:hAnsi="宋体" w:cs="宋体"/>
          <w:bCs/>
          <w:color w:val="auto"/>
          <w:sz w:val="24"/>
          <w:szCs w:val="24"/>
        </w:rPr>
        <w:t>10.6工程结算最终定审后，乙方可以向甲方申请退还履约担保。</w:t>
      </w:r>
    </w:p>
    <w:p>
      <w:pPr>
        <w:widowControl/>
        <w:spacing w:line="360" w:lineRule="auto"/>
        <w:ind w:firstLine="200"/>
        <w:jc w:val="left"/>
        <w:outlineLvl w:val="1"/>
        <w:rPr>
          <w:rFonts w:ascii="宋体" w:hAnsi="宋体" w:cs="宋体"/>
          <w:color w:val="auto"/>
          <w:sz w:val="24"/>
          <w:szCs w:val="24"/>
          <w:highlight w:val="none"/>
        </w:rPr>
      </w:pPr>
      <w:bookmarkStart w:id="21" w:name="_Toc31284"/>
      <w:r>
        <w:rPr>
          <w:rFonts w:hint="eastAsia" w:ascii="宋体" w:hAnsi="宋体" w:cs="宋体"/>
          <w:b/>
          <w:bCs/>
          <w:color w:val="auto"/>
          <w:sz w:val="24"/>
          <w:szCs w:val="24"/>
          <w:highlight w:val="none"/>
        </w:rPr>
        <w:t>十一、合同争议的解决</w:t>
      </w:r>
      <w:bookmarkEnd w:id="21"/>
    </w:p>
    <w:p>
      <w:pPr>
        <w:spacing w:line="360" w:lineRule="auto"/>
        <w:ind w:firstLine="42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11.1凡因履行本合同而引起的一切争议或与本合同有关的争议，应由甲乙双方通过友好协商解决。协商不成时，任何一方均有权向甲方住所地人民法院提起诉讼。</w:t>
      </w:r>
    </w:p>
    <w:p>
      <w:pPr>
        <w:spacing w:line="360" w:lineRule="auto"/>
        <w:ind w:firstLine="42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11.2乙方承诺：在争议解决期间，仍将尽职尽责继续完成甲方所委托的工作，否则甲方有权先行单方面解除本合同；如甲方决定先行单方面解除本合同的，乙方立即无条件服从并将有关资料无偿移交甲方。</w:t>
      </w:r>
    </w:p>
    <w:p>
      <w:pPr>
        <w:widowControl/>
        <w:spacing w:line="360" w:lineRule="auto"/>
        <w:ind w:firstLine="200"/>
        <w:jc w:val="left"/>
        <w:outlineLvl w:val="1"/>
        <w:rPr>
          <w:rFonts w:ascii="宋体" w:hAnsi="宋体" w:cs="宋体"/>
          <w:b/>
          <w:color w:val="auto"/>
          <w:sz w:val="24"/>
          <w:szCs w:val="24"/>
          <w:highlight w:val="none"/>
        </w:rPr>
      </w:pPr>
      <w:bookmarkStart w:id="22" w:name="_Toc21465"/>
      <w:r>
        <w:rPr>
          <w:rFonts w:hint="eastAsia" w:ascii="宋体" w:hAnsi="宋体" w:cs="宋体"/>
          <w:b/>
          <w:color w:val="auto"/>
          <w:sz w:val="24"/>
          <w:szCs w:val="24"/>
          <w:highlight w:val="none"/>
        </w:rPr>
        <w:t>十二、其它</w:t>
      </w:r>
      <w:bookmarkEnd w:id="22"/>
    </w:p>
    <w:p>
      <w:pPr>
        <w:spacing w:line="360" w:lineRule="auto"/>
        <w:ind w:firstLine="420"/>
        <w:rPr>
          <w:rFonts w:ascii="宋体" w:hAnsi="宋体"/>
          <w:b/>
          <w:snapToGrid w:val="0"/>
          <w:color w:val="auto"/>
          <w:sz w:val="24"/>
          <w:szCs w:val="24"/>
          <w:highlight w:val="none"/>
        </w:rPr>
      </w:pPr>
      <w:r>
        <w:rPr>
          <w:rFonts w:hint="eastAsia" w:ascii="宋体" w:hAnsi="宋体"/>
          <w:b/>
          <w:bCs/>
          <w:color w:val="auto"/>
          <w:sz w:val="24"/>
          <w:szCs w:val="24"/>
          <w:highlight w:val="none"/>
        </w:rPr>
        <w:t>12.1</w:t>
      </w:r>
      <w:r>
        <w:rPr>
          <w:rFonts w:hint="eastAsia" w:ascii="宋体" w:hAnsi="宋体"/>
          <w:b/>
          <w:snapToGrid w:val="0"/>
          <w:color w:val="auto"/>
          <w:sz w:val="24"/>
          <w:szCs w:val="24"/>
          <w:highlight w:val="none"/>
        </w:rPr>
        <w:t>补充条款</w:t>
      </w:r>
    </w:p>
    <w:p>
      <w:pPr>
        <w:spacing w:line="360" w:lineRule="auto"/>
        <w:ind w:firstLine="420"/>
        <w:rPr>
          <w:rFonts w:ascii="宋体" w:hAnsi="宋体"/>
          <w:snapToGrid w:val="0"/>
          <w:color w:val="auto"/>
          <w:sz w:val="24"/>
          <w:szCs w:val="24"/>
          <w:highlight w:val="none"/>
        </w:rPr>
      </w:pPr>
      <w:r>
        <w:rPr>
          <w:rFonts w:hint="eastAsia"/>
          <w:color w:val="auto"/>
          <w:sz w:val="24"/>
          <w:szCs w:val="24"/>
          <w:highlight w:val="none"/>
        </w:rPr>
        <w:t>乙方承诺严格按照合同约定履行义务，并同意甲方将其履行合同、招投标文件义务的履约情况和不诚信行为（包括但不限于由甲方组织的考核、考评通报、作出的违约责任处理决定等）在甲方网站和建设项目业主网站及其他媒体上公开披露，由此造成的一切损失和不利后果均由乙方自行承担。</w:t>
      </w:r>
    </w:p>
    <w:p>
      <w:pPr>
        <w:spacing w:line="360" w:lineRule="auto"/>
        <w:ind w:firstLine="420"/>
        <w:rPr>
          <w:rFonts w:ascii="宋体" w:hAnsi="宋体"/>
          <w:b/>
          <w:bCs/>
          <w:color w:val="auto"/>
          <w:sz w:val="24"/>
          <w:szCs w:val="24"/>
          <w:highlight w:val="none"/>
        </w:rPr>
      </w:pPr>
      <w:r>
        <w:rPr>
          <w:rFonts w:hint="eastAsia" w:ascii="宋体" w:hAnsi="宋体"/>
          <w:b/>
          <w:bCs/>
          <w:color w:val="auto"/>
          <w:sz w:val="24"/>
          <w:szCs w:val="24"/>
          <w:highlight w:val="none"/>
        </w:rPr>
        <w:t>12.2知识产权</w:t>
      </w:r>
    </w:p>
    <w:p>
      <w:pPr>
        <w:spacing w:line="360" w:lineRule="auto"/>
        <w:ind w:firstLine="420"/>
        <w:rPr>
          <w:rFonts w:ascii="宋体" w:hAnsi="宋体"/>
          <w:snapToGrid w:val="0"/>
          <w:color w:val="auto"/>
          <w:sz w:val="24"/>
          <w:szCs w:val="24"/>
          <w:highlight w:val="none"/>
        </w:rPr>
      </w:pPr>
      <w:r>
        <w:rPr>
          <w:rFonts w:hint="eastAsia" w:ascii="宋体" w:hAnsi="宋体"/>
          <w:snapToGrid w:val="0"/>
          <w:color w:val="auto"/>
          <w:sz w:val="24"/>
          <w:szCs w:val="24"/>
          <w:highlight w:val="none"/>
        </w:rPr>
        <w:t>乙方应保证在造价咨询服务中所编制的文件不侵犯他人合法权益。乙方为本合同约定项目提供造价咨询服务编制的所有文件的知识产权应属甲方专有。</w:t>
      </w:r>
    </w:p>
    <w:p>
      <w:pPr>
        <w:spacing w:line="360" w:lineRule="auto"/>
        <w:ind w:firstLine="420"/>
        <w:rPr>
          <w:rFonts w:ascii="宋体" w:hAnsi="宋体"/>
          <w:b/>
          <w:bCs/>
          <w:color w:val="auto"/>
          <w:sz w:val="24"/>
          <w:szCs w:val="24"/>
          <w:highlight w:val="none"/>
        </w:rPr>
      </w:pPr>
      <w:r>
        <w:rPr>
          <w:rFonts w:hint="eastAsia" w:ascii="宋体" w:hAnsi="宋体"/>
          <w:b/>
          <w:bCs/>
          <w:color w:val="auto"/>
          <w:sz w:val="24"/>
          <w:szCs w:val="24"/>
          <w:highlight w:val="none"/>
        </w:rPr>
        <w:t>12.3回避</w:t>
      </w:r>
    </w:p>
    <w:p>
      <w:pPr>
        <w:spacing w:line="360" w:lineRule="auto"/>
        <w:ind w:firstLine="420"/>
        <w:rPr>
          <w:rFonts w:ascii="宋体" w:hAnsi="宋体"/>
          <w:snapToGrid w:val="0"/>
          <w:color w:val="auto"/>
          <w:sz w:val="24"/>
          <w:szCs w:val="24"/>
          <w:highlight w:val="none"/>
        </w:rPr>
      </w:pPr>
      <w:r>
        <w:rPr>
          <w:rFonts w:hint="eastAsia" w:ascii="宋体" w:hAnsi="宋体"/>
          <w:color w:val="auto"/>
          <w:sz w:val="24"/>
          <w:szCs w:val="24"/>
          <w:highlight w:val="none"/>
        </w:rPr>
        <w:t>乙方</w:t>
      </w:r>
      <w:r>
        <w:rPr>
          <w:rFonts w:ascii="宋体" w:hAnsi="宋体"/>
          <w:color w:val="auto"/>
          <w:sz w:val="24"/>
          <w:szCs w:val="24"/>
          <w:highlight w:val="none"/>
        </w:rPr>
        <w:t>不得再接受除</w:t>
      </w:r>
      <w:r>
        <w:rPr>
          <w:rFonts w:hint="eastAsia" w:ascii="宋体" w:hAnsi="宋体"/>
          <w:color w:val="auto"/>
          <w:sz w:val="24"/>
          <w:szCs w:val="24"/>
          <w:highlight w:val="none"/>
        </w:rPr>
        <w:t>甲方</w:t>
      </w:r>
      <w:r>
        <w:rPr>
          <w:rFonts w:ascii="宋体" w:hAnsi="宋体"/>
          <w:color w:val="auto"/>
          <w:sz w:val="24"/>
          <w:szCs w:val="24"/>
          <w:highlight w:val="none"/>
        </w:rPr>
        <w:t>外的其他委托人对</w:t>
      </w:r>
      <w:r>
        <w:rPr>
          <w:rFonts w:hint="eastAsia" w:ascii="宋体" w:hAnsi="宋体"/>
          <w:color w:val="auto"/>
          <w:sz w:val="24"/>
          <w:szCs w:val="24"/>
          <w:highlight w:val="none"/>
        </w:rPr>
        <w:t>本</w:t>
      </w:r>
      <w:r>
        <w:rPr>
          <w:rFonts w:ascii="宋体" w:hAnsi="宋体"/>
          <w:color w:val="auto"/>
          <w:sz w:val="24"/>
          <w:szCs w:val="24"/>
          <w:highlight w:val="none"/>
        </w:rPr>
        <w:t>项目的服务委托，即不能就</w:t>
      </w:r>
      <w:r>
        <w:rPr>
          <w:rFonts w:hint="eastAsia" w:ascii="宋体" w:hAnsi="宋体"/>
          <w:color w:val="auto"/>
          <w:sz w:val="24"/>
          <w:szCs w:val="24"/>
          <w:highlight w:val="none"/>
        </w:rPr>
        <w:t>本</w:t>
      </w:r>
      <w:r>
        <w:rPr>
          <w:rFonts w:ascii="宋体" w:hAnsi="宋体"/>
          <w:color w:val="auto"/>
          <w:sz w:val="24"/>
          <w:szCs w:val="24"/>
          <w:highlight w:val="none"/>
        </w:rPr>
        <w:t>项目既接受</w:t>
      </w:r>
      <w:r>
        <w:rPr>
          <w:rFonts w:hint="eastAsia" w:ascii="宋体" w:hAnsi="宋体"/>
          <w:color w:val="auto"/>
          <w:sz w:val="24"/>
          <w:szCs w:val="24"/>
          <w:highlight w:val="none"/>
        </w:rPr>
        <w:t>甲方</w:t>
      </w:r>
      <w:r>
        <w:rPr>
          <w:rFonts w:ascii="宋体" w:hAnsi="宋体"/>
          <w:color w:val="auto"/>
          <w:sz w:val="24"/>
          <w:szCs w:val="24"/>
          <w:highlight w:val="none"/>
        </w:rPr>
        <w:t>的委托，又接受项目投标供应商、</w:t>
      </w:r>
      <w:r>
        <w:rPr>
          <w:rFonts w:hint="eastAsia" w:ascii="宋体" w:hAnsi="宋体"/>
          <w:color w:val="auto"/>
          <w:sz w:val="24"/>
          <w:szCs w:val="24"/>
          <w:highlight w:val="none"/>
        </w:rPr>
        <w:t>施工</w:t>
      </w:r>
      <w:r>
        <w:rPr>
          <w:rFonts w:ascii="宋体" w:hAnsi="宋体"/>
          <w:color w:val="auto"/>
          <w:sz w:val="24"/>
          <w:szCs w:val="24"/>
          <w:highlight w:val="none"/>
        </w:rPr>
        <w:t>承包单位等相对利益关系人的委托</w:t>
      </w:r>
      <w:r>
        <w:rPr>
          <w:rFonts w:hint="eastAsia" w:ascii="宋体" w:hAnsi="宋体"/>
          <w:color w:val="auto"/>
          <w:sz w:val="24"/>
          <w:szCs w:val="24"/>
          <w:highlight w:val="none"/>
        </w:rPr>
        <w:t>，否则甲方有权解除本合同并按合同条款第8.2款的约定追究乙方的违约责任。</w:t>
      </w:r>
    </w:p>
    <w:p>
      <w:pPr>
        <w:widowControl/>
        <w:spacing w:line="360" w:lineRule="auto"/>
        <w:ind w:firstLine="200"/>
        <w:jc w:val="left"/>
        <w:outlineLvl w:val="1"/>
        <w:rPr>
          <w:rFonts w:ascii="宋体" w:hAnsi="宋体" w:cs="宋体"/>
          <w:b/>
          <w:color w:val="auto"/>
          <w:sz w:val="24"/>
          <w:szCs w:val="24"/>
          <w:highlight w:val="none"/>
        </w:rPr>
      </w:pPr>
      <w:bookmarkStart w:id="23" w:name="_Toc13873"/>
      <w:r>
        <w:rPr>
          <w:rFonts w:hint="eastAsia" w:ascii="宋体" w:hAnsi="宋体" w:cs="宋体"/>
          <w:b/>
          <w:color w:val="auto"/>
          <w:sz w:val="24"/>
          <w:szCs w:val="24"/>
          <w:highlight w:val="none"/>
        </w:rPr>
        <w:t>十三、附件</w:t>
      </w:r>
      <w:bookmarkEnd w:id="23"/>
    </w:p>
    <w:p>
      <w:pPr>
        <w:spacing w:line="360" w:lineRule="auto"/>
        <w:ind w:firstLine="42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附件1：工程建设廉洁协议书</w:t>
      </w:r>
    </w:p>
    <w:p>
      <w:pPr>
        <w:spacing w:line="360" w:lineRule="auto"/>
        <w:ind w:firstLine="420"/>
        <w:rPr>
          <w:rFonts w:ascii="宋体" w:hAnsi="宋体" w:cs="宋体"/>
          <w:snapToGrid w:val="0"/>
          <w:color w:val="auto"/>
          <w:sz w:val="24"/>
          <w:szCs w:val="24"/>
          <w:highlight w:val="none"/>
        </w:rPr>
      </w:pPr>
      <w:r>
        <w:rPr>
          <w:rFonts w:hint="eastAsia" w:ascii="宋体" w:hAnsi="宋体" w:cs="宋体"/>
          <w:color w:val="auto"/>
          <w:kern w:val="0"/>
          <w:sz w:val="24"/>
          <w:szCs w:val="24"/>
          <w:highlight w:val="none"/>
        </w:rPr>
        <w:t>附件2：</w:t>
      </w:r>
      <w:r>
        <w:rPr>
          <w:rFonts w:hint="eastAsia" w:ascii="宋体" w:hAnsi="宋体" w:cs="宋体"/>
          <w:snapToGrid w:val="0"/>
          <w:color w:val="auto"/>
          <w:sz w:val="24"/>
          <w:szCs w:val="24"/>
          <w:highlight w:val="none"/>
        </w:rPr>
        <w:t>中标通知书</w:t>
      </w:r>
    </w:p>
    <w:p>
      <w:pPr>
        <w:spacing w:line="360" w:lineRule="auto"/>
        <w:ind w:firstLine="420"/>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附件</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w:t>
      </w:r>
      <w:r>
        <w:rPr>
          <w:rFonts w:hint="eastAsia" w:ascii="宋体" w:hAnsi="宋体" w:cs="宋体"/>
          <w:color w:val="auto"/>
          <w:kern w:val="0"/>
          <w:sz w:val="24"/>
          <w:szCs w:val="24"/>
          <w:highlight w:val="none"/>
        </w:rPr>
        <w:t>拟投入本项目造价人员一览表</w:t>
      </w:r>
    </w:p>
    <w:p>
      <w:pPr>
        <w:spacing w:line="360" w:lineRule="auto"/>
        <w:ind w:firstLine="42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：投标函及投标函附录</w:t>
      </w:r>
    </w:p>
    <w:p>
      <w:pPr>
        <w:widowControl/>
        <w:spacing w:line="360" w:lineRule="auto"/>
        <w:ind w:firstLine="420" w:firstLineChars="175"/>
        <w:contextualSpacing/>
        <w:jc w:val="left"/>
        <w:rPr>
          <w:color w:val="auto"/>
          <w:highlight w:val="none"/>
        </w:rPr>
      </w:pPr>
      <w:r>
        <w:rPr>
          <w:rFonts w:hint="eastAsia" w:ascii="宋体" w:hAnsi="宋体" w:cs="宋体"/>
          <w:snapToGrid w:val="0"/>
          <w:color w:val="auto"/>
          <w:kern w:val="0"/>
          <w:sz w:val="24"/>
          <w:szCs w:val="24"/>
          <w:highlight w:val="none"/>
        </w:rPr>
        <w:t>附件5：乙方营业执照</w:t>
      </w:r>
    </w:p>
    <w:p>
      <w:pPr>
        <w:widowControl/>
        <w:spacing w:line="360" w:lineRule="auto"/>
        <w:ind w:firstLine="420" w:firstLineChars="175"/>
        <w:contextualSpacing/>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w:t>
      </w:r>
      <w:r>
        <w:rPr>
          <w:rFonts w:hint="eastAsia" w:ascii="宋体" w:hAnsi="宋体" w:cs="宋体"/>
          <w:color w:val="auto"/>
          <w:kern w:val="0"/>
          <w:sz w:val="24"/>
          <w:szCs w:val="24"/>
          <w:highlight w:val="none"/>
        </w:rPr>
        <w:t>造价咨询服务考核评分表</w:t>
      </w:r>
    </w:p>
    <w:p>
      <w:pPr>
        <w:widowControl/>
        <w:spacing w:line="360" w:lineRule="auto"/>
        <w:contextualSpacing/>
        <w:jc w:val="left"/>
        <w:outlineLvl w:val="0"/>
        <w:rPr>
          <w:rFonts w:ascii="宋体" w:hAnsi="宋体" w:cs="宋体"/>
          <w:snapToGrid w:val="0"/>
          <w:color w:val="auto"/>
          <w:sz w:val="24"/>
          <w:szCs w:val="24"/>
          <w:highlight w:val="none"/>
        </w:rPr>
      </w:pPr>
      <w:bookmarkStart w:id="24" w:name="_Toc834"/>
      <w:r>
        <w:rPr>
          <w:rFonts w:hint="eastAsia" w:ascii="宋体" w:hAnsi="宋体" w:cs="宋体"/>
          <w:snapToGrid w:val="0"/>
          <w:color w:val="auto"/>
          <w:sz w:val="24"/>
          <w:szCs w:val="24"/>
          <w:highlight w:val="none"/>
        </w:rPr>
        <w:t>（本页以下无正文）</w:t>
      </w:r>
      <w:r>
        <w:rPr>
          <w:rFonts w:ascii="宋体" w:hAnsi="宋体" w:cs="宋体"/>
          <w:snapToGrid w:val="0"/>
          <w:color w:val="auto"/>
          <w:sz w:val="24"/>
          <w:szCs w:val="24"/>
          <w:highlight w:val="none"/>
        </w:rPr>
        <w:br w:type="page"/>
      </w:r>
      <w:r>
        <w:rPr>
          <w:rFonts w:hint="eastAsia" w:ascii="宋体" w:hAnsi="宋体" w:cs="宋体"/>
          <w:snapToGrid w:val="0"/>
          <w:color w:val="auto"/>
          <w:sz w:val="24"/>
          <w:szCs w:val="24"/>
          <w:highlight w:val="none"/>
        </w:rPr>
        <w:t>附件1：</w:t>
      </w:r>
      <w:bookmarkEnd w:id="24"/>
    </w:p>
    <w:p>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工程建设廉洁协议书</w:t>
      </w:r>
    </w:p>
    <w:p>
      <w:pPr>
        <w:widowControl/>
        <w:adjustRightInd w:val="0"/>
        <w:snapToGrid w:val="0"/>
        <w:spacing w:line="360" w:lineRule="auto"/>
        <w:jc w:val="left"/>
        <w:rPr>
          <w:rFonts w:ascii="宋体" w:hAnsi="宋体"/>
          <w:snapToGrid w:val="0"/>
          <w:color w:val="auto"/>
          <w:kern w:val="0"/>
          <w:szCs w:val="32"/>
          <w:highlight w:val="none"/>
        </w:rPr>
      </w:pPr>
    </w:p>
    <w:p>
      <w:pPr>
        <w:widowControl/>
        <w:adjustRightInd w:val="0"/>
        <w:snapToGrid w:val="0"/>
        <w:spacing w:line="360" w:lineRule="auto"/>
        <w:jc w:val="left"/>
        <w:rPr>
          <w:rFonts w:hint="eastAsia"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工程项目名称：</w:t>
      </w:r>
      <w:r>
        <w:rPr>
          <w:rFonts w:hint="eastAsia" w:ascii="宋体" w:hAnsi="宋体"/>
          <w:color w:val="auto"/>
          <w:sz w:val="24"/>
          <w:szCs w:val="24"/>
          <w:highlight w:val="none"/>
          <w:u w:val="single"/>
          <w:lang w:eastAsia="zh-CN"/>
        </w:rPr>
        <w:t>增城开发区宁西家园项目全过程造价咨询服务</w:t>
      </w:r>
    </w:p>
    <w:p>
      <w:pPr>
        <w:widowControl/>
        <w:adjustRightInd w:val="0"/>
        <w:snapToGrid w:val="0"/>
        <w:spacing w:line="360" w:lineRule="auto"/>
        <w:jc w:val="left"/>
        <w:rPr>
          <w:rFonts w:hint="default" w:ascii="宋体" w:hAnsi="宋体" w:eastAsia="宋体"/>
          <w:snapToGrid w:val="0"/>
          <w:color w:val="auto"/>
          <w:kern w:val="0"/>
          <w:sz w:val="24"/>
          <w:szCs w:val="24"/>
          <w:highlight w:val="none"/>
          <w:u w:val="single"/>
          <w:lang w:val="en-US" w:eastAsia="zh-CN"/>
        </w:rPr>
      </w:pPr>
      <w:r>
        <w:rPr>
          <w:rFonts w:hint="eastAsia" w:ascii="宋体" w:hAnsi="宋体"/>
          <w:snapToGrid w:val="0"/>
          <w:color w:val="auto"/>
          <w:kern w:val="0"/>
          <w:sz w:val="24"/>
          <w:szCs w:val="24"/>
          <w:highlight w:val="none"/>
        </w:rPr>
        <w:t>工程项目地址：</w:t>
      </w:r>
      <w:r>
        <w:rPr>
          <w:rFonts w:hint="eastAsia" w:ascii="宋体" w:hAnsi="宋体" w:cs="Times New Roman"/>
          <w:color w:val="auto"/>
          <w:sz w:val="24"/>
          <w:szCs w:val="24"/>
          <w:highlight w:val="none"/>
          <w:u w:val="single"/>
          <w:lang w:val="en-US" w:eastAsia="zh-CN"/>
        </w:rPr>
        <w:t>广州市增城区宁西街沙宁路东侧</w:t>
      </w:r>
      <w:r>
        <w:rPr>
          <w:rFonts w:hint="eastAsia" w:ascii="宋体" w:hAnsi="宋体"/>
          <w:snapToGrid w:val="0"/>
          <w:color w:val="auto"/>
          <w:kern w:val="0"/>
          <w:sz w:val="24"/>
          <w:szCs w:val="24"/>
          <w:highlight w:val="none"/>
          <w:u w:val="single"/>
        </w:rPr>
        <w:t>。</w:t>
      </w:r>
      <w:r>
        <w:rPr>
          <w:rFonts w:hint="eastAsia" w:ascii="宋体" w:hAnsi="宋体"/>
          <w:snapToGrid w:val="0"/>
          <w:color w:val="auto"/>
          <w:kern w:val="0"/>
          <w:sz w:val="24"/>
          <w:szCs w:val="24"/>
          <w:highlight w:val="none"/>
          <w:lang w:val="en-US" w:eastAsia="zh-CN"/>
        </w:rPr>
        <w:t xml:space="preserve">             </w:t>
      </w:r>
    </w:p>
    <w:p>
      <w:pPr>
        <w:widowControl/>
        <w:adjustRightInd w:val="0"/>
        <w:snapToGrid w:val="0"/>
        <w:spacing w:line="360" w:lineRule="auto"/>
        <w:jc w:val="left"/>
        <w:rPr>
          <w:rFonts w:hint="eastAsia" w:ascii="宋体" w:hAnsi="宋体" w:eastAsia="宋体"/>
          <w:snapToGrid w:val="0"/>
          <w:color w:val="auto"/>
          <w:kern w:val="0"/>
          <w:sz w:val="24"/>
          <w:szCs w:val="24"/>
          <w:highlight w:val="none"/>
          <w:lang w:eastAsia="zh-CN"/>
        </w:rPr>
      </w:pPr>
      <w:r>
        <w:rPr>
          <w:rFonts w:hint="eastAsia" w:ascii="宋体" w:hAnsi="宋体"/>
          <w:snapToGrid w:val="0"/>
          <w:color w:val="auto"/>
          <w:kern w:val="0"/>
          <w:sz w:val="24"/>
          <w:szCs w:val="24"/>
          <w:highlight w:val="none"/>
        </w:rPr>
        <w:t>甲方（委托人）：</w:t>
      </w:r>
      <w:r>
        <w:rPr>
          <w:rFonts w:hint="eastAsia" w:ascii="宋体" w:hAnsi="宋体"/>
          <w:snapToGrid w:val="0"/>
          <w:color w:val="auto"/>
          <w:kern w:val="0"/>
          <w:sz w:val="24"/>
          <w:szCs w:val="24"/>
          <w:highlight w:val="none"/>
          <w:lang w:eastAsia="zh-CN"/>
        </w:rPr>
        <w:t>广州城祥投资发展有限公司</w:t>
      </w:r>
    </w:p>
    <w:p>
      <w:pPr>
        <w:widowControl/>
        <w:adjustRightInd w:val="0"/>
        <w:snapToGrid w:val="0"/>
        <w:spacing w:line="360" w:lineRule="auto"/>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乙方（受托人）：</w:t>
      </w:r>
      <w:r>
        <w:rPr>
          <w:rFonts w:hint="eastAsia" w:ascii="宋体" w:hAnsi="宋体"/>
          <w:snapToGrid w:val="0"/>
          <w:color w:val="auto"/>
          <w:spacing w:val="-20"/>
          <w:kern w:val="0"/>
          <w:sz w:val="24"/>
          <w:szCs w:val="24"/>
          <w:highlight w:val="none"/>
        </w:rPr>
        <w:t xml:space="preserve"> </w:t>
      </w:r>
    </w:p>
    <w:p>
      <w:pPr>
        <w:widowControl/>
        <w:adjustRightInd w:val="0"/>
        <w:snapToGrid w:val="0"/>
        <w:spacing w:line="360" w:lineRule="auto"/>
        <w:jc w:val="left"/>
        <w:rPr>
          <w:rFonts w:ascii="宋体" w:hAnsi="宋体"/>
          <w:snapToGrid w:val="0"/>
          <w:color w:val="auto"/>
          <w:kern w:val="0"/>
          <w:sz w:val="24"/>
          <w:szCs w:val="24"/>
          <w:highlight w:val="none"/>
        </w:rPr>
      </w:pP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为切实规范甲乙双方的各项建筑活动，预防本工程违法违纪等腐败现象的发生，保障工程建设优质、安全和廉洁，根据《广州市建筑市场廉洁准入规定》及相关法律法规的规定，特订立本协议书。</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第一条 甲乙双方责任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（一）严格遵守国家和省、市关于市场准入、项目招标投标、工程施工、工程验收、结算和市场活动等有关法律、法规，相关政策，以及廉政建设的各项约定。</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（二）严格执行建设工程项目承发包合同文件，自觉按合同办事。</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（四）发现对方在建筑活动中存在违规、违纪、违法行为的，有权向其上级主管部门或纪检监察、检察等有关机关举报。</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（五）甲乙双方单位监督部门应充分发挥各自职能作用，积极互动形成纵向监督合力，依照本协议书规定，对本工程廉洁从业情况实施监督，及时制止不廉洁行为的发生。</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第二条 甲方责任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（一）甲方领导干部和从事该工程建设的管理人员，在建筑活动中须严格遵守以下廉洁从业规定：</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1.不准向乙方和相关单位或个人索取钱物或接受回扣、礼金、各种有价证券、信用卡和好处费、感谢费以及其它支付凭证等。</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2.不准接受可能影响公正执行公务的乙方和相关单位或个人的礼物馈赠、宴请、各种形式俱乐部会员资格、高消费娱乐活动。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3.不准在乙方和相关单位报销任何应由甲方或个人负担的费用。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4.不准要求、暗示或接受乙方和相关单位或个人为自己、配偶、子女、其他亲属朋友及身边工作人员的装修住房、婚丧嫁娶、工作安排、学习培训、经商办企业以及出国（境）、旅游、度假等支付费用。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5.不准向乙方介绍配偶、子女、其他亲属朋友及身边工作人员参与同甲方项目工程合同有关的设备、材料、工程分包、劳务等经济活动。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6.不得以任何理由向乙方和相关单位推荐分包单位和要求或暗示乙方购买项目工程合同规定外的材料、设备等。</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（二）正式开工前组织与乙方廉洁责任人见面会，进行廉洁工程建设交底，明确廉洁工程建设责任和目标任务、举报方式。</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（三）加强对质量安全、计量支付、工程变更以及工程结算等建设管理环节的监督管理，特别是各业务审批效能方面的监察检查，提高建设管理服务水平。</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（四）在工地现场设置反腐倡廉举报箱和公开举报电话，并组织开展廉政座谈、法制讲座、参观监狱等活动，加强廉洁自律教育，营造廉洁工地文化氛围，筑牢文化防腐第一道防线。</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（五）成立现场监督工作机构，不定期对工地建设管理及监督工作情况开展巡查，对发现的有关问题，及时协调给予现场解决。</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第三条 乙方责任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（一）与甲方保持正常的业务交往，遵守以下规定：</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1.不准以任何理由向甲方人员行贿或赠送回扣、礼金、各种有价证券、信用卡和好处费、感谢费及其它支付凭证等。</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2.不准以任何理由为甲方人员组织有可能影响公正执行公务的宴请、各种形式俱乐部及高消费娱乐等活动。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3.不准以任何理由为甲方或个人报销应由对方或个人支付的费用。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4.不准暗示或要求为甲方人员及其配偶、子女、其他亲属朋友及身边工作人员的装修住房、婚丧嫁娶、工作安排、学习培训、经商办企业以及出国（境）、旅游、度假提供方便和支付费用。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5.不准介绍和安排甲方人员及其配偶、子女、其他亲属朋友及身边工作人员参与同甲方工程项目有关的设备、材料、工程分包、劳务等经济活动。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（二）细化内部廉洁工程建设任务，分解责任，明确落实到项目部管理人员，层层签订廉洁从业责任状，形成有效的管理机制。</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（三）成立现场施工监督工作组，负责项目部廉政责任组织落实，工地廉洁文化建设以及对现场实施进行监督管理，并接受甲方监督工作机构的再监督。</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（四）按甲方要求在工地项目部设置廉洁文化教育专区，开展观看警示教育片、图片展览等教育活动，加强对员工的法律法规、廉洁和职业道德教育。</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第四条 违约责任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（一）甲方违约责任</w:t>
      </w:r>
    </w:p>
    <w:p>
      <w:pPr>
        <w:widowControl/>
        <w:adjustRightInd w:val="0"/>
        <w:snapToGrid w:val="0"/>
        <w:spacing w:line="360" w:lineRule="auto"/>
        <w:ind w:firstLine="480" w:firstLineChars="200"/>
        <w:jc w:val="left"/>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1.甲方</w:t>
      </w:r>
      <w:r>
        <w:rPr>
          <w:rFonts w:hint="eastAsia" w:ascii="宋体" w:hAnsi="宋体"/>
          <w:bCs/>
          <w:snapToGrid w:val="0"/>
          <w:color w:val="auto"/>
          <w:kern w:val="0"/>
          <w:sz w:val="24"/>
          <w:szCs w:val="24"/>
          <w:highlight w:val="none"/>
        </w:rPr>
        <w:t>不履行或不完全履行本协议书有关责任义务给乙方造成损失的，在乙方提交足够证据并经查证属实的情况下，甲方赔偿其直接经济损失。</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2.甲方人员出现受贿等严重违法违纪违规行为的，按照管理权限，依据有关法律法规和规定给予党纪、政纪处分或组织处理；涉嫌犯罪的，移交司法机关追究刑事责任。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（二）乙方违约责任</w:t>
      </w:r>
    </w:p>
    <w:p>
      <w:pPr>
        <w:widowControl/>
        <w:adjustRightInd w:val="0"/>
        <w:snapToGrid w:val="0"/>
        <w:spacing w:line="360" w:lineRule="auto"/>
        <w:ind w:firstLine="480" w:firstLineChars="200"/>
        <w:jc w:val="left"/>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bCs/>
          <w:snapToGrid w:val="0"/>
          <w:color w:val="auto"/>
          <w:kern w:val="0"/>
          <w:sz w:val="24"/>
          <w:szCs w:val="24"/>
          <w:highlight w:val="none"/>
        </w:rPr>
        <w:t>乙方不履行或不完全履行本协议书有关责任义务的，</w:t>
      </w:r>
      <w:r>
        <w:rPr>
          <w:rFonts w:hint="eastAsia" w:ascii="宋体" w:hAnsi="宋体"/>
          <w:snapToGrid w:val="0"/>
          <w:color w:val="auto"/>
          <w:kern w:val="0"/>
          <w:sz w:val="24"/>
          <w:szCs w:val="24"/>
          <w:highlight w:val="none"/>
        </w:rPr>
        <w:t>按本工程合同</w:t>
      </w:r>
      <w:r>
        <w:rPr>
          <w:rFonts w:hint="eastAsia" w:ascii="宋体" w:hAnsi="宋体"/>
          <w:bCs/>
          <w:snapToGrid w:val="0"/>
          <w:color w:val="auto"/>
          <w:kern w:val="0"/>
          <w:sz w:val="24"/>
          <w:szCs w:val="24"/>
          <w:highlight w:val="none"/>
        </w:rPr>
        <w:t>规定须承担一次一般违约责任。情节较轻的，可给予书面警告；情节较重的，须承担一次严重违约责任。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bCs/>
          <w:snapToGrid w:val="0"/>
          <w:color w:val="auto"/>
          <w:kern w:val="0"/>
          <w:sz w:val="24"/>
          <w:szCs w:val="24"/>
          <w:highlight w:val="none"/>
        </w:rPr>
        <w:t>2.乙方</w:t>
      </w:r>
      <w:r>
        <w:rPr>
          <w:rFonts w:hint="eastAsia" w:ascii="宋体" w:hAnsi="宋体"/>
          <w:snapToGrid w:val="0"/>
          <w:color w:val="auto"/>
          <w:kern w:val="0"/>
          <w:sz w:val="24"/>
          <w:szCs w:val="24"/>
          <w:highlight w:val="none"/>
        </w:rPr>
        <w:t>出现严重违法违纪违规行为的，甲方将上报市检察院或监察机关依法查处，并提请建设行政主管部门根据《广州市建筑市场廉洁准入规定》给予限制或者取消其进入广州市建筑市场从事建筑活动的资格等处罚。</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第五条 甲乙双方监管部门</w:t>
      </w:r>
    </w:p>
    <w:p>
      <w:pPr>
        <w:widowControl/>
        <w:adjustRightInd w:val="0"/>
        <w:snapToGrid w:val="0"/>
        <w:spacing w:line="400" w:lineRule="exact"/>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1.甲方监督部门：纪检监察室，举报电话/电子邮箱：</w:t>
      </w:r>
    </w:p>
    <w:p>
      <w:pPr>
        <w:widowControl/>
        <w:adjustRightInd w:val="0"/>
        <w:snapToGrid w:val="0"/>
        <w:spacing w:line="400" w:lineRule="exact"/>
        <w:ind w:firstLine="480" w:firstLineChars="200"/>
        <w:jc w:val="left"/>
        <w:rPr>
          <w:rFonts w:ascii="宋体" w:hAnsi="宋体" w:cs="宋体"/>
          <w:color w:val="auto"/>
          <w:kern w:val="0"/>
          <w:sz w:val="24"/>
          <w:szCs w:val="24"/>
          <w:highlight w:val="none"/>
        </w:rPr>
      </w:pPr>
      <w:r>
        <w:rPr>
          <w:rFonts w:ascii="宋体" w:hAnsi="宋体"/>
          <w:color w:val="auto"/>
          <w:kern w:val="0"/>
          <w:sz w:val="24"/>
          <w:highlight w:val="none"/>
          <w:u w:val="single"/>
        </w:rPr>
        <w:t>020-</w:t>
      </w:r>
      <w:r>
        <w:rPr>
          <w:rFonts w:hint="eastAsia" w:ascii="宋体" w:hAnsi="宋体"/>
          <w:color w:val="auto"/>
          <w:kern w:val="0"/>
          <w:sz w:val="24"/>
          <w:highlight w:val="none"/>
          <w:u w:val="single"/>
          <w:lang w:val="en-US" w:eastAsia="zh-CN"/>
        </w:rPr>
        <w:t xml:space="preserve">    </w:t>
      </w:r>
      <w:r>
        <w:rPr>
          <w:rFonts w:hint="eastAsia" w:ascii="宋体" w:hAnsi="宋体"/>
          <w:snapToGrid w:val="0"/>
          <w:color w:val="auto"/>
          <w:kern w:val="0"/>
          <w:sz w:val="24"/>
          <w:szCs w:val="24"/>
          <w:highlight w:val="none"/>
          <w:u w:val="single"/>
        </w:rPr>
        <w:t>/</w:t>
      </w:r>
      <w:r>
        <w:rPr>
          <w:rFonts w:hint="eastAsia" w:ascii="宋体" w:hAnsi="宋体"/>
          <w:snapToGrid w:val="0"/>
          <w:color w:val="auto"/>
          <w:kern w:val="0"/>
          <w:sz w:val="24"/>
          <w:szCs w:val="24"/>
          <w:highlight w:val="none"/>
          <w:u w:val="single"/>
          <w:lang w:val="en-US" w:eastAsia="zh-CN"/>
        </w:rPr>
        <w:t xml:space="preserve">         </w:t>
      </w:r>
      <w:r>
        <w:rPr>
          <w:rFonts w:hint="eastAsia" w:ascii="宋体" w:hAnsi="宋体"/>
          <w:snapToGrid w:val="0"/>
          <w:color w:val="auto"/>
          <w:kern w:val="0"/>
          <w:sz w:val="24"/>
          <w:szCs w:val="24"/>
          <w:highlight w:val="none"/>
          <w:u w:val="single"/>
        </w:rPr>
        <w:t>（纪委书记信箱）</w:t>
      </w:r>
      <w:r>
        <w:rPr>
          <w:rFonts w:hint="eastAsia" w:ascii="宋体" w:hAnsi="宋体"/>
          <w:snapToGrid w:val="0"/>
          <w:color w:val="auto"/>
          <w:kern w:val="0"/>
          <w:sz w:val="24"/>
          <w:szCs w:val="24"/>
          <w:highlight w:val="none"/>
        </w:rPr>
        <w:t>。</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2.乙方监督部门：</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，举报电话：</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廉政责任人：</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，职务：</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，上级主管部门：</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第六条 本协议书作为合同的附件，与合同具有同等法律效力。经双方签字盖章后生效。</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第七条 本协议书有效期为双方签字盖章之日起至所属工程项目合同履行完毕时止。</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第八条 未尽事宜，由双方协商解决。</w:t>
      </w:r>
    </w:p>
    <w:p>
      <w:pPr>
        <w:widowControl/>
        <w:adjustRightInd w:val="0"/>
        <w:snapToGrid w:val="0"/>
        <w:spacing w:line="360" w:lineRule="auto"/>
        <w:jc w:val="left"/>
        <w:rPr>
          <w:rFonts w:ascii="宋体" w:hAnsi="宋体"/>
          <w:snapToGrid w:val="0"/>
          <w:color w:val="auto"/>
          <w:kern w:val="0"/>
          <w:sz w:val="24"/>
          <w:szCs w:val="24"/>
          <w:highlight w:val="none"/>
        </w:rPr>
      </w:pPr>
    </w:p>
    <w:p>
      <w:pPr>
        <w:widowControl/>
        <w:adjustRightInd w:val="0"/>
        <w:snapToGrid w:val="0"/>
        <w:spacing w:line="360" w:lineRule="auto"/>
        <w:ind w:firstLine="480" w:firstLineChars="200"/>
        <w:jc w:val="left"/>
        <w:rPr>
          <w:rFonts w:hint="eastAsia" w:ascii="宋体" w:hAnsi="宋体"/>
          <w:snapToGrid w:val="0"/>
          <w:color w:val="auto"/>
          <w:spacing w:val="0"/>
          <w:kern w:val="0"/>
          <w:sz w:val="24"/>
          <w:szCs w:val="24"/>
          <w:highlight w:val="none"/>
        </w:rPr>
      </w:pPr>
      <w:r>
        <w:rPr>
          <w:rFonts w:hint="eastAsia" w:ascii="宋体" w:hAnsi="宋体"/>
          <w:snapToGrid w:val="0"/>
          <w:color w:val="auto"/>
          <w:spacing w:val="0"/>
          <w:kern w:val="0"/>
          <w:sz w:val="24"/>
          <w:szCs w:val="24"/>
          <w:highlight w:val="none"/>
        </w:rPr>
        <w:t>甲方：</w:t>
      </w:r>
      <w:r>
        <w:rPr>
          <w:rFonts w:hint="eastAsia" w:ascii="宋体" w:hAnsi="宋体"/>
          <w:snapToGrid w:val="0"/>
          <w:color w:val="auto"/>
          <w:spacing w:val="0"/>
          <w:kern w:val="0"/>
          <w:sz w:val="24"/>
          <w:szCs w:val="24"/>
          <w:highlight w:val="none"/>
          <w:lang w:eastAsia="zh-CN"/>
        </w:rPr>
        <w:t>广州城祥投资发展有限公司</w:t>
      </w:r>
      <w:r>
        <w:rPr>
          <w:rFonts w:hint="eastAsia" w:ascii="宋体" w:hAnsi="宋体"/>
          <w:snapToGrid w:val="0"/>
          <w:color w:val="auto"/>
          <w:spacing w:val="0"/>
          <w:kern w:val="0"/>
          <w:sz w:val="24"/>
          <w:szCs w:val="24"/>
          <w:highlight w:val="none"/>
        </w:rPr>
        <w:t xml:space="preserve">   </w:t>
      </w:r>
      <w:r>
        <w:rPr>
          <w:rFonts w:hint="eastAsia" w:ascii="宋体" w:hAnsi="宋体"/>
          <w:snapToGrid w:val="0"/>
          <w:color w:val="auto"/>
          <w:spacing w:val="0"/>
          <w:kern w:val="0"/>
          <w:sz w:val="24"/>
          <w:szCs w:val="24"/>
          <w:highlight w:val="none"/>
          <w:lang w:val="en-US" w:eastAsia="zh-CN"/>
        </w:rPr>
        <w:t xml:space="preserve">   </w:t>
      </w:r>
      <w:r>
        <w:rPr>
          <w:rFonts w:hint="eastAsia" w:ascii="宋体" w:hAnsi="宋体"/>
          <w:snapToGrid w:val="0"/>
          <w:color w:val="auto"/>
          <w:spacing w:val="0"/>
          <w:kern w:val="0"/>
          <w:sz w:val="24"/>
          <w:szCs w:val="24"/>
          <w:highlight w:val="none"/>
        </w:rPr>
        <w:t xml:space="preserve"> 乙方：   </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（盖章）       </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 xml:space="preserve"> </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 xml:space="preserve">     （盖章）</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委托代理人：                            委托代理人：</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p>
    <w:p>
      <w:pPr>
        <w:widowControl/>
        <w:adjustRightInd w:val="0"/>
        <w:snapToGrid w:val="0"/>
        <w:spacing w:line="360" w:lineRule="auto"/>
        <w:ind w:firstLine="480" w:firstLineChars="200"/>
        <w:contextualSpacing w:val="0"/>
        <w:jc w:val="left"/>
        <w:rPr>
          <w:rFonts w:hint="eastAsia" w:ascii="宋体" w:hAnsi="宋体" w:cs="Times New Roman"/>
          <w:snapToGrid w:val="0"/>
          <w:color w:val="auto"/>
          <w:kern w:val="0"/>
          <w:sz w:val="24"/>
          <w:szCs w:val="24"/>
          <w:highlight w:val="none"/>
        </w:rPr>
      </w:pPr>
      <w:r>
        <w:rPr>
          <w:rFonts w:hint="eastAsia" w:ascii="宋体" w:hAnsi="宋体" w:cs="Times New Roman"/>
          <w:snapToGrid w:val="0"/>
          <w:color w:val="auto"/>
          <w:kern w:val="0"/>
          <w:sz w:val="24"/>
          <w:szCs w:val="24"/>
          <w:highlight w:val="none"/>
        </w:rPr>
        <w:t>日期：    年  月  日                    日期：    年  月  日</w:t>
      </w:r>
    </w:p>
    <w:p>
      <w:pPr>
        <w:widowControl/>
        <w:spacing w:line="360" w:lineRule="auto"/>
        <w:contextualSpacing/>
        <w:jc w:val="left"/>
        <w:rPr>
          <w:rFonts w:ascii="宋体" w:hAnsi="宋体" w:cs="宋体"/>
          <w:snapToGrid w:val="0"/>
          <w:color w:val="auto"/>
          <w:sz w:val="24"/>
          <w:szCs w:val="24"/>
          <w:highlight w:val="none"/>
        </w:rPr>
      </w:pPr>
    </w:p>
    <w:p>
      <w:pPr>
        <w:widowControl/>
        <w:spacing w:line="360" w:lineRule="auto"/>
        <w:contextualSpacing/>
        <w:jc w:val="left"/>
        <w:outlineLvl w:val="0"/>
        <w:rPr>
          <w:rFonts w:ascii="宋体" w:hAnsi="宋体" w:cs="宋体"/>
          <w:snapToGrid w:val="0"/>
          <w:color w:val="auto"/>
          <w:sz w:val="24"/>
          <w:szCs w:val="24"/>
          <w:highlight w:val="none"/>
        </w:rPr>
      </w:pPr>
      <w:r>
        <w:rPr>
          <w:rFonts w:ascii="宋体" w:hAnsi="宋体" w:cs="宋体"/>
          <w:snapToGrid w:val="0"/>
          <w:color w:val="auto"/>
          <w:sz w:val="24"/>
          <w:szCs w:val="24"/>
          <w:highlight w:val="none"/>
        </w:rPr>
        <w:br w:type="page"/>
      </w:r>
      <w:bookmarkStart w:id="25" w:name="_Toc14835"/>
      <w:r>
        <w:rPr>
          <w:rFonts w:hint="eastAsia" w:ascii="宋体" w:hAnsi="宋体" w:cs="宋体"/>
          <w:snapToGrid w:val="0"/>
          <w:color w:val="auto"/>
          <w:sz w:val="24"/>
          <w:szCs w:val="24"/>
          <w:highlight w:val="none"/>
        </w:rPr>
        <w:t>附件2：</w:t>
      </w:r>
      <w:bookmarkEnd w:id="25"/>
    </w:p>
    <w:p>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中标通知书</w:t>
      </w:r>
    </w:p>
    <w:p>
      <w:pPr>
        <w:widowControl/>
        <w:spacing w:line="360" w:lineRule="auto"/>
        <w:contextualSpacing/>
        <w:jc w:val="left"/>
        <w:outlineLvl w:val="0"/>
        <w:rPr>
          <w:rFonts w:ascii="宋体" w:hAnsi="宋体" w:cs="宋体"/>
          <w:b/>
          <w:snapToGrid w:val="0"/>
          <w:color w:val="auto"/>
          <w:kern w:val="0"/>
          <w:sz w:val="32"/>
          <w:szCs w:val="32"/>
          <w:highlight w:val="none"/>
        </w:rPr>
      </w:pPr>
      <w:r>
        <w:rPr>
          <w:rFonts w:ascii="宋体" w:hAnsi="宋体" w:cs="宋体"/>
          <w:snapToGrid w:val="0"/>
          <w:color w:val="auto"/>
          <w:sz w:val="24"/>
          <w:szCs w:val="24"/>
          <w:highlight w:val="none"/>
        </w:rPr>
        <w:br w:type="page"/>
      </w:r>
      <w:bookmarkStart w:id="26" w:name="_Toc3488"/>
      <w:r>
        <w:rPr>
          <w:rFonts w:hint="eastAsia" w:ascii="宋体" w:hAnsi="宋体" w:cs="宋体"/>
          <w:snapToGrid w:val="0"/>
          <w:color w:val="auto"/>
          <w:sz w:val="24"/>
          <w:szCs w:val="24"/>
          <w:highlight w:val="none"/>
        </w:rPr>
        <w:t>附件3：</w:t>
      </w:r>
    </w:p>
    <w:p>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拟投入本项目造价人员一览表</w:t>
      </w:r>
    </w:p>
    <w:p>
      <w:pPr>
        <w:widowControl/>
        <w:spacing w:line="240" w:lineRule="auto"/>
        <w:contextualSpacing w:val="0"/>
        <w:jc w:val="left"/>
        <w:outlineLvl w:val="9"/>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br w:type="page"/>
      </w:r>
    </w:p>
    <w:bookmarkEnd w:id="26"/>
    <w:p>
      <w:pPr>
        <w:rPr>
          <w:rFonts w:hint="eastAsia"/>
          <w:color w:val="auto"/>
          <w:sz w:val="24"/>
          <w:szCs w:val="24"/>
          <w:highlight w:val="none"/>
        </w:rPr>
      </w:pPr>
      <w:r>
        <w:rPr>
          <w:rFonts w:hint="eastAsia"/>
          <w:color w:val="auto"/>
          <w:sz w:val="24"/>
          <w:szCs w:val="24"/>
          <w:highlight w:val="none"/>
        </w:rPr>
        <w:t>附件</w:t>
      </w:r>
      <w:r>
        <w:rPr>
          <w:rFonts w:hint="eastAsia"/>
          <w:color w:val="auto"/>
          <w:sz w:val="24"/>
          <w:szCs w:val="24"/>
          <w:highlight w:val="none"/>
          <w:lang w:val="en-US" w:eastAsia="zh-CN"/>
        </w:rPr>
        <w:t>4</w:t>
      </w:r>
      <w:r>
        <w:rPr>
          <w:rFonts w:hint="eastAsia"/>
          <w:color w:val="auto"/>
          <w:sz w:val="24"/>
          <w:szCs w:val="24"/>
          <w:highlight w:val="none"/>
        </w:rPr>
        <w:t>：投标函及投标函附录</w:t>
      </w:r>
    </w:p>
    <w:p>
      <w:pPr>
        <w:rPr>
          <w:rFonts w:hint="eastAsia"/>
          <w:color w:val="auto"/>
          <w:sz w:val="24"/>
          <w:szCs w:val="24"/>
          <w:highlight w:val="none"/>
        </w:rPr>
      </w:pPr>
      <w:r>
        <w:rPr>
          <w:rFonts w:hint="eastAsia"/>
          <w:color w:val="auto"/>
          <w:sz w:val="24"/>
          <w:szCs w:val="24"/>
          <w:highlight w:val="none"/>
        </w:rPr>
        <w:br w:type="page"/>
      </w:r>
    </w:p>
    <w:p>
      <w:pPr>
        <w:widowControl/>
        <w:spacing w:line="240" w:lineRule="auto"/>
        <w:contextualSpacing w:val="0"/>
        <w:jc w:val="left"/>
        <w:rPr>
          <w:rFonts w:ascii="宋体" w:hAnsi="宋体" w:cs="宋体"/>
          <w:color w:val="auto"/>
          <w:kern w:val="0"/>
          <w:sz w:val="24"/>
          <w:szCs w:val="24"/>
          <w:highlight w:val="none"/>
        </w:rPr>
      </w:pPr>
      <w:r>
        <w:rPr>
          <w:rFonts w:hint="eastAsia" w:ascii="宋体" w:hAnsi="宋体" w:cs="宋体"/>
          <w:snapToGrid w:val="0"/>
          <w:color w:val="auto"/>
          <w:sz w:val="24"/>
          <w:szCs w:val="24"/>
          <w:highlight w:val="none"/>
        </w:rPr>
        <w:t>附件5：</w:t>
      </w:r>
      <w:r>
        <w:rPr>
          <w:rFonts w:hint="eastAsia"/>
          <w:color w:val="auto"/>
          <w:sz w:val="24"/>
          <w:szCs w:val="24"/>
          <w:highlight w:val="none"/>
        </w:rPr>
        <w:t>乙方营业执照</w:t>
      </w:r>
    </w:p>
    <w:p>
      <w:pPr>
        <w:widowControl/>
        <w:spacing w:line="360" w:lineRule="auto"/>
        <w:contextualSpacing/>
        <w:jc w:val="left"/>
        <w:outlineLvl w:val="0"/>
        <w:rPr>
          <w:color w:val="auto"/>
          <w:highlight w:val="none"/>
        </w:rPr>
      </w:pPr>
      <w:r>
        <w:rPr>
          <w:rFonts w:ascii="宋体" w:hAnsi="宋体" w:cs="宋体"/>
          <w:snapToGrid w:val="0"/>
          <w:color w:val="auto"/>
          <w:sz w:val="24"/>
          <w:szCs w:val="24"/>
          <w:highlight w:val="none"/>
        </w:rPr>
        <w:br w:type="page"/>
      </w:r>
    </w:p>
    <w:p>
      <w:pPr>
        <w:widowControl/>
        <w:jc w:val="left"/>
        <w:rPr>
          <w:rFonts w:hint="eastAsia"/>
          <w:color w:val="auto"/>
          <w:sz w:val="24"/>
          <w:szCs w:val="24"/>
          <w:highlight w:val="none"/>
        </w:rPr>
      </w:pPr>
      <w:r>
        <w:rPr>
          <w:rFonts w:hint="eastAsia"/>
          <w:color w:val="auto"/>
          <w:sz w:val="24"/>
          <w:szCs w:val="24"/>
          <w:highlight w:val="none"/>
        </w:rPr>
        <w:t>附件</w:t>
      </w:r>
      <w:r>
        <w:rPr>
          <w:rFonts w:hint="eastAsia"/>
          <w:color w:val="auto"/>
          <w:sz w:val="24"/>
          <w:szCs w:val="24"/>
          <w:highlight w:val="none"/>
          <w:lang w:val="en-US" w:eastAsia="zh-CN"/>
        </w:rPr>
        <w:t>5</w:t>
      </w:r>
      <w:r>
        <w:rPr>
          <w:rFonts w:hint="eastAsia"/>
          <w:color w:val="auto"/>
          <w:sz w:val="24"/>
          <w:szCs w:val="24"/>
          <w:highlight w:val="none"/>
        </w:rPr>
        <w:t>：</w:t>
      </w:r>
    </w:p>
    <w:p>
      <w:pPr>
        <w:widowControl/>
        <w:adjustRightInd w:val="0"/>
        <w:snapToGrid w:val="0"/>
        <w:spacing w:line="360" w:lineRule="auto"/>
        <w:jc w:val="center"/>
        <w:rPr>
          <w:rFonts w:ascii="仿宋" w:hAnsi="仿宋" w:eastAsia="仿宋"/>
          <w:b/>
          <w:snapToGrid w:val="0"/>
          <w:color w:val="auto"/>
          <w:kern w:val="0"/>
          <w:sz w:val="32"/>
          <w:szCs w:val="32"/>
          <w:highlight w:val="none"/>
        </w:rPr>
      </w:pPr>
      <w:r>
        <w:rPr>
          <w:rFonts w:hint="eastAsia" w:ascii="仿宋" w:hAnsi="仿宋" w:eastAsia="仿宋"/>
          <w:b/>
          <w:snapToGrid w:val="0"/>
          <w:color w:val="auto"/>
          <w:kern w:val="0"/>
          <w:sz w:val="32"/>
          <w:szCs w:val="32"/>
          <w:highlight w:val="none"/>
        </w:rPr>
        <w:t>造价咨询服务考核评分表</w:t>
      </w:r>
    </w:p>
    <w:tbl>
      <w:tblPr>
        <w:tblStyle w:val="21"/>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05"/>
        <w:gridCol w:w="722"/>
        <w:gridCol w:w="573"/>
        <w:gridCol w:w="4936"/>
        <w:gridCol w:w="95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7" w:type="dxa"/>
            <w:noWrap w:val="0"/>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序号</w:t>
            </w:r>
          </w:p>
        </w:tc>
        <w:tc>
          <w:tcPr>
            <w:tcW w:w="1105" w:type="dxa"/>
            <w:noWrap w:val="0"/>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检查项目</w:t>
            </w:r>
          </w:p>
        </w:tc>
        <w:tc>
          <w:tcPr>
            <w:tcW w:w="722" w:type="dxa"/>
            <w:noWrap w:val="0"/>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基本分</w:t>
            </w:r>
          </w:p>
        </w:tc>
        <w:tc>
          <w:tcPr>
            <w:tcW w:w="573" w:type="dxa"/>
            <w:noWrap w:val="0"/>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权重</w:t>
            </w:r>
          </w:p>
        </w:tc>
        <w:tc>
          <w:tcPr>
            <w:tcW w:w="4936" w:type="dxa"/>
            <w:noWrap w:val="0"/>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检查扣分标准</w:t>
            </w:r>
          </w:p>
        </w:tc>
        <w:tc>
          <w:tcPr>
            <w:tcW w:w="955" w:type="dxa"/>
            <w:noWrap w:val="0"/>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扣分/加分理由</w:t>
            </w:r>
          </w:p>
        </w:tc>
        <w:tc>
          <w:tcPr>
            <w:tcW w:w="575" w:type="dxa"/>
            <w:noWrap w:val="0"/>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17"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一</w:t>
            </w:r>
          </w:p>
        </w:tc>
        <w:tc>
          <w:tcPr>
            <w:tcW w:w="1105"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造价控制</w:t>
            </w:r>
          </w:p>
        </w:tc>
        <w:tc>
          <w:tcPr>
            <w:tcW w:w="722" w:type="dxa"/>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30%</w:t>
            </w:r>
          </w:p>
        </w:tc>
        <w:tc>
          <w:tcPr>
            <w:tcW w:w="4936" w:type="dxa"/>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1.本项目结算总金额超出概算对应批复总金额的，本项不得分。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2.未按合同要求提出限额设计量化指标，扣10分。</w:t>
            </w:r>
          </w:p>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rPr>
              <w:t>未按合同要求提交投资控制报告的，每次扣1分。</w:t>
            </w:r>
          </w:p>
        </w:tc>
        <w:tc>
          <w:tcPr>
            <w:tcW w:w="955" w:type="dxa"/>
            <w:noWrap w:val="0"/>
            <w:vAlign w:val="center"/>
          </w:tcPr>
          <w:p>
            <w:pPr>
              <w:widowControl/>
              <w:jc w:val="left"/>
              <w:rPr>
                <w:rFonts w:ascii="仿宋" w:hAnsi="仿宋" w:eastAsia="仿宋" w:cs="宋体"/>
                <w:color w:val="auto"/>
                <w:kern w:val="0"/>
                <w:szCs w:val="21"/>
                <w:highlight w:val="none"/>
              </w:rPr>
            </w:pPr>
          </w:p>
        </w:tc>
        <w:tc>
          <w:tcPr>
            <w:tcW w:w="575" w:type="dxa"/>
            <w:noWrap w:val="0"/>
            <w:vAlign w:val="center"/>
          </w:tcPr>
          <w:p>
            <w:pPr>
              <w:widowControl/>
              <w:jc w:val="left"/>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17"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二</w:t>
            </w:r>
          </w:p>
        </w:tc>
        <w:tc>
          <w:tcPr>
            <w:tcW w:w="1105"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人员驻场情况</w:t>
            </w:r>
          </w:p>
        </w:tc>
        <w:tc>
          <w:tcPr>
            <w:tcW w:w="722" w:type="dxa"/>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p>
        </w:tc>
        <w:tc>
          <w:tcPr>
            <w:tcW w:w="4936" w:type="dxa"/>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乙方未按合同要求投入人员（含驻场人员）的，或甲方提出驻场要求时乙方未及时安排人员进行驻场服务的，或甲方要求更换驻场人员时乙方未及时更换的，每出现一次扣</w:t>
            </w:r>
            <w:r>
              <w:rPr>
                <w:rFonts w:ascii="仿宋" w:hAnsi="仿宋" w:eastAsia="仿宋" w:cs="宋体"/>
                <w:color w:val="auto"/>
                <w:kern w:val="0"/>
                <w:szCs w:val="21"/>
                <w:highlight w:val="none"/>
              </w:rPr>
              <w:t>10</w:t>
            </w:r>
            <w:r>
              <w:rPr>
                <w:rFonts w:hint="eastAsia" w:ascii="仿宋" w:hAnsi="仿宋" w:eastAsia="仿宋" w:cs="宋体"/>
                <w:color w:val="auto"/>
                <w:kern w:val="0"/>
                <w:szCs w:val="21"/>
                <w:highlight w:val="none"/>
              </w:rPr>
              <w:t>分</w:t>
            </w:r>
            <w:r>
              <w:rPr>
                <w:rFonts w:ascii="仿宋" w:hAnsi="仿宋" w:eastAsia="仿宋" w:cs="宋体"/>
                <w:color w:val="auto"/>
                <w:kern w:val="0"/>
                <w:szCs w:val="21"/>
                <w:highlight w:val="none"/>
              </w:rPr>
              <w:t>/次.人</w:t>
            </w:r>
            <w:r>
              <w:rPr>
                <w:rFonts w:hint="eastAsia" w:ascii="仿宋" w:hAnsi="仿宋" w:eastAsia="仿宋" w:cs="宋体"/>
                <w:color w:val="auto"/>
                <w:kern w:val="0"/>
                <w:szCs w:val="21"/>
                <w:highlight w:val="none"/>
              </w:rPr>
              <w:t>。（以甲方发出的书面文件认定）</w:t>
            </w:r>
          </w:p>
        </w:tc>
        <w:tc>
          <w:tcPr>
            <w:tcW w:w="955" w:type="dxa"/>
            <w:noWrap w:val="0"/>
            <w:vAlign w:val="center"/>
          </w:tcPr>
          <w:p>
            <w:pPr>
              <w:widowControl/>
              <w:jc w:val="left"/>
              <w:rPr>
                <w:rFonts w:ascii="仿宋" w:hAnsi="仿宋" w:eastAsia="仿宋" w:cs="宋体"/>
                <w:color w:val="auto"/>
                <w:kern w:val="0"/>
                <w:szCs w:val="21"/>
                <w:highlight w:val="none"/>
              </w:rPr>
            </w:pPr>
          </w:p>
        </w:tc>
        <w:tc>
          <w:tcPr>
            <w:tcW w:w="575" w:type="dxa"/>
            <w:noWrap w:val="0"/>
            <w:vAlign w:val="center"/>
          </w:tcPr>
          <w:p>
            <w:pPr>
              <w:widowControl/>
              <w:jc w:val="left"/>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17"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三</w:t>
            </w:r>
          </w:p>
        </w:tc>
        <w:tc>
          <w:tcPr>
            <w:tcW w:w="1105"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工作效率</w:t>
            </w:r>
          </w:p>
        </w:tc>
        <w:tc>
          <w:tcPr>
            <w:tcW w:w="722" w:type="dxa"/>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p>
        </w:tc>
        <w:tc>
          <w:tcPr>
            <w:tcW w:w="4936" w:type="dxa"/>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未在合同约定期限内完成工作的，每超出1天，扣2分。</w:t>
            </w:r>
          </w:p>
        </w:tc>
        <w:tc>
          <w:tcPr>
            <w:tcW w:w="955" w:type="dxa"/>
            <w:noWrap w:val="0"/>
            <w:vAlign w:val="center"/>
          </w:tcPr>
          <w:p>
            <w:pPr>
              <w:widowControl/>
              <w:jc w:val="left"/>
              <w:rPr>
                <w:rFonts w:ascii="仿宋" w:hAnsi="仿宋" w:eastAsia="仿宋" w:cs="宋体"/>
                <w:color w:val="auto"/>
                <w:kern w:val="0"/>
                <w:szCs w:val="21"/>
                <w:highlight w:val="none"/>
              </w:rPr>
            </w:pPr>
          </w:p>
        </w:tc>
        <w:tc>
          <w:tcPr>
            <w:tcW w:w="575" w:type="dxa"/>
            <w:noWrap w:val="0"/>
            <w:vAlign w:val="center"/>
          </w:tcPr>
          <w:p>
            <w:pPr>
              <w:widowControl/>
              <w:jc w:val="center"/>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17"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四</w:t>
            </w:r>
          </w:p>
        </w:tc>
        <w:tc>
          <w:tcPr>
            <w:tcW w:w="1105"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造价文件审核质量</w:t>
            </w:r>
          </w:p>
        </w:tc>
        <w:tc>
          <w:tcPr>
            <w:tcW w:w="722" w:type="dxa"/>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30%</w:t>
            </w:r>
          </w:p>
        </w:tc>
        <w:tc>
          <w:tcPr>
            <w:tcW w:w="4936" w:type="dxa"/>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经核实审核质量确属造价咨询单位责任的，按以下标准扣分：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1、招标工程量清单及控制价计算错误、列项错误、描述错误，出现缺项漏项等引起合同增减额超过1%的，每次扣10分；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2、合同支付审核出现差错或资料不齐，每单扣2分；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hint="eastAsia" w:ascii="仿宋" w:hAnsi="仿宋" w:eastAsia="仿宋"/>
                <w:color w:val="auto"/>
                <w:szCs w:val="20"/>
                <w:highlight w:val="none"/>
              </w:rPr>
              <w:t>主材单价有综合价不执行、主材单价质量偏差率超过20 %、统计错误5万元以上、文件执行错误的，</w:t>
            </w:r>
            <w:r>
              <w:rPr>
                <w:rFonts w:hint="eastAsia" w:ascii="仿宋" w:hAnsi="仿宋" w:eastAsia="仿宋" w:cs="宋体"/>
                <w:color w:val="auto"/>
                <w:kern w:val="0"/>
                <w:szCs w:val="21"/>
                <w:highlight w:val="none"/>
              </w:rPr>
              <w:t>每次扣2分。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4、合同结算审核与经第三方结算审计结果0.3%≤偏差率＜0.5%，每次扣1分；0.5%≤偏差率≤1%，每次扣2分；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5、工程造价文件质量（含预算、招标控制价、结算）偏差率超过合同规定的，本项不得分。</w:t>
            </w:r>
          </w:p>
        </w:tc>
        <w:tc>
          <w:tcPr>
            <w:tcW w:w="955" w:type="dxa"/>
            <w:noWrap w:val="0"/>
            <w:vAlign w:val="center"/>
          </w:tcPr>
          <w:p>
            <w:pPr>
              <w:widowControl/>
              <w:jc w:val="left"/>
              <w:rPr>
                <w:rFonts w:ascii="仿宋" w:hAnsi="仿宋" w:eastAsia="仿宋" w:cs="宋体"/>
                <w:color w:val="auto"/>
                <w:kern w:val="0"/>
                <w:szCs w:val="21"/>
                <w:highlight w:val="none"/>
              </w:rPr>
            </w:pPr>
          </w:p>
        </w:tc>
        <w:tc>
          <w:tcPr>
            <w:tcW w:w="575" w:type="dxa"/>
            <w:noWrap w:val="0"/>
            <w:vAlign w:val="center"/>
          </w:tcPr>
          <w:p>
            <w:pPr>
              <w:widowControl/>
              <w:jc w:val="center"/>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17"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五</w:t>
            </w:r>
          </w:p>
        </w:tc>
        <w:tc>
          <w:tcPr>
            <w:tcW w:w="1105" w:type="dxa"/>
            <w:noWrap w:val="0"/>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增值服务（如有）</w:t>
            </w:r>
          </w:p>
        </w:tc>
        <w:tc>
          <w:tcPr>
            <w:tcW w:w="722" w:type="dxa"/>
            <w:noWrap w:val="0"/>
            <w:vAlign w:val="center"/>
          </w:tcPr>
          <w:p>
            <w:pPr>
              <w:widowControl/>
              <w:jc w:val="center"/>
              <w:rPr>
                <w:rFonts w:ascii="仿宋" w:hAnsi="仿宋" w:eastAsia="仿宋" w:cs="宋体"/>
                <w:color w:val="auto"/>
                <w:kern w:val="0"/>
                <w:szCs w:val="21"/>
                <w:highlight w:val="none"/>
              </w:rPr>
            </w:pPr>
          </w:p>
        </w:tc>
        <w:tc>
          <w:tcPr>
            <w:tcW w:w="573" w:type="dxa"/>
            <w:noWrap w:val="0"/>
            <w:vAlign w:val="center"/>
          </w:tcPr>
          <w:p>
            <w:pPr>
              <w:widowControl/>
              <w:jc w:val="center"/>
              <w:rPr>
                <w:rFonts w:ascii="仿宋" w:hAnsi="仿宋" w:eastAsia="仿宋" w:cs="宋体"/>
                <w:color w:val="auto"/>
                <w:kern w:val="0"/>
                <w:szCs w:val="21"/>
                <w:highlight w:val="none"/>
              </w:rPr>
            </w:pPr>
          </w:p>
        </w:tc>
        <w:tc>
          <w:tcPr>
            <w:tcW w:w="4936" w:type="dxa"/>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积极主动配合甲方的工作需求，提供合同约定范围外的造价咨询服务工作的，包括但不限于提供咨询服务、专业培训等，根据增值服务工作的重要性及完成质量，每提供一次增值服务加分1-2分；如增值服务获得甲方表扬信，再加3分。</w:t>
            </w:r>
          </w:p>
        </w:tc>
        <w:tc>
          <w:tcPr>
            <w:tcW w:w="955" w:type="dxa"/>
            <w:noWrap w:val="0"/>
            <w:vAlign w:val="center"/>
          </w:tcPr>
          <w:p>
            <w:pPr>
              <w:widowControl/>
              <w:jc w:val="left"/>
              <w:rPr>
                <w:rFonts w:ascii="仿宋" w:hAnsi="仿宋" w:eastAsia="仿宋" w:cs="宋体"/>
                <w:color w:val="auto"/>
                <w:kern w:val="0"/>
                <w:szCs w:val="21"/>
                <w:highlight w:val="none"/>
              </w:rPr>
            </w:pPr>
          </w:p>
        </w:tc>
        <w:tc>
          <w:tcPr>
            <w:tcW w:w="575" w:type="dxa"/>
            <w:noWrap w:val="0"/>
            <w:vAlign w:val="center"/>
          </w:tcPr>
          <w:p>
            <w:pPr>
              <w:widowControl/>
              <w:jc w:val="center"/>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7" w:type="dxa"/>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分值汇总</w:t>
            </w:r>
          </w:p>
        </w:tc>
        <w:tc>
          <w:tcPr>
            <w:tcW w:w="1105" w:type="dxa"/>
            <w:noWrap w:val="0"/>
            <w:vAlign w:val="center"/>
          </w:tcPr>
          <w:p>
            <w:pPr>
              <w:widowControl/>
              <w:jc w:val="center"/>
              <w:rPr>
                <w:rFonts w:ascii="仿宋" w:hAnsi="仿宋" w:eastAsia="仿宋" w:cs="宋体"/>
                <w:color w:val="auto"/>
                <w:kern w:val="0"/>
                <w:szCs w:val="21"/>
                <w:highlight w:val="none"/>
              </w:rPr>
            </w:pPr>
          </w:p>
        </w:tc>
        <w:tc>
          <w:tcPr>
            <w:tcW w:w="722" w:type="dxa"/>
            <w:noWrap w:val="0"/>
            <w:vAlign w:val="top"/>
          </w:tcPr>
          <w:p>
            <w:pPr>
              <w:widowControl/>
              <w:jc w:val="center"/>
              <w:rPr>
                <w:rFonts w:ascii="仿宋" w:hAnsi="仿宋" w:eastAsia="仿宋" w:cs="宋体"/>
                <w:color w:val="auto"/>
                <w:kern w:val="0"/>
                <w:szCs w:val="21"/>
                <w:highlight w:val="none"/>
              </w:rPr>
            </w:pPr>
          </w:p>
        </w:tc>
        <w:tc>
          <w:tcPr>
            <w:tcW w:w="573" w:type="dxa"/>
            <w:noWrap w:val="0"/>
            <w:vAlign w:val="center"/>
          </w:tcPr>
          <w:p>
            <w:pPr>
              <w:widowControl/>
              <w:jc w:val="center"/>
              <w:rPr>
                <w:rFonts w:ascii="仿宋" w:hAnsi="仿宋" w:eastAsia="仿宋" w:cs="宋体"/>
                <w:color w:val="auto"/>
                <w:kern w:val="0"/>
                <w:szCs w:val="21"/>
                <w:highlight w:val="none"/>
              </w:rPr>
            </w:pPr>
          </w:p>
        </w:tc>
        <w:tc>
          <w:tcPr>
            <w:tcW w:w="6466" w:type="dxa"/>
            <w:gridSpan w:val="3"/>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　</w:t>
            </w:r>
            <w:r>
              <w:rPr>
                <w:rFonts w:hint="eastAsia" w:ascii="仿宋" w:hAnsi="仿宋" w:eastAsia="仿宋" w:cs="宋体"/>
                <w:color w:val="auto"/>
                <w:kern w:val="0"/>
                <w:szCs w:val="21"/>
                <w:highlight w:val="none"/>
              </w:rPr>
              <w:t>　</w:t>
            </w:r>
          </w:p>
        </w:tc>
      </w:tr>
    </w:tbl>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注：1、单项基本分为100分，单项合格基准分为60分。</w:t>
      </w:r>
    </w:p>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    2、第一～四项考核项目满分合计为100分，各项扣分=∑子项扣分*相应权重，扣分总额以该检查项目对应的分值为限，如同一行为符合两项或以上的扣分标准，则累加扣分；</w:t>
      </w:r>
    </w:p>
    <w:p>
      <w:pPr>
        <w:keepNext w:val="0"/>
        <w:keepLines w:val="0"/>
        <w:widowControl/>
        <w:spacing w:before="0" w:beforeLines="-2147483648" w:after="0" w:afterLines="-2147483648" w:line="240" w:lineRule="auto"/>
        <w:ind w:firstLine="400" w:firstLineChars="200"/>
        <w:jc w:val="left"/>
        <w:outlineLvl w:val="9"/>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3、第五项</w:t>
      </w:r>
      <w:r>
        <w:rPr>
          <w:rFonts w:hint="eastAsia" w:ascii="仿宋" w:hAnsi="仿宋" w:eastAsia="仿宋" w:cs="宋体"/>
          <w:color w:val="auto"/>
          <w:kern w:val="0"/>
          <w:sz w:val="20"/>
          <w:szCs w:val="20"/>
          <w:highlight w:val="none"/>
        </w:rPr>
        <w:t>为加分条件，在第一～四项考核分数的基础上直接加分。</w:t>
      </w:r>
    </w:p>
    <w:p>
      <w:pPr>
        <w:keepNext w:val="0"/>
        <w:keepLines w:val="0"/>
        <w:widowControl/>
        <w:spacing w:before="0" w:beforeLines="-2147483648" w:after="0" w:afterLines="-2147483648" w:line="240" w:lineRule="auto"/>
        <w:ind w:firstLine="400" w:firstLineChars="200"/>
        <w:jc w:val="left"/>
        <w:outlineLvl w:val="9"/>
        <w:rPr>
          <w:color w:val="auto"/>
          <w:highlight w:val="none"/>
        </w:rPr>
      </w:pPr>
      <w:r>
        <w:rPr>
          <w:rFonts w:ascii="仿宋" w:hAnsi="仿宋" w:eastAsia="仿宋" w:cs="宋体"/>
          <w:color w:val="auto"/>
          <w:kern w:val="0"/>
          <w:sz w:val="20"/>
          <w:szCs w:val="20"/>
          <w:highlight w:val="none"/>
        </w:rPr>
        <w:t>4、最终</w:t>
      </w:r>
      <w:r>
        <w:rPr>
          <w:rFonts w:hint="eastAsia" w:ascii="仿宋" w:hAnsi="仿宋" w:eastAsia="仿宋" w:cs="宋体"/>
          <w:color w:val="auto"/>
          <w:kern w:val="0"/>
          <w:sz w:val="20"/>
          <w:szCs w:val="20"/>
          <w:highlight w:val="none"/>
        </w:rPr>
        <w:t>考核得分</w:t>
      </w:r>
      <w:r>
        <w:rPr>
          <w:rFonts w:ascii="仿宋" w:hAnsi="仿宋" w:eastAsia="仿宋" w:cs="宋体"/>
          <w:color w:val="auto"/>
          <w:kern w:val="0"/>
          <w:sz w:val="20"/>
          <w:szCs w:val="20"/>
          <w:highlight w:val="none"/>
        </w:rPr>
        <w:t>=造价控制</w:t>
      </w:r>
      <w:r>
        <w:rPr>
          <w:rFonts w:hint="eastAsia" w:ascii="仿宋" w:hAnsi="仿宋" w:eastAsia="仿宋" w:cs="宋体"/>
          <w:color w:val="auto"/>
          <w:kern w:val="0"/>
          <w:sz w:val="20"/>
          <w:szCs w:val="20"/>
          <w:highlight w:val="none"/>
        </w:rPr>
        <w:t>得分</w:t>
      </w:r>
      <w:r>
        <w:rPr>
          <w:rFonts w:ascii="仿宋" w:hAnsi="仿宋" w:eastAsia="仿宋" w:cs="宋体"/>
          <w:color w:val="auto"/>
          <w:kern w:val="0"/>
          <w:sz w:val="20"/>
          <w:szCs w:val="20"/>
          <w:highlight w:val="none"/>
        </w:rPr>
        <w:t>*30%权重+人员驻场情况得分*20%权重+工作效率得分*20%权重+</w:t>
      </w:r>
      <w:r>
        <w:rPr>
          <w:rFonts w:hint="eastAsia" w:ascii="仿宋" w:hAnsi="仿宋" w:eastAsia="仿宋" w:cs="宋体"/>
          <w:color w:val="auto"/>
          <w:kern w:val="0"/>
          <w:sz w:val="20"/>
          <w:szCs w:val="20"/>
          <w:highlight w:val="none"/>
        </w:rPr>
        <w:t>造价文件审核质量得分</w:t>
      </w:r>
      <w:r>
        <w:rPr>
          <w:rFonts w:ascii="仿宋" w:hAnsi="仿宋" w:eastAsia="仿宋" w:cs="宋体"/>
          <w:color w:val="auto"/>
          <w:kern w:val="0"/>
          <w:sz w:val="20"/>
          <w:szCs w:val="20"/>
          <w:highlight w:val="none"/>
        </w:rPr>
        <w:t>*30%权重+增值服务得分</w:t>
      </w:r>
      <w:r>
        <w:rPr>
          <w:rFonts w:hint="eastAsia" w:ascii="仿宋" w:hAnsi="仿宋" w:eastAsia="仿宋" w:cs="宋体"/>
          <w:color w:val="auto"/>
          <w:kern w:val="0"/>
          <w:sz w:val="20"/>
          <w:szCs w:val="20"/>
          <w:highlight w:val="none"/>
        </w:rPr>
        <w:t>。最终考核合格分为60分。</w:t>
      </w:r>
    </w:p>
    <w:p>
      <w:pPr>
        <w:tabs>
          <w:tab w:val="left" w:pos="1633"/>
        </w:tabs>
        <w:jc w:val="both"/>
        <w:rPr>
          <w:rFonts w:hint="eastAsia" w:eastAsia="宋体"/>
          <w:color w:val="auto"/>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73CC7"/>
    <w:multiLevelType w:val="multilevel"/>
    <w:tmpl w:val="A6773CC7"/>
    <w:lvl w:ilvl="0" w:tentative="0">
      <w:start w:val="1"/>
      <w:numFmt w:val="none"/>
      <w:pStyle w:val="3"/>
      <w:isLgl/>
      <w:suff w:val="nothing"/>
      <w:lvlText w:val=""/>
      <w:lvlJc w:val="left"/>
      <w:pPr>
        <w:ind w:left="0" w:firstLine="0"/>
      </w:pPr>
      <w:rPr>
        <w:rFonts w:hint="eastAsia"/>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AA672A9A"/>
    <w:multiLevelType w:val="singleLevel"/>
    <w:tmpl w:val="AA672A9A"/>
    <w:lvl w:ilvl="0" w:tentative="0">
      <w:start w:val="1"/>
      <w:numFmt w:val="decimal"/>
      <w:lvlText w:val="(%1)"/>
      <w:lvlJc w:val="left"/>
      <w:pPr>
        <w:ind w:left="425" w:hanging="425"/>
      </w:pPr>
      <w:rPr>
        <w:rFonts w:hint="default"/>
      </w:rPr>
    </w:lvl>
  </w:abstractNum>
  <w:abstractNum w:abstractNumId="2">
    <w:nsid w:val="C231502C"/>
    <w:multiLevelType w:val="singleLevel"/>
    <w:tmpl w:val="C231502C"/>
    <w:lvl w:ilvl="0" w:tentative="0">
      <w:start w:val="1"/>
      <w:numFmt w:val="decimal"/>
      <w:lvlText w:val="(%1)"/>
      <w:lvlJc w:val="left"/>
      <w:pPr>
        <w:ind w:left="425" w:hanging="425"/>
      </w:pPr>
      <w:rPr>
        <w:rFonts w:hint="default"/>
      </w:rPr>
    </w:lvl>
  </w:abstractNum>
  <w:abstractNum w:abstractNumId="3">
    <w:nsid w:val="CE2C72EE"/>
    <w:multiLevelType w:val="singleLevel"/>
    <w:tmpl w:val="CE2C72EE"/>
    <w:lvl w:ilvl="0" w:tentative="0">
      <w:start w:val="1"/>
      <w:numFmt w:val="decimal"/>
      <w:lvlText w:val="(%1)"/>
      <w:lvlJc w:val="left"/>
      <w:pPr>
        <w:ind w:left="425" w:hanging="425"/>
      </w:pPr>
      <w:rPr>
        <w:rFonts w:hint="default"/>
      </w:rPr>
    </w:lvl>
  </w:abstractNum>
  <w:abstractNum w:abstractNumId="4">
    <w:nsid w:val="00671078"/>
    <w:multiLevelType w:val="multilevel"/>
    <w:tmpl w:val="0067107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704" w:hanging="420"/>
      </w:pPr>
      <w:rPr>
        <w:rFonts w:hint="eastAsia" w:ascii="仿宋_GB2312" w:eastAsia="仿宋_GB2312"/>
        <w:b w:val="0"/>
        <w:i w:val="0"/>
        <w:sz w:val="24"/>
        <w:lang w:val="en-US"/>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3A7431B"/>
    <w:multiLevelType w:val="singleLevel"/>
    <w:tmpl w:val="13A7431B"/>
    <w:lvl w:ilvl="0" w:tentative="0">
      <w:start w:val="1"/>
      <w:numFmt w:val="decimal"/>
      <w:lvlText w:val="(%1)"/>
      <w:lvlJc w:val="left"/>
      <w:pPr>
        <w:ind w:left="425" w:hanging="425"/>
      </w:pPr>
      <w:rPr>
        <w:rFonts w:hint="default"/>
      </w:rPr>
    </w:lvl>
  </w:abstractNum>
  <w:abstractNum w:abstractNumId="6">
    <w:nsid w:val="414864DD"/>
    <w:multiLevelType w:val="singleLevel"/>
    <w:tmpl w:val="414864DD"/>
    <w:lvl w:ilvl="0" w:tentative="0">
      <w:start w:val="1"/>
      <w:numFmt w:val="decimal"/>
      <w:lvlText w:val="(%1)"/>
      <w:lvlJc w:val="left"/>
      <w:pPr>
        <w:ind w:left="425" w:hanging="425"/>
      </w:pPr>
      <w:rPr>
        <w:rFonts w:hint="default"/>
      </w:rPr>
    </w:lvl>
  </w:abstractNum>
  <w:abstractNum w:abstractNumId="7">
    <w:nsid w:val="7AB8FF84"/>
    <w:multiLevelType w:val="singleLevel"/>
    <w:tmpl w:val="7AB8FF84"/>
    <w:lvl w:ilvl="0" w:tentative="0">
      <w:start w:val="1"/>
      <w:numFmt w:val="decimal"/>
      <w:lvlText w:val="(%1)"/>
      <w:lvlJc w:val="left"/>
      <w:pPr>
        <w:ind w:left="425" w:hanging="425"/>
      </w:pPr>
      <w:rPr>
        <w:rFont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NTk1ODdlYWFlYjRlOTYwYWJkYzkzY2MyY2FhNWQifQ=="/>
  </w:docVars>
  <w:rsids>
    <w:rsidRoot w:val="531F7F8A"/>
    <w:rsid w:val="00C47ACE"/>
    <w:rsid w:val="02757B5E"/>
    <w:rsid w:val="047F3622"/>
    <w:rsid w:val="05712158"/>
    <w:rsid w:val="074B2755"/>
    <w:rsid w:val="0AF91BE7"/>
    <w:rsid w:val="0E1E61DB"/>
    <w:rsid w:val="0EE40F6D"/>
    <w:rsid w:val="0F785DDC"/>
    <w:rsid w:val="0F8B4A6E"/>
    <w:rsid w:val="119E2038"/>
    <w:rsid w:val="14B61228"/>
    <w:rsid w:val="15175D77"/>
    <w:rsid w:val="156C44F9"/>
    <w:rsid w:val="173642DA"/>
    <w:rsid w:val="198836DB"/>
    <w:rsid w:val="1A14363D"/>
    <w:rsid w:val="1A2125ED"/>
    <w:rsid w:val="1BF30AF7"/>
    <w:rsid w:val="1E8B65FE"/>
    <w:rsid w:val="1F752ADA"/>
    <w:rsid w:val="1FF0272E"/>
    <w:rsid w:val="20B444D3"/>
    <w:rsid w:val="20D1671D"/>
    <w:rsid w:val="20ED58BD"/>
    <w:rsid w:val="21D82528"/>
    <w:rsid w:val="233375A6"/>
    <w:rsid w:val="23D90D4C"/>
    <w:rsid w:val="24631A48"/>
    <w:rsid w:val="25C5547F"/>
    <w:rsid w:val="27CB4038"/>
    <w:rsid w:val="2A747051"/>
    <w:rsid w:val="2D777DD6"/>
    <w:rsid w:val="2D7D1673"/>
    <w:rsid w:val="2D982709"/>
    <w:rsid w:val="30376A42"/>
    <w:rsid w:val="30EF713D"/>
    <w:rsid w:val="31525357"/>
    <w:rsid w:val="31FC065F"/>
    <w:rsid w:val="32E5128A"/>
    <w:rsid w:val="33742A1B"/>
    <w:rsid w:val="34B558C4"/>
    <w:rsid w:val="3626024B"/>
    <w:rsid w:val="365B06D1"/>
    <w:rsid w:val="38112C4F"/>
    <w:rsid w:val="3940655A"/>
    <w:rsid w:val="3AB234E3"/>
    <w:rsid w:val="3F856E91"/>
    <w:rsid w:val="41137275"/>
    <w:rsid w:val="4132084A"/>
    <w:rsid w:val="414F46B1"/>
    <w:rsid w:val="41552360"/>
    <w:rsid w:val="425E5AD9"/>
    <w:rsid w:val="44F70BEF"/>
    <w:rsid w:val="46DB2F7F"/>
    <w:rsid w:val="479560C8"/>
    <w:rsid w:val="48F04328"/>
    <w:rsid w:val="4A1E01A5"/>
    <w:rsid w:val="4B1164F8"/>
    <w:rsid w:val="4C04577D"/>
    <w:rsid w:val="4F76393F"/>
    <w:rsid w:val="4FB375FD"/>
    <w:rsid w:val="50871F2C"/>
    <w:rsid w:val="518F5D62"/>
    <w:rsid w:val="52C7720A"/>
    <w:rsid w:val="530701AA"/>
    <w:rsid w:val="531F7F8A"/>
    <w:rsid w:val="53415720"/>
    <w:rsid w:val="54166E9E"/>
    <w:rsid w:val="56650D6A"/>
    <w:rsid w:val="56875643"/>
    <w:rsid w:val="57B256D4"/>
    <w:rsid w:val="57C32E7A"/>
    <w:rsid w:val="58157169"/>
    <w:rsid w:val="594628C9"/>
    <w:rsid w:val="5A762D7E"/>
    <w:rsid w:val="5AF61262"/>
    <w:rsid w:val="5C1F613A"/>
    <w:rsid w:val="5C2956B1"/>
    <w:rsid w:val="5E5D557B"/>
    <w:rsid w:val="5F1B6B5B"/>
    <w:rsid w:val="5F9C175D"/>
    <w:rsid w:val="60017F21"/>
    <w:rsid w:val="619732F5"/>
    <w:rsid w:val="623560D4"/>
    <w:rsid w:val="626E62F6"/>
    <w:rsid w:val="62F37AB7"/>
    <w:rsid w:val="63431E6F"/>
    <w:rsid w:val="64A62393"/>
    <w:rsid w:val="6634639D"/>
    <w:rsid w:val="66704F8E"/>
    <w:rsid w:val="677D3C86"/>
    <w:rsid w:val="68486523"/>
    <w:rsid w:val="6AE94A87"/>
    <w:rsid w:val="6BE1432B"/>
    <w:rsid w:val="726243FF"/>
    <w:rsid w:val="73404F49"/>
    <w:rsid w:val="73F23B44"/>
    <w:rsid w:val="748D5699"/>
    <w:rsid w:val="749469BC"/>
    <w:rsid w:val="74F7585B"/>
    <w:rsid w:val="760419EB"/>
    <w:rsid w:val="7689413E"/>
    <w:rsid w:val="76CF4CF7"/>
    <w:rsid w:val="774F2B07"/>
    <w:rsid w:val="79DC7BD2"/>
    <w:rsid w:val="79E933C5"/>
    <w:rsid w:val="7A4E12D2"/>
    <w:rsid w:val="7ABD77D2"/>
    <w:rsid w:val="7B990465"/>
    <w:rsid w:val="7CEE3FAD"/>
    <w:rsid w:val="7FDD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jc w:val="center"/>
      <w:outlineLvl w:val="0"/>
    </w:pPr>
    <w:rPr>
      <w:rFonts w:ascii="Times New Roman" w:hAnsi="Times New Roman" w:eastAsia="宋体" w:cs="Times New Roman"/>
      <w:b/>
      <w:bCs/>
      <w:kern w:val="44"/>
      <w:sz w:val="30"/>
      <w:szCs w:val="44"/>
    </w:rPr>
  </w:style>
  <w:style w:type="paragraph" w:styleId="4">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6">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39"/>
    <w:pPr>
      <w:ind w:left="200" w:leftChars="200"/>
    </w:pPr>
  </w:style>
  <w:style w:type="paragraph" w:styleId="12">
    <w:name w:val="annotation text"/>
    <w:basedOn w:val="1"/>
    <w:autoRedefine/>
    <w:qFormat/>
    <w:uiPriority w:val="0"/>
    <w:pPr>
      <w:jc w:val="left"/>
    </w:pPr>
  </w:style>
  <w:style w:type="paragraph" w:styleId="13">
    <w:name w:val="Body Text"/>
    <w:basedOn w:val="1"/>
    <w:next w:val="2"/>
    <w:autoRedefine/>
    <w:unhideWhenUsed/>
    <w:qFormat/>
    <w:uiPriority w:val="0"/>
    <w:pPr>
      <w:spacing w:after="120"/>
    </w:pPr>
    <w:rPr>
      <w:kern w:val="0"/>
      <w:sz w:val="20"/>
      <w:szCs w:val="20"/>
    </w:rPr>
  </w:style>
  <w:style w:type="paragraph" w:styleId="14">
    <w:name w:val="Body Text Indent"/>
    <w:basedOn w:val="1"/>
    <w:next w:val="15"/>
    <w:autoRedefine/>
    <w:qFormat/>
    <w:uiPriority w:val="0"/>
    <w:pPr>
      <w:spacing w:after="120"/>
      <w:ind w:left="420" w:leftChars="200"/>
    </w:pPr>
    <w:rPr>
      <w:kern w:val="0"/>
      <w:sz w:val="20"/>
      <w:szCs w:val="20"/>
    </w:rPr>
  </w:style>
  <w:style w:type="paragraph" w:styleId="15">
    <w:name w:val="envelope return"/>
    <w:basedOn w:val="1"/>
    <w:autoRedefine/>
    <w:qFormat/>
    <w:uiPriority w:val="0"/>
    <w:pPr>
      <w:snapToGrid w:val="0"/>
    </w:pPr>
    <w:rPr>
      <w:rFonts w:ascii="Arial" w:hAnsi="Arial"/>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19">
    <w:name w:val="Body Text First Indent"/>
    <w:basedOn w:val="13"/>
    <w:autoRedefine/>
    <w:qFormat/>
    <w:uiPriority w:val="0"/>
    <w:pPr>
      <w:spacing w:line="312" w:lineRule="auto"/>
      <w:ind w:firstLine="420"/>
    </w:pPr>
    <w:rPr>
      <w:szCs w:val="24"/>
    </w:rPr>
  </w:style>
  <w:style w:type="paragraph" w:styleId="20">
    <w:name w:val="Body Text First Indent 2"/>
    <w:basedOn w:val="14"/>
    <w:autoRedefine/>
    <w:unhideWhenUsed/>
    <w:qFormat/>
    <w:uiPriority w:val="0"/>
    <w:pPr>
      <w:ind w:firstLine="420" w:firstLineChars="200"/>
    </w:pPr>
    <w:rPr>
      <w:szCs w:val="22"/>
    </w:rPr>
  </w:style>
  <w:style w:type="paragraph" w:customStyle="1" w:styleId="2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w:basedOn w:val="1"/>
    <w:next w:val="14"/>
    <w:autoRedefine/>
    <w:qFormat/>
    <w:uiPriority w:val="0"/>
    <w:pPr>
      <w:jc w:val="center"/>
    </w:pPr>
    <w:rPr>
      <w:rFonts w:ascii="宋体" w:hAnsi="宋体"/>
      <w:color w:val="FF0000"/>
      <w:sz w:val="24"/>
      <w:szCs w:val="24"/>
    </w:rPr>
  </w:style>
  <w:style w:type="paragraph" w:customStyle="1" w:styleId="25">
    <w:name w:val="宏达正文"/>
    <w:basedOn w:val="1"/>
    <w:autoRedefine/>
    <w:qFormat/>
    <w:uiPriority w:val="0"/>
    <w:pPr>
      <w:ind w:firstLine="200" w:firstLineChars="200"/>
    </w:pPr>
    <w:rPr>
      <w:rFonts w:ascii="仿宋_GB2312" w:eastAsia="仿宋_GB2312"/>
      <w:kern w:val="0"/>
      <w:sz w:val="28"/>
      <w:szCs w:val="28"/>
    </w:rPr>
  </w:style>
  <w:style w:type="table" w:customStyle="1" w:styleId="2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2022-08-11T08:19:00Z</dcterms:created>
  <dc:creator>123</dc:creator>
  <cp:lastModifiedBy>暗舟</cp:lastModifiedBy>
  <dcterms:modified xsi:type="dcterms:W3CDTF">2024-02-04T01:59:11Z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2D43ECC0D877400DA65EB8204D084ED8_13</vt:lpwstr>
  </property>
</Properties>
</file>