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360" w:lineRule="auto"/>
        <w:ind w:right="25" w:rightChars="12"/>
        <w:jc w:val="center"/>
        <w:rPr>
          <w:rFonts w:hint="eastAsia" w:ascii="宋体" w:hAnsi="宋体" w:eastAsia="宋体" w:cs="宋体"/>
          <w:b/>
          <w:color w:val="auto"/>
          <w:sz w:val="48"/>
          <w:szCs w:val="48"/>
          <w:highlight w:val="none"/>
          <w:u w:val="none"/>
        </w:rPr>
      </w:pPr>
    </w:p>
    <w:p>
      <w:pPr>
        <w:pStyle w:val="17"/>
        <w:spacing w:line="360" w:lineRule="auto"/>
        <w:ind w:right="25" w:rightChars="12"/>
        <w:jc w:val="center"/>
        <w:rPr>
          <w:rFonts w:hint="eastAsia" w:ascii="宋体" w:hAnsi="宋体" w:eastAsia="宋体" w:cs="宋体"/>
          <w:b/>
          <w:color w:val="auto"/>
          <w:sz w:val="48"/>
          <w:szCs w:val="48"/>
          <w:highlight w:val="none"/>
          <w:u w:val="none"/>
        </w:rPr>
      </w:pPr>
    </w:p>
    <w:p>
      <w:pPr>
        <w:pStyle w:val="17"/>
        <w:spacing w:line="360" w:lineRule="auto"/>
        <w:ind w:right="25" w:rightChars="12"/>
        <w:jc w:val="center"/>
        <w:rPr>
          <w:rFonts w:hint="eastAsia" w:ascii="宋体" w:hAnsi="宋体" w:eastAsia="宋体" w:cs="宋体"/>
          <w:b/>
          <w:color w:val="auto"/>
          <w:sz w:val="48"/>
          <w:szCs w:val="48"/>
          <w:highlight w:val="none"/>
          <w:u w:val="none"/>
        </w:rPr>
      </w:pPr>
      <w:r>
        <w:rPr>
          <w:rFonts w:hint="eastAsia" w:cs="宋体"/>
          <w:b/>
          <w:color w:val="auto"/>
          <w:sz w:val="48"/>
          <w:szCs w:val="48"/>
          <w:highlight w:val="none"/>
          <w:u w:val="none"/>
          <w:lang w:eastAsia="zh-CN"/>
        </w:rPr>
        <w:t>黄埔区挞洲围安置区周边道路工程</w:t>
      </w:r>
      <w:r>
        <w:rPr>
          <w:rFonts w:hint="eastAsia" w:ascii="宋体" w:hAnsi="宋体" w:eastAsia="宋体" w:cs="宋体"/>
          <w:b/>
          <w:color w:val="auto"/>
          <w:sz w:val="48"/>
          <w:szCs w:val="48"/>
          <w:highlight w:val="none"/>
          <w:u w:val="none"/>
        </w:rPr>
        <w:t>施工总承包</w:t>
      </w:r>
    </w:p>
    <w:p>
      <w:pPr>
        <w:spacing w:line="360" w:lineRule="auto"/>
        <w:jc w:val="center"/>
        <w:rPr>
          <w:rFonts w:ascii="宋体" w:hAnsi="宋体" w:cs="宋体"/>
          <w:color w:val="auto"/>
          <w:sz w:val="36"/>
          <w:szCs w:val="36"/>
          <w:highlight w:val="none"/>
          <w:u w:val="single"/>
        </w:rPr>
      </w:pPr>
    </w:p>
    <w:p>
      <w:pPr>
        <w:pStyle w:val="11"/>
        <w:spacing w:line="360" w:lineRule="auto"/>
        <w:rPr>
          <w:rFonts w:hAnsi="宋体" w:cs="宋体"/>
          <w:color w:val="auto"/>
          <w:highlight w:val="none"/>
        </w:rPr>
      </w:pPr>
    </w:p>
    <w:p>
      <w:pPr>
        <w:pStyle w:val="11"/>
        <w:spacing w:line="360" w:lineRule="auto"/>
        <w:rPr>
          <w:rFonts w:hAnsi="宋体" w:cs="宋体"/>
          <w:color w:val="auto"/>
          <w:sz w:val="36"/>
          <w:szCs w:val="36"/>
          <w:highlight w:val="none"/>
          <w:u w:val="single"/>
        </w:rPr>
      </w:pPr>
    </w:p>
    <w:p>
      <w:pPr>
        <w:pStyle w:val="11"/>
        <w:spacing w:line="360" w:lineRule="auto"/>
        <w:rPr>
          <w:rFonts w:hAnsi="宋体" w:cs="宋体"/>
          <w:color w:val="auto"/>
          <w:sz w:val="36"/>
          <w:szCs w:val="36"/>
          <w:highlight w:val="none"/>
          <w:u w:val="single"/>
        </w:rPr>
      </w:pPr>
    </w:p>
    <w:p>
      <w:pPr>
        <w:pStyle w:val="11"/>
        <w:spacing w:line="360" w:lineRule="auto"/>
        <w:rPr>
          <w:rFonts w:hAnsi="宋体" w:cs="宋体"/>
          <w:color w:val="auto"/>
          <w:sz w:val="36"/>
          <w:szCs w:val="36"/>
          <w:highlight w:val="none"/>
          <w:u w:val="single"/>
        </w:rPr>
      </w:pPr>
    </w:p>
    <w:p>
      <w:pPr>
        <w:pStyle w:val="11"/>
        <w:spacing w:line="360" w:lineRule="auto"/>
        <w:rPr>
          <w:rFonts w:hAnsi="宋体" w:cs="宋体"/>
          <w:color w:val="auto"/>
          <w:sz w:val="36"/>
          <w:szCs w:val="36"/>
          <w:highlight w:val="none"/>
          <w:u w:val="single"/>
        </w:rPr>
      </w:pPr>
    </w:p>
    <w:p>
      <w:pPr>
        <w:spacing w:line="360" w:lineRule="auto"/>
        <w:jc w:val="cente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t>招标文件</w:t>
      </w:r>
    </w:p>
    <w:p>
      <w:pPr>
        <w:spacing w:line="360" w:lineRule="auto"/>
        <w:jc w:val="center"/>
        <w:rPr>
          <w:rFonts w:ascii="宋体" w:hAnsi="宋体" w:cs="宋体"/>
          <w:color w:val="auto"/>
          <w:sz w:val="32"/>
          <w:szCs w:val="32"/>
          <w:highlight w:val="none"/>
        </w:rPr>
      </w:pPr>
    </w:p>
    <w:p>
      <w:pPr>
        <w:spacing w:line="360" w:lineRule="auto"/>
        <w:ind w:firstLine="2560" w:firstLineChars="800"/>
        <w:rPr>
          <w:rFonts w:ascii="宋体" w:hAnsi="宋体" w:cs="宋体"/>
          <w:color w:val="auto"/>
          <w:sz w:val="32"/>
          <w:szCs w:val="32"/>
          <w:highlight w:val="none"/>
        </w:rPr>
      </w:pPr>
    </w:p>
    <w:p>
      <w:pPr>
        <w:spacing w:line="360" w:lineRule="auto"/>
        <w:ind w:firstLine="1200" w:firstLineChars="400"/>
        <w:rPr>
          <w:rFonts w:ascii="宋体" w:hAnsi="宋体" w:cs="宋体"/>
          <w:color w:val="auto"/>
          <w:sz w:val="30"/>
          <w:szCs w:val="30"/>
          <w:highlight w:val="none"/>
        </w:rPr>
      </w:pPr>
    </w:p>
    <w:p>
      <w:pPr>
        <w:spacing w:line="360" w:lineRule="auto"/>
        <w:ind w:firstLine="1200" w:firstLineChars="400"/>
        <w:rPr>
          <w:rFonts w:ascii="宋体" w:hAnsi="宋体" w:cs="宋体"/>
          <w:color w:val="auto"/>
          <w:sz w:val="30"/>
          <w:szCs w:val="30"/>
          <w:highlight w:val="none"/>
        </w:rPr>
      </w:pPr>
    </w:p>
    <w:p>
      <w:pPr>
        <w:spacing w:line="360" w:lineRule="auto"/>
        <w:ind w:firstLine="1200" w:firstLineChars="400"/>
        <w:rPr>
          <w:rFonts w:ascii="宋体" w:hAnsi="宋体" w:cs="宋体"/>
          <w:color w:val="auto"/>
          <w:sz w:val="30"/>
          <w:szCs w:val="30"/>
          <w:highlight w:val="none"/>
        </w:rPr>
      </w:pPr>
    </w:p>
    <w:p>
      <w:pPr>
        <w:spacing w:line="360" w:lineRule="auto"/>
        <w:ind w:firstLine="1200" w:firstLineChars="400"/>
        <w:rPr>
          <w:rFonts w:ascii="宋体" w:hAnsi="宋体" w:cs="宋体"/>
          <w:color w:val="auto"/>
          <w:sz w:val="30"/>
          <w:szCs w:val="30"/>
          <w:highlight w:val="none"/>
        </w:rPr>
      </w:pPr>
    </w:p>
    <w:p>
      <w:pPr>
        <w:pStyle w:val="11"/>
        <w:rPr>
          <w:color w:val="auto"/>
          <w:highlight w:val="none"/>
        </w:rPr>
      </w:pPr>
    </w:p>
    <w:p>
      <w:pPr>
        <w:spacing w:line="360" w:lineRule="auto"/>
        <w:ind w:left="0" w:leftChars="0" w:firstLine="639" w:firstLineChars="213"/>
        <w:jc w:val="both"/>
        <w:rPr>
          <w:rFonts w:ascii="宋体" w:hAnsi="宋体" w:cs="宋体"/>
          <w:color w:val="auto"/>
          <w:spacing w:val="-2"/>
          <w:sz w:val="30"/>
          <w:szCs w:val="30"/>
          <w:highlight w:val="none"/>
        </w:rPr>
      </w:pPr>
      <w:r>
        <w:rPr>
          <w:rFonts w:hint="eastAsia" w:ascii="宋体" w:hAnsi="宋体" w:cs="宋体"/>
          <w:color w:val="auto"/>
          <w:sz w:val="30"/>
          <w:szCs w:val="30"/>
          <w:highlight w:val="none"/>
        </w:rPr>
        <w:t>招  标 单 位：</w:t>
      </w:r>
      <w:r>
        <w:rPr>
          <w:rFonts w:hint="eastAsia" w:ascii="宋体" w:hAnsi="宋体" w:cs="宋体"/>
          <w:color w:val="auto"/>
          <w:spacing w:val="-2"/>
          <w:sz w:val="30"/>
          <w:szCs w:val="30"/>
          <w:highlight w:val="none"/>
          <w:u w:val="single"/>
          <w:lang w:eastAsia="zh-CN"/>
        </w:rPr>
        <w:t>广州开发区财政投资建设项目管理中心</w:t>
      </w:r>
    </w:p>
    <w:p>
      <w:pPr>
        <w:spacing w:line="360" w:lineRule="auto"/>
        <w:ind w:left="0" w:leftChars="0" w:firstLine="639" w:firstLineChars="213"/>
        <w:jc w:val="both"/>
        <w:rPr>
          <w:rFonts w:ascii="宋体" w:hAnsi="宋体" w:cs="宋体"/>
          <w:color w:val="auto"/>
          <w:sz w:val="30"/>
          <w:szCs w:val="30"/>
          <w:highlight w:val="none"/>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u w:val="single"/>
          <w:lang w:eastAsia="zh-CN"/>
        </w:rPr>
        <w:t>广州市见智咨询有限公司</w:t>
      </w:r>
    </w:p>
    <w:p>
      <w:pPr>
        <w:spacing w:line="360" w:lineRule="auto"/>
        <w:ind w:left="0" w:leftChars="0" w:firstLine="639" w:firstLineChars="213"/>
        <w:jc w:val="both"/>
        <w:rPr>
          <w:rFonts w:hint="eastAsia" w:ascii="宋体" w:hAnsi="宋体" w:eastAsia="宋体" w:cs="宋体"/>
          <w:color w:val="auto"/>
          <w:sz w:val="30"/>
          <w:szCs w:val="30"/>
          <w:highlight w:val="none"/>
        </w:rPr>
      </w:pPr>
      <w:r>
        <w:rPr>
          <w:rFonts w:hint="eastAsia" w:ascii="宋体" w:hAnsi="宋体" w:cs="宋体"/>
          <w:color w:val="auto"/>
          <w:sz w:val="30"/>
          <w:szCs w:val="30"/>
          <w:highlight w:val="none"/>
        </w:rPr>
        <w:t>日        期：</w:t>
      </w:r>
      <w:r>
        <w:rPr>
          <w:rFonts w:hint="eastAsia" w:ascii="宋体" w:hAnsi="宋体" w:cs="宋体"/>
          <w:color w:val="auto"/>
          <w:sz w:val="30"/>
          <w:szCs w:val="30"/>
          <w:highlight w:val="none"/>
          <w:u w:val="single"/>
          <w:lang w:val="en-US" w:eastAsia="zh-CN"/>
        </w:rPr>
        <w:t>2024</w:t>
      </w:r>
      <w:r>
        <w:rPr>
          <w:rFonts w:hint="eastAsia" w:ascii="宋体" w:hAnsi="宋体" w:cs="宋体"/>
          <w:color w:val="auto"/>
          <w:sz w:val="30"/>
          <w:szCs w:val="30"/>
          <w:highlight w:val="none"/>
          <w:u w:val="single"/>
        </w:rPr>
        <w:t>年</w:t>
      </w:r>
      <w:r>
        <w:rPr>
          <w:rFonts w:hint="eastAsia" w:ascii="宋体" w:hAnsi="宋体" w:cs="宋体"/>
          <w:color w:val="auto"/>
          <w:sz w:val="30"/>
          <w:szCs w:val="30"/>
          <w:highlight w:val="none"/>
          <w:u w:val="single"/>
          <w:lang w:val="en-US" w:eastAsia="zh-CN"/>
        </w:rPr>
        <w:t>1</w:t>
      </w:r>
      <w:r>
        <w:rPr>
          <w:rFonts w:hint="eastAsia" w:ascii="宋体" w:hAnsi="宋体" w:cs="宋体"/>
          <w:color w:val="auto"/>
          <w:sz w:val="30"/>
          <w:szCs w:val="30"/>
          <w:highlight w:val="none"/>
          <w:u w:val="single"/>
        </w:rPr>
        <w:t>月</w:t>
      </w:r>
    </w:p>
    <w:p>
      <w:pPr>
        <w:spacing w:line="360" w:lineRule="auto"/>
        <w:jc w:val="center"/>
        <w:rPr>
          <w:rStyle w:val="23"/>
          <w:rFonts w:hint="eastAsia" w:ascii="宋体" w:hAnsi="宋体" w:eastAsia="宋体" w:cs="宋体"/>
          <w:b/>
          <w:bCs/>
          <w:color w:val="auto"/>
          <w:sz w:val="36"/>
          <w:szCs w:val="36"/>
          <w:highlight w:val="none"/>
        </w:rPr>
      </w:pPr>
      <w:r>
        <w:rPr>
          <w:rStyle w:val="23"/>
          <w:rFonts w:hint="eastAsia" w:ascii="宋体" w:hAnsi="宋体" w:eastAsia="宋体" w:cs="宋体"/>
          <w:b/>
          <w:bCs/>
          <w:color w:val="auto"/>
          <w:highlight w:val="none"/>
        </w:rPr>
        <w:br w:type="page"/>
      </w:r>
      <w:r>
        <w:rPr>
          <w:rStyle w:val="23"/>
          <w:rFonts w:hint="eastAsia" w:ascii="宋体" w:hAnsi="宋体" w:eastAsia="宋体" w:cs="宋体"/>
          <w:b/>
          <w:bCs/>
          <w:color w:val="auto"/>
          <w:sz w:val="36"/>
          <w:szCs w:val="36"/>
          <w:highlight w:val="none"/>
          <w:u w:val="none"/>
        </w:rPr>
        <w:t>目</w:t>
      </w:r>
      <w:r>
        <w:rPr>
          <w:rStyle w:val="23"/>
          <w:rFonts w:hint="eastAsia" w:ascii="宋体" w:hAnsi="宋体" w:eastAsia="宋体" w:cs="宋体"/>
          <w:b/>
          <w:bCs/>
          <w:color w:val="auto"/>
          <w:sz w:val="36"/>
          <w:szCs w:val="36"/>
          <w:highlight w:val="none"/>
          <w:u w:val="none"/>
          <w:lang w:val="en-US" w:eastAsia="zh-CN"/>
        </w:rPr>
        <w:t xml:space="preserve">  </w:t>
      </w:r>
      <w:r>
        <w:rPr>
          <w:rStyle w:val="23"/>
          <w:rFonts w:hint="eastAsia" w:ascii="宋体" w:hAnsi="宋体" w:eastAsia="宋体" w:cs="宋体"/>
          <w:b/>
          <w:bCs/>
          <w:color w:val="auto"/>
          <w:sz w:val="36"/>
          <w:szCs w:val="36"/>
          <w:highlight w:val="none"/>
          <w:u w:val="none"/>
        </w:rPr>
        <w:t>录</w:t>
      </w:r>
    </w:p>
    <w:p>
      <w:pPr>
        <w:spacing w:line="360" w:lineRule="auto"/>
        <w:jc w:val="center"/>
        <w:rPr>
          <w:rFonts w:hint="eastAsia" w:ascii="宋体" w:hAnsi="宋体" w:eastAsia="宋体" w:cs="宋体"/>
          <w:b/>
          <w:caps/>
          <w:color w:val="auto"/>
          <w:kern w:val="0"/>
          <w:sz w:val="36"/>
          <w:szCs w:val="36"/>
          <w:highlight w:val="none"/>
        </w:rPr>
      </w:pPr>
    </w:p>
    <w:p>
      <w:pPr>
        <w:pStyle w:val="15"/>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TOC \o "1-3" \h \z \u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_Toc6280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2"/>
          <w:highlight w:val="none"/>
        </w:rPr>
        <w:t>第一章  投标须知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_Toc6280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_Toc27735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一、投标须知前附表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_Toc27735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_Toc6608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2"/>
          <w:highlight w:val="none"/>
        </w:rPr>
        <w:t>二、投标须知修改表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_Toc6608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_Toc31334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三、投标须知通用条款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0"/>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_Toc12947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（一）总则</w:t>
      </w:r>
      <w:bookmarkStart w:id="59" w:name="_GoBack"/>
      <w:bookmarkEnd w:id="59"/>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0"/>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_Toc32111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_Toc32111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0"/>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_Toc32542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_Toc32542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0"/>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_Toc24057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（四）投标文件的提交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_Toc24057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0"/>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_Toc13732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（五）开标、评标、定标及合同签定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5"/>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_Toc12835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第二章  开标、评标及定标办法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_Toc20882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一、开标、评标及定标办法修改表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_Toc5678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二、开标、评标及定标办法</w:t>
      </w:r>
      <w:r>
        <w:rPr>
          <w:rFonts w:hint="eastAsia" w:ascii="宋体" w:hAnsi="宋体" w:eastAsia="宋体" w:cs="宋体"/>
          <w:color w:val="auto"/>
          <w:szCs w:val="30"/>
          <w:highlight w:val="none"/>
        </w:rPr>
        <w:t>通用条款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_Toc5678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0"/>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_Toc31373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0"/>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_Toc9740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（二）开标评标办法程序和细则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0"/>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_Toc3121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可选办法七（适合综合评分法四，技术标与经济标同时开启）</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5"/>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_Toc5789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szCs w:val="44"/>
          <w:highlight w:val="none"/>
        </w:rPr>
        <w:t>第三章  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_Toc5789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5"/>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_Toc30083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szCs w:val="32"/>
          <w:highlight w:val="none"/>
        </w:rPr>
        <w:t>第四章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5"/>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_Toc9312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第五章  技术条件（工程建设标准）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_Toc9312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5"/>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_Toc9353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第六章  图纸及勘察资料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_Toc9353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5"/>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_Toc22481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第七章  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5"/>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_Toc3710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第八章  最高投标限价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_Toc3710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158</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
        <w:tabs>
          <w:tab w:val="right" w:pos="9070"/>
        </w:tabs>
        <w:jc w:val="center"/>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p>
      <w:pPr>
        <w:pStyle w:val="2"/>
        <w:jc w:val="center"/>
        <w:rPr>
          <w:rFonts w:hint="eastAsia" w:ascii="宋体" w:hAnsi="宋体" w:eastAsia="宋体" w:cs="宋体"/>
          <w:color w:val="auto"/>
          <w:sz w:val="24"/>
          <w:szCs w:val="24"/>
          <w:highlight w:val="none"/>
        </w:rPr>
      </w:pPr>
    </w:p>
    <w:p>
      <w:pPr>
        <w:pStyle w:val="18"/>
        <w:jc w:val="center"/>
        <w:rPr>
          <w:rFonts w:hint="eastAsia" w:ascii="宋体" w:hAnsi="宋体" w:eastAsia="宋体" w:cs="宋体"/>
          <w:color w:val="auto"/>
          <w:highlight w:val="none"/>
        </w:rPr>
      </w:pPr>
    </w:p>
    <w:p>
      <w:pPr>
        <w:pStyle w:val="2"/>
        <w:spacing w:line="24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 xml:space="preserve">  </w:t>
      </w:r>
      <w:bookmarkStart w:id="0" w:name="_Toc6280"/>
      <w:r>
        <w:rPr>
          <w:rFonts w:hint="eastAsia" w:ascii="宋体" w:hAnsi="宋体" w:eastAsia="宋体" w:cs="宋体"/>
          <w:b/>
          <w:bCs/>
          <w:color w:val="auto"/>
          <w:sz w:val="32"/>
          <w:szCs w:val="32"/>
          <w:highlight w:val="none"/>
        </w:rPr>
        <w:t>第一章  投标须知</w:t>
      </w:r>
      <w:bookmarkEnd w:id="0"/>
    </w:p>
    <w:p>
      <w:pPr>
        <w:pStyle w:val="4"/>
        <w:spacing w:line="240" w:lineRule="auto"/>
        <w:rPr>
          <w:rFonts w:hint="eastAsia" w:ascii="宋体" w:hAnsi="宋体" w:eastAsia="宋体" w:cs="宋体"/>
          <w:color w:val="auto"/>
          <w:highlight w:val="none"/>
        </w:rPr>
      </w:pPr>
      <w:bookmarkStart w:id="1" w:name="_Toc27735"/>
      <w:r>
        <w:rPr>
          <w:rFonts w:hint="eastAsia" w:ascii="宋体" w:hAnsi="宋体" w:eastAsia="宋体" w:cs="宋体"/>
          <w:color w:val="auto"/>
          <w:highlight w:val="none"/>
        </w:rPr>
        <w:t>一、投标须知前附表</w:t>
      </w:r>
      <w:bookmarkEnd w:id="1"/>
    </w:p>
    <w:p>
      <w:pPr>
        <w:pStyle w:val="5"/>
        <w:spacing w:line="24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0"/>
        <w:tblW w:w="4986"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038"/>
        <w:gridCol w:w="1864"/>
        <w:gridCol w:w="62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371" w:type="pct"/>
            <w:tcBorders>
              <w:top w:val="double" w:color="auto" w:sz="4" w:space="0"/>
              <w:left w:val="double" w:color="auto" w:sz="4" w:space="0"/>
            </w:tcBorders>
            <w:noWrap w:val="0"/>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522" w:type="pct"/>
            <w:tcBorders>
              <w:top w:val="double" w:color="auto" w:sz="4" w:space="0"/>
            </w:tcBorders>
            <w:noWrap w:val="0"/>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938" w:type="pct"/>
            <w:tcBorders>
              <w:top w:val="double" w:color="auto" w:sz="4" w:space="0"/>
            </w:tcBorders>
            <w:noWrap w:val="0"/>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3167" w:type="pct"/>
            <w:tcBorders>
              <w:top w:val="double" w:color="auto" w:sz="4" w:space="0"/>
              <w:right w:val="double" w:color="auto" w:sz="4" w:space="0"/>
            </w:tcBorders>
            <w:noWrap w:val="0"/>
            <w:vAlign w:val="center"/>
          </w:tcPr>
          <w:p>
            <w:pPr>
              <w:pStyle w:val="12"/>
              <w:spacing w:line="240" w:lineRule="auto"/>
              <w:ind w:firstLine="458"/>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定义</w:t>
            </w:r>
          </w:p>
        </w:tc>
        <w:tc>
          <w:tcPr>
            <w:tcW w:w="3167" w:type="pct"/>
            <w:tcBorders>
              <w:right w:val="double" w:color="auto" w:sz="4" w:space="0"/>
            </w:tcBorders>
            <w:noWrap w:val="0"/>
            <w:vAlign w:val="center"/>
          </w:tcPr>
          <w:p>
            <w:pPr>
              <w:spacing w:line="240" w:lineRule="auto"/>
              <w:rPr>
                <w:rFonts w:hint="eastAsia" w:ascii="宋体" w:hAnsi="宋体" w:cs="宋体"/>
                <w:color w:val="auto"/>
                <w:sz w:val="24"/>
                <w:szCs w:val="24"/>
                <w:highlight w:val="none"/>
                <w:u w:val="single"/>
                <w:lang w:eastAsia="zh-CN"/>
              </w:rPr>
            </w:pPr>
            <w:r>
              <w:rPr>
                <w:rFonts w:hint="eastAsia" w:ascii="宋体" w:hAnsi="宋体" w:eastAsia="宋体" w:cs="宋体"/>
                <w:color w:val="auto"/>
                <w:sz w:val="24"/>
                <w:szCs w:val="24"/>
                <w:highlight w:val="none"/>
              </w:rPr>
              <w:t>招标人（即发包人）：</w:t>
            </w:r>
            <w:r>
              <w:rPr>
                <w:rFonts w:hint="eastAsia" w:ascii="宋体" w:hAnsi="宋体" w:cs="宋体"/>
                <w:color w:val="auto"/>
                <w:sz w:val="24"/>
                <w:szCs w:val="24"/>
                <w:highlight w:val="none"/>
                <w:u w:val="single"/>
                <w:lang w:eastAsia="zh-CN"/>
              </w:rPr>
              <w:t>广州开发区财政投资建设项目管理中心</w:t>
            </w:r>
          </w:p>
          <w:p>
            <w:pPr>
              <w:spacing w:line="24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招标代理：</w:t>
            </w:r>
            <w:r>
              <w:rPr>
                <w:rFonts w:hint="eastAsia" w:ascii="宋体" w:hAnsi="宋体" w:cs="宋体"/>
                <w:color w:val="auto"/>
                <w:sz w:val="24"/>
                <w:szCs w:val="24"/>
                <w:highlight w:val="none"/>
                <w:u w:val="single"/>
                <w:lang w:val="en-US" w:eastAsia="zh-CN"/>
              </w:rPr>
              <w:t>广州市见智咨询有限公司</w:t>
            </w:r>
          </w:p>
          <w:p>
            <w:pPr>
              <w:spacing w:line="240" w:lineRule="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设计单位：</w:t>
            </w:r>
            <w:r>
              <w:rPr>
                <w:rFonts w:hint="eastAsia" w:ascii="宋体" w:hAnsi="宋体" w:cs="宋体"/>
                <w:color w:val="auto"/>
                <w:sz w:val="24"/>
                <w:szCs w:val="24"/>
                <w:highlight w:val="none"/>
                <w:u w:val="single"/>
                <w:lang w:val="en-US" w:eastAsia="zh-CN"/>
              </w:rPr>
              <w:t>中恩工程技术有限公司</w:t>
            </w:r>
          </w:p>
          <w:p>
            <w:pPr>
              <w:spacing w:line="240" w:lineRule="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监理单位：</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检测机构：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黄埔区挞洲围安置区周边道路工程</w:t>
            </w:r>
            <w:r>
              <w:rPr>
                <w:rFonts w:hint="eastAsia" w:ascii="宋体" w:hAnsi="宋体" w:eastAsia="宋体" w:cs="宋体"/>
                <w:color w:val="auto"/>
                <w:sz w:val="24"/>
                <w:szCs w:val="24"/>
                <w:highlight w:val="none"/>
                <w:u w:val="single"/>
                <w:lang w:val="en-US" w:eastAsia="zh-CN"/>
              </w:rPr>
              <w:t xml:space="preserve">施工总承包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广州市黄埔区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详见本工程招标公告，具体以工程量清单及图纸为准。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承包方式</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包工、包料、包工期、包质量、包安全、包文明施工、包验收、包保修。综合单价包干；措施项目费（除施工围蔽费用外）包干，施工围蔽清单综合单价包干，工程量按实计量。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工程质量达到国家或行业质量检验评定的合格标准</w:t>
            </w:r>
          </w:p>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注：本工程正式签署合同时，质量标准按中标人投标文件承诺质量标准。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详见本工程招标公告，具体以工程量清单及图纸为准。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工期要求</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日计划开工，施工总期：</w:t>
            </w:r>
            <w:r>
              <w:rPr>
                <w:rFonts w:hint="eastAsia" w:ascii="宋体" w:hAnsi="宋体" w:cs="宋体"/>
                <w:color w:val="auto"/>
                <w:sz w:val="24"/>
                <w:szCs w:val="24"/>
                <w:highlight w:val="none"/>
                <w:u w:val="single"/>
                <w:lang w:val="en-US" w:eastAsia="zh-CN"/>
              </w:rPr>
              <w:t>365</w:t>
            </w:r>
            <w:r>
              <w:rPr>
                <w:rFonts w:hint="eastAsia" w:ascii="宋体" w:hAnsi="宋体" w:eastAsia="宋体" w:cs="宋体"/>
                <w:color w:val="auto"/>
                <w:sz w:val="24"/>
                <w:szCs w:val="24"/>
                <w:highlight w:val="none"/>
              </w:rPr>
              <w:t xml:space="preserve">日历天。 </w:t>
            </w:r>
          </w:p>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注：本工程正式签署合同时，施工工期按中标投标文件承诺工期。</w:t>
            </w:r>
            <w:r>
              <w:rPr>
                <w:rFonts w:hint="eastAsia" w:ascii="宋体" w:hAnsi="宋体" w:eastAsia="宋体" w:cs="宋体"/>
                <w:color w:val="auto"/>
                <w:sz w:val="24"/>
                <w:szCs w:val="24"/>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区财政资金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投标人资质等级及项目负责人等级要求</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22" w:type="pct"/>
            <w:noWrap w:val="0"/>
            <w:vAlign w:val="center"/>
          </w:tcPr>
          <w:p>
            <w:pPr>
              <w:spacing w:line="240" w:lineRule="auto"/>
              <w:ind w:firstLine="458"/>
              <w:jc w:val="center"/>
              <w:rPr>
                <w:rFonts w:hint="eastAsia" w:ascii="宋体" w:hAnsi="宋体" w:eastAsia="宋体" w:cs="宋体"/>
                <w:color w:val="auto"/>
                <w:sz w:val="24"/>
                <w:szCs w:val="24"/>
                <w:highlight w:val="none"/>
              </w:rPr>
            </w:pP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报价以及单价和总价计算方式</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rPr>
            </w:pPr>
            <w:bookmarkStart w:id="2" w:name="EBdfd7e3fe86a241738f1c1d356c309534"/>
            <w:r>
              <w:rPr>
                <w:rFonts w:hint="eastAsia" w:ascii="宋体" w:hAnsi="宋体" w:eastAsia="宋体" w:cs="宋体"/>
                <w:color w:val="auto"/>
                <w:sz w:val="24"/>
                <w:szCs w:val="24"/>
                <w:highlight w:val="none"/>
              </w:rPr>
              <w:t>工程量清单计价</w:t>
            </w:r>
            <w:r>
              <w:rPr>
                <w:rFonts w:hint="eastAsia" w:ascii="宋体" w:hAnsi="宋体" w:eastAsia="宋体" w:cs="宋体"/>
                <w:color w:val="auto"/>
                <w:sz w:val="24"/>
                <w:szCs w:val="24"/>
                <w:highlight w:val="none"/>
                <w:u w:val="single"/>
              </w:rPr>
              <w:t>，按国家、省有关计价规范执行。纳入年度审计项目计划的政府投资项目，审计机关出具的审计结果应当作为该政府投资项目价款结算的依据（适用于纳入年度审计项目计划的项目）。</w:t>
            </w:r>
            <w:bookmarkEnd w:id="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日历天。（从投标截止之日计起）。</w:t>
            </w:r>
            <w:r>
              <w:rPr>
                <w:rFonts w:hint="eastAsia" w:ascii="宋体" w:hAnsi="宋体" w:eastAsia="宋体" w:cs="宋体"/>
                <w:color w:val="auto"/>
                <w:sz w:val="24"/>
                <w:szCs w:val="24"/>
                <w:highlight w:val="none"/>
                <w:u w:val="single"/>
              </w:rPr>
              <w:t>如投标有效期内发生异议或投诉的，则投标有效期自动延长至异议或投诉处理结束后90日历天。中标人的投标有效期自动延期至合同履行完毕。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本项目不收投标保证金。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3167" w:type="pct"/>
            <w:tcBorders>
              <w:right w:val="double" w:color="auto" w:sz="4" w:space="0"/>
            </w:tcBorders>
            <w:noWrap w:val="0"/>
            <w:vAlign w:val="center"/>
          </w:tcPr>
          <w:p>
            <w:pPr>
              <w:pStyle w:val="12"/>
              <w:spacing w:line="24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rPr>
              <w:t>自行踏勘，投标人不进行踏勘的，视为已熟知现场条件，自行承担相关风险。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投标答疑</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疑问提交时间：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分前；</w:t>
            </w:r>
            <w:r>
              <w:rPr>
                <w:rFonts w:hint="eastAsia" w:ascii="宋体" w:hAnsi="宋体" w:eastAsia="宋体" w:cs="宋体"/>
                <w:color w:val="auto"/>
                <w:sz w:val="24"/>
                <w:szCs w:val="24"/>
                <w:highlight w:val="none"/>
                <w:u w:val="single"/>
              </w:rPr>
              <w:t>(在递交投标文件截止日期前18日)</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形式：投标人的疑问通过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交易平台提交。</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具体要求：按照</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u w:val="single"/>
                <w:lang w:eastAsia="zh-CN"/>
              </w:rPr>
              <w:t>最新指引</w:t>
            </w:r>
            <w:r>
              <w:rPr>
                <w:rFonts w:hint="eastAsia" w:ascii="宋体" w:hAnsi="宋体" w:eastAsia="宋体" w:cs="宋体"/>
                <w:color w:val="auto"/>
                <w:sz w:val="24"/>
                <w:szCs w:val="24"/>
                <w:highlight w:val="none"/>
              </w:rPr>
              <w:t xml:space="preserve">。提问一律不得署名。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3167" w:type="pct"/>
            <w:tcBorders>
              <w:right w:val="double" w:color="auto" w:sz="4" w:space="0"/>
            </w:tcBorders>
            <w:noWrap w:val="0"/>
            <w:vAlign w:val="center"/>
          </w:tcPr>
          <w:p>
            <w:pPr>
              <w:spacing w:line="240" w:lineRule="auto"/>
              <w:rPr>
                <w:rFonts w:hint="eastAsia" w:ascii="宋体" w:hAnsi="宋体" w:eastAsia="宋体" w:cs="宋体"/>
                <w:strike/>
                <w:color w:val="auto"/>
                <w:sz w:val="24"/>
                <w:szCs w:val="24"/>
                <w:highlight w:val="none"/>
              </w:rPr>
            </w:pP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9"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开标开始时间和地点</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（技术标和经济标同时开标）</w:t>
            </w:r>
          </w:p>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1、开标开始时间：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与投标截止时间为同一时间），地点：广州交易集团有限公司（广州公共资源交易中心）黄埔交易部指定开标室。投标人也可选择参加在线开标，具体按照交易平台相关指南进行操作。详见：广州交易集团有限公司（广州公共资源交易中心）网站最新指引。</w:t>
            </w:r>
          </w:p>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注：投标文件解密问题。投标人只用执行一次解密，招标人执行解密次数根据招标文件开标次数确定。</w:t>
            </w:r>
          </w:p>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2、递交投标文件备用光盘时间：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分至</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分；递交地点：广州交易集团有限公司（广州公共资源交易中心）黄埔交易部指定开标室。</w:t>
            </w:r>
          </w:p>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时间及地点是否有改变，请密切留意补充公告（如有）和招标澄清答疑纪要（如有）的相关信息。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r>
              <w:rPr>
                <w:rFonts w:hint="eastAsia" w:ascii="宋体" w:hAnsi="宋体" w:eastAsia="宋体" w:cs="宋体"/>
                <w:b w:val="0"/>
                <w:bCs w:val="0"/>
                <w:color w:val="auto"/>
                <w:sz w:val="24"/>
                <w:szCs w:val="24"/>
                <w:highlight w:val="none"/>
                <w:u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938" w:type="pct"/>
            <w:noWrap w:val="0"/>
            <w:vAlign w:val="center"/>
          </w:tcPr>
          <w:p>
            <w:pPr>
              <w:pStyle w:val="18"/>
              <w:spacing w:line="240" w:lineRule="auto"/>
              <w:ind w:firstLine="0"/>
              <w:jc w:val="center"/>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rPr>
              <w:t>开标评标办法</w:t>
            </w:r>
          </w:p>
        </w:tc>
        <w:tc>
          <w:tcPr>
            <w:tcW w:w="3167" w:type="pct"/>
            <w:tcBorders>
              <w:right w:val="double" w:color="auto" w:sz="4" w:space="0"/>
            </w:tcBorders>
            <w:noWrap w:val="0"/>
            <w:vAlign w:val="center"/>
          </w:tcPr>
          <w:p>
            <w:pPr>
              <w:pStyle w:val="18"/>
              <w:spacing w:line="240" w:lineRule="auto"/>
              <w:ind w:firstLine="0"/>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2"/>
                <w:sz w:val="24"/>
                <w:szCs w:val="24"/>
                <w:highlight w:val="none"/>
              </w:rPr>
              <w:t>方式一：可选办法七（适合综合评分法四，技术标与经济标同时开启）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方式一：中标人提供的履约担保金额为中标价款的10%。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本项目最高投标限价为人民币</w:t>
            </w:r>
            <w:r>
              <w:rPr>
                <w:rFonts w:hint="eastAsia" w:ascii="宋体" w:hAnsi="宋体" w:eastAsia="宋体" w:cs="宋体"/>
                <w:color w:val="auto"/>
                <w:sz w:val="24"/>
                <w:szCs w:val="24"/>
                <w:highlight w:val="none"/>
                <w:u w:val="single"/>
              </w:rPr>
              <w:t>63559325.42</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详见招标人最终发出的《最高投标限价公布函》，投标总报价超过最高投标限价的投标文件将被拒绝。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非竞争费用</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本项目绿色施工安全防护措施费为</w:t>
            </w:r>
            <w:r>
              <w:rPr>
                <w:rFonts w:hint="eastAsia" w:ascii="宋体" w:hAnsi="宋体" w:cs="宋体"/>
                <w:color w:val="auto"/>
                <w:sz w:val="24"/>
                <w:szCs w:val="24"/>
                <w:highlight w:val="none"/>
                <w:u w:val="single"/>
                <w:lang w:val="en-US" w:eastAsia="zh-CN"/>
              </w:rPr>
              <w:t xml:space="preserve"> 2009213.42 </w:t>
            </w:r>
            <w:r>
              <w:rPr>
                <w:rFonts w:hint="eastAsia" w:ascii="宋体" w:hAnsi="宋体" w:eastAsia="宋体" w:cs="宋体"/>
                <w:color w:val="auto"/>
                <w:sz w:val="24"/>
                <w:szCs w:val="24"/>
                <w:highlight w:val="none"/>
              </w:rPr>
              <w:t>元（扬尘污染防治费用、使用封闭式外脚手架金属防护网费用和绿色施工围蔽费用等纳入绿色施工安全防护措施费），暂列金额为</w:t>
            </w:r>
            <w:r>
              <w:rPr>
                <w:rFonts w:hint="eastAsia" w:ascii="宋体" w:hAnsi="宋体" w:cs="宋体"/>
                <w:color w:val="auto"/>
                <w:sz w:val="24"/>
                <w:szCs w:val="24"/>
                <w:highlight w:val="none"/>
                <w:u w:val="single"/>
                <w:lang w:val="en-US" w:eastAsia="zh-CN"/>
              </w:rPr>
              <w:t xml:space="preserve"> 4775852.77 </w:t>
            </w:r>
            <w:r>
              <w:rPr>
                <w:rFonts w:hint="eastAsia" w:ascii="宋体" w:hAnsi="宋体" w:eastAsia="宋体" w:cs="宋体"/>
                <w:color w:val="auto"/>
                <w:sz w:val="24"/>
                <w:szCs w:val="24"/>
                <w:highlight w:val="none"/>
              </w:rPr>
              <w:t>元，暂估价为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p>
        </w:tc>
        <w:tc>
          <w:tcPr>
            <w:tcW w:w="938" w:type="pct"/>
            <w:noWrap w:val="0"/>
            <w:vAlign w:val="center"/>
          </w:tcPr>
          <w:p>
            <w:pPr>
              <w:pStyle w:val="18"/>
              <w:spacing w:line="240" w:lineRule="auto"/>
              <w:ind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保修期</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24</w:t>
            </w:r>
          </w:p>
        </w:tc>
        <w:tc>
          <w:tcPr>
            <w:tcW w:w="522" w:type="pct"/>
            <w:noWrap w:val="0"/>
            <w:vAlign w:val="center"/>
          </w:tcPr>
          <w:p>
            <w:pPr>
              <w:spacing w:line="240" w:lineRule="auto"/>
              <w:jc w:val="center"/>
              <w:rPr>
                <w:rFonts w:hint="eastAsia" w:ascii="宋体" w:hAnsi="宋体" w:eastAsia="宋体" w:cs="宋体"/>
                <w:strike w:val="0"/>
                <w:dstrike w:val="0"/>
                <w:color w:val="auto"/>
                <w:sz w:val="24"/>
                <w:szCs w:val="24"/>
                <w:highlight w:val="none"/>
              </w:rPr>
            </w:pPr>
          </w:p>
        </w:tc>
        <w:tc>
          <w:tcPr>
            <w:tcW w:w="938" w:type="pct"/>
            <w:noWrap w:val="0"/>
            <w:vAlign w:val="center"/>
          </w:tcPr>
          <w:p>
            <w:pPr>
              <w:spacing w:line="240" w:lineRule="auto"/>
              <w:jc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计算评标参考价的等分点值</w:t>
            </w:r>
          </w:p>
        </w:tc>
        <w:tc>
          <w:tcPr>
            <w:tcW w:w="3167" w:type="pct"/>
            <w:tcBorders>
              <w:right w:val="double" w:color="auto" w:sz="4" w:space="0"/>
            </w:tcBorders>
            <w:noWrap w:val="0"/>
            <w:vAlign w:val="center"/>
          </w:tcPr>
          <w:p>
            <w:pPr>
              <w:spacing w:line="24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计算评标参考价的等分点值X</w:t>
            </w:r>
            <w:r>
              <w:rPr>
                <w:rFonts w:hint="eastAsia" w:ascii="宋体" w:hAnsi="宋体" w:eastAsia="宋体" w:cs="宋体"/>
                <w:b/>
                <w:strike w:val="0"/>
                <w:dstrike w:val="0"/>
                <w:color w:val="auto"/>
                <w:sz w:val="24"/>
                <w:szCs w:val="24"/>
                <w:highlight w:val="none"/>
              </w:rPr>
              <w:t>在开标前</w:t>
            </w:r>
            <w:r>
              <w:rPr>
                <w:rFonts w:hint="eastAsia" w:ascii="宋体" w:hAnsi="宋体" w:eastAsia="宋体" w:cs="宋体"/>
                <w:strike w:val="0"/>
                <w:dstrike w:val="0"/>
                <w:color w:val="auto"/>
                <w:sz w:val="24"/>
                <w:szCs w:val="24"/>
                <w:highlight w:val="none"/>
              </w:rPr>
              <w:t>从[0,100] 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371" w:type="pct"/>
            <w:tcBorders>
              <w:left w:val="double" w:color="auto" w:sz="4" w:space="0"/>
            </w:tcBorders>
            <w:noWrap w:val="0"/>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25</w:t>
            </w:r>
          </w:p>
        </w:tc>
        <w:tc>
          <w:tcPr>
            <w:tcW w:w="522" w:type="pct"/>
            <w:noWrap w:val="0"/>
            <w:vAlign w:val="center"/>
          </w:tcPr>
          <w:p>
            <w:pPr>
              <w:ind w:firstLine="458" w:firstLineChars="0"/>
              <w:rPr>
                <w:rFonts w:hint="eastAsia" w:ascii="宋体" w:hAnsi="宋体" w:eastAsia="宋体" w:cs="Times New Roman"/>
                <w:color w:val="auto"/>
                <w:kern w:val="2"/>
                <w:sz w:val="24"/>
                <w:szCs w:val="24"/>
                <w:highlight w:val="none"/>
                <w:lang w:val="en-US" w:eastAsia="zh-CN" w:bidi="ar-SA"/>
              </w:rPr>
            </w:pPr>
          </w:p>
        </w:tc>
        <w:tc>
          <w:tcPr>
            <w:tcW w:w="938" w:type="pct"/>
            <w:noWrap w:val="0"/>
            <w:vAlign w:val="center"/>
          </w:tcPr>
          <w:p>
            <w:pPr>
              <w:rPr>
                <w:rFonts w:hint="eastAsia" w:ascii="宋体" w:hAnsi="宋体" w:eastAsia="宋体" w:cs="Times New Roman"/>
                <w:strike/>
                <w:color w:val="auto"/>
                <w:kern w:val="2"/>
                <w:sz w:val="24"/>
                <w:szCs w:val="24"/>
                <w:highlight w:val="none"/>
                <w:lang w:val="en-US" w:eastAsia="zh-CN" w:bidi="ar-SA"/>
              </w:rPr>
            </w:pPr>
            <w:r>
              <w:rPr>
                <w:rFonts w:hint="eastAsia" w:ascii="宋体" w:hAnsi="宋体"/>
                <w:strike/>
                <w:color w:val="auto"/>
                <w:sz w:val="24"/>
                <w:szCs w:val="24"/>
                <w:highlight w:val="none"/>
              </w:rPr>
              <w:t>进入第二阶段评审的家数</w:t>
            </w:r>
          </w:p>
        </w:tc>
        <w:tc>
          <w:tcPr>
            <w:tcW w:w="3167" w:type="pct"/>
            <w:tcBorders>
              <w:right w:val="double" w:color="auto" w:sz="4" w:space="0"/>
            </w:tcBorders>
            <w:noWrap w:val="0"/>
            <w:vAlign w:val="center"/>
          </w:tcPr>
          <w:p>
            <w:pPr>
              <w:rPr>
                <w:rFonts w:ascii="宋体" w:hAnsi="宋体"/>
                <w:strike/>
                <w:color w:val="auto"/>
                <w:sz w:val="24"/>
                <w:szCs w:val="24"/>
                <w:highlight w:val="none"/>
              </w:rPr>
            </w:pPr>
            <w:r>
              <w:rPr>
                <w:rFonts w:ascii="宋体" w:hAnsi="宋体"/>
                <w:strike/>
                <w:color w:val="auto"/>
                <w:sz w:val="24"/>
                <w:szCs w:val="24"/>
                <w:highlight w:val="none"/>
              </w:rPr>
              <w:fldChar w:fldCharType="begin"/>
            </w:r>
            <w:r>
              <w:rPr>
                <w:rFonts w:ascii="宋体" w:hAnsi="宋体"/>
                <w:strike/>
                <w:color w:val="auto"/>
                <w:sz w:val="24"/>
                <w:szCs w:val="24"/>
                <w:highlight w:val="none"/>
              </w:rPr>
              <w:instrText xml:space="preserve"> </w:instrText>
            </w:r>
            <w:r>
              <w:rPr>
                <w:rFonts w:hint="eastAsia" w:ascii="宋体" w:hAnsi="宋体"/>
                <w:strike/>
                <w:color w:val="auto"/>
                <w:sz w:val="24"/>
                <w:szCs w:val="24"/>
                <w:highlight w:val="none"/>
              </w:rPr>
              <w:instrText xml:space="preserve">= 1 \* GB3</w:instrText>
            </w:r>
            <w:r>
              <w:rPr>
                <w:rFonts w:ascii="宋体" w:hAnsi="宋体"/>
                <w:strike/>
                <w:color w:val="auto"/>
                <w:sz w:val="24"/>
                <w:szCs w:val="24"/>
                <w:highlight w:val="none"/>
              </w:rPr>
              <w:instrText xml:space="preserve"> </w:instrText>
            </w:r>
            <w:r>
              <w:rPr>
                <w:rFonts w:ascii="宋体" w:hAnsi="宋体"/>
                <w:strike/>
                <w:color w:val="auto"/>
                <w:sz w:val="24"/>
                <w:szCs w:val="24"/>
                <w:highlight w:val="none"/>
              </w:rPr>
              <w:fldChar w:fldCharType="separate"/>
            </w:r>
            <w:r>
              <w:rPr>
                <w:rFonts w:hint="eastAsia" w:ascii="宋体" w:hAnsi="宋体"/>
                <w:strike/>
                <w:color w:val="auto"/>
                <w:sz w:val="24"/>
                <w:szCs w:val="24"/>
                <w:highlight w:val="none"/>
              </w:rPr>
              <w:t>①</w:t>
            </w:r>
            <w:r>
              <w:rPr>
                <w:rFonts w:ascii="宋体" w:hAnsi="宋体"/>
                <w:strike/>
                <w:color w:val="auto"/>
                <w:sz w:val="24"/>
                <w:szCs w:val="24"/>
                <w:highlight w:val="none"/>
              </w:rPr>
              <w:fldChar w:fldCharType="end"/>
            </w:r>
            <w:r>
              <w:rPr>
                <w:rFonts w:hint="eastAsia" w:ascii="宋体" w:hAnsi="宋体"/>
                <w:strike/>
                <w:color w:val="auto"/>
                <w:sz w:val="24"/>
                <w:szCs w:val="24"/>
                <w:highlight w:val="none"/>
              </w:rPr>
              <w:t>通过技术有效性审查的投标人均进入第二阶段（适用于通过技术有效性审查家数在[3,</w:t>
            </w:r>
            <w:r>
              <w:rPr>
                <w:rFonts w:hint="eastAsia" w:ascii="宋体" w:hAnsi="宋体"/>
                <w:strike/>
                <w:color w:val="auto"/>
                <w:sz w:val="24"/>
                <w:szCs w:val="24"/>
                <w:highlight w:val="none"/>
                <w:u w:val="single"/>
              </w:rPr>
              <w:t xml:space="preserve">  </w:t>
            </w:r>
            <w:r>
              <w:rPr>
                <w:rFonts w:hint="eastAsia" w:ascii="宋体" w:hAnsi="宋体"/>
                <w:strike/>
                <w:color w:val="auto"/>
                <w:sz w:val="24"/>
                <w:szCs w:val="24"/>
                <w:highlight w:val="none"/>
              </w:rPr>
              <w:t>]中的）。</w:t>
            </w:r>
          </w:p>
          <w:p>
            <w:pPr>
              <w:rPr>
                <w:rFonts w:ascii="宋体" w:hAnsi="宋体"/>
                <w:strike/>
                <w:color w:val="auto"/>
                <w:sz w:val="24"/>
                <w:szCs w:val="24"/>
                <w:highlight w:val="none"/>
              </w:rPr>
            </w:pPr>
            <w:r>
              <w:rPr>
                <w:rFonts w:ascii="宋体" w:hAnsi="宋体"/>
                <w:strike/>
                <w:color w:val="auto"/>
                <w:sz w:val="24"/>
                <w:szCs w:val="24"/>
                <w:highlight w:val="none"/>
              </w:rPr>
              <w:fldChar w:fldCharType="begin"/>
            </w:r>
            <w:r>
              <w:rPr>
                <w:rFonts w:ascii="宋体" w:hAnsi="宋体"/>
                <w:strike/>
                <w:color w:val="auto"/>
                <w:sz w:val="24"/>
                <w:szCs w:val="24"/>
                <w:highlight w:val="none"/>
              </w:rPr>
              <w:instrText xml:space="preserve"> </w:instrText>
            </w:r>
            <w:r>
              <w:rPr>
                <w:rFonts w:hint="eastAsia" w:ascii="宋体" w:hAnsi="宋体"/>
                <w:strike/>
                <w:color w:val="auto"/>
                <w:sz w:val="24"/>
                <w:szCs w:val="24"/>
                <w:highlight w:val="none"/>
              </w:rPr>
              <w:instrText xml:space="preserve">= 2 \* GB3</w:instrText>
            </w:r>
            <w:r>
              <w:rPr>
                <w:rFonts w:ascii="宋体" w:hAnsi="宋体"/>
                <w:strike/>
                <w:color w:val="auto"/>
                <w:sz w:val="24"/>
                <w:szCs w:val="24"/>
                <w:highlight w:val="none"/>
              </w:rPr>
              <w:instrText xml:space="preserve"> </w:instrText>
            </w:r>
            <w:r>
              <w:rPr>
                <w:rFonts w:ascii="宋体" w:hAnsi="宋体"/>
                <w:strike/>
                <w:color w:val="auto"/>
                <w:sz w:val="24"/>
                <w:szCs w:val="24"/>
                <w:highlight w:val="none"/>
              </w:rPr>
              <w:fldChar w:fldCharType="separate"/>
            </w:r>
            <w:r>
              <w:rPr>
                <w:rFonts w:hint="eastAsia" w:ascii="宋体" w:hAnsi="宋体"/>
                <w:strike/>
                <w:color w:val="auto"/>
                <w:sz w:val="24"/>
                <w:szCs w:val="24"/>
                <w:highlight w:val="none"/>
              </w:rPr>
              <w:t>②</w:t>
            </w:r>
            <w:r>
              <w:rPr>
                <w:rFonts w:ascii="宋体" w:hAnsi="宋体"/>
                <w:strike/>
                <w:color w:val="auto"/>
                <w:sz w:val="24"/>
                <w:szCs w:val="24"/>
                <w:highlight w:val="none"/>
              </w:rPr>
              <w:fldChar w:fldCharType="end"/>
            </w:r>
            <w:r>
              <w:rPr>
                <w:rFonts w:hint="eastAsia" w:ascii="宋体" w:hAnsi="宋体"/>
                <w:strike/>
                <w:color w:val="auto"/>
                <w:sz w:val="24"/>
                <w:szCs w:val="24"/>
                <w:highlight w:val="none"/>
              </w:rPr>
              <w:t>将第一阶段得分由高至低排序，前</w:t>
            </w:r>
            <w:r>
              <w:rPr>
                <w:rFonts w:hint="eastAsia" w:ascii="宋体" w:hAnsi="宋体"/>
                <w:strike/>
                <w:color w:val="auto"/>
                <w:sz w:val="24"/>
                <w:szCs w:val="24"/>
                <w:highlight w:val="none"/>
                <w:u w:val="single"/>
              </w:rPr>
              <w:t xml:space="preserve">   </w:t>
            </w:r>
            <w:r>
              <w:rPr>
                <w:rFonts w:hint="eastAsia" w:ascii="宋体" w:hAnsi="宋体"/>
                <w:strike/>
                <w:color w:val="auto"/>
                <w:sz w:val="24"/>
                <w:szCs w:val="24"/>
                <w:highlight w:val="none"/>
              </w:rPr>
              <w:t>名投标人进入第二阶段评审（适用于通过技术有效性审查家数大于</w:t>
            </w:r>
            <w:r>
              <w:rPr>
                <w:rFonts w:hint="eastAsia" w:ascii="宋体" w:hAnsi="宋体"/>
                <w:strike/>
                <w:color w:val="auto"/>
                <w:sz w:val="24"/>
                <w:szCs w:val="24"/>
                <w:highlight w:val="none"/>
                <w:u w:val="single"/>
              </w:rPr>
              <w:t xml:space="preserve">  </w:t>
            </w:r>
            <w:r>
              <w:rPr>
                <w:rFonts w:hint="eastAsia" w:ascii="宋体" w:hAnsi="宋体"/>
                <w:strike/>
                <w:color w:val="auto"/>
                <w:sz w:val="24"/>
                <w:szCs w:val="24"/>
                <w:highlight w:val="none"/>
              </w:rPr>
              <w:t>家的，招标人可根据工程具体情况，确定不少于</w:t>
            </w:r>
            <w:r>
              <w:rPr>
                <w:rFonts w:hint="eastAsia" w:ascii="宋体" w:hAnsi="宋体"/>
                <w:strike/>
                <w:color w:val="auto"/>
                <w:sz w:val="24"/>
                <w:szCs w:val="24"/>
                <w:highlight w:val="none"/>
                <w:u w:val="single"/>
              </w:rPr>
              <w:t xml:space="preserve">   </w:t>
            </w:r>
            <w:r>
              <w:rPr>
                <w:rFonts w:hint="eastAsia" w:ascii="宋体" w:hAnsi="宋体"/>
                <w:strike/>
                <w:color w:val="auto"/>
                <w:sz w:val="24"/>
                <w:szCs w:val="24"/>
                <w:highlight w:val="none"/>
              </w:rPr>
              <w:t>家进入第二阶段）。</w:t>
            </w:r>
          </w:p>
          <w:p>
            <w:pPr>
              <w:rPr>
                <w:rFonts w:hint="eastAsia" w:ascii="宋体" w:hAnsi="宋体" w:eastAsia="宋体" w:cs="Times New Roman"/>
                <w:strike/>
                <w:color w:val="auto"/>
                <w:kern w:val="2"/>
                <w:sz w:val="24"/>
                <w:szCs w:val="24"/>
                <w:highlight w:val="none"/>
                <w:lang w:val="en-US" w:eastAsia="zh-CN" w:bidi="ar-SA"/>
              </w:rPr>
            </w:pPr>
            <w:r>
              <w:rPr>
                <w:rFonts w:hint="eastAsia" w:ascii="宋体" w:hAnsi="宋体"/>
                <w:strike/>
                <w:color w:val="auto"/>
                <w:sz w:val="24"/>
                <w:szCs w:val="24"/>
                <w:highlight w:val="none"/>
              </w:rPr>
              <w:t>注：本款适用于选择评标办法一至评标办法六。进入第二阶段的投标人家数应符合</w:t>
            </w:r>
            <w:r>
              <w:rPr>
                <w:rFonts w:hint="eastAsia" w:ascii="宋体" w:hAnsi="宋体" w:cs="仿宋_GB2312"/>
                <w:strike/>
                <w:color w:val="auto"/>
                <w:sz w:val="24"/>
                <w:szCs w:val="24"/>
                <w:highlight w:val="none"/>
              </w:rPr>
              <w:t>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6</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工程成本警戒价</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工程成本警戒价按最高投标限价的90%设置</w:t>
            </w:r>
            <w:r>
              <w:rPr>
                <w:rFonts w:hint="eastAsia" w:ascii="宋体" w:hAnsi="宋体" w:eastAsia="宋体" w:cs="宋体"/>
                <w:color w:val="auto"/>
                <w:sz w:val="24"/>
                <w:szCs w:val="24"/>
                <w:highlight w:val="none"/>
                <w:u w:val="single"/>
              </w:rPr>
              <w:t>为</w:t>
            </w:r>
            <w:r>
              <w:rPr>
                <w:rFonts w:hint="eastAsia" w:ascii="宋体" w:hAnsi="宋体" w:cs="宋体"/>
                <w:color w:val="auto"/>
                <w:sz w:val="24"/>
                <w:szCs w:val="24"/>
                <w:highlight w:val="none"/>
                <w:u w:val="single"/>
                <w:lang w:val="en-US" w:eastAsia="zh-CN"/>
              </w:rPr>
              <w:t xml:space="preserve">         57203392.88</w:t>
            </w:r>
            <w:r>
              <w:rPr>
                <w:rFonts w:hint="eastAsia" w:ascii="宋体" w:hAnsi="宋体" w:eastAsia="宋体" w:cs="宋体"/>
                <w:color w:val="auto"/>
                <w:sz w:val="24"/>
                <w:szCs w:val="24"/>
                <w:highlight w:val="none"/>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各分值的权重</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技术分权重为20%，经济分权重为80%。</w:t>
            </w:r>
          </w:p>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按照“总分=技术分×技术分权重（20%）+经济分×经济分权重（80%）”的公式，计算各有效投标文件的总分，并按照总分从高到低排列先后次序。若投标人总分相同的，以技术分较高的排前；若技术分仍相同的，以投标总报价较低的排前；若投标总报价仍存在相同情况，则对具有相同情况的投标人，按中标候选人数量规定，由评标委员会采用记名投票方式，确定中标候选人的排序。</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记名投票方式确定排序的具体操作步骤为：由评标委员会对出现该情况的投标人采取记名投票的方式确定，按得票数从高到低排列先后次序，以得票数高的排前，根据得票数高低确定中标候选人排序。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vMerge w:val="restar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8</w:t>
            </w:r>
          </w:p>
        </w:tc>
        <w:tc>
          <w:tcPr>
            <w:tcW w:w="522" w:type="pct"/>
            <w:vMerge w:val="restart"/>
            <w:noWrap w:val="0"/>
            <w:vAlign w:val="center"/>
          </w:tcPr>
          <w:p>
            <w:pPr>
              <w:spacing w:line="240" w:lineRule="auto"/>
              <w:jc w:val="center"/>
              <w:rPr>
                <w:rFonts w:hint="eastAsia" w:ascii="宋体" w:hAnsi="宋体" w:eastAsia="宋体" w:cs="宋体"/>
                <w:color w:val="auto"/>
                <w:sz w:val="24"/>
                <w:szCs w:val="24"/>
                <w:highlight w:val="none"/>
              </w:rPr>
            </w:pPr>
          </w:p>
        </w:tc>
        <w:tc>
          <w:tcPr>
            <w:tcW w:w="9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评标委员会人数</w:t>
            </w:r>
          </w:p>
        </w:tc>
        <w:tc>
          <w:tcPr>
            <w:tcW w:w="3167" w:type="pct"/>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9</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企业综合诚信评价分数</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本工程不设综合诚信评价得分。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noWrap w:val="0"/>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30</w:t>
            </w:r>
          </w:p>
        </w:tc>
        <w:tc>
          <w:tcPr>
            <w:tcW w:w="522" w:type="pct"/>
            <w:noWrap w:val="0"/>
            <w:vAlign w:val="center"/>
          </w:tcPr>
          <w:p>
            <w:pPr>
              <w:ind w:firstLine="458" w:firstLineChars="0"/>
              <w:rPr>
                <w:rFonts w:hint="eastAsia" w:ascii="宋体" w:hAnsi="宋体" w:eastAsia="宋体" w:cs="Times New Roman"/>
                <w:color w:val="auto"/>
                <w:kern w:val="2"/>
                <w:sz w:val="24"/>
                <w:szCs w:val="24"/>
                <w:highlight w:val="none"/>
                <w:lang w:val="en-US" w:eastAsia="zh-CN" w:bidi="ar-SA"/>
              </w:rPr>
            </w:pPr>
          </w:p>
        </w:tc>
        <w:tc>
          <w:tcPr>
            <w:tcW w:w="938" w:type="pct"/>
            <w:noWrap w:val="0"/>
            <w:vAlign w:val="center"/>
          </w:tcPr>
          <w:p>
            <w:pPr>
              <w:ind w:firstLine="458" w:firstLineChars="0"/>
              <w:rPr>
                <w:rFonts w:hint="eastAsia" w:ascii="宋体" w:hAnsi="宋体" w:eastAsia="宋体" w:cs="Times New Roman"/>
                <w:strike/>
                <w:color w:val="auto"/>
                <w:kern w:val="2"/>
                <w:sz w:val="24"/>
                <w:szCs w:val="24"/>
                <w:highlight w:val="none"/>
                <w:lang w:val="en-US" w:eastAsia="zh-CN" w:bidi="ar-SA"/>
              </w:rPr>
            </w:pPr>
            <w:r>
              <w:rPr>
                <w:rFonts w:hint="eastAsia" w:ascii="宋体" w:hAnsi="宋体"/>
                <w:strike/>
                <w:color w:val="auto"/>
                <w:sz w:val="24"/>
                <w:szCs w:val="24"/>
                <w:highlight w:val="none"/>
              </w:rPr>
              <w:t>第二阶段投标人名次的排序方法（适用于办法一、办法二）</w:t>
            </w:r>
          </w:p>
        </w:tc>
        <w:tc>
          <w:tcPr>
            <w:tcW w:w="3167" w:type="pct"/>
            <w:tcBorders>
              <w:right w:val="double" w:color="auto" w:sz="4" w:space="0"/>
            </w:tcBorders>
            <w:noWrap w:val="0"/>
            <w:vAlign w:val="center"/>
          </w:tcPr>
          <w:p>
            <w:pPr>
              <w:rPr>
                <w:rFonts w:ascii="宋体" w:hAnsi="宋体"/>
                <w:strike/>
                <w:color w:val="auto"/>
                <w:sz w:val="24"/>
                <w:szCs w:val="24"/>
                <w:highlight w:val="none"/>
              </w:rPr>
            </w:pPr>
            <w:r>
              <w:rPr>
                <w:rFonts w:hint="eastAsia" w:ascii="宋体" w:hAnsi="宋体"/>
                <w:strike/>
                <w:color w:val="auto"/>
                <w:sz w:val="24"/>
                <w:szCs w:val="24"/>
                <w:highlight w:val="none"/>
              </w:rPr>
              <w:t>选取方法</w:t>
            </w:r>
          </w:p>
          <w:p>
            <w:pPr>
              <w:rPr>
                <w:rFonts w:ascii="宋体" w:hAnsi="宋体"/>
                <w:strike/>
                <w:color w:val="auto"/>
                <w:sz w:val="24"/>
                <w:szCs w:val="24"/>
                <w:highlight w:val="none"/>
              </w:rPr>
            </w:pPr>
            <w:r>
              <w:rPr>
                <w:rFonts w:hint="eastAsia" w:ascii="宋体" w:hAnsi="宋体"/>
                <w:strike/>
                <w:color w:val="auto"/>
                <w:sz w:val="24"/>
                <w:szCs w:val="24"/>
                <w:highlight w:val="none"/>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p>
          <w:p>
            <w:pPr>
              <w:rPr>
                <w:rFonts w:ascii="宋体" w:hAnsi="宋体"/>
                <w:strike/>
                <w:color w:val="auto"/>
                <w:sz w:val="24"/>
                <w:szCs w:val="24"/>
                <w:highlight w:val="none"/>
              </w:rPr>
            </w:pPr>
            <w:r>
              <w:rPr>
                <w:rFonts w:hint="eastAsia" w:ascii="宋体" w:hAnsi="宋体"/>
                <w:strike/>
                <w:color w:val="auto"/>
                <w:sz w:val="24"/>
                <w:szCs w:val="24"/>
                <w:highlight w:val="none"/>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pPr>
              <w:rPr>
                <w:rFonts w:hint="eastAsia" w:ascii="宋体" w:hAnsi="宋体" w:eastAsia="宋体" w:cs="Times New Roman"/>
                <w:strike/>
                <w:color w:val="auto"/>
                <w:kern w:val="2"/>
                <w:sz w:val="24"/>
                <w:szCs w:val="24"/>
                <w:highlight w:val="none"/>
                <w:lang w:val="en-US" w:eastAsia="zh-CN" w:bidi="ar-SA"/>
              </w:rPr>
            </w:pPr>
            <w:r>
              <w:rPr>
                <w:rFonts w:hint="eastAsia" w:ascii="宋体" w:hAnsi="宋体"/>
                <w:strike/>
                <w:color w:val="auto"/>
                <w:sz w:val="24"/>
                <w:szCs w:val="24"/>
                <w:highlight w:val="none"/>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noWrap w:val="0"/>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31</w:t>
            </w:r>
          </w:p>
        </w:tc>
        <w:tc>
          <w:tcPr>
            <w:tcW w:w="522" w:type="pct"/>
            <w:noWrap w:val="0"/>
            <w:vAlign w:val="center"/>
          </w:tcPr>
          <w:p>
            <w:pPr>
              <w:ind w:firstLine="458" w:firstLineChars="0"/>
              <w:rPr>
                <w:rFonts w:hint="eastAsia" w:ascii="宋体" w:hAnsi="宋体" w:eastAsia="宋体" w:cs="Times New Roman"/>
                <w:color w:val="auto"/>
                <w:kern w:val="2"/>
                <w:sz w:val="24"/>
                <w:szCs w:val="24"/>
                <w:highlight w:val="none"/>
                <w:lang w:val="en-US" w:eastAsia="zh-CN" w:bidi="ar-SA"/>
              </w:rPr>
            </w:pPr>
          </w:p>
        </w:tc>
        <w:tc>
          <w:tcPr>
            <w:tcW w:w="938" w:type="pct"/>
            <w:noWrap w:val="0"/>
            <w:vAlign w:val="center"/>
          </w:tcPr>
          <w:p>
            <w:pPr>
              <w:rPr>
                <w:rFonts w:hint="eastAsia" w:ascii="宋体" w:hAnsi="宋体" w:eastAsia="宋体" w:cs="Times New Roman"/>
                <w:strike/>
                <w:color w:val="auto"/>
                <w:kern w:val="2"/>
                <w:sz w:val="24"/>
                <w:szCs w:val="24"/>
                <w:highlight w:val="none"/>
                <w:lang w:val="en-US" w:eastAsia="zh-CN" w:bidi="ar-SA"/>
              </w:rPr>
            </w:pPr>
            <w:r>
              <w:rPr>
                <w:rFonts w:hint="eastAsia" w:ascii="宋体" w:hAnsi="宋体"/>
                <w:strike/>
                <w:color w:val="auto"/>
                <w:sz w:val="24"/>
                <w:szCs w:val="24"/>
                <w:highlight w:val="none"/>
              </w:rPr>
              <w:t>经济分相同情况下的排序方法（适用于办法三、办法四）</w:t>
            </w:r>
          </w:p>
        </w:tc>
        <w:tc>
          <w:tcPr>
            <w:tcW w:w="3167" w:type="pct"/>
            <w:tcBorders>
              <w:right w:val="double" w:color="auto" w:sz="4" w:space="0"/>
            </w:tcBorders>
            <w:noWrap w:val="0"/>
            <w:vAlign w:val="center"/>
          </w:tcPr>
          <w:p>
            <w:pPr>
              <w:rPr>
                <w:rFonts w:ascii="宋体" w:hAnsi="宋体"/>
                <w:strike/>
                <w:color w:val="auto"/>
                <w:sz w:val="24"/>
                <w:szCs w:val="24"/>
                <w:highlight w:val="none"/>
              </w:rPr>
            </w:pPr>
            <w:r>
              <w:rPr>
                <w:rFonts w:hint="eastAsia" w:ascii="宋体" w:hAnsi="宋体"/>
                <w:strike/>
                <w:color w:val="auto"/>
                <w:sz w:val="24"/>
                <w:szCs w:val="24"/>
                <w:highlight w:val="none"/>
              </w:rPr>
              <w:t>选取方法</w:t>
            </w:r>
          </w:p>
          <w:p>
            <w:pPr>
              <w:rPr>
                <w:rFonts w:ascii="宋体" w:hAnsi="宋体"/>
                <w:strike/>
                <w:color w:val="auto"/>
                <w:sz w:val="24"/>
                <w:szCs w:val="24"/>
                <w:highlight w:val="none"/>
              </w:rPr>
            </w:pPr>
            <w:r>
              <w:rPr>
                <w:rFonts w:hint="eastAsia" w:ascii="宋体" w:hAnsi="宋体"/>
                <w:strike/>
                <w:color w:val="auto"/>
                <w:sz w:val="24"/>
                <w:szCs w:val="24"/>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pPr>
              <w:rPr>
                <w:rFonts w:ascii="宋体" w:hAnsi="宋体"/>
                <w:strike/>
                <w:color w:val="auto"/>
                <w:sz w:val="24"/>
                <w:szCs w:val="24"/>
                <w:highlight w:val="none"/>
              </w:rPr>
            </w:pPr>
            <w:r>
              <w:rPr>
                <w:rFonts w:hint="eastAsia" w:ascii="宋体" w:hAnsi="宋体"/>
                <w:strike/>
                <w:color w:val="auto"/>
                <w:sz w:val="24"/>
                <w:szCs w:val="24"/>
                <w:highlight w:val="none"/>
              </w:rPr>
              <w:t>方法二：经济分相同的投标文件，由评标委员会采用随机方式，确定投标人的排序。</w:t>
            </w:r>
          </w:p>
          <w:p>
            <w:pPr>
              <w:rPr>
                <w:rFonts w:hint="eastAsia" w:ascii="宋体" w:hAnsi="宋体" w:eastAsia="宋体" w:cs="Times New Roman"/>
                <w:strike/>
                <w:color w:val="auto"/>
                <w:kern w:val="2"/>
                <w:sz w:val="24"/>
                <w:szCs w:val="24"/>
                <w:highlight w:val="none"/>
                <w:lang w:val="en-US" w:eastAsia="zh-CN" w:bidi="ar-SA"/>
              </w:rPr>
            </w:pPr>
            <w:r>
              <w:rPr>
                <w:rFonts w:hint="eastAsia" w:ascii="宋体" w:hAnsi="宋体"/>
                <w:strike/>
                <w:color w:val="auto"/>
                <w:sz w:val="24"/>
                <w:szCs w:val="24"/>
                <w:highlight w:val="none"/>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noWrap w:val="0"/>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32</w:t>
            </w:r>
          </w:p>
        </w:tc>
        <w:tc>
          <w:tcPr>
            <w:tcW w:w="522" w:type="pct"/>
            <w:noWrap w:val="0"/>
            <w:vAlign w:val="center"/>
          </w:tcPr>
          <w:p>
            <w:pPr>
              <w:ind w:firstLine="458" w:firstLineChars="0"/>
              <w:rPr>
                <w:rFonts w:hint="eastAsia" w:ascii="宋体" w:hAnsi="宋体" w:eastAsia="宋体" w:cs="Times New Roman"/>
                <w:color w:val="auto"/>
                <w:kern w:val="2"/>
                <w:sz w:val="24"/>
                <w:szCs w:val="24"/>
                <w:highlight w:val="none"/>
                <w:lang w:val="en-US" w:eastAsia="zh-CN" w:bidi="ar-SA"/>
              </w:rPr>
            </w:pPr>
          </w:p>
        </w:tc>
        <w:tc>
          <w:tcPr>
            <w:tcW w:w="938" w:type="pct"/>
            <w:noWrap w:val="0"/>
            <w:vAlign w:val="center"/>
          </w:tcPr>
          <w:p>
            <w:pPr>
              <w:rPr>
                <w:rFonts w:hint="eastAsia" w:ascii="宋体" w:hAnsi="宋体" w:eastAsia="宋体" w:cs="Times New Roman"/>
                <w:strike/>
                <w:color w:val="auto"/>
                <w:kern w:val="2"/>
                <w:sz w:val="24"/>
                <w:szCs w:val="24"/>
                <w:highlight w:val="none"/>
                <w:lang w:val="en-US" w:eastAsia="zh-CN" w:bidi="ar-SA"/>
              </w:rPr>
            </w:pPr>
            <w:r>
              <w:rPr>
                <w:rFonts w:hint="eastAsia" w:ascii="宋体" w:hAnsi="宋体"/>
                <w:strike/>
                <w:color w:val="auto"/>
                <w:sz w:val="24"/>
                <w:szCs w:val="24"/>
                <w:highlight w:val="none"/>
              </w:rPr>
              <w:t>第二阶段投标人名次的排序方法（适用于办法五、办法六）</w:t>
            </w:r>
          </w:p>
        </w:tc>
        <w:tc>
          <w:tcPr>
            <w:tcW w:w="3167" w:type="pct"/>
            <w:tcBorders>
              <w:right w:val="double" w:color="auto" w:sz="4" w:space="0"/>
            </w:tcBorders>
            <w:noWrap w:val="0"/>
            <w:vAlign w:val="center"/>
          </w:tcPr>
          <w:p>
            <w:pPr>
              <w:rPr>
                <w:rFonts w:ascii="宋体" w:hAnsi="宋体"/>
                <w:strike/>
                <w:color w:val="auto"/>
                <w:sz w:val="24"/>
                <w:szCs w:val="24"/>
                <w:highlight w:val="none"/>
              </w:rPr>
            </w:pPr>
            <w:r>
              <w:rPr>
                <w:rFonts w:hint="eastAsia" w:ascii="宋体" w:hAnsi="宋体"/>
                <w:strike/>
                <w:color w:val="auto"/>
                <w:sz w:val="24"/>
                <w:szCs w:val="24"/>
                <w:highlight w:val="none"/>
              </w:rPr>
              <w:t>选取方法</w:t>
            </w:r>
            <w:r>
              <w:rPr>
                <w:rFonts w:hint="eastAsia" w:ascii="宋体" w:hAnsi="宋体"/>
                <w:strike/>
                <w:color w:val="auto"/>
                <w:sz w:val="24"/>
                <w:szCs w:val="24"/>
                <w:highlight w:val="none"/>
                <w:u w:val="single"/>
              </w:rPr>
              <w:t xml:space="preserve">     </w:t>
            </w:r>
          </w:p>
          <w:p>
            <w:pPr>
              <w:rPr>
                <w:rFonts w:ascii="宋体" w:hAnsi="宋体"/>
                <w:strike/>
                <w:color w:val="auto"/>
                <w:sz w:val="24"/>
                <w:szCs w:val="24"/>
                <w:highlight w:val="none"/>
              </w:rPr>
            </w:pPr>
            <w:r>
              <w:rPr>
                <w:rFonts w:hint="eastAsia" w:ascii="宋体" w:hAnsi="宋体"/>
                <w:strike/>
                <w:color w:val="auto"/>
                <w:sz w:val="24"/>
                <w:szCs w:val="24"/>
                <w:highlight w:val="none"/>
              </w:rPr>
              <w:t>方法一：评标委员会按照“总分=</w:t>
            </w:r>
            <w:r>
              <w:rPr>
                <w:rFonts w:hint="eastAsia" w:ascii="宋体" w:hAnsi="宋体"/>
                <w:strike/>
                <w:color w:val="auto"/>
                <w:sz w:val="24"/>
                <w:szCs w:val="24"/>
                <w:highlight w:val="none"/>
                <w:u w:val="single"/>
              </w:rPr>
              <w:t xml:space="preserve">           </w:t>
            </w:r>
            <w:r>
              <w:rPr>
                <w:rFonts w:hint="eastAsia" w:ascii="宋体" w:hAnsi="宋体"/>
                <w:strike/>
                <w:color w:val="auto"/>
                <w:sz w:val="24"/>
                <w:szCs w:val="24"/>
                <w:highlight w:val="none"/>
              </w:rPr>
              <w:t>的公式，计算各有效投标文件的总分，并按照总分从高到低排序。总得分相同的投标文件，以报价较低的排前；总得分与报价均相同的投标文件，以</w:t>
            </w:r>
            <w:r>
              <w:rPr>
                <w:rFonts w:hint="eastAsia" w:ascii="宋体" w:hAnsi="宋体"/>
                <w:strike/>
                <w:color w:val="auto"/>
                <w:sz w:val="24"/>
                <w:szCs w:val="24"/>
                <w:highlight w:val="none"/>
                <w:u w:val="single"/>
              </w:rPr>
              <w:t xml:space="preserve">     </w:t>
            </w:r>
            <w:r>
              <w:rPr>
                <w:rFonts w:hint="eastAsia" w:ascii="宋体" w:hAnsi="宋体"/>
                <w:strike/>
                <w:color w:val="auto"/>
                <w:sz w:val="24"/>
                <w:szCs w:val="24"/>
                <w:highlight w:val="none"/>
              </w:rPr>
              <w:t>较高的排前；总得分、报价与</w:t>
            </w:r>
            <w:r>
              <w:rPr>
                <w:rFonts w:hint="eastAsia" w:ascii="宋体" w:hAnsi="宋体"/>
                <w:strike/>
                <w:color w:val="auto"/>
                <w:sz w:val="24"/>
                <w:szCs w:val="24"/>
                <w:highlight w:val="none"/>
                <w:u w:val="single"/>
              </w:rPr>
              <w:t xml:space="preserve">     </w:t>
            </w:r>
            <w:r>
              <w:rPr>
                <w:rFonts w:hint="eastAsia" w:ascii="宋体" w:hAnsi="宋体"/>
                <w:strike/>
                <w:color w:val="auto"/>
                <w:sz w:val="24"/>
                <w:szCs w:val="24"/>
                <w:highlight w:val="none"/>
              </w:rPr>
              <w:t>均相同的投标文件，以诚信综合评价分数高的排前；如仍存在相同情况，则对具有相同情况的投标人，由评标委员会采用随机方式，确定投标人的排序。</w:t>
            </w:r>
          </w:p>
          <w:p>
            <w:pPr>
              <w:rPr>
                <w:rFonts w:hint="eastAsia" w:ascii="宋体" w:hAnsi="宋体" w:eastAsia="宋体" w:cs="Times New Roman"/>
                <w:strike/>
                <w:color w:val="auto"/>
                <w:kern w:val="2"/>
                <w:sz w:val="24"/>
                <w:szCs w:val="24"/>
                <w:highlight w:val="none"/>
                <w:lang w:val="en-US" w:eastAsia="zh-CN" w:bidi="ar-SA"/>
              </w:rPr>
            </w:pPr>
            <w:r>
              <w:rPr>
                <w:rFonts w:hint="eastAsia" w:ascii="宋体" w:hAnsi="宋体"/>
                <w:strike/>
                <w:color w:val="auto"/>
                <w:sz w:val="24"/>
                <w:szCs w:val="24"/>
                <w:highlight w:val="none"/>
              </w:rPr>
              <w:t xml:space="preserve">方法二：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noWrap w:val="0"/>
            <w:vAlign w:val="center"/>
          </w:tcPr>
          <w:p>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13.4、13.5.2</w:t>
            </w: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合同价款的调整办法</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详见招标文件及相关合同条款。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1" w:type="pct"/>
            <w:tcBorders>
              <w:left w:val="double" w:color="auto" w:sz="4" w:space="0"/>
            </w:tcBorders>
            <w:noWrap w:val="0"/>
            <w:vAlign w:val="center"/>
          </w:tcPr>
          <w:p>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p>
        </w:tc>
        <w:tc>
          <w:tcPr>
            <w:tcW w:w="938" w:type="pct"/>
            <w:noWrap w:val="0"/>
            <w:vAlign w:val="center"/>
          </w:tcPr>
          <w:p>
            <w:pPr>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建设工程质量检测单位</w:t>
            </w:r>
          </w:p>
        </w:tc>
        <w:tc>
          <w:tcPr>
            <w:tcW w:w="3167" w:type="pct"/>
            <w:tcBorders>
              <w:right w:val="double" w:color="auto" w:sz="4" w:space="0"/>
            </w:tcBorders>
            <w:noWrap w:val="0"/>
            <w:vAlign w:val="center"/>
          </w:tcPr>
          <w:p>
            <w:pPr>
              <w:spacing w:line="240" w:lineRule="auto"/>
              <w:rPr>
                <w:rFonts w:hint="eastAsia" w:ascii="宋体" w:hAnsi="宋体" w:eastAsia="宋体" w:cs="宋体"/>
                <w:b w:val="0"/>
                <w:bCs w:val="0"/>
                <w:color w:val="auto"/>
                <w:kern w:val="0"/>
                <w:sz w:val="24"/>
                <w:szCs w:val="24"/>
                <w:highlight w:val="none"/>
                <w:lang w:val="zh-CN"/>
              </w:rPr>
            </w:pPr>
            <w:r>
              <w:rPr>
                <w:rFonts w:hint="eastAsia" w:ascii="宋体" w:hAnsi="宋体" w:eastAsia="宋体" w:cs="宋体"/>
                <w:b w:val="0"/>
                <w:bCs w:val="0"/>
                <w:color w:val="auto"/>
                <w:kern w:val="0"/>
                <w:sz w:val="24"/>
                <w:szCs w:val="24"/>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1" w:type="pct"/>
            <w:tcBorders>
              <w:left w:val="double" w:color="auto" w:sz="4" w:space="0"/>
            </w:tcBorders>
            <w:noWrap w:val="0"/>
            <w:vAlign w:val="center"/>
          </w:tcPr>
          <w:p>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p>
        </w:tc>
        <w:tc>
          <w:tcPr>
            <w:tcW w:w="938" w:type="pct"/>
            <w:noWrap w:val="0"/>
            <w:vAlign w:val="center"/>
          </w:tcPr>
          <w:p>
            <w:pPr>
              <w:spacing w:line="24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分包</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□不允许分包；</w:t>
            </w:r>
          </w:p>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u w:val="none"/>
              </w:rPr>
              <w:t>■</w:t>
            </w:r>
            <w:r>
              <w:rPr>
                <w:rFonts w:hint="eastAsia" w:ascii="宋体" w:hAnsi="宋体" w:eastAsia="宋体" w:cs="宋体"/>
                <w:color w:val="auto"/>
                <w:kern w:val="0"/>
                <w:sz w:val="24"/>
                <w:szCs w:val="24"/>
                <w:highlight w:val="none"/>
                <w:lang w:val="zh-CN"/>
              </w:rPr>
              <w:t>允许：</w:t>
            </w:r>
            <w:r>
              <w:rPr>
                <w:rFonts w:hint="eastAsia" w:ascii="宋体" w:hAnsi="宋体" w:eastAsia="宋体" w:cs="宋体"/>
                <w:color w:val="auto"/>
                <w:kern w:val="0"/>
                <w:sz w:val="24"/>
                <w:szCs w:val="24"/>
                <w:highlight w:val="none"/>
                <w:u w:val="single"/>
              </w:rPr>
              <w:t>允许非主体、非关键性工程进行分包。</w:t>
            </w:r>
          </w:p>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分包内容要求：经监理工程师及发包人同意后可依法分包。</w:t>
            </w:r>
          </w:p>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分包金额要求：无</w:t>
            </w:r>
          </w:p>
          <w:p>
            <w:pPr>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u w:val="single"/>
              </w:rPr>
              <w:t>对分包人的资质要求：符合有关法律法规和文件规定，并不得再次分包。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trPr>
        <w:tc>
          <w:tcPr>
            <w:tcW w:w="371" w:type="pct"/>
            <w:tcBorders>
              <w:left w:val="double" w:color="auto" w:sz="4" w:space="0"/>
            </w:tcBorders>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6</w:t>
            </w:r>
          </w:p>
        </w:tc>
        <w:tc>
          <w:tcPr>
            <w:tcW w:w="522" w:type="pct"/>
            <w:noWrap w:val="0"/>
            <w:vAlign w:val="center"/>
          </w:tcPr>
          <w:p>
            <w:pPr>
              <w:spacing w:line="240" w:lineRule="auto"/>
              <w:jc w:val="center"/>
              <w:rPr>
                <w:rFonts w:hint="eastAsia" w:ascii="宋体" w:hAnsi="宋体" w:eastAsia="宋体" w:cs="宋体"/>
                <w:color w:val="auto"/>
                <w:sz w:val="24"/>
                <w:szCs w:val="24"/>
                <w:highlight w:val="none"/>
              </w:rPr>
            </w:pPr>
          </w:p>
        </w:tc>
        <w:tc>
          <w:tcPr>
            <w:tcW w:w="93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电子招标投标解密失败及突发情况的补救</w:t>
            </w:r>
          </w:p>
        </w:tc>
        <w:tc>
          <w:tcPr>
            <w:tcW w:w="3167" w:type="pct"/>
            <w:tcBorders>
              <w:right w:val="doub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1、按照广州交易集团有限公司（广州公共资源交易中心）交易平台关于全流程电子化项目的相关指南进行操作。详见：广州交易集团有限公司（广州公共资源交易中心）网站最新指引。  </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2、提交投标文件光盘备用</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3、补救方案</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（1）投标文件解密失败的补救方案：</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（2）评标时突发情况的补救方案</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若遇不可抗力发生（指网络瘫痪、服务器损坏、交易系统故障短期无法恢复等因素），由评标委员会开启投标人递交的全部投标文件光盘，并按光盘内容进行评审。</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（3）除发生上述情况外，开标评标均以投标人通过广州交易集团有限公司（广州公共资源交易中心）交易平台网上递交的电子投标文件为准。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noWrap w:val="0"/>
            <w:vAlign w:val="center"/>
          </w:tcPr>
          <w:p>
            <w:pPr>
              <w:jc w:val="center"/>
              <w:rPr>
                <w:rFonts w:hint="default" w:ascii="宋体" w:hAnsi="宋体" w:eastAsia="宋体" w:cs="Times New Roman"/>
                <w:color w:val="auto"/>
                <w:kern w:val="2"/>
                <w:sz w:val="21"/>
                <w:szCs w:val="21"/>
                <w:highlight w:val="none"/>
                <w:u w:val="single"/>
                <w:lang w:val="en-US" w:eastAsia="zh-CN" w:bidi="ar-SA"/>
              </w:rPr>
            </w:pPr>
            <w:r>
              <w:rPr>
                <w:rFonts w:hint="eastAsia" w:ascii="宋体" w:hAnsi="宋体"/>
                <w:color w:val="auto"/>
                <w:szCs w:val="21"/>
                <w:highlight w:val="none"/>
                <w:u w:val="single"/>
              </w:rPr>
              <w:t>37</w:t>
            </w:r>
          </w:p>
        </w:tc>
        <w:tc>
          <w:tcPr>
            <w:tcW w:w="522" w:type="pct"/>
            <w:noWrap w:val="0"/>
            <w:vAlign w:val="center"/>
          </w:tcPr>
          <w:p>
            <w:pPr>
              <w:jc w:val="center"/>
              <w:rPr>
                <w:rFonts w:hint="eastAsia" w:ascii="宋体" w:hAnsi="宋体" w:eastAsia="宋体" w:cs="Times New Roman"/>
                <w:color w:val="auto"/>
                <w:kern w:val="2"/>
                <w:sz w:val="21"/>
                <w:szCs w:val="22"/>
                <w:highlight w:val="none"/>
                <w:lang w:val="en-US" w:eastAsia="zh-CN" w:bidi="ar-SA"/>
              </w:rPr>
            </w:pPr>
          </w:p>
        </w:tc>
        <w:tc>
          <w:tcPr>
            <w:tcW w:w="938" w:type="pct"/>
            <w:noWrap w:val="0"/>
            <w:vAlign w:val="center"/>
          </w:tcPr>
          <w:p>
            <w:pPr>
              <w:rPr>
                <w:rFonts w:hint="eastAsia" w:ascii="宋体" w:hAnsi="宋体" w:eastAsia="宋体" w:cs="宋体"/>
                <w:color w:val="auto"/>
                <w:kern w:val="2"/>
                <w:sz w:val="24"/>
                <w:szCs w:val="24"/>
                <w:highlight w:val="none"/>
                <w:u w:val="single"/>
                <w:lang w:val="en-US" w:eastAsia="zh-CN" w:bidi="ar-SA"/>
              </w:rPr>
            </w:pPr>
            <w:r>
              <w:rPr>
                <w:rFonts w:hint="eastAsia" w:ascii="宋体" w:hAnsi="宋体" w:cs="宋体"/>
                <w:color w:val="auto"/>
                <w:sz w:val="24"/>
                <w:szCs w:val="24"/>
                <w:highlight w:val="none"/>
                <w:u w:val="single"/>
              </w:rPr>
              <w:t>招标人拒绝接收投标文件备用光盘的情况</w:t>
            </w:r>
          </w:p>
        </w:tc>
        <w:tc>
          <w:tcPr>
            <w:tcW w:w="3167" w:type="pct"/>
            <w:tcBorders>
              <w:right w:val="double" w:color="auto" w:sz="4" w:space="0"/>
            </w:tcBorders>
            <w:noWrap w:val="0"/>
            <w:vAlign w:val="center"/>
          </w:tcPr>
          <w:p>
            <w:pP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1、在投标截止期后逾期或未在指定地点递交投标文件备用光盘的；</w:t>
            </w:r>
          </w:p>
          <w:p>
            <w:pP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2、投标文件备用光盘未按招标文件要求密封或未在密封处盖章的；</w:t>
            </w:r>
          </w:p>
          <w:p>
            <w:pPr>
              <w:rPr>
                <w:rFonts w:hint="eastAsia" w:ascii="宋体" w:hAnsi="宋体" w:eastAsia="宋体" w:cs="宋体"/>
                <w:color w:val="auto"/>
                <w:kern w:val="2"/>
                <w:sz w:val="24"/>
                <w:szCs w:val="24"/>
                <w:highlight w:val="none"/>
                <w:u w:val="single"/>
                <w:lang w:val="en-US" w:eastAsia="zh-CN" w:bidi="ar-SA"/>
              </w:rPr>
            </w:pPr>
            <w:r>
              <w:rPr>
                <w:rFonts w:hint="eastAsia" w:ascii="宋体" w:hAnsi="宋体" w:cs="宋体"/>
                <w:color w:val="auto"/>
                <w:sz w:val="24"/>
                <w:szCs w:val="24"/>
                <w:highlight w:val="none"/>
                <w:u w:val="single"/>
              </w:rPr>
              <w:t>3、投标人代表未凭法定代表人证明书（原件）、授权委托书原件（仅限于非法定代表人）、本人身份证原件递交投标文件备用光盘的。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noWrap w:val="0"/>
            <w:vAlign w:val="center"/>
          </w:tcPr>
          <w:p>
            <w:pPr>
              <w:jc w:val="center"/>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olor w:val="auto"/>
                <w:szCs w:val="21"/>
                <w:highlight w:val="none"/>
                <w:u w:val="single"/>
              </w:rPr>
              <w:t>38</w:t>
            </w:r>
          </w:p>
        </w:tc>
        <w:tc>
          <w:tcPr>
            <w:tcW w:w="522" w:type="pct"/>
            <w:noWrap w:val="0"/>
            <w:vAlign w:val="center"/>
          </w:tcPr>
          <w:p>
            <w:pPr>
              <w:jc w:val="center"/>
              <w:rPr>
                <w:rFonts w:hint="eastAsia" w:ascii="宋体" w:hAnsi="宋体" w:eastAsia="宋体" w:cs="Times New Roman"/>
                <w:color w:val="auto"/>
                <w:kern w:val="2"/>
                <w:sz w:val="21"/>
                <w:szCs w:val="22"/>
                <w:highlight w:val="none"/>
                <w:lang w:val="en-US" w:eastAsia="zh-CN" w:bidi="ar-SA"/>
              </w:rPr>
            </w:pPr>
          </w:p>
        </w:tc>
        <w:tc>
          <w:tcPr>
            <w:tcW w:w="938" w:type="pct"/>
            <w:noWrap w:val="0"/>
            <w:vAlign w:val="center"/>
          </w:tcPr>
          <w:p>
            <w:pPr>
              <w:rPr>
                <w:rFonts w:hint="eastAsia" w:ascii="宋体" w:hAnsi="宋体" w:eastAsia="宋体" w:cs="宋体"/>
                <w:color w:val="auto"/>
                <w:kern w:val="2"/>
                <w:sz w:val="24"/>
                <w:szCs w:val="24"/>
                <w:highlight w:val="none"/>
                <w:u w:val="single"/>
                <w:lang w:val="en-US" w:eastAsia="zh-CN" w:bidi="ar-SA"/>
              </w:rPr>
            </w:pPr>
            <w:r>
              <w:rPr>
                <w:rFonts w:hint="eastAsia" w:ascii="宋体" w:hAnsi="宋体" w:cs="宋体"/>
                <w:color w:val="auto"/>
                <w:sz w:val="24"/>
                <w:szCs w:val="24"/>
                <w:highlight w:val="none"/>
                <w:u w:val="single"/>
              </w:rPr>
              <w:t>中标公示后中标单位提交投标文件要求</w:t>
            </w:r>
          </w:p>
        </w:tc>
        <w:tc>
          <w:tcPr>
            <w:tcW w:w="3167" w:type="pct"/>
            <w:tcBorders>
              <w:right w:val="double" w:color="auto" w:sz="4" w:space="0"/>
            </w:tcBorders>
            <w:noWrap w:val="0"/>
            <w:vAlign w:val="center"/>
          </w:tcPr>
          <w:p>
            <w:pPr>
              <w:rPr>
                <w:rFonts w:hint="eastAsia" w:ascii="宋体" w:hAnsi="宋体" w:eastAsia="宋体" w:cs="宋体"/>
                <w:color w:val="auto"/>
                <w:kern w:val="2"/>
                <w:sz w:val="24"/>
                <w:szCs w:val="24"/>
                <w:highlight w:val="none"/>
                <w:u w:val="single"/>
                <w:lang w:val="en-US" w:eastAsia="zh-CN" w:bidi="ar-SA"/>
              </w:rPr>
            </w:pPr>
            <w:r>
              <w:rPr>
                <w:rFonts w:hint="eastAsia" w:ascii="宋体" w:hAnsi="宋体" w:cs="宋体"/>
                <w:color w:val="auto"/>
                <w:sz w:val="24"/>
                <w:szCs w:val="24"/>
                <w:highlight w:val="none"/>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noWrap w:val="0"/>
            <w:vAlign w:val="center"/>
          </w:tcPr>
          <w:p>
            <w:pPr>
              <w:jc w:val="center"/>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olor w:val="auto"/>
                <w:szCs w:val="21"/>
                <w:highlight w:val="none"/>
                <w:u w:val="single"/>
              </w:rPr>
              <w:t>39</w:t>
            </w:r>
          </w:p>
        </w:tc>
        <w:tc>
          <w:tcPr>
            <w:tcW w:w="522" w:type="pct"/>
            <w:noWrap w:val="0"/>
            <w:vAlign w:val="center"/>
          </w:tcPr>
          <w:p>
            <w:pPr>
              <w:jc w:val="center"/>
              <w:rPr>
                <w:rFonts w:hint="eastAsia" w:ascii="宋体" w:hAnsi="宋体" w:eastAsia="宋体" w:cs="Times New Roman"/>
                <w:color w:val="auto"/>
                <w:kern w:val="2"/>
                <w:sz w:val="21"/>
                <w:szCs w:val="22"/>
                <w:highlight w:val="none"/>
                <w:lang w:val="en-US" w:eastAsia="zh-CN" w:bidi="ar-SA"/>
              </w:rPr>
            </w:pPr>
          </w:p>
        </w:tc>
        <w:tc>
          <w:tcPr>
            <w:tcW w:w="938" w:type="pct"/>
            <w:noWrap w:val="0"/>
            <w:vAlign w:val="center"/>
          </w:tcPr>
          <w:p>
            <w:pPr>
              <w:rPr>
                <w:rFonts w:hint="eastAsia" w:ascii="宋体" w:hAnsi="宋体" w:eastAsia="宋体" w:cs="宋体"/>
                <w:color w:val="auto"/>
                <w:kern w:val="2"/>
                <w:sz w:val="24"/>
                <w:szCs w:val="24"/>
                <w:highlight w:val="none"/>
                <w:u w:val="single"/>
                <w:lang w:val="en-US" w:eastAsia="zh-CN" w:bidi="ar-SA"/>
              </w:rPr>
            </w:pPr>
            <w:r>
              <w:rPr>
                <w:rFonts w:hint="eastAsia" w:ascii="宋体" w:hAnsi="宋体"/>
                <w:color w:val="auto"/>
                <w:sz w:val="24"/>
                <w:szCs w:val="24"/>
                <w:highlight w:val="none"/>
                <w:u w:val="single"/>
              </w:rPr>
              <w:t>安全生产责任保险</w:t>
            </w:r>
          </w:p>
        </w:tc>
        <w:tc>
          <w:tcPr>
            <w:tcW w:w="3167" w:type="pct"/>
            <w:tcBorders>
              <w:right w:val="double" w:color="auto" w:sz="4" w:space="0"/>
            </w:tcBorders>
            <w:noWrap w:val="0"/>
            <w:vAlign w:val="center"/>
          </w:tcPr>
          <w:p>
            <w:pPr>
              <w:rPr>
                <w:rFonts w:hint="eastAsia" w:ascii="宋体" w:hAnsi="宋体" w:eastAsia="宋体" w:cs="宋体"/>
                <w:color w:val="auto"/>
                <w:kern w:val="0"/>
                <w:sz w:val="24"/>
                <w:szCs w:val="24"/>
                <w:highlight w:val="none"/>
                <w:u w:val="single"/>
                <w:lang w:val="zh-CN" w:eastAsia="zh-CN" w:bidi="ar-SA"/>
              </w:rPr>
            </w:pPr>
            <w:r>
              <w:rPr>
                <w:rFonts w:hint="eastAsia" w:ascii="宋体" w:hAnsi="宋体"/>
                <w:color w:val="auto"/>
                <w:sz w:val="24"/>
                <w:szCs w:val="24"/>
                <w:highlight w:val="none"/>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bottom w:val="double" w:color="auto" w:sz="4" w:space="0"/>
            </w:tcBorders>
            <w:noWrap w:val="0"/>
            <w:vAlign w:val="center"/>
          </w:tcPr>
          <w:p>
            <w:pPr>
              <w:jc w:val="center"/>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olor w:val="auto"/>
                <w:szCs w:val="21"/>
                <w:highlight w:val="none"/>
                <w:u w:val="single"/>
              </w:rPr>
              <w:t>40</w:t>
            </w:r>
          </w:p>
        </w:tc>
        <w:tc>
          <w:tcPr>
            <w:tcW w:w="522" w:type="pct"/>
            <w:tcBorders>
              <w:bottom w:val="double" w:color="auto" w:sz="4" w:space="0"/>
            </w:tcBorders>
            <w:noWrap w:val="0"/>
            <w:vAlign w:val="center"/>
          </w:tcPr>
          <w:p>
            <w:pPr>
              <w:jc w:val="center"/>
              <w:rPr>
                <w:rFonts w:hint="eastAsia" w:ascii="宋体" w:hAnsi="宋体" w:eastAsia="宋体" w:cs="Times New Roman"/>
                <w:color w:val="auto"/>
                <w:kern w:val="2"/>
                <w:sz w:val="21"/>
                <w:szCs w:val="22"/>
                <w:highlight w:val="none"/>
                <w:lang w:val="en-US" w:eastAsia="zh-CN" w:bidi="ar-SA"/>
              </w:rPr>
            </w:pPr>
          </w:p>
        </w:tc>
        <w:tc>
          <w:tcPr>
            <w:tcW w:w="938" w:type="pct"/>
            <w:tcBorders>
              <w:bottom w:val="double" w:color="auto" w:sz="4" w:space="0"/>
            </w:tcBorders>
            <w:noWrap w:val="0"/>
            <w:vAlign w:val="center"/>
          </w:tcPr>
          <w:p>
            <w:pPr>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u w:val="single"/>
              </w:rPr>
              <w:t>绿色发展理念</w:t>
            </w:r>
          </w:p>
        </w:tc>
        <w:tc>
          <w:tcPr>
            <w:tcW w:w="3167" w:type="pct"/>
            <w:tcBorders>
              <w:bottom w:val="double" w:color="auto" w:sz="4" w:space="0"/>
              <w:right w:val="double" w:color="auto" w:sz="4" w:space="0"/>
            </w:tcBorders>
            <w:noWrap w:val="0"/>
            <w:vAlign w:val="center"/>
          </w:tcPr>
          <w:p>
            <w:pPr>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bl>
    <w:p>
      <w:pPr>
        <w:spacing w:line="240" w:lineRule="auto"/>
        <w:rPr>
          <w:rFonts w:hint="eastAsia" w:ascii="宋体" w:hAnsi="宋体" w:eastAsia="宋体" w:cs="宋体"/>
          <w:strike/>
          <w:color w:val="auto"/>
          <w:sz w:val="21"/>
          <w:szCs w:val="21"/>
          <w:highlight w:val="none"/>
        </w:rPr>
      </w:pPr>
      <w:r>
        <w:rPr>
          <w:rFonts w:hint="eastAsia" w:ascii="宋体" w:hAnsi="宋体"/>
          <w:strike/>
          <w:color w:val="auto"/>
          <w:sz w:val="24"/>
          <w:highlight w:val="none"/>
        </w:rPr>
        <w:t>注：企业综合诚信评价得分即企业综合诚信评价60日诚信分，以下同。</w:t>
      </w:r>
    </w:p>
    <w:p>
      <w:pPr>
        <w:pStyle w:val="4"/>
        <w:spacing w:line="560" w:lineRule="exact"/>
        <w:rPr>
          <w:rFonts w:hint="eastAsia" w:ascii="宋体" w:hAnsi="宋体" w:eastAsia="宋体" w:cs="宋体"/>
          <w:color w:val="auto"/>
          <w:sz w:val="32"/>
          <w:szCs w:val="32"/>
          <w:highlight w:val="none"/>
        </w:rPr>
      </w:pPr>
      <w:r>
        <w:rPr>
          <w:rFonts w:hint="eastAsia" w:ascii="宋体" w:hAnsi="宋体" w:eastAsia="宋体" w:cs="宋体"/>
          <w:strike/>
          <w:color w:val="auto"/>
          <w:highlight w:val="none"/>
        </w:rPr>
        <w:br w:type="page"/>
      </w:r>
      <w:bookmarkStart w:id="3" w:name="_Toc6608"/>
      <w:r>
        <w:rPr>
          <w:rFonts w:hint="eastAsia" w:ascii="宋体" w:hAnsi="宋体" w:eastAsia="宋体" w:cs="宋体"/>
          <w:color w:val="auto"/>
          <w:sz w:val="32"/>
          <w:szCs w:val="32"/>
          <w:highlight w:val="none"/>
        </w:rPr>
        <w:t>二、投标须知修改表</w:t>
      </w:r>
      <w:bookmarkEnd w:id="3"/>
    </w:p>
    <w:p>
      <w:pPr>
        <w:spacing w:line="5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HYPERLINK "http://zfcj.gz.gov.cn/）下载查阅。" </w:instrText>
      </w:r>
      <w:r>
        <w:rPr>
          <w:rFonts w:hint="eastAsia" w:ascii="宋体" w:hAnsi="宋体" w:eastAsia="宋体" w:cs="宋体"/>
          <w:b/>
          <w:color w:val="auto"/>
          <w:sz w:val="21"/>
          <w:szCs w:val="21"/>
          <w:highlight w:val="none"/>
        </w:rPr>
        <w:fldChar w:fldCharType="separate"/>
      </w:r>
      <w:r>
        <w:rPr>
          <w:rStyle w:val="23"/>
          <w:rFonts w:hint="eastAsia" w:ascii="宋体" w:hAnsi="宋体" w:eastAsia="宋体" w:cs="宋体"/>
          <w:b/>
          <w:color w:val="auto"/>
          <w:sz w:val="21"/>
          <w:szCs w:val="21"/>
          <w:highlight w:val="none"/>
        </w:rPr>
        <w:t>http://zfcj.gz.gov.cn/）下载查阅。</w:t>
      </w:r>
      <w:r>
        <w:rPr>
          <w:rFonts w:hint="eastAsia" w:ascii="宋体" w:hAnsi="宋体" w:eastAsia="宋体" w:cs="宋体"/>
          <w:b/>
          <w:color w:val="auto"/>
          <w:sz w:val="21"/>
          <w:szCs w:val="21"/>
          <w:highlight w:val="none"/>
        </w:rPr>
        <w:fldChar w:fldCharType="end"/>
      </w:r>
    </w:p>
    <w:p>
      <w:pPr>
        <w:spacing w:line="5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条款号：2.5                          修改类型：增加</w:t>
      </w:r>
    </w:p>
    <w:p>
      <w:pPr>
        <w:pBdr>
          <w:bottom w:val="single" w:color="auto" w:sz="6" w:space="1"/>
        </w:pBdr>
        <w:snapToGrid w:val="0"/>
        <w:spacing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2.5</w:t>
      </w:r>
      <w:r>
        <w:rPr>
          <w:rFonts w:hint="eastAsia" w:ascii="宋体" w:hAnsi="宋体" w:eastAsia="宋体" w:cs="宋体"/>
          <w:bCs/>
          <w:color w:val="auto"/>
          <w:kern w:val="0"/>
          <w:sz w:val="21"/>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spacing w:line="5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条款号：5.1                          修改类型：修改</w:t>
      </w:r>
    </w:p>
    <w:p>
      <w:pPr>
        <w:pBdr>
          <w:bottom w:val="single" w:color="auto" w:sz="6" w:space="1"/>
        </w:pBdr>
        <w:spacing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spacing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color w:val="auto"/>
          <w:sz w:val="21"/>
          <w:szCs w:val="21"/>
          <w:highlight w:val="none"/>
          <w:u w:val="single"/>
        </w:rPr>
        <w:t>，投标人不进行踏勘的，视为已熟知现场条件，自行承担相关风险</w:t>
      </w:r>
      <w:r>
        <w:rPr>
          <w:rFonts w:hint="eastAsia" w:ascii="宋体" w:hAnsi="宋体" w:eastAsia="宋体" w:cs="宋体"/>
          <w:color w:val="auto"/>
          <w:sz w:val="21"/>
          <w:szCs w:val="21"/>
          <w:highlight w:val="none"/>
        </w:rPr>
        <w:t>。一旦中标，这种考察即被认为其结果已在中标文件中得到充分反映。</w:t>
      </w:r>
      <w:r>
        <w:rPr>
          <w:rFonts w:hint="eastAsia" w:ascii="宋体" w:hAnsi="宋体" w:eastAsia="宋体" w:cs="宋体"/>
          <w:color w:val="auto"/>
          <w:sz w:val="21"/>
          <w:szCs w:val="21"/>
          <w:highlight w:val="none"/>
          <w:u w:val="single"/>
        </w:rPr>
        <w:t>招标人不受理因投标人缺乏对现场条件的了解或掌握而提出的任何索赔。</w:t>
      </w:r>
      <w:r>
        <w:rPr>
          <w:rFonts w:hint="eastAsia" w:ascii="宋体" w:hAnsi="宋体" w:eastAsia="宋体" w:cs="宋体"/>
          <w:color w:val="auto"/>
          <w:sz w:val="21"/>
          <w:szCs w:val="21"/>
          <w:highlight w:val="none"/>
        </w:rPr>
        <w:t>考察现场的费用由投标人自己承担。</w:t>
      </w:r>
    </w:p>
    <w:p>
      <w:pPr>
        <w:spacing w:line="5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条款号：8.1                           修改类型：修改</w:t>
      </w:r>
    </w:p>
    <w:p>
      <w:pPr>
        <w:pStyle w:val="18"/>
        <w:pBdr>
          <w:bottom w:val="single" w:color="auto" w:sz="6" w:space="1"/>
        </w:pBdr>
        <w:spacing w:after="0"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8.1 投标人若对招标文件（包括招标图纸）中有疑问，可以书面形式通过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交易平台提交给招标人或招标代理人，提交形式见本须知前附表第16项。</w:t>
      </w:r>
    </w:p>
    <w:p>
      <w:pPr>
        <w:pStyle w:val="18"/>
        <w:pBdr>
          <w:bottom w:val="single" w:color="auto" w:sz="6" w:space="1"/>
        </w:pBdr>
        <w:spacing w:after="0"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8.1</w:t>
      </w:r>
      <w:r>
        <w:rPr>
          <w:rFonts w:hint="eastAsia" w:ascii="宋体" w:hAnsi="宋体" w:eastAsia="宋体" w:cs="宋体"/>
          <w:bCs/>
          <w:color w:val="auto"/>
          <w:sz w:val="21"/>
          <w:szCs w:val="21"/>
          <w:highlight w:val="none"/>
          <w:u w:val="single"/>
        </w:rPr>
        <w:t>投标人若对招标文件（包括招标图纸、清单、最高投标限价）中有疑问，采用网上答疑方式进行，详见本须知前附表第16项。招标人或招标代理人将于本须知前附表第16项指定的地点（交易平台）和时间对疑问进行答复</w:t>
      </w:r>
      <w:r>
        <w:rPr>
          <w:rFonts w:hint="eastAsia" w:ascii="宋体" w:hAnsi="宋体" w:eastAsia="宋体" w:cs="宋体"/>
          <w:color w:val="auto"/>
          <w:sz w:val="21"/>
          <w:szCs w:val="21"/>
          <w:highlight w:val="none"/>
        </w:rPr>
        <w:t>。</w:t>
      </w:r>
    </w:p>
    <w:p>
      <w:pPr>
        <w:spacing w:line="560" w:lineRule="exact"/>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条款号：8.2                          修改类型：修改</w:t>
      </w:r>
    </w:p>
    <w:p>
      <w:pPr>
        <w:pStyle w:val="18"/>
        <w:spacing w:after="0"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招标答疑会会议纪要将在提交投标文件截止时间15日前在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 “项目答疑纪要”专区公开发布。答疑纪要一经在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w:t>
      </w:r>
    </w:p>
    <w:p>
      <w:pPr>
        <w:pStyle w:val="18"/>
        <w:pBdr>
          <w:bottom w:val="single" w:color="auto" w:sz="4" w:space="1"/>
        </w:pBdr>
        <w:spacing w:after="0"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8.2招标答疑会会议纪要将在提交投标文件截止时间15日前</w:t>
      </w:r>
      <w:r>
        <w:rPr>
          <w:rFonts w:hint="eastAsia" w:ascii="宋体" w:hAnsi="宋体" w:eastAsia="宋体" w:cs="宋体"/>
          <w:color w:val="auto"/>
          <w:sz w:val="21"/>
          <w:szCs w:val="21"/>
          <w:highlight w:val="none"/>
          <w:u w:val="single"/>
        </w:rPr>
        <w:t>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网站“项目查询(日程安排、答疑纪要)”</w:t>
      </w:r>
      <w:r>
        <w:rPr>
          <w:rFonts w:hint="eastAsia" w:ascii="宋体" w:hAnsi="宋体" w:eastAsia="宋体" w:cs="宋体"/>
          <w:color w:val="auto"/>
          <w:sz w:val="21"/>
          <w:szCs w:val="21"/>
          <w:highlight w:val="none"/>
        </w:rPr>
        <w:t>专区公开发布。答疑纪要一经</w:t>
      </w:r>
      <w:r>
        <w:rPr>
          <w:rFonts w:hint="eastAsia" w:ascii="宋体" w:hAnsi="宋体" w:eastAsia="宋体" w:cs="宋体"/>
          <w:color w:val="auto"/>
          <w:sz w:val="21"/>
          <w:szCs w:val="21"/>
          <w:highlight w:val="none"/>
          <w:u w:val="single"/>
        </w:rPr>
        <w:t>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网站发布，视作已发放给所有投标人。</w:t>
      </w:r>
    </w:p>
    <w:p>
      <w:pPr>
        <w:spacing w:line="560" w:lineRule="exact"/>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条款号：9.2                          修改类型：修改</w:t>
      </w:r>
    </w:p>
    <w:p>
      <w:pPr>
        <w:pBdr>
          <w:bottom w:val="single" w:color="auto" w:sz="6" w:space="1"/>
        </w:pBdr>
        <w:spacing w:line="560" w:lineRule="exact"/>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9.2招标文件的澄清或修改将在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交易平台上网发布时间作为送达时间。</w:t>
      </w:r>
    </w:p>
    <w:p>
      <w:pPr>
        <w:pBdr>
          <w:bottom w:val="single" w:color="auto" w:sz="6" w:space="1"/>
        </w:pBdr>
        <w:spacing w:line="560" w:lineRule="exact"/>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9.2招标文件的澄清或修改</w:t>
      </w:r>
      <w:r>
        <w:rPr>
          <w:rFonts w:hint="eastAsia" w:ascii="宋体" w:hAnsi="宋体" w:eastAsia="宋体" w:cs="宋体"/>
          <w:color w:val="auto"/>
          <w:sz w:val="21"/>
          <w:szCs w:val="21"/>
          <w:highlight w:val="none"/>
          <w:u w:val="single"/>
        </w:rPr>
        <w:t>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交易平台“项目查询(日程安排、答疑纪要)”专区公开发布。答疑纪要一经在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交易平台发布，视作已发放给所有投标人，以</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交易平台上网发布时间作为送达时间。</w:t>
      </w:r>
    </w:p>
    <w:p>
      <w:pPr>
        <w:spacing w:line="560" w:lineRule="exact"/>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条款号：9.4                         修改类型：修改</w:t>
      </w:r>
    </w:p>
    <w:p>
      <w:pPr>
        <w:pStyle w:val="18"/>
        <w:spacing w:after="0"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 xml:space="preserve"> 9.4招标文件的澄清或修改均以书面形式明确的内容为准。当招标文件的澄清、修改、补充等在同一内容的表述不一致时，以最后发出的书面形式的文件为准。</w:t>
      </w:r>
    </w:p>
    <w:p>
      <w:pPr>
        <w:pBdr>
          <w:bottom w:val="single" w:color="auto" w:sz="6" w:space="1"/>
        </w:pBdr>
        <w:spacing w:line="560" w:lineRule="exact"/>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9.4招标文件的澄清或修改均以</w:t>
      </w:r>
      <w:r>
        <w:rPr>
          <w:rFonts w:hint="eastAsia" w:ascii="宋体" w:hAnsi="宋体" w:eastAsia="宋体" w:cs="宋体"/>
          <w:color w:val="auto"/>
          <w:sz w:val="21"/>
          <w:szCs w:val="21"/>
          <w:highlight w:val="none"/>
          <w:u w:val="single"/>
        </w:rPr>
        <w:t>广州交易集团有限公司（广州公共资源交易中心）网上答疑公布</w:t>
      </w:r>
      <w:r>
        <w:rPr>
          <w:rFonts w:hint="eastAsia" w:ascii="宋体" w:hAnsi="宋体" w:eastAsia="宋体" w:cs="宋体"/>
          <w:color w:val="auto"/>
          <w:sz w:val="21"/>
          <w:szCs w:val="21"/>
          <w:highlight w:val="none"/>
        </w:rPr>
        <w:t>的内容为准。当招标文件的澄清、修改、补充等在同一内容的表述不一致时，以</w:t>
      </w:r>
      <w:r>
        <w:rPr>
          <w:rFonts w:hint="eastAsia" w:ascii="宋体" w:hAnsi="宋体" w:eastAsia="宋体" w:cs="宋体"/>
          <w:color w:val="auto"/>
          <w:sz w:val="21"/>
          <w:szCs w:val="21"/>
          <w:highlight w:val="none"/>
          <w:u w:val="single"/>
        </w:rPr>
        <w:t>广州交易集团有限公司（广州公共资源交易中心）网站</w:t>
      </w:r>
      <w:r>
        <w:rPr>
          <w:rFonts w:hint="eastAsia" w:ascii="宋体" w:hAnsi="宋体" w:eastAsia="宋体" w:cs="宋体"/>
          <w:color w:val="auto"/>
          <w:sz w:val="21"/>
          <w:szCs w:val="21"/>
          <w:highlight w:val="none"/>
        </w:rPr>
        <w:t>最后发出的</w:t>
      </w:r>
      <w:r>
        <w:rPr>
          <w:rFonts w:hint="eastAsia" w:ascii="宋体" w:hAnsi="宋体" w:eastAsia="宋体" w:cs="宋体"/>
          <w:color w:val="auto"/>
          <w:sz w:val="21"/>
          <w:szCs w:val="21"/>
          <w:highlight w:val="none"/>
          <w:u w:val="single"/>
        </w:rPr>
        <w:t>文件</w:t>
      </w:r>
      <w:r>
        <w:rPr>
          <w:rFonts w:hint="eastAsia" w:ascii="宋体" w:hAnsi="宋体" w:eastAsia="宋体" w:cs="宋体"/>
          <w:color w:val="auto"/>
          <w:sz w:val="21"/>
          <w:szCs w:val="21"/>
          <w:highlight w:val="none"/>
        </w:rPr>
        <w:t>为准。</w:t>
      </w:r>
    </w:p>
    <w:p>
      <w:pPr>
        <w:spacing w:line="560" w:lineRule="exact"/>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条款号：11.2                        修改类型：修改</w:t>
      </w:r>
    </w:p>
    <w:p>
      <w:pPr>
        <w:spacing w:line="560" w:lineRule="exact"/>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p>
    <w:p>
      <w:pP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11.2投标文件技术标部分主要包括下列内容:</w:t>
      </w:r>
    </w:p>
    <w:p>
      <w:pP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11.2.1 技术投标文件</w:t>
      </w:r>
      <w:r>
        <w:rPr>
          <w:rFonts w:hint="eastAsia" w:ascii="宋体" w:hAnsi="宋体" w:eastAsia="宋体" w:cs="宋体"/>
          <w:color w:val="auto"/>
          <w:sz w:val="21"/>
          <w:szCs w:val="21"/>
          <w:highlight w:val="none"/>
        </w:rPr>
        <w:t>(按招标文件的要求填写)</w:t>
      </w:r>
      <w:r>
        <w:rPr>
          <w:rFonts w:hint="eastAsia" w:ascii="宋体" w:hAnsi="宋体" w:eastAsia="宋体" w:cs="宋体"/>
          <w:bCs/>
          <w:color w:val="auto"/>
          <w:sz w:val="21"/>
          <w:szCs w:val="21"/>
          <w:highlight w:val="none"/>
        </w:rPr>
        <w:t>；</w:t>
      </w:r>
    </w:p>
    <w:p>
      <w:pP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11.2.2 资格审查文件：</w:t>
      </w:r>
    </w:p>
    <w:p>
      <w:pP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（1）投标人声明； </w:t>
      </w:r>
    </w:p>
    <w:p>
      <w:pP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（2）法定代表人证明书、法定代表人签字或盖章的本投标文件授权委托证明书；</w:t>
      </w:r>
    </w:p>
    <w:p>
      <w:pP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（3）企业营业执照</w:t>
      </w:r>
      <w:r>
        <w:rPr>
          <w:rFonts w:hint="eastAsia" w:ascii="宋体" w:hAnsi="宋体" w:eastAsia="宋体" w:cs="宋体"/>
          <w:bCs/>
          <w:color w:val="auto"/>
          <w:kern w:val="0"/>
          <w:sz w:val="21"/>
          <w:szCs w:val="21"/>
          <w:highlight w:val="none"/>
        </w:rPr>
        <w:t>（取自</w:t>
      </w:r>
      <w:r>
        <w:rPr>
          <w:rFonts w:hint="eastAsia" w:ascii="宋体" w:hAnsi="宋体" w:eastAsia="宋体" w:cs="宋体"/>
          <w:b/>
          <w:color w:val="auto"/>
          <w:kern w:val="0"/>
          <w:sz w:val="21"/>
          <w:szCs w:val="21"/>
          <w:highlight w:val="none"/>
        </w:rPr>
        <w:t>平台内</w:t>
      </w:r>
      <w:r>
        <w:rPr>
          <w:rFonts w:hint="eastAsia" w:ascii="宋体" w:hAnsi="宋体" w:eastAsia="宋体" w:cs="宋体"/>
          <w:bCs/>
          <w:color w:val="auto"/>
          <w:kern w:val="0"/>
          <w:sz w:val="21"/>
          <w:szCs w:val="21"/>
          <w:highlight w:val="none"/>
        </w:rPr>
        <w:t>上传件）</w:t>
      </w:r>
      <w:r>
        <w:rPr>
          <w:rFonts w:hint="eastAsia" w:ascii="宋体" w:hAnsi="宋体" w:eastAsia="宋体" w:cs="宋体"/>
          <w:bCs/>
          <w:color w:val="auto"/>
          <w:sz w:val="21"/>
          <w:szCs w:val="21"/>
          <w:highlight w:val="none"/>
        </w:rPr>
        <w:t>；</w:t>
      </w:r>
    </w:p>
    <w:p>
      <w:pP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（4）企业资质证书</w:t>
      </w:r>
      <w:r>
        <w:rPr>
          <w:rFonts w:hint="eastAsia" w:ascii="宋体" w:hAnsi="宋体" w:eastAsia="宋体" w:cs="宋体"/>
          <w:bCs/>
          <w:color w:val="auto"/>
          <w:kern w:val="0"/>
          <w:sz w:val="21"/>
          <w:szCs w:val="21"/>
          <w:highlight w:val="none"/>
        </w:rPr>
        <w:t>（取自</w:t>
      </w:r>
      <w:r>
        <w:rPr>
          <w:rFonts w:hint="eastAsia" w:ascii="宋体" w:hAnsi="宋体" w:eastAsia="宋体" w:cs="宋体"/>
          <w:b/>
          <w:color w:val="auto"/>
          <w:kern w:val="0"/>
          <w:sz w:val="21"/>
          <w:szCs w:val="21"/>
          <w:highlight w:val="none"/>
        </w:rPr>
        <w:t>平台内</w:t>
      </w:r>
      <w:r>
        <w:rPr>
          <w:rFonts w:hint="eastAsia" w:ascii="宋体" w:hAnsi="宋体" w:eastAsia="宋体" w:cs="宋体"/>
          <w:bCs/>
          <w:color w:val="auto"/>
          <w:kern w:val="0"/>
          <w:sz w:val="21"/>
          <w:szCs w:val="21"/>
          <w:highlight w:val="none"/>
        </w:rPr>
        <w:t>上传件）</w:t>
      </w:r>
      <w:r>
        <w:rPr>
          <w:rFonts w:hint="eastAsia" w:ascii="宋体" w:hAnsi="宋体" w:eastAsia="宋体" w:cs="宋体"/>
          <w:bCs/>
          <w:color w:val="auto"/>
          <w:sz w:val="21"/>
          <w:szCs w:val="21"/>
          <w:highlight w:val="none"/>
        </w:rPr>
        <w:t>；</w:t>
      </w:r>
    </w:p>
    <w:p>
      <w:pP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（5）建筑施工企业安全生产许可证</w:t>
      </w:r>
      <w:r>
        <w:rPr>
          <w:rFonts w:hint="eastAsia" w:ascii="宋体" w:hAnsi="宋体" w:eastAsia="宋体" w:cs="宋体"/>
          <w:bCs/>
          <w:color w:val="auto"/>
          <w:kern w:val="0"/>
          <w:sz w:val="21"/>
          <w:szCs w:val="21"/>
          <w:highlight w:val="none"/>
        </w:rPr>
        <w:t>（取自</w:t>
      </w:r>
      <w:r>
        <w:rPr>
          <w:rFonts w:hint="eastAsia" w:ascii="宋体" w:hAnsi="宋体" w:eastAsia="宋体" w:cs="宋体"/>
          <w:b/>
          <w:color w:val="auto"/>
          <w:kern w:val="0"/>
          <w:sz w:val="21"/>
          <w:szCs w:val="21"/>
          <w:highlight w:val="none"/>
        </w:rPr>
        <w:t>平台内</w:t>
      </w:r>
      <w:r>
        <w:rPr>
          <w:rFonts w:hint="eastAsia" w:ascii="宋体" w:hAnsi="宋体" w:eastAsia="宋体" w:cs="宋体"/>
          <w:bCs/>
          <w:color w:val="auto"/>
          <w:kern w:val="0"/>
          <w:sz w:val="21"/>
          <w:szCs w:val="21"/>
          <w:highlight w:val="none"/>
        </w:rPr>
        <w:t>上传件）</w:t>
      </w:r>
      <w:r>
        <w:rPr>
          <w:rFonts w:hint="eastAsia" w:ascii="宋体" w:hAnsi="宋体" w:eastAsia="宋体" w:cs="宋体"/>
          <w:bCs/>
          <w:color w:val="auto"/>
          <w:sz w:val="21"/>
          <w:szCs w:val="21"/>
          <w:highlight w:val="none"/>
        </w:rPr>
        <w:t>；</w:t>
      </w:r>
    </w:p>
    <w:p>
      <w:pP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（6）项目负责人（按网上投标登记时选择拟投标的项目负责人）</w:t>
      </w:r>
    </w:p>
    <w:p>
      <w:pP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（7）专职安全员（按网上投标登记时选择拟投标的专职安全员）</w:t>
      </w:r>
    </w:p>
    <w:p>
      <w:pP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（8）拟委托技术负责人的相关证书、资料（具体要求由招标人明确）</w:t>
      </w:r>
    </w:p>
    <w:p>
      <w:pPr>
        <w:spacing w:line="56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（9）拟委派项目负责人的建造师注册证书（取自平台内上传件）； </w:t>
      </w:r>
    </w:p>
    <w:p>
      <w:pPr>
        <w:spacing w:line="56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bCs/>
          <w:color w:val="auto"/>
          <w:kern w:val="0"/>
          <w:sz w:val="21"/>
          <w:szCs w:val="21"/>
          <w:highlight w:val="none"/>
        </w:rPr>
        <w:t>项目负责人安全</w:t>
      </w:r>
      <w:r>
        <w:rPr>
          <w:rFonts w:hint="eastAsia" w:ascii="宋体" w:hAnsi="宋体" w:eastAsia="宋体" w:cs="宋体"/>
          <w:bCs/>
          <w:color w:val="auto"/>
          <w:kern w:val="0"/>
          <w:sz w:val="21"/>
          <w:szCs w:val="21"/>
          <w:highlight w:val="none"/>
          <w:lang w:eastAsia="zh-CN"/>
        </w:rPr>
        <w:t>生产</w:t>
      </w:r>
      <w:r>
        <w:rPr>
          <w:rFonts w:hint="eastAsia" w:ascii="宋体" w:hAnsi="宋体" w:eastAsia="宋体" w:cs="宋体"/>
          <w:bCs/>
          <w:color w:val="auto"/>
          <w:kern w:val="0"/>
          <w:sz w:val="21"/>
          <w:szCs w:val="21"/>
          <w:highlight w:val="none"/>
        </w:rPr>
        <w:t>考核合格证明或在有效期内的安全考核合格证书（B类）</w:t>
      </w:r>
      <w:r>
        <w:rPr>
          <w:rFonts w:hint="eastAsia" w:ascii="宋体" w:hAnsi="宋体" w:eastAsia="宋体" w:cs="宋体"/>
          <w:b/>
          <w:color w:val="auto"/>
          <w:kern w:val="0"/>
          <w:sz w:val="21"/>
          <w:szCs w:val="21"/>
          <w:highlight w:val="none"/>
        </w:rPr>
        <w:t>或建筑施工企业项目负责人安全生产考核合格证书</w:t>
      </w:r>
      <w:r>
        <w:rPr>
          <w:rFonts w:hint="eastAsia" w:ascii="宋体" w:hAnsi="宋体" w:eastAsia="宋体" w:cs="宋体"/>
          <w:bCs/>
          <w:color w:val="auto"/>
          <w:kern w:val="0"/>
          <w:sz w:val="21"/>
          <w:szCs w:val="21"/>
          <w:highlight w:val="none"/>
        </w:rPr>
        <w:t>（取自</w:t>
      </w:r>
      <w:r>
        <w:rPr>
          <w:rFonts w:hint="eastAsia" w:ascii="宋体" w:hAnsi="宋体" w:eastAsia="宋体" w:cs="宋体"/>
          <w:b/>
          <w:color w:val="auto"/>
          <w:kern w:val="0"/>
          <w:sz w:val="21"/>
          <w:szCs w:val="21"/>
          <w:highlight w:val="none"/>
        </w:rPr>
        <w:t>平台内</w:t>
      </w:r>
      <w:r>
        <w:rPr>
          <w:rFonts w:hint="eastAsia" w:ascii="宋体" w:hAnsi="宋体" w:eastAsia="宋体" w:cs="宋体"/>
          <w:bCs/>
          <w:color w:val="auto"/>
          <w:kern w:val="0"/>
          <w:sz w:val="21"/>
          <w:szCs w:val="21"/>
          <w:highlight w:val="none"/>
        </w:rPr>
        <w:t>上传件）；</w:t>
      </w:r>
    </w:p>
    <w:p>
      <w:pPr>
        <w:spacing w:line="56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（11）</w:t>
      </w:r>
      <w:r>
        <w:rPr>
          <w:rFonts w:hint="eastAsia" w:ascii="宋体" w:hAnsi="宋体" w:eastAsia="宋体" w:cs="宋体"/>
          <w:bCs/>
          <w:color w:val="auto"/>
          <w:kern w:val="0"/>
          <w:sz w:val="21"/>
          <w:szCs w:val="21"/>
          <w:highlight w:val="none"/>
        </w:rPr>
        <w:t>专职安全员须具有在有效期内的安全考核合格证书（C类）</w:t>
      </w:r>
      <w:r>
        <w:rPr>
          <w:rFonts w:hint="eastAsia" w:ascii="宋体" w:hAnsi="宋体" w:eastAsia="宋体" w:cs="宋体"/>
          <w:b/>
          <w:color w:val="auto"/>
          <w:kern w:val="0"/>
          <w:sz w:val="21"/>
          <w:szCs w:val="21"/>
          <w:highlight w:val="none"/>
        </w:rPr>
        <w:t>或建筑施工企业专职安全生产管理人员安全生产考核合格证书（C3）（</w:t>
      </w:r>
      <w:r>
        <w:rPr>
          <w:rFonts w:hint="eastAsia" w:ascii="宋体" w:hAnsi="宋体" w:eastAsia="宋体" w:cs="宋体"/>
          <w:bCs/>
          <w:color w:val="auto"/>
          <w:kern w:val="0"/>
          <w:sz w:val="21"/>
          <w:szCs w:val="21"/>
          <w:highlight w:val="none"/>
        </w:rPr>
        <w:t>取自</w:t>
      </w:r>
      <w:r>
        <w:rPr>
          <w:rFonts w:hint="eastAsia" w:ascii="宋体" w:hAnsi="宋体" w:eastAsia="宋体" w:cs="宋体"/>
          <w:b/>
          <w:color w:val="auto"/>
          <w:kern w:val="0"/>
          <w:sz w:val="21"/>
          <w:szCs w:val="21"/>
          <w:highlight w:val="none"/>
        </w:rPr>
        <w:t>平台内</w:t>
      </w:r>
      <w:r>
        <w:rPr>
          <w:rFonts w:hint="eastAsia" w:ascii="宋体" w:hAnsi="宋体" w:eastAsia="宋体" w:cs="宋体"/>
          <w:bCs/>
          <w:color w:val="auto"/>
          <w:kern w:val="0"/>
          <w:sz w:val="21"/>
          <w:szCs w:val="21"/>
          <w:highlight w:val="none"/>
        </w:rPr>
        <w:t>上传件）；</w:t>
      </w:r>
    </w:p>
    <w:p>
      <w:pP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（12）用于资格审查的业绩（设置业绩要求时选择此项，投标人</w:t>
      </w:r>
      <w:r>
        <w:rPr>
          <w:rFonts w:hint="eastAsia" w:ascii="宋体" w:hAnsi="宋体" w:eastAsia="宋体" w:cs="宋体"/>
          <w:color w:val="auto"/>
          <w:sz w:val="21"/>
          <w:szCs w:val="21"/>
          <w:highlight w:val="none"/>
        </w:rPr>
        <w:t>须提供类似工程业绩的项目名称及项目编号，具体格式由招标人自定</w:t>
      </w:r>
      <w:r>
        <w:rPr>
          <w:rFonts w:hint="eastAsia" w:ascii="宋体" w:hAnsi="宋体" w:eastAsia="宋体" w:cs="宋体"/>
          <w:bCs/>
          <w:color w:val="auto"/>
          <w:sz w:val="21"/>
          <w:szCs w:val="21"/>
          <w:highlight w:val="none"/>
        </w:rPr>
        <w:t>）；</w:t>
      </w:r>
    </w:p>
    <w:p>
      <w:pP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r>
        <w:rPr>
          <w:rFonts w:hint="eastAsia" w:ascii="宋体" w:hAnsi="宋体" w:eastAsia="宋体" w:cs="宋体"/>
          <w:bCs/>
          <w:color w:val="auto"/>
          <w:kern w:val="0"/>
          <w:sz w:val="21"/>
          <w:szCs w:val="21"/>
          <w:highlight w:val="none"/>
        </w:rPr>
        <w:t>资格审查前，投标人须在</w:t>
      </w:r>
      <w:r>
        <w:rPr>
          <w:rFonts w:hint="eastAsia" w:ascii="宋体" w:hAnsi="宋体" w:eastAsia="宋体" w:cs="宋体"/>
          <w:b/>
          <w:color w:val="auto"/>
          <w:kern w:val="0"/>
          <w:sz w:val="21"/>
          <w:szCs w:val="21"/>
          <w:highlight w:val="none"/>
        </w:rPr>
        <w:t>广州市住房和城乡建设局建立企业信用档案，</w:t>
      </w:r>
      <w:r>
        <w:rPr>
          <w:rFonts w:hint="eastAsia" w:ascii="宋体" w:hAnsi="宋体" w:eastAsia="宋体" w:cs="宋体"/>
          <w:bCs/>
          <w:color w:val="auto"/>
          <w:kern w:val="0"/>
          <w:sz w:val="21"/>
          <w:szCs w:val="21"/>
          <w:highlight w:val="none"/>
        </w:rPr>
        <w:t>拟担任本工程项目负责人</w:t>
      </w:r>
      <w:r>
        <w:rPr>
          <w:rFonts w:hint="eastAsia" w:ascii="宋体" w:hAnsi="宋体" w:eastAsia="宋体" w:cs="宋体"/>
          <w:b/>
          <w:bCs/>
          <w:color w:val="auto"/>
          <w:kern w:val="0"/>
          <w:sz w:val="21"/>
          <w:szCs w:val="21"/>
          <w:highlight w:val="none"/>
        </w:rPr>
        <w:t>、专职安全员</w:t>
      </w:r>
      <w:r>
        <w:rPr>
          <w:rFonts w:hint="eastAsia" w:ascii="宋体" w:hAnsi="宋体" w:eastAsia="宋体" w:cs="宋体"/>
          <w:bCs/>
          <w:color w:val="auto"/>
          <w:kern w:val="0"/>
          <w:sz w:val="21"/>
          <w:szCs w:val="21"/>
          <w:highlight w:val="none"/>
        </w:rPr>
        <w:t>须是本企业</w:t>
      </w:r>
      <w:r>
        <w:rPr>
          <w:rFonts w:hint="eastAsia" w:ascii="宋体" w:hAnsi="宋体" w:eastAsia="宋体" w:cs="宋体"/>
          <w:b/>
          <w:color w:val="auto"/>
          <w:kern w:val="0"/>
          <w:sz w:val="21"/>
          <w:szCs w:val="21"/>
          <w:highlight w:val="none"/>
        </w:rPr>
        <w:t>信用档案</w:t>
      </w:r>
      <w:r>
        <w:rPr>
          <w:rFonts w:hint="eastAsia" w:ascii="宋体" w:hAnsi="宋体" w:eastAsia="宋体" w:cs="宋体"/>
          <w:bCs/>
          <w:color w:val="auto"/>
          <w:kern w:val="0"/>
          <w:sz w:val="21"/>
          <w:szCs w:val="21"/>
          <w:highlight w:val="none"/>
        </w:rPr>
        <w:t>中的在册人员。</w:t>
      </w:r>
    </w:p>
    <w:p>
      <w:pPr>
        <w:spacing w:line="56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（14）</w:t>
      </w:r>
      <w:r>
        <w:rPr>
          <w:rFonts w:hint="eastAsia" w:ascii="宋体" w:hAnsi="宋体" w:eastAsia="宋体" w:cs="宋体"/>
          <w:bCs/>
          <w:color w:val="auto"/>
          <w:kern w:val="0"/>
          <w:sz w:val="21"/>
          <w:szCs w:val="21"/>
          <w:highlight w:val="none"/>
        </w:rPr>
        <w:t>列明主办单位的联合体工作协议（采用联合体投标时需递交，投标人拟任本工程项目负责人应为联合体主办方</w:t>
      </w:r>
      <w:r>
        <w:rPr>
          <w:rFonts w:hint="eastAsia" w:ascii="宋体" w:hAnsi="宋体" w:eastAsia="宋体" w:cs="宋体"/>
          <w:b/>
          <w:color w:val="auto"/>
          <w:kern w:val="0"/>
          <w:sz w:val="21"/>
          <w:szCs w:val="21"/>
          <w:highlight w:val="none"/>
        </w:rPr>
        <w:t>信用档案</w:t>
      </w:r>
      <w:r>
        <w:rPr>
          <w:rFonts w:hint="eastAsia" w:ascii="宋体" w:hAnsi="宋体" w:eastAsia="宋体" w:cs="宋体"/>
          <w:bCs/>
          <w:color w:val="auto"/>
          <w:kern w:val="0"/>
          <w:sz w:val="21"/>
          <w:szCs w:val="21"/>
          <w:highlight w:val="none"/>
        </w:rPr>
        <w:t>中的在册人员，联合体工作协议应明确约定各方拟承担的工作和责任）；</w:t>
      </w:r>
    </w:p>
    <w:p>
      <w:pP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r>
        <w:rPr>
          <w:rFonts w:hint="eastAsia" w:ascii="宋体" w:hAnsi="宋体" w:eastAsia="宋体" w:cs="宋体"/>
          <w:color w:val="auto"/>
          <w:sz w:val="21"/>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11.2.3项目管理机构配备。</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（1）投标人应列出该项目工程的施工组织机构构成和画出机构框架图及其负责人；</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（2）投标人应详细列出该施工组织机构中主要成员的名单、简历资料、职务职称和在本项目中拟担任的职务等资料，并附上有关证明材料扫描件；</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（3）其他辅助说明资料。</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11.2.4投标人在广州市可使用适合本工程的机械设备（附：机械设备为自有或租赁的说明；及承诺机械设备如属于租赁的，其租赁是不属于重复租赁）。</w:t>
      </w:r>
    </w:p>
    <w:p>
      <w:pPr>
        <w:tabs>
          <w:tab w:val="left" w:pos="1125"/>
        </w:tabs>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rPr>
        <w:t>11.2.5</w:t>
      </w:r>
      <w:r>
        <w:rPr>
          <w:rFonts w:hint="eastAsia" w:ascii="宋体" w:hAnsi="宋体" w:eastAsia="宋体" w:cs="宋体"/>
          <w:bCs/>
          <w:color w:val="auto"/>
          <w:kern w:val="0"/>
          <w:sz w:val="21"/>
          <w:szCs w:val="21"/>
          <w:highlight w:val="none"/>
        </w:rPr>
        <w:t>施工组织设计或施工方案。（</w:t>
      </w:r>
      <w:r>
        <w:rPr>
          <w:rFonts w:hint="eastAsia" w:ascii="宋体" w:hAnsi="宋体" w:eastAsia="宋体" w:cs="宋体"/>
          <w:b/>
          <w:bCs/>
          <w:color w:val="auto"/>
          <w:kern w:val="0"/>
          <w:sz w:val="21"/>
          <w:szCs w:val="21"/>
          <w:highlight w:val="none"/>
        </w:rPr>
        <w:t>投标人在编制施工组织设计或施工方案时应按照招标人提出的施工现场建筑垃圾源头减量的具体要求以及建筑垃圾综合利用产品的使用要求提供相应措施。</w:t>
      </w:r>
      <w:r>
        <w:rPr>
          <w:rFonts w:hint="eastAsia" w:ascii="宋体" w:hAnsi="宋体" w:eastAsia="宋体" w:cs="宋体"/>
          <w:bCs/>
          <w:color w:val="auto"/>
          <w:kern w:val="0"/>
          <w:sz w:val="21"/>
          <w:szCs w:val="21"/>
          <w:highlight w:val="none"/>
        </w:rPr>
        <w:t>）</w:t>
      </w:r>
    </w:p>
    <w:p>
      <w:pPr>
        <w:tabs>
          <w:tab w:val="left" w:pos="1125"/>
        </w:tabs>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11.2.6按照</w:t>
      </w:r>
      <w:r>
        <w:rPr>
          <w:rFonts w:hint="eastAsia" w:ascii="宋体" w:hAnsi="宋体" w:eastAsia="宋体" w:cs="宋体"/>
          <w:bCs/>
          <w:color w:val="auto"/>
          <w:sz w:val="21"/>
          <w:szCs w:val="21"/>
          <w:highlight w:val="none"/>
        </w:rPr>
        <w:t>招标文件要求</w:t>
      </w:r>
      <w:r>
        <w:rPr>
          <w:rFonts w:hint="eastAsia" w:ascii="宋体" w:hAnsi="宋体" w:eastAsia="宋体" w:cs="宋体"/>
          <w:color w:val="auto"/>
          <w:sz w:val="21"/>
          <w:szCs w:val="21"/>
          <w:highlight w:val="none"/>
        </w:rPr>
        <w:t>填写的《参与编制技术标投标文件人员名单》。</w:t>
      </w:r>
    </w:p>
    <w:p>
      <w:pPr>
        <w:spacing w:line="560" w:lineRule="exact"/>
        <w:ind w:firstLine="470" w:firstLineChars="22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p>
    <w:p>
      <w:pPr>
        <w:spacing w:line="560" w:lineRule="exact"/>
        <w:ind w:firstLine="470" w:firstLineChars="224"/>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11.2</w:t>
      </w:r>
      <w:r>
        <w:rPr>
          <w:rFonts w:hint="eastAsia" w:ascii="宋体" w:hAnsi="宋体" w:eastAsia="宋体" w:cs="宋体"/>
          <w:b/>
          <w:color w:val="auto"/>
          <w:sz w:val="21"/>
          <w:szCs w:val="21"/>
          <w:highlight w:val="none"/>
        </w:rPr>
        <w:t xml:space="preserve"> 投标文件技术标部分</w:t>
      </w:r>
      <w:r>
        <w:rPr>
          <w:rFonts w:hint="eastAsia" w:ascii="宋体" w:hAnsi="宋体" w:eastAsia="宋体" w:cs="宋体"/>
          <w:b/>
          <w:color w:val="auto"/>
          <w:sz w:val="21"/>
          <w:szCs w:val="21"/>
          <w:highlight w:val="none"/>
          <w:u w:val="single"/>
        </w:rPr>
        <w:t>（含资格审查文件）</w:t>
      </w:r>
      <w:r>
        <w:rPr>
          <w:rFonts w:hint="eastAsia" w:ascii="宋体" w:hAnsi="宋体" w:eastAsia="宋体" w:cs="宋体"/>
          <w:color w:val="auto"/>
          <w:sz w:val="21"/>
          <w:szCs w:val="21"/>
          <w:highlight w:val="none"/>
        </w:rPr>
        <w:t>主要包括下列内容</w:t>
      </w:r>
      <w:r>
        <w:rPr>
          <w:rFonts w:hint="eastAsia" w:ascii="宋体" w:hAnsi="宋体" w:cs="宋体"/>
          <w:color w:val="auto"/>
          <w:szCs w:val="21"/>
          <w:highlight w:val="none"/>
          <w:u w:val="single"/>
        </w:rPr>
        <w:t>（除注明原件外，均为清晰扫描件</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网页截图</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即可）</w:t>
      </w:r>
      <w:r>
        <w:rPr>
          <w:rFonts w:hint="eastAsia" w:ascii="宋体" w:hAnsi="宋体" w:eastAsia="宋体" w:cs="宋体"/>
          <w:color w:val="auto"/>
          <w:sz w:val="21"/>
          <w:szCs w:val="21"/>
          <w:highlight w:val="none"/>
        </w:rPr>
        <w:t>：</w:t>
      </w:r>
    </w:p>
    <w:p>
      <w:pPr>
        <w:spacing w:line="560" w:lineRule="exact"/>
        <w:ind w:firstLine="470" w:firstLineChars="224"/>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11.2.1广州建设工程施工招标投标书（技术标）</w:t>
      </w:r>
      <w:r>
        <w:rPr>
          <w:rFonts w:hint="eastAsia" w:ascii="宋体" w:hAnsi="宋体" w:cs="宋体"/>
          <w:bCs/>
          <w:color w:val="auto"/>
          <w:szCs w:val="21"/>
          <w:highlight w:val="none"/>
          <w:u w:val="single"/>
        </w:rPr>
        <w:t>（格式见招标文件第四章，</w:t>
      </w:r>
      <w:r>
        <w:rPr>
          <w:rFonts w:ascii="宋体" w:hAnsi="宋体" w:cs="宋体"/>
          <w:bCs/>
          <w:color w:val="auto"/>
          <w:szCs w:val="21"/>
          <w:highlight w:val="none"/>
          <w:u w:val="single"/>
        </w:rPr>
        <w:t>具体格式以《广州建设工程施工招标投标书（技术标）》为准；电子投标管理软件编制的“广州建设工程施工招标投标书”不作为否决投标的条件</w:t>
      </w:r>
      <w:r>
        <w:rPr>
          <w:rFonts w:hint="eastAsia" w:ascii="宋体" w:hAnsi="宋体" w:cs="宋体"/>
          <w:bCs/>
          <w:color w:val="auto"/>
          <w:szCs w:val="21"/>
          <w:highlight w:val="none"/>
          <w:u w:val="single"/>
        </w:rPr>
        <w:t>)</w:t>
      </w:r>
      <w:r>
        <w:rPr>
          <w:rFonts w:hint="eastAsia" w:ascii="宋体" w:hAnsi="宋体" w:eastAsia="宋体" w:cs="宋体"/>
          <w:color w:val="auto"/>
          <w:sz w:val="21"/>
          <w:szCs w:val="21"/>
          <w:highlight w:val="none"/>
          <w:u w:val="none"/>
        </w:rPr>
        <w:t>。</w:t>
      </w:r>
    </w:p>
    <w:p>
      <w:pPr>
        <w:spacing w:line="560" w:lineRule="exact"/>
        <w:ind w:firstLine="470" w:firstLineChars="224"/>
        <w:rPr>
          <w:rFonts w:hint="eastAsia" w:ascii="宋体" w:hAnsi="宋体" w:eastAsia="宋体" w:cs="宋体"/>
          <w:color w:val="auto"/>
          <w:sz w:val="21"/>
          <w:szCs w:val="21"/>
          <w:highlight w:val="none"/>
          <w:u w:val="none"/>
        </w:rPr>
      </w:pPr>
      <w:r>
        <w:rPr>
          <w:rFonts w:hint="eastAsia" w:ascii="宋体" w:hAnsi="宋体" w:eastAsia="宋体" w:cs="宋体"/>
          <w:bCs/>
          <w:color w:val="auto"/>
          <w:sz w:val="21"/>
          <w:szCs w:val="21"/>
          <w:highlight w:val="none"/>
          <w:u w:val="none"/>
        </w:rPr>
        <w:t>11.2.2 资格审查文件：</w:t>
      </w:r>
    </w:p>
    <w:p>
      <w:pPr>
        <w:pBdr>
          <w:top w:val="none" w:color="auto" w:sz="0" w:space="0"/>
          <w:left w:val="none" w:color="auto" w:sz="0" w:space="0"/>
          <w:bottom w:val="none" w:color="auto" w:sz="0" w:space="0"/>
          <w:right w:val="none" w:color="auto" w:sz="0" w:space="0"/>
          <w:between w:val="none" w:color="auto" w:sz="0" w:space="0"/>
        </w:pBd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（1）投标人声明</w:t>
      </w:r>
      <w:r>
        <w:rPr>
          <w:rFonts w:hint="eastAsia" w:ascii="宋体" w:hAnsi="宋体" w:eastAsia="宋体" w:cs="宋体"/>
          <w:bCs/>
          <w:color w:val="auto"/>
          <w:sz w:val="21"/>
          <w:szCs w:val="21"/>
          <w:highlight w:val="none"/>
          <w:u w:val="single"/>
        </w:rPr>
        <w:t>扫描件（须按招标公告附件内容及格式要求编制）；</w:t>
      </w:r>
    </w:p>
    <w:p>
      <w:pPr>
        <w:pBdr>
          <w:top w:val="none" w:color="auto" w:sz="0" w:space="0"/>
          <w:left w:val="none" w:color="auto" w:sz="0" w:space="0"/>
          <w:bottom w:val="none" w:color="auto" w:sz="0" w:space="0"/>
          <w:right w:val="none" w:color="auto" w:sz="0" w:space="0"/>
          <w:between w:val="none" w:color="auto" w:sz="0" w:space="0"/>
        </w:pBd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（2）法定代表人证明书、法定代表人签字或盖章的本投标文件授权委托证明书</w:t>
      </w:r>
      <w:r>
        <w:rPr>
          <w:rFonts w:hint="eastAsia" w:ascii="宋体" w:hAnsi="宋体" w:eastAsia="宋体" w:cs="宋体"/>
          <w:bCs/>
          <w:color w:val="auto"/>
          <w:sz w:val="21"/>
          <w:szCs w:val="21"/>
          <w:highlight w:val="none"/>
          <w:u w:val="single"/>
        </w:rPr>
        <w:t>扫描件；</w:t>
      </w:r>
    </w:p>
    <w:p>
      <w:pPr>
        <w:pBdr>
          <w:top w:val="none" w:color="auto" w:sz="0" w:space="0"/>
          <w:left w:val="none" w:color="auto" w:sz="0" w:space="0"/>
          <w:bottom w:val="none" w:color="auto" w:sz="0" w:space="0"/>
          <w:right w:val="none" w:color="auto" w:sz="0" w:space="0"/>
          <w:between w:val="none" w:color="auto" w:sz="0" w:space="0"/>
        </w:pBd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（3）企业营业执照</w:t>
      </w:r>
      <w:r>
        <w:rPr>
          <w:rFonts w:hint="eastAsia" w:ascii="宋体" w:hAnsi="宋体" w:eastAsia="宋体" w:cs="宋体"/>
          <w:bCs/>
          <w:color w:val="auto"/>
          <w:sz w:val="21"/>
          <w:szCs w:val="21"/>
          <w:highlight w:val="none"/>
          <w:u w:val="single"/>
        </w:rPr>
        <w:t>扫描件；</w:t>
      </w:r>
    </w:p>
    <w:p>
      <w:pPr>
        <w:pBdr>
          <w:top w:val="none" w:color="auto" w:sz="0" w:space="0"/>
          <w:left w:val="none" w:color="auto" w:sz="0" w:space="0"/>
          <w:bottom w:val="none" w:color="auto" w:sz="0" w:space="0"/>
          <w:right w:val="none" w:color="auto" w:sz="0" w:space="0"/>
          <w:between w:val="none" w:color="auto" w:sz="0" w:space="0"/>
        </w:pBd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（4）企业资质证书</w:t>
      </w:r>
      <w:r>
        <w:rPr>
          <w:rFonts w:hint="eastAsia" w:ascii="宋体" w:hAnsi="宋体" w:eastAsia="宋体" w:cs="宋体"/>
          <w:bCs/>
          <w:color w:val="auto"/>
          <w:sz w:val="21"/>
          <w:szCs w:val="21"/>
          <w:highlight w:val="none"/>
          <w:u w:val="single"/>
        </w:rPr>
        <w:t>扫描件</w:t>
      </w:r>
      <w:r>
        <w:rPr>
          <w:rFonts w:hint="eastAsia" w:ascii="宋体" w:hAnsi="宋体" w:cs="宋体"/>
          <w:bCs/>
          <w:color w:val="auto"/>
          <w:sz w:val="21"/>
          <w:szCs w:val="21"/>
          <w:highlight w:val="none"/>
          <w:u w:val="single"/>
          <w:lang w:eastAsia="zh-CN"/>
        </w:rPr>
        <w:t>，或符合招标公告规定的</w:t>
      </w:r>
      <w:r>
        <w:rPr>
          <w:rFonts w:hint="eastAsia" w:ascii="宋体" w:hAnsi="宋体" w:eastAsia="宋体" w:cs="宋体"/>
          <w:bCs/>
          <w:color w:val="auto"/>
          <w:sz w:val="21"/>
          <w:szCs w:val="21"/>
          <w:highlight w:val="none"/>
          <w:u w:val="single"/>
          <w:lang w:val="en-US" w:eastAsia="zh-CN"/>
        </w:rPr>
        <w:t>相关证明材料（如有）</w:t>
      </w:r>
      <w:r>
        <w:rPr>
          <w:rFonts w:hint="eastAsia" w:ascii="宋体" w:hAnsi="宋体" w:eastAsia="宋体" w:cs="宋体"/>
          <w:bCs/>
          <w:color w:val="auto"/>
          <w:sz w:val="21"/>
          <w:szCs w:val="21"/>
          <w:highlight w:val="none"/>
          <w:u w:val="single"/>
        </w:rPr>
        <w:t>；</w:t>
      </w:r>
    </w:p>
    <w:p>
      <w:pPr>
        <w:pBdr>
          <w:top w:val="none" w:color="auto" w:sz="0" w:space="0"/>
          <w:left w:val="none" w:color="auto" w:sz="0" w:space="0"/>
          <w:bottom w:val="none" w:color="auto" w:sz="0" w:space="0"/>
          <w:right w:val="none" w:color="auto" w:sz="0" w:space="0"/>
          <w:between w:val="none" w:color="auto" w:sz="0" w:space="0"/>
        </w:pBd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（5）建筑施工企业安全生产许可证</w:t>
      </w:r>
      <w:r>
        <w:rPr>
          <w:rFonts w:hint="eastAsia" w:ascii="宋体" w:hAnsi="宋体" w:eastAsia="宋体" w:cs="宋体"/>
          <w:bCs/>
          <w:color w:val="auto"/>
          <w:sz w:val="21"/>
          <w:szCs w:val="21"/>
          <w:highlight w:val="none"/>
          <w:u w:val="single"/>
        </w:rPr>
        <w:t>；</w:t>
      </w:r>
    </w:p>
    <w:p>
      <w:pPr>
        <w:pBdr>
          <w:top w:val="none" w:color="auto" w:sz="0" w:space="0"/>
          <w:left w:val="none" w:color="auto" w:sz="0" w:space="0"/>
          <w:bottom w:val="none" w:color="auto" w:sz="0" w:space="0"/>
          <w:right w:val="none" w:color="auto" w:sz="0" w:space="0"/>
          <w:between w:val="none" w:color="auto" w:sz="0" w:space="0"/>
        </w:pBdr>
        <w:spacing w:line="5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（6）项目负责人（按网上投标登记时选择拟投标的项目负责人）</w:t>
      </w:r>
      <w:r>
        <w:rPr>
          <w:rFonts w:hint="eastAsia" w:ascii="宋体" w:hAnsi="宋体" w:cs="宋体"/>
          <w:bCs/>
          <w:color w:val="auto"/>
          <w:sz w:val="21"/>
          <w:szCs w:val="21"/>
          <w:highlight w:val="none"/>
          <w:lang w:eastAsia="zh-CN"/>
        </w:rPr>
        <w:t>；</w:t>
      </w:r>
    </w:p>
    <w:p>
      <w:pPr>
        <w:pBdr>
          <w:top w:val="none" w:color="auto" w:sz="0" w:space="0"/>
          <w:left w:val="none" w:color="auto" w:sz="0" w:space="0"/>
          <w:bottom w:val="none" w:color="auto" w:sz="0" w:space="0"/>
          <w:right w:val="none" w:color="auto" w:sz="0" w:space="0"/>
          <w:between w:val="none" w:color="auto" w:sz="0" w:space="0"/>
        </w:pBdr>
        <w:spacing w:line="5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（7）专职安全员（按网上投标登记时选择拟投标的专职安全员）</w:t>
      </w:r>
      <w:r>
        <w:rPr>
          <w:rFonts w:hint="eastAsia" w:ascii="宋体" w:hAnsi="宋体" w:cs="宋体"/>
          <w:bCs/>
          <w:color w:val="auto"/>
          <w:sz w:val="21"/>
          <w:szCs w:val="21"/>
          <w:highlight w:val="none"/>
          <w:lang w:eastAsia="zh-CN"/>
        </w:rPr>
        <w:t>；</w:t>
      </w:r>
    </w:p>
    <w:p>
      <w:pPr>
        <w:pBdr>
          <w:top w:val="none" w:color="auto" w:sz="0" w:space="0"/>
          <w:left w:val="none" w:color="auto" w:sz="0" w:space="0"/>
          <w:bottom w:val="none" w:color="auto" w:sz="0" w:space="0"/>
          <w:right w:val="none" w:color="auto" w:sz="0" w:space="0"/>
          <w:between w:val="none" w:color="auto" w:sz="0" w:space="0"/>
        </w:pBdr>
        <w:spacing w:line="56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（8）拟委托技术负责人的职称证书扫描件；</w:t>
      </w:r>
    </w:p>
    <w:p>
      <w:pPr>
        <w:pBdr>
          <w:top w:val="none" w:color="auto" w:sz="0" w:space="0"/>
          <w:left w:val="none" w:color="auto" w:sz="0" w:space="0"/>
          <w:bottom w:val="none" w:color="auto" w:sz="0" w:space="0"/>
          <w:right w:val="none" w:color="auto" w:sz="0" w:space="0"/>
          <w:between w:val="none" w:color="auto" w:sz="0" w:space="0"/>
        </w:pBdr>
        <w:spacing w:line="56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（9）拟委派项目负责人的</w:t>
      </w:r>
      <w:r>
        <w:rPr>
          <w:rFonts w:hint="eastAsia" w:ascii="宋体" w:hAnsi="宋体" w:cs="宋体"/>
          <w:bCs/>
          <w:color w:val="auto"/>
          <w:sz w:val="21"/>
          <w:szCs w:val="21"/>
          <w:highlight w:val="none"/>
          <w:u w:val="single"/>
          <w:lang w:val="en-US" w:eastAsia="zh-CN"/>
        </w:rPr>
        <w:t>建造师证书</w:t>
      </w:r>
      <w:r>
        <w:rPr>
          <w:rFonts w:hint="eastAsia" w:ascii="宋体" w:hAnsi="宋体" w:eastAsia="宋体" w:cs="宋体"/>
          <w:bCs/>
          <w:color w:val="auto"/>
          <w:sz w:val="21"/>
          <w:szCs w:val="21"/>
          <w:highlight w:val="none"/>
          <w:u w:val="single"/>
        </w:rPr>
        <w:t>扫描件；</w:t>
      </w:r>
    </w:p>
    <w:p>
      <w:pPr>
        <w:pBdr>
          <w:top w:val="none" w:color="auto" w:sz="0" w:space="0"/>
          <w:left w:val="none" w:color="auto" w:sz="0" w:space="0"/>
          <w:bottom w:val="none" w:color="auto" w:sz="0" w:space="0"/>
          <w:right w:val="none" w:color="auto" w:sz="0" w:space="0"/>
          <w:between w:val="none" w:color="auto" w:sz="0" w:space="0"/>
        </w:pBdr>
        <w:spacing w:line="56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（10）项目负责人在有效期内的安全生产考核合格证（B类）或建筑施工企业项目负责人安全生产考核合格证书扫描件；</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（11）</w:t>
      </w:r>
      <w:r>
        <w:rPr>
          <w:rFonts w:hint="eastAsia" w:ascii="宋体"/>
          <w:bCs/>
          <w:color w:val="auto"/>
          <w:szCs w:val="21"/>
          <w:highlight w:val="none"/>
        </w:rPr>
        <w:t>专职安全员须具有在有效期内的安全考核合格证书（C类）或建筑施工企业专职安全生产管理人员安全生产考核合格证书（C3）</w:t>
      </w:r>
      <w:r>
        <w:rPr>
          <w:rFonts w:hint="eastAsia" w:ascii="宋体" w:hAnsi="宋体" w:cs="宋体"/>
          <w:bCs/>
          <w:color w:val="auto"/>
          <w:szCs w:val="21"/>
          <w:highlight w:val="none"/>
          <w:u w:val="single"/>
        </w:rPr>
        <w:t>扫描件</w:t>
      </w:r>
      <w:r>
        <w:rPr>
          <w:rFonts w:hint="eastAsia" w:ascii="宋体" w:hAnsi="宋体" w:eastAsia="宋体" w:cs="宋体"/>
          <w:bCs/>
          <w:color w:val="auto"/>
          <w:sz w:val="21"/>
          <w:szCs w:val="21"/>
          <w:highlight w:val="none"/>
          <w:u w:val="single"/>
        </w:rPr>
        <w:t>；</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20" w:firstLineChars="200"/>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cs="宋体"/>
          <w:bCs/>
          <w:color w:val="auto"/>
          <w:szCs w:val="21"/>
          <w:highlight w:val="none"/>
        </w:rPr>
        <w:t>用于资格审查的业绩资料原件扫描件；</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w:t>
      </w:r>
      <w:r>
        <w:rPr>
          <w:rFonts w:hint="eastAsia" w:ascii="宋体"/>
          <w:bCs/>
          <w:color w:val="auto"/>
          <w:szCs w:val="21"/>
          <w:highlight w:val="none"/>
          <w:u w:val="single"/>
        </w:rPr>
        <w:t>投标登记前，投标人须在广州交易集团有限公司（广州公共资源交易中心）企业库办理企业信息登记及拟担任本工程项目负责人、专职安全员须是本企业信息登记中的在册人员</w:t>
      </w:r>
      <w:r>
        <w:rPr>
          <w:rFonts w:hint="eastAsia" w:ascii="宋体" w:hAnsi="宋体" w:cs="宋体"/>
          <w:bCs/>
          <w:color w:val="auto"/>
          <w:szCs w:val="21"/>
          <w:highlight w:val="none"/>
          <w:u w:val="single"/>
        </w:rPr>
        <w:t>（提供网页信息截图）</w:t>
      </w:r>
      <w:r>
        <w:rPr>
          <w:rFonts w:hint="eastAsia" w:ascii="宋体"/>
          <w:bCs/>
          <w:color w:val="auto"/>
          <w:szCs w:val="21"/>
          <w:highlight w:val="none"/>
          <w:u w:val="single"/>
        </w:rPr>
        <w:t>。</w:t>
      </w:r>
    </w:p>
    <w:p>
      <w:pPr>
        <w:pBdr>
          <w:top w:val="none" w:color="auto" w:sz="0" w:space="0"/>
          <w:left w:val="none" w:color="auto" w:sz="0" w:space="0"/>
          <w:bottom w:val="none" w:color="auto" w:sz="0" w:space="0"/>
          <w:right w:val="none" w:color="auto" w:sz="0" w:space="0"/>
          <w:between w:val="none" w:color="auto" w:sz="0" w:space="0"/>
        </w:pBdr>
        <w:wordWrap/>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cs="宋体"/>
          <w:bCs/>
          <w:color w:val="auto"/>
          <w:sz w:val="21"/>
          <w:szCs w:val="21"/>
          <w:highlight w:val="none"/>
          <w:u w:val="single"/>
          <w:lang w:eastAsia="zh-CN"/>
        </w:rPr>
        <w:t>（</w:t>
      </w:r>
      <w:r>
        <w:rPr>
          <w:rFonts w:hint="eastAsia" w:ascii="宋体" w:hAnsi="宋体" w:cs="宋体"/>
          <w:bCs/>
          <w:color w:val="auto"/>
          <w:sz w:val="21"/>
          <w:szCs w:val="21"/>
          <w:highlight w:val="none"/>
          <w:u w:val="single"/>
          <w:lang w:val="en-US" w:eastAsia="zh-CN"/>
        </w:rPr>
        <w:t>14</w:t>
      </w:r>
      <w:r>
        <w:rPr>
          <w:rFonts w:hint="eastAsia" w:ascii="宋体" w:hAnsi="宋体" w:cs="宋体"/>
          <w:bCs/>
          <w:color w:val="auto"/>
          <w:sz w:val="21"/>
          <w:szCs w:val="21"/>
          <w:highlight w:val="none"/>
          <w:u w:val="single"/>
          <w:lang w:eastAsia="zh-CN"/>
        </w:rPr>
        <w:t>）</w:t>
      </w:r>
      <w:r>
        <w:rPr>
          <w:rFonts w:hint="eastAsia" w:ascii="宋体"/>
          <w:bCs/>
          <w:color w:val="auto"/>
          <w:szCs w:val="21"/>
          <w:highlight w:val="none"/>
          <w:u w:val="single"/>
        </w:rPr>
        <w:t>投标人未被列入拖欠农民工工资失信联合惩戒对象名单</w:t>
      </w:r>
      <w:r>
        <w:rPr>
          <w:rFonts w:hint="eastAsia" w:ascii="宋体" w:hAnsi="宋体" w:cs="宋体"/>
          <w:bCs/>
          <w:color w:val="auto"/>
          <w:sz w:val="21"/>
          <w:szCs w:val="21"/>
          <w:highlight w:val="none"/>
          <w:u w:val="single"/>
          <w:lang w:eastAsia="zh-CN"/>
        </w:rPr>
        <w:t>；</w:t>
      </w:r>
    </w:p>
    <w:p>
      <w:pPr>
        <w:pBdr>
          <w:top w:val="none" w:color="auto" w:sz="0" w:space="0"/>
          <w:left w:val="none" w:color="auto" w:sz="0" w:space="0"/>
          <w:bottom w:val="none" w:color="auto" w:sz="0" w:space="0"/>
          <w:right w:val="none" w:color="auto" w:sz="0" w:space="0"/>
          <w:between w:val="none" w:color="auto" w:sz="0" w:space="0"/>
        </w:pBdr>
        <w:wordWrap w:val="0"/>
        <w:spacing w:line="56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w:t>
      </w:r>
      <w:r>
        <w:rPr>
          <w:rFonts w:hint="eastAsia" w:ascii="宋体" w:hAnsi="宋体"/>
          <w:bCs/>
          <w:color w:val="auto"/>
          <w:szCs w:val="21"/>
          <w:highlight w:val="none"/>
          <w:u w:val="single"/>
        </w:rPr>
        <w:t>投标人未在以往工程中因不诚信行为或不充分履约行为被本项目招标人书面拒绝投标的</w:t>
      </w:r>
    </w:p>
    <w:p>
      <w:pPr>
        <w:pBdr>
          <w:top w:val="none" w:color="auto" w:sz="0" w:space="0"/>
          <w:left w:val="none" w:color="auto" w:sz="0" w:space="0"/>
          <w:bottom w:val="none" w:color="auto" w:sz="0" w:space="0"/>
          <w:right w:val="none" w:color="auto" w:sz="0" w:space="0"/>
          <w:between w:val="none" w:color="auto" w:sz="0" w:space="0"/>
        </w:pBdr>
        <w:spacing w:line="56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6</w:t>
      </w:r>
      <w:r>
        <w:rPr>
          <w:rFonts w:hint="eastAsia" w:ascii="宋体" w:hAnsi="宋体" w:eastAsia="宋体" w:cs="宋体"/>
          <w:bCs/>
          <w:color w:val="auto"/>
          <w:sz w:val="21"/>
          <w:szCs w:val="21"/>
          <w:highlight w:val="none"/>
          <w:u w:val="single"/>
        </w:rPr>
        <w:t>）投标人认为应提供的其他资料</w:t>
      </w:r>
      <w:r>
        <w:rPr>
          <w:rFonts w:hint="eastAsia" w:ascii="宋体" w:hAnsi="宋体" w:cs="宋体"/>
          <w:bCs/>
          <w:color w:val="auto"/>
          <w:sz w:val="21"/>
          <w:szCs w:val="21"/>
          <w:highlight w:val="none"/>
          <w:u w:val="single"/>
          <w:lang w:eastAsia="zh-CN"/>
        </w:rPr>
        <w:t>（</w:t>
      </w:r>
      <w:r>
        <w:rPr>
          <w:rFonts w:hint="eastAsia" w:ascii="宋体" w:hAnsi="宋体" w:cs="宋体"/>
          <w:bCs/>
          <w:color w:val="auto"/>
          <w:sz w:val="21"/>
          <w:szCs w:val="21"/>
          <w:highlight w:val="none"/>
          <w:u w:val="single"/>
          <w:lang w:val="en-US" w:eastAsia="zh-CN"/>
        </w:rPr>
        <w:t>如有</w:t>
      </w:r>
      <w:r>
        <w:rPr>
          <w:rFonts w:hint="eastAsia" w:ascii="宋体" w:hAnsi="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w:t>
      </w:r>
    </w:p>
    <w:p>
      <w:pPr>
        <w:spacing w:line="560" w:lineRule="exact"/>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560" w:lineRule="exact"/>
        <w:ind w:firstLine="422" w:firstLineChars="201"/>
        <w:rPr>
          <w:rFonts w:hint="eastAsia" w:ascii="宋体" w:hAnsi="宋体" w:eastAsia="宋体" w:cs="宋体"/>
          <w:bCs/>
          <w:color w:val="auto"/>
          <w:szCs w:val="21"/>
          <w:highlight w:val="none"/>
          <w:u w:val="singl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u w:val="single"/>
        </w:rPr>
        <w:t xml:space="preserve">上述第 </w:t>
      </w:r>
      <w:r>
        <w:rPr>
          <w:rFonts w:hint="eastAsia" w:ascii="宋体" w:hAnsi="宋体" w:eastAsia="宋体" w:cs="宋体"/>
          <w:bCs/>
          <w:color w:val="auto"/>
          <w:szCs w:val="21"/>
          <w:highlight w:val="none"/>
          <w:u w:val="single"/>
        </w:rPr>
        <w:t>11.2.2（1）—（1</w:t>
      </w:r>
      <w:r>
        <w:rPr>
          <w:rFonts w:hint="eastAsia" w:ascii="宋体" w:hAnsi="宋体" w:cs="宋体"/>
          <w:bCs/>
          <w:color w:val="auto"/>
          <w:szCs w:val="21"/>
          <w:highlight w:val="none"/>
          <w:u w:val="single"/>
          <w:lang w:val="en-US" w:eastAsia="zh-CN"/>
        </w:rPr>
        <w:t>3</w:t>
      </w:r>
      <w:r>
        <w:rPr>
          <w:rFonts w:hint="eastAsia" w:ascii="宋体" w:hAnsi="宋体" w:eastAsia="宋体" w:cs="宋体"/>
          <w:bCs/>
          <w:color w:val="auto"/>
          <w:szCs w:val="21"/>
          <w:highlight w:val="none"/>
          <w:u w:val="single"/>
        </w:rPr>
        <w:t>）条没有要求提交的资料，不作为资格审查不合格的依据。</w:t>
      </w:r>
    </w:p>
    <w:p>
      <w:pPr>
        <w:spacing w:line="560" w:lineRule="exact"/>
        <w:ind w:firstLine="422" w:firstLineChars="201"/>
        <w:rPr>
          <w:rFonts w:hint="eastAsia" w:ascii="宋体" w:hAnsi="宋体" w:cs="宋体"/>
          <w:color w:val="auto"/>
          <w:szCs w:val="21"/>
          <w:highlight w:val="none"/>
          <w:u w:val="single"/>
        </w:rPr>
      </w:pPr>
      <w:r>
        <w:rPr>
          <w:rFonts w:hint="eastAsia" w:ascii="宋体" w:hAnsi="宋体" w:cs="宋体"/>
          <w:color w:val="auto"/>
          <w:sz w:val="21"/>
          <w:szCs w:val="21"/>
          <w:highlight w:val="none"/>
          <w:u w:val="single"/>
          <w:lang w:val="en-US" w:eastAsia="zh-CN"/>
        </w:rPr>
        <w:t>2、</w:t>
      </w:r>
      <w:r>
        <w:rPr>
          <w:rFonts w:hint="eastAsia" w:ascii="宋体" w:hAnsi="宋体" w:cs="宋体"/>
          <w:color w:val="auto"/>
          <w:szCs w:val="21"/>
          <w:highlight w:val="none"/>
          <w:u w:val="single"/>
        </w:rPr>
        <w:t>上述第</w:t>
      </w:r>
      <w:r>
        <w:rPr>
          <w:rFonts w:hint="eastAsia" w:ascii="宋体" w:hAnsi="宋体" w:cs="宋体"/>
          <w:bCs/>
          <w:color w:val="auto"/>
          <w:szCs w:val="21"/>
          <w:highlight w:val="none"/>
          <w:u w:val="single"/>
        </w:rPr>
        <w:t>11.2.2</w:t>
      </w: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）条，投标人无需提供资料，资格审查时，按广州交易集团有限公司（广州公共资源交易中心）交易系统比对的结果进行评审；上述第11.2.2（1</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）条，投标人无需提供资料，资格审查时，按招标公告附件二《被招标人拒绝投标的企业名单》进行评审。</w:t>
      </w:r>
    </w:p>
    <w:p>
      <w:pPr>
        <w:spacing w:line="560" w:lineRule="exact"/>
        <w:ind w:firstLine="422" w:firstLineChars="201"/>
        <w:rPr>
          <w:rFonts w:hint="eastAsia" w:ascii="宋体" w:hAnsi="宋体" w:eastAsia="宋体" w:cs="宋体"/>
          <w:color w:val="auto"/>
          <w:sz w:val="21"/>
          <w:szCs w:val="21"/>
          <w:highlight w:val="none"/>
          <w:u w:val="single"/>
        </w:rPr>
      </w:pPr>
      <w:r>
        <w:rPr>
          <w:rFonts w:hint="eastAsia" w:ascii="宋体" w:hAnsi="宋体" w:cs="宋体"/>
          <w:color w:val="auto"/>
          <w:szCs w:val="21"/>
          <w:highlight w:val="none"/>
          <w:u w:val="single"/>
        </w:rPr>
        <w:t>11.2.3《投标函》《标函承诺书》《项目负责人驻场承诺书》（格式见招标文件第四章）。</w:t>
      </w:r>
    </w:p>
    <w:p>
      <w:pPr>
        <w:spacing w:line="560" w:lineRule="exact"/>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11.2.4</w:t>
      </w:r>
      <w:r>
        <w:rPr>
          <w:rFonts w:hint="eastAsia" w:ascii="宋体" w:hAnsi="宋体" w:cs="宋体"/>
          <w:color w:val="auto"/>
          <w:szCs w:val="21"/>
          <w:highlight w:val="none"/>
          <w:u w:val="single"/>
        </w:rPr>
        <w:t>《投入主要人员汇总表》《主要人员简历表》（格式见招标文件第四章、投标人需按相应表格备注和招标文件第二章附表《技术标详细审查评分表》要求提供相关资料）</w:t>
      </w:r>
      <w:r>
        <w:rPr>
          <w:rFonts w:hint="eastAsia" w:ascii="宋体" w:hAnsi="宋体" w:eastAsia="宋体" w:cs="宋体"/>
          <w:color w:val="auto"/>
          <w:szCs w:val="21"/>
          <w:highlight w:val="none"/>
          <w:u w:val="single"/>
        </w:rPr>
        <w:t>。</w:t>
      </w:r>
    </w:p>
    <w:p>
      <w:pPr>
        <w:pBdr>
          <w:top w:val="none" w:color="auto" w:sz="0" w:space="0"/>
          <w:left w:val="none" w:color="auto" w:sz="0" w:space="0"/>
          <w:bottom w:val="none" w:color="auto" w:sz="0" w:space="0"/>
          <w:right w:val="none" w:color="auto" w:sz="0" w:space="0"/>
          <w:between w:val="none" w:color="auto" w:sz="0" w:space="0"/>
        </w:pBdr>
        <w:spacing w:line="56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11.2.5</w:t>
      </w:r>
      <w:r>
        <w:rPr>
          <w:rFonts w:hint="eastAsia" w:ascii="宋体" w:hAnsi="宋体" w:cs="宋体"/>
          <w:color w:val="auto"/>
          <w:szCs w:val="21"/>
          <w:highlight w:val="none"/>
          <w:u w:val="single"/>
        </w:rPr>
        <w:t>企业资信证明材料（按招标文件第二章附表《技术标详细审查评分表》要求提交，</w:t>
      </w:r>
      <w:r>
        <w:rPr>
          <w:rFonts w:hint="eastAsia" w:ascii="宋体" w:hAnsi="宋体"/>
          <w:color w:val="auto"/>
          <w:szCs w:val="21"/>
          <w:highlight w:val="none"/>
          <w:u w:val="single"/>
        </w:rPr>
        <w:t>包括《已竣工验收的类似工程业绩表》（如有，格式见招标文件第四章）和《企业承建工程获奖情况表》（如有，格式见招标文件第四章）等资料</w:t>
      </w:r>
      <w:r>
        <w:rPr>
          <w:rFonts w:hint="eastAsia" w:ascii="宋体" w:hAnsi="宋体" w:cs="宋体"/>
          <w:color w:val="auto"/>
          <w:szCs w:val="21"/>
          <w:highlight w:val="none"/>
          <w:u w:val="single"/>
        </w:rPr>
        <w:t>。招标文件有规定格式的，需按招标文件格式提供，无格式要求的，格式自拟</w:t>
      </w:r>
      <w:r>
        <w:rPr>
          <w:rFonts w:ascii="宋体" w:hAnsi="宋体" w:cs="宋体"/>
          <w:color w:val="auto"/>
          <w:szCs w:val="21"/>
          <w:highlight w:val="none"/>
          <w:u w:val="single"/>
        </w:rPr>
        <w:t>）</w:t>
      </w:r>
      <w:r>
        <w:rPr>
          <w:rFonts w:hint="eastAsia" w:ascii="宋体" w:hAnsi="宋体" w:eastAsia="宋体" w:cs="宋体"/>
          <w:bCs/>
          <w:color w:val="auto"/>
          <w:sz w:val="21"/>
          <w:szCs w:val="21"/>
          <w:highlight w:val="none"/>
          <w:u w:val="single"/>
        </w:rPr>
        <w:t>。</w:t>
      </w:r>
    </w:p>
    <w:p>
      <w:pPr>
        <w:spacing w:line="5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11.2.6</w:t>
      </w:r>
      <w:r>
        <w:rPr>
          <w:rFonts w:hint="eastAsia" w:ascii="宋体" w:hAnsi="宋体" w:cs="宋体"/>
          <w:color w:val="auto"/>
          <w:szCs w:val="21"/>
          <w:highlight w:val="none"/>
          <w:u w:val="single"/>
        </w:rPr>
        <w:t>《响应招标文件所附施工组织设计要点的承诺书》《拟投入本工程施工的主要机械设备配备表》（格式见招标文件第四章）</w:t>
      </w:r>
      <w:r>
        <w:rPr>
          <w:rFonts w:hint="eastAsia" w:ascii="宋体" w:hAnsi="宋体" w:eastAsia="宋体" w:cs="宋体"/>
          <w:color w:val="auto"/>
          <w:sz w:val="21"/>
          <w:szCs w:val="21"/>
          <w:highlight w:val="none"/>
          <w:u w:val="single"/>
        </w:rPr>
        <w:t>。</w:t>
      </w:r>
    </w:p>
    <w:p>
      <w:pPr>
        <w:pStyle w:val="16"/>
        <w:rPr>
          <w:rFonts w:hint="eastAsia"/>
          <w:color w:val="auto"/>
          <w:highlight w:val="none"/>
        </w:rPr>
      </w:pPr>
      <w:r>
        <w:rPr>
          <w:rFonts w:hint="eastAsia" w:ascii="宋体" w:hAnsi="宋体" w:eastAsia="宋体" w:cs="宋体"/>
          <w:color w:val="auto"/>
          <w:sz w:val="21"/>
          <w:szCs w:val="21"/>
          <w:highlight w:val="none"/>
          <w:u w:val="single"/>
        </w:rPr>
        <w:t>11.2.</w:t>
      </w:r>
      <w:r>
        <w:rPr>
          <w:rFonts w:hint="eastAsia" w:ascii="宋体" w:hAnsi="宋体" w:eastAsia="宋体" w:cs="宋体"/>
          <w:color w:val="auto"/>
          <w:sz w:val="21"/>
          <w:szCs w:val="21"/>
          <w:highlight w:val="none"/>
          <w:u w:val="single"/>
          <w:lang w:val="en-US" w:eastAsia="zh-CN"/>
        </w:rPr>
        <w:t>7</w:t>
      </w:r>
      <w:r>
        <w:rPr>
          <w:rFonts w:hint="eastAsia" w:ascii="宋体" w:hAnsi="宋体" w:cs="宋体"/>
          <w:color w:val="auto"/>
          <w:szCs w:val="21"/>
          <w:highlight w:val="none"/>
          <w:u w:val="single"/>
        </w:rPr>
        <w:t>《危险性较大的分部分项工程安全管理措施》（格式见招标文件第四章）</w:t>
      </w:r>
      <w:r>
        <w:rPr>
          <w:rFonts w:hint="eastAsia" w:ascii="宋体" w:hAnsi="宋体" w:eastAsia="宋体" w:cs="宋体"/>
          <w:color w:val="auto"/>
          <w:sz w:val="21"/>
          <w:szCs w:val="21"/>
          <w:highlight w:val="none"/>
        </w:rPr>
        <w:t>。</w:t>
      </w:r>
    </w:p>
    <w:p>
      <w:pPr>
        <w:pStyle w:val="16"/>
        <w:spacing w:line="560" w:lineRule="exact"/>
        <w:ind w:firstLine="420" w:firstLineChars="20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rPr>
        <w:t>11.2.8《参与编制技术标投标文件人员名单》（格式见招标文件第四章）</w:t>
      </w:r>
      <w:r>
        <w:rPr>
          <w:rFonts w:hint="eastAsia" w:ascii="宋体" w:hAnsi="宋体" w:cs="宋体"/>
          <w:color w:val="auto"/>
          <w:sz w:val="21"/>
          <w:szCs w:val="21"/>
          <w:highlight w:val="none"/>
          <w:u w:val="single"/>
          <w:lang w:eastAsia="zh-CN"/>
        </w:rPr>
        <w:t>。</w:t>
      </w:r>
    </w:p>
    <w:p>
      <w:pPr>
        <w:pStyle w:val="16"/>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11.2.9投标人认为应提供的其他资料（如有）</w:t>
      </w:r>
      <w:r>
        <w:rPr>
          <w:rFonts w:hint="eastAsia" w:ascii="宋体" w:hAnsi="宋体" w:cs="宋体"/>
          <w:color w:val="auto"/>
          <w:sz w:val="21"/>
          <w:szCs w:val="21"/>
          <w:highlight w:val="none"/>
          <w:u w:val="single"/>
          <w:lang w:eastAsia="zh-CN"/>
        </w:rPr>
        <w:t>。</w:t>
      </w:r>
    </w:p>
    <w:p>
      <w:pPr>
        <w:pBdr>
          <w:bottom w:val="single" w:color="auto" w:sz="6" w:space="1"/>
        </w:pBdr>
        <w:adjustRightInd w:val="0"/>
        <w:spacing w:line="560" w:lineRule="exact"/>
        <w:ind w:firstLine="422" w:firstLineChars="201"/>
        <w:textAlignment w:val="baseline"/>
        <w:rPr>
          <w:rFonts w:hint="eastAsia" w:ascii="宋体" w:hAnsi="宋体" w:eastAsia="宋体" w:cs="宋体"/>
          <w:bCs/>
          <w:color w:val="auto"/>
          <w:sz w:val="21"/>
          <w:szCs w:val="21"/>
          <w:highlight w:val="none"/>
          <w:u w:val="single"/>
        </w:rPr>
      </w:pPr>
    </w:p>
    <w:p>
      <w:pPr>
        <w:spacing w:line="560" w:lineRule="exact"/>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条款号：11.3.1                     修改类型：修改</w:t>
      </w:r>
    </w:p>
    <w:p>
      <w:pPr>
        <w:spacing w:line="560" w:lineRule="exact"/>
        <w:ind w:firstLine="472" w:firstLineChars="224"/>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11.3.1 经济投标文件(按招标文件的要求填写)。</w:t>
      </w:r>
    </w:p>
    <w:p>
      <w:pPr>
        <w:pBdr>
          <w:bottom w:val="single" w:color="auto" w:sz="4" w:space="0"/>
        </w:pBdr>
        <w:spacing w:line="560" w:lineRule="exact"/>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cs="宋体"/>
          <w:bCs/>
          <w:color w:val="auto"/>
          <w:szCs w:val="21"/>
          <w:highlight w:val="none"/>
          <w:u w:val="single"/>
        </w:rPr>
        <w:t>广州建设工程施工招标投标书（经济标）（格式见招标文件第四章，</w:t>
      </w:r>
      <w:r>
        <w:rPr>
          <w:rFonts w:ascii="宋体" w:hAnsi="宋体" w:cs="宋体"/>
          <w:bCs/>
          <w:color w:val="auto"/>
          <w:szCs w:val="21"/>
          <w:highlight w:val="none"/>
          <w:u w:val="single"/>
        </w:rPr>
        <w:t>具体格式以《广州建设工程施工招标投标书（技术标）》为准；电子投标管理软件编制的“广州建设工程施工招标投标书”不作为否决投标的条件</w:t>
      </w:r>
      <w:r>
        <w:rPr>
          <w:rFonts w:hint="eastAsia" w:ascii="宋体" w:hAnsi="宋体" w:cs="宋体"/>
          <w:bCs/>
          <w:color w:val="auto"/>
          <w:szCs w:val="21"/>
          <w:highlight w:val="none"/>
          <w:u w:val="single"/>
        </w:rPr>
        <w:t>)</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 xml:space="preserve">                           </w:t>
      </w:r>
      <w:r>
        <w:rPr>
          <w:rFonts w:hint="eastAsia" w:ascii="宋体" w:hAnsi="宋体" w:eastAsia="宋体" w:cs="宋体"/>
          <w:b/>
          <w:color w:val="auto"/>
          <w:sz w:val="21"/>
          <w:szCs w:val="21"/>
          <w:highlight w:val="none"/>
        </w:rPr>
        <w:t xml:space="preserve">                                                   </w:t>
      </w:r>
    </w:p>
    <w:p>
      <w:pPr>
        <w:spacing w:line="5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条款号：11.3.2                      修改类型：修改</w:t>
      </w:r>
    </w:p>
    <w:p>
      <w:pPr>
        <w:spacing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560" w:lineRule="exac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（1）投标总价封面、扉页；</w:t>
      </w:r>
    </w:p>
    <w:p>
      <w:pPr>
        <w:spacing w:line="560" w:lineRule="exac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（2）总说明；</w:t>
      </w:r>
    </w:p>
    <w:p>
      <w:pPr>
        <w:spacing w:line="560" w:lineRule="exac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（3）工程项目投标报价汇总表；</w:t>
      </w:r>
    </w:p>
    <w:p>
      <w:pPr>
        <w:spacing w:line="560" w:lineRule="exac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（4）单项工程投标报价汇总表；</w:t>
      </w:r>
    </w:p>
    <w:p>
      <w:pPr>
        <w:spacing w:line="560" w:lineRule="exac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（5）单位工程投标报价汇总表；</w:t>
      </w:r>
    </w:p>
    <w:p>
      <w:pPr>
        <w:spacing w:line="560" w:lineRule="exac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（6）分部分项工程清单与计价表；</w:t>
      </w:r>
    </w:p>
    <w:p>
      <w:pPr>
        <w:spacing w:line="560" w:lineRule="exac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（7）单价措施项目清单与计价表；</w:t>
      </w:r>
    </w:p>
    <w:p>
      <w:pPr>
        <w:spacing w:line="560" w:lineRule="exac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（8）总价措施项目清单与计价表；</w:t>
      </w:r>
    </w:p>
    <w:p>
      <w:pPr>
        <w:spacing w:line="560" w:lineRule="exac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（9）综合单价分析表；</w:t>
      </w:r>
    </w:p>
    <w:p>
      <w:pPr>
        <w:spacing w:line="560" w:lineRule="exac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（10）其他项目清单与计价汇总表；</w:t>
      </w:r>
    </w:p>
    <w:p>
      <w:pPr>
        <w:spacing w:line="560" w:lineRule="exac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（11）暂列金额明细表；</w:t>
      </w:r>
    </w:p>
    <w:p>
      <w:pPr>
        <w:spacing w:line="560" w:lineRule="exac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（12）材料（工程设备）暂估价明细表；</w:t>
      </w:r>
    </w:p>
    <w:p>
      <w:pPr>
        <w:spacing w:line="560" w:lineRule="exac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（13）专业工程暂估价明细表；</w:t>
      </w:r>
    </w:p>
    <w:p>
      <w:pPr>
        <w:spacing w:line="560" w:lineRule="exac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（14）计日工表；</w:t>
      </w:r>
    </w:p>
    <w:p>
      <w:pPr>
        <w:spacing w:line="560" w:lineRule="exac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（15）总承包服务计价表；</w:t>
      </w:r>
    </w:p>
    <w:p>
      <w:pPr>
        <w:spacing w:line="560" w:lineRule="exact"/>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（16）规费和税金项目计价表；</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（17）人工、主要材料和设备一览表</w:t>
      </w:r>
    </w:p>
    <w:p>
      <w:pPr>
        <w:spacing w:line="5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numPr>
          <w:ilvl w:val="0"/>
          <w:numId w:val="1"/>
        </w:numPr>
        <w:pBdr>
          <w:bottom w:val="single" w:color="auto" w:sz="6" w:space="1"/>
        </w:pBdr>
        <w:spacing w:line="560" w:lineRule="exact"/>
        <w:ind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投标总价封面、扉页</w:t>
      </w:r>
    </w:p>
    <w:p>
      <w:pPr>
        <w:numPr>
          <w:ilvl w:val="0"/>
          <w:numId w:val="1"/>
        </w:numPr>
        <w:pBdr>
          <w:bottom w:val="single" w:color="auto" w:sz="6" w:space="1"/>
        </w:pBdr>
        <w:spacing w:line="560" w:lineRule="exact"/>
        <w:ind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总说明；</w:t>
      </w:r>
    </w:p>
    <w:p>
      <w:pPr>
        <w:pBdr>
          <w:bottom w:val="single" w:color="auto" w:sz="6" w:space="1"/>
        </w:pBd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w:t>
      </w:r>
      <w:r>
        <w:rPr>
          <w:rFonts w:hint="eastAsia" w:ascii="宋体" w:hAnsi="宋体" w:eastAsia="宋体" w:cs="宋体"/>
          <w:color w:val="auto"/>
          <w:sz w:val="21"/>
          <w:szCs w:val="21"/>
          <w:highlight w:val="none"/>
          <w:u w:val="single"/>
        </w:rPr>
        <w:t>工程量清单报价表及综合单价分析表的相关内容及格式要求（相关表格的内容及格式要求以招标人发出的最新版电子招标文件中的相应内容及格式为准）；</w:t>
      </w:r>
    </w:p>
    <w:p>
      <w:pPr>
        <w:pBdr>
          <w:bottom w:val="single" w:color="auto" w:sz="6" w:space="1"/>
        </w:pBdr>
        <w:adjustRightInd w:val="0"/>
        <w:spacing w:line="560" w:lineRule="exact"/>
        <w:ind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其它辅助说明资料（包括但不限于招标文件要求填写的《对投标文件编制的承诺》，格式见招标文件第四章）</w:t>
      </w:r>
      <w:r>
        <w:rPr>
          <w:rFonts w:hint="eastAsia" w:ascii="宋体" w:hAnsi="宋体" w:eastAsia="宋体" w:cs="宋体"/>
          <w:color w:val="auto"/>
          <w:sz w:val="21"/>
          <w:szCs w:val="21"/>
          <w:highlight w:val="none"/>
        </w:rPr>
        <w:t>。</w:t>
      </w:r>
    </w:p>
    <w:p>
      <w:pPr>
        <w:adjustRightInd w:val="0"/>
        <w:spacing w:line="560" w:lineRule="exact"/>
        <w:ind w:firstLine="413" w:firstLineChars="196"/>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条款号：11.3.3                      修改类型：修改</w:t>
      </w:r>
    </w:p>
    <w:p>
      <w:pPr>
        <w:adjustRightInd w:val="0"/>
        <w:spacing w:line="560" w:lineRule="exact"/>
        <w:ind w:firstLine="413" w:firstLineChars="196"/>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11.3.3按照招标文件要求填写的《参与编制经济标投标文件人员名单》。</w:t>
      </w:r>
    </w:p>
    <w:p>
      <w:pPr>
        <w:pBdr>
          <w:bottom w:val="single" w:color="auto" w:sz="6" w:space="1"/>
        </w:pBdr>
        <w:adjustRightInd w:val="0"/>
        <w:spacing w:line="560" w:lineRule="exact"/>
        <w:ind w:firstLine="413" w:firstLineChars="196"/>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11.3.3按照招标文件要求填写的《参与编制经济标投标文件人员名单》</w:t>
      </w:r>
      <w:r>
        <w:rPr>
          <w:rFonts w:hint="eastAsia" w:ascii="宋体" w:hAnsi="宋体" w:eastAsia="宋体" w:cs="宋体"/>
          <w:color w:val="auto"/>
          <w:sz w:val="21"/>
          <w:szCs w:val="21"/>
          <w:highlight w:val="none"/>
          <w:u w:val="single"/>
        </w:rPr>
        <w:t>（格式见招标文件第四章）</w:t>
      </w:r>
      <w:r>
        <w:rPr>
          <w:rFonts w:hint="eastAsia" w:ascii="宋体" w:hAnsi="宋体" w:eastAsia="宋体" w:cs="宋体"/>
          <w:color w:val="auto"/>
          <w:sz w:val="21"/>
          <w:szCs w:val="21"/>
          <w:highlight w:val="none"/>
        </w:rPr>
        <w:t>。</w:t>
      </w:r>
    </w:p>
    <w:p>
      <w:pPr>
        <w:adjustRightInd w:val="0"/>
        <w:spacing w:line="560" w:lineRule="exact"/>
        <w:ind w:firstLine="413" w:firstLineChars="196"/>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条款号：11.3.5                      修改类型：增加</w:t>
      </w:r>
    </w:p>
    <w:p>
      <w:pPr>
        <w:pBdr>
          <w:bottom w:val="single" w:color="auto" w:sz="6" w:space="1"/>
        </w:pBdr>
        <w:adjustRightInd w:val="0"/>
        <w:spacing w:line="560" w:lineRule="exact"/>
        <w:ind w:firstLine="413" w:firstLineChars="196"/>
        <w:textAlignment w:val="baseline"/>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11.3.5</w:t>
      </w:r>
      <w:r>
        <w:rPr>
          <w:rFonts w:hint="eastAsia" w:ascii="宋体" w:hAnsi="宋体" w:cs="宋体"/>
          <w:color w:val="auto"/>
          <w:szCs w:val="21"/>
          <w:highlight w:val="none"/>
          <w:u w:val="single"/>
        </w:rPr>
        <w:t>投标人认为应提供的其他经济标资料（如有）</w:t>
      </w:r>
      <w:r>
        <w:rPr>
          <w:rFonts w:hint="eastAsia" w:ascii="宋体" w:hAnsi="宋体" w:eastAsia="宋体" w:cs="宋体"/>
          <w:color w:val="auto"/>
          <w:sz w:val="21"/>
          <w:szCs w:val="21"/>
          <w:highlight w:val="none"/>
          <w:u w:val="single"/>
        </w:rPr>
        <w:t>。</w:t>
      </w:r>
    </w:p>
    <w:p>
      <w:pPr>
        <w:adjustRightInd w:val="0"/>
        <w:spacing w:line="560" w:lineRule="exact"/>
        <w:ind w:firstLine="472" w:firstLineChars="224"/>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条款号：12.2                       修改类型：修改</w:t>
      </w:r>
    </w:p>
    <w:p>
      <w:pPr>
        <w:adjustRightInd w:val="0"/>
        <w:spacing w:line="560" w:lineRule="exact"/>
        <w:ind w:firstLine="472" w:firstLineChars="224"/>
        <w:textAlignment w:val="baseline"/>
        <w:rPr>
          <w:rFonts w:hint="eastAsia" w:ascii="宋体" w:hAnsi="宋体" w:eastAsia="宋体" w:cs="宋体"/>
          <w:bCs/>
          <w:color w:val="auto"/>
          <w:kern w:val="0"/>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12.2</w:t>
      </w:r>
      <w:r>
        <w:rPr>
          <w:rFonts w:hint="eastAsia" w:ascii="宋体" w:hAnsi="宋体" w:eastAsia="宋体" w:cs="宋体"/>
          <w:bCs/>
          <w:color w:val="auto"/>
          <w:kern w:val="0"/>
          <w:sz w:val="21"/>
          <w:szCs w:val="21"/>
          <w:highlight w:val="none"/>
        </w:rPr>
        <w:t>投标文件全部采用电子文档，投标文件所附证书证件均为原件扫描件，并采用单位数字证书，按招标文件要求在相应位置加盖电子印章。投标文件中需个人签字或盖章的，</w:t>
      </w:r>
      <w:r>
        <w:rPr>
          <w:rFonts w:hint="eastAsia" w:ascii="宋体" w:hAnsi="宋体" w:eastAsia="宋体" w:cs="宋体"/>
          <w:b w:val="0"/>
          <w:bCs/>
          <w:color w:val="auto"/>
          <w:kern w:val="0"/>
          <w:sz w:val="21"/>
          <w:szCs w:val="21"/>
          <w:highlight w:val="none"/>
        </w:rPr>
        <w:t>应加盖个人电子印章或在线下完成后扫描上传。</w:t>
      </w:r>
      <w:r>
        <w:rPr>
          <w:rFonts w:hint="eastAsia" w:ascii="宋体" w:hAnsi="宋体" w:eastAsia="宋体" w:cs="宋体"/>
          <w:bCs/>
          <w:color w:val="auto"/>
          <w:kern w:val="0"/>
          <w:sz w:val="21"/>
          <w:szCs w:val="21"/>
          <w:highlight w:val="none"/>
        </w:rPr>
        <w:t>按照交易平台关于全流程电子化项目的相关指南进行操作。详见：</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pPr>
        <w:pBdr>
          <w:bottom w:val="single" w:color="auto" w:sz="6" w:space="1"/>
        </w:pBdr>
        <w:adjustRightInd w:val="0"/>
        <w:spacing w:line="560" w:lineRule="exact"/>
        <w:ind w:firstLine="527" w:firstLineChars="25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rPr>
        <w:t>12.2</w:t>
      </w:r>
      <w:r>
        <w:rPr>
          <w:rFonts w:hint="eastAsia" w:ascii="宋体" w:hAnsi="宋体" w:cs="宋体"/>
          <w:color w:val="auto"/>
          <w:szCs w:val="21"/>
          <w:highlight w:val="none"/>
          <w:u w:val="single"/>
        </w:rPr>
        <w:t>投标人应仔细阅读招标文件第四章投标文件格式的相关规定和要求。</w:t>
      </w:r>
      <w:r>
        <w:rPr>
          <w:rFonts w:hint="eastAsia" w:ascii="宋体" w:hAnsi="宋体" w:cs="宋体"/>
          <w:color w:val="auto"/>
          <w:szCs w:val="21"/>
          <w:highlight w:val="none"/>
        </w:rPr>
        <w:t>投标文件全部采用电子文档，投标文件所附证书证件均为原件</w:t>
      </w:r>
      <w:r>
        <w:rPr>
          <w:rFonts w:hint="eastAsia" w:ascii="宋体" w:hAnsi="宋体" w:cs="宋体"/>
          <w:color w:val="auto"/>
          <w:szCs w:val="21"/>
          <w:highlight w:val="none"/>
          <w:u w:val="single"/>
        </w:rPr>
        <w:t>清晰</w:t>
      </w:r>
      <w:r>
        <w:rPr>
          <w:rFonts w:hint="eastAsia" w:ascii="宋体" w:hAnsi="宋体" w:cs="宋体"/>
          <w:color w:val="auto"/>
          <w:szCs w:val="21"/>
          <w:highlight w:val="none"/>
        </w:rPr>
        <w:t>扫描件，并采用单位数字证书，按招标文件要求在相应位置加盖电子印章。投标文件中需个人签字或盖章的，应加盖个人电子印章或在线下完成后扫描上传。按照</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eastAsia="宋体" w:cs="宋体"/>
          <w:b w:val="0"/>
          <w:bCs w:val="0"/>
          <w:color w:val="auto"/>
          <w:sz w:val="21"/>
          <w:szCs w:val="21"/>
          <w:highlight w:val="none"/>
          <w:u w:val="none"/>
        </w:rPr>
        <w:t>。</w:t>
      </w:r>
    </w:p>
    <w:p>
      <w:pPr>
        <w:adjustRightInd w:val="0"/>
        <w:spacing w:line="560" w:lineRule="exact"/>
        <w:ind w:firstLine="472" w:firstLineChars="224"/>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条款号：12.3                       修改类型：修改</w:t>
      </w:r>
    </w:p>
    <w:p>
      <w:pPr>
        <w:adjustRightInd w:val="0"/>
        <w:spacing w:line="560" w:lineRule="exact"/>
        <w:ind w:firstLine="472" w:firstLineChars="224"/>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 xml:space="preserve">12.3 </w:t>
      </w:r>
      <w:r>
        <w:rPr>
          <w:rFonts w:hint="eastAsia" w:ascii="宋体" w:hAnsi="宋体" w:eastAsia="宋体" w:cs="宋体"/>
          <w:bCs/>
          <w:color w:val="auto"/>
          <w:sz w:val="21"/>
          <w:szCs w:val="21"/>
          <w:highlight w:val="none"/>
        </w:rPr>
        <w:t>投标文件应按</w:t>
      </w:r>
      <w:r>
        <w:rPr>
          <w:rFonts w:hint="eastAsia" w:ascii="宋体" w:hAnsi="宋体" w:eastAsia="宋体" w:cs="宋体"/>
          <w:color w:val="auto"/>
          <w:sz w:val="21"/>
          <w:szCs w:val="21"/>
          <w:highlight w:val="none"/>
        </w:rPr>
        <w:t>照交易平台关于全流程电子化项目的相关指南进行编制，详见：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Bdr>
          <w:bottom w:val="single" w:color="auto" w:sz="6" w:space="1"/>
        </w:pBdr>
        <w:spacing w:line="360" w:lineRule="auto"/>
        <w:ind w:firstLine="422" w:firstLineChars="200"/>
        <w:textAlignment w:val="baseline"/>
        <w:rPr>
          <w:rFonts w:hint="eastAsia" w:ascii="宋体" w:hAnsi="宋体" w:cs="宋体"/>
          <w:color w:val="auto"/>
          <w:szCs w:val="21"/>
          <w:highlight w:val="non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rPr>
        <w:t>12.3</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交易平台关于全流程电子化项目的相关指南进行编制，详见：</w:t>
      </w:r>
      <w:r>
        <w:rPr>
          <w:rFonts w:hint="eastAsia" w:ascii="宋体" w:hAnsi="宋体" w:cs="宋体"/>
          <w:bCs/>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pPr>
        <w:pBdr>
          <w:bottom w:val="single" w:color="auto" w:sz="6" w:space="1"/>
        </w:pBdr>
        <w:spacing w:line="560" w:lineRule="exact"/>
        <w:ind w:firstLine="420" w:firstLineChars="200"/>
        <w:textAlignment w:val="baseline"/>
        <w:rPr>
          <w:rFonts w:hint="eastAsia" w:ascii="宋体" w:hAnsi="宋体" w:eastAsia="宋体" w:cs="宋体"/>
          <w:b/>
          <w:color w:val="auto"/>
          <w:sz w:val="21"/>
          <w:szCs w:val="21"/>
          <w:highlight w:val="none"/>
        </w:rPr>
      </w:pPr>
      <w:r>
        <w:rPr>
          <w:rFonts w:hint="eastAsia" w:ascii="宋体" w:hAnsi="宋体" w:cs="宋体"/>
          <w:bCs/>
          <w:color w:val="auto"/>
          <w:szCs w:val="21"/>
          <w:highlight w:val="none"/>
        </w:rPr>
        <w:t>如不按上述要求编制引起系统无法检索、读取相关信息的，其后果由投标人承担</w:t>
      </w:r>
      <w:r>
        <w:rPr>
          <w:rFonts w:hint="eastAsia" w:ascii="宋体" w:hAnsi="宋体" w:eastAsia="宋体" w:cs="宋体"/>
          <w:color w:val="auto"/>
          <w:sz w:val="21"/>
          <w:szCs w:val="21"/>
          <w:highlight w:val="none"/>
        </w:rPr>
        <w:t>。</w:t>
      </w:r>
    </w:p>
    <w:p>
      <w:pPr>
        <w:spacing w:line="560" w:lineRule="exact"/>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                        修改类型：修改</w:t>
      </w:r>
    </w:p>
    <w:p>
      <w:pPr>
        <w:pBdr>
          <w:bottom w:val="single" w:color="auto" w:sz="6" w:space="1"/>
        </w:pBdr>
        <w:spacing w:line="560" w:lineRule="exact"/>
        <w:ind w:firstLine="472" w:firstLineChars="224"/>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13.1本工程的投标报价采用投标须知前附表第12项所规定的方式。投标报价（含单价及总价）精确到“分”。</w:t>
      </w:r>
    </w:p>
    <w:p>
      <w:pPr>
        <w:pBdr>
          <w:bottom w:val="single" w:color="auto" w:sz="6" w:space="1"/>
        </w:pBdr>
        <w:spacing w:line="560" w:lineRule="exact"/>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 xml:space="preserve">13.1 </w:t>
      </w:r>
      <w:r>
        <w:rPr>
          <w:rFonts w:hint="eastAsia" w:ascii="宋体" w:hAnsi="宋体" w:cs="宋体"/>
          <w:color w:val="auto"/>
          <w:szCs w:val="21"/>
          <w:highlight w:val="none"/>
        </w:rPr>
        <w:t>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r>
        <w:rPr>
          <w:rFonts w:hint="eastAsia" w:ascii="宋体" w:hAnsi="宋体" w:eastAsia="宋体" w:cs="宋体"/>
          <w:color w:val="auto"/>
          <w:sz w:val="21"/>
          <w:szCs w:val="21"/>
          <w:highlight w:val="none"/>
          <w:u w:val="single"/>
        </w:rPr>
        <w:t>。</w:t>
      </w:r>
    </w:p>
    <w:p>
      <w:pPr>
        <w:spacing w:line="560" w:lineRule="exact"/>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条款号：13.3                        修改类型：修改</w:t>
      </w:r>
    </w:p>
    <w:p>
      <w:pPr>
        <w:spacing w:line="560" w:lineRule="exact"/>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spacing w:line="560" w:lineRule="exact"/>
        <w:ind w:firstLine="527" w:firstLineChars="2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13.3</w:t>
      </w:r>
      <w:r>
        <w:rPr>
          <w:rFonts w:hint="eastAsia" w:ascii="宋体" w:hAnsi="宋体"/>
          <w:color w:val="auto"/>
          <w:szCs w:val="21"/>
          <w:highlight w:val="none"/>
        </w:rPr>
        <w:t>投标人的投标报价，应是按照投标须知前附表第</w:t>
      </w:r>
      <w:r>
        <w:rPr>
          <w:rFonts w:ascii="宋体" w:hAnsi="宋体"/>
          <w:color w:val="auto"/>
          <w:szCs w:val="21"/>
          <w:highlight w:val="none"/>
        </w:rPr>
        <w:t>8</w:t>
      </w:r>
      <w:r>
        <w:rPr>
          <w:rFonts w:hint="eastAsia" w:ascii="宋体" w:hAnsi="宋体"/>
          <w:color w:val="auto"/>
          <w:szCs w:val="21"/>
          <w:highlight w:val="none"/>
        </w:rPr>
        <w:t>项的工期要求，在投标须知前附表第</w:t>
      </w:r>
      <w:r>
        <w:rPr>
          <w:rFonts w:ascii="宋体" w:hAnsi="宋体"/>
          <w:color w:val="auto"/>
          <w:szCs w:val="21"/>
          <w:highlight w:val="none"/>
        </w:rPr>
        <w:t>3</w:t>
      </w:r>
      <w:r>
        <w:rPr>
          <w:rFonts w:hint="eastAsia" w:ascii="宋体" w:hAnsi="宋体"/>
          <w:color w:val="auto"/>
          <w:szCs w:val="21"/>
          <w:highlight w:val="none"/>
        </w:rPr>
        <w:t>项的建设地点，完成投标须知前附表第</w:t>
      </w:r>
      <w:r>
        <w:rPr>
          <w:rFonts w:ascii="宋体" w:hAnsi="宋体"/>
          <w:color w:val="auto"/>
          <w:szCs w:val="21"/>
          <w:highlight w:val="none"/>
        </w:rPr>
        <w:t>7</w:t>
      </w:r>
      <w:r>
        <w:rPr>
          <w:rFonts w:hint="eastAsia" w:ascii="宋体" w:hAnsi="宋体"/>
          <w:color w:val="auto"/>
          <w:szCs w:val="21"/>
          <w:highlight w:val="none"/>
        </w:rPr>
        <w:t>项的招标范围内已由招标人</w:t>
      </w:r>
      <w:r>
        <w:rPr>
          <w:rFonts w:hint="eastAsia" w:ascii="宋体" w:hAnsi="宋体"/>
          <w:color w:val="auto"/>
          <w:szCs w:val="21"/>
          <w:highlight w:val="none"/>
          <w:u w:val="single"/>
        </w:rPr>
        <w:t>提供的招标图纸（包括有关于本项目招标的相关资料）及</w:t>
      </w:r>
      <w:r>
        <w:rPr>
          <w:rFonts w:hint="eastAsia" w:ascii="宋体" w:hAnsi="宋体"/>
          <w:color w:val="auto"/>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eastAsia="宋体" w:cs="宋体"/>
          <w:color w:val="auto"/>
          <w:szCs w:val="21"/>
          <w:highlight w:val="none"/>
        </w:rPr>
        <w:t>。</w:t>
      </w:r>
    </w:p>
    <w:p>
      <w:pPr>
        <w:spacing w:line="5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条款号：13.4                         修改类型：修改</w:t>
      </w:r>
    </w:p>
    <w:p>
      <w:pPr>
        <w:pStyle w:val="18"/>
        <w:spacing w:after="0"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560" w:lineRule="exact"/>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rPr>
        <w:t>13.4投标人一旦中标，投标人对招标人提供的招标工程量清单中列出的工程项目所报出的综合单价</w:t>
      </w:r>
      <w:r>
        <w:rPr>
          <w:rFonts w:hint="eastAsia" w:ascii="宋体" w:hAnsi="宋体" w:cs="宋体"/>
          <w:color w:val="auto"/>
          <w:szCs w:val="21"/>
          <w:highlight w:val="none"/>
          <w:u w:val="single"/>
        </w:rPr>
        <w:t>和措施项目费（措施项目费必须单列，没有单独列出的，视为已经包含在投标报价中），在工程结算时，按招标文件第三章合同条款相关约定调整</w:t>
      </w:r>
      <w:r>
        <w:rPr>
          <w:rFonts w:hint="eastAsia" w:ascii="宋体" w:hAnsi="宋体" w:eastAsia="宋体" w:cs="宋体"/>
          <w:color w:val="auto"/>
          <w:szCs w:val="21"/>
          <w:highlight w:val="none"/>
          <w:u w:val="single"/>
        </w:rPr>
        <w:t>。</w:t>
      </w:r>
    </w:p>
    <w:p>
      <w:pPr>
        <w:spacing w:line="5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条款号：13.5                         修改类型：修改</w:t>
      </w:r>
    </w:p>
    <w:p>
      <w:pPr>
        <w:pStyle w:val="18"/>
        <w:spacing w:after="0"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18"/>
        <w:spacing w:after="0" w:line="5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13.5.1中标的投标文件工程量清单中已有相同项目的适用综合单价，则沿用；</w:t>
      </w:r>
    </w:p>
    <w:p>
      <w:pPr>
        <w:pStyle w:val="18"/>
        <w:spacing w:after="0" w:line="5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18"/>
        <w:spacing w:after="0" w:line="5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spacing w:line="56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13.5.4 如相关定额没有相应子目的，其计价方式由招标人在本招标文件第三章中另行规定。未规定的，中标后双方协商约定。</w:t>
      </w:r>
    </w:p>
    <w:p>
      <w:pPr>
        <w:spacing w:line="560" w:lineRule="exact"/>
        <w:ind w:firstLine="413" w:firstLineChars="196"/>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13.5</w:t>
      </w:r>
      <w:r>
        <w:rPr>
          <w:rFonts w:hint="eastAsia" w:ascii="宋体" w:hAnsi="宋体" w:eastAsia="宋体" w:cs="宋体"/>
          <w:color w:val="auto"/>
          <w:szCs w:val="21"/>
          <w:highlight w:val="none"/>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pPr>
        <w:pBdr>
          <w:top w:val="single" w:color="auto" w:sz="4" w:space="1"/>
        </w:pBdr>
        <w:spacing w:line="5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条款号：13.6.2                      修改类型：修改</w:t>
      </w:r>
    </w:p>
    <w:p>
      <w:pPr>
        <w:spacing w:line="560" w:lineRule="exact"/>
        <w:ind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Bdr>
          <w:bottom w:val="single" w:color="auto" w:sz="6" w:space="1"/>
        </w:pBdr>
        <w:spacing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13.6.2</w:t>
      </w:r>
      <w:r>
        <w:rPr>
          <w:rFonts w:hint="eastAsia" w:ascii="宋体" w:hAnsi="宋体"/>
          <w:color w:val="auto"/>
          <w:szCs w:val="21"/>
          <w:highlight w:val="none"/>
        </w:rPr>
        <w:t>在工程实施中，暂列金额、暂估价所包含的工作范围和图纸、标准深化固定后，按照工程专业、设备、材料类别等分类汇总的金额，</w:t>
      </w:r>
      <w:r>
        <w:rPr>
          <w:rFonts w:hint="eastAsia" w:ascii="宋体" w:hAnsi="宋体" w:cs="宋体"/>
          <w:color w:val="auto"/>
          <w:szCs w:val="21"/>
          <w:highlight w:val="none"/>
        </w:rPr>
        <w:t>达到法定招标范围标准的</w:t>
      </w:r>
      <w:r>
        <w:rPr>
          <w:rFonts w:hint="eastAsia" w:ascii="宋体" w:hAnsi="宋体" w:cs="宋体"/>
          <w:color w:val="auto"/>
          <w:szCs w:val="21"/>
          <w:highlight w:val="none"/>
          <w:u w:val="single"/>
        </w:rPr>
        <w:t>应由招标人招标确定承包人和承包价格</w:t>
      </w:r>
      <w:r>
        <w:rPr>
          <w:rFonts w:hint="eastAsia" w:ascii="宋体" w:hAnsi="宋体" w:eastAsia="宋体" w:cs="宋体"/>
          <w:color w:val="auto"/>
          <w:szCs w:val="21"/>
          <w:highlight w:val="none"/>
          <w:u w:val="single"/>
        </w:rPr>
        <w:t>。</w:t>
      </w:r>
    </w:p>
    <w:p>
      <w:pPr>
        <w:spacing w:line="5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条款号：13.6.4                      修改类型：修改</w:t>
      </w:r>
    </w:p>
    <w:p>
      <w:pPr>
        <w:spacing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18"/>
        <w:pBdr>
          <w:bottom w:val="single" w:color="auto" w:sz="6" w:space="1"/>
        </w:pBdr>
        <w:spacing w:after="0"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13.6.4</w:t>
      </w:r>
      <w:r>
        <w:rPr>
          <w:rFonts w:hint="eastAsia" w:ascii="宋体" w:hAnsi="宋体" w:cs="宋体"/>
          <w:color w:val="auto"/>
          <w:sz w:val="21"/>
          <w:szCs w:val="21"/>
          <w:highlight w:val="none"/>
        </w:rPr>
        <w:t>在工程实施中，暂列金额、暂估价所包含的工作范围和图纸、标准深化固定后，按照工程专业、设备、材料类别等分类汇总的金额，未达到法定招标范围标准也不适用政府采购规定，</w:t>
      </w:r>
      <w:r>
        <w:rPr>
          <w:rFonts w:hint="eastAsia" w:ascii="宋体" w:hAnsi="宋体" w:cs="宋体"/>
          <w:color w:val="auto"/>
          <w:sz w:val="21"/>
          <w:szCs w:val="21"/>
          <w:highlight w:val="none"/>
          <w:u w:val="single"/>
        </w:rPr>
        <w:t>经发包人同意，</w:t>
      </w:r>
      <w:r>
        <w:rPr>
          <w:rFonts w:hint="eastAsia" w:ascii="宋体" w:hAnsi="宋体" w:cs="宋体"/>
          <w:color w:val="auto"/>
          <w:sz w:val="21"/>
          <w:szCs w:val="21"/>
          <w:highlight w:val="none"/>
        </w:rPr>
        <w:t>承包人有法定的承包资格的，由承包人承包，承包人无法定的承包资格但有法定的分包权的，由承包人分包，招标人同承包人结算的价格按本投标须知13.5款规定确定</w:t>
      </w:r>
      <w:r>
        <w:rPr>
          <w:rFonts w:hint="eastAsia" w:ascii="宋体" w:hAnsi="宋体" w:eastAsia="宋体" w:cs="宋体"/>
          <w:color w:val="auto"/>
          <w:sz w:val="21"/>
          <w:szCs w:val="21"/>
          <w:highlight w:val="none"/>
        </w:rPr>
        <w:t>。</w:t>
      </w:r>
    </w:p>
    <w:p>
      <w:pPr>
        <w:spacing w:line="5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条款号：13.8                         修改类型：修改</w:t>
      </w:r>
    </w:p>
    <w:p>
      <w:pPr>
        <w:pStyle w:val="18"/>
        <w:spacing w:after="0"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spacing w:line="5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13.8</w:t>
      </w:r>
      <w:r>
        <w:rPr>
          <w:rFonts w:hint="eastAsia" w:ascii="宋体" w:hAnsi="宋体" w:cs="宋体"/>
          <w:color w:val="auto"/>
          <w:szCs w:val="21"/>
          <w:highlight w:val="none"/>
          <w:u w:val="single"/>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r>
        <w:rPr>
          <w:rFonts w:hint="eastAsia" w:ascii="宋体" w:hAnsi="宋体" w:eastAsia="宋体" w:cs="宋体"/>
          <w:color w:val="auto"/>
          <w:szCs w:val="21"/>
          <w:highlight w:val="none"/>
          <w:u w:val="single"/>
        </w:rPr>
        <w:t>。</w:t>
      </w:r>
    </w:p>
    <w:p>
      <w:pPr>
        <w:pBdr>
          <w:top w:val="single" w:color="auto" w:sz="4" w:space="1"/>
        </w:pBdr>
        <w:spacing w:line="5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条款号：13.10                         修改类型：增加</w:t>
      </w:r>
    </w:p>
    <w:p>
      <w:pPr>
        <w:spacing w:line="560" w:lineRule="exact"/>
        <w:ind w:firstLine="413" w:firstLineChars="196"/>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Cs/>
          <w:color w:val="auto"/>
          <w:sz w:val="21"/>
          <w:szCs w:val="21"/>
          <w:highlight w:val="none"/>
          <w:u w:val="single"/>
        </w:rPr>
        <w:t>13.10</w:t>
      </w:r>
      <w:r>
        <w:rPr>
          <w:rFonts w:hint="eastAsia" w:ascii="宋体" w:hAnsi="宋体" w:eastAsia="宋体" w:cs="宋体"/>
          <w:color w:val="auto"/>
          <w:sz w:val="21"/>
          <w:szCs w:val="21"/>
          <w:highlight w:val="none"/>
          <w:u w:val="single"/>
        </w:rPr>
        <w:t>工程量清单报价中有关问题的说明：</w:t>
      </w:r>
    </w:p>
    <w:p>
      <w:pPr>
        <w:spacing w:line="5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投标时,土方的弃运距离暂按15km内考虑，超过15km按15km计算，结算时按招标人确认的实际运距计算,实际运距超过15公里时，按15公里包干。</w:t>
      </w:r>
    </w:p>
    <w:p>
      <w:pPr>
        <w:pBdr>
          <w:bottom w:val="single" w:color="auto" w:sz="6" w:space="1"/>
        </w:pBdr>
        <w:spacing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r>
        <w:rPr>
          <w:rFonts w:hint="eastAsia" w:ascii="宋体" w:hAnsi="宋体" w:eastAsia="宋体" w:cs="宋体"/>
          <w:color w:val="auto"/>
          <w:szCs w:val="21"/>
          <w:highlight w:val="none"/>
        </w:rPr>
        <w:t>。</w:t>
      </w:r>
    </w:p>
    <w:p>
      <w:pPr>
        <w:pBdr>
          <w:top w:val="single" w:color="auto" w:sz="4" w:space="1"/>
        </w:pBdr>
        <w:spacing w:line="5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条款号：13.11                          修改类型：增加</w:t>
      </w:r>
    </w:p>
    <w:p>
      <w:pPr>
        <w:pBdr>
          <w:bottom w:val="single" w:color="auto" w:sz="6" w:space="1"/>
        </w:pBdr>
        <w:spacing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u w:val="singl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再按合同约定结算。如果中标人不及时按要求设置，业主可以另行委托实施，业主按实际发生的费用在工程款中扣除，中标人不得有任何异议</w:t>
      </w:r>
      <w:r>
        <w:rPr>
          <w:rFonts w:hint="eastAsia" w:ascii="宋体" w:hAnsi="宋体" w:eastAsia="宋体" w:cs="宋体"/>
          <w:color w:val="auto"/>
          <w:szCs w:val="21"/>
          <w:highlight w:val="none"/>
          <w:u w:val="single"/>
        </w:rPr>
        <w:t>。</w:t>
      </w:r>
    </w:p>
    <w:p>
      <w:pPr>
        <w:spacing w:line="5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条款号：13.12                          修改类型：增加</w:t>
      </w:r>
    </w:p>
    <w:p>
      <w:pPr>
        <w:pBdr>
          <w:bottom w:val="single" w:color="auto" w:sz="4" w:space="0"/>
        </w:pBdr>
        <w:spacing w:line="560" w:lineRule="exact"/>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u w:val="single"/>
        </w:rPr>
        <w:t>13.12承包人应加强周边学校、居民住宅的环境保护，制定绿色施工安全防护措施（包括防尘、防噪音、施工围蔽等），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w:t>
      </w:r>
      <w:r>
        <w:rPr>
          <w:rFonts w:ascii="宋体" w:hAnsi="宋体" w:cs="宋体"/>
          <w:color w:val="auto"/>
          <w:szCs w:val="21"/>
          <w:highlight w:val="none"/>
          <w:u w:val="single"/>
        </w:rPr>
        <w:t>《</w:t>
      </w:r>
      <w:r>
        <w:rPr>
          <w:rFonts w:hint="eastAsia" w:ascii="宋体" w:hAnsi="宋体" w:cs="宋体"/>
          <w:color w:val="auto"/>
          <w:szCs w:val="21"/>
          <w:highlight w:val="none"/>
          <w:u w:val="single"/>
        </w:rPr>
        <w:t>广州市建设工程绿色施工围蔽指导图集（V2.0版）</w:t>
      </w:r>
      <w:r>
        <w:rPr>
          <w:rFonts w:ascii="宋体" w:hAnsi="宋体" w:cs="宋体"/>
          <w:color w:val="auto"/>
          <w:szCs w:val="21"/>
          <w:highlight w:val="none"/>
          <w:u w:val="single"/>
        </w:rPr>
        <w:t>》(穗建质〔2020〕1号）</w:t>
      </w:r>
      <w:r>
        <w:rPr>
          <w:rFonts w:hint="eastAsia" w:ascii="宋体" w:hAnsi="宋体" w:cs="宋体"/>
          <w:color w:val="auto"/>
          <w:szCs w:val="21"/>
          <w:highlight w:val="none"/>
          <w:u w:val="single"/>
        </w:rPr>
        <w:t>、</w:t>
      </w:r>
      <w:r>
        <w:rPr>
          <w:rFonts w:ascii="宋体" w:hAnsi="宋体" w:cs="宋体"/>
          <w:color w:val="auto"/>
          <w:szCs w:val="21"/>
          <w:highlight w:val="none"/>
          <w:u w:val="single"/>
        </w:rPr>
        <w:t>《关于进一步落实我区市政建设项目施工围蔽提升工作的通知》（穗埔建[2019]123号）</w:t>
      </w:r>
      <w:r>
        <w:rPr>
          <w:rFonts w:hint="eastAsia" w:ascii="宋体" w:hAnsi="宋体" w:cs="宋体"/>
          <w:color w:val="auto"/>
          <w:szCs w:val="21"/>
          <w:highlight w:val="none"/>
          <w:u w:val="single"/>
        </w:rPr>
        <w:t>及《黄埔区住房和城乡建设局 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实施相关费用已含在合同价中。如承包人未及时按要求做好围蔽等安全文明施工措施，建设业主可另行委托单位实施，建设业主按实际发生的费用在绿色施工安全防护措施费中扣除</w:t>
      </w:r>
      <w:r>
        <w:rPr>
          <w:rFonts w:hint="eastAsia" w:ascii="宋体" w:hAnsi="宋体" w:eastAsia="宋体" w:cs="宋体"/>
          <w:color w:val="auto"/>
          <w:szCs w:val="21"/>
          <w:highlight w:val="none"/>
          <w:u w:val="single"/>
        </w:rPr>
        <w:t>。</w:t>
      </w:r>
    </w:p>
    <w:p>
      <w:pPr>
        <w:pBdr>
          <w:bottom w:val="single" w:color="auto" w:sz="6" w:space="1"/>
        </w:pBdr>
        <w:spacing w:line="5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条款号：13.13                            修改类型：增加</w:t>
      </w:r>
    </w:p>
    <w:p>
      <w:pPr>
        <w:pBdr>
          <w:bottom w:val="single" w:color="auto" w:sz="6" w:space="1"/>
        </w:pBdr>
        <w:spacing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u w:val="single"/>
        </w:rPr>
        <w:t>13.13本工程中标人通过现场考察，提出具体施工方案，无论在工程施工期间或是在质量保修期内，若因施工而引起的一切索赔、赔偿、诉讼费用和其他开支，由中标人承担全部责任。该项费用包含在总投标报价中，不另行计费。中标人不得以任何理由要求业主另行增加该部分费用（中标人要充分考虑最不利因素影响而采用的施工方案所需的费用）</w:t>
      </w:r>
      <w:r>
        <w:rPr>
          <w:rFonts w:hint="eastAsia" w:ascii="宋体" w:hAnsi="宋体" w:eastAsia="宋体" w:cs="宋体"/>
          <w:color w:val="auto"/>
          <w:szCs w:val="21"/>
          <w:highlight w:val="none"/>
          <w:u w:val="single"/>
        </w:rPr>
        <w:t>。</w:t>
      </w:r>
    </w:p>
    <w:p>
      <w:pPr>
        <w:pBdr>
          <w:top w:val="single" w:color="auto" w:sz="4" w:space="1"/>
          <w:bottom w:val="single" w:color="auto" w:sz="6" w:space="1"/>
        </w:pBdr>
        <w:spacing w:line="5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条款号：13.14                             修改类型：增加</w:t>
      </w:r>
    </w:p>
    <w:p>
      <w:pPr>
        <w:pBdr>
          <w:top w:val="single" w:color="auto" w:sz="4" w:space="1"/>
          <w:bottom w:val="single" w:color="auto" w:sz="6" w:space="1"/>
        </w:pBdr>
        <w:spacing w:line="560" w:lineRule="exact"/>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u w:val="single"/>
        </w:rPr>
        <w:t>13.14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r>
        <w:rPr>
          <w:rFonts w:hint="eastAsia" w:ascii="宋体" w:hAnsi="宋体" w:eastAsia="宋体" w:cs="宋体"/>
          <w:color w:val="auto"/>
          <w:szCs w:val="21"/>
          <w:highlight w:val="none"/>
          <w:u w:val="single"/>
        </w:rPr>
        <w:t>。</w:t>
      </w:r>
    </w:p>
    <w:p>
      <w:pPr>
        <w:spacing w:line="5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条款号：13.15                             修改类型：增加</w:t>
      </w:r>
    </w:p>
    <w:p>
      <w:pPr>
        <w:pBdr>
          <w:bottom w:val="single" w:color="auto" w:sz="6" w:space="1"/>
        </w:pBdr>
        <w:spacing w:line="560" w:lineRule="exact"/>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u w:val="single"/>
        </w:rPr>
        <w:t>13.15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r>
        <w:rPr>
          <w:rFonts w:hint="eastAsia" w:ascii="宋体" w:hAnsi="宋体" w:eastAsia="宋体" w:cs="宋体"/>
          <w:color w:val="auto"/>
          <w:szCs w:val="21"/>
          <w:highlight w:val="none"/>
          <w:u w:val="single"/>
        </w:rPr>
        <w:t>。</w:t>
      </w:r>
    </w:p>
    <w:p>
      <w:pPr>
        <w:spacing w:line="5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条款号：13.16                              修改类型：增加</w:t>
      </w:r>
    </w:p>
    <w:p>
      <w:pPr>
        <w:pBdr>
          <w:bottom w:val="single" w:color="auto" w:sz="6" w:space="1"/>
        </w:pBdr>
        <w:spacing w:line="560" w:lineRule="exact"/>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u w:val="single"/>
        </w:rPr>
        <w:t>13.16中标人应使用绿色生产达标企业生产的混凝土，若不遵守承诺，自愿按不履行合同约定处理</w:t>
      </w:r>
      <w:r>
        <w:rPr>
          <w:rFonts w:hint="eastAsia" w:ascii="宋体" w:hAnsi="宋体" w:eastAsia="宋体" w:cs="宋体"/>
          <w:color w:val="auto"/>
          <w:szCs w:val="21"/>
          <w:highlight w:val="none"/>
          <w:u w:val="single"/>
        </w:rPr>
        <w:t>。</w:t>
      </w:r>
    </w:p>
    <w:p>
      <w:pPr>
        <w:spacing w:line="5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条款号：13.17                              修改类型：增加</w:t>
      </w:r>
    </w:p>
    <w:p>
      <w:pPr>
        <w:pBdr>
          <w:bottom w:val="single" w:color="auto" w:sz="6" w:space="1"/>
        </w:pBdr>
        <w:spacing w:line="560" w:lineRule="exact"/>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u w:val="single"/>
        </w:rPr>
        <w:t>13.17中标人应按有关规定协助建设业主完成公共排水设施竣工图纸备案工作。</w:t>
      </w:r>
    </w:p>
    <w:p>
      <w:pPr>
        <w:spacing w:line="560" w:lineRule="exact"/>
        <w:ind w:firstLine="422" w:firstLineChars="200"/>
        <w:rPr>
          <w:rFonts w:hint="eastAsia" w:ascii="宋体" w:hAnsi="宋体" w:eastAsia="宋体" w:cs="宋体"/>
          <w:b/>
          <w:color w:val="auto"/>
          <w:sz w:val="21"/>
          <w:szCs w:val="21"/>
          <w:highlight w:val="none"/>
          <w:u w:val="none"/>
          <w:lang w:eastAsia="zh-CN"/>
        </w:rPr>
      </w:pPr>
      <w:r>
        <w:rPr>
          <w:rFonts w:hint="eastAsia" w:ascii="宋体" w:hAnsi="宋体" w:eastAsia="宋体" w:cs="宋体"/>
          <w:b/>
          <w:color w:val="auto"/>
          <w:sz w:val="21"/>
          <w:szCs w:val="21"/>
          <w:highlight w:val="none"/>
          <w:u w:val="none"/>
        </w:rPr>
        <w:t>条款号：</w:t>
      </w:r>
      <w:r>
        <w:rPr>
          <w:rFonts w:hint="eastAsia" w:ascii="宋体" w:hAnsi="宋体" w:cs="宋体"/>
          <w:b/>
          <w:color w:val="auto"/>
          <w:sz w:val="21"/>
          <w:szCs w:val="21"/>
          <w:highlight w:val="none"/>
          <w:u w:val="none"/>
          <w:lang w:val="en-US" w:eastAsia="zh-CN"/>
        </w:rPr>
        <w:t>15</w:t>
      </w:r>
      <w:r>
        <w:rPr>
          <w:rFonts w:hint="eastAsia" w:ascii="宋体" w:hAnsi="宋体" w:eastAsia="宋体" w:cs="宋体"/>
          <w:b/>
          <w:color w:val="auto"/>
          <w:sz w:val="21"/>
          <w:szCs w:val="21"/>
          <w:highlight w:val="none"/>
          <w:u w:val="none"/>
        </w:rPr>
        <w:t>.</w:t>
      </w:r>
      <w:r>
        <w:rPr>
          <w:rFonts w:hint="eastAsia" w:ascii="宋体" w:hAnsi="宋体" w:cs="宋体"/>
          <w:b/>
          <w:color w:val="auto"/>
          <w:sz w:val="21"/>
          <w:szCs w:val="21"/>
          <w:highlight w:val="none"/>
          <w:u w:val="none"/>
          <w:lang w:val="en-US" w:eastAsia="zh-CN"/>
        </w:rPr>
        <w:t>2</w:t>
      </w:r>
      <w:r>
        <w:rPr>
          <w:rFonts w:hint="eastAsia" w:ascii="宋体" w:hAnsi="宋体" w:eastAsia="宋体" w:cs="宋体"/>
          <w:b/>
          <w:color w:val="auto"/>
          <w:sz w:val="21"/>
          <w:szCs w:val="21"/>
          <w:highlight w:val="none"/>
          <w:u w:val="none"/>
        </w:rPr>
        <w:t xml:space="preserve">                              修改类型：</w:t>
      </w:r>
      <w:r>
        <w:rPr>
          <w:rFonts w:hint="eastAsia" w:ascii="宋体" w:hAnsi="宋体" w:cs="宋体"/>
          <w:b/>
          <w:color w:val="auto"/>
          <w:sz w:val="21"/>
          <w:szCs w:val="21"/>
          <w:highlight w:val="none"/>
          <w:u w:val="none"/>
          <w:lang w:val="en-US" w:eastAsia="zh-CN"/>
        </w:rPr>
        <w:t>修改</w:t>
      </w:r>
    </w:p>
    <w:p>
      <w:pPr>
        <w:pBdr>
          <w:bottom w:val="single" w:color="auto" w:sz="6" w:space="1"/>
        </w:pBdr>
        <w:spacing w:line="560" w:lineRule="exact"/>
        <w:ind w:firstLine="472" w:firstLineChars="224"/>
        <w:rPr>
          <w:rFonts w:hint="eastAsia" w:ascii="宋体" w:hAnsi="宋体" w:eastAsia="宋体" w:cs="宋体"/>
          <w:color w:val="auto"/>
          <w:szCs w:val="21"/>
          <w:highlight w:val="none"/>
          <w:u w:val="none"/>
        </w:rPr>
      </w:pPr>
      <w:r>
        <w:rPr>
          <w:rFonts w:hint="eastAsia" w:ascii="宋体" w:hAnsi="宋体" w:cs="宋体"/>
          <w:b/>
          <w:color w:val="auto"/>
          <w:sz w:val="21"/>
          <w:szCs w:val="21"/>
          <w:highlight w:val="none"/>
          <w:u w:val="none"/>
          <w:lang w:val="en-US" w:eastAsia="zh-CN"/>
        </w:rPr>
        <w:t>原</w:t>
      </w:r>
      <w:r>
        <w:rPr>
          <w:rFonts w:hint="eastAsia" w:ascii="宋体" w:hAnsi="宋体" w:eastAsia="宋体" w:cs="宋体"/>
          <w:b/>
          <w:color w:val="auto"/>
          <w:sz w:val="21"/>
          <w:szCs w:val="21"/>
          <w:highlight w:val="none"/>
          <w:u w:val="none"/>
        </w:rPr>
        <w:t>文：</w:t>
      </w: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r>
        <w:rPr>
          <w:rFonts w:hint="eastAsia" w:ascii="宋体" w:hAnsi="宋体" w:eastAsia="宋体" w:cs="宋体"/>
          <w:color w:val="auto"/>
          <w:szCs w:val="21"/>
          <w:highlight w:val="none"/>
          <w:u w:val="none"/>
        </w:rPr>
        <w:t>。</w:t>
      </w:r>
    </w:p>
    <w:p>
      <w:pPr>
        <w:pBdr>
          <w:bottom w:val="single" w:color="auto" w:sz="6" w:space="1"/>
        </w:pBdr>
        <w:spacing w:line="560" w:lineRule="exact"/>
        <w:ind w:firstLine="472" w:firstLineChars="224"/>
        <w:rPr>
          <w:rFonts w:hint="eastAsia" w:ascii="宋体" w:hAnsi="宋体" w:eastAsia="宋体" w:cs="宋体"/>
          <w:color w:val="auto"/>
          <w:sz w:val="21"/>
          <w:szCs w:val="21"/>
          <w:highlight w:val="none"/>
          <w:u w:val="none"/>
        </w:rPr>
      </w:pPr>
      <w:r>
        <w:rPr>
          <w:rFonts w:hint="eastAsia" w:ascii="宋体" w:hAnsi="宋体" w:cs="宋体"/>
          <w:b/>
          <w:color w:val="auto"/>
          <w:sz w:val="21"/>
          <w:szCs w:val="21"/>
          <w:highlight w:val="none"/>
          <w:u w:val="none"/>
          <w:lang w:val="en-US" w:eastAsia="zh-CN"/>
        </w:rPr>
        <w:t>现</w:t>
      </w:r>
      <w:r>
        <w:rPr>
          <w:rFonts w:hint="eastAsia" w:ascii="宋体" w:hAnsi="宋体" w:eastAsia="宋体" w:cs="宋体"/>
          <w:b/>
          <w:color w:val="auto"/>
          <w:sz w:val="21"/>
          <w:szCs w:val="21"/>
          <w:highlight w:val="none"/>
          <w:u w:val="none"/>
        </w:rPr>
        <w:t>文：</w:t>
      </w: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rPr>
        <w:t>在特殊情况下，招标人在原定投标有效期内，可以根据需要以书面形式向投标人提出延长投标有效期的要求，对此要求投标人须以书面形式予以答复。</w:t>
      </w:r>
      <w:r>
        <w:rPr>
          <w:rFonts w:hint="eastAsia" w:ascii="宋体" w:hAnsi="宋体" w:cs="宋体"/>
          <w:color w:val="auto"/>
          <w:szCs w:val="21"/>
          <w:highlight w:val="none"/>
          <w:u w:val="single"/>
        </w:rPr>
        <w:t>投标人可以拒绝招标人这种要求。同意延长投标有效期的投标人既不能要求也不允许修改其投标文件</w:t>
      </w:r>
      <w:r>
        <w:rPr>
          <w:rFonts w:hint="eastAsia" w:ascii="宋体" w:hAnsi="宋体" w:cs="宋体"/>
          <w:color w:val="auto"/>
          <w:szCs w:val="21"/>
          <w:highlight w:val="none"/>
          <w:u w:val="single"/>
          <w:lang w:eastAsia="zh-CN"/>
        </w:rPr>
        <w:t>。</w:t>
      </w:r>
    </w:p>
    <w:p>
      <w:pPr>
        <w:spacing w:line="560" w:lineRule="exact"/>
        <w:ind w:firstLine="527" w:firstLineChars="2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条款号：16</w:t>
      </w:r>
      <w:r>
        <w:rPr>
          <w:rFonts w:hint="eastAsia" w:ascii="宋体" w:hAnsi="宋体" w:eastAsia="宋体" w:cs="宋体"/>
          <w:b/>
          <w:color w:val="auto"/>
          <w:sz w:val="21"/>
          <w:szCs w:val="21"/>
          <w:highlight w:val="none"/>
          <w:lang w:val="en-US" w:eastAsia="zh-CN"/>
        </w:rPr>
        <w:t>.投标保证金</w:t>
      </w:r>
      <w:r>
        <w:rPr>
          <w:rFonts w:hint="eastAsia" w:ascii="宋体" w:hAnsi="宋体" w:eastAsia="宋体" w:cs="宋体"/>
          <w:b/>
          <w:color w:val="auto"/>
          <w:sz w:val="21"/>
          <w:szCs w:val="21"/>
          <w:highlight w:val="none"/>
        </w:rPr>
        <w:t>            修改类型：修改</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pPr>
        <w:pBdr>
          <w:bottom w:val="single" w:color="auto" w:sz="6" w:space="1"/>
        </w:pBdr>
        <w:spacing w:line="360" w:lineRule="auto"/>
        <w:ind w:firstLine="420" w:firstLineChars="200"/>
        <w:rPr>
          <w:rFonts w:hint="eastAsia" w:hAnsi="宋体" w:cs="宋体"/>
          <w:b/>
          <w:color w:val="auto"/>
          <w:szCs w:val="21"/>
          <w:highlight w:val="none"/>
        </w:rPr>
      </w:pPr>
      <w:r>
        <w:rPr>
          <w:rFonts w:hint="eastAsia" w:ascii="宋体" w:hAnsi="宋体" w:cs="宋体"/>
          <w:color w:val="auto"/>
          <w:szCs w:val="21"/>
          <w:highlight w:val="none"/>
        </w:rPr>
        <w:t>注：16.5.3款由招标人二选一，需在招标文件中明确。</w:t>
      </w:r>
    </w:p>
    <w:p>
      <w:pPr>
        <w:pBdr>
          <w:bottom w:val="single" w:color="auto" w:sz="6" w:space="1"/>
        </w:pBdr>
        <w:spacing w:line="360" w:lineRule="auto"/>
        <w:ind w:firstLine="422" w:firstLineChars="200"/>
        <w:rPr>
          <w:rFonts w:hint="eastAsia" w:hAnsi="宋体" w:cs="宋体"/>
          <w:b/>
          <w:color w:val="auto"/>
          <w:szCs w:val="21"/>
          <w:highlight w:val="none"/>
        </w:rPr>
      </w:pPr>
      <w:r>
        <w:rPr>
          <w:rFonts w:hint="eastAsia" w:hAnsi="宋体" w:cs="宋体"/>
          <w:b/>
          <w:color w:val="auto"/>
          <w:szCs w:val="21"/>
          <w:highlight w:val="none"/>
        </w:rPr>
        <w:t>现文：</w:t>
      </w:r>
      <w:r>
        <w:rPr>
          <w:rFonts w:hint="eastAsia" w:ascii="宋体" w:hAnsi="宋体" w:cs="宋体"/>
          <w:color w:val="auto"/>
          <w:szCs w:val="21"/>
          <w:highlight w:val="none"/>
        </w:rPr>
        <w:t>16.1</w:t>
      </w:r>
      <w:r>
        <w:rPr>
          <w:rFonts w:hint="eastAsia" w:ascii="宋体" w:hAnsi="宋体" w:cs="宋体"/>
          <w:color w:val="auto"/>
          <w:szCs w:val="21"/>
          <w:highlight w:val="none"/>
          <w:u w:val="single"/>
        </w:rPr>
        <w:t>本项目不收投标保证金。</w:t>
      </w:r>
    </w:p>
    <w:p>
      <w:pPr>
        <w:pBdr>
          <w:bottom w:val="single" w:color="auto" w:sz="6" w:space="1"/>
        </w:pBdr>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strike/>
          <w:color w:val="auto"/>
          <w:szCs w:val="21"/>
          <w:highlight w:val="none"/>
        </w:rPr>
        <w:t>16.3投标保证金应依据法律法规的相关规定退还。</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16.4如有下列情况之一的，</w:t>
      </w:r>
      <w:r>
        <w:rPr>
          <w:rFonts w:hint="eastAsia" w:ascii="宋体" w:hAnsi="宋体" w:cs="宋体"/>
          <w:color w:val="auto"/>
          <w:szCs w:val="21"/>
          <w:highlight w:val="none"/>
          <w:u w:val="single"/>
        </w:rPr>
        <w:t>招标人按第16.5款规定执行</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16.4.2投标人在投标有效期内撤销投标文件</w:t>
      </w:r>
      <w:r>
        <w:rPr>
          <w:rFonts w:hint="eastAsia" w:ascii="宋体" w:hAnsi="宋体" w:cs="宋体"/>
          <w:color w:val="auto"/>
          <w:szCs w:val="21"/>
          <w:highlight w:val="none"/>
          <w:u w:val="single"/>
        </w:rPr>
        <w:t>或放弃中标资格的</w:t>
      </w:r>
      <w:r>
        <w:rPr>
          <w:rFonts w:hint="eastAsia" w:ascii="宋体" w:hAnsi="宋体" w:cs="宋体"/>
          <w:color w:val="auto"/>
          <w:szCs w:val="21"/>
          <w:highlight w:val="none"/>
        </w:rPr>
        <w:t>；</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r>
        <w:rPr>
          <w:rFonts w:hint="eastAsia" w:ascii="宋体" w:hAnsi="宋体" w:cs="宋体"/>
          <w:color w:val="auto"/>
          <w:szCs w:val="21"/>
          <w:highlight w:val="none"/>
          <w:u w:val="single"/>
        </w:rPr>
        <w:t>；</w:t>
      </w:r>
    </w:p>
    <w:p>
      <w:pPr>
        <w:pBdr>
          <w:bottom w:val="single" w:color="auto" w:sz="6" w:space="1"/>
        </w:pBdr>
        <w:spacing w:line="360" w:lineRule="auto"/>
        <w:ind w:firstLine="420" w:firstLineChars="200"/>
        <w:rPr>
          <w:rFonts w:hint="eastAsia" w:hAnsi="宋体" w:cs="宋体"/>
          <w:b/>
          <w:color w:val="auto"/>
          <w:szCs w:val="21"/>
          <w:highlight w:val="none"/>
          <w:u w:val="single"/>
        </w:rPr>
      </w:pPr>
      <w:r>
        <w:rPr>
          <w:rFonts w:hint="eastAsia" w:ascii="宋体" w:hAnsi="宋体" w:cs="宋体"/>
          <w:color w:val="auto"/>
          <w:szCs w:val="21"/>
          <w:highlight w:val="none"/>
          <w:u w:val="single"/>
        </w:rPr>
        <w:t>16.4.5投标人弄虚作假骗取中标的。</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16.5投标人如存在下列情况之一的，</w:t>
      </w:r>
      <w:r>
        <w:rPr>
          <w:rFonts w:hint="eastAsia" w:ascii="宋体" w:hAnsi="宋体" w:cs="宋体"/>
          <w:color w:val="auto"/>
          <w:szCs w:val="21"/>
          <w:highlight w:val="none"/>
          <w:u w:val="single"/>
        </w:rPr>
        <w:t>将被拒绝在3个月内参与招标人后续工程投标</w:t>
      </w:r>
      <w:r>
        <w:rPr>
          <w:rFonts w:hint="eastAsia" w:ascii="宋体" w:hAnsi="宋体" w:cs="宋体"/>
          <w:color w:val="auto"/>
          <w:szCs w:val="21"/>
          <w:highlight w:val="none"/>
        </w:rPr>
        <w:t>：</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pPr>
        <w:pBdr>
          <w:bottom w:val="single" w:color="auto" w:sz="6" w:space="1"/>
        </w:pBdr>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16.5.2采用非电子形式提交投标保证金的投标人存在16.4条款所列情形，且未按招标人要求补交银行保函、专业工程担保公司担保或保证保险原件的；</w:t>
      </w:r>
    </w:p>
    <w:p>
      <w:pPr>
        <w:pBdr>
          <w:bottom w:val="single" w:color="auto" w:sz="6" w:space="1"/>
        </w:pBdr>
        <w:spacing w:line="56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Cs w:val="21"/>
          <w:highlight w:val="none"/>
        </w:rPr>
        <w:t>16.5.3</w:t>
      </w:r>
      <w:r>
        <w:rPr>
          <w:rFonts w:hint="eastAsia" w:ascii="宋体" w:hAnsi="宋体" w:cs="宋体"/>
          <w:color w:val="auto"/>
          <w:szCs w:val="21"/>
          <w:highlight w:val="none"/>
          <w:u w:val="single"/>
        </w:rPr>
        <w:t>按招标文件要求免于提供投标保证金的投标人存在16.4条款所列情形</w:t>
      </w:r>
      <w:r>
        <w:rPr>
          <w:rFonts w:hint="eastAsia" w:ascii="宋体" w:hAnsi="宋体" w:eastAsia="宋体" w:cs="宋体"/>
          <w:color w:val="auto"/>
          <w:sz w:val="21"/>
          <w:szCs w:val="21"/>
          <w:highlight w:val="none"/>
          <w:u w:val="single"/>
        </w:rPr>
        <w:t>。</w:t>
      </w:r>
    </w:p>
    <w:p>
      <w:pPr>
        <w:pStyle w:val="18"/>
        <w:spacing w:after="0" w:line="5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17．</w:t>
      </w:r>
      <w:r>
        <w:rPr>
          <w:rFonts w:hint="eastAsia" w:ascii="宋体" w:hAnsi="宋体" w:eastAsia="宋体" w:cs="宋体"/>
          <w:b/>
          <w:color w:val="auto"/>
          <w:sz w:val="21"/>
          <w:szCs w:val="21"/>
          <w:highlight w:val="none"/>
        </w:rPr>
        <w:t>投标文件的签署    修改类型：修改</w:t>
      </w:r>
    </w:p>
    <w:p>
      <w:pPr>
        <w:spacing w:line="5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17．</w:t>
      </w:r>
      <w:r>
        <w:rPr>
          <w:rFonts w:hint="eastAsia" w:ascii="宋体" w:hAnsi="宋体" w:eastAsia="宋体" w:cs="宋体"/>
          <w:b/>
          <w:color w:val="auto"/>
          <w:sz w:val="21"/>
          <w:szCs w:val="21"/>
          <w:highlight w:val="none"/>
        </w:rPr>
        <w:t xml:space="preserve">投标文件的签署   </w:t>
      </w:r>
    </w:p>
    <w:p>
      <w:pPr>
        <w:spacing w:line="56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17.1</w:t>
      </w:r>
      <w:r>
        <w:rPr>
          <w:rFonts w:hint="eastAsia" w:ascii="宋体" w:hAnsi="宋体" w:eastAsia="宋体" w:cs="宋体"/>
          <w:bCs/>
          <w:color w:val="auto"/>
          <w:kern w:val="0"/>
          <w:sz w:val="21"/>
          <w:szCs w:val="21"/>
          <w:highlight w:val="none"/>
        </w:rPr>
        <w:t>投标人应采用单位数字证书，按招标文件要求在相应位置加盖电子印章。投标文件中需个人签字或盖章的，</w:t>
      </w:r>
      <w:r>
        <w:rPr>
          <w:rFonts w:hint="eastAsia" w:ascii="宋体" w:hAnsi="宋体" w:eastAsia="宋体" w:cs="宋体"/>
          <w:b/>
          <w:color w:val="auto"/>
          <w:kern w:val="0"/>
          <w:sz w:val="21"/>
          <w:szCs w:val="21"/>
          <w:highlight w:val="none"/>
        </w:rPr>
        <w:t>应加盖个人电子印章或在线下完成后扫描上传。</w:t>
      </w:r>
      <w:r>
        <w:rPr>
          <w:rFonts w:hint="eastAsia" w:ascii="宋体" w:hAnsi="宋体" w:eastAsia="宋体" w:cs="宋体"/>
          <w:bCs/>
          <w:color w:val="auto"/>
          <w:kern w:val="0"/>
          <w:sz w:val="21"/>
          <w:szCs w:val="21"/>
          <w:highlight w:val="none"/>
        </w:rPr>
        <w:t>按照交易平台关于全流程电子化项目的相关指南进行操作。详见：             。</w:t>
      </w:r>
    </w:p>
    <w:p>
      <w:pPr>
        <w:pBdr>
          <w:bottom w:val="single" w:color="auto" w:sz="6" w:space="1"/>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现文：17．投标文件的签署</w:t>
      </w:r>
      <w:r>
        <w:rPr>
          <w:rFonts w:hint="eastAsia" w:ascii="宋体" w:hAnsi="宋体" w:cs="宋体"/>
          <w:b/>
          <w:color w:val="auto"/>
          <w:szCs w:val="21"/>
          <w:highlight w:val="none"/>
          <w:u w:val="single"/>
        </w:rPr>
        <w:t>及份数</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17.1投标人应采用单位数字证书，按招标文件要求在相应位置加盖电子印章。投标文件中需个人签字或盖章的，应加盖个人电子印章或在线下完成后扫描上传。按照</w:t>
      </w:r>
      <w:r>
        <w:rPr>
          <w:rFonts w:hint="eastAsia" w:ascii="宋体" w:hAnsi="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pPr>
        <w:pBdr>
          <w:bottom w:val="single" w:color="auto" w:sz="6" w:space="1"/>
        </w:pBdr>
        <w:spacing w:line="560" w:lineRule="exact"/>
        <w:ind w:firstLine="420" w:firstLineChars="200"/>
        <w:rPr>
          <w:rFonts w:hint="eastAsia" w:ascii="宋体" w:hAnsi="宋体" w:eastAsia="宋体" w:cs="宋体"/>
          <w:b/>
          <w:color w:val="auto"/>
          <w:sz w:val="21"/>
          <w:szCs w:val="21"/>
          <w:highlight w:val="none"/>
        </w:rPr>
      </w:pPr>
      <w:r>
        <w:rPr>
          <w:rFonts w:hint="eastAsia" w:ascii="宋体" w:hAnsi="宋体" w:cs="宋体"/>
          <w:color w:val="auto"/>
          <w:szCs w:val="21"/>
          <w:highlight w:val="none"/>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r>
        <w:rPr>
          <w:rFonts w:hint="eastAsia" w:ascii="宋体" w:hAnsi="宋体" w:eastAsia="宋体" w:cs="宋体"/>
          <w:color w:val="auto"/>
          <w:szCs w:val="21"/>
          <w:highlight w:val="none"/>
          <w:u w:val="single"/>
        </w:rPr>
        <w:t>。</w:t>
      </w:r>
    </w:p>
    <w:p>
      <w:pPr>
        <w:spacing w:line="5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18.</w:t>
      </w:r>
      <w:r>
        <w:rPr>
          <w:rFonts w:hint="eastAsia" w:ascii="宋体" w:hAnsi="宋体" w:eastAsia="宋体" w:cs="宋体"/>
          <w:b/>
          <w:color w:val="auto"/>
          <w:sz w:val="21"/>
          <w:szCs w:val="21"/>
          <w:highlight w:val="none"/>
        </w:rPr>
        <w:t xml:space="preserve">               修改类型：修改</w:t>
      </w:r>
    </w:p>
    <w:p>
      <w:pPr>
        <w:spacing w:line="56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sz w:val="21"/>
          <w:szCs w:val="21"/>
          <w:highlight w:val="none"/>
        </w:rPr>
        <w:t>18．</w:t>
      </w:r>
      <w:r>
        <w:rPr>
          <w:rFonts w:hint="eastAsia" w:ascii="宋体" w:hAnsi="宋体" w:eastAsia="宋体" w:cs="宋体"/>
          <w:color w:val="auto"/>
          <w:sz w:val="21"/>
          <w:szCs w:val="21"/>
          <w:highlight w:val="none"/>
        </w:rPr>
        <w:t>投标文件的密封和标记</w:t>
      </w:r>
    </w:p>
    <w:p>
      <w:pP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18.1递交的电子投标文件（不含备用光盘）必须进行加密。按照交易平台关于</w:t>
      </w:r>
      <w:r>
        <w:rPr>
          <w:rFonts w:hint="eastAsia" w:ascii="宋体" w:hAnsi="宋体" w:eastAsia="宋体" w:cs="宋体"/>
          <w:color w:val="auto"/>
          <w:sz w:val="21"/>
          <w:szCs w:val="21"/>
          <w:highlight w:val="none"/>
        </w:rPr>
        <w:t>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5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18.2 未按要求加密的投标文件，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w:t>
      </w:r>
      <w:r>
        <w:rPr>
          <w:rFonts w:hint="eastAsia" w:ascii="宋体" w:hAnsi="宋体" w:eastAsia="宋体" w:cs="宋体"/>
          <w:bCs/>
          <w:color w:val="auto"/>
          <w:sz w:val="21"/>
          <w:szCs w:val="21"/>
          <w:highlight w:val="none"/>
        </w:rPr>
        <w:t>将予以拒收。</w:t>
      </w:r>
    </w:p>
    <w:p>
      <w:pPr>
        <w:pBdr>
          <w:bottom w:val="single" w:color="auto" w:sz="6" w:space="1"/>
        </w:pBdr>
        <w:spacing w:line="5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rPr>
        <w:t>18.1</w:t>
      </w:r>
      <w:r>
        <w:rPr>
          <w:rFonts w:hint="eastAsia" w:ascii="宋体" w:hAnsi="宋体" w:cs="宋体"/>
          <w:bCs/>
          <w:color w:val="auto"/>
          <w:szCs w:val="21"/>
          <w:highlight w:val="none"/>
        </w:rPr>
        <w:t>递交的电子投标文件（不含备用光盘）必须进行加密。按照</w:t>
      </w:r>
      <w:r>
        <w:rPr>
          <w:rFonts w:hint="eastAsia" w:ascii="宋体" w:hAnsi="宋体"/>
          <w:color w:val="auto"/>
          <w:szCs w:val="21"/>
          <w:highlight w:val="none"/>
          <w:u w:val="single"/>
        </w:rPr>
        <w:t>广州交易集团有限公司（广州公共资源交易中心）</w:t>
      </w:r>
      <w:r>
        <w:rPr>
          <w:rFonts w:hint="eastAsia" w:ascii="宋体" w:hAnsi="宋体" w:cs="宋体"/>
          <w:bCs/>
          <w:color w:val="auto"/>
          <w:szCs w:val="21"/>
          <w:highlight w:val="none"/>
        </w:rPr>
        <w:t>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eastAsia="宋体" w:cs="宋体"/>
          <w:bCs/>
          <w:color w:val="auto"/>
          <w:sz w:val="21"/>
          <w:szCs w:val="21"/>
          <w:highlight w:val="none"/>
        </w:rPr>
        <w:t>。</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条款号：19                          修改类型：修改</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原文：19.投标文件的递交和接收</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现文：19.</w:t>
      </w:r>
      <w:r>
        <w:rPr>
          <w:rFonts w:hint="eastAsia" w:ascii="宋体" w:hAnsi="宋体" w:cs="宋体"/>
          <w:b/>
          <w:color w:val="auto"/>
          <w:szCs w:val="21"/>
          <w:highlight w:val="none"/>
          <w:u w:val="single"/>
        </w:rPr>
        <w:t>投标登记和</w:t>
      </w:r>
      <w:r>
        <w:rPr>
          <w:rFonts w:hint="eastAsia" w:ascii="宋体" w:hAnsi="宋体" w:cs="宋体"/>
          <w:b/>
          <w:color w:val="auto"/>
          <w:szCs w:val="21"/>
          <w:highlight w:val="none"/>
        </w:rPr>
        <w:t>投标文件的递交和接收</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条款号：19.1                        修改类型：修改</w:t>
      </w:r>
    </w:p>
    <w:p>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交易平台递交电子投标文件。</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交易平台递交电子投标文件。</w:t>
      </w:r>
    </w:p>
    <w:p>
      <w:pPr>
        <w:adjustRightInd w:val="0"/>
        <w:spacing w:line="360" w:lineRule="auto"/>
        <w:ind w:firstLine="472" w:firstLineChars="224"/>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条款号：19.2                       修改类型：修改</w:t>
      </w:r>
    </w:p>
    <w:p>
      <w:pPr>
        <w:adjustRightInd w:val="0"/>
        <w:spacing w:line="360" w:lineRule="auto"/>
        <w:ind w:firstLine="472" w:firstLineChars="224"/>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19.2</w:t>
      </w:r>
      <w:r>
        <w:rPr>
          <w:rFonts w:hint="eastAsia" w:ascii="宋体" w:hAnsi="宋体" w:cs="宋体"/>
          <w:bCs/>
          <w:color w:val="auto"/>
          <w:szCs w:val="21"/>
          <w:highlight w:val="none"/>
        </w:rPr>
        <w:t>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交易平台即时向投标人发出递交回执通知。递交时间以递交回执通知载明的传输完成时间为准。</w:t>
      </w:r>
    </w:p>
    <w:p>
      <w:pPr>
        <w:pBdr>
          <w:bottom w:val="single" w:color="auto" w:sz="6" w:space="1"/>
        </w:pBdr>
        <w:adjustRightInd w:val="0"/>
        <w:spacing w:line="360" w:lineRule="auto"/>
        <w:ind w:firstLine="527" w:firstLineChars="25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19.2</w:t>
      </w:r>
      <w:r>
        <w:rPr>
          <w:rFonts w:hint="eastAsia" w:ascii="宋体" w:hAnsi="宋体" w:cs="宋体"/>
          <w:bCs/>
          <w:color w:val="auto"/>
          <w:szCs w:val="21"/>
          <w:highlight w:val="none"/>
        </w:rPr>
        <w:t>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pPr>
        <w:adjustRightInd w:val="0"/>
        <w:spacing w:line="360" w:lineRule="auto"/>
        <w:ind w:firstLine="472" w:firstLineChars="224"/>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条款号：19.3                       修改类型：修改</w:t>
      </w:r>
    </w:p>
    <w:p>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19.3</w:t>
      </w:r>
      <w:r>
        <w:rPr>
          <w:rFonts w:hint="eastAsia" w:ascii="宋体" w:hAnsi="宋体" w:cs="宋体"/>
          <w:bCs/>
          <w:color w:val="auto"/>
          <w:szCs w:val="21"/>
          <w:highlight w:val="none"/>
        </w:rPr>
        <w:t>逾期送达的电子投标文件，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pPr>
        <w:pBdr>
          <w:bottom w:val="single" w:color="auto" w:sz="6" w:space="1"/>
        </w:pBdr>
        <w:adjustRightInd w:val="0"/>
        <w:spacing w:line="360" w:lineRule="auto"/>
        <w:ind w:firstLine="422" w:firstLineChars="20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19.3</w:t>
      </w:r>
      <w:r>
        <w:rPr>
          <w:rFonts w:hint="eastAsia" w:ascii="宋体" w:hAnsi="宋体" w:cs="宋体"/>
          <w:bCs/>
          <w:color w:val="auto"/>
          <w:szCs w:val="21"/>
          <w:highlight w:val="none"/>
        </w:rPr>
        <w:t>逾期送达的电子投标文件，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pPr>
        <w:spacing w:line="360" w:lineRule="auto"/>
        <w:ind w:firstLine="472" w:firstLineChars="224"/>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条款号：19.5                       修改类型：修改</w:t>
      </w:r>
    </w:p>
    <w:p>
      <w:pPr>
        <w:spacing w:line="360" w:lineRule="auto"/>
        <w:ind w:firstLine="472" w:firstLineChars="224"/>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19.5如技术标和经济标先后分别开启，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交易平台将按招标文件规定的时间分别开启技术标和经济标。</w:t>
      </w:r>
    </w:p>
    <w:p>
      <w:pPr>
        <w:pBdr>
          <w:bottom w:val="single" w:color="auto" w:sz="6" w:space="1"/>
        </w:pBdr>
        <w:spacing w:line="360" w:lineRule="auto"/>
        <w:ind w:firstLine="527" w:firstLineChars="25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19.5</w:t>
      </w:r>
      <w:r>
        <w:rPr>
          <w:rFonts w:hint="eastAsia" w:ascii="宋体" w:hAnsi="宋体" w:cs="宋体"/>
          <w:color w:val="auto"/>
          <w:szCs w:val="21"/>
          <w:highlight w:val="none"/>
          <w:u w:val="single"/>
        </w:rPr>
        <w:t>广州交易集团有限公司（广州公共资源交易中心）交易平台将按招标文件规定的时间同时开启技术标和经济标。</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条款号：20.3                       修改类型：修改</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20.3到投标截止时间止，招标人收到的投标文件少于3家的，招标人将重新组织招标（当N个标段同时招标且不允许兼中时，若有效投标人不足N+2家，则重新组织招标）。</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20.3</w:t>
      </w:r>
      <w:r>
        <w:rPr>
          <w:rFonts w:hint="eastAsia" w:ascii="宋体" w:hAnsi="宋体" w:cs="宋体"/>
          <w:color w:val="auto"/>
          <w:szCs w:val="21"/>
          <w:highlight w:val="none"/>
          <w:u w:val="single"/>
        </w:rPr>
        <w:t>到投标截止时间止，招标人收到的投标文件少于3家的，招标人将重新组织招标。</w:t>
      </w:r>
    </w:p>
    <w:p>
      <w:pPr>
        <w:adjustRightInd w:val="0"/>
        <w:spacing w:line="360" w:lineRule="auto"/>
        <w:ind w:firstLine="472" w:firstLineChars="224"/>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条款号：21.1                       修改类型：修改</w:t>
      </w:r>
    </w:p>
    <w:p>
      <w:pPr>
        <w:adjustRightInd w:val="0"/>
        <w:spacing w:line="360" w:lineRule="auto"/>
        <w:ind w:firstLine="472" w:firstLineChars="224"/>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pPr>
        <w:pBdr>
          <w:bottom w:val="single" w:color="auto" w:sz="6" w:space="1"/>
        </w:pBdr>
        <w:adjustRightInd w:val="0"/>
        <w:spacing w:line="360" w:lineRule="auto"/>
        <w:ind w:firstLine="527" w:firstLineChars="25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条款号：27.1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27.1</w:t>
      </w:r>
      <w:r>
        <w:rPr>
          <w:rFonts w:hint="eastAsia" w:ascii="宋体" w:hAnsi="宋体"/>
          <w:color w:val="auto"/>
          <w:szCs w:val="21"/>
          <w:highlight w:val="none"/>
        </w:rPr>
        <w:t>招标人将在</w:t>
      </w:r>
      <w:r>
        <w:rPr>
          <w:rFonts w:ascii="宋体" w:hAnsi="宋体"/>
          <w:color w:val="auto"/>
          <w:szCs w:val="21"/>
          <w:highlight w:val="none"/>
          <w:u w:val="single"/>
        </w:rPr>
        <w:t xml:space="preserve">        </w:t>
      </w:r>
      <w:r>
        <w:rPr>
          <w:rFonts w:hint="eastAsia" w:ascii="宋体" w:hAnsi="宋体"/>
          <w:color w:val="auto"/>
          <w:szCs w:val="21"/>
          <w:highlight w:val="none"/>
        </w:rPr>
        <w:t>交易平台、广东省招标投标监管网和中国招标投标公共服务平台公示中标候选人，公示期为三天</w:t>
      </w:r>
      <w:r>
        <w:rPr>
          <w:rFonts w:hint="eastAsia" w:ascii="宋体" w:hAnsi="宋体" w:cs="宋体"/>
          <w:color w:val="auto"/>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27.1</w:t>
      </w:r>
      <w:r>
        <w:rPr>
          <w:rFonts w:hint="eastAsia" w:ascii="宋体" w:hAnsi="宋体"/>
          <w:color w:val="auto"/>
          <w:szCs w:val="21"/>
          <w:highlight w:val="none"/>
        </w:rPr>
        <w:t>招标人将在</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交易平台、广东省招标投标监管网和中国招标投标公共服务平台公示中标候选人，公示期为三天</w:t>
      </w:r>
      <w:r>
        <w:rPr>
          <w:rFonts w:hint="eastAsia" w:ascii="宋体" w:hAnsi="宋体" w:cs="宋体"/>
          <w:color w:val="auto"/>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条款号：27.4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27.4</w:t>
      </w:r>
      <w:r>
        <w:rPr>
          <w:rFonts w:hint="eastAsia" w:ascii="宋体" w:hAnsi="宋体"/>
          <w:color w:val="auto"/>
          <w:szCs w:val="21"/>
          <w:highlight w:val="none"/>
        </w:rPr>
        <w:t>在产生中标候选人后，招标人将中标候选人的投标文件商务部分文件的所有内容（包括人员、业绩、奖项等资料）在</w:t>
      </w:r>
      <w:r>
        <w:rPr>
          <w:rFonts w:ascii="宋体" w:hAnsi="宋体"/>
          <w:color w:val="auto"/>
          <w:szCs w:val="21"/>
          <w:highlight w:val="none"/>
          <w:u w:val="single"/>
        </w:rPr>
        <w:t xml:space="preserve">        </w:t>
      </w:r>
      <w:r>
        <w:rPr>
          <w:rFonts w:hint="eastAsia" w:ascii="宋体" w:hAnsi="宋体"/>
          <w:color w:val="auto"/>
          <w:szCs w:val="21"/>
          <w:highlight w:val="none"/>
        </w:rPr>
        <w:t>交易平台和广东省招标投标监管网公开</w:t>
      </w:r>
      <w:r>
        <w:rPr>
          <w:rFonts w:hint="eastAsia" w:ascii="宋体" w:hAnsi="宋体" w:cs="宋体"/>
          <w:color w:val="auto"/>
          <w:szCs w:val="21"/>
          <w:highlight w:val="none"/>
        </w:rPr>
        <w:t>。</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27.4</w:t>
      </w:r>
      <w:r>
        <w:rPr>
          <w:rFonts w:hint="eastAsia" w:ascii="宋体" w:hAnsi="宋体"/>
          <w:color w:val="auto"/>
          <w:szCs w:val="21"/>
          <w:highlight w:val="none"/>
        </w:rPr>
        <w:t>在产生中标候选人后，招标人将中标候选人的投标文件商务部分文件的所有内容（包括人员、业绩、奖项等资料）在</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交易平台和广东省招标投标监管网公开</w:t>
      </w:r>
      <w:r>
        <w:rPr>
          <w:rFonts w:hint="eastAsia" w:ascii="宋体" w:hAnsi="宋体" w:cs="宋体"/>
          <w:color w:val="auto"/>
          <w:szCs w:val="21"/>
          <w:highlight w:val="none"/>
        </w:rPr>
        <w:t>。</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条款号：28.</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 xml:space="preserve">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中标通知书发出之日起30日后，中标人未按上款的规定与招标人订立合同，招标人将解除中标通知书，</w:t>
      </w:r>
      <w:r>
        <w:rPr>
          <w:rFonts w:hint="eastAsia" w:ascii="宋体" w:hAnsi="宋体" w:cs="宋体"/>
          <w:color w:val="auto"/>
          <w:szCs w:val="21"/>
          <w:highlight w:val="none"/>
          <w:u w:val="single"/>
        </w:rPr>
        <w:t>原中标人依法承担相应法律责任。原中标人给招标人造成的损失，应当对</w:t>
      </w:r>
      <w:r>
        <w:rPr>
          <w:rFonts w:hint="eastAsia" w:ascii="宋体" w:hAnsi="宋体" w:cs="宋体"/>
          <w:color w:val="auto"/>
          <w:szCs w:val="21"/>
          <w:highlight w:val="none"/>
          <w:u w:val="single"/>
          <w:lang w:val="en-US" w:eastAsia="zh-CN"/>
        </w:rPr>
        <w:t>其</w:t>
      </w:r>
      <w:r>
        <w:rPr>
          <w:rFonts w:hint="eastAsia" w:ascii="宋体" w:hAnsi="宋体" w:cs="宋体"/>
          <w:color w:val="auto"/>
          <w:szCs w:val="21"/>
          <w:highlight w:val="none"/>
          <w:u w:val="single"/>
        </w:rPr>
        <w:t>予以赔偿。</w:t>
      </w:r>
      <w:r>
        <w:rPr>
          <w:rFonts w:hint="eastAsia" w:ascii="宋体" w:hAnsi="宋体" w:cs="宋体"/>
          <w:color w:val="auto"/>
          <w:szCs w:val="21"/>
          <w:highlight w:val="none"/>
        </w:rPr>
        <w:t>原中标人有异议的，可以向人民法院起诉。</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条款号：28.3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w:t>
      </w:r>
      <w:r>
        <w:rPr>
          <w:rFonts w:hint="eastAsia" w:ascii="宋体" w:hAnsi="宋体" w:cs="宋体"/>
          <w:color w:val="auto"/>
          <w:szCs w:val="21"/>
          <w:highlight w:val="none"/>
          <w:u w:val="single"/>
        </w:rPr>
        <w:t>拨付</w:t>
      </w:r>
      <w:r>
        <w:rPr>
          <w:rFonts w:hint="eastAsia" w:ascii="宋体" w:hAnsi="宋体" w:cs="宋体"/>
          <w:color w:val="auto"/>
          <w:szCs w:val="21"/>
          <w:highlight w:val="none"/>
        </w:rPr>
        <w:t>及至解除合同，由此造成的一切责任由中标人承担。</w:t>
      </w:r>
    </w:p>
    <w:p>
      <w:pPr>
        <w:spacing w:line="360" w:lineRule="auto"/>
        <w:ind w:firstLine="413" w:firstLineChars="196"/>
        <w:contextualSpacing/>
        <w:rPr>
          <w:rFonts w:hint="eastAsia" w:ascii="宋体" w:hAnsi="宋体" w:cs="宋体"/>
          <w:b/>
          <w:color w:val="auto"/>
          <w:szCs w:val="21"/>
          <w:highlight w:val="none"/>
        </w:rPr>
      </w:pPr>
      <w:r>
        <w:rPr>
          <w:rFonts w:hint="eastAsia" w:ascii="宋体" w:hAnsi="宋体" w:cs="宋体"/>
          <w:b/>
          <w:color w:val="auto"/>
          <w:szCs w:val="21"/>
          <w:highlight w:val="none"/>
        </w:rPr>
        <w:t>条款号：28.5                        修改类型：增加</w:t>
      </w:r>
    </w:p>
    <w:p>
      <w:pPr>
        <w:pBdr>
          <w:bottom w:val="single" w:color="auto" w:sz="6" w:space="1"/>
        </w:pBd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28.5如本工程委托代建单位（项目建设管理单位），则可由代建单位作为发包人与中标人签订合同。</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条款号：29.1                        修改类型：修改</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29.1在收到中标通知书后的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内，中标人应按本须知前附表第20项的规定向招标人提交履约担保。</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29.1</w:t>
      </w:r>
      <w:r>
        <w:rPr>
          <w:rFonts w:hint="eastAsia" w:ascii="宋体" w:hAnsi="宋体" w:cs="宋体"/>
          <w:color w:val="auto"/>
          <w:szCs w:val="21"/>
          <w:highlight w:val="none"/>
          <w:u w:val="single"/>
        </w:rPr>
        <w:t>合同正式签订之日后的30日内</w:t>
      </w:r>
      <w:r>
        <w:rPr>
          <w:rFonts w:hint="eastAsia" w:ascii="宋体" w:hAnsi="宋体" w:cs="宋体"/>
          <w:color w:val="auto"/>
          <w:szCs w:val="21"/>
          <w:highlight w:val="none"/>
        </w:rPr>
        <w:t>，中标人应按本须知前附表第20项的规定向招标人提交履约担保。</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条款号：29.2                        修改类型：修改</w:t>
      </w:r>
    </w:p>
    <w:p>
      <w:pPr>
        <w:spacing w:line="360" w:lineRule="auto"/>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：29.2</w:t>
      </w:r>
      <w:r>
        <w:rPr>
          <w:rFonts w:hint="eastAsia" w:ascii="宋体" w:hAnsi="宋体" w:cs="宋体"/>
          <w:color w:val="auto"/>
          <w:szCs w:val="21"/>
          <w:highlight w:val="none"/>
          <w:u w:val="single"/>
        </w:rPr>
        <w:t>合同正式签订之日后的30日内</w:t>
      </w:r>
      <w:r>
        <w:rPr>
          <w:rFonts w:hint="eastAsia" w:ascii="宋体" w:hAnsi="宋体" w:cs="宋体"/>
          <w:color w:val="auto"/>
          <w:szCs w:val="21"/>
          <w:highlight w:val="none"/>
        </w:rPr>
        <w:t>，中标人未按上款的规定递交履约担保，招标人将解除中标通知书，</w:t>
      </w:r>
      <w:r>
        <w:rPr>
          <w:rFonts w:hint="eastAsia" w:ascii="宋体" w:hAnsi="宋体" w:cs="宋体"/>
          <w:color w:val="auto"/>
          <w:szCs w:val="21"/>
          <w:highlight w:val="none"/>
          <w:u w:val="single"/>
        </w:rPr>
        <w:t>原中标人依法承担相应法律责任。原中标人给招标人造成的损失，还应当予以赔偿</w:t>
      </w:r>
      <w:r>
        <w:rPr>
          <w:rFonts w:hint="eastAsia" w:ascii="宋体" w:hAnsi="宋体" w:cs="宋体"/>
          <w:color w:val="auto"/>
          <w:szCs w:val="21"/>
          <w:highlight w:val="none"/>
        </w:rPr>
        <w:t>。原中标人有异议的，可以向人民法院起诉。</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条款号：28.</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 xml:space="preserve">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中标通知书发出之日起30日后，中标人未按上款的规定与招标人订立合同，招标人将解除中标通知书，</w:t>
      </w:r>
      <w:r>
        <w:rPr>
          <w:rFonts w:hint="eastAsia" w:ascii="宋体" w:hAnsi="宋体" w:cs="宋体"/>
          <w:color w:val="auto"/>
          <w:szCs w:val="21"/>
          <w:highlight w:val="none"/>
          <w:u w:val="single"/>
        </w:rPr>
        <w:t>原中标人依法承担相应法律责任。原中标人给招标人造成的损失，应当对</w:t>
      </w:r>
      <w:r>
        <w:rPr>
          <w:rFonts w:hint="eastAsia" w:ascii="宋体" w:hAnsi="宋体" w:cs="宋体"/>
          <w:color w:val="auto"/>
          <w:szCs w:val="21"/>
          <w:highlight w:val="none"/>
          <w:u w:val="single"/>
          <w:lang w:val="en-US" w:eastAsia="zh-CN"/>
        </w:rPr>
        <w:t>其</w:t>
      </w:r>
      <w:r>
        <w:rPr>
          <w:rFonts w:hint="eastAsia" w:ascii="宋体" w:hAnsi="宋体" w:cs="宋体"/>
          <w:color w:val="auto"/>
          <w:szCs w:val="21"/>
          <w:highlight w:val="none"/>
          <w:u w:val="single"/>
        </w:rPr>
        <w:t>予以赔偿。</w:t>
      </w:r>
      <w:r>
        <w:rPr>
          <w:rFonts w:hint="eastAsia" w:ascii="宋体" w:hAnsi="宋体" w:cs="宋体"/>
          <w:color w:val="auto"/>
          <w:szCs w:val="21"/>
          <w:highlight w:val="none"/>
        </w:rPr>
        <w:t>原中标人有异议的，可以向人民法院起诉。</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条款号：31                          修改类型：修改</w:t>
      </w:r>
    </w:p>
    <w:p>
      <w:pPr>
        <w:pBdr>
          <w:bottom w:val="single" w:color="auto" w:sz="6" w:space="1"/>
        </w:pBd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原文：31.其它费用</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hint="eastAsia" w:ascii="宋体" w:hAnsi="宋体" w:cs="宋体"/>
          <w:b/>
          <w:color w:val="auto"/>
          <w:szCs w:val="21"/>
          <w:highlight w:val="none"/>
        </w:rPr>
        <w:t>31.</w:t>
      </w:r>
      <w:r>
        <w:rPr>
          <w:rFonts w:hint="eastAsia" w:ascii="宋体" w:hAnsi="宋体" w:cs="宋体"/>
          <w:b/>
          <w:bCs/>
          <w:color w:val="auto"/>
          <w:szCs w:val="21"/>
          <w:highlight w:val="none"/>
        </w:rPr>
        <w:t>其它费用</w:t>
      </w:r>
    </w:p>
    <w:p>
      <w:pPr>
        <w:pBdr>
          <w:bottom w:val="single" w:color="auto" w:sz="6" w:space="1"/>
        </w:pBdr>
        <w:spacing w:line="56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u w:val="single"/>
        </w:rPr>
        <w:t>中标人应交纳交易服务费，该费用包含在投标价中</w:t>
      </w:r>
      <w:r>
        <w:rPr>
          <w:rFonts w:hint="eastAsia" w:ascii="宋体" w:hAnsi="宋体" w:eastAsia="宋体" w:cs="宋体"/>
          <w:color w:val="auto"/>
          <w:szCs w:val="21"/>
          <w:highlight w:val="none"/>
        </w:rPr>
        <w:t>。</w:t>
      </w:r>
    </w:p>
    <w:p>
      <w:pPr>
        <w:spacing w:line="560" w:lineRule="exact"/>
        <w:ind w:firstLine="211" w:firstLineChars="100"/>
        <w:rPr>
          <w:rFonts w:hint="eastAsia" w:ascii="宋体" w:hAnsi="宋体" w:eastAsia="宋体" w:cs="宋体"/>
          <w:b/>
          <w:strike/>
          <w:color w:val="auto"/>
          <w:szCs w:val="21"/>
          <w:highlight w:val="none"/>
        </w:rPr>
      </w:pPr>
      <w:r>
        <w:rPr>
          <w:rFonts w:hint="eastAsia" w:ascii="宋体" w:hAnsi="宋体" w:eastAsia="宋体" w:cs="宋体"/>
          <w:b/>
          <w:strike/>
          <w:color w:val="auto"/>
          <w:szCs w:val="21"/>
          <w:highlight w:val="none"/>
        </w:rPr>
        <w:t>注：以上修改，仅限于本范本中有可供选择条款的情形。</w:t>
      </w:r>
    </w:p>
    <w:p>
      <w:pPr>
        <w:spacing w:line="5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（以下无正文）</w:t>
      </w:r>
    </w:p>
    <w:p>
      <w:pPr>
        <w:pStyle w:val="4"/>
        <w:spacing w:line="360" w:lineRule="auto"/>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 w:name="_Toc21525492"/>
      <w:bookmarkStart w:id="5" w:name="_Toc31334"/>
      <w:r>
        <w:rPr>
          <w:rFonts w:hint="eastAsia" w:ascii="宋体" w:hAnsi="宋体" w:eastAsia="宋体" w:cs="宋体"/>
          <w:color w:val="auto"/>
          <w:highlight w:val="none"/>
        </w:rPr>
        <w:t>三、投标须知通用条款</w:t>
      </w:r>
      <w:bookmarkEnd w:id="4"/>
      <w:bookmarkEnd w:id="5"/>
    </w:p>
    <w:p>
      <w:pPr>
        <w:pStyle w:val="6"/>
        <w:spacing w:before="156" w:after="156" w:line="360" w:lineRule="auto"/>
        <w:rPr>
          <w:rFonts w:hint="eastAsia" w:ascii="宋体" w:hAnsi="宋体" w:eastAsia="宋体" w:cs="宋体"/>
          <w:color w:val="auto"/>
          <w:sz w:val="21"/>
          <w:szCs w:val="21"/>
          <w:highlight w:val="none"/>
        </w:rPr>
      </w:pPr>
      <w:bookmarkStart w:id="6" w:name="_Toc21525493"/>
      <w:bookmarkStart w:id="7" w:name="_Toc12947"/>
      <w:r>
        <w:rPr>
          <w:rFonts w:hint="eastAsia" w:ascii="宋体" w:hAnsi="宋体" w:eastAsia="宋体" w:cs="宋体"/>
          <w:color w:val="auto"/>
          <w:sz w:val="21"/>
          <w:szCs w:val="21"/>
          <w:highlight w:val="none"/>
        </w:rPr>
        <w:t>（一）总则</w:t>
      </w:r>
      <w:bookmarkEnd w:id="6"/>
      <w:bookmarkEnd w:id="7"/>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1、定义</w:t>
      </w:r>
    </w:p>
    <w:p>
      <w:pPr>
        <w:pStyle w:val="18"/>
        <w:spacing w:after="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本招标文件使用的下列词语具有如下规定的意义：</w:t>
      </w:r>
    </w:p>
    <w:p>
      <w:pPr>
        <w:pStyle w:val="18"/>
        <w:spacing w:after="0" w:line="360" w:lineRule="auto"/>
        <w:ind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（1）“招标人”（即发包人）、“项目建设管理单位”（或称“项目代建单位”）、“招标代理”、“设计单位”、“监理单位”均已在投标须知前附表中列明。</w:t>
      </w:r>
    </w:p>
    <w:p>
      <w:pPr>
        <w:pStyle w:val="18"/>
        <w:spacing w:after="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（2）“投标人”指向招标人提交投标文件的当事人。   </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（3）“承包人”指其投标被招标人接受并与其签订承包合同的当事人。</w:t>
      </w:r>
    </w:p>
    <w:p>
      <w:pPr>
        <w:pStyle w:val="18"/>
        <w:spacing w:after="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（4）“招标文件”指由招标代理发出的本文件（包括全部章节、附件）及招标答疑会会议纪要和</w:t>
      </w:r>
      <w:r>
        <w:rPr>
          <w:rFonts w:hint="eastAsia" w:ascii="宋体" w:hAnsi="宋体" w:eastAsia="宋体" w:cs="宋体"/>
          <w:bCs/>
          <w:color w:val="auto"/>
          <w:sz w:val="21"/>
          <w:szCs w:val="21"/>
          <w:highlight w:val="none"/>
        </w:rPr>
        <w:t>招标文件的澄清与修改</w:t>
      </w:r>
      <w:r>
        <w:rPr>
          <w:rFonts w:hint="eastAsia" w:ascii="宋体" w:hAnsi="宋体" w:eastAsia="宋体" w:cs="宋体"/>
          <w:color w:val="auto"/>
          <w:sz w:val="21"/>
          <w:szCs w:val="21"/>
          <w:highlight w:val="none"/>
        </w:rPr>
        <w:t>文件。</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（5）“投标文件”指投标人根据本项目招标文件向招标人提交的全部文件。</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（6）“书面形式”指打字或印刷的文件和数据电文（包括电报、电传、传真、电子数据交换和电子邮件）。</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2、招标说明</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2.1本招标工程项目按照《中华人民共和国招标投标法》等有关法律、行政法规、规章和规范性文件，通过招标方式选定承包人。</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2.2工程名称、建设地点、建设规模、承包方式、质量标准、招标范围、工期要求等均在投标须知前附表中列明。</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2.3设计说明：详见招标图纸。</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2.4工程施工特点：详见招标图纸。</w:t>
      </w:r>
    </w:p>
    <w:p>
      <w:pPr>
        <w:tabs>
          <w:tab w:val="left" w:pos="105"/>
        </w:tabs>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3．资金来源</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3.1本招标工程项目资金来源见投标须知前附表第9项</w:t>
      </w:r>
    </w:p>
    <w:p>
      <w:pPr>
        <w:tabs>
          <w:tab w:val="left" w:pos="105"/>
        </w:tabs>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4．合格投标人的条件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4.1详见本项目招标公告</w:t>
      </w:r>
    </w:p>
    <w:p>
      <w:pPr>
        <w:tabs>
          <w:tab w:val="left" w:pos="105"/>
        </w:tabs>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5．踏勘现场</w:t>
      </w:r>
    </w:p>
    <w:p>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5.1 投标人应按本投标须知前附表第15项所述时间和要求对工程现场及周围环境进行踏勘，</w:t>
      </w:r>
      <w:r>
        <w:rPr>
          <w:rFonts w:hint="eastAsia" w:ascii="宋体" w:hAnsi="宋体" w:eastAsia="宋体" w:cs="宋体"/>
          <w:color w:val="auto"/>
          <w:sz w:val="21"/>
          <w:szCs w:val="21"/>
          <w:highlight w:val="none"/>
        </w:rPr>
        <w:t>投标人应充分重视和仔细地进行这种考察，</w:t>
      </w:r>
      <w:r>
        <w:rPr>
          <w:rFonts w:hint="eastAsia" w:ascii="宋体" w:hAnsi="宋体" w:eastAsia="宋体" w:cs="宋体"/>
          <w:bCs/>
          <w:color w:val="auto"/>
          <w:sz w:val="21"/>
          <w:szCs w:val="21"/>
          <w:highlight w:val="none"/>
        </w:rPr>
        <w:t>以便投标人获取</w:t>
      </w:r>
      <w:r>
        <w:rPr>
          <w:rFonts w:hint="eastAsia" w:ascii="宋体" w:hAnsi="宋体" w:eastAsia="宋体" w:cs="宋体"/>
          <w:color w:val="auto"/>
          <w:sz w:val="21"/>
          <w:szCs w:val="21"/>
          <w:highlight w:val="none"/>
        </w:rPr>
        <w:t>那些须投标人自己负责的</w:t>
      </w:r>
      <w:r>
        <w:rPr>
          <w:rFonts w:hint="eastAsia" w:ascii="宋体" w:hAnsi="宋体" w:eastAsia="宋体" w:cs="宋体"/>
          <w:bCs/>
          <w:color w:val="auto"/>
          <w:sz w:val="21"/>
          <w:szCs w:val="21"/>
          <w:highlight w:val="none"/>
        </w:rPr>
        <w:t>有关编制投标文件和签署合同所涉及现场所有的资料。</w:t>
      </w:r>
      <w:r>
        <w:rPr>
          <w:rFonts w:hint="eastAsia" w:ascii="宋体" w:hAnsi="宋体" w:eastAsia="宋体" w:cs="宋体"/>
          <w:color w:val="auto"/>
          <w:sz w:val="21"/>
          <w:szCs w:val="21"/>
          <w:highlight w:val="none"/>
        </w:rPr>
        <w:t>一旦中标，这种考察即被认为其结果已在中标文件中得到充分反映。考察现场的费用由投标人自己承担。</w:t>
      </w:r>
    </w:p>
    <w:p>
      <w:pPr>
        <w:tabs>
          <w:tab w:val="left" w:pos="105"/>
        </w:tabs>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5.2 招标人向投标人提供的有关现场的数据和资料，是招标人现有的能被投标人利用的资料，招标人对投标人做出的任何推论、理解和结论均不负责任。</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5.3 经招标人允许，投标人可为踏勘目的进入招标人的项目现场。</w:t>
      </w:r>
      <w:r>
        <w:rPr>
          <w:rFonts w:hint="eastAsia" w:ascii="宋体" w:hAnsi="宋体" w:eastAsia="宋体" w:cs="宋体"/>
          <w:color w:val="auto"/>
          <w:sz w:val="21"/>
          <w:szCs w:val="21"/>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cs="宋体"/>
          <w:bCs/>
          <w:color w:val="auto"/>
          <w:sz w:val="21"/>
          <w:szCs w:val="21"/>
          <w:highlight w:val="none"/>
        </w:rPr>
        <w:t>投标人不得因此使招标人承担有关的责任和蒙受损失。</w:t>
      </w:r>
    </w:p>
    <w:p>
      <w:pPr>
        <w:tabs>
          <w:tab w:val="left" w:pos="105"/>
        </w:tabs>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6．投标费用</w:t>
      </w:r>
    </w:p>
    <w:p>
      <w:pPr>
        <w:tabs>
          <w:tab w:val="left" w:pos="105"/>
        </w:tabs>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6.1</w:t>
      </w:r>
      <w:r>
        <w:rPr>
          <w:rFonts w:hint="eastAsia" w:ascii="宋体" w:hAnsi="宋体" w:eastAsia="宋体" w:cs="宋体"/>
          <w:color w:val="auto"/>
          <w:sz w:val="21"/>
          <w:szCs w:val="21"/>
          <w:highlight w:val="none"/>
        </w:rPr>
        <w:t>不论投标结果如何，投标人应承担</w:t>
      </w:r>
      <w:r>
        <w:rPr>
          <w:rFonts w:hint="eastAsia" w:ascii="宋体" w:hAnsi="宋体" w:eastAsia="宋体" w:cs="宋体"/>
          <w:bCs/>
          <w:color w:val="auto"/>
          <w:sz w:val="21"/>
          <w:szCs w:val="21"/>
          <w:highlight w:val="none"/>
        </w:rPr>
        <w:t>自身</w:t>
      </w:r>
      <w:r>
        <w:rPr>
          <w:rFonts w:hint="eastAsia" w:ascii="宋体" w:hAnsi="宋体" w:eastAsia="宋体" w:cs="宋体"/>
          <w:color w:val="auto"/>
          <w:sz w:val="21"/>
          <w:szCs w:val="21"/>
          <w:highlight w:val="none"/>
        </w:rPr>
        <w:t>因投标文件编制、递交及其他</w:t>
      </w:r>
      <w:r>
        <w:rPr>
          <w:rFonts w:hint="eastAsia" w:ascii="宋体" w:hAnsi="宋体" w:eastAsia="宋体" w:cs="宋体"/>
          <w:bCs/>
          <w:color w:val="auto"/>
          <w:sz w:val="21"/>
          <w:szCs w:val="21"/>
          <w:highlight w:val="none"/>
        </w:rPr>
        <w:t>参加本招标活动</w:t>
      </w:r>
      <w:r>
        <w:rPr>
          <w:rFonts w:hint="eastAsia" w:ascii="宋体" w:hAnsi="宋体" w:eastAsia="宋体" w:cs="宋体"/>
          <w:color w:val="auto"/>
          <w:sz w:val="21"/>
          <w:szCs w:val="21"/>
          <w:highlight w:val="none"/>
        </w:rPr>
        <w:t>所涉及的一切费用，招标人对上述费用不负任何责任。</w:t>
      </w:r>
    </w:p>
    <w:p>
      <w:pPr>
        <w:pStyle w:val="6"/>
        <w:spacing w:before="156" w:after="156" w:line="360" w:lineRule="auto"/>
        <w:rPr>
          <w:rFonts w:hint="eastAsia" w:ascii="宋体" w:hAnsi="宋体" w:eastAsia="宋体" w:cs="宋体"/>
          <w:color w:val="auto"/>
          <w:sz w:val="21"/>
          <w:szCs w:val="21"/>
          <w:highlight w:val="none"/>
        </w:rPr>
      </w:pPr>
      <w:bookmarkStart w:id="8" w:name="_Toc21525494"/>
      <w:bookmarkStart w:id="9" w:name="_Toc32111"/>
      <w:r>
        <w:rPr>
          <w:rFonts w:hint="eastAsia" w:ascii="宋体" w:hAnsi="宋体" w:eastAsia="宋体" w:cs="宋体"/>
          <w:color w:val="auto"/>
          <w:sz w:val="21"/>
          <w:szCs w:val="21"/>
          <w:highlight w:val="none"/>
        </w:rPr>
        <w:t>（二）招标文件</w:t>
      </w:r>
      <w:bookmarkEnd w:id="8"/>
      <w:bookmarkEnd w:id="9"/>
    </w:p>
    <w:p>
      <w:pPr>
        <w:tabs>
          <w:tab w:val="left" w:pos="105"/>
        </w:tabs>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7.招标文件的组成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7.1</w:t>
      </w:r>
      <w:r>
        <w:rPr>
          <w:rFonts w:hint="eastAsia" w:ascii="宋体" w:hAnsi="宋体" w:eastAsia="宋体" w:cs="宋体"/>
          <w:color w:val="auto"/>
          <w:sz w:val="21"/>
          <w:szCs w:val="21"/>
          <w:highlight w:val="none"/>
        </w:rPr>
        <w:t>本招标文件包括下列文件，以及所有按本须知第8条发出的招标答疑会会议纪要和按本须知第9条发出的澄清或修改：</w:t>
      </w:r>
    </w:p>
    <w:p>
      <w:pPr>
        <w:pStyle w:val="18"/>
        <w:spacing w:after="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第一章  </w:t>
      </w:r>
      <w:r>
        <w:rPr>
          <w:rFonts w:hint="eastAsia" w:ascii="宋体" w:hAnsi="宋体" w:eastAsia="宋体" w:cs="宋体"/>
          <w:color w:val="auto"/>
          <w:sz w:val="21"/>
          <w:szCs w:val="21"/>
          <w:highlight w:val="none"/>
        </w:rPr>
        <w:t>投标须知</w:t>
      </w:r>
    </w:p>
    <w:p>
      <w:pPr>
        <w:pStyle w:val="18"/>
        <w:spacing w:after="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第二章  </w:t>
      </w:r>
      <w:r>
        <w:rPr>
          <w:rFonts w:hint="eastAsia" w:ascii="宋体" w:hAnsi="宋体" w:eastAsia="宋体" w:cs="宋体"/>
          <w:color w:val="auto"/>
          <w:sz w:val="21"/>
          <w:szCs w:val="21"/>
          <w:highlight w:val="none"/>
        </w:rPr>
        <w:t>开标、评标及定标办法</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合同条款</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第四章  </w:t>
      </w:r>
      <w:r>
        <w:rPr>
          <w:rFonts w:hint="eastAsia" w:ascii="宋体" w:hAnsi="宋体" w:eastAsia="宋体" w:cs="宋体"/>
          <w:color w:val="auto"/>
          <w:sz w:val="21"/>
          <w:szCs w:val="21"/>
          <w:highlight w:val="none"/>
        </w:rPr>
        <w:t>投标文件格式</w:t>
      </w:r>
    </w:p>
    <w:p>
      <w:pPr>
        <w:pStyle w:val="18"/>
        <w:spacing w:after="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第五章  </w:t>
      </w:r>
      <w:r>
        <w:rPr>
          <w:rFonts w:hint="eastAsia" w:ascii="宋体" w:hAnsi="宋体" w:eastAsia="宋体" w:cs="宋体"/>
          <w:color w:val="auto"/>
          <w:sz w:val="21"/>
          <w:szCs w:val="21"/>
          <w:highlight w:val="none"/>
        </w:rPr>
        <w:t>技术条件（工程建设标准）（另册）</w:t>
      </w:r>
    </w:p>
    <w:p>
      <w:pPr>
        <w:pStyle w:val="18"/>
        <w:spacing w:after="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第六章  </w:t>
      </w:r>
      <w:r>
        <w:rPr>
          <w:rFonts w:hint="eastAsia" w:ascii="宋体" w:hAnsi="宋体" w:eastAsia="宋体" w:cs="宋体"/>
          <w:color w:val="auto"/>
          <w:sz w:val="21"/>
          <w:szCs w:val="21"/>
          <w:highlight w:val="none"/>
        </w:rPr>
        <w:t>图纸及勘察资料（另册）</w:t>
      </w:r>
    </w:p>
    <w:p>
      <w:pPr>
        <w:pStyle w:val="18"/>
        <w:spacing w:after="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第七章  招标</w:t>
      </w:r>
      <w:r>
        <w:rPr>
          <w:rFonts w:hint="eastAsia" w:ascii="宋体" w:hAnsi="宋体" w:eastAsia="宋体" w:cs="宋体"/>
          <w:color w:val="auto"/>
          <w:sz w:val="21"/>
          <w:szCs w:val="21"/>
          <w:highlight w:val="none"/>
        </w:rPr>
        <w:t>工程量清单（另册）</w:t>
      </w:r>
    </w:p>
    <w:p>
      <w:pPr>
        <w:pStyle w:val="18"/>
        <w:spacing w:after="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第八章  最高投标限价</w:t>
      </w:r>
    </w:p>
    <w:p>
      <w:pPr>
        <w:pStyle w:val="18"/>
        <w:spacing w:after="0" w:line="360" w:lineRule="auto"/>
        <w:ind w:left="-2"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注：招标人应在技术条件（工程建设标准）中明确施工现场建筑垃圾源头减量的具体要求和建筑垃圾综合利用产品的使用要求。</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投标人一旦中标，招标文件的内容对招标人和中标人双方均有约束力。</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8．招标答疑</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投标人若对招标文件（包括招标图纸）中有疑问，可以书面形式通过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交易平台提交给招标人或招标代理人，提交形式见本须知前附表第16项。</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8.2招标答疑会会议纪要将在提交投标文件截止时间15日前在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 “项目答疑纪要”专区公开发布。答疑纪要一经在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8.3答疑会会议纪要为招标文件的一部分。</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8.4若招标答疑会会议纪要与招标文件有矛盾，以答疑会议纪要最后发出的书面形式的文件为准。</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9.招标文件的澄清与修改</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9.1招标文件发出后,在提交投标文件截止时间15日前，招标人可对招标文件进行必要的澄清或修改。</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9.2招标文件的澄清或修改将在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交易平台上网发布时间作为送达时间。</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9.3招标文件的修改内容为招标文件的组成部分。</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9.4招标文件的澄清或修改均以书面形式明确的内容为准。当招标文件的澄清、修改、补充等在同一内容的表述不一致时，以最后发出的书面形式的文件为准。</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6"/>
        <w:spacing w:before="156" w:after="156" w:line="360" w:lineRule="auto"/>
        <w:rPr>
          <w:rFonts w:hint="eastAsia" w:ascii="宋体" w:hAnsi="宋体" w:eastAsia="宋体" w:cs="宋体"/>
          <w:color w:val="auto"/>
          <w:sz w:val="21"/>
          <w:szCs w:val="21"/>
          <w:highlight w:val="none"/>
        </w:rPr>
      </w:pPr>
      <w:bookmarkStart w:id="10" w:name="_Toc32542"/>
      <w:bookmarkStart w:id="11" w:name="_Toc21525495"/>
      <w:r>
        <w:rPr>
          <w:rFonts w:hint="eastAsia" w:ascii="宋体" w:hAnsi="宋体" w:eastAsia="宋体" w:cs="宋体"/>
          <w:color w:val="auto"/>
          <w:sz w:val="21"/>
          <w:szCs w:val="21"/>
          <w:highlight w:val="none"/>
        </w:rPr>
        <w:t>（三）投标文件的编制</w:t>
      </w:r>
      <w:bookmarkEnd w:id="10"/>
      <w:bookmarkEnd w:id="11"/>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10．投标文件的语言及度量衡单位</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投标文件和与投标有关的所有文件均应使用中文。</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除工程规范另有规定外，投标文件使用的度量衡单位，均采用中华人民共和国法定计量单位。</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11．投标文件的组成</w:t>
      </w:r>
    </w:p>
    <w:p>
      <w:pPr>
        <w:pStyle w:val="18"/>
        <w:spacing w:after="0"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11.1 投标文件由技术部分（含资格审查文件）和经济部分二部分投标文件组成</w:t>
      </w:r>
      <w:r>
        <w:rPr>
          <w:rFonts w:hint="eastAsia" w:ascii="宋体" w:hAnsi="宋体" w:eastAsia="宋体" w:cs="宋体"/>
          <w:b/>
          <w:color w:val="auto"/>
          <w:sz w:val="21"/>
          <w:szCs w:val="21"/>
          <w:highlight w:val="none"/>
        </w:rPr>
        <w:t>。</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11.2投标文件技术标部分主要包括下列内容:</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11.2.1 技术投标文件</w:t>
      </w:r>
      <w:r>
        <w:rPr>
          <w:rFonts w:hint="eastAsia" w:ascii="宋体" w:hAnsi="宋体" w:eastAsia="宋体" w:cs="宋体"/>
          <w:color w:val="auto"/>
          <w:sz w:val="21"/>
          <w:szCs w:val="21"/>
          <w:highlight w:val="none"/>
        </w:rPr>
        <w:t>(按招标文件的要求填写)</w:t>
      </w:r>
      <w:r>
        <w:rPr>
          <w:rFonts w:hint="eastAsia" w:ascii="宋体" w:hAnsi="宋体" w:eastAsia="宋体" w:cs="宋体"/>
          <w:bCs/>
          <w:color w:val="auto"/>
          <w:sz w:val="21"/>
          <w:szCs w:val="21"/>
          <w:highlight w:val="none"/>
        </w:rPr>
        <w:t>；</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11.2.2 资格审查文件：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（1）投标人声明； </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（2）法定代表人证明书、法定代表人签字或盖章的本投标文件授权委托证明书；</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（3）企业营业执照（取自平台内上传件）；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（4）企业资质证书（取自平台内上传件）；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（5）建筑施工企业安全生产许可证（取自平台内上传件）；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（6）项目负责人（按网上投标登记时选择拟投标的项目负责人）</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（7）专职安全员（按网上投标登记时选择拟投标的专职安全员）</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（8）拟委托技术负责人的相关证书、资料（具体要求由招标人明确）</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（9）拟委派项目负责人的建造师注册证书（取自平台内上传件）；  </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（10）项目负责人安全生产考核合格证明或在有效期内的安全考核合格证书（B类）或建筑施工企业项目负责人安全生产考核合格证书（取自平台内上传件）；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（11）专职安全员须具有在有效期内的安全考核合格证书（C类）或建筑施工企业专职安全生产管理人员安全生产考核合格证书（取自平台内上传件）；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（12）用于资格审查的业绩（设置业绩要求时选择此项，投标人</w:t>
      </w:r>
      <w:r>
        <w:rPr>
          <w:rFonts w:hint="eastAsia" w:ascii="宋体" w:hAnsi="宋体" w:eastAsia="宋体" w:cs="宋体"/>
          <w:color w:val="auto"/>
          <w:sz w:val="21"/>
          <w:szCs w:val="21"/>
          <w:highlight w:val="none"/>
        </w:rPr>
        <w:t>须提供类似工程业绩的项目名称及项目编号，具体格式由招标人自定</w:t>
      </w:r>
      <w:r>
        <w:rPr>
          <w:rFonts w:hint="eastAsia" w:ascii="宋体" w:hAnsi="宋体" w:eastAsia="宋体" w:cs="宋体"/>
          <w:bCs/>
          <w:color w:val="auto"/>
          <w:sz w:val="21"/>
          <w:szCs w:val="21"/>
          <w:highlight w:val="none"/>
        </w:rPr>
        <w:t>）；</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（13）资格审查前，投标人须在广州市住房和城乡建设局建立企业信用档案，拟担任本工程项目负责人、专职安全员须是本企业信用档案中的在册人员。</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（14）列明主办单位的联合体工作协议（采用联合体投标时需递交，投标人拟任本工程项目负责人应为联合体主办方信用档案中的在册人员，</w:t>
      </w:r>
      <w:r>
        <w:rPr>
          <w:rFonts w:hint="eastAsia" w:ascii="宋体" w:hAnsi="宋体" w:eastAsia="宋体" w:cs="宋体"/>
          <w:color w:val="auto"/>
          <w:sz w:val="21"/>
          <w:szCs w:val="21"/>
          <w:highlight w:val="none"/>
        </w:rPr>
        <w:t>联合体工作协议应明确约定各方拟承担的工作和责任</w:t>
      </w:r>
      <w:r>
        <w:rPr>
          <w:rFonts w:hint="eastAsia" w:ascii="宋体" w:hAnsi="宋体" w:eastAsia="宋体" w:cs="宋体"/>
          <w:bCs/>
          <w:color w:val="auto"/>
          <w:sz w:val="21"/>
          <w:szCs w:val="21"/>
          <w:highlight w:val="none"/>
        </w:rPr>
        <w:t xml:space="preserve">）； </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r>
        <w:rPr>
          <w:rFonts w:hint="eastAsia" w:ascii="宋体" w:hAnsi="宋体" w:eastAsia="宋体" w:cs="宋体"/>
          <w:color w:val="auto"/>
          <w:sz w:val="21"/>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11.2.3项目管理机构配备。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（1）投标人应列出该项目工程的施工组织机构构成和画出机构框架图及其负责人；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（2）投标人应详细列出该施工组织机构中主要成员的名单、简历资料、职务职称和在本项目中拟担任的职务等资料，并附上有关证明材料扫描件；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（3）其他辅助说明资料。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11.2.5施工组织设计或施工方案。</w:t>
      </w:r>
      <w:r>
        <w:rPr>
          <w:rFonts w:hint="eastAsia" w:ascii="宋体" w:hAnsi="宋体" w:eastAsia="宋体" w:cs="宋体"/>
          <w:bCs/>
          <w:color w:val="auto"/>
          <w:kern w:val="0"/>
          <w:sz w:val="21"/>
          <w:szCs w:val="21"/>
          <w:highlight w:val="none"/>
        </w:rPr>
        <w:t>（</w:t>
      </w:r>
      <w:r>
        <w:rPr>
          <w:rFonts w:hint="eastAsia" w:ascii="宋体" w:hAnsi="宋体" w:eastAsia="宋体" w:cs="宋体"/>
          <w:b/>
          <w:bCs/>
          <w:color w:val="auto"/>
          <w:kern w:val="0"/>
          <w:sz w:val="21"/>
          <w:szCs w:val="21"/>
          <w:highlight w:val="none"/>
        </w:rPr>
        <w:t>投标人在编制施工组织设计或施工方案时应按照招标人提出的施工现场建筑垃圾源头减量的具体要求以及建筑垃圾综合利用产品的使用要求提供相应措施。</w:t>
      </w:r>
      <w:r>
        <w:rPr>
          <w:rFonts w:hint="eastAsia" w:ascii="宋体" w:hAnsi="宋体" w:eastAsia="宋体" w:cs="宋体"/>
          <w:bCs/>
          <w:color w:val="auto"/>
          <w:kern w:val="0"/>
          <w:sz w:val="21"/>
          <w:szCs w:val="21"/>
          <w:highlight w:val="none"/>
        </w:rPr>
        <w:t>）</w:t>
      </w:r>
    </w:p>
    <w:p>
      <w:pPr>
        <w:tabs>
          <w:tab w:val="left" w:pos="112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11.2.6按照</w:t>
      </w:r>
      <w:r>
        <w:rPr>
          <w:rFonts w:hint="eastAsia" w:ascii="宋体" w:hAnsi="宋体" w:eastAsia="宋体" w:cs="宋体"/>
          <w:bCs/>
          <w:color w:val="auto"/>
          <w:sz w:val="21"/>
          <w:szCs w:val="21"/>
          <w:highlight w:val="none"/>
        </w:rPr>
        <w:t>招标文件要求</w:t>
      </w:r>
      <w:r>
        <w:rPr>
          <w:rFonts w:hint="eastAsia" w:ascii="宋体" w:hAnsi="宋体" w:eastAsia="宋体" w:cs="宋体"/>
          <w:color w:val="auto"/>
          <w:sz w:val="21"/>
          <w:szCs w:val="21"/>
          <w:highlight w:val="none"/>
        </w:rPr>
        <w:t>填写的《参与编制技术标投标文件人员名单》。</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11.3 经济部分投标文件主要包括下列内容：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 经济投标文件(按招标文件的要求填写)。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（1）投标总价封面、扉页；</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（2）总说明</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（3）工程项目投标报价汇总表；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（4）单项工程投标报价汇总表；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（5）单位工程投标报价汇总表；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（6）分部分项工程清单与计价表；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（7）单价措施项目清单与计价表；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（8）总价措施项目清单与计价表；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（9）综合单价分析表；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（10）其他项目清单与计价汇总表；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（11）暂列金额明细表；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（12）材料（工程设备）暂估价明细表；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（13）专业工程暂估价明细表；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（14）计日工表；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（15）总承包服务计价表；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（16）规费和税金项目计价表；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（17）人工、主要材料和设备一览表</w:t>
      </w:r>
    </w:p>
    <w:p>
      <w:pPr>
        <w:tabs>
          <w:tab w:val="left" w:pos="112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11.3.3按照</w:t>
      </w:r>
      <w:r>
        <w:rPr>
          <w:rFonts w:hint="eastAsia" w:ascii="宋体" w:hAnsi="宋体" w:eastAsia="宋体" w:cs="宋体"/>
          <w:bCs/>
          <w:color w:val="auto"/>
          <w:sz w:val="21"/>
          <w:szCs w:val="21"/>
          <w:highlight w:val="none"/>
        </w:rPr>
        <w:t>招标文件要求</w:t>
      </w:r>
      <w:r>
        <w:rPr>
          <w:rFonts w:hint="eastAsia" w:ascii="宋体" w:hAnsi="宋体" w:eastAsia="宋体" w:cs="宋体"/>
          <w:color w:val="auto"/>
          <w:sz w:val="21"/>
          <w:szCs w:val="21"/>
          <w:highlight w:val="none"/>
        </w:rPr>
        <w:t>填写的《参与编制经济标投标文件人员名单》。</w:t>
      </w:r>
    </w:p>
    <w:p>
      <w:pPr>
        <w:tabs>
          <w:tab w:val="left" w:pos="112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11.3.4若投标人的投标报价低于工程成本警戒价的，投标人还须提供详细的施工组织设计、单价、措施性费用、单价分析表、主要材料价格表、投标人成本分析供评标委员会评审。</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12．投标文件格式</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投标文件包括本须知第11条中规定的内容，投标人提交的投标文件应当使用招标文件所提供的投标文件全部格式（表格可以按同样格式扩展）。</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12.3 </w:t>
      </w:r>
      <w:r>
        <w:rPr>
          <w:rFonts w:hint="eastAsia" w:ascii="宋体" w:hAnsi="宋体" w:eastAsia="宋体" w:cs="宋体"/>
          <w:bCs/>
          <w:color w:val="auto"/>
          <w:sz w:val="21"/>
          <w:szCs w:val="21"/>
          <w:highlight w:val="none"/>
        </w:rPr>
        <w:t>投标文件应按</w:t>
      </w:r>
      <w:r>
        <w:rPr>
          <w:rFonts w:hint="eastAsia" w:ascii="宋体" w:hAnsi="宋体" w:eastAsia="宋体" w:cs="宋体"/>
          <w:color w:val="auto"/>
          <w:sz w:val="21"/>
          <w:szCs w:val="21"/>
          <w:highlight w:val="none"/>
        </w:rPr>
        <w:t>照交易平台关于全流程电子化项目的相关指南进行编制，详见：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18"/>
        <w:spacing w:after="0" w:line="360" w:lineRule="auto"/>
        <w:ind w:firstLine="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如不按上述要求编制引起系统无法检索、读取相关信息的，其后果由投标人承担。</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13．投标报价及造价承包和变更结算方式</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本工程的投标报价采用投标须知前附表第12项所规定的方式。投标报价（含单价及总价）精确到“分”。</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13.5.1中标的投标文件工程量清单中已有相同项目的适用综合单价，则沿用；</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13.5.4 如相关定额没有相应子目的，其计价方式由招标人在本招标文件第三章中另行规定。未规定的，中标后双方协商约定。</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13.6暂列金额、暂估价</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暂估价是指招标人在工程量清单中提供的用于支付必然发生但暂时不能确定价格的材料的单价以及专业工程的金额。</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13.7投标人可先到工地踏勘以充分了解工地位置、情况、道路、储存空间、装卸限制及任何其他足以影响承包价的情况，任何因忽视或误解工地情况而导致的索赔或工期延长申请将不被批准。</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14．投标货币</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本工程投标报价采用的币种为人民币。</w:t>
      </w:r>
    </w:p>
    <w:p>
      <w:pPr>
        <w:pStyle w:val="18"/>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15．投标有效期</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投标有效期见投标须知前附表第13项所规定的期限，在此期限内，凡符合本招标文件要求的投标文件均保持有效。</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16．投标保证金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16.1投标人应按投标须知前附表第14项所述金额和时间递交</w:t>
      </w:r>
      <w:r>
        <w:rPr>
          <w:rFonts w:hint="eastAsia" w:ascii="宋体" w:hAnsi="宋体" w:eastAsia="宋体" w:cs="宋体"/>
          <w:bCs/>
          <w:color w:val="auto"/>
          <w:sz w:val="21"/>
          <w:szCs w:val="21"/>
          <w:highlight w:val="none"/>
        </w:rPr>
        <w:t>投标保证金</w:t>
      </w:r>
      <w:r>
        <w:rPr>
          <w:rFonts w:hint="eastAsia" w:ascii="宋体" w:hAnsi="宋体" w:eastAsia="宋体" w:cs="宋体"/>
          <w:color w:val="auto"/>
          <w:sz w:val="21"/>
          <w:szCs w:val="21"/>
          <w:highlight w:val="none"/>
        </w:rPr>
        <w:t>。招标人应当允许投标人自主选择现金、银行保函、保证保险、专业工程担保公司担保等方式缴纳投标保证金。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 采用现金或者支票形式提交的，投标保证金须从投标人的银行基本账户转出。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采用电子形式的保函、担保或保证保险提交投标保证金的，应在招标文件中明确电子递交途径。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16.3投标保证金应依据法律法规的相关规定退还。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16.4如有下列情况之一的，招标人可以不予退还投标保证金（是否退还投标保证金由招标人在招标文件中规定）：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16.4.1因投标人原因造成投标文件未解密的；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16.4.2投标人在投标有效期内撤销投标文件；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16.4.3中标人未能在规定期限内按要求提交履约担保；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16.4.4中标人未能在规定期限内签署合同协议。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16.5投标人如存在下列情况之一的，将被拒绝在一定时期内参与招标人后续工程投标（拒绝时限需在招标文件中明确）：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16.5.1投标人存在16.4条款所列情形且投标人提交的保函、担保或保证保险无法兑付的；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16.5.3按招标文件要求免于提供投标保证金的投标人存在16.4条款所列情形，且未按招标人要求补交投标保证金的；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16.5.3按招标文件要求免于提供投标保证金的投标人存在16.4条款所列情形的。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注：16.5.3款由招标人二选一，需在招标文件中明确。</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17．投标文件的签署</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6"/>
        <w:spacing w:before="156" w:after="156" w:line="360" w:lineRule="auto"/>
        <w:rPr>
          <w:rFonts w:hint="eastAsia" w:ascii="宋体" w:hAnsi="宋体" w:eastAsia="宋体" w:cs="宋体"/>
          <w:color w:val="auto"/>
          <w:sz w:val="21"/>
          <w:szCs w:val="21"/>
          <w:highlight w:val="none"/>
        </w:rPr>
      </w:pPr>
      <w:bookmarkStart w:id="12" w:name="_Toc21525496"/>
      <w:bookmarkStart w:id="13" w:name="_Toc24057"/>
      <w:r>
        <w:rPr>
          <w:rFonts w:hint="eastAsia" w:ascii="宋体" w:hAnsi="宋体" w:eastAsia="宋体" w:cs="宋体"/>
          <w:color w:val="auto"/>
          <w:sz w:val="21"/>
          <w:szCs w:val="21"/>
          <w:highlight w:val="none"/>
        </w:rPr>
        <w:t>（四）投标文件的提交</w:t>
      </w:r>
      <w:bookmarkEnd w:id="12"/>
      <w:bookmarkEnd w:id="13"/>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w:t>
      </w:r>
      <w:r>
        <w:rPr>
          <w:rFonts w:hint="eastAsia" w:ascii="宋体" w:hAnsi="宋体" w:eastAsia="宋体" w:cs="宋体"/>
          <w:b/>
          <w:color w:val="auto"/>
          <w:sz w:val="21"/>
          <w:szCs w:val="21"/>
          <w:highlight w:val="none"/>
        </w:rPr>
        <w:t>投标文件的密封和标记</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18.1递交的电子投标文件（不含备用光盘）必须进行加密。按照交易平台关于</w:t>
      </w:r>
      <w:r>
        <w:rPr>
          <w:rFonts w:hint="eastAsia" w:ascii="宋体" w:hAnsi="宋体" w:eastAsia="宋体" w:cs="宋体"/>
          <w:color w:val="auto"/>
          <w:sz w:val="21"/>
          <w:szCs w:val="21"/>
          <w:highlight w:val="none"/>
        </w:rPr>
        <w:t>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18.2 未按要求加密的投标文件，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w:t>
      </w:r>
      <w:r>
        <w:rPr>
          <w:rFonts w:hint="eastAsia" w:ascii="宋体" w:hAnsi="宋体" w:eastAsia="宋体" w:cs="宋体"/>
          <w:bCs/>
          <w:color w:val="auto"/>
          <w:sz w:val="21"/>
          <w:szCs w:val="21"/>
          <w:highlight w:val="none"/>
        </w:rPr>
        <w:t>将予以拒收。</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19．投标文件的递交和接收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19.1投标人通过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交易平台递交电子投标文件。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19.2投标人完成电子</w:t>
      </w:r>
      <w:r>
        <w:rPr>
          <w:rFonts w:hint="eastAsia" w:ascii="宋体" w:hAnsi="宋体" w:eastAsia="宋体" w:cs="宋体"/>
          <w:color w:val="auto"/>
          <w:sz w:val="21"/>
          <w:szCs w:val="21"/>
          <w:highlight w:val="none"/>
        </w:rPr>
        <w:t>投标文件</w:t>
      </w:r>
      <w:r>
        <w:rPr>
          <w:rFonts w:hint="eastAsia" w:ascii="宋体" w:hAnsi="宋体" w:eastAsia="宋体" w:cs="宋体"/>
          <w:bCs/>
          <w:color w:val="auto"/>
          <w:sz w:val="21"/>
          <w:szCs w:val="21"/>
          <w:highlight w:val="none"/>
        </w:rPr>
        <w:t>上传后，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交易平台即时向投标人发出递交回执通知。递交时间以递交回执通知载明的传输完成时间为准。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19.3逾期送达的电子投标文件，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 投标截止前，招标人拒绝接收符合条件的投标文件，投标人可向招标投标监督机构投诉。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19.5如技术标和经济标先后分别开启，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交易平台将按招标文件规定的时间分别开启技术标和经济标。</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20．投标文件提交的截止时间</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20.1投标人应在投标须知前附表第17项所述的时间前提交投标文件。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到投标截止时间止，招标人收到的投标文件少于3家的，招标人将重新组织招标（当N个标段同时招标且不允许兼中时，若有效投标人不足N+2家，则重新组织招标）。</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21．迟交的投标文件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本须知前附表第17项规定的投标截止时间</w:t>
      </w:r>
      <w:r>
        <w:rPr>
          <w:rFonts w:hint="eastAsia" w:ascii="宋体" w:hAnsi="宋体" w:eastAsia="宋体" w:cs="宋体"/>
          <w:bCs/>
          <w:color w:val="auto"/>
          <w:sz w:val="21"/>
          <w:szCs w:val="21"/>
          <w:highlight w:val="none"/>
        </w:rPr>
        <w:t>后送达的电子投标文件，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22．投标文件的修改与撤回</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22.1在规定的投标截止时间前，投标人可以修改或撤回已递交的投标文件，但应以书面形式通知招标人。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22.2投标人修改或撤回已递交的投标文件，需在交易平台发出修改或撤回通知，并按要求加盖电子印章。</w:t>
      </w:r>
      <w:r>
        <w:rPr>
          <w:rFonts w:hint="eastAsia" w:ascii="宋体" w:hAnsi="宋体" w:eastAsia="宋体" w:cs="宋体"/>
          <w:bCs/>
          <w:iCs/>
          <w:color w:val="auto"/>
          <w:sz w:val="21"/>
          <w:szCs w:val="21"/>
          <w:highlight w:val="none"/>
        </w:rPr>
        <w:t>电子招标投标交易平台收到通知后，</w:t>
      </w:r>
      <w:r>
        <w:rPr>
          <w:rFonts w:hint="eastAsia" w:ascii="宋体" w:hAnsi="宋体" w:eastAsia="宋体" w:cs="宋体"/>
          <w:color w:val="auto"/>
          <w:sz w:val="21"/>
          <w:szCs w:val="21"/>
          <w:highlight w:val="none"/>
        </w:rPr>
        <w:t>即时向投标人发出确认回执通知。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22.3修改后再次递交的，按19点的规定执行。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 在投标截止时间之后，投标人不得补充、修改和更换投标文件。</w:t>
      </w:r>
    </w:p>
    <w:p>
      <w:pPr>
        <w:pStyle w:val="6"/>
        <w:spacing w:before="156" w:after="156" w:line="360" w:lineRule="auto"/>
        <w:rPr>
          <w:rFonts w:hint="eastAsia" w:ascii="宋体" w:hAnsi="宋体" w:eastAsia="宋体" w:cs="宋体"/>
          <w:color w:val="auto"/>
          <w:sz w:val="21"/>
          <w:szCs w:val="21"/>
          <w:highlight w:val="none"/>
        </w:rPr>
      </w:pPr>
      <w:bookmarkStart w:id="14" w:name="_Toc13732"/>
      <w:bookmarkStart w:id="15" w:name="_Toc21525497"/>
      <w:r>
        <w:rPr>
          <w:rFonts w:hint="eastAsia" w:ascii="宋体" w:hAnsi="宋体" w:eastAsia="宋体" w:cs="宋体"/>
          <w:color w:val="auto"/>
          <w:sz w:val="21"/>
          <w:szCs w:val="21"/>
          <w:highlight w:val="none"/>
        </w:rPr>
        <w:t>（五）开标、评标、定标及合同签定</w:t>
      </w:r>
      <w:bookmarkEnd w:id="14"/>
      <w:bookmarkEnd w:id="15"/>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23、开标。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详见第二章开标、评标及定标办法</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24．评标过程的保密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开标后，直至中标公示为止，凡属于对投标文件的审查、澄清、评价和比较有关的资料以及中标候选人的推荐情况，与评标有关的其他任何情况均严格保密。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在投标文件的评审和比较、中标候选人推荐以及授予合同的过程中，投标人向招标人和评标委员会施加不公正影响的任何行为，都将会导致其投标被拒绝。</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25．投标文件的澄清，计算错误的修正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详见招标文件第二章开标、评标及定标办法</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26．投标文件的评审、比较和否决</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详见招标文件第二章开标、评标及定标办法。</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27．中标通知书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27.1招标人将在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27.2招标人应当自确定中标人后，向招标投标监管机构提交招标投标情况的书面报告；经招投标监管机构备案后，方可发出中标通知书。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27.3中标人必须在收到中标通知书后24小时之内以书面形式回复招标人，确认收到。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27.4在产生中标候选人后，招标人将中标候选人的投标文件商务部分文件的所有内容（包括人员、业绩、奖项等资料）在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交易平台和广东省招标投标监管网公开。</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28．合同协议书的签订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 招标人与中标人将于中标通知书发出之日起30日内，按照招标文件和中标人的投标文件商定和签订合同，招标人和中标人不得再行订立背离合同实质性内容的其他协议。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28.4招标人支付工程款时，中标人应按规定开具发票。</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29．履约担保</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 在收到中标通知书后的</w:t>
      </w:r>
      <w:r>
        <w:rPr>
          <w:rFonts w:hint="eastAsia" w:ascii="宋体" w:hAnsi="宋体" w:eastAsia="宋体" w:cs="宋体"/>
          <w:b/>
          <w:color w:val="auto"/>
          <w:sz w:val="21"/>
          <w:szCs w:val="21"/>
          <w:highlight w:val="none"/>
        </w:rPr>
        <w:t>15日</w:t>
      </w:r>
      <w:r>
        <w:rPr>
          <w:rFonts w:hint="eastAsia" w:ascii="宋体" w:hAnsi="宋体" w:eastAsia="宋体" w:cs="宋体"/>
          <w:color w:val="auto"/>
          <w:sz w:val="21"/>
          <w:szCs w:val="21"/>
          <w:highlight w:val="none"/>
        </w:rPr>
        <w:t>内，中标人应按本须知前附表第20项的规定向招标人提交履约担保。</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30．合同生效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30.1在合同双方全权代表在合同协议书上签字，并分别加盖双方单位的公章后，合同正式生效。</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31．其它费用</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32．腐败与欺诈行为</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在招标和合同实施期间，招标人要求投标人和承包人遵守最高的道德标准。</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32．1对本条款的规定，特定义如下词汇：</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1）、“腐败行为”是指在招标或合同执行期间，通过提供、给予、接受或索要任何有价值的东西，从而影响招标人有关人员工作的行为；</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32．2如果投标人被认定在本招标的竞争中有腐败或欺诈行为，则会被取消投标资格。</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pPr>
        <w:pStyle w:val="18"/>
        <w:spacing w:after="0" w:line="360" w:lineRule="auto"/>
        <w:ind w:firstLine="480" w:firstLineChars="200"/>
        <w:rPr>
          <w:rFonts w:hint="eastAsia" w:ascii="宋体" w:hAnsi="宋体" w:eastAsia="宋体" w:cs="宋体"/>
          <w:color w:val="auto"/>
          <w:sz w:val="24"/>
          <w:szCs w:val="24"/>
          <w:highlight w:val="none"/>
        </w:rPr>
      </w:pPr>
    </w:p>
    <w:p>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6" w:name="_Toc12835"/>
      <w:r>
        <w:rPr>
          <w:rFonts w:hint="eastAsia" w:ascii="宋体" w:hAnsi="宋体" w:eastAsia="宋体" w:cs="宋体"/>
          <w:b/>
          <w:bCs/>
          <w:color w:val="auto"/>
          <w:sz w:val="24"/>
          <w:szCs w:val="24"/>
          <w:highlight w:val="none"/>
        </w:rPr>
        <w:t>第二章  开标、评标及定标办法</w:t>
      </w:r>
      <w:bookmarkEnd w:id="16"/>
    </w:p>
    <w:p>
      <w:pPr>
        <w:pStyle w:val="4"/>
        <w:spacing w:line="360" w:lineRule="auto"/>
        <w:rPr>
          <w:rFonts w:hint="eastAsia" w:ascii="宋体" w:hAnsi="宋体" w:eastAsia="宋体" w:cs="宋体"/>
          <w:color w:val="auto"/>
          <w:sz w:val="24"/>
          <w:szCs w:val="24"/>
          <w:highlight w:val="none"/>
        </w:rPr>
      </w:pPr>
      <w:bookmarkStart w:id="17" w:name="_Toc20882"/>
      <w:r>
        <w:rPr>
          <w:rFonts w:hint="eastAsia" w:ascii="宋体" w:hAnsi="宋体" w:eastAsia="宋体" w:cs="宋体"/>
          <w:color w:val="auto"/>
          <w:sz w:val="24"/>
          <w:szCs w:val="24"/>
          <w:highlight w:val="none"/>
        </w:rPr>
        <w:t>一、开标、评标及定标办法修改表</w:t>
      </w:r>
      <w:bookmarkEnd w:id="17"/>
    </w:p>
    <w:p>
      <w:pPr>
        <w:pStyle w:val="18"/>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"http://www.gzcc.gov.cn/）下载GZZB2018-3"</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color w:val="auto"/>
          <w:sz w:val="21"/>
          <w:szCs w:val="21"/>
          <w:highlight w:val="none"/>
        </w:rPr>
        <w:t>http://zfcj.gz.gov.cn/</w:t>
      </w:r>
      <w:r>
        <w:rPr>
          <w:rStyle w:val="23"/>
          <w:rFonts w:hint="eastAsia" w:ascii="宋体" w:hAnsi="宋体" w:eastAsia="宋体" w:cs="宋体"/>
          <w:b/>
          <w:color w:val="auto"/>
          <w:sz w:val="21"/>
          <w:szCs w:val="21"/>
          <w:highlight w:val="none"/>
        </w:rPr>
        <w:t>）下载GZZB2018-3</w:t>
      </w:r>
      <w:r>
        <w:rPr>
          <w:rFonts w:hint="eastAsia" w:ascii="宋体" w:hAnsi="宋体" w:eastAsia="宋体" w:cs="宋体"/>
          <w:color w:val="auto"/>
          <w:sz w:val="21"/>
          <w:szCs w:val="21"/>
          <w:highlight w:val="none"/>
        </w:rPr>
        <w:fldChar w:fldCharType="end"/>
      </w:r>
      <w:r>
        <w:rPr>
          <w:rFonts w:hint="eastAsia" w:ascii="宋体" w:hAnsi="宋体" w:eastAsia="宋体" w:cs="宋体"/>
          <w:b/>
          <w:color w:val="auto"/>
          <w:sz w:val="21"/>
          <w:szCs w:val="21"/>
          <w:highlight w:val="none"/>
        </w:rPr>
        <w:t>范本查阅。</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条款号：36.1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修改类型：修改</w:t>
      </w:r>
    </w:p>
    <w:p>
      <w:pPr>
        <w:spacing w:line="360" w:lineRule="auto"/>
        <w:ind w:firstLine="495" w:firstLineChars="23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36.1招标人按投标须知前附表第18项所规定的时间和地点公开开标，并邀请所有投标人参加。截标后，开标开始时间因故推迟的，相关评标信息仍以原定的开标开始时间的信息为准。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24" w:firstLineChars="20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r>
        <w:rPr>
          <w:rFonts w:hint="eastAsia" w:ascii="宋体" w:hAnsi="宋体" w:eastAsia="宋体" w:cs="宋体"/>
          <w:color w:val="auto"/>
          <w:sz w:val="21"/>
          <w:szCs w:val="21"/>
          <w:highlight w:val="none"/>
        </w:rPr>
        <w:t>。</w:t>
      </w:r>
    </w:p>
    <w:p>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条款号：36.3                              修改类型：删除</w:t>
      </w:r>
    </w:p>
    <w:p>
      <w:pPr>
        <w:pBdr>
          <w:bottom w:val="single" w:color="auto" w:sz="6" w:space="1"/>
        </w:pBd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根据投标须知前附表第19项，如需抽取某一种评标办法供评标时使用的，应在开标前抽取。首先对招标文件中约定的若干种评标方法进行编号，再随机抽取某一编号，该编号所对应的评标办法供评标时使用。</w:t>
      </w:r>
    </w:p>
    <w:p>
      <w:pPr>
        <w:pStyle w:val="5"/>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条款号：36.4                              修改类型：修改</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36.4若递交投标文件的投标人不足3家，则重新组织招标。（当N个标段同时招标且不允许兼中时，若有效投标人不足N+2家，则重新组织招标）</w:t>
      </w:r>
    </w:p>
    <w:p>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36.4若递交投标文件的投标人不足3家，则重新组织招标。</w:t>
      </w:r>
    </w:p>
    <w:p>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条款号：36.5.1                      </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修改类型：修改</w:t>
      </w:r>
    </w:p>
    <w:p>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36.5.1在投标截止时间后半小时内，投标人通过   交易平台对已递交的电子投标文件进行解密。投标人完成解密后，再由招标人进行解密。解密完成后，公布招标项目名称、投标人名称、投标保证金的递交情况、投标报价、工期及其他内容；</w:t>
      </w:r>
    </w:p>
    <w:p>
      <w:pPr>
        <w:pBdr>
          <w:bottom w:val="single" w:color="auto" w:sz="6" w:space="1"/>
        </w:pBdr>
        <w:spacing w:line="360"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36.5.1在投标截止时间后半小时内，投标人通过</w:t>
      </w:r>
      <w:r>
        <w:rPr>
          <w:rFonts w:hint="eastAsia" w:ascii="宋体" w:hAnsi="宋体" w:eastAsia="宋体" w:cs="宋体"/>
          <w:color w:val="auto"/>
          <w:szCs w:val="21"/>
          <w:highlight w:val="none"/>
          <w:u w:val="single"/>
          <w:lang w:eastAsia="zh-CN"/>
        </w:rPr>
        <w:t>广州交易集团有限公司（广州公共资源交易中心）</w:t>
      </w:r>
      <w:r>
        <w:rPr>
          <w:rFonts w:hint="eastAsia" w:ascii="宋体" w:hAnsi="宋体" w:eastAsia="宋体" w:cs="宋体"/>
          <w:color w:val="auto"/>
          <w:szCs w:val="21"/>
          <w:highlight w:val="none"/>
        </w:rPr>
        <w:t>交易平台对已递交的电子投标文件进行解密。投标人完成解密后，再由招标人</w:t>
      </w:r>
      <w:r>
        <w:rPr>
          <w:rFonts w:hint="eastAsia" w:ascii="宋体" w:hAnsi="宋体" w:eastAsia="宋体" w:cs="宋体"/>
          <w:color w:val="auto"/>
          <w:szCs w:val="21"/>
          <w:highlight w:val="none"/>
          <w:u w:val="single"/>
        </w:rPr>
        <w:t>或招标代理</w:t>
      </w:r>
      <w:r>
        <w:rPr>
          <w:rFonts w:hint="eastAsia" w:ascii="宋体" w:hAnsi="宋体" w:eastAsia="宋体" w:cs="宋体"/>
          <w:color w:val="auto"/>
          <w:szCs w:val="21"/>
          <w:highlight w:val="none"/>
        </w:rPr>
        <w:t>进行解密。解密完成后，公布招标项目名称、投标人名称、投标报价、工期及其他内容；</w:t>
      </w:r>
    </w:p>
    <w:p>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条款号：36.5.3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pP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36.5.3投标人代表、招标人代表、监标人、记录人等有关人员在开标记录上签字确认；若有关人员不签字的，不影响开标程序；</w:t>
      </w:r>
    </w:p>
    <w:p>
      <w:pPr>
        <w:pBdr>
          <w:bottom w:val="single" w:color="auto" w:sz="6" w:space="1"/>
        </w:pBdr>
        <w:spacing w:line="360" w:lineRule="auto"/>
        <w:ind w:firstLine="424" w:firstLineChars="20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36.5.3</w:t>
      </w:r>
      <w:r>
        <w:rPr>
          <w:rFonts w:hint="eastAsia" w:ascii="宋体" w:hAnsi="宋体" w:cs="宋体"/>
          <w:color w:val="auto"/>
          <w:szCs w:val="21"/>
          <w:highlight w:val="none"/>
        </w:rPr>
        <w:t>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若投标人不参加开标会的，或不签字确认的，视同该投标人认可开标结果</w:t>
      </w:r>
      <w:r>
        <w:rPr>
          <w:rFonts w:hint="eastAsia" w:ascii="宋体" w:hAnsi="宋体" w:eastAsia="宋体" w:cs="宋体"/>
          <w:color w:val="auto"/>
          <w:sz w:val="21"/>
          <w:szCs w:val="21"/>
          <w:highlight w:val="none"/>
          <w:u w:val="single"/>
        </w:rPr>
        <w:t>；</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条款号：38.1                               修改类型：修改</w:t>
      </w:r>
    </w:p>
    <w:p>
      <w:pPr>
        <w:pBdr>
          <w:bottom w:val="single" w:color="auto" w:sz="6" w:space="1"/>
        </w:pBdr>
        <w:spacing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38.1</w:t>
      </w:r>
      <w:r>
        <w:rPr>
          <w:rFonts w:hint="eastAsia" w:ascii="宋体" w:hAnsi="宋体" w:cs="宋体"/>
          <w:color w:val="auto"/>
          <w:szCs w:val="21"/>
          <w:highlight w:val="none"/>
        </w:rPr>
        <w:t>38.1为有助于投标文件的审查、评价和比较，评标期间，经评标委员会或评标委员会专业评审组中两人以上（含两人）</w:t>
      </w:r>
      <w:r>
        <w:rPr>
          <w:rFonts w:hint="eastAsia" w:ascii="宋体" w:hAnsi="宋体" w:cs="宋体"/>
          <w:color w:val="auto"/>
          <w:szCs w:val="21"/>
          <w:highlight w:val="none"/>
          <w:u w:val="single"/>
        </w:rPr>
        <w:t>的成员</w:t>
      </w:r>
      <w:r>
        <w:rPr>
          <w:rFonts w:hint="eastAsia" w:ascii="宋体" w:hAnsi="宋体" w:cs="宋体"/>
          <w:color w:val="auto"/>
          <w:szCs w:val="21"/>
          <w:highlight w:val="none"/>
        </w:rPr>
        <w:t>以书面形式提出动议，评标委员会或评标委员会专业评审组应当书面发出澄清通知，要求投标人对投标文件含义不明确</w:t>
      </w:r>
      <w:r>
        <w:rPr>
          <w:rFonts w:hint="eastAsia" w:ascii="宋体" w:hAnsi="宋体" w:cs="宋体"/>
          <w:color w:val="auto"/>
          <w:szCs w:val="21"/>
          <w:highlight w:val="none"/>
          <w:u w:val="single"/>
        </w:rPr>
        <w:t>、对同类问题表述不一致、有明显文字和计算错误的内容以及细微偏差</w:t>
      </w:r>
      <w:r>
        <w:rPr>
          <w:rFonts w:hint="eastAsia" w:ascii="宋体" w:hAnsi="宋体" w:cs="宋体"/>
          <w:color w:val="auto"/>
          <w:szCs w:val="21"/>
          <w:highlight w:val="none"/>
        </w:rPr>
        <w:t>的内容作出澄清</w:t>
      </w:r>
      <w:r>
        <w:rPr>
          <w:rFonts w:hint="eastAsia" w:ascii="宋体" w:hAnsi="宋体" w:eastAsia="宋体" w:cs="宋体"/>
          <w:color w:val="auto"/>
          <w:szCs w:val="21"/>
          <w:highlight w:val="none"/>
        </w:rPr>
        <w:t>。</w:t>
      </w:r>
    </w:p>
    <w:p>
      <w:pPr>
        <w:spacing w:line="360" w:lineRule="auto"/>
        <w:ind w:firstLine="472" w:firstLineChars="224"/>
        <w:rPr>
          <w:rFonts w:hint="eastAsia" w:ascii="宋体" w:hAnsi="宋体" w:cs="宋体"/>
          <w:color w:val="auto"/>
          <w:sz w:val="24"/>
          <w:szCs w:val="24"/>
          <w:highlight w:val="none"/>
        </w:rPr>
      </w:pPr>
      <w:r>
        <w:rPr>
          <w:rFonts w:hint="eastAsia" w:ascii="宋体" w:hAnsi="宋体" w:cs="宋体"/>
          <w:b/>
          <w:color w:val="auto"/>
          <w:szCs w:val="21"/>
          <w:highlight w:val="none"/>
        </w:rPr>
        <w:t>条款号：39.3                        修改类型：修改</w:t>
      </w:r>
    </w:p>
    <w:p>
      <w:pPr>
        <w:spacing w:line="360" w:lineRule="auto"/>
        <w:ind w:firstLine="422" w:firstLineChars="200"/>
        <w:rPr>
          <w:rFonts w:hint="eastAsia" w:ascii="宋体" w:hAnsi="宋体" w:cs="宋体"/>
          <w:color w:val="auto"/>
          <w:szCs w:val="21"/>
          <w:highlight w:val="none"/>
        </w:rPr>
      </w:pPr>
      <w:r>
        <w:rPr>
          <w:rFonts w:hint="eastAsia"/>
          <w:b/>
          <w:bCs/>
          <w:color w:val="auto"/>
          <w:szCs w:val="21"/>
          <w:highlight w:val="none"/>
        </w:rPr>
        <w:t>原文：</w:t>
      </w: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39.3</w:t>
      </w:r>
      <w:r>
        <w:rPr>
          <w:rFonts w:hint="eastAsia" w:ascii="宋体" w:hAnsi="宋体"/>
          <w:bCs/>
          <w:color w:val="auto"/>
          <w:szCs w:val="21"/>
          <w:highlight w:val="none"/>
        </w:rPr>
        <w:t>排名第一的中标候选人放弃中标、</w:t>
      </w:r>
      <w:r>
        <w:rPr>
          <w:rFonts w:hint="eastAsia" w:ascii="宋体" w:hAnsi="宋体" w:cs="宋体"/>
          <w:color w:val="auto"/>
          <w:szCs w:val="21"/>
          <w:highlight w:val="none"/>
        </w:rPr>
        <w:t>或因不可抗力提出不能履行合同，或者招标文件规定应当提交履约担保而在规定的期限内未能提交的，</w:t>
      </w:r>
      <w:r>
        <w:rPr>
          <w:rFonts w:hint="eastAsia" w:ascii="宋体" w:hAnsi="宋体"/>
          <w:bCs/>
          <w:color w:val="auto"/>
          <w:szCs w:val="21"/>
          <w:highlight w:val="none"/>
          <w:u w:val="single"/>
        </w:rPr>
        <w:t>或经核查发现委派的项目负责人已在其他在建项目中任本职的，或者被查实存在影响中标结果的违法行为等情形，不符合中标条件的，</w:t>
      </w:r>
      <w:r>
        <w:rPr>
          <w:rFonts w:hint="eastAsia" w:ascii="宋体" w:hAnsi="宋体"/>
          <w:bCs/>
          <w:color w:val="auto"/>
          <w:szCs w:val="21"/>
          <w:highlight w:val="none"/>
        </w:rPr>
        <w:t>招标人可以确定排名第二的中标候选人为中标人。</w:t>
      </w:r>
    </w:p>
    <w:p>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Cs w:val="21"/>
          <w:highlight w:val="none"/>
        </w:rPr>
        <w:t>条款号：</w:t>
      </w:r>
      <w:r>
        <w:rPr>
          <w:rFonts w:hint="eastAsia" w:ascii="宋体" w:hAnsi="宋体" w:eastAsia="宋体" w:cs="宋体"/>
          <w:b/>
          <w:bCs/>
          <w:color w:val="auto"/>
          <w:szCs w:val="21"/>
          <w:highlight w:val="none"/>
        </w:rPr>
        <w:t>（二）开标评标办法程序和细则</w:t>
      </w:r>
      <w:r>
        <w:rPr>
          <w:rFonts w:hint="eastAsia" w:ascii="宋体" w:hAnsi="宋体" w:eastAsia="宋体" w:cs="宋体"/>
          <w:b/>
          <w:color w:val="auto"/>
          <w:szCs w:val="21"/>
          <w:highlight w:val="none"/>
        </w:rPr>
        <w:t xml:space="preserve">    </w:t>
      </w:r>
      <w:r>
        <w:rPr>
          <w:rFonts w:hint="eastAsia" w:ascii="宋体" w:hAnsi="宋体" w:eastAsia="宋体" w:cs="宋体"/>
          <w:b/>
          <w:bCs/>
          <w:color w:val="auto"/>
          <w:szCs w:val="21"/>
          <w:highlight w:val="none"/>
        </w:rPr>
        <w:t>注：</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修改</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原文：</w:t>
      </w:r>
      <w:r>
        <w:rPr>
          <w:rFonts w:hint="eastAsia" w:ascii="宋体" w:hAnsi="宋体" w:eastAsia="宋体" w:cs="宋体"/>
          <w:color w:val="auto"/>
          <w:szCs w:val="21"/>
          <w:highlight w:val="none"/>
        </w:rPr>
        <w:t>（二）开标评标办法程序和细则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注：以下八种评标办法所述企业综合诚信评价分数即投标截止当日广州市工程招标代理行业协会网站上公布的企业综合诚信评价60日诚信分。</w:t>
      </w:r>
    </w:p>
    <w:p>
      <w:pPr>
        <w:pBdr>
          <w:bottom w:val="single" w:color="auto" w:sz="6" w:space="1"/>
        </w:pBdr>
        <w:spacing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（二）开标评标办法程序和细则</w:t>
      </w:r>
    </w:p>
    <w:p>
      <w:pPr>
        <w:pBdr>
          <w:bottom w:val="single" w:color="auto" w:sz="6" w:space="1"/>
        </w:pBdr>
        <w:spacing w:line="360" w:lineRule="auto"/>
        <w:ind w:firstLine="470" w:firstLineChars="224"/>
        <w:rPr>
          <w:rFonts w:hint="eastAsia" w:ascii="宋体" w:hAnsi="宋体" w:eastAsia="宋体" w:cs="宋体"/>
          <w:color w:val="auto"/>
          <w:szCs w:val="21"/>
          <w:highlight w:val="none"/>
        </w:rPr>
      </w:pPr>
      <w:r>
        <w:rPr>
          <w:rFonts w:hint="eastAsia" w:ascii="宋体" w:hAnsi="宋体" w:cs="宋体"/>
          <w:strike/>
          <w:color w:val="auto"/>
          <w:szCs w:val="21"/>
          <w:highlight w:val="none"/>
        </w:rPr>
        <w:t>注：以下八种评标办法所述企业综合诚信评价分数即投标截止当日广州市工程招标代理行业协会网站上公布的企业综合诚信评价</w:t>
      </w:r>
      <w:r>
        <w:rPr>
          <w:rFonts w:ascii="宋体" w:hAnsi="宋体" w:cs="宋体"/>
          <w:strike/>
          <w:color w:val="auto"/>
          <w:szCs w:val="21"/>
          <w:highlight w:val="none"/>
        </w:rPr>
        <w:t>60</w:t>
      </w:r>
      <w:r>
        <w:rPr>
          <w:rFonts w:hint="eastAsia" w:ascii="宋体" w:hAnsi="宋体" w:cs="宋体"/>
          <w:strike/>
          <w:color w:val="auto"/>
          <w:szCs w:val="21"/>
          <w:highlight w:val="none"/>
        </w:rPr>
        <w:t>日诚信分。</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可选办法一（适合综合评分法一，技术标与经济标先后分别开启）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可选办法二（适合综合评分法一，技术标与经济标同时开启）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可选办法三（适合综合评分法二，技术标与经济标先后分别开启）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可选办法四（适合综合评分法二，技术标与经济标同时开启）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可选办法五（适合综合评分法三，技术标与经济标先后分别开启）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可选办法六（适合综合评分法三，技术标与经济标同时开启）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可选办法七（适合综合评分法四，技术标与经济标同时开启）</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综合评分法</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 w:val="18"/>
          <w:szCs w:val="18"/>
          <w:highlight w:val="none"/>
        </w:rPr>
        <w:t xml:space="preserve">可选办法八（适合经评审的最低投标价法，技术标与经济标同时开启）       </w:t>
      </w:r>
      <w:r>
        <w:rPr>
          <w:rFonts w:hint="eastAsia" w:ascii="宋体" w:hAnsi="宋体" w:cs="宋体"/>
          <w:b/>
          <w:color w:val="auto"/>
          <w:szCs w:val="21"/>
          <w:highlight w:val="none"/>
        </w:rPr>
        <w:t>修改类型：删除</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条款号：41.1                        修改类型：修改</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条款号：41.2.1                      修改类型：修改</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交易平台。有关投标文件提交的事项详见第一章投标须知。</w:t>
      </w:r>
    </w:p>
    <w:p>
      <w:pPr>
        <w:pBdr>
          <w:bottom w:val="single" w:color="auto" w:sz="6" w:space="1"/>
        </w:pBdr>
        <w:spacing w:line="360" w:lineRule="auto"/>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41.2.1投标截止期前，各投标人递交投标文件</w:t>
      </w:r>
      <w:r>
        <w:rPr>
          <w:rFonts w:hint="eastAsia" w:ascii="宋体" w:hAnsi="宋体" w:cs="宋体"/>
          <w:color w:val="auto"/>
          <w:szCs w:val="21"/>
          <w:highlight w:val="none"/>
          <w:u w:val="single"/>
        </w:rPr>
        <w:t>[包括技术标投标文件（含资格审查文件）、经济标投标文件]</w:t>
      </w:r>
      <w:r>
        <w:rPr>
          <w:rFonts w:hint="eastAsia" w:ascii="宋体" w:hAnsi="宋体" w:cs="宋体"/>
          <w:color w:val="auto"/>
          <w:szCs w:val="21"/>
          <w:highlight w:val="none"/>
        </w:rPr>
        <w:t>至</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交易平台。有关投标文件提交的事项详见第一章投标须知。</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条款号：41.2.2                      修改类型：修改</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41.2.2开标前，首先由招标人随机抽取确定该工程计算评标参考价的等分点值X。</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41.2.2开标前，首先由招标人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随机抽取确定该工程计算评标参考价的等分点值X。</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条款号：41.2.4.1                    修改类型：修改</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41.2.4.1</w:t>
      </w:r>
      <w:r>
        <w:rPr>
          <w:rFonts w:hint="eastAsia" w:ascii="宋体" w:hAnsi="宋体" w:cs="宋体"/>
          <w:color w:val="auto"/>
          <w:szCs w:val="21"/>
          <w:highlight w:val="none"/>
        </w:rPr>
        <w:t>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41.2.4.1开标时，公布：a、投标人名称；b、投标文件密封情况；c、投标报价；</w:t>
      </w:r>
      <w:r>
        <w:rPr>
          <w:rFonts w:hint="eastAsia" w:ascii="宋体" w:hAnsi="宋体" w:cs="宋体"/>
          <w:strike/>
          <w:color w:val="auto"/>
          <w:szCs w:val="21"/>
          <w:highlight w:val="none"/>
        </w:rPr>
        <w:t>d、投标保证金；</w:t>
      </w:r>
      <w:r>
        <w:rPr>
          <w:rFonts w:hint="eastAsia" w:ascii="宋体" w:hAnsi="宋体" w:cs="宋体"/>
          <w:color w:val="auto"/>
          <w:szCs w:val="21"/>
          <w:highlight w:val="none"/>
        </w:rPr>
        <w:t>e、项目经理（负责人）名称；f、法定代表人证明及授权委托等主要内容及开标记录表中的其他必要内容。投标报价以数字和文字两种方式表述的，应公布文字表述的投标报价。</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条款号：42.2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一：评标委员会为综合评标委员会，负责资格审查及评标工作。评标委员会</w:t>
      </w:r>
      <w:r>
        <w:rPr>
          <w:rFonts w:hint="eastAsia" w:ascii="宋体" w:hAnsi="宋体"/>
          <w:color w:val="auto"/>
          <w:szCs w:val="21"/>
          <w:highlight w:val="none"/>
          <w:u w:val="single"/>
        </w:rPr>
        <w:t>专家均由广东省综合评标评审专家库随机抽取，评标委员会人数为五人以上单数。</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条款号：43.6                      　修改类型：修改</w:t>
      </w:r>
    </w:p>
    <w:p>
      <w:pPr>
        <w:widowControl/>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43.6资格审查合格的投标人少于3名的（当N个标段同时招标且不允许兼中时，资格审查合格的投标人少于N+2名），则本项目招标失败。</w:t>
      </w:r>
    </w:p>
    <w:p>
      <w:pPr>
        <w:pBdr>
          <w:bottom w:val="single" w:color="auto" w:sz="6" w:space="1"/>
        </w:pBdr>
        <w:spacing w:line="360" w:lineRule="auto"/>
        <w:ind w:firstLine="472" w:firstLineChars="224"/>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43.6</w:t>
      </w:r>
      <w:r>
        <w:rPr>
          <w:rFonts w:hint="eastAsia" w:ascii="宋体" w:hAnsi="宋体" w:cs="宋体"/>
          <w:color w:val="auto"/>
          <w:szCs w:val="21"/>
          <w:highlight w:val="none"/>
          <w:u w:val="single"/>
        </w:rPr>
        <w:t>若满足资格审查合格条件（投标人合格条件）的投标申请人不足3名，则重新招标。</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条款号：44.1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4</w:t>
      </w:r>
      <w:r>
        <w:rPr>
          <w:rFonts w:hint="eastAsia" w:ascii="宋体" w:hAnsi="宋体" w:cs="宋体"/>
          <w:color w:val="auto"/>
          <w:szCs w:val="21"/>
          <w:highlight w:val="none"/>
        </w:rPr>
        <w:t>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Bdr>
          <w:bottom w:val="single" w:color="auto" w:sz="6" w:space="1"/>
        </w:pBdr>
        <w:spacing w:line="360" w:lineRule="auto"/>
        <w:ind w:firstLine="413" w:firstLineChars="196"/>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ascii="宋体" w:hAnsi="宋体" w:cs="宋体"/>
          <w:color w:val="auto"/>
          <w:szCs w:val="21"/>
          <w:highlight w:val="none"/>
        </w:rPr>
        <w:t>4</w:t>
      </w:r>
      <w:r>
        <w:rPr>
          <w:rFonts w:hint="eastAsia" w:ascii="宋体" w:hAnsi="宋体" w:cs="宋体"/>
          <w:color w:val="auto"/>
          <w:szCs w:val="21"/>
          <w:highlight w:val="none"/>
        </w:rPr>
        <w:t>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cs="宋体"/>
          <w:color w:val="auto"/>
          <w:szCs w:val="21"/>
          <w:highlight w:val="none"/>
          <w:u w:val="single"/>
        </w:rPr>
        <w:t>若通过技术标有效性审查的投标人不足三家，则重新招标。</w:t>
      </w:r>
      <w:r>
        <w:rPr>
          <w:rFonts w:hint="eastAsia" w:ascii="宋体" w:hAnsi="宋体" w:cs="宋体"/>
          <w:color w:val="auto"/>
          <w:szCs w:val="21"/>
          <w:highlight w:val="none"/>
        </w:rPr>
        <w:t>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条款号：45                      　　修改类型：修改</w:t>
      </w:r>
    </w:p>
    <w:p>
      <w:pPr>
        <w:pStyle w:val="18"/>
        <w:tabs>
          <w:tab w:val="left" w:pos="7380"/>
        </w:tabs>
        <w:spacing w:after="0" w:line="360" w:lineRule="auto"/>
        <w:ind w:firstLine="422" w:firstLineChars="200"/>
        <w:rPr>
          <w:rFonts w:ascii="宋体"/>
          <w:color w:val="auto"/>
          <w:sz w:val="21"/>
          <w:szCs w:val="21"/>
          <w:highlight w:val="none"/>
        </w:rPr>
      </w:pPr>
      <w:r>
        <w:rPr>
          <w:rFonts w:hint="eastAsia" w:ascii="宋体" w:hAnsi="宋体" w:cs="宋体"/>
          <w:b/>
          <w:color w:val="auto"/>
          <w:sz w:val="21"/>
          <w:szCs w:val="21"/>
          <w:highlight w:val="none"/>
        </w:rPr>
        <w:t>原文：</w:t>
      </w:r>
      <w:r>
        <w:rPr>
          <w:rFonts w:hint="eastAsia" w:ascii="宋体"/>
          <w:color w:val="auto"/>
          <w:sz w:val="21"/>
          <w:szCs w:val="21"/>
          <w:highlight w:val="none"/>
        </w:rPr>
        <w:t>45．经济标评审和得分汇总</w:t>
      </w:r>
    </w:p>
    <w:p>
      <w:pPr>
        <w:pStyle w:val="18"/>
        <w:tabs>
          <w:tab w:val="left" w:pos="7380"/>
        </w:tabs>
        <w:spacing w:after="0" w:line="360" w:lineRule="auto"/>
        <w:ind w:firstLineChars="200"/>
        <w:rPr>
          <w:rFonts w:ascii="宋体" w:hAnsi="宋体"/>
          <w:color w:val="auto"/>
          <w:sz w:val="21"/>
          <w:szCs w:val="21"/>
          <w:highlight w:val="none"/>
        </w:rPr>
      </w:pPr>
      <w:r>
        <w:rPr>
          <w:rFonts w:hint="eastAsia" w:ascii="宋体" w:hAnsi="宋体"/>
          <w:color w:val="auto"/>
          <w:sz w:val="21"/>
          <w:szCs w:val="21"/>
          <w:highlight w:val="none"/>
        </w:rPr>
        <w:t>45.1若通过技术标有效性审查的投标人中所有投标报价均大于等于最高投标限价，则本项目招标失败，由招标人依法重新招标。</w:t>
      </w:r>
    </w:p>
    <w:p>
      <w:pPr>
        <w:pStyle w:val="18"/>
        <w:tabs>
          <w:tab w:val="left" w:pos="7380"/>
        </w:tabs>
        <w:spacing w:after="0" w:line="360" w:lineRule="auto"/>
        <w:ind w:firstLineChars="200"/>
        <w:rPr>
          <w:rFonts w:ascii="宋体"/>
          <w:color w:val="auto"/>
          <w:sz w:val="21"/>
          <w:szCs w:val="21"/>
          <w:highlight w:val="none"/>
        </w:rPr>
      </w:pPr>
      <w:r>
        <w:rPr>
          <w:rFonts w:hint="eastAsia" w:ascii="宋体" w:hAnsi="宋体"/>
          <w:color w:val="auto"/>
          <w:sz w:val="21"/>
          <w:szCs w:val="21"/>
          <w:highlight w:val="none"/>
        </w:rPr>
        <w:t>45.2按方法</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计算评标参考价：</w:t>
      </w:r>
    </w:p>
    <w:p>
      <w:pPr>
        <w:widowControl/>
        <w:spacing w:line="360" w:lineRule="auto"/>
        <w:ind w:firstLine="422" w:firstLineChars="200"/>
        <w:rPr>
          <w:rFonts w:ascii="宋体" w:hAnsi="宋体"/>
          <w:b/>
          <w:bCs/>
          <w:color w:val="auto"/>
          <w:kern w:val="0"/>
          <w:szCs w:val="21"/>
          <w:highlight w:val="none"/>
        </w:rPr>
      </w:pPr>
      <w:r>
        <w:rPr>
          <w:rFonts w:hint="eastAsia" w:ascii="宋体" w:hAnsi="宋体" w:cs="仿宋"/>
          <w:b/>
          <w:bCs/>
          <w:color w:val="auto"/>
          <w:kern w:val="0"/>
          <w:szCs w:val="21"/>
          <w:highlight w:val="none"/>
        </w:rPr>
        <w:t>方法一：加权平均法</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技术标或技术标加诚信得分（具体由招标人自定）前</w:t>
      </w:r>
      <w:r>
        <w:rPr>
          <w:rFonts w:ascii="宋体" w:hAnsi="宋体" w:cs="仿宋"/>
          <w:color w:val="auto"/>
          <w:szCs w:val="21"/>
          <w:highlight w:val="none"/>
        </w:rPr>
        <w:t>N</w:t>
      </w:r>
      <w:r>
        <w:rPr>
          <w:rFonts w:hint="eastAsia" w:ascii="宋体" w:hAnsi="宋体" w:cs="仿宋"/>
          <w:color w:val="auto"/>
          <w:szCs w:val="21"/>
          <w:highlight w:val="none"/>
        </w:rPr>
        <w:t>名（N≥5，具体由招标人自定）的经济报价加权平均，计算评标参考价。公式如下：</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评标参考价</w:t>
      </w:r>
      <w:r>
        <w:rPr>
          <w:rFonts w:ascii="宋体" w:hAnsi="宋体" w:cs="仿宋"/>
          <w:color w:val="auto"/>
          <w:szCs w:val="21"/>
          <w:highlight w:val="none"/>
        </w:rPr>
        <w:t>=</w:t>
      </w:r>
      <w:r>
        <w:rPr>
          <w:rFonts w:hint="eastAsia" w:ascii="宋体" w:hAnsi="宋体" w:cs="仿宋"/>
          <w:color w:val="auto"/>
          <w:szCs w:val="21"/>
          <w:highlight w:val="none"/>
        </w:rPr>
        <w:t>Σ（投标人的投标报价</w:t>
      </w:r>
      <w:r>
        <w:rPr>
          <w:rFonts w:ascii="宋体" w:hAnsi="宋体" w:cs="仿宋"/>
          <w:color w:val="auto"/>
          <w:szCs w:val="21"/>
          <w:highlight w:val="none"/>
        </w:rPr>
        <w:t>*</w:t>
      </w:r>
      <w:r>
        <w:rPr>
          <w:rFonts w:hint="eastAsia" w:ascii="宋体" w:hAnsi="宋体" w:cs="仿宋"/>
          <w:color w:val="auto"/>
          <w:szCs w:val="21"/>
          <w:highlight w:val="none"/>
        </w:rPr>
        <w:t>报价权重）。</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其中：报价权重的计算方法为：将</w:t>
      </w:r>
      <w:r>
        <w:rPr>
          <w:rFonts w:ascii="宋体" w:hAnsi="宋体" w:cs="仿宋"/>
          <w:color w:val="auto"/>
          <w:szCs w:val="21"/>
          <w:highlight w:val="none"/>
        </w:rPr>
        <w:t>N</w:t>
      </w:r>
      <w:r>
        <w:rPr>
          <w:rFonts w:hint="eastAsia" w:ascii="宋体" w:hAnsi="宋体" w:cs="仿宋"/>
          <w:color w:val="auto"/>
          <w:szCs w:val="21"/>
          <w:highlight w:val="none"/>
        </w:rPr>
        <w:t>名投标人按技术分由高至低进行排序，第一名投标人的权重为（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szCs w:val="21"/>
          <w:highlight w:val="none"/>
        </w:rPr>
        <w:drawing>
          <wp:inline distT="0" distB="0" distL="114300" distR="114300">
            <wp:extent cx="381000" cy="447675"/>
            <wp:effectExtent l="0" t="0" r="0" b="889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szCs w:val="21"/>
          <w:highlight w:val="none"/>
        </w:rPr>
        <w:drawing>
          <wp:inline distT="0" distB="0" distL="114300" distR="114300">
            <wp:extent cx="381000" cy="447675"/>
            <wp:effectExtent l="0" t="0" r="0" b="889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），第二名投标人的权重为（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3850" cy="400050"/>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），以此类推，最后一名投标人的权重为（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3850" cy="40005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3850" cy="400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w:t>
      </w:r>
    </w:p>
    <w:p>
      <w:pPr>
        <w:widowControl/>
        <w:spacing w:line="360" w:lineRule="auto"/>
        <w:ind w:firstLine="422" w:firstLineChars="200"/>
        <w:rPr>
          <w:rFonts w:ascii="宋体" w:hAnsi="宋体"/>
          <w:b/>
          <w:bCs/>
          <w:color w:val="auto"/>
          <w:kern w:val="0"/>
          <w:szCs w:val="21"/>
          <w:highlight w:val="none"/>
        </w:rPr>
      </w:pPr>
      <w:r>
        <w:rPr>
          <w:rFonts w:hint="eastAsia" w:ascii="宋体" w:hAnsi="宋体" w:cs="仿宋"/>
          <w:b/>
          <w:bCs/>
          <w:color w:val="auto"/>
          <w:kern w:val="0"/>
          <w:szCs w:val="21"/>
          <w:highlight w:val="none"/>
        </w:rPr>
        <w:t>方法二：区间抽取法</w:t>
      </w:r>
    </w:p>
    <w:p>
      <w:pPr>
        <w:widowControl/>
        <w:spacing w:line="360" w:lineRule="auto"/>
        <w:ind w:firstLine="420" w:firstLineChars="200"/>
        <w:rPr>
          <w:rFonts w:ascii="宋体" w:hAnsi="宋体"/>
          <w:color w:val="auto"/>
          <w:kern w:val="0"/>
          <w:szCs w:val="21"/>
          <w:highlight w:val="none"/>
        </w:rPr>
      </w:pPr>
      <w:r>
        <w:rPr>
          <w:rFonts w:hint="eastAsia" w:ascii="宋体" w:hAnsi="宋体" w:cs="仿宋"/>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pacing w:line="360" w:lineRule="auto"/>
        <w:ind w:firstLine="420" w:firstLineChars="200"/>
        <w:rPr>
          <w:rFonts w:ascii="宋体" w:hAnsi="宋体"/>
          <w:color w:val="auto"/>
          <w:kern w:val="0"/>
          <w:szCs w:val="21"/>
          <w:highlight w:val="none"/>
          <w:vertAlign w:val="subscript"/>
        </w:rPr>
      </w:pPr>
      <w:r>
        <w:rPr>
          <w:rFonts w:hint="eastAsia" w:ascii="宋体" w:hAnsi="宋体" w:cs="仿宋"/>
          <w:color w:val="auto"/>
          <w:kern w:val="0"/>
          <w:szCs w:val="21"/>
          <w:highlight w:val="none"/>
        </w:rPr>
        <w:t>评标参考价</w:t>
      </w:r>
      <w:r>
        <w:rPr>
          <w:rFonts w:ascii="宋体" w:hAnsi="宋体" w:cs="仿宋"/>
          <w:color w:val="auto"/>
          <w:kern w:val="0"/>
          <w:szCs w:val="21"/>
          <w:highlight w:val="none"/>
        </w:rPr>
        <w:t>=</w:t>
      </w:r>
      <w:r>
        <w:rPr>
          <w:rFonts w:hint="eastAsia" w:ascii="宋体" w:hAnsi="宋体" w:cs="仿宋"/>
          <w:color w:val="auto"/>
          <w:kern w:val="0"/>
          <w:szCs w:val="21"/>
          <w:highlight w:val="none"/>
        </w:rPr>
        <w:t>（</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r>
        <w:rPr>
          <w:rFonts w:hint="eastAsia" w:ascii="宋体" w:hAnsi="宋体" w:cs="仿宋"/>
          <w:color w:val="auto"/>
          <w:kern w:val="0"/>
          <w:szCs w:val="21"/>
          <w:highlight w:val="none"/>
        </w:rPr>
        <w:t>）</w:t>
      </w:r>
      <w:r>
        <w:rPr>
          <w:rFonts w:ascii="宋体" w:hAnsi="宋体" w:cs="仿宋"/>
          <w:color w:val="auto"/>
          <w:kern w:val="0"/>
          <w:szCs w:val="21"/>
          <w:highlight w:val="none"/>
        </w:rPr>
        <w:t>/100*</w:t>
      </w:r>
      <w:r>
        <w:rPr>
          <w:rFonts w:hint="eastAsia" w:ascii="宋体" w:hAnsi="宋体" w:cs="仿宋"/>
          <w:color w:val="auto"/>
          <w:kern w:val="0"/>
          <w:szCs w:val="21"/>
          <w:highlight w:val="none"/>
        </w:rPr>
        <w:t>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p>
    <w:p>
      <w:pPr>
        <w:widowControl/>
        <w:spacing w:line="360" w:lineRule="auto"/>
        <w:ind w:firstLine="420" w:firstLineChars="200"/>
        <w:rPr>
          <w:rFonts w:ascii="宋体" w:hAnsi="宋体"/>
          <w:color w:val="auto"/>
          <w:szCs w:val="21"/>
          <w:highlight w:val="none"/>
        </w:rPr>
      </w:pPr>
      <w:r>
        <w:rPr>
          <w:rFonts w:ascii="宋体" w:hAnsi="宋体" w:cs="仿宋"/>
          <w:color w:val="auto"/>
          <w:szCs w:val="21"/>
          <w:highlight w:val="none"/>
        </w:rPr>
        <w:t>Q</w:t>
      </w:r>
      <w:r>
        <w:rPr>
          <w:rFonts w:hint="eastAsia" w:ascii="宋体" w:hAnsi="宋体" w:cs="仿宋"/>
          <w:color w:val="auto"/>
          <w:szCs w:val="21"/>
          <w:highlight w:val="none"/>
          <w:vertAlign w:val="subscript"/>
        </w:rPr>
        <w:t>低</w:t>
      </w:r>
      <w:r>
        <w:rPr>
          <w:rFonts w:hint="eastAsia" w:ascii="宋体" w:hAnsi="宋体" w:cs="仿宋"/>
          <w:color w:val="auto"/>
          <w:szCs w:val="21"/>
          <w:highlight w:val="none"/>
        </w:rPr>
        <w:t>：为达到或超过技术标及格分数线的投标人最低报价与工程成本警示价两者中的较高值；</w:t>
      </w:r>
    </w:p>
    <w:p>
      <w:pPr>
        <w:spacing w:line="360" w:lineRule="auto"/>
        <w:ind w:firstLine="420" w:firstLineChars="200"/>
        <w:rPr>
          <w:rFonts w:ascii="宋体" w:hAnsi="宋体" w:cs="仿宋"/>
          <w:color w:val="auto"/>
          <w:szCs w:val="21"/>
          <w:highlight w:val="none"/>
        </w:rPr>
      </w:pP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hint="eastAsia" w:ascii="宋体" w:hAnsi="宋体" w:cs="仿宋"/>
          <w:color w:val="auto"/>
          <w:szCs w:val="21"/>
          <w:highlight w:val="none"/>
        </w:rPr>
        <w:t>：为最高投标限价</w:t>
      </w:r>
    </w:p>
    <w:p>
      <w:pPr>
        <w:spacing w:line="360" w:lineRule="auto"/>
        <w:ind w:firstLine="420" w:firstLineChars="200"/>
        <w:rPr>
          <w:rFonts w:ascii="宋体" w:hAnsi="宋体"/>
          <w:color w:val="auto"/>
          <w:szCs w:val="21"/>
          <w:highlight w:val="none"/>
        </w:rPr>
      </w:pPr>
      <w:r>
        <w:rPr>
          <w:rFonts w:ascii="宋体" w:hAnsi="宋体" w:cs="仿宋"/>
          <w:color w:val="auto"/>
          <w:szCs w:val="21"/>
          <w:highlight w:val="none"/>
        </w:rPr>
        <w:t>X:</w:t>
      </w:r>
      <w:r>
        <w:rPr>
          <w:rFonts w:hint="eastAsia" w:ascii="宋体" w:hAnsi="宋体" w:cs="仿宋"/>
          <w:color w:val="auto"/>
          <w:szCs w:val="21"/>
          <w:highlight w:val="none"/>
        </w:rPr>
        <w:t>为等分点值，在开标前从</w:t>
      </w:r>
      <w:r>
        <w:rPr>
          <w:rFonts w:ascii="宋体" w:hAnsi="宋体" w:cs="仿宋"/>
          <w:color w:val="auto"/>
          <w:szCs w:val="21"/>
          <w:highlight w:val="none"/>
        </w:rPr>
        <w:t>[0,100]</w:t>
      </w:r>
      <w:r>
        <w:rPr>
          <w:rFonts w:hint="eastAsia" w:ascii="宋体" w:hAnsi="宋体" w:cs="仿宋"/>
          <w:color w:val="auto"/>
          <w:szCs w:val="21"/>
          <w:highlight w:val="none"/>
        </w:rPr>
        <w:t>整数中随机抽取</w:t>
      </w:r>
    </w:p>
    <w:p>
      <w:pPr>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45.3</w:t>
      </w:r>
      <w:r>
        <w:rPr>
          <w:rFonts w:hint="eastAsia" w:ascii="宋体" w:hAnsi="宋体"/>
          <w:color w:val="auto"/>
          <w:szCs w:val="21"/>
          <w:highlight w:val="none"/>
        </w:rPr>
        <w:t>当标价等于评标参考价时得</w:t>
      </w:r>
      <w:r>
        <w:rPr>
          <w:rFonts w:ascii="宋体" w:hAnsi="宋体"/>
          <w:color w:val="auto"/>
          <w:szCs w:val="21"/>
          <w:highlight w:val="none"/>
        </w:rPr>
        <w:t>100</w:t>
      </w:r>
      <w:r>
        <w:rPr>
          <w:rFonts w:hint="eastAsia" w:ascii="宋体" w:hAnsi="宋体"/>
          <w:color w:val="auto"/>
          <w:szCs w:val="21"/>
          <w:highlight w:val="none"/>
        </w:rPr>
        <w:t>分，标价每高于评标参考价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1.5</w:t>
      </w:r>
      <w:r>
        <w:rPr>
          <w:rFonts w:hint="eastAsia" w:ascii="宋体" w:hAnsi="宋体"/>
          <w:color w:val="auto"/>
          <w:szCs w:val="21"/>
          <w:highlight w:val="none"/>
        </w:rPr>
        <w:t>分，每低于评标参考价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w:t>
      </w:r>
      <w:r>
        <w:rPr>
          <w:rFonts w:hint="eastAsia" w:ascii="宋体" w:hAnsi="宋体"/>
          <w:color w:val="auto"/>
          <w:szCs w:val="21"/>
          <w:highlight w:val="none"/>
        </w:rPr>
        <w:t>分，扣至</w:t>
      </w:r>
      <w:r>
        <w:rPr>
          <w:rFonts w:ascii="宋体" w:hAnsi="宋体"/>
          <w:color w:val="auto"/>
          <w:szCs w:val="21"/>
          <w:highlight w:val="none"/>
        </w:rPr>
        <w:t>0</w:t>
      </w:r>
      <w:r>
        <w:rPr>
          <w:rFonts w:hint="eastAsia" w:ascii="宋体" w:hAnsi="宋体"/>
          <w:color w:val="auto"/>
          <w:szCs w:val="21"/>
          <w:highlight w:val="none"/>
        </w:rPr>
        <w:t>分为止，得出经济分，精确到小数点后两位。</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45.4</w:t>
      </w:r>
      <w:r>
        <w:rPr>
          <w:rFonts w:hint="eastAsia" w:ascii="宋体"/>
          <w:color w:val="auto"/>
          <w:szCs w:val="21"/>
          <w:highlight w:val="none"/>
        </w:rPr>
        <w:t>计算通过技术标有效性审查的投标人总得分。投标人总得分=（技术得分×技术得分权重</w:t>
      </w:r>
      <w:r>
        <w:rPr>
          <w:rFonts w:hint="eastAsia" w:ascii="宋体" w:cs="宋体"/>
          <w:color w:val="auto"/>
          <w:szCs w:val="21"/>
          <w:highlight w:val="none"/>
        </w:rPr>
        <w:t>＋</w:t>
      </w:r>
      <w:r>
        <w:rPr>
          <w:rFonts w:hint="eastAsia" w:ascii="宋体"/>
          <w:color w:val="auto"/>
          <w:szCs w:val="21"/>
          <w:highlight w:val="none"/>
        </w:rPr>
        <w:t>经济得分×经济得分权重）×（1-综合诚信评价分数权重）</w:t>
      </w:r>
      <w:r>
        <w:rPr>
          <w:rFonts w:hint="eastAsia" w:ascii="宋体" w:cs="宋体"/>
          <w:color w:val="auto"/>
          <w:szCs w:val="21"/>
          <w:highlight w:val="none"/>
        </w:rPr>
        <w:t>＋</w:t>
      </w:r>
      <w:r>
        <w:rPr>
          <w:rFonts w:hint="eastAsia" w:ascii="宋体"/>
          <w:color w:val="auto"/>
          <w:szCs w:val="21"/>
          <w:highlight w:val="none"/>
        </w:rPr>
        <w:t>综合诚信评价排名得分×综合诚信评价分数权重）。技术、经济得分权重按投标须知前附表的规定执行。总得分四舍五入保留两位小数。</w:t>
      </w:r>
    </w:p>
    <w:p>
      <w:pPr>
        <w:pStyle w:val="18"/>
        <w:tabs>
          <w:tab w:val="left" w:pos="7380"/>
        </w:tabs>
        <w:spacing w:after="0" w:line="360" w:lineRule="auto"/>
        <w:ind w:firstLine="422" w:firstLineChars="200"/>
        <w:rPr>
          <w:rFonts w:ascii="宋体"/>
          <w:color w:val="auto"/>
          <w:sz w:val="21"/>
          <w:szCs w:val="21"/>
          <w:highlight w:val="none"/>
        </w:rPr>
      </w:pPr>
      <w:r>
        <w:rPr>
          <w:rFonts w:hint="eastAsia" w:ascii="宋体" w:hAnsi="宋体" w:cs="宋体"/>
          <w:b/>
          <w:bCs/>
          <w:color w:val="auto"/>
          <w:sz w:val="21"/>
          <w:szCs w:val="21"/>
          <w:highlight w:val="none"/>
        </w:rPr>
        <w:t>现文</w:t>
      </w:r>
      <w:r>
        <w:rPr>
          <w:rFonts w:hint="eastAsia" w:ascii="宋体" w:hAnsi="宋体" w:cs="宋体"/>
          <w:color w:val="auto"/>
          <w:sz w:val="21"/>
          <w:szCs w:val="21"/>
          <w:highlight w:val="none"/>
        </w:rPr>
        <w:t>：</w:t>
      </w:r>
      <w:r>
        <w:rPr>
          <w:rFonts w:hint="eastAsia" w:ascii="宋体"/>
          <w:color w:val="auto"/>
          <w:sz w:val="21"/>
          <w:szCs w:val="21"/>
          <w:highlight w:val="none"/>
        </w:rPr>
        <w:t>45．经济标评审和得分汇总</w:t>
      </w:r>
    </w:p>
    <w:p>
      <w:pPr>
        <w:pStyle w:val="18"/>
        <w:tabs>
          <w:tab w:val="left" w:pos="7380"/>
        </w:tabs>
        <w:spacing w:after="0" w:line="360" w:lineRule="auto"/>
        <w:ind w:firstLineChars="200"/>
        <w:rPr>
          <w:rFonts w:ascii="宋体" w:hAnsi="宋体"/>
          <w:color w:val="auto"/>
          <w:sz w:val="21"/>
          <w:szCs w:val="21"/>
          <w:highlight w:val="none"/>
        </w:rPr>
      </w:pPr>
      <w:r>
        <w:rPr>
          <w:rFonts w:hint="eastAsia" w:ascii="宋体" w:hAnsi="宋体"/>
          <w:color w:val="auto"/>
          <w:sz w:val="21"/>
          <w:szCs w:val="21"/>
          <w:highlight w:val="none"/>
        </w:rPr>
        <w:t>45.1若通过技术标有效性审查的投标人中所有投标报价均大于等于最高投标限价，则本项目招标失败，由招标人依法重新招标。</w:t>
      </w:r>
    </w:p>
    <w:p>
      <w:pPr>
        <w:pStyle w:val="18"/>
        <w:tabs>
          <w:tab w:val="left" w:pos="7380"/>
        </w:tabs>
        <w:spacing w:after="0" w:line="360" w:lineRule="auto"/>
        <w:ind w:firstLineChars="200"/>
        <w:rPr>
          <w:rFonts w:ascii="宋体"/>
          <w:color w:val="auto"/>
          <w:sz w:val="21"/>
          <w:szCs w:val="21"/>
          <w:highlight w:val="none"/>
        </w:rPr>
      </w:pPr>
      <w:r>
        <w:rPr>
          <w:rFonts w:hint="eastAsia" w:ascii="宋体" w:hAnsi="宋体"/>
          <w:color w:val="auto"/>
          <w:sz w:val="21"/>
          <w:szCs w:val="21"/>
          <w:highlight w:val="none"/>
        </w:rPr>
        <w:t>45.2按方法</w:t>
      </w:r>
      <w:r>
        <w:rPr>
          <w:rFonts w:hint="eastAsia" w:ascii="宋体" w:hAnsi="宋体"/>
          <w:color w:val="auto"/>
          <w:sz w:val="21"/>
          <w:szCs w:val="21"/>
          <w:highlight w:val="none"/>
          <w:u w:val="single"/>
        </w:rPr>
        <w:t>二区间抽取法</w:t>
      </w:r>
      <w:r>
        <w:rPr>
          <w:rFonts w:hint="eastAsia" w:ascii="宋体" w:hAnsi="宋体"/>
          <w:color w:val="auto"/>
          <w:sz w:val="21"/>
          <w:szCs w:val="21"/>
          <w:highlight w:val="none"/>
        </w:rPr>
        <w:t>计算评标参考价：</w:t>
      </w:r>
    </w:p>
    <w:p>
      <w:pPr>
        <w:widowControl/>
        <w:spacing w:line="360" w:lineRule="auto"/>
        <w:ind w:firstLine="422" w:firstLineChars="200"/>
        <w:rPr>
          <w:rFonts w:ascii="宋体" w:hAnsi="宋体"/>
          <w:b/>
          <w:bCs/>
          <w:strike/>
          <w:color w:val="auto"/>
          <w:kern w:val="0"/>
          <w:szCs w:val="21"/>
          <w:highlight w:val="none"/>
        </w:rPr>
      </w:pPr>
      <w:r>
        <w:rPr>
          <w:rFonts w:hint="eastAsia" w:ascii="宋体" w:hAnsi="宋体" w:cs="仿宋"/>
          <w:b/>
          <w:bCs/>
          <w:strike/>
          <w:color w:val="auto"/>
          <w:kern w:val="0"/>
          <w:szCs w:val="21"/>
          <w:highlight w:val="none"/>
        </w:rPr>
        <w:t>方法一：加权平均法</w:t>
      </w:r>
    </w:p>
    <w:p>
      <w:pPr>
        <w:spacing w:line="360" w:lineRule="auto"/>
        <w:ind w:firstLine="420" w:firstLineChars="200"/>
        <w:rPr>
          <w:rFonts w:ascii="宋体" w:hAnsi="宋体" w:cs="仿宋"/>
          <w:strike/>
          <w:color w:val="auto"/>
          <w:szCs w:val="21"/>
          <w:highlight w:val="none"/>
        </w:rPr>
      </w:pPr>
      <w:r>
        <w:rPr>
          <w:rFonts w:hint="eastAsia" w:ascii="宋体" w:hAnsi="宋体" w:cs="仿宋"/>
          <w:strike/>
          <w:color w:val="auto"/>
          <w:szCs w:val="21"/>
          <w:highlight w:val="none"/>
        </w:rPr>
        <w:t>技术标或技术标加诚信得分（具体由招标人自定）前</w:t>
      </w:r>
      <w:r>
        <w:rPr>
          <w:rFonts w:ascii="宋体" w:hAnsi="宋体" w:cs="仿宋"/>
          <w:strike/>
          <w:color w:val="auto"/>
          <w:szCs w:val="21"/>
          <w:highlight w:val="none"/>
        </w:rPr>
        <w:t>N</w:t>
      </w:r>
      <w:r>
        <w:rPr>
          <w:rFonts w:hint="eastAsia" w:ascii="宋体" w:hAnsi="宋体" w:cs="仿宋"/>
          <w:strike/>
          <w:color w:val="auto"/>
          <w:szCs w:val="21"/>
          <w:highlight w:val="none"/>
        </w:rPr>
        <w:t>名（N≥5，具体由招标人自定）的经济报价加权平均，计算评标参考价。公式如下：</w:t>
      </w:r>
    </w:p>
    <w:p>
      <w:pPr>
        <w:spacing w:line="360" w:lineRule="auto"/>
        <w:ind w:firstLine="420" w:firstLineChars="200"/>
        <w:rPr>
          <w:rFonts w:ascii="宋体" w:hAnsi="宋体" w:cs="仿宋"/>
          <w:strike/>
          <w:color w:val="auto"/>
          <w:szCs w:val="21"/>
          <w:highlight w:val="none"/>
        </w:rPr>
      </w:pPr>
      <w:r>
        <w:rPr>
          <w:rFonts w:hint="eastAsia" w:ascii="宋体" w:hAnsi="宋体" w:cs="仿宋"/>
          <w:strike/>
          <w:color w:val="auto"/>
          <w:szCs w:val="21"/>
          <w:highlight w:val="none"/>
        </w:rPr>
        <w:t>评标参考价</w:t>
      </w:r>
      <w:r>
        <w:rPr>
          <w:rFonts w:ascii="宋体" w:hAnsi="宋体" w:cs="仿宋"/>
          <w:strike/>
          <w:color w:val="auto"/>
          <w:szCs w:val="21"/>
          <w:highlight w:val="none"/>
        </w:rPr>
        <w:t>=</w:t>
      </w:r>
      <w:r>
        <w:rPr>
          <w:rFonts w:hint="eastAsia" w:ascii="宋体" w:hAnsi="宋体" w:cs="仿宋"/>
          <w:strike/>
          <w:color w:val="auto"/>
          <w:szCs w:val="21"/>
          <w:highlight w:val="none"/>
        </w:rPr>
        <w:t>Σ（投标人的投标报价</w:t>
      </w:r>
      <w:r>
        <w:rPr>
          <w:rFonts w:ascii="宋体" w:hAnsi="宋体" w:cs="仿宋"/>
          <w:strike/>
          <w:color w:val="auto"/>
          <w:szCs w:val="21"/>
          <w:highlight w:val="none"/>
        </w:rPr>
        <w:t>*</w:t>
      </w:r>
      <w:r>
        <w:rPr>
          <w:rFonts w:hint="eastAsia" w:ascii="宋体" w:hAnsi="宋体" w:cs="仿宋"/>
          <w:strike/>
          <w:color w:val="auto"/>
          <w:szCs w:val="21"/>
          <w:highlight w:val="none"/>
        </w:rPr>
        <w:t>报价权重）。</w:t>
      </w:r>
    </w:p>
    <w:p>
      <w:pPr>
        <w:spacing w:line="360" w:lineRule="auto"/>
        <w:ind w:firstLine="420" w:firstLineChars="200"/>
        <w:rPr>
          <w:rFonts w:ascii="宋体" w:hAnsi="宋体" w:cs="仿宋"/>
          <w:strike/>
          <w:color w:val="auto"/>
          <w:szCs w:val="21"/>
          <w:highlight w:val="none"/>
        </w:rPr>
      </w:pPr>
      <w:r>
        <w:rPr>
          <w:rFonts w:hint="eastAsia" w:ascii="宋体" w:hAnsi="宋体" w:cs="仿宋"/>
          <w:strike/>
          <w:color w:val="auto"/>
          <w:szCs w:val="21"/>
          <w:highlight w:val="none"/>
        </w:rPr>
        <w:t>其中：报价权重的计算方法为：将</w:t>
      </w:r>
      <w:r>
        <w:rPr>
          <w:rFonts w:ascii="宋体" w:hAnsi="宋体" w:cs="仿宋"/>
          <w:strike/>
          <w:color w:val="auto"/>
          <w:szCs w:val="21"/>
          <w:highlight w:val="none"/>
        </w:rPr>
        <w:t>N</w:t>
      </w:r>
      <w:r>
        <w:rPr>
          <w:rFonts w:hint="eastAsia" w:ascii="宋体" w:hAnsi="宋体" w:cs="仿宋"/>
          <w:strike/>
          <w:color w:val="auto"/>
          <w:szCs w:val="21"/>
          <w:highlight w:val="none"/>
        </w:rPr>
        <w:t>名投标人按技术分由高至低进行排序，第一名投标人的权重为（</w:t>
      </w:r>
      <w:r>
        <w:rPr>
          <w:rFonts w:ascii="宋体" w:hAnsi="宋体" w:cs="仿宋"/>
          <w:strike/>
          <w:color w:val="auto"/>
          <w:szCs w:val="21"/>
          <w:highlight w:val="none"/>
        </w:rPr>
        <w:fldChar w:fldCharType="begin"/>
      </w:r>
      <w:r>
        <w:rPr>
          <w:rFonts w:ascii="宋体" w:hAnsi="宋体" w:cs="仿宋"/>
          <w:strike/>
          <w:color w:val="auto"/>
          <w:szCs w:val="21"/>
          <w:highlight w:val="none"/>
        </w:rPr>
        <w:instrText xml:space="preserve"> QUOTE </w:instrText>
      </w:r>
      <w:r>
        <w:rPr>
          <w:rFonts w:ascii="宋体" w:hAnsi="宋体"/>
          <w:strike/>
          <w:color w:val="auto"/>
          <w:szCs w:val="21"/>
          <w:highlight w:val="none"/>
        </w:rPr>
        <w:drawing>
          <wp:inline distT="0" distB="0" distL="114300" distR="114300">
            <wp:extent cx="381000" cy="447675"/>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strike/>
          <w:color w:val="auto"/>
          <w:szCs w:val="21"/>
          <w:highlight w:val="none"/>
        </w:rPr>
        <w:fldChar w:fldCharType="separate"/>
      </w:r>
      <w:r>
        <w:rPr>
          <w:rFonts w:ascii="宋体" w:hAnsi="宋体"/>
          <w:strike/>
          <w:color w:val="auto"/>
          <w:szCs w:val="21"/>
          <w:highlight w:val="none"/>
        </w:rPr>
        <w:drawing>
          <wp:inline distT="0" distB="0" distL="114300" distR="114300">
            <wp:extent cx="381000" cy="447675"/>
            <wp:effectExtent l="0" t="0" r="0" b="889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strike/>
          <w:color w:val="auto"/>
          <w:szCs w:val="21"/>
          <w:highlight w:val="none"/>
        </w:rPr>
        <w:fldChar w:fldCharType="end"/>
      </w:r>
      <w:r>
        <w:rPr>
          <w:rFonts w:hint="eastAsia" w:ascii="宋体" w:hAnsi="宋体" w:cs="仿宋"/>
          <w:strike/>
          <w:color w:val="auto"/>
          <w:szCs w:val="21"/>
          <w:highlight w:val="none"/>
        </w:rPr>
        <w:t>），第二名投标人的权重为（</w:t>
      </w:r>
      <w:r>
        <w:rPr>
          <w:rFonts w:ascii="宋体" w:hAnsi="宋体" w:cs="仿宋"/>
          <w:strike/>
          <w:color w:val="auto"/>
          <w:szCs w:val="21"/>
          <w:highlight w:val="none"/>
        </w:rPr>
        <w:fldChar w:fldCharType="begin"/>
      </w:r>
      <w:r>
        <w:rPr>
          <w:rFonts w:ascii="宋体" w:hAnsi="宋体" w:cs="仿宋"/>
          <w:strike/>
          <w:color w:val="auto"/>
          <w:szCs w:val="21"/>
          <w:highlight w:val="none"/>
        </w:rPr>
        <w:instrText xml:space="preserve"> QUOTE </w:instrText>
      </w:r>
      <w:r>
        <w:rPr>
          <w:rFonts w:ascii="宋体" w:hAnsi="宋体"/>
          <w:strike/>
          <w:color w:val="auto"/>
          <w:position w:val="-23"/>
          <w:szCs w:val="21"/>
          <w:highlight w:val="none"/>
        </w:rPr>
        <w:drawing>
          <wp:inline distT="0" distB="0" distL="114300" distR="114300">
            <wp:extent cx="323850" cy="400050"/>
            <wp:effectExtent l="0" t="0" r="0" b="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trike/>
          <w:color w:val="auto"/>
          <w:szCs w:val="21"/>
          <w:highlight w:val="none"/>
        </w:rPr>
        <w:fldChar w:fldCharType="separate"/>
      </w:r>
      <w:r>
        <w:rPr>
          <w:rFonts w:ascii="宋体" w:hAnsi="宋体"/>
          <w:strike/>
          <w:color w:val="auto"/>
          <w:position w:val="-23"/>
          <w:szCs w:val="21"/>
          <w:highlight w:val="none"/>
        </w:rPr>
        <w:drawing>
          <wp:inline distT="0" distB="0" distL="114300" distR="114300">
            <wp:extent cx="323850" cy="400050"/>
            <wp:effectExtent l="0" t="0" r="0"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trike/>
          <w:color w:val="auto"/>
          <w:szCs w:val="21"/>
          <w:highlight w:val="none"/>
        </w:rPr>
        <w:fldChar w:fldCharType="end"/>
      </w:r>
      <w:r>
        <w:rPr>
          <w:rFonts w:hint="eastAsia" w:ascii="宋体" w:hAnsi="宋体" w:cs="仿宋"/>
          <w:strike/>
          <w:color w:val="auto"/>
          <w:szCs w:val="21"/>
          <w:highlight w:val="none"/>
        </w:rPr>
        <w:t>），以此类推，最后一名投标人的权重为（</w:t>
      </w:r>
      <w:r>
        <w:rPr>
          <w:rFonts w:ascii="宋体" w:hAnsi="宋体" w:cs="仿宋"/>
          <w:strike/>
          <w:color w:val="auto"/>
          <w:szCs w:val="21"/>
          <w:highlight w:val="none"/>
        </w:rPr>
        <w:fldChar w:fldCharType="begin"/>
      </w:r>
      <w:r>
        <w:rPr>
          <w:rFonts w:ascii="宋体" w:hAnsi="宋体" w:cs="仿宋"/>
          <w:strike/>
          <w:color w:val="auto"/>
          <w:szCs w:val="21"/>
          <w:highlight w:val="none"/>
        </w:rPr>
        <w:instrText xml:space="preserve"> QUOTE </w:instrText>
      </w:r>
      <w:r>
        <w:rPr>
          <w:rFonts w:ascii="宋体" w:hAnsi="宋体"/>
          <w:strike/>
          <w:color w:val="auto"/>
          <w:position w:val="-23"/>
          <w:szCs w:val="21"/>
          <w:highlight w:val="none"/>
        </w:rPr>
        <w:drawing>
          <wp:inline distT="0" distB="0" distL="114300" distR="114300">
            <wp:extent cx="323850" cy="400050"/>
            <wp:effectExtent l="0" t="0" r="0"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trike/>
          <w:color w:val="auto"/>
          <w:szCs w:val="21"/>
          <w:highlight w:val="none"/>
        </w:rPr>
        <w:fldChar w:fldCharType="separate"/>
      </w:r>
      <w:r>
        <w:rPr>
          <w:rFonts w:ascii="宋体" w:hAnsi="宋体"/>
          <w:strike/>
          <w:color w:val="auto"/>
          <w:position w:val="-23"/>
          <w:szCs w:val="21"/>
          <w:highlight w:val="none"/>
        </w:rPr>
        <w:drawing>
          <wp:inline distT="0" distB="0" distL="114300" distR="114300">
            <wp:extent cx="323850" cy="400050"/>
            <wp:effectExtent l="0" t="0" r="0" b="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trike/>
          <w:color w:val="auto"/>
          <w:szCs w:val="21"/>
          <w:highlight w:val="none"/>
        </w:rPr>
        <w:fldChar w:fldCharType="end"/>
      </w:r>
      <w:r>
        <w:rPr>
          <w:rFonts w:hint="eastAsia" w:ascii="宋体" w:hAnsi="宋体" w:cs="仿宋"/>
          <w:strike/>
          <w:color w:val="auto"/>
          <w:szCs w:val="21"/>
          <w:highlight w:val="none"/>
        </w:rPr>
        <w:t>）。</w:t>
      </w:r>
    </w:p>
    <w:p>
      <w:pPr>
        <w:widowControl/>
        <w:spacing w:line="360" w:lineRule="auto"/>
        <w:ind w:firstLine="422" w:firstLineChars="200"/>
        <w:rPr>
          <w:rFonts w:ascii="宋体" w:hAnsi="宋体"/>
          <w:b/>
          <w:bCs/>
          <w:color w:val="auto"/>
          <w:kern w:val="0"/>
          <w:szCs w:val="21"/>
          <w:highlight w:val="none"/>
        </w:rPr>
      </w:pPr>
      <w:r>
        <w:rPr>
          <w:rFonts w:hint="eastAsia" w:ascii="宋体" w:hAnsi="宋体" w:cs="仿宋"/>
          <w:b/>
          <w:bCs/>
          <w:color w:val="auto"/>
          <w:kern w:val="0"/>
          <w:szCs w:val="21"/>
          <w:highlight w:val="none"/>
        </w:rPr>
        <w:t>方法二：区间抽取法</w:t>
      </w:r>
    </w:p>
    <w:p>
      <w:pPr>
        <w:widowControl/>
        <w:spacing w:line="360" w:lineRule="auto"/>
        <w:ind w:firstLine="420" w:firstLineChars="200"/>
        <w:rPr>
          <w:rFonts w:ascii="宋体" w:hAnsi="宋体"/>
          <w:color w:val="auto"/>
          <w:kern w:val="0"/>
          <w:szCs w:val="21"/>
          <w:highlight w:val="none"/>
        </w:rPr>
      </w:pPr>
      <w:r>
        <w:rPr>
          <w:rFonts w:hint="eastAsia" w:ascii="宋体" w:hAnsi="宋体" w:cs="仿宋"/>
          <w:color w:val="auto"/>
          <w:szCs w:val="21"/>
          <w:highlight w:val="none"/>
        </w:rPr>
        <w:t>设立入围合格分数线（</w:t>
      </w:r>
      <w:r>
        <w:rPr>
          <w:rFonts w:hint="eastAsia" w:ascii="宋体" w:hAnsi="宋体" w:cs="仿宋"/>
          <w:color w:val="auto"/>
          <w:szCs w:val="21"/>
          <w:highlight w:val="none"/>
          <w:u w:val="single"/>
        </w:rPr>
        <w:t>技术标得分为90分</w:t>
      </w:r>
      <w:r>
        <w:rPr>
          <w:rFonts w:hint="eastAsia" w:ascii="宋体" w:hAnsi="宋体" w:cs="仿宋"/>
          <w:color w:val="auto"/>
          <w:szCs w:val="21"/>
          <w:highlight w:val="none"/>
        </w:rPr>
        <w:t>），达到或超过</w:t>
      </w:r>
      <w:r>
        <w:rPr>
          <w:rFonts w:hint="eastAsia" w:ascii="宋体" w:hAnsi="宋体" w:cs="仿宋"/>
          <w:color w:val="auto"/>
          <w:szCs w:val="21"/>
          <w:highlight w:val="none"/>
          <w:u w:val="single"/>
        </w:rPr>
        <w:t>入围合格分数线</w:t>
      </w:r>
      <w:r>
        <w:rPr>
          <w:rFonts w:hint="eastAsia" w:ascii="宋体" w:hAnsi="宋体" w:cs="仿宋"/>
          <w:color w:val="auto"/>
          <w:szCs w:val="21"/>
          <w:highlight w:val="none"/>
        </w:rPr>
        <w:t>的投标人的报价方能参与评标参考价的计算。将达到或超过</w:t>
      </w:r>
      <w:r>
        <w:rPr>
          <w:rFonts w:hint="eastAsia" w:ascii="宋体" w:hAnsi="宋体" w:cs="仿宋"/>
          <w:color w:val="auto"/>
          <w:szCs w:val="21"/>
          <w:highlight w:val="none"/>
          <w:u w:val="single"/>
        </w:rPr>
        <w:t>入围合格分数线</w:t>
      </w:r>
      <w:r>
        <w:rPr>
          <w:rFonts w:hint="eastAsia" w:ascii="宋体" w:hAnsi="宋体" w:cs="仿宋"/>
          <w:color w:val="auto"/>
          <w:szCs w:val="21"/>
          <w:highlight w:val="none"/>
        </w:rPr>
        <w:t>的投标报价由低至高进行排列，按以下公式计算评标参考价，计算公式如下：</w:t>
      </w:r>
    </w:p>
    <w:p>
      <w:pPr>
        <w:widowControl/>
        <w:spacing w:line="360" w:lineRule="auto"/>
        <w:ind w:firstLine="420" w:firstLineChars="200"/>
        <w:rPr>
          <w:rFonts w:ascii="宋体" w:hAnsi="宋体"/>
          <w:color w:val="auto"/>
          <w:kern w:val="0"/>
          <w:szCs w:val="21"/>
          <w:highlight w:val="none"/>
          <w:vertAlign w:val="subscript"/>
        </w:rPr>
      </w:pPr>
      <w:r>
        <w:rPr>
          <w:rFonts w:hint="eastAsia" w:ascii="宋体" w:hAnsi="宋体" w:cs="仿宋"/>
          <w:color w:val="auto"/>
          <w:kern w:val="0"/>
          <w:szCs w:val="21"/>
          <w:highlight w:val="none"/>
        </w:rPr>
        <w:t>评标参考价</w:t>
      </w:r>
      <w:r>
        <w:rPr>
          <w:rFonts w:ascii="宋体" w:hAnsi="宋体" w:cs="仿宋"/>
          <w:color w:val="auto"/>
          <w:kern w:val="0"/>
          <w:szCs w:val="21"/>
          <w:highlight w:val="none"/>
        </w:rPr>
        <w:t>=</w:t>
      </w:r>
      <w:r>
        <w:rPr>
          <w:rFonts w:hint="eastAsia" w:ascii="宋体" w:hAnsi="宋体" w:cs="仿宋"/>
          <w:color w:val="auto"/>
          <w:kern w:val="0"/>
          <w:szCs w:val="21"/>
          <w:highlight w:val="none"/>
        </w:rPr>
        <w:t>（</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r>
        <w:rPr>
          <w:rFonts w:hint="eastAsia" w:ascii="宋体" w:hAnsi="宋体" w:cs="仿宋"/>
          <w:color w:val="auto"/>
          <w:kern w:val="0"/>
          <w:szCs w:val="21"/>
          <w:highlight w:val="none"/>
        </w:rPr>
        <w:t>）</w:t>
      </w:r>
      <w:r>
        <w:rPr>
          <w:rFonts w:ascii="宋体" w:hAnsi="宋体" w:cs="仿宋"/>
          <w:color w:val="auto"/>
          <w:kern w:val="0"/>
          <w:szCs w:val="21"/>
          <w:highlight w:val="none"/>
        </w:rPr>
        <w:t>/100*</w:t>
      </w:r>
      <w:r>
        <w:rPr>
          <w:rFonts w:hint="eastAsia" w:ascii="宋体" w:hAnsi="宋体" w:cs="仿宋"/>
          <w:color w:val="auto"/>
          <w:kern w:val="0"/>
          <w:szCs w:val="21"/>
          <w:highlight w:val="none"/>
        </w:rPr>
        <w:t>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p>
    <w:p>
      <w:pPr>
        <w:widowControl/>
        <w:spacing w:line="360" w:lineRule="auto"/>
        <w:ind w:firstLine="420" w:firstLineChars="200"/>
        <w:rPr>
          <w:rFonts w:ascii="宋体" w:hAnsi="宋体"/>
          <w:color w:val="auto"/>
          <w:szCs w:val="21"/>
          <w:highlight w:val="none"/>
        </w:rPr>
      </w:pPr>
      <w:r>
        <w:rPr>
          <w:rFonts w:ascii="宋体" w:hAnsi="宋体" w:cs="仿宋"/>
          <w:color w:val="auto"/>
          <w:szCs w:val="21"/>
          <w:highlight w:val="none"/>
        </w:rPr>
        <w:t>Q</w:t>
      </w:r>
      <w:r>
        <w:rPr>
          <w:rFonts w:hint="eastAsia" w:ascii="宋体" w:hAnsi="宋体" w:cs="仿宋"/>
          <w:color w:val="auto"/>
          <w:szCs w:val="21"/>
          <w:highlight w:val="none"/>
          <w:vertAlign w:val="subscript"/>
        </w:rPr>
        <w:t>低</w:t>
      </w:r>
      <w:r>
        <w:rPr>
          <w:rFonts w:hint="eastAsia" w:ascii="宋体" w:hAnsi="宋体" w:cs="仿宋"/>
          <w:color w:val="auto"/>
          <w:szCs w:val="21"/>
          <w:highlight w:val="none"/>
        </w:rPr>
        <w:t>：为达到或超过</w:t>
      </w:r>
      <w:r>
        <w:rPr>
          <w:rFonts w:hint="eastAsia" w:ascii="宋体" w:hAnsi="宋体" w:cs="仿宋"/>
          <w:color w:val="auto"/>
          <w:szCs w:val="21"/>
          <w:highlight w:val="none"/>
          <w:u w:val="single"/>
        </w:rPr>
        <w:t>入围合格分数线</w:t>
      </w:r>
      <w:r>
        <w:rPr>
          <w:rFonts w:hint="eastAsia" w:ascii="宋体" w:hAnsi="宋体" w:cs="仿宋"/>
          <w:color w:val="auto"/>
          <w:szCs w:val="21"/>
          <w:highlight w:val="none"/>
        </w:rPr>
        <w:t>的投标人最低报价与工程成本警示价两者中的较高值；</w:t>
      </w:r>
    </w:p>
    <w:p>
      <w:pPr>
        <w:spacing w:line="360" w:lineRule="auto"/>
        <w:ind w:firstLine="420" w:firstLineChars="200"/>
        <w:rPr>
          <w:rFonts w:ascii="宋体" w:hAnsi="宋体" w:cs="仿宋"/>
          <w:color w:val="auto"/>
          <w:szCs w:val="21"/>
          <w:highlight w:val="none"/>
        </w:rPr>
      </w:pP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hint="eastAsia" w:ascii="宋体" w:hAnsi="宋体" w:cs="仿宋"/>
          <w:color w:val="auto"/>
          <w:szCs w:val="21"/>
          <w:highlight w:val="none"/>
        </w:rPr>
        <w:t>：为最高投标限价</w:t>
      </w:r>
    </w:p>
    <w:p>
      <w:pPr>
        <w:spacing w:line="360" w:lineRule="auto"/>
        <w:ind w:firstLine="420" w:firstLineChars="200"/>
        <w:rPr>
          <w:rFonts w:ascii="宋体" w:hAnsi="宋体"/>
          <w:color w:val="auto"/>
          <w:szCs w:val="21"/>
          <w:highlight w:val="none"/>
        </w:rPr>
      </w:pPr>
      <w:r>
        <w:rPr>
          <w:rFonts w:ascii="宋体" w:hAnsi="宋体" w:cs="仿宋"/>
          <w:color w:val="auto"/>
          <w:szCs w:val="21"/>
          <w:highlight w:val="none"/>
        </w:rPr>
        <w:t>X</w:t>
      </w:r>
      <w:r>
        <w:rPr>
          <w:rFonts w:hint="eastAsia" w:ascii="宋体" w:hAnsi="宋体" w:cs="仿宋"/>
          <w:color w:val="auto"/>
          <w:szCs w:val="21"/>
          <w:highlight w:val="none"/>
        </w:rPr>
        <w:t>：为等分点值，在开标前从</w:t>
      </w:r>
      <w:r>
        <w:rPr>
          <w:rFonts w:ascii="宋体" w:hAnsi="宋体" w:cs="仿宋"/>
          <w:color w:val="auto"/>
          <w:szCs w:val="21"/>
          <w:highlight w:val="none"/>
        </w:rPr>
        <w:t>[0,100]</w:t>
      </w:r>
      <w:r>
        <w:rPr>
          <w:rFonts w:hint="eastAsia" w:ascii="宋体" w:hAnsi="宋体" w:cs="仿宋"/>
          <w:color w:val="auto"/>
          <w:szCs w:val="21"/>
          <w:highlight w:val="none"/>
        </w:rPr>
        <w:t>整数中随机抽取</w:t>
      </w:r>
    </w:p>
    <w:p>
      <w:pPr>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45.3</w:t>
      </w:r>
      <w:r>
        <w:rPr>
          <w:rFonts w:hint="eastAsia" w:ascii="宋体" w:hAnsi="宋体"/>
          <w:color w:val="auto"/>
          <w:szCs w:val="21"/>
          <w:highlight w:val="none"/>
        </w:rPr>
        <w:t>当</w:t>
      </w:r>
      <w:r>
        <w:rPr>
          <w:rFonts w:hint="eastAsia" w:ascii="宋体" w:hAnsi="宋体"/>
          <w:color w:val="auto"/>
          <w:szCs w:val="21"/>
          <w:highlight w:val="none"/>
          <w:u w:val="single"/>
        </w:rPr>
        <w:t>投标总报价</w:t>
      </w:r>
      <w:r>
        <w:rPr>
          <w:rFonts w:hint="eastAsia" w:ascii="宋体" w:hAnsi="宋体"/>
          <w:color w:val="auto"/>
          <w:szCs w:val="21"/>
          <w:highlight w:val="none"/>
        </w:rPr>
        <w:t>等于评标参考价时得</w:t>
      </w:r>
      <w:r>
        <w:rPr>
          <w:rFonts w:ascii="宋体" w:hAnsi="宋体"/>
          <w:color w:val="auto"/>
          <w:szCs w:val="21"/>
          <w:highlight w:val="none"/>
        </w:rPr>
        <w:t>100</w:t>
      </w:r>
      <w:r>
        <w:rPr>
          <w:rFonts w:hint="eastAsia" w:ascii="宋体" w:hAnsi="宋体"/>
          <w:color w:val="auto"/>
          <w:szCs w:val="21"/>
          <w:highlight w:val="none"/>
        </w:rPr>
        <w:t>分，</w:t>
      </w:r>
      <w:r>
        <w:rPr>
          <w:rFonts w:hint="eastAsia" w:ascii="宋体" w:hAnsi="宋体"/>
          <w:color w:val="auto"/>
          <w:szCs w:val="21"/>
          <w:highlight w:val="none"/>
          <w:u w:val="single"/>
        </w:rPr>
        <w:t>投标总报价</w:t>
      </w:r>
      <w:r>
        <w:rPr>
          <w:rFonts w:hint="eastAsia" w:ascii="宋体" w:hAnsi="宋体"/>
          <w:color w:val="auto"/>
          <w:szCs w:val="21"/>
          <w:highlight w:val="none"/>
        </w:rPr>
        <w:t>每高于评标参考价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1.5</w:t>
      </w:r>
      <w:r>
        <w:rPr>
          <w:rFonts w:hint="eastAsia" w:ascii="宋体" w:hAnsi="宋体"/>
          <w:color w:val="auto"/>
          <w:szCs w:val="21"/>
          <w:highlight w:val="none"/>
        </w:rPr>
        <w:t>分，每低于评标参考价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w:t>
      </w:r>
      <w:r>
        <w:rPr>
          <w:rFonts w:hint="eastAsia" w:ascii="宋体" w:hAnsi="宋体"/>
          <w:color w:val="auto"/>
          <w:szCs w:val="21"/>
          <w:highlight w:val="none"/>
        </w:rPr>
        <w:t>分，扣至</w:t>
      </w:r>
      <w:r>
        <w:rPr>
          <w:rFonts w:ascii="宋体" w:hAnsi="宋体"/>
          <w:color w:val="auto"/>
          <w:szCs w:val="21"/>
          <w:highlight w:val="none"/>
        </w:rPr>
        <w:t>0</w:t>
      </w:r>
      <w:r>
        <w:rPr>
          <w:rFonts w:hint="eastAsia" w:ascii="宋体" w:hAnsi="宋体"/>
          <w:color w:val="auto"/>
          <w:szCs w:val="21"/>
          <w:highlight w:val="none"/>
        </w:rPr>
        <w:t>分为止，得出经济分，精确到小数点后两位。</w:t>
      </w:r>
    </w:p>
    <w:p>
      <w:pPr>
        <w:pBdr>
          <w:bottom w:val="single" w:color="auto" w:sz="6" w:space="1"/>
        </w:pBdr>
        <w:spacing w:line="360" w:lineRule="auto"/>
        <w:ind w:firstLine="470" w:firstLineChars="224"/>
        <w:rPr>
          <w:rFonts w:hint="eastAsia" w:ascii="宋体" w:hAnsi="宋体" w:cs="宋体"/>
          <w:strike/>
          <w:color w:val="auto"/>
          <w:szCs w:val="21"/>
          <w:highlight w:val="none"/>
        </w:rPr>
      </w:pPr>
      <w:r>
        <w:rPr>
          <w:rFonts w:hint="eastAsia" w:ascii="宋体" w:hAnsi="宋体"/>
          <w:color w:val="auto"/>
          <w:szCs w:val="21"/>
          <w:highlight w:val="none"/>
        </w:rPr>
        <w:t>45.4</w:t>
      </w:r>
      <w:r>
        <w:rPr>
          <w:rFonts w:hint="eastAsia" w:ascii="宋体"/>
          <w:color w:val="auto"/>
          <w:szCs w:val="21"/>
          <w:highlight w:val="none"/>
        </w:rPr>
        <w:t>计算通过技术标有效性审查的投标人总得分。投标人总得分=</w:t>
      </w:r>
      <w:r>
        <w:rPr>
          <w:rFonts w:hint="eastAsia" w:ascii="宋体"/>
          <w:color w:val="auto"/>
          <w:szCs w:val="21"/>
          <w:highlight w:val="none"/>
          <w:u w:val="single"/>
        </w:rPr>
        <w:t>技术分×技术分权重</w:t>
      </w:r>
      <w:r>
        <w:rPr>
          <w:rFonts w:hint="eastAsia" w:ascii="宋体" w:cs="宋体"/>
          <w:color w:val="auto"/>
          <w:szCs w:val="21"/>
          <w:highlight w:val="none"/>
          <w:u w:val="single"/>
        </w:rPr>
        <w:t>＋</w:t>
      </w:r>
      <w:r>
        <w:rPr>
          <w:rFonts w:hint="eastAsia" w:ascii="宋体"/>
          <w:color w:val="auto"/>
          <w:szCs w:val="21"/>
          <w:highlight w:val="none"/>
          <w:u w:val="single"/>
        </w:rPr>
        <w:t>经济分×经济分权重</w:t>
      </w:r>
      <w:r>
        <w:rPr>
          <w:rFonts w:hint="eastAsia" w:ascii="宋体"/>
          <w:color w:val="auto"/>
          <w:szCs w:val="21"/>
          <w:highlight w:val="none"/>
        </w:rPr>
        <w:t>。技术、经济得分权重按投标须知前附表的规定执行。总得分四舍五入保留两位小数。</w:t>
      </w:r>
    </w:p>
    <w:p>
      <w:pPr>
        <w:spacing w:line="360" w:lineRule="auto"/>
        <w:ind w:firstLine="422" w:firstLineChars="200"/>
        <w:rPr>
          <w:rFonts w:hint="eastAsia" w:ascii="宋体" w:hAnsi="宋体" w:cs="宋体"/>
          <w:b/>
          <w:color w:val="auto"/>
          <w:szCs w:val="21"/>
          <w:highlight w:val="none"/>
        </w:rPr>
      </w:pP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条款号：46.2.8                      修改类型：修改</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46.2.8按上述修正错误的原则及方法调整或修正投标文件的投标报价，调整后的投标报价对投标人起约束作用。如果投标人不接受修正后的报价，</w:t>
      </w:r>
      <w:r>
        <w:rPr>
          <w:rFonts w:hint="eastAsia" w:ascii="宋体" w:hAnsi="宋体" w:cs="宋体"/>
          <w:color w:val="auto"/>
          <w:szCs w:val="21"/>
          <w:highlight w:val="none"/>
          <w:u w:val="single"/>
        </w:rPr>
        <w:t>则取消其投标资格</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条款号：48                      　　修改类型：修改</w:t>
      </w:r>
    </w:p>
    <w:p>
      <w:pPr>
        <w:widowControl/>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4</w:t>
      </w:r>
      <w:r>
        <w:rPr>
          <w:rFonts w:hint="eastAsia" w:ascii="宋体" w:hAnsi="宋体" w:cs="宋体"/>
          <w:color w:val="auto"/>
          <w:szCs w:val="21"/>
          <w:highlight w:val="none"/>
        </w:rPr>
        <w:t>8.评标委员会应在通过投标文件经济标有效性审查的投标人中，按步骤45.4确定的投标人第二阶段排序，推荐前</w:t>
      </w:r>
      <w:r>
        <w:rPr>
          <w:rFonts w:ascii="宋体" w:hAnsi="宋体" w:cs="宋体"/>
          <w:color w:val="auto"/>
          <w:szCs w:val="21"/>
          <w:highlight w:val="none"/>
        </w:rPr>
        <w:t>3</w:t>
      </w:r>
      <w:r>
        <w:rPr>
          <w:rFonts w:hint="eastAsia" w:ascii="宋体" w:hAnsi="宋体" w:cs="宋体"/>
          <w:color w:val="auto"/>
          <w:szCs w:val="21"/>
          <w:highlight w:val="none"/>
        </w:rPr>
        <w:t>名依次为第一中标候选人至第三中标候选人，并编制评标报告。</w:t>
      </w:r>
    </w:p>
    <w:p>
      <w:pPr>
        <w:pBdr>
          <w:bottom w:val="single" w:color="auto" w:sz="6" w:space="1"/>
        </w:pBdr>
        <w:spacing w:line="360" w:lineRule="auto"/>
        <w:ind w:firstLine="472" w:firstLineChars="224"/>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ascii="宋体" w:hAnsi="宋体" w:cs="宋体"/>
          <w:color w:val="auto"/>
          <w:szCs w:val="21"/>
          <w:highlight w:val="none"/>
        </w:rPr>
        <w:t>4</w:t>
      </w:r>
      <w:r>
        <w:rPr>
          <w:rFonts w:hint="eastAsia" w:ascii="宋体" w:hAnsi="宋体" w:cs="宋体"/>
          <w:color w:val="auto"/>
          <w:szCs w:val="21"/>
          <w:highlight w:val="none"/>
        </w:rPr>
        <w:t>8.评标委员会应在通过投标文件经济标有效性审查的投标人中，按步骤45.4确定的投标人</w:t>
      </w:r>
      <w:r>
        <w:rPr>
          <w:rFonts w:hint="eastAsia" w:ascii="宋体" w:hAnsi="宋体" w:cs="宋体"/>
          <w:color w:val="auto"/>
          <w:szCs w:val="21"/>
          <w:highlight w:val="none"/>
          <w:u w:val="single"/>
        </w:rPr>
        <w:t>总得分</w:t>
      </w:r>
      <w:r>
        <w:rPr>
          <w:rFonts w:hint="eastAsia" w:ascii="宋体" w:hAnsi="宋体" w:cs="宋体"/>
          <w:color w:val="auto"/>
          <w:szCs w:val="21"/>
          <w:highlight w:val="none"/>
        </w:rPr>
        <w:t>排序，推荐前</w:t>
      </w:r>
      <w:r>
        <w:rPr>
          <w:rFonts w:ascii="宋体" w:hAnsi="宋体" w:cs="宋体"/>
          <w:color w:val="auto"/>
          <w:szCs w:val="21"/>
          <w:highlight w:val="none"/>
        </w:rPr>
        <w:t>3</w:t>
      </w:r>
      <w:r>
        <w:rPr>
          <w:rFonts w:hint="eastAsia" w:ascii="宋体" w:hAnsi="宋体" w:cs="宋体"/>
          <w:color w:val="auto"/>
          <w:szCs w:val="21"/>
          <w:highlight w:val="none"/>
        </w:rPr>
        <w:t>名依次为第一中标候选人至第三中标候选人，并编制评标报告。</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color w:val="auto"/>
          <w:kern w:val="0"/>
          <w:szCs w:val="21"/>
          <w:highlight w:val="none"/>
        </w:rPr>
        <w:t>49</w:t>
      </w:r>
      <w:r>
        <w:rPr>
          <w:rFonts w:hint="eastAsia" w:ascii="宋体" w:hAnsi="宋体" w:cs="宋体"/>
          <w:b/>
          <w:color w:val="auto"/>
          <w:szCs w:val="21"/>
          <w:highlight w:val="none"/>
        </w:rPr>
        <w:t xml:space="preserve">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49</w:t>
      </w:r>
      <w:r>
        <w:rPr>
          <w:rFonts w:hint="eastAsia" w:ascii="宋体" w:hAnsi="宋体"/>
          <w:color w:val="auto"/>
          <w:szCs w:val="21"/>
          <w:highlight w:val="none"/>
        </w:rPr>
        <w:t>若通过经济标有效性审查的投标人不足三家，应当依法重新招标。（当</w:t>
      </w:r>
      <w:r>
        <w:rPr>
          <w:rFonts w:ascii="宋体" w:hAnsi="宋体"/>
          <w:color w:val="auto"/>
          <w:szCs w:val="21"/>
          <w:highlight w:val="none"/>
        </w:rPr>
        <w:t>N</w:t>
      </w:r>
      <w:r>
        <w:rPr>
          <w:rFonts w:hint="eastAsia" w:ascii="宋体" w:hAnsi="宋体"/>
          <w:color w:val="auto"/>
          <w:szCs w:val="21"/>
          <w:highlight w:val="none"/>
        </w:rPr>
        <w:t>个标段同时招标且不允许兼中时，若有效投标人不足</w:t>
      </w:r>
      <w:r>
        <w:rPr>
          <w:rFonts w:ascii="宋体" w:hAnsi="宋体"/>
          <w:color w:val="auto"/>
          <w:szCs w:val="21"/>
          <w:highlight w:val="none"/>
        </w:rPr>
        <w:t>N+2</w:t>
      </w:r>
      <w:r>
        <w:rPr>
          <w:rFonts w:hint="eastAsia" w:ascii="宋体" w:hAnsi="宋体"/>
          <w:color w:val="auto"/>
          <w:szCs w:val="21"/>
          <w:highlight w:val="none"/>
        </w:rPr>
        <w:t>家，应当依法重新招标）</w:t>
      </w:r>
    </w:p>
    <w:p>
      <w:pPr>
        <w:pBdr>
          <w:bottom w:val="single" w:color="auto" w:sz="6" w:space="1"/>
        </w:pBdr>
        <w:spacing w:line="360" w:lineRule="auto"/>
        <w:ind w:firstLine="420" w:firstLineChars="199"/>
        <w:rPr>
          <w:rFonts w:hint="eastAsia" w:ascii="宋体" w:hAnsi="宋体" w:cs="宋体"/>
          <w:strike/>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：49</w:t>
      </w:r>
      <w:r>
        <w:rPr>
          <w:rFonts w:hint="eastAsia" w:ascii="宋体" w:hAnsi="宋体"/>
          <w:color w:val="auto"/>
          <w:szCs w:val="21"/>
          <w:highlight w:val="none"/>
          <w:u w:val="single"/>
        </w:rPr>
        <w:t>若通过经济标有效性审查的投标人不足三家，应当依法重新招标。</w:t>
      </w:r>
    </w:p>
    <w:p>
      <w:pPr>
        <w:spacing w:line="360" w:lineRule="auto"/>
        <w:ind w:firstLine="472" w:firstLineChars="224"/>
        <w:rPr>
          <w:b/>
          <w:color w:val="auto"/>
          <w:szCs w:val="21"/>
          <w:highlight w:val="none"/>
        </w:rPr>
      </w:pPr>
      <w:r>
        <w:rPr>
          <w:rFonts w:hint="eastAsia" w:ascii="宋体" w:hAnsi="宋体" w:cs="宋体"/>
          <w:b/>
          <w:color w:val="auto"/>
          <w:szCs w:val="21"/>
          <w:highlight w:val="none"/>
        </w:rPr>
        <w:t>条款号：附表一《资格审查表》                   修改类型：修改</w:t>
      </w:r>
    </w:p>
    <w:p>
      <w:pP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22" w:firstLineChars="200"/>
        <w:rPr>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详见本招标文件第二章附表一《资格审查表》</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条款号：附表二 《技术标有效性审查表》          修改类型：修改</w:t>
      </w:r>
    </w:p>
    <w:p>
      <w:pP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详见本招标文件第二章附表二《技术标有效性审查表》</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条款号：附表三《经济标有效性审查表》           修改类型：修改</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详见本招标文件第二章附表三《经济标有效性审查表》</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 xml:space="preserve">条款号：附表四《技术标详细审查评分表》         修改类型：修改  </w:t>
      </w:r>
    </w:p>
    <w:p>
      <w:pP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详见本招标文件第二章附表四《技术标详细审查评分表》</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条款号：附表五（适用于加权平均法）《经济标评分表》        修改类型：删除</w:t>
      </w:r>
    </w:p>
    <w:p>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spacing w:line="360" w:lineRule="auto"/>
        <w:ind w:firstLine="211" w:firstLineChars="100"/>
        <w:rPr>
          <w:rFonts w:hint="eastAsia" w:ascii="宋体" w:hAnsi="宋体" w:eastAsia="宋体" w:cs="宋体"/>
          <w:b/>
          <w:strike/>
          <w:color w:val="auto"/>
          <w:szCs w:val="21"/>
          <w:highlight w:val="none"/>
        </w:rPr>
      </w:pPr>
      <w:r>
        <w:rPr>
          <w:rFonts w:hint="eastAsia" w:ascii="宋体" w:hAnsi="宋体" w:eastAsia="宋体" w:cs="宋体"/>
          <w:b/>
          <w:strike/>
          <w:color w:val="auto"/>
          <w:szCs w:val="21"/>
          <w:highlight w:val="none"/>
        </w:rPr>
        <w:t>注：以上修改，仅限于本范本中有可供选择条款的情形。</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（以下无正文）</w:t>
      </w: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Cs w:val="21"/>
          <w:highlight w:val="none"/>
        </w:rPr>
      </w:pPr>
    </w:p>
    <w:p>
      <w:pPr>
        <w:spacing w:line="360" w:lineRule="auto"/>
        <w:ind w:firstLine="525"/>
        <w:rPr>
          <w:rFonts w:hint="eastAsia" w:ascii="宋体" w:hAnsi="宋体" w:eastAsia="宋体" w:cs="宋体"/>
          <w:color w:val="auto"/>
          <w:highlight w:val="none"/>
        </w:rPr>
      </w:pPr>
      <w:bookmarkStart w:id="18" w:name="_Toc5678"/>
      <w:bookmarkStart w:id="19" w:name="_Toc2272556"/>
      <w:bookmarkStart w:id="20" w:name="_Toc21525500"/>
      <w:bookmarkStart w:id="21" w:name="_Toc2272564"/>
      <w:r>
        <w:rPr>
          <w:rFonts w:hint="eastAsia" w:ascii="宋体" w:hAnsi="宋体" w:eastAsia="宋体" w:cs="宋体"/>
          <w:color w:val="auto"/>
          <w:highlight w:val="none"/>
        </w:rPr>
        <w:br w:type="page"/>
      </w:r>
    </w:p>
    <w:p>
      <w:pPr>
        <w:pStyle w:val="4"/>
        <w:spacing w:line="360" w:lineRule="auto"/>
        <w:ind w:firstLine="525"/>
        <w:rPr>
          <w:rFonts w:hint="eastAsia" w:ascii="宋体" w:hAnsi="宋体" w:eastAsia="宋体" w:cs="宋体"/>
          <w:color w:val="auto"/>
          <w:highlight w:val="none"/>
        </w:rPr>
      </w:pPr>
      <w:r>
        <w:rPr>
          <w:rFonts w:hint="eastAsia" w:ascii="宋体" w:hAnsi="宋体" w:eastAsia="宋体" w:cs="宋体"/>
          <w:color w:val="auto"/>
          <w:highlight w:val="none"/>
        </w:rPr>
        <w:t>二、开标、评标及定标办法</w:t>
      </w:r>
      <w:r>
        <w:rPr>
          <w:rFonts w:hint="eastAsia" w:ascii="宋体" w:hAnsi="宋体" w:eastAsia="宋体" w:cs="宋体"/>
          <w:color w:val="auto"/>
          <w:szCs w:val="30"/>
          <w:highlight w:val="none"/>
        </w:rPr>
        <w:t>通用条款</w:t>
      </w:r>
      <w:bookmarkEnd w:id="18"/>
      <w:bookmarkEnd w:id="19"/>
    </w:p>
    <w:p>
      <w:pPr>
        <w:pStyle w:val="6"/>
        <w:spacing w:before="156" w:after="156" w:line="360" w:lineRule="auto"/>
        <w:ind w:firstLine="542" w:firstLineChars="200"/>
        <w:rPr>
          <w:rFonts w:hint="eastAsia" w:ascii="宋体" w:hAnsi="宋体" w:eastAsia="宋体" w:cs="宋体"/>
          <w:b/>
          <w:bCs/>
          <w:color w:val="auto"/>
          <w:highlight w:val="none"/>
        </w:rPr>
      </w:pPr>
      <w:bookmarkStart w:id="22" w:name="_Toc31373"/>
      <w:bookmarkStart w:id="23" w:name="_Toc2272557"/>
      <w:r>
        <w:rPr>
          <w:rFonts w:hint="eastAsia" w:ascii="宋体" w:hAnsi="宋体" w:eastAsia="宋体" w:cs="宋体"/>
          <w:b/>
          <w:bCs/>
          <w:color w:val="auto"/>
          <w:highlight w:val="none"/>
        </w:rPr>
        <w:t>（一）总则</w:t>
      </w:r>
      <w:bookmarkEnd w:id="22"/>
      <w:bookmarkEnd w:id="23"/>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35 开标、评标及定标所依据的规则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35.1《中华人民共和国招标投标法》；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35.2《中华人民共和国招标投标法实施条例》；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35.3《评标委员会和评标方法暂行规定》（七部委第12号令）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35.4《工程建设项目施工招标投标办法》（七部委2003年第30号令）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35.5《广东省实施〈中华人民共和国招标投标法〉办法》；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35.6《房屋建筑和市政基础设施工程施工招标投标管理办法》（建设部令第89号）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35.7《广东省加强建设工程招标投标监督管理的若干规定》（粤发[2004]4号）；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35.8《广州市工程建设项目招标投标管理办法》（穗建规字〔2023〕12号）。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35.9本项目招标文件。</w:t>
      </w:r>
    </w:p>
    <w:p>
      <w:pPr>
        <w:spacing w:line="360" w:lineRule="auto"/>
        <w:ind w:firstLine="482" w:firstLineChars="200"/>
        <w:rPr>
          <w:rFonts w:hint="eastAsia" w:ascii="宋体" w:hAnsi="宋体" w:eastAsia="宋体" w:cs="宋体"/>
          <w:b/>
          <w:bCs/>
          <w:color w:val="auto"/>
          <w:sz w:val="24"/>
          <w:szCs w:val="24"/>
          <w:highlight w:val="none"/>
        </w:rPr>
      </w:pP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36．开标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招标人在招标文件要求提交投标文件的截止时间前收到的投标文件，开标时都当众予以解密、公布。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36.4若递交投标文件的投标人不足3家，则重新组织招标。（当N个标段同时招标且不允许兼中时，若有效投标人不足N+2家，则重新组织招标）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36.5按下列程序进行开标：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36.5.2备用光盘的读取按投标须知前附表第36项的规定执行；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36.5.4开标结束。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36.7开标时，两个（含两个）以上的投标人加密打包投标文件电脑机器特征码一致的，不参与下一程序，并由评标委员会否决其投标。</w:t>
      </w:r>
    </w:p>
    <w:p>
      <w:pPr>
        <w:spacing w:line="360" w:lineRule="auto"/>
        <w:ind w:firstLine="482" w:firstLineChars="200"/>
        <w:rPr>
          <w:rFonts w:hint="eastAsia" w:ascii="宋体" w:hAnsi="宋体" w:eastAsia="宋体" w:cs="宋体"/>
          <w:b/>
          <w:bCs/>
          <w:color w:val="auto"/>
          <w:sz w:val="24"/>
          <w:szCs w:val="24"/>
          <w:highlight w:val="none"/>
        </w:rPr>
      </w:pP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37．评标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37.1评标委员会由招标人依法组建。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37.2评标委员会的职责及守则：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37.2.1根据评标细则，对</w:t>
      </w:r>
      <w:r>
        <w:rPr>
          <w:rFonts w:hint="eastAsia" w:ascii="宋体" w:hAnsi="宋体" w:eastAsia="宋体" w:cs="宋体"/>
          <w:color w:val="auto"/>
          <w:sz w:val="24"/>
          <w:highlight w:val="none"/>
        </w:rPr>
        <w:t>投标文件</w:t>
      </w:r>
      <w:r>
        <w:rPr>
          <w:rFonts w:hint="eastAsia" w:ascii="宋体" w:hAnsi="宋体" w:eastAsia="宋体" w:cs="宋体"/>
          <w:color w:val="auto"/>
          <w:sz w:val="24"/>
          <w:szCs w:val="24"/>
          <w:highlight w:val="none"/>
        </w:rPr>
        <w:t>进行认真评审，完成评审报告；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37.2.2向招标人报告评审意见，推荐合格的中标候选人。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37.2.3</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37.2.4全体参与评标人员：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37.2.4.1 必须遵守评标纪律、不得泄密；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37.2.4.2 必须公正、不得循私；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37.2.4.3 必须科学、不得草率；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37.2.4.4 必须客观、不得带有成见；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37.2.4.5 必须平等、不得强加于人；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37.2.4.6 必须严谨、不得随意马虎。</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评标结束后，评标委员会递交评标报告并依法推荐中标候选人。 </w:t>
      </w:r>
    </w:p>
    <w:p>
      <w:pPr>
        <w:spacing w:line="360" w:lineRule="auto"/>
        <w:ind w:firstLine="482" w:firstLineChars="200"/>
        <w:rPr>
          <w:rFonts w:hint="eastAsia" w:ascii="宋体" w:hAnsi="宋体" w:eastAsia="宋体" w:cs="宋体"/>
          <w:b/>
          <w:bCs/>
          <w:color w:val="auto"/>
          <w:sz w:val="24"/>
          <w:szCs w:val="24"/>
          <w:highlight w:val="none"/>
        </w:rPr>
      </w:pP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38．投标文件的澄清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38.3 评标委员会或评标委员会专业评审组成员均应当阅读投标人的澄清，但应独立参考澄清对投标文件进行评审。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39．定标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 招标人根据评标委员会递交的评标报告，最终审定中标人。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 依法必须进行公开招标的项目，招标人应当确定排名第一的中标候选人为中标人。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6"/>
        <w:spacing w:before="156" w:after="156" w:line="360" w:lineRule="auto"/>
        <w:ind w:firstLine="542" w:firstLineChars="200"/>
        <w:rPr>
          <w:rFonts w:hint="eastAsia" w:ascii="宋体" w:hAnsi="宋体" w:eastAsia="宋体" w:cs="宋体"/>
          <w:b/>
          <w:bCs/>
          <w:color w:val="auto"/>
          <w:highlight w:val="none"/>
        </w:rPr>
      </w:pPr>
      <w:bookmarkStart w:id="24" w:name="_Toc2272558"/>
      <w:bookmarkStart w:id="25" w:name="_Toc9740"/>
      <w:r>
        <w:rPr>
          <w:rFonts w:hint="eastAsia" w:ascii="宋体" w:hAnsi="宋体" w:eastAsia="宋体" w:cs="宋体"/>
          <w:b/>
          <w:bCs/>
          <w:color w:val="auto"/>
          <w:highlight w:val="none"/>
        </w:rPr>
        <w:t>（二）开标评标办法程序和细则</w:t>
      </w:r>
      <w:bookmarkEnd w:id="24"/>
      <w:bookmarkEnd w:id="25"/>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注：以下七种评标办法所述企业综合诚信评价分数即投标截止当日广州市工程招标代理行业协会网站上公布的企业综合诚信评价60日诚信分。</w:t>
      </w:r>
    </w:p>
    <w:p>
      <w:pPr>
        <w:pStyle w:val="6"/>
        <w:spacing w:before="156" w:after="156" w:line="360" w:lineRule="auto"/>
        <w:ind w:firstLine="480" w:firstLineChars="200"/>
        <w:rPr>
          <w:rFonts w:hint="eastAsia" w:ascii="宋体" w:hAnsi="宋体" w:eastAsia="宋体" w:cs="宋体"/>
          <w:color w:val="auto"/>
          <w:sz w:val="24"/>
          <w:szCs w:val="24"/>
          <w:highlight w:val="none"/>
        </w:rPr>
      </w:pPr>
      <w:bookmarkStart w:id="26" w:name="_Toc3121"/>
      <w:r>
        <w:rPr>
          <w:rFonts w:hint="eastAsia" w:ascii="宋体" w:hAnsi="宋体" w:eastAsia="宋体" w:cs="宋体"/>
          <w:color w:val="auto"/>
          <w:sz w:val="24"/>
          <w:szCs w:val="24"/>
          <w:highlight w:val="none"/>
        </w:rPr>
        <w:t>可选办法七（适合综合评分法四，技术标与经济标同时开启）</w:t>
      </w:r>
      <w:bookmarkEnd w:id="26"/>
    </w:p>
    <w:p>
      <w:pPr>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40．开标和评标程序</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40.1技术标（含资格审查文件）与经济标投标文件同时公开开标；</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40.2由评标委员会对所有已公开开标的投标人进行资格审查；</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40.3技术标投标文件有效性审查；</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40.4技术标详细审查评分；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40.5经济标详细审查评分；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40.6评标委员会按照投标人总得分由高至低排序；</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40.7经济标投标文件有效性审查；</w:t>
      </w:r>
    </w:p>
    <w:p>
      <w:pPr>
        <w:snapToGrid w:val="0"/>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40.8评标委员会按排序向招标人推荐中标候选人名单，并递交资格审查报告及评标报告。</w:t>
      </w:r>
    </w:p>
    <w:p>
      <w:pPr>
        <w:snapToGrid w:val="0"/>
        <w:spacing w:line="360" w:lineRule="auto"/>
        <w:ind w:firstLine="482" w:firstLineChars="200"/>
        <w:rPr>
          <w:rFonts w:hint="eastAsia" w:ascii="宋体" w:hAnsi="宋体" w:eastAsia="宋体" w:cs="宋体"/>
          <w:b/>
          <w:bCs/>
          <w:color w:val="auto"/>
          <w:sz w:val="24"/>
          <w:szCs w:val="24"/>
          <w:highlight w:val="none"/>
        </w:rPr>
      </w:pPr>
    </w:p>
    <w:p>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41．开标细则</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41.1开标由招标人主持；</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细则</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41.2.1投标截止期前，各投标人递交投标文件（包括技术标投标文件、经济标投标文件）至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交易平台。有关投标文件提交的事项详见第一章投标须知。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41.2.2开标前，首先由招标人随机抽取确定该工程计算评标参考价的等分点值X。</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41.2.4.1开标时，公布：a、投标人名称；b、</w:t>
      </w:r>
      <w:r>
        <w:rPr>
          <w:rFonts w:hint="eastAsia" w:ascii="宋体" w:hAnsi="宋体" w:eastAsia="宋体" w:cs="宋体"/>
          <w:color w:val="auto"/>
          <w:sz w:val="24"/>
          <w:highlight w:val="none"/>
        </w:rPr>
        <w:t>投标文件</w:t>
      </w:r>
      <w:r>
        <w:rPr>
          <w:rFonts w:hint="eastAsia" w:ascii="宋体" w:hAnsi="宋体" w:eastAsia="宋体" w:cs="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41.3招标人对开标过程进行记录，并存档备查，投标人在技术标开标记录上签字。</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 招标人将上述符合要求的投标文件，送至评标委员会进行评审。</w:t>
      </w:r>
    </w:p>
    <w:p>
      <w:pPr>
        <w:pStyle w:val="18"/>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p>
    <w:p>
      <w:pPr>
        <w:pStyle w:val="18"/>
        <w:tabs>
          <w:tab w:val="left" w:pos="7380"/>
        </w:tabs>
        <w:snapToGrid w:val="0"/>
        <w:spacing w:after="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 资格审查及评标细则</w:t>
      </w:r>
    </w:p>
    <w:p>
      <w:pPr>
        <w:pStyle w:val="18"/>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42.1资格审查及评标均由招标人依法组建的评标委员会负责。</w:t>
      </w:r>
    </w:p>
    <w:p>
      <w:pPr>
        <w:pStyle w:val="18"/>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42.2评标委员会的组成：方式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方式一：评标委员会为综合评标委员会，负责资格审查及评标工作。</w:t>
      </w:r>
    </w:p>
    <w:p>
      <w:pPr>
        <w:pStyle w:val="18"/>
        <w:tabs>
          <w:tab w:val="left" w:pos="7380"/>
        </w:tabs>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方式二：评标委员会由技术评审组和经济评审组组成。其中：资格审查及技术评审由技术评标组负责，经济评审由经济评审组负责。</w:t>
      </w:r>
    </w:p>
    <w:p>
      <w:pPr>
        <w:pStyle w:val="18"/>
        <w:tabs>
          <w:tab w:val="left" w:pos="7380"/>
        </w:tabs>
        <w:snapToGrid w:val="0"/>
        <w:spacing w:after="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43．投标人资格审查</w:t>
      </w:r>
    </w:p>
    <w:p>
      <w:pPr>
        <w:pStyle w:val="18"/>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18"/>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43.2汇总资格审查情况，编写资格审查报告。</w:t>
      </w:r>
    </w:p>
    <w:p>
      <w:pPr>
        <w:pStyle w:val="18"/>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43.3资格审查不合格的投标文件不参加下一阶段的评标，不参与评标参考价的计算。</w:t>
      </w:r>
    </w:p>
    <w:p>
      <w:pPr>
        <w:pStyle w:val="18"/>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18"/>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43.5资审合格后，投标人的资格发生变化而不满足投标人合格条件，在发出中标通知书前，资格问题仍未解决的，招标人将取消其中标资格。</w:t>
      </w:r>
    </w:p>
    <w:p>
      <w:pPr>
        <w:pStyle w:val="18"/>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43.6资格审查合格的投标人少于3名的（当N个标段同时招标且不允许兼中时，资格审查合格的投标人少于N+2名），则本项目招标失败。</w:t>
      </w:r>
    </w:p>
    <w:p>
      <w:pPr>
        <w:pStyle w:val="18"/>
        <w:tabs>
          <w:tab w:val="left" w:pos="7380"/>
        </w:tabs>
        <w:snapToGrid w:val="0"/>
        <w:spacing w:after="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44．技术标评审</w:t>
      </w:r>
    </w:p>
    <w:p>
      <w:pPr>
        <w:pStyle w:val="18"/>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18"/>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18"/>
        <w:tabs>
          <w:tab w:val="left" w:pos="7380"/>
        </w:tabs>
        <w:snapToGrid w:val="0"/>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45．经济标评审和得分汇总</w:t>
      </w:r>
    </w:p>
    <w:p>
      <w:pPr>
        <w:pStyle w:val="18"/>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按方法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计算评标参考价：</w:t>
      </w:r>
    </w:p>
    <w:p>
      <w:pPr>
        <w:widowControl/>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方法一：加权平均法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技术标或技术标加诚信得分（具体由招标人自定）前N名（N≥5，具体由招标人自定）的经济报价加权平均，计算评标参考价。公式如下：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评标参考价=Σ（投标人的投标报价*报价权重）。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其中：报价权重的计算方法为：将N名投标人按技术分由高至低进行排序，第一名投标人的权重为（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QUOTE </w:instrText>
      </w:r>
      <w:r>
        <w:rPr>
          <w:rFonts w:hint="eastAsia" w:ascii="宋体" w:hAnsi="宋体" w:eastAsia="宋体" w:cs="宋体"/>
          <w:color w:val="auto"/>
          <w:sz w:val="24"/>
          <w:szCs w:val="24"/>
          <w:highlight w:val="none"/>
        </w:rPr>
        <w:drawing>
          <wp:inline distT="0" distB="0" distL="114300" distR="114300">
            <wp:extent cx="381000" cy="447675"/>
            <wp:effectExtent l="0" t="0" r="0" b="889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drawing>
          <wp:inline distT="0" distB="0" distL="114300" distR="114300">
            <wp:extent cx="381000" cy="447675"/>
            <wp:effectExtent l="0" t="0" r="0" b="8890"/>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），第二名投标人的权重为（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QUOTE </w:instrText>
      </w:r>
      <w:r>
        <w:rPr>
          <w:rFonts w:hint="eastAsia" w:ascii="宋体" w:hAnsi="宋体" w:eastAsia="宋体" w:cs="宋体"/>
          <w:color w:val="auto"/>
          <w:position w:val="-23"/>
          <w:sz w:val="24"/>
          <w:szCs w:val="24"/>
          <w:highlight w:val="none"/>
        </w:rPr>
        <w:drawing>
          <wp:inline distT="0" distB="0" distL="114300" distR="114300">
            <wp:extent cx="323850" cy="400050"/>
            <wp:effectExtent l="0" t="0" r="0" b="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position w:val="-23"/>
          <w:sz w:val="24"/>
          <w:szCs w:val="24"/>
          <w:highlight w:val="none"/>
        </w:rPr>
        <w:drawing>
          <wp:inline distT="0" distB="0" distL="114300" distR="114300">
            <wp:extent cx="323850" cy="400050"/>
            <wp:effectExtent l="0" t="0" r="0" b="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），以此类推，最后一名投标人的权重为（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QUOTE </w:instrText>
      </w:r>
      <w:r>
        <w:rPr>
          <w:rFonts w:hint="eastAsia" w:ascii="宋体" w:hAnsi="宋体" w:eastAsia="宋体" w:cs="宋体"/>
          <w:color w:val="auto"/>
          <w:position w:val="-23"/>
          <w:sz w:val="24"/>
          <w:szCs w:val="24"/>
          <w:highlight w:val="none"/>
        </w:rPr>
        <w:drawing>
          <wp:inline distT="0" distB="0" distL="114300" distR="114300">
            <wp:extent cx="323850" cy="400050"/>
            <wp:effectExtent l="0" t="0" r="0"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position w:val="-23"/>
          <w:sz w:val="24"/>
          <w:szCs w:val="24"/>
          <w:highlight w:val="none"/>
        </w:rPr>
        <w:drawing>
          <wp:inline distT="0" distB="0" distL="114300" distR="114300">
            <wp:extent cx="323850" cy="400050"/>
            <wp:effectExtent l="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widowControl/>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方法二：区间抽取法</w:t>
      </w:r>
    </w:p>
    <w:p>
      <w:pPr>
        <w:widowControl/>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eastAsia="宋体" w:cs="宋体"/>
          <w:color w:val="auto"/>
          <w:kern w:val="0"/>
          <w:sz w:val="24"/>
          <w:szCs w:val="24"/>
          <w:highlight w:val="none"/>
          <w:vertAlign w:val="subscript"/>
        </w:rPr>
      </w:pPr>
      <w:r>
        <w:rPr>
          <w:rFonts w:hint="eastAsia" w:ascii="宋体" w:hAnsi="宋体" w:eastAsia="宋体" w:cs="宋体"/>
          <w:color w:val="auto"/>
          <w:kern w:val="0"/>
          <w:sz w:val="24"/>
          <w:szCs w:val="24"/>
          <w:highlight w:val="none"/>
        </w:rPr>
        <w:t>评标参考价=（Q</w:t>
      </w:r>
      <w:r>
        <w:rPr>
          <w:rFonts w:hint="eastAsia" w:ascii="宋体" w:hAnsi="宋体" w:eastAsia="宋体" w:cs="宋体"/>
          <w:color w:val="auto"/>
          <w:kern w:val="0"/>
          <w:sz w:val="24"/>
          <w:szCs w:val="24"/>
          <w:highlight w:val="none"/>
          <w:vertAlign w:val="subscript"/>
        </w:rPr>
        <w:t>高</w:t>
      </w:r>
      <w:r>
        <w:rPr>
          <w:rFonts w:hint="eastAsia" w:ascii="宋体" w:hAnsi="宋体" w:eastAsia="宋体" w:cs="宋体"/>
          <w:color w:val="auto"/>
          <w:kern w:val="0"/>
          <w:sz w:val="24"/>
          <w:szCs w:val="24"/>
          <w:highlight w:val="none"/>
        </w:rPr>
        <w:t>-Q</w:t>
      </w:r>
      <w:r>
        <w:rPr>
          <w:rFonts w:hint="eastAsia" w:ascii="宋体" w:hAnsi="宋体" w:eastAsia="宋体" w:cs="宋体"/>
          <w:color w:val="auto"/>
          <w:kern w:val="0"/>
          <w:sz w:val="24"/>
          <w:szCs w:val="24"/>
          <w:highlight w:val="none"/>
          <w:vertAlign w:val="subscript"/>
        </w:rPr>
        <w:t>低</w:t>
      </w:r>
      <w:r>
        <w:rPr>
          <w:rFonts w:hint="eastAsia" w:ascii="宋体" w:hAnsi="宋体" w:eastAsia="宋体" w:cs="宋体"/>
          <w:color w:val="auto"/>
          <w:kern w:val="0"/>
          <w:sz w:val="24"/>
          <w:szCs w:val="24"/>
          <w:highlight w:val="none"/>
        </w:rPr>
        <w:t>）/100*Ｘ+Q</w:t>
      </w:r>
      <w:r>
        <w:rPr>
          <w:rFonts w:hint="eastAsia" w:ascii="宋体" w:hAnsi="宋体" w:eastAsia="宋体" w:cs="宋体"/>
          <w:color w:val="auto"/>
          <w:kern w:val="0"/>
          <w:sz w:val="24"/>
          <w:szCs w:val="24"/>
          <w:highlight w:val="none"/>
          <w:vertAlign w:val="subscript"/>
        </w:rPr>
        <w:t>低</w:t>
      </w:r>
    </w:p>
    <w:p>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w:t>
      </w:r>
      <w:r>
        <w:rPr>
          <w:rFonts w:hint="eastAsia" w:ascii="宋体" w:hAnsi="宋体" w:eastAsia="宋体" w:cs="宋体"/>
          <w:color w:val="auto"/>
          <w:sz w:val="24"/>
          <w:szCs w:val="24"/>
          <w:highlight w:val="none"/>
          <w:vertAlign w:val="subscript"/>
        </w:rPr>
        <w:t>低</w:t>
      </w:r>
      <w:r>
        <w:rPr>
          <w:rFonts w:hint="eastAsia" w:ascii="宋体" w:hAnsi="宋体" w:eastAsia="宋体" w:cs="宋体"/>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Q</w:t>
      </w:r>
      <w:r>
        <w:rPr>
          <w:rFonts w:hint="eastAsia" w:ascii="宋体" w:hAnsi="宋体" w:eastAsia="宋体" w:cs="宋体"/>
          <w:color w:val="auto"/>
          <w:kern w:val="0"/>
          <w:sz w:val="24"/>
          <w:szCs w:val="24"/>
          <w:highlight w:val="none"/>
          <w:vertAlign w:val="subscript"/>
        </w:rPr>
        <w:t>高</w:t>
      </w:r>
      <w:r>
        <w:rPr>
          <w:rFonts w:hint="eastAsia" w:ascii="宋体" w:hAnsi="宋体" w:eastAsia="宋体" w:cs="宋体"/>
          <w:color w:val="auto"/>
          <w:sz w:val="24"/>
          <w:szCs w:val="24"/>
          <w:highlight w:val="none"/>
        </w:rPr>
        <w:t>：为最高投标限价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X:为等分点值，在开标前从[0,100]整数中随机抽取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45.3</w:t>
      </w:r>
      <w:r>
        <w:rPr>
          <w:rFonts w:hint="eastAsia" w:ascii="宋体" w:hAnsi="宋体" w:eastAsia="宋体" w:cs="宋体"/>
          <w:color w:val="auto"/>
          <w:sz w:val="24"/>
          <w:szCs w:val="24"/>
          <w:highlight w:val="none"/>
        </w:rPr>
        <w:t>当标价等于评标参考价时得100分，标价每高于评标参考价1%，扣1.5分，每低于评标参考价1%，扣1分，扣至0分为止，得出经济分，精确到小数点后两位。</w:t>
      </w:r>
    </w:p>
    <w:p>
      <w:pPr>
        <w:pStyle w:val="18"/>
        <w:tabs>
          <w:tab w:val="left" w:pos="7380"/>
        </w:tabs>
        <w:snapToGrid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18"/>
        <w:tabs>
          <w:tab w:val="left" w:pos="7380"/>
        </w:tabs>
        <w:snapToGrid w:val="0"/>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46.经济标的有效性审查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46.2经济标的算术校核。评标委员会对进行经济标有效性审查的投标文件投标报价按照就低不就高的原则进行算术校核，具体标准如下：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46.2.1如果数字表示的金额和用文字表示的金额不一致时，应以文字表示的金额为准；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46.2.2经算术复核的投标人报价与其投标报价不一致时，按就低不就高原则确定其最终报价；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46.2.4当合价、金额累加错误时，按就低不就高原则，如果累加修正值小于原累加值，则按累加修正值；如果累加修正值大于原累加值，则按原累加值；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46.2.5如果投标人的有关规费、暂列金额、暂估价、绿色施工安全防护措施费等未按招标文件规定的金额填写的，由评标委员会按照招标文件规定的金额进行修正；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48.评标委员会应在通过投标文件经济标有效性审查的投标人中，按步骤45.4确定的投标人第二阶段排序，推荐前3名依次为第一中标候选人至第三中标候选人,并编制评标报告。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49.若通过经济标有效性审查的投标人不足三家，应当依法重新招标。（当N个标段同时招标且不允许兼中时，若有效投标人不足N+2家，应当依法重新招标）</w:t>
      </w:r>
    </w:p>
    <w:bookmarkEnd w:id="20"/>
    <w:bookmarkEnd w:id="21"/>
    <w:p>
      <w:pPr>
        <w:spacing w:line="360" w:lineRule="auto"/>
        <w:rPr>
          <w:rFonts w:hint="eastAsia" w:ascii="宋体" w:hAnsi="宋体" w:eastAsia="宋体" w:cs="宋体"/>
          <w:color w:val="auto"/>
          <w:sz w:val="21"/>
          <w:szCs w:val="21"/>
          <w:highlight w:val="none"/>
        </w:rPr>
      </w:pPr>
    </w:p>
    <w:p>
      <w:pPr>
        <w:widowControl/>
        <w:snapToGrid w:val="0"/>
        <w:spacing w:line="360" w:lineRule="auto"/>
        <w:ind w:right="102"/>
        <w:jc w:val="left"/>
        <w:rPr>
          <w:rFonts w:hint="eastAsia" w:ascii="宋体" w:hAnsi="宋体" w:eastAsia="宋体" w:cs="宋体"/>
          <w:color w:val="auto"/>
          <w:sz w:val="21"/>
          <w:szCs w:val="21"/>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40" w:right="1080" w:bottom="1440" w:left="1080" w:header="851" w:footer="907" w:gutter="0"/>
          <w:cols w:space="720" w:num="1"/>
          <w:titlePg/>
          <w:docGrid w:type="lines" w:linePitch="312" w:charSpace="0"/>
        </w:sectPr>
      </w:pPr>
    </w:p>
    <w:p>
      <w:pPr>
        <w:widowControl/>
        <w:snapToGrid w:val="0"/>
        <w:spacing w:line="360" w:lineRule="auto"/>
        <w:ind w:right="102"/>
        <w:jc w:val="left"/>
        <w:rPr>
          <w:rFonts w:ascii="宋体"/>
          <w:color w:val="auto"/>
          <w:szCs w:val="21"/>
          <w:highlight w:val="none"/>
        </w:rPr>
      </w:pPr>
      <w:r>
        <w:rPr>
          <w:rFonts w:hint="eastAsia" w:ascii="宋体" w:hAnsi="宋体"/>
          <w:color w:val="auto"/>
          <w:szCs w:val="21"/>
          <w:highlight w:val="none"/>
        </w:rPr>
        <w:t>附表一：</w:t>
      </w:r>
    </w:p>
    <w:p>
      <w:pPr>
        <w:jc w:val="center"/>
        <w:rPr>
          <w:b/>
          <w:color w:val="auto"/>
          <w:sz w:val="32"/>
          <w:szCs w:val="32"/>
          <w:highlight w:val="none"/>
        </w:rPr>
      </w:pPr>
      <w:r>
        <w:rPr>
          <w:rFonts w:hint="eastAsia"/>
          <w:b/>
          <w:color w:val="auto"/>
          <w:sz w:val="32"/>
          <w:szCs w:val="32"/>
          <w:highlight w:val="none"/>
        </w:rPr>
        <w:t>资格审查表</w:t>
      </w:r>
    </w:p>
    <w:p>
      <w:pPr>
        <w:spacing w:line="360" w:lineRule="auto"/>
        <w:rPr>
          <w:color w:val="auto"/>
          <w:sz w:val="24"/>
          <w:szCs w:val="24"/>
          <w:highlight w:val="none"/>
        </w:rPr>
      </w:pPr>
      <w:r>
        <w:rPr>
          <w:rFonts w:hint="eastAsia"/>
          <w:color w:val="auto"/>
          <w:sz w:val="24"/>
          <w:szCs w:val="24"/>
          <w:highlight w:val="none"/>
        </w:rPr>
        <w:t>工程名称：</w:t>
      </w:r>
    </w:p>
    <w:p>
      <w:pPr>
        <w:spacing w:line="360" w:lineRule="auto"/>
        <w:rPr>
          <w:color w:val="auto"/>
          <w:sz w:val="24"/>
          <w:szCs w:val="24"/>
          <w:highlight w:val="none"/>
        </w:rPr>
      </w:pPr>
      <w:r>
        <w:rPr>
          <w:rFonts w:hint="eastAsia"/>
          <w:color w:val="auto"/>
          <w:sz w:val="24"/>
          <w:szCs w:val="24"/>
          <w:highlight w:val="none"/>
        </w:rPr>
        <w:t>投标人名称：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831"/>
        <w:gridCol w:w="635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r>
              <w:rPr>
                <w:rFonts w:ascii="宋体" w:hAnsi="宋体"/>
                <w:color w:val="auto"/>
                <w:szCs w:val="21"/>
                <w:highlight w:val="none"/>
              </w:rPr>
              <w:t>1</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投标人参加投标的意思表达清楚，投标人代表被授权有效</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投标人声明</w:t>
            </w:r>
            <w:r>
              <w:rPr>
                <w:rFonts w:hint="eastAsia" w:ascii="宋体" w:hAnsi="宋体"/>
                <w:color w:val="auto"/>
                <w:szCs w:val="21"/>
                <w:highlight w:val="none"/>
                <w:u w:val="single"/>
              </w:rPr>
              <w:t>扫描件</w:t>
            </w:r>
            <w:r>
              <w:rPr>
                <w:rFonts w:hint="eastAsia" w:ascii="宋体" w:hAnsi="宋体"/>
                <w:color w:val="auto"/>
                <w:szCs w:val="21"/>
                <w:highlight w:val="none"/>
              </w:rPr>
              <w:t>、法定代表人证明书</w:t>
            </w:r>
            <w:r>
              <w:rPr>
                <w:rFonts w:hint="eastAsia" w:ascii="宋体" w:hAnsi="宋体"/>
                <w:color w:val="auto"/>
                <w:szCs w:val="21"/>
                <w:highlight w:val="none"/>
                <w:u w:val="single"/>
              </w:rPr>
              <w:t>扫描件</w:t>
            </w:r>
            <w:r>
              <w:rPr>
                <w:rFonts w:hint="eastAsia" w:ascii="宋体" w:hAnsi="宋体"/>
                <w:color w:val="auto"/>
                <w:szCs w:val="21"/>
                <w:highlight w:val="none"/>
              </w:rPr>
              <w:t>；委托投标的还应提供法人授权委托证明书</w:t>
            </w:r>
            <w:r>
              <w:rPr>
                <w:rFonts w:hint="eastAsia" w:ascii="宋体" w:hAnsi="宋体"/>
                <w:color w:val="auto"/>
                <w:szCs w:val="21"/>
                <w:highlight w:val="none"/>
                <w:u w:val="single"/>
              </w:rPr>
              <w:t>扫描件</w:t>
            </w:r>
            <w:r>
              <w:rPr>
                <w:rFonts w:hint="eastAsia" w:ascii="宋体" w:hAnsi="宋体"/>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r>
              <w:rPr>
                <w:rFonts w:ascii="宋体" w:hAnsi="宋体"/>
                <w:color w:val="auto"/>
                <w:szCs w:val="21"/>
                <w:highlight w:val="none"/>
              </w:rPr>
              <w:t>2</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投标人均具有独立法人资格，按国家法律经营</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营业执照</w:t>
            </w:r>
            <w:r>
              <w:rPr>
                <w:rFonts w:hint="eastAsia" w:ascii="宋体" w:hAnsi="宋体"/>
                <w:color w:val="auto"/>
                <w:szCs w:val="21"/>
                <w:highlight w:val="none"/>
                <w:u w:val="single"/>
              </w:rPr>
              <w:t>扫描</w:t>
            </w:r>
            <w:r>
              <w:rPr>
                <w:color w:val="auto"/>
                <w:highlight w:val="none"/>
                <w:u w:val="single"/>
              </w:rPr>
              <w:t>件</w:t>
            </w:r>
            <w:r>
              <w:rPr>
                <w:rFonts w:hint="eastAsia"/>
                <w:color w:val="auto"/>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r>
              <w:rPr>
                <w:rFonts w:ascii="宋体" w:hAnsi="宋体"/>
                <w:color w:val="auto"/>
                <w:szCs w:val="21"/>
                <w:highlight w:val="none"/>
              </w:rPr>
              <w:t>3</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投标人均持有建设行政主管部门颁发的</w:t>
            </w:r>
            <w:r>
              <w:rPr>
                <w:rFonts w:hint="eastAsia" w:ascii="宋体" w:hAnsi="宋体"/>
                <w:color w:val="auto"/>
                <w:szCs w:val="21"/>
                <w:highlight w:val="none"/>
                <w:u w:val="single"/>
              </w:rPr>
              <w:t>有效期内的</w:t>
            </w:r>
            <w:r>
              <w:rPr>
                <w:rFonts w:hint="eastAsia" w:ascii="宋体" w:hAnsi="宋体"/>
                <w:color w:val="auto"/>
                <w:szCs w:val="21"/>
                <w:highlight w:val="none"/>
              </w:rPr>
              <w:t>企业资质证书及安全生产许可证；投标人资质符合公告要求</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u w:val="single"/>
                <w:lang w:eastAsia="zh-CN"/>
              </w:rPr>
            </w:pPr>
            <w:r>
              <w:rPr>
                <w:rFonts w:hint="eastAsia" w:ascii="宋体" w:hAnsi="宋体"/>
                <w:color w:val="auto"/>
                <w:szCs w:val="21"/>
                <w:highlight w:val="none"/>
              </w:rPr>
              <w:t>资质证书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或符合招标公告规定的相关证明材料（如有）</w:t>
            </w:r>
            <w:r>
              <w:rPr>
                <w:rFonts w:hint="eastAsia" w:ascii="宋体" w:hAnsi="宋体"/>
                <w:color w:val="auto"/>
                <w:szCs w:val="21"/>
                <w:highlight w:val="none"/>
                <w:lang w:eastAsia="zh-CN"/>
              </w:rPr>
              <w:t>；</w:t>
            </w:r>
            <w:r>
              <w:rPr>
                <w:rFonts w:hint="eastAsia" w:ascii="宋体" w:hAnsi="宋体"/>
                <w:color w:val="auto"/>
                <w:szCs w:val="21"/>
                <w:highlight w:val="none"/>
              </w:rPr>
              <w:t>安全生产许可证</w:t>
            </w:r>
            <w:r>
              <w:rPr>
                <w:rFonts w:hint="eastAsia" w:ascii="宋体" w:hAnsi="宋体"/>
                <w:color w:val="auto"/>
                <w:szCs w:val="21"/>
                <w:highlight w:val="none"/>
                <w:u w:val="single"/>
              </w:rPr>
              <w:t>扫描件</w:t>
            </w:r>
            <w:r>
              <w:rPr>
                <w:rFonts w:hint="eastAsia" w:ascii="宋体" w:hAnsi="宋体"/>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r>
              <w:rPr>
                <w:rFonts w:ascii="宋体" w:hAnsi="宋体"/>
                <w:color w:val="auto"/>
                <w:szCs w:val="21"/>
                <w:highlight w:val="none"/>
              </w:rPr>
              <w:t>4</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投标人拟担任本工程项目负责人符合公告要求</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ascii="宋体" w:hAnsi="宋体"/>
                <w:color w:val="auto"/>
                <w:szCs w:val="21"/>
                <w:highlight w:val="none"/>
              </w:rPr>
            </w:pPr>
            <w:r>
              <w:rPr>
                <w:rFonts w:hint="eastAsia" w:ascii="宋体" w:hAnsi="宋体"/>
                <w:color w:val="auto"/>
                <w:szCs w:val="21"/>
                <w:highlight w:val="none"/>
              </w:rPr>
              <w:t>使用有效期内的注册建造师注册证书</w:t>
            </w:r>
            <w:r>
              <w:rPr>
                <w:rFonts w:hint="eastAsia" w:ascii="宋体" w:hAnsi="宋体"/>
                <w:color w:val="auto"/>
                <w:szCs w:val="21"/>
                <w:highlight w:val="none"/>
                <w:u w:val="single"/>
              </w:rPr>
              <w:t>扫描件</w:t>
            </w:r>
            <w:r>
              <w:rPr>
                <w:rFonts w:hint="eastAsia" w:ascii="宋体" w:hAnsi="宋体"/>
                <w:color w:val="auto"/>
                <w:szCs w:val="21"/>
                <w:highlight w:val="none"/>
              </w:rPr>
              <w:t>。（注：</w:t>
            </w:r>
            <w:r>
              <w:rPr>
                <w:rFonts w:hint="eastAsia" w:ascii="宋体" w:hAnsi="宋体"/>
                <w:color w:val="auto"/>
                <w:szCs w:val="21"/>
                <w:highlight w:val="none"/>
                <w:u w:val="single"/>
              </w:rPr>
              <w:t>递交的注册建造师注册证书须符合招标公告第九条第4款注②的规定</w:t>
            </w:r>
            <w:r>
              <w:rPr>
                <w:rFonts w:hint="eastAsia" w:ascii="宋体" w:hAnsi="宋体"/>
                <w:color w:val="auto"/>
                <w:szCs w:val="21"/>
                <w:highlight w:val="none"/>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r>
              <w:rPr>
                <w:rFonts w:ascii="宋体" w:hAnsi="宋体"/>
                <w:color w:val="auto"/>
                <w:szCs w:val="21"/>
                <w:highlight w:val="none"/>
              </w:rPr>
              <w:t>5</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left"/>
              <w:rPr>
                <w:rFonts w:hint="eastAsia" w:ascii="宋体" w:hAnsi="宋体" w:eastAsia="宋体"/>
                <w:color w:val="auto"/>
                <w:szCs w:val="21"/>
                <w:highlight w:val="none"/>
                <w:lang w:eastAsia="zh-CN"/>
              </w:rPr>
            </w:pPr>
            <w:r>
              <w:rPr>
                <w:rFonts w:hint="eastAsia" w:ascii="宋体" w:hAnsi="宋体"/>
                <w:color w:val="auto"/>
                <w:szCs w:val="21"/>
                <w:highlight w:val="none"/>
              </w:rPr>
              <w:t>持有</w:t>
            </w:r>
            <w:r>
              <w:rPr>
                <w:rFonts w:hint="eastAsia" w:ascii="宋体" w:hAnsi="宋体"/>
                <w:color w:val="auto"/>
                <w:szCs w:val="21"/>
                <w:highlight w:val="none"/>
                <w:u w:val="single"/>
              </w:rPr>
              <w:t>有效期内的</w:t>
            </w:r>
            <w:r>
              <w:rPr>
                <w:rFonts w:hint="eastAsia" w:ascii="宋体" w:hAnsi="宋体"/>
                <w:color w:val="auto"/>
                <w:szCs w:val="21"/>
                <w:highlight w:val="none"/>
              </w:rPr>
              <w:t>项目负责人安全生产考核合格证（</w:t>
            </w:r>
            <w:r>
              <w:rPr>
                <w:rFonts w:ascii="宋体" w:hAnsi="宋体"/>
                <w:color w:val="auto"/>
                <w:szCs w:val="21"/>
                <w:highlight w:val="none"/>
              </w:rPr>
              <w:t>B</w:t>
            </w:r>
            <w:r>
              <w:rPr>
                <w:rFonts w:hint="eastAsia" w:ascii="宋体" w:hAnsi="宋体"/>
                <w:color w:val="auto"/>
                <w:szCs w:val="21"/>
                <w:highlight w:val="none"/>
              </w:rPr>
              <w:t>类）或建筑施工企业项目负责人安全生产考核合格证</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left"/>
              <w:rPr>
                <w:rFonts w:ascii="宋体" w:hAnsi="宋体"/>
                <w:color w:val="auto"/>
                <w:szCs w:val="21"/>
                <w:highlight w:val="none"/>
              </w:rPr>
            </w:pPr>
            <w:r>
              <w:rPr>
                <w:rFonts w:hint="eastAsia" w:ascii="宋体" w:hAnsi="宋体"/>
                <w:color w:val="auto"/>
                <w:szCs w:val="21"/>
                <w:highlight w:val="none"/>
              </w:rPr>
              <w:t>项目负责人安全生产考核合格证（B证）或建筑施工企业项目负责人安全生产考核合格证</w:t>
            </w:r>
            <w:r>
              <w:rPr>
                <w:rFonts w:hint="eastAsia" w:ascii="宋体" w:hAnsi="宋体"/>
                <w:color w:val="auto"/>
                <w:szCs w:val="21"/>
                <w:highlight w:val="none"/>
                <w:u w:val="single"/>
              </w:rPr>
              <w:t>扫描件。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6</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投标人拟担任本工程技术负责人符合公告要求</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s="宋体"/>
                <w:bCs/>
                <w:color w:val="auto"/>
                <w:szCs w:val="21"/>
                <w:highlight w:val="none"/>
                <w:u w:val="single"/>
              </w:rPr>
              <w:t>拟委派技术负责人的职称证书扫描件</w:t>
            </w:r>
            <w:r>
              <w:rPr>
                <w:rFonts w:hint="eastAsia" w:ascii="宋体" w:hAnsi="宋体" w:cs="宋体"/>
                <w:bCs/>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7</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专职安全员须具有</w:t>
            </w:r>
            <w:r>
              <w:rPr>
                <w:rFonts w:hint="eastAsia" w:ascii="宋体" w:hAnsi="宋体"/>
                <w:color w:val="auto"/>
                <w:szCs w:val="21"/>
                <w:highlight w:val="none"/>
                <w:u w:val="single"/>
              </w:rPr>
              <w:t>有效期内的</w:t>
            </w:r>
            <w:r>
              <w:rPr>
                <w:rFonts w:hint="eastAsia" w:ascii="宋体" w:hAnsi="宋体"/>
                <w:color w:val="auto"/>
                <w:szCs w:val="21"/>
                <w:highlight w:val="none"/>
              </w:rPr>
              <w:t>安全生产考核合格证（C证）或建筑施工企业专职安全生产管理人员安全生产考核合格证（C3）</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ascii="宋体" w:hAnsi="宋体"/>
                <w:color w:val="auto"/>
                <w:szCs w:val="21"/>
                <w:highlight w:val="none"/>
              </w:rPr>
            </w:pPr>
            <w:r>
              <w:rPr>
                <w:rFonts w:hint="eastAsia" w:ascii="宋体" w:hAnsi="宋体"/>
                <w:color w:val="auto"/>
                <w:szCs w:val="21"/>
                <w:highlight w:val="none"/>
              </w:rPr>
              <w:t>专职安全员的安全生产考核合格证（C证）或建筑施工企业专职安全生产管理人员安全生产考核合格证</w:t>
            </w:r>
            <w:r>
              <w:rPr>
                <w:rFonts w:hint="eastAsia" w:ascii="宋体" w:hAnsi="宋体"/>
                <w:color w:val="auto"/>
                <w:szCs w:val="21"/>
                <w:highlight w:val="none"/>
                <w:u w:val="single"/>
              </w:rPr>
              <w:t>扫描件。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投标人完成过的类似工程业绩符合公告要求</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业绩资料扫描件</w:t>
            </w:r>
            <w:r>
              <w:rPr>
                <w:rFonts w:hint="eastAsia" w:ascii="宋体" w:hAnsi="宋体"/>
                <w:color w:val="auto"/>
                <w:szCs w:val="21"/>
                <w:highlight w:val="non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val="en-US" w:eastAsia="zh-CN"/>
              </w:rPr>
              <w:t>9</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投标人提供的投标人声明符合公告要求</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left"/>
              <w:rPr>
                <w:rFonts w:hint="eastAsia" w:ascii="宋体" w:hAnsi="宋体" w:eastAsia="宋体"/>
                <w:color w:val="auto"/>
                <w:szCs w:val="21"/>
                <w:highlight w:val="none"/>
                <w:lang w:eastAsia="zh-CN"/>
              </w:rPr>
            </w:pPr>
            <w:r>
              <w:rPr>
                <w:rFonts w:hint="eastAsia" w:ascii="宋体" w:hAnsi="宋体"/>
                <w:color w:val="auto"/>
                <w:szCs w:val="21"/>
                <w:highlight w:val="none"/>
              </w:rPr>
              <w:t>投标人声明</w:t>
            </w:r>
            <w:r>
              <w:rPr>
                <w:rFonts w:hint="eastAsia" w:ascii="宋体" w:hAnsi="宋体"/>
                <w:color w:val="auto"/>
                <w:szCs w:val="21"/>
                <w:highlight w:val="none"/>
                <w:u w:val="single"/>
              </w:rPr>
              <w:t>扫描件</w:t>
            </w:r>
            <w:r>
              <w:rPr>
                <w:rFonts w:hint="eastAsia" w:ascii="宋体" w:hAnsi="宋体"/>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10</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投标人声明中签字的项目负责人和技术负责人与本项目拟派的项目负责人和技术负责人一致</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网上投标时选择拟投标的项目负责人、资格审查文件中拟委派的技术负责人及投标人声明</w:t>
            </w:r>
            <w:r>
              <w:rPr>
                <w:rFonts w:hint="eastAsia" w:ascii="宋体" w:hAnsi="宋体"/>
                <w:color w:val="auto"/>
                <w:szCs w:val="21"/>
                <w:highlight w:val="non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11</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Style w:val="25"/>
                <w:rFonts w:hint="default"/>
                <w:color w:val="auto"/>
                <w:sz w:val="21"/>
                <w:szCs w:val="21"/>
                <w:highlight w:val="none"/>
              </w:rPr>
              <w:t>关于联合体投标：本项目不接受联合体投标</w:t>
            </w:r>
            <w:r>
              <w:rPr>
                <w:rStyle w:val="25"/>
                <w:rFonts w:hint="eastAsia"/>
                <w:color w:val="auto"/>
                <w:sz w:val="21"/>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trike/>
                <w:color w:val="auto"/>
                <w:szCs w:val="21"/>
                <w:highlight w:val="none"/>
                <w:u w:val="single"/>
              </w:rPr>
            </w:pPr>
            <w:r>
              <w:rPr>
                <w:rFonts w:hint="eastAsia" w:ascii="宋体" w:hAnsi="宋体"/>
                <w:color w:val="auto"/>
                <w:szCs w:val="21"/>
                <w:highlight w:val="none"/>
                <w:u w:val="single"/>
              </w:rPr>
              <w:t>投标人没有以联合体投标登记。本项没有须审查的资料。</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2</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u w:val="single"/>
              </w:rPr>
              <w:t>投标登记前，投标人须在广州交易集团有限公司（广州公共资源交易中心）企业库办理企业信息登记及拟担任本工程项目负责人、专职安全员须是本企业信息登记中的在册人员</w:t>
            </w:r>
            <w:r>
              <w:rPr>
                <w:rFonts w:hint="eastAsia" w:ascii="宋体" w:hAnsi="宋体"/>
                <w:color w:val="auto"/>
                <w:szCs w:val="21"/>
                <w:highlight w:val="none"/>
                <w:u w:val="singl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投标人在</w:t>
            </w:r>
            <w:r>
              <w:rPr>
                <w:rFonts w:hint="eastAsia" w:ascii="宋体" w:hAnsi="宋体"/>
                <w:color w:val="auto"/>
                <w:szCs w:val="21"/>
                <w:highlight w:val="none"/>
                <w:u w:val="single"/>
              </w:rPr>
              <w:t>广州交易集团有限公司（广州公共资源交易中心）</w:t>
            </w:r>
            <w:r>
              <w:rPr>
                <w:rFonts w:hint="eastAsia"/>
                <w:color w:val="auto"/>
                <w:highlight w:val="none"/>
                <w:u w:val="single"/>
              </w:rPr>
              <w:t>企业</w:t>
            </w:r>
            <w:r>
              <w:rPr>
                <w:rFonts w:hint="eastAsia" w:ascii="宋体" w:hAnsi="宋体"/>
                <w:color w:val="auto"/>
                <w:szCs w:val="21"/>
                <w:highlight w:val="none"/>
              </w:rPr>
              <w:t>库内</w:t>
            </w:r>
            <w:r>
              <w:rPr>
                <w:rFonts w:hint="eastAsia" w:ascii="宋体" w:hAnsi="宋体"/>
                <w:color w:val="auto"/>
                <w:szCs w:val="21"/>
                <w:highlight w:val="none"/>
                <w:u w:val="single"/>
              </w:rPr>
              <w:t>信息</w:t>
            </w:r>
            <w:r>
              <w:rPr>
                <w:rFonts w:hint="eastAsia"/>
                <w:color w:val="auto"/>
                <w:highlight w:val="none"/>
                <w:u w:val="single"/>
              </w:rPr>
              <w:t>登记</w:t>
            </w:r>
            <w:r>
              <w:rPr>
                <w:rFonts w:hint="eastAsia" w:ascii="宋体" w:hAnsi="宋体"/>
                <w:color w:val="auto"/>
                <w:szCs w:val="21"/>
                <w:highlight w:val="none"/>
              </w:rPr>
              <w:t>的企业和人员信息</w:t>
            </w:r>
            <w:r>
              <w:rPr>
                <w:rFonts w:hint="eastAsia" w:ascii="宋体" w:hAnsi="宋体" w:cs="宋体"/>
                <w:bCs/>
                <w:color w:val="auto"/>
                <w:szCs w:val="21"/>
                <w:highlight w:val="none"/>
                <w:u w:val="single"/>
              </w:rPr>
              <w:t>（提供网页信息截图）</w:t>
            </w:r>
            <w:r>
              <w:rPr>
                <w:rFonts w:hint="eastAsia" w:ascii="宋体" w:hAnsi="宋体" w:cs="宋体"/>
                <w:bCs/>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3</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left"/>
              <w:rPr>
                <w:rFonts w:hint="eastAsia" w:ascii="宋体" w:hAnsi="宋体" w:eastAsia="宋体"/>
                <w:color w:val="auto"/>
                <w:szCs w:val="21"/>
                <w:highlight w:val="none"/>
                <w:lang w:eastAsia="zh-CN"/>
              </w:rPr>
            </w:pPr>
            <w:r>
              <w:rPr>
                <w:rFonts w:hint="eastAsia" w:ascii="宋体" w:hAnsi="宋体"/>
                <w:color w:val="auto"/>
                <w:szCs w:val="21"/>
                <w:highlight w:val="none"/>
              </w:rPr>
              <w:t>投标人声明</w:t>
            </w:r>
            <w:r>
              <w:rPr>
                <w:rFonts w:hint="eastAsia" w:ascii="宋体" w:hAnsi="宋体"/>
                <w:color w:val="auto"/>
                <w:szCs w:val="21"/>
                <w:highlight w:val="none"/>
                <w:u w:val="single"/>
              </w:rPr>
              <w:t>扫描件</w:t>
            </w:r>
            <w:r>
              <w:rPr>
                <w:rFonts w:hint="eastAsia" w:ascii="宋体" w:hAnsi="宋体"/>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4</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lang w:eastAsia="zh-CN"/>
              </w:rPr>
            </w:pPr>
            <w:r>
              <w:rPr>
                <w:rFonts w:hint="eastAsia" w:ascii="宋体" w:hAnsi="宋体"/>
                <w:color w:val="auto"/>
                <w:szCs w:val="21"/>
                <w:highlight w:val="none"/>
              </w:rPr>
              <w:t>投标人未被列入拖欠农民工工资失信联合惩戒对象名单</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Cs w:val="21"/>
                <w:highlight w:val="none"/>
                <w:u w:val="single"/>
              </w:rPr>
            </w:pPr>
            <w:r>
              <w:rPr>
                <w:rFonts w:hint="eastAsia" w:ascii="宋体" w:hAnsi="宋体"/>
                <w:color w:val="auto"/>
                <w:szCs w:val="21"/>
                <w:highlight w:val="none"/>
                <w:u w:val="single"/>
              </w:rPr>
              <w:t>投标人无需提供资料，资格审查时，按广州交易集团有限公司（广州公共资源交易中心）交易系统比对的结果进行评审。</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5</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投标人未在以往工程中因不诚信行为或不充分履约行为被本项目招标人书面拒绝投标的（详见招标公告附件二《被招标人拒绝投标的企业名单》）。</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Cs w:val="21"/>
                <w:highlight w:val="none"/>
                <w:u w:val="single"/>
              </w:rPr>
            </w:pPr>
            <w:r>
              <w:rPr>
                <w:rFonts w:hint="eastAsia" w:ascii="宋体" w:hAnsi="宋体"/>
                <w:color w:val="auto"/>
                <w:szCs w:val="21"/>
                <w:highlight w:val="none"/>
                <w:u w:val="single"/>
              </w:rPr>
              <w:t>投标人无需提供资料，资格审查时，按本项目招标公告附件二《被招标人拒绝投标的企业名单》进行评审。</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bl>
    <w:p>
      <w:pPr>
        <w:ind w:firstLine="470" w:firstLineChars="224"/>
        <w:rPr>
          <w:rFonts w:ascii="宋体"/>
          <w:color w:val="auto"/>
          <w:szCs w:val="21"/>
          <w:highlight w:val="none"/>
        </w:rPr>
      </w:pPr>
      <w:r>
        <w:rPr>
          <w:rFonts w:hint="eastAsia" w:ascii="宋体" w:hAnsi="宋体"/>
          <w:color w:val="auto"/>
          <w:szCs w:val="21"/>
          <w:highlight w:val="none"/>
        </w:rPr>
        <w:t>备注：</w:t>
      </w:r>
      <w:r>
        <w:rPr>
          <w:rFonts w:ascii="宋体" w:hAnsi="宋体"/>
          <w:color w:val="auto"/>
          <w:szCs w:val="21"/>
          <w:highlight w:val="none"/>
        </w:rPr>
        <w:t>1</w:t>
      </w:r>
      <w:r>
        <w:rPr>
          <w:rFonts w:hint="eastAsia" w:ascii="宋体" w:hAnsi="宋体"/>
          <w:color w:val="auto"/>
          <w:szCs w:val="21"/>
          <w:highlight w:val="none"/>
        </w:rPr>
        <w:t>、每一项目符合的打“○”，不符合的打“×”；</w:t>
      </w:r>
    </w:p>
    <w:p>
      <w:pPr>
        <w:ind w:firstLine="470" w:firstLineChars="224"/>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、若评委意见不一致时，则按少数服从多数的原则，作出评审结论。汇总后，出现一个“×”的结论为“不通过”。</w:t>
      </w:r>
    </w:p>
    <w:p>
      <w:pPr>
        <w:ind w:firstLine="470" w:firstLineChars="224"/>
        <w:rPr>
          <w:rFonts w:ascii="宋体" w:hAnsi="宋体"/>
          <w:color w:val="auto"/>
          <w:szCs w:val="21"/>
          <w:highlight w:val="none"/>
        </w:rPr>
      </w:pPr>
      <w:r>
        <w:rPr>
          <w:rFonts w:hint="eastAsia" w:ascii="宋体" w:hAnsi="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color w:val="auto"/>
          <w:highlight w:val="none"/>
        </w:rPr>
        <w:sectPr>
          <w:endnotePr>
            <w:numFmt w:val="decimal"/>
          </w:endnotePr>
          <w:pgSz w:w="16838" w:h="11906" w:orient="landscape"/>
          <w:pgMar w:top="1418" w:right="1134" w:bottom="1418" w:left="1247" w:header="851" w:footer="907" w:gutter="0"/>
          <w:cols w:space="720" w:num="1"/>
          <w:titlePg/>
          <w:docGrid w:type="linesAndChars" w:linePitch="312" w:charSpace="0"/>
        </w:sectPr>
      </w:pPr>
    </w:p>
    <w:p>
      <w:pPr>
        <w:rPr>
          <w:color w:val="auto"/>
          <w:szCs w:val="21"/>
          <w:highlight w:val="none"/>
        </w:rPr>
      </w:pPr>
      <w:r>
        <w:rPr>
          <w:rFonts w:hint="eastAsia"/>
          <w:color w:val="auto"/>
          <w:szCs w:val="21"/>
          <w:highlight w:val="none"/>
        </w:rPr>
        <w:t>附表二</w:t>
      </w:r>
    </w:p>
    <w:p>
      <w:pPr>
        <w:jc w:val="center"/>
        <w:rPr>
          <w:b/>
          <w:color w:val="auto"/>
          <w:sz w:val="36"/>
          <w:szCs w:val="36"/>
          <w:highlight w:val="none"/>
        </w:rPr>
      </w:pPr>
      <w:r>
        <w:rPr>
          <w:rFonts w:hint="eastAsia"/>
          <w:b/>
          <w:color w:val="auto"/>
          <w:sz w:val="36"/>
          <w:szCs w:val="36"/>
          <w:highlight w:val="none"/>
        </w:rPr>
        <w:t>技术标有效性审查表</w:t>
      </w:r>
    </w:p>
    <w:p>
      <w:pPr>
        <w:rPr>
          <w:color w:val="auto"/>
          <w:szCs w:val="21"/>
          <w:highlight w:val="none"/>
        </w:rPr>
      </w:pPr>
      <w:r>
        <w:rPr>
          <w:rFonts w:hint="eastAsia"/>
          <w:color w:val="auto"/>
          <w:szCs w:val="21"/>
          <w:highlight w:val="none"/>
        </w:rPr>
        <w:t>工程名称：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8516"/>
        <w:gridCol w:w="921"/>
        <w:gridCol w:w="921"/>
        <w:gridCol w:w="922"/>
        <w:gridCol w:w="921"/>
        <w:gridCol w:w="921"/>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rPr>
            </w:pPr>
            <w:r>
              <w:rPr>
                <w:rFonts w:hint="eastAsia" w:ascii="宋体" w:hAnsi="宋体"/>
                <w:color w:val="auto"/>
                <w:szCs w:val="21"/>
                <w:highlight w:val="none"/>
              </w:rPr>
              <w:t>序号</w:t>
            </w:r>
          </w:p>
        </w:tc>
        <w:tc>
          <w:tcPr>
            <w:tcW w:w="851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adjustRightInd w:val="0"/>
              <w:ind w:firstLine="3570" w:firstLineChars="1700"/>
              <w:rPr>
                <w:rFonts w:ascii="宋体" w:hAnsi="宋体"/>
                <w:color w:val="auto"/>
                <w:szCs w:val="21"/>
                <w:highlight w:val="none"/>
              </w:rPr>
            </w:pPr>
            <w:r>
              <w:rPr>
                <w:rFonts w:hint="eastAsia" w:ascii="宋体" w:hAnsi="宋体"/>
                <w:color w:val="auto"/>
                <w:szCs w:val="21"/>
                <w:highlight w:val="none"/>
              </w:rPr>
              <w:t>投标人</w:t>
            </w:r>
          </w:p>
          <w:p>
            <w:pPr>
              <w:adjustRightInd w:val="0"/>
              <w:rPr>
                <w:rFonts w:ascii="宋体" w:hAnsi="宋体"/>
                <w:color w:val="auto"/>
                <w:szCs w:val="21"/>
                <w:highlight w:val="none"/>
              </w:rPr>
            </w:pPr>
          </w:p>
          <w:p>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rPr>
            </w:pPr>
            <w:r>
              <w:rPr>
                <w:rFonts w:hint="eastAsia" w:ascii="宋体" w:hAnsi="宋体"/>
                <w:color w:val="auto"/>
                <w:szCs w:val="21"/>
                <w:highlight w:val="none"/>
              </w:rPr>
              <w:t>1</w:t>
            </w:r>
          </w:p>
        </w:tc>
        <w:tc>
          <w:tcPr>
            <w:tcW w:w="8516"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《广州建设工程施工招标投标书（技术标）》中填报的投标总工期不符合招标文件要求的；</w:t>
            </w: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rPr>
            </w:pPr>
            <w:r>
              <w:rPr>
                <w:rFonts w:hint="eastAsia" w:ascii="宋体" w:hAnsi="宋体"/>
                <w:color w:val="auto"/>
                <w:szCs w:val="21"/>
                <w:highlight w:val="none"/>
              </w:rPr>
              <w:t>2</w:t>
            </w:r>
          </w:p>
        </w:tc>
        <w:tc>
          <w:tcPr>
            <w:tcW w:w="8516"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cs="宋体"/>
                <w:color w:val="auto"/>
                <w:szCs w:val="21"/>
                <w:highlight w:val="none"/>
              </w:rPr>
            </w:pPr>
            <w:r>
              <w:rPr>
                <w:rFonts w:hint="eastAsia" w:ascii="宋体" w:hAnsi="宋体" w:cs="宋体"/>
                <w:color w:val="auto"/>
                <w:szCs w:val="21"/>
                <w:highlight w:val="none"/>
                <w:u w:val="single"/>
              </w:rPr>
              <w:t>《广州建设工程施工招标投标书（技术标）》中填报的工程质量标准不符合招标文件要求的；</w:t>
            </w: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u w:val="single"/>
              </w:rPr>
            </w:pPr>
            <w:r>
              <w:rPr>
                <w:rFonts w:hint="eastAsia" w:ascii="宋体" w:hAnsi="宋体"/>
                <w:color w:val="auto"/>
                <w:szCs w:val="21"/>
                <w:highlight w:val="none"/>
                <w:u w:val="single"/>
              </w:rPr>
              <w:t>3</w:t>
            </w:r>
          </w:p>
        </w:tc>
        <w:tc>
          <w:tcPr>
            <w:tcW w:w="8516"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u w:val="single"/>
              </w:rPr>
            </w:pPr>
            <w:r>
              <w:rPr>
                <w:rFonts w:hint="eastAsia" w:ascii="宋体" w:hAnsi="宋体"/>
                <w:color w:val="auto"/>
                <w:szCs w:val="21"/>
                <w:highlight w:val="none"/>
                <w:u w:val="single"/>
              </w:rPr>
              <w:t>4</w:t>
            </w:r>
          </w:p>
        </w:tc>
        <w:tc>
          <w:tcPr>
            <w:tcW w:w="8516"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技术标）》《投标函》《标函承诺书》《项目负责人驻场承诺书》《响应招标文件所附施工组织设计要点的承诺书》《危险性较大的分部分项工程安全管理措施》）</w:t>
            </w:r>
            <w:r>
              <w:rPr>
                <w:rFonts w:hint="eastAsia" w:ascii="宋体" w:hAnsi="宋体" w:cs="宋体"/>
                <w:color w:val="auto"/>
                <w:szCs w:val="21"/>
                <w:highlight w:val="none"/>
              </w:rPr>
              <w:t>，或主要内容（指投标文件组成内容）不全，或关键字迹模糊、无法辨认的；</w:t>
            </w: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u w:val="single"/>
              </w:rPr>
            </w:pPr>
            <w:r>
              <w:rPr>
                <w:rFonts w:ascii="宋体" w:hAnsi="宋体"/>
                <w:color w:val="auto"/>
                <w:szCs w:val="21"/>
                <w:highlight w:val="none"/>
                <w:u w:val="single"/>
              </w:rPr>
              <w:t>5</w:t>
            </w:r>
          </w:p>
        </w:tc>
        <w:tc>
          <w:tcPr>
            <w:tcW w:w="8516"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u w:val="single"/>
              </w:rPr>
            </w:pPr>
            <w:r>
              <w:rPr>
                <w:rFonts w:ascii="宋体" w:hAnsi="宋体"/>
                <w:color w:val="auto"/>
                <w:szCs w:val="21"/>
                <w:highlight w:val="none"/>
                <w:u w:val="single"/>
              </w:rPr>
              <w:t>6</w:t>
            </w:r>
          </w:p>
        </w:tc>
        <w:tc>
          <w:tcPr>
            <w:tcW w:w="8516"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rPr>
              <w:t>无《参与编制技术标投标文件人员名单》的</w:t>
            </w:r>
            <w:r>
              <w:rPr>
                <w:rFonts w:hint="eastAsia" w:ascii="宋体" w:hAnsi="宋体"/>
                <w:color w:val="auto"/>
                <w:szCs w:val="21"/>
                <w:highlight w:val="none"/>
                <w:lang w:eastAsia="zh-CN"/>
              </w:rPr>
              <w:t>；</w:t>
            </w: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shd w:val="pct10" w:color="auto" w:fill="FFFFFF"/>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shd w:val="pct10" w:color="auto" w:fill="FFFFFF"/>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shd w:val="pct10" w:color="auto" w:fill="FFFFFF"/>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shd w:val="pct10" w:color="auto" w:fill="FFFFFF"/>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shd w:val="pct10" w:color="auto" w:fill="FFFFFF"/>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u w:val="single"/>
              </w:rPr>
            </w:pPr>
            <w:r>
              <w:rPr>
                <w:rFonts w:hint="eastAsia" w:ascii="宋体" w:hAnsi="宋体"/>
                <w:color w:val="auto"/>
                <w:szCs w:val="21"/>
                <w:highlight w:val="none"/>
                <w:u w:val="single"/>
              </w:rPr>
              <w:t>7</w:t>
            </w:r>
          </w:p>
        </w:tc>
        <w:tc>
          <w:tcPr>
            <w:tcW w:w="8516"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rPr>
              <w:t>投标人与本项目其他投标人加密打包投标文件电脑机器特征码一致的[以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r>
              <w:rPr>
                <w:rFonts w:hint="eastAsia" w:ascii="宋体" w:hAnsi="宋体"/>
                <w:color w:val="auto"/>
                <w:szCs w:val="21"/>
                <w:highlight w:val="none"/>
                <w:lang w:eastAsia="zh-CN"/>
              </w:rPr>
              <w:t>。</w:t>
            </w: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r>
    </w:tbl>
    <w:p>
      <w:pPr>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color w:val="auto"/>
          <w:szCs w:val="21"/>
          <w:highlight w:val="none"/>
        </w:rPr>
      </w:pPr>
      <w:r>
        <w:rPr>
          <w:rFonts w:hint="eastAsia" w:ascii="宋体" w:hAnsi="宋体"/>
          <w:color w:val="auto"/>
          <w:szCs w:val="21"/>
          <w:highlight w:val="none"/>
        </w:rPr>
        <w:t xml:space="preserve">    2</w:t>
      </w:r>
      <w:r>
        <w:rPr>
          <w:rFonts w:ascii="宋体" w:hAnsi="宋体"/>
          <w:color w:val="auto"/>
          <w:szCs w:val="21"/>
          <w:highlight w:val="none"/>
        </w:rPr>
        <w:t>.</w:t>
      </w:r>
      <w:r>
        <w:rPr>
          <w:rFonts w:hint="eastAsia"/>
          <w:color w:val="auto"/>
          <w:highlight w:val="none"/>
        </w:rPr>
        <w:t xml:space="preserve"> </w:t>
      </w:r>
      <w:r>
        <w:rPr>
          <w:rFonts w:hint="eastAsia" w:ascii="宋体" w:hAnsi="宋体"/>
          <w:color w:val="auto"/>
          <w:szCs w:val="21"/>
          <w:highlight w:val="none"/>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凡出现以上任何一项情形，结论均为无效，否则就为有效。4</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pPr>
        <w:rPr>
          <w:rFonts w:ascii="宋体" w:hAnsi="宋体"/>
          <w:color w:val="auto"/>
          <w:szCs w:val="21"/>
          <w:highlight w:val="none"/>
        </w:rPr>
      </w:pPr>
      <w:r>
        <w:rPr>
          <w:rFonts w:hint="eastAsia" w:ascii="宋体" w:hAnsi="宋体"/>
          <w:color w:val="auto"/>
          <w:szCs w:val="21"/>
          <w:highlight w:val="none"/>
        </w:rPr>
        <w:t>评委签名：</w:t>
      </w:r>
    </w:p>
    <w:p>
      <w:pPr>
        <w:rPr>
          <w:color w:val="auto"/>
          <w:szCs w:val="21"/>
          <w:highlight w:val="none"/>
        </w:rPr>
      </w:pPr>
      <w:r>
        <w:rPr>
          <w:color w:val="auto"/>
          <w:highlight w:val="none"/>
        </w:rPr>
        <w:br w:type="page"/>
      </w:r>
      <w:r>
        <w:rPr>
          <w:rFonts w:hint="eastAsia"/>
          <w:color w:val="auto"/>
          <w:szCs w:val="21"/>
          <w:highlight w:val="none"/>
        </w:rPr>
        <w:t>附表三</w:t>
      </w:r>
    </w:p>
    <w:p>
      <w:pPr>
        <w:jc w:val="center"/>
        <w:rPr>
          <w:b/>
          <w:color w:val="auto"/>
          <w:sz w:val="36"/>
          <w:szCs w:val="36"/>
          <w:highlight w:val="none"/>
        </w:rPr>
      </w:pPr>
      <w:r>
        <w:rPr>
          <w:rFonts w:hint="eastAsia"/>
          <w:b/>
          <w:color w:val="auto"/>
          <w:sz w:val="36"/>
          <w:szCs w:val="36"/>
          <w:highlight w:val="none"/>
        </w:rPr>
        <w:t>经济标有效性审查表</w:t>
      </w:r>
    </w:p>
    <w:p>
      <w:pPr>
        <w:rPr>
          <w:color w:val="auto"/>
          <w:szCs w:val="21"/>
          <w:highlight w:val="none"/>
        </w:rPr>
      </w:pPr>
      <w:r>
        <w:rPr>
          <w:rFonts w:hint="eastAsia"/>
          <w:color w:val="auto"/>
          <w:szCs w:val="21"/>
          <w:highlight w:val="none"/>
        </w:rPr>
        <w:t>工程名称：</w:t>
      </w:r>
    </w:p>
    <w:tbl>
      <w:tblPr>
        <w:tblStyle w:val="2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7089"/>
        <w:gridCol w:w="1110"/>
        <w:gridCol w:w="1110"/>
        <w:gridCol w:w="1111"/>
        <w:gridCol w:w="1110"/>
        <w:gridCol w:w="111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序号</w:t>
            </w:r>
          </w:p>
        </w:tc>
        <w:tc>
          <w:tcPr>
            <w:tcW w:w="708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ind w:firstLine="2940" w:firstLineChars="1400"/>
              <w:rPr>
                <w:rFonts w:ascii="宋体" w:hAnsi="宋体"/>
                <w:color w:val="auto"/>
                <w:szCs w:val="21"/>
                <w:highlight w:val="none"/>
              </w:rPr>
            </w:pPr>
            <w:r>
              <w:rPr>
                <w:rFonts w:hint="eastAsia" w:ascii="宋体" w:hAnsi="宋体"/>
                <w:color w:val="auto"/>
                <w:szCs w:val="21"/>
                <w:highlight w:val="none"/>
              </w:rPr>
              <w:t>投标人</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评审内容</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1</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2</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投标报价高于最高投标限价的；</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3</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2" w:leftChars="-1"/>
              <w:jc w:val="left"/>
              <w:rPr>
                <w:rFonts w:hint="eastAsia" w:ascii="宋体" w:hAnsi="宋体" w:cs="宋体"/>
                <w:color w:val="auto"/>
                <w:szCs w:val="21"/>
                <w:highlight w:val="none"/>
              </w:rPr>
            </w:pPr>
            <w:r>
              <w:rPr>
                <w:rFonts w:hint="eastAsia" w:ascii="宋体" w:hAnsi="宋体" w:cs="宋体"/>
                <w:color w:val="auto"/>
                <w:szCs w:val="21"/>
                <w:highlight w:val="none"/>
              </w:rPr>
              <w:t>投标报价低于成本的</w:t>
            </w:r>
            <w:r>
              <w:rPr>
                <w:rFonts w:hint="eastAsia" w:ascii="宋体" w:hAnsi="宋体" w:cs="宋体"/>
                <w:color w:val="auto"/>
                <w:szCs w:val="21"/>
                <w:highlight w:val="none"/>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4</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算术复核后的投标报价与原投标报价相比存在</w:t>
            </w:r>
            <w:r>
              <w:rPr>
                <w:rFonts w:ascii="宋体" w:hAnsi="宋体"/>
                <w:color w:val="auto"/>
                <w:szCs w:val="21"/>
                <w:highlight w:val="none"/>
              </w:rPr>
              <w:t>1%</w:t>
            </w:r>
            <w:r>
              <w:rPr>
                <w:rFonts w:hint="eastAsia" w:ascii="宋体" w:hAnsi="宋体"/>
                <w:color w:val="auto"/>
                <w:szCs w:val="21"/>
                <w:highlight w:val="none"/>
              </w:rPr>
              <w:t>或以上误差的；</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5</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（指招标文件第四章提供格式的《广州建设工程施工招标投标书（经济标）》《对投标文件编制的承诺》）</w:t>
            </w:r>
            <w:r>
              <w:rPr>
                <w:rFonts w:hint="eastAsia" w:ascii="宋体" w:hAnsi="宋体" w:cs="宋体"/>
                <w:color w:val="auto"/>
                <w:szCs w:val="21"/>
                <w:highlight w:val="none"/>
              </w:rPr>
              <w:t>，或主要内容不全，或关键字迹模糊、无法辨认的；</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6</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不同投标人的投标报价中分部分项工程量清单综合单价相似度达到80%及以上的[以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r>
              <w:rPr>
                <w:rFonts w:hint="eastAsia" w:ascii="宋体" w:hAnsi="宋体"/>
                <w:color w:val="auto"/>
                <w:szCs w:val="21"/>
                <w:highlight w:val="none"/>
                <w:lang w:eastAsia="zh-CN"/>
              </w:rPr>
              <w:t>；</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7</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8</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9</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无《对投标文件编制的承诺》</w:t>
            </w:r>
            <w:r>
              <w:rPr>
                <w:rFonts w:hint="eastAsia" w:ascii="宋体" w:hAnsi="宋体"/>
                <w:color w:val="auto"/>
                <w:szCs w:val="21"/>
                <w:highlight w:val="none"/>
                <w:lang w:eastAsia="zh-CN"/>
              </w:rPr>
              <w:t>；</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10</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r>
              <w:rPr>
                <w:rFonts w:hint="eastAsia" w:ascii="宋体" w:hAnsi="宋体"/>
                <w:color w:val="auto"/>
                <w:szCs w:val="21"/>
                <w:highlight w:val="none"/>
                <w:lang w:eastAsia="zh-CN"/>
              </w:rPr>
              <w:t>。</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bl>
    <w:p>
      <w:pPr>
        <w:ind w:firstLine="458"/>
        <w:rPr>
          <w:rFonts w:hint="eastAsia"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w:t>
      </w:r>
    </w:p>
    <w:p>
      <w:pPr>
        <w:ind w:firstLine="458"/>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凡出现以上任何一项情形，结论均为无效，否则就为有效。</w:t>
      </w:r>
    </w:p>
    <w:p>
      <w:pPr>
        <w:ind w:firstLine="458"/>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pPr>
        <w:pStyle w:val="2"/>
        <w:spacing w:line="240" w:lineRule="auto"/>
        <w:rPr>
          <w:rFonts w:hint="eastAsia" w:ascii="宋体" w:hAnsi="宋体" w:eastAsia="宋体" w:cs="宋体"/>
          <w:color w:val="auto"/>
          <w:sz w:val="24"/>
          <w:szCs w:val="24"/>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eastAsia="宋体" w:cs="宋体"/>
          <w:color w:val="auto"/>
          <w:sz w:val="24"/>
          <w:szCs w:val="24"/>
          <w:highlight w:val="none"/>
        </w:rPr>
        <w:t>。</w:t>
      </w:r>
    </w:p>
    <w:p>
      <w:pPr>
        <w:pStyle w:val="5"/>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评委签名：</w:t>
      </w:r>
    </w:p>
    <w:p>
      <w:pPr>
        <w:spacing w:line="240" w:lineRule="auto"/>
        <w:jc w:val="left"/>
        <w:rPr>
          <w:rFonts w:hint="eastAsia" w:ascii="宋体" w:hAnsi="宋体" w:eastAsia="宋体" w:cs="宋体"/>
          <w:b/>
          <w:bCs/>
          <w:color w:val="auto"/>
          <w:sz w:val="24"/>
          <w:szCs w:val="24"/>
          <w:highlight w:val="none"/>
        </w:rPr>
        <w:sectPr>
          <w:footerReference r:id="rId9" w:type="default"/>
          <w:pgSz w:w="16840" w:h="11907" w:orient="landscape"/>
          <w:pgMar w:top="1418" w:right="1134" w:bottom="1418" w:left="1134" w:header="851" w:footer="992" w:gutter="0"/>
          <w:cols w:space="720" w:num="1"/>
          <w:docGrid w:type="lines" w:linePitch="312" w:charSpace="0"/>
        </w:sect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附表四</w:t>
      </w: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技术标详细审查评分表</w:t>
      </w:r>
    </w:p>
    <w:tbl>
      <w:tblPr>
        <w:tblStyle w:val="20"/>
        <w:tblW w:w="14930"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646"/>
        <w:gridCol w:w="904"/>
        <w:gridCol w:w="883"/>
        <w:gridCol w:w="11295"/>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1202" w:type="dxa"/>
            <w:tcBorders>
              <w:top w:val="single" w:color="auto" w:sz="8" w:space="0"/>
              <w:left w:val="single" w:color="auto" w:sz="8" w:space="0"/>
              <w:bottom w:val="single" w:color="auto" w:sz="4" w:space="0"/>
              <w:right w:val="single" w:color="auto" w:sz="4" w:space="0"/>
            </w:tcBorders>
            <w:noWrap w:val="0"/>
            <w:vAlign w:val="center"/>
          </w:tcPr>
          <w:p>
            <w:pPr>
              <w:pStyle w:val="2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1550" w:type="dxa"/>
            <w:gridSpan w:val="2"/>
            <w:tcBorders>
              <w:top w:val="single" w:color="auto" w:sz="8" w:space="0"/>
              <w:left w:val="single" w:color="auto" w:sz="4" w:space="0"/>
              <w:bottom w:val="single" w:color="auto" w:sz="4" w:space="0"/>
              <w:right w:val="single" w:color="auto" w:sz="4" w:space="0"/>
            </w:tcBorders>
            <w:noWrap w:val="0"/>
            <w:vAlign w:val="center"/>
          </w:tcPr>
          <w:p>
            <w:pPr>
              <w:pStyle w:val="26"/>
              <w:ind w:left="-46" w:leftChars="-22" w:right="-107" w:right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w:t>
            </w:r>
          </w:p>
        </w:tc>
        <w:tc>
          <w:tcPr>
            <w:tcW w:w="883" w:type="dxa"/>
            <w:tcBorders>
              <w:top w:val="single" w:color="auto" w:sz="8" w:space="0"/>
              <w:left w:val="single" w:color="auto" w:sz="4" w:space="0"/>
              <w:bottom w:val="single" w:color="auto" w:sz="4" w:space="0"/>
              <w:right w:val="single" w:color="auto" w:sz="4" w:space="0"/>
            </w:tcBorders>
            <w:noWrap w:val="0"/>
            <w:vAlign w:val="center"/>
          </w:tcPr>
          <w:p>
            <w:pPr>
              <w:pStyle w:val="26"/>
              <w:ind w:left="-107" w:leftChars="-51" w:right="-107" w:right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11295" w:type="dxa"/>
            <w:tcBorders>
              <w:top w:val="single" w:color="auto" w:sz="8" w:space="0"/>
              <w:left w:val="single" w:color="auto" w:sz="4" w:space="0"/>
              <w:bottom w:val="single" w:color="auto" w:sz="4" w:space="0"/>
              <w:right w:val="single" w:color="auto" w:sz="4" w:space="0"/>
            </w:tcBorders>
            <w:noWrap w:val="0"/>
            <w:vAlign w:val="center"/>
          </w:tcPr>
          <w:p>
            <w:pPr>
              <w:pStyle w:val="26"/>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202" w:type="dxa"/>
            <w:vMerge w:val="restart"/>
            <w:tcBorders>
              <w:left w:val="single" w:color="auto" w:sz="8" w:space="0"/>
              <w:right w:val="single" w:color="auto" w:sz="4" w:space="0"/>
            </w:tcBorders>
            <w:noWrap w:val="0"/>
            <w:vAlign w:val="center"/>
          </w:tcPr>
          <w:p>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一、项目组织管理机构能力（70分）</w:t>
            </w:r>
          </w:p>
        </w:tc>
        <w:tc>
          <w:tcPr>
            <w:tcW w:w="646" w:type="dxa"/>
            <w:vMerge w:val="restart"/>
            <w:tcBorders>
              <w:left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项目管理机构</w:t>
            </w:r>
          </w:p>
        </w:tc>
        <w:tc>
          <w:tcPr>
            <w:tcW w:w="904" w:type="dxa"/>
            <w:tcBorders>
              <w:left w:val="single" w:color="auto" w:sz="4" w:space="0"/>
              <w:bottom w:val="single" w:color="auto" w:sz="4" w:space="0"/>
              <w:right w:val="single" w:color="auto" w:sz="4" w:space="0"/>
            </w:tcBorders>
            <w:noWrap w:val="0"/>
            <w:vAlign w:val="center"/>
          </w:tcPr>
          <w:p>
            <w:pPr>
              <w:widowControl/>
              <w:spacing w:line="280" w:lineRule="exact"/>
              <w:ind w:left="-90" w:leftChars="-43" w:right="-107" w:rightChars="-51"/>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w:t>
            </w:r>
            <w:r>
              <w:rPr>
                <w:rFonts w:hint="eastAsia" w:ascii="宋体" w:hAnsi="宋体" w:eastAsia="宋体" w:cs="宋体"/>
                <w:color w:val="auto"/>
                <w:sz w:val="24"/>
                <w:szCs w:val="24"/>
                <w:highlight w:val="none"/>
              </w:rPr>
              <w:t>负责人</w:t>
            </w:r>
          </w:p>
        </w:tc>
        <w:tc>
          <w:tcPr>
            <w:tcW w:w="883" w:type="dxa"/>
            <w:tcBorders>
              <w:left w:val="single" w:color="auto" w:sz="4" w:space="0"/>
              <w:bottom w:val="single" w:color="auto" w:sz="4" w:space="0"/>
              <w:right w:val="single" w:color="auto" w:sz="4" w:space="0"/>
            </w:tcBorders>
            <w:noWrap w:val="0"/>
            <w:vAlign w:val="center"/>
          </w:tcPr>
          <w:p>
            <w:pPr>
              <w:widowControl/>
              <w:spacing w:line="280" w:lineRule="exact"/>
              <w:ind w:left="-105" w:leftChars="-50" w:right="-107" w:right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295" w:type="dxa"/>
            <w:tcBorders>
              <w:top w:val="single" w:color="auto" w:sz="4" w:space="0"/>
              <w:left w:val="single" w:color="auto" w:sz="4" w:space="0"/>
              <w:bottom w:val="single" w:color="auto" w:sz="4" w:space="0"/>
              <w:right w:val="single" w:color="auto" w:sz="4" w:space="0"/>
            </w:tcBorders>
            <w:noWrap w:val="0"/>
            <w:vAlign w:val="center"/>
          </w:tcPr>
          <w:p>
            <w:pPr>
              <w:pStyle w:val="26"/>
              <w:ind w:left="-63" w:leftChars="-30" w:right="-76" w:rightChars="-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从业能力：具有市政公用工程类专业中级或以上技术职称，得20分。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202" w:type="dxa"/>
            <w:vMerge w:val="continue"/>
            <w:tcBorders>
              <w:left w:val="single" w:color="auto" w:sz="8" w:space="0"/>
              <w:right w:val="single" w:color="auto" w:sz="4" w:space="0"/>
            </w:tcBorders>
            <w:noWrap w:val="0"/>
            <w:vAlign w:val="center"/>
          </w:tcPr>
          <w:p>
            <w:pPr>
              <w:spacing w:line="280" w:lineRule="exact"/>
              <w:jc w:val="center"/>
              <w:rPr>
                <w:rFonts w:hint="eastAsia" w:ascii="宋体" w:hAnsi="宋体" w:eastAsia="宋体" w:cs="宋体"/>
                <w:color w:val="auto"/>
                <w:sz w:val="24"/>
                <w:szCs w:val="24"/>
                <w:highlight w:val="none"/>
              </w:rPr>
            </w:pPr>
          </w:p>
        </w:tc>
        <w:tc>
          <w:tcPr>
            <w:tcW w:w="646" w:type="dxa"/>
            <w:vMerge w:val="continue"/>
            <w:tcBorders>
              <w:left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sz w:val="24"/>
                <w:szCs w:val="24"/>
                <w:highlight w:val="none"/>
              </w:rPr>
            </w:pPr>
          </w:p>
        </w:tc>
        <w:tc>
          <w:tcPr>
            <w:tcW w:w="904" w:type="dxa"/>
            <w:tcBorders>
              <w:left w:val="single" w:color="auto" w:sz="4" w:space="0"/>
              <w:bottom w:val="single" w:color="auto" w:sz="4" w:space="0"/>
              <w:right w:val="single" w:color="auto" w:sz="4" w:space="0"/>
            </w:tcBorders>
            <w:noWrap w:val="0"/>
            <w:vAlign w:val="center"/>
          </w:tcPr>
          <w:p>
            <w:pPr>
              <w:widowControl/>
              <w:spacing w:line="280" w:lineRule="exact"/>
              <w:ind w:left="-90" w:leftChars="-43" w:right="-107" w:right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883" w:type="dxa"/>
            <w:tcBorders>
              <w:left w:val="single" w:color="auto" w:sz="4" w:space="0"/>
              <w:bottom w:val="single" w:color="auto" w:sz="4" w:space="0"/>
              <w:right w:val="single" w:color="auto" w:sz="4" w:space="0"/>
            </w:tcBorders>
            <w:noWrap w:val="0"/>
            <w:vAlign w:val="center"/>
          </w:tcPr>
          <w:p>
            <w:pPr>
              <w:widowControl/>
              <w:spacing w:line="280" w:lineRule="exact"/>
              <w:ind w:left="-105" w:leftChars="-50" w:right="-107" w:right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2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78" w:beforeLines="25" w:line="240" w:lineRule="exact"/>
              <w:ind w:left="-63" w:leftChars="-30" w:right="-76" w:rightChars="-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从业能力：具有</w:t>
            </w:r>
            <w:r>
              <w:rPr>
                <w:rFonts w:hint="eastAsia" w:ascii="宋体" w:hAnsi="宋体" w:eastAsia="宋体" w:cs="宋体"/>
                <w:iCs/>
                <w:color w:val="auto"/>
                <w:kern w:val="0"/>
                <w:sz w:val="24"/>
                <w:szCs w:val="24"/>
                <w:highlight w:val="none"/>
              </w:rPr>
              <w:t>市政公用工程类专业</w:t>
            </w:r>
            <w:r>
              <w:rPr>
                <w:rFonts w:hint="eastAsia" w:ascii="宋体" w:hAnsi="宋体" w:cs="宋体"/>
                <w:iCs/>
                <w:color w:val="auto"/>
                <w:kern w:val="0"/>
                <w:sz w:val="24"/>
                <w:szCs w:val="24"/>
                <w:highlight w:val="none"/>
                <w:lang w:val="en-US" w:eastAsia="zh-CN"/>
              </w:rPr>
              <w:t>副</w:t>
            </w:r>
            <w:r>
              <w:rPr>
                <w:rFonts w:hint="eastAsia" w:ascii="宋体" w:hAnsi="宋体" w:eastAsia="宋体" w:cs="宋体"/>
                <w:iCs/>
                <w:color w:val="auto"/>
                <w:kern w:val="0"/>
                <w:sz w:val="24"/>
                <w:szCs w:val="24"/>
                <w:highlight w:val="none"/>
              </w:rPr>
              <w:t>高级或以上技术职称，</w:t>
            </w:r>
            <w:r>
              <w:rPr>
                <w:rFonts w:hint="eastAsia" w:ascii="宋体" w:hAnsi="宋体" w:eastAsia="宋体" w:cs="宋体"/>
                <w:color w:val="auto"/>
                <w:kern w:val="0"/>
                <w:sz w:val="24"/>
                <w:szCs w:val="24"/>
                <w:highlight w:val="none"/>
              </w:rPr>
              <w:t>得20分；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202" w:type="dxa"/>
            <w:vMerge w:val="continue"/>
            <w:tcBorders>
              <w:left w:val="single" w:color="auto" w:sz="8" w:space="0"/>
              <w:right w:val="single" w:color="auto" w:sz="4" w:space="0"/>
            </w:tcBorders>
            <w:noWrap w:val="0"/>
            <w:vAlign w:val="center"/>
          </w:tcPr>
          <w:p>
            <w:pPr>
              <w:spacing w:line="280" w:lineRule="exact"/>
              <w:jc w:val="center"/>
              <w:rPr>
                <w:rFonts w:hint="eastAsia" w:ascii="宋体" w:hAnsi="宋体" w:eastAsia="宋体" w:cs="宋体"/>
                <w:color w:val="auto"/>
                <w:sz w:val="24"/>
                <w:szCs w:val="24"/>
                <w:highlight w:val="none"/>
              </w:rPr>
            </w:pPr>
          </w:p>
        </w:tc>
        <w:tc>
          <w:tcPr>
            <w:tcW w:w="646" w:type="dxa"/>
            <w:vMerge w:val="continue"/>
            <w:tcBorders>
              <w:left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sz w:val="24"/>
                <w:szCs w:val="24"/>
                <w:highlight w:val="none"/>
              </w:rPr>
            </w:pPr>
          </w:p>
        </w:tc>
        <w:tc>
          <w:tcPr>
            <w:tcW w:w="904" w:type="dxa"/>
            <w:tcBorders>
              <w:left w:val="single" w:color="auto" w:sz="4" w:space="0"/>
              <w:bottom w:val="single" w:color="auto" w:sz="4" w:space="0"/>
              <w:right w:val="single" w:color="auto" w:sz="4" w:space="0"/>
            </w:tcBorders>
            <w:noWrap w:val="0"/>
            <w:vAlign w:val="center"/>
          </w:tcPr>
          <w:p>
            <w:pPr>
              <w:widowControl/>
              <w:spacing w:line="280" w:lineRule="exact"/>
              <w:ind w:left="-90" w:leftChars="-43" w:right="-107" w:rightChars="-51"/>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质量负责人</w:t>
            </w:r>
          </w:p>
        </w:tc>
        <w:tc>
          <w:tcPr>
            <w:tcW w:w="883" w:type="dxa"/>
            <w:tcBorders>
              <w:left w:val="single" w:color="auto" w:sz="4" w:space="0"/>
              <w:bottom w:val="single" w:color="auto" w:sz="4" w:space="0"/>
              <w:right w:val="single" w:color="auto" w:sz="4" w:space="0"/>
            </w:tcBorders>
            <w:noWrap w:val="0"/>
            <w:vAlign w:val="center"/>
          </w:tcPr>
          <w:p>
            <w:pPr>
              <w:widowControl/>
              <w:spacing w:line="280" w:lineRule="exact"/>
              <w:ind w:left="-105" w:leftChars="-50" w:right="-107" w:right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1295" w:type="dxa"/>
            <w:tcBorders>
              <w:top w:val="single" w:color="auto" w:sz="4" w:space="0"/>
              <w:left w:val="single" w:color="auto" w:sz="4" w:space="0"/>
              <w:bottom w:val="single" w:color="auto" w:sz="4" w:space="0"/>
              <w:right w:val="single" w:color="auto" w:sz="4" w:space="0"/>
            </w:tcBorders>
            <w:noWrap w:val="0"/>
            <w:vAlign w:val="center"/>
          </w:tcPr>
          <w:p>
            <w:pPr>
              <w:pStyle w:val="26"/>
              <w:ind w:left="-63" w:leftChars="-30" w:right="-76" w:rightChars="-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从业能力：具有市政公用工程类专业中级或以上技术职称，得10分。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2" w:type="dxa"/>
            <w:vMerge w:val="continue"/>
            <w:tcBorders>
              <w:left w:val="single" w:color="auto" w:sz="8" w:space="0"/>
              <w:right w:val="single" w:color="auto" w:sz="4" w:space="0"/>
            </w:tcBorders>
            <w:noWrap w:val="0"/>
            <w:vAlign w:val="center"/>
          </w:tcPr>
          <w:p>
            <w:pPr>
              <w:spacing w:line="280" w:lineRule="exact"/>
              <w:jc w:val="center"/>
              <w:rPr>
                <w:rFonts w:hint="eastAsia" w:ascii="宋体" w:hAnsi="宋体" w:eastAsia="宋体" w:cs="宋体"/>
                <w:color w:val="auto"/>
                <w:sz w:val="24"/>
                <w:szCs w:val="24"/>
                <w:highlight w:val="none"/>
              </w:rPr>
            </w:pPr>
          </w:p>
        </w:tc>
        <w:tc>
          <w:tcPr>
            <w:tcW w:w="646" w:type="dxa"/>
            <w:vMerge w:val="continue"/>
            <w:tcBorders>
              <w:left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sz w:val="24"/>
                <w:szCs w:val="24"/>
                <w:highlight w:val="none"/>
              </w:rPr>
            </w:pPr>
          </w:p>
        </w:tc>
        <w:tc>
          <w:tcPr>
            <w:tcW w:w="904" w:type="dxa"/>
            <w:tcBorders>
              <w:left w:val="single" w:color="auto" w:sz="4" w:space="0"/>
              <w:bottom w:val="single" w:color="auto" w:sz="4" w:space="0"/>
              <w:right w:val="single" w:color="auto" w:sz="4" w:space="0"/>
            </w:tcBorders>
            <w:noWrap w:val="0"/>
            <w:vAlign w:val="center"/>
          </w:tcPr>
          <w:p>
            <w:pPr>
              <w:widowControl/>
              <w:spacing w:line="280" w:lineRule="exact"/>
              <w:ind w:left="-90" w:leftChars="-43" w:right="-107" w:rightChars="-51"/>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安全负责人</w:t>
            </w:r>
          </w:p>
        </w:tc>
        <w:tc>
          <w:tcPr>
            <w:tcW w:w="883" w:type="dxa"/>
            <w:tcBorders>
              <w:left w:val="single" w:color="auto" w:sz="4" w:space="0"/>
              <w:bottom w:val="single" w:color="auto" w:sz="4" w:space="0"/>
              <w:right w:val="single" w:color="auto" w:sz="4" w:space="0"/>
            </w:tcBorders>
            <w:noWrap w:val="0"/>
            <w:vAlign w:val="center"/>
          </w:tcPr>
          <w:p>
            <w:pPr>
              <w:widowControl/>
              <w:spacing w:line="280" w:lineRule="exact"/>
              <w:ind w:left="-105" w:leftChars="-50" w:right="-107" w:right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12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78" w:beforeLines="25"/>
              <w:ind w:left="-63" w:leftChars="-30" w:right="-76" w:rightChars="-36"/>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none"/>
              </w:rPr>
              <w:t>从业能力</w:t>
            </w:r>
            <w:r>
              <w:rPr>
                <w:rFonts w:hint="eastAsia" w:ascii="宋体" w:hAnsi="宋体" w:eastAsia="宋体" w:cs="宋体"/>
                <w:color w:val="auto"/>
                <w:sz w:val="24"/>
                <w:szCs w:val="24"/>
                <w:highlight w:val="none"/>
                <w:u w:val="none"/>
              </w:rPr>
              <w:t>：具有安全工程专业中级或以上技术职称或市政公用工程类专业中级或以上技术职称，且具有安全生产考核合格证（B类）或安全生产考核合格证（C类）或建筑施工企业项目负责人安全生产考核合格证书或建筑施工企业专职安全生产管理人员安全生产考核合格证书（C3），得10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202" w:type="dxa"/>
            <w:vMerge w:val="continue"/>
            <w:tcBorders>
              <w:left w:val="single" w:color="auto" w:sz="8"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24"/>
                <w:szCs w:val="24"/>
                <w:highlight w:val="none"/>
              </w:rPr>
            </w:pPr>
          </w:p>
        </w:tc>
        <w:tc>
          <w:tcPr>
            <w:tcW w:w="646"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sz w:val="24"/>
                <w:szCs w:val="24"/>
                <w:highlight w:val="none"/>
              </w:rPr>
            </w:pPr>
          </w:p>
        </w:tc>
        <w:tc>
          <w:tcPr>
            <w:tcW w:w="904" w:type="dxa"/>
            <w:tcBorders>
              <w:left w:val="single" w:color="auto" w:sz="4" w:space="0"/>
              <w:bottom w:val="single" w:color="auto" w:sz="4" w:space="0"/>
              <w:right w:val="single" w:color="auto" w:sz="4" w:space="0"/>
            </w:tcBorders>
            <w:noWrap w:val="0"/>
            <w:vAlign w:val="center"/>
          </w:tcPr>
          <w:p>
            <w:pPr>
              <w:widowControl/>
              <w:spacing w:line="280" w:lineRule="exact"/>
              <w:ind w:left="-90" w:leftChars="-43" w:right="-107" w:rightChars="-5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造价负责人</w:t>
            </w:r>
          </w:p>
        </w:tc>
        <w:tc>
          <w:tcPr>
            <w:tcW w:w="883" w:type="dxa"/>
            <w:tcBorders>
              <w:left w:val="single" w:color="auto" w:sz="4" w:space="0"/>
              <w:bottom w:val="single" w:color="auto" w:sz="4" w:space="0"/>
              <w:right w:val="single" w:color="auto" w:sz="4" w:space="0"/>
            </w:tcBorders>
            <w:noWrap w:val="0"/>
            <w:vAlign w:val="center"/>
          </w:tcPr>
          <w:p>
            <w:pPr>
              <w:widowControl/>
              <w:spacing w:line="280" w:lineRule="exact"/>
              <w:ind w:left="-105" w:leftChars="-50" w:right="-107" w:right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1295" w:type="dxa"/>
            <w:tcBorders>
              <w:top w:val="single" w:color="auto" w:sz="4" w:space="0"/>
              <w:left w:val="single" w:color="auto" w:sz="4" w:space="0"/>
              <w:bottom w:val="single" w:color="auto" w:sz="4" w:space="0"/>
              <w:right w:val="single" w:color="auto" w:sz="4" w:space="0"/>
            </w:tcBorders>
            <w:noWrap w:val="0"/>
            <w:vAlign w:val="center"/>
          </w:tcPr>
          <w:p>
            <w:pPr>
              <w:pStyle w:val="26"/>
              <w:ind w:left="-63" w:leftChars="-30" w:right="-76" w:rightChars="-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从业能力：具有有效的注册造价师（或一级注册造价师）证书、或具有工程造价类专业副高级或以上技术职称，得10分。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jc w:val="center"/>
        </w:trPr>
        <w:tc>
          <w:tcPr>
            <w:tcW w:w="14930" w:type="dxa"/>
            <w:gridSpan w:val="5"/>
            <w:tcBorders>
              <w:left w:val="single" w:color="auto" w:sz="8" w:space="0"/>
              <w:bottom w:val="single" w:color="auto" w:sz="4" w:space="0"/>
              <w:right w:val="single" w:color="auto" w:sz="4" w:space="0"/>
            </w:tcBorders>
            <w:noWrap w:val="0"/>
            <w:vAlign w:val="center"/>
          </w:tcPr>
          <w:p>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注：①上述人员须提供身份证、毕业证书（大学专科（或以上）学历）及投标截止前一个月（</w:t>
            </w:r>
            <w:r>
              <w:rPr>
                <w:rFonts w:hint="eastAsia" w:ascii="宋体" w:hAnsi="宋体" w:eastAsia="宋体" w:cs="宋体"/>
                <w:color w:val="auto"/>
                <w:sz w:val="24"/>
                <w:szCs w:val="24"/>
                <w:highlight w:val="none"/>
                <w:lang w:val="en-US" w:eastAsia="zh-CN"/>
              </w:rPr>
              <w:t>2023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有效社保证明，且须按相应要求提供职称证、有效期内的注册证及有效期内的安全生产考核合格证（B类）或安全生产考核合格证（C类）或或建筑施工企业项目负责人安全生产考核合格证书或建筑施工企业专职安全生产管理人员安全生产考核合格证书（C3），所有资料为扫描件并加盖投标人电子公章；</w:t>
            </w:r>
          </w:p>
          <w:p>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②项目负责人、技术负责人、质量负责人、安全负责人、造价负责人不得兼任，且安全负责人不能同时兼任专职安全员。</w:t>
            </w:r>
          </w:p>
          <w:p>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2" w:type="dxa"/>
            <w:vMerge w:val="restart"/>
            <w:tcBorders>
              <w:top w:val="single" w:color="auto" w:sz="4" w:space="0"/>
              <w:left w:val="single" w:color="auto" w:sz="8" w:space="0"/>
              <w:right w:val="single" w:color="auto" w:sz="4" w:space="0"/>
            </w:tcBorders>
            <w:noWrap w:val="0"/>
            <w:vAlign w:val="center"/>
          </w:tcPr>
          <w:p>
            <w:pPr>
              <w:pStyle w:val="26"/>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二、企业资信（30分）</w:t>
            </w:r>
          </w:p>
        </w:tc>
        <w:tc>
          <w:tcPr>
            <w:tcW w:w="1550" w:type="dxa"/>
            <w:gridSpan w:val="2"/>
            <w:tcBorders>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企业类似工程业绩</w:t>
            </w:r>
          </w:p>
        </w:tc>
        <w:tc>
          <w:tcPr>
            <w:tcW w:w="88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295" w:type="dxa"/>
            <w:tcBorders>
              <w:top w:val="single" w:color="auto" w:sz="4" w:space="0"/>
              <w:left w:val="single" w:color="auto" w:sz="4" w:space="0"/>
              <w:bottom w:val="single" w:color="auto" w:sz="4" w:space="0"/>
              <w:right w:val="single" w:color="auto" w:sz="4" w:space="0"/>
            </w:tcBorders>
            <w:noWrap w:val="0"/>
            <w:vAlign w:val="center"/>
          </w:tcPr>
          <w:p>
            <w:pPr>
              <w:pStyle w:val="2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年1月1日至今完成过质量合格</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工程造价大于或等于</w:t>
            </w:r>
            <w:r>
              <w:rPr>
                <w:rFonts w:hint="eastAsia" w:ascii="宋体" w:hAnsi="宋体" w:eastAsia="宋体" w:cs="宋体"/>
                <w:color w:val="auto"/>
                <w:sz w:val="24"/>
                <w:szCs w:val="24"/>
                <w:highlight w:val="none"/>
                <w:lang w:val="en-US" w:eastAsia="zh-CN"/>
              </w:rPr>
              <w:t>3800</w:t>
            </w:r>
            <w:r>
              <w:rPr>
                <w:rFonts w:hint="eastAsia" w:ascii="宋体" w:hAnsi="宋体" w:eastAsia="宋体" w:cs="宋体"/>
                <w:color w:val="auto"/>
                <w:sz w:val="24"/>
                <w:szCs w:val="24"/>
                <w:highlight w:val="none"/>
              </w:rPr>
              <w:t>万元的</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市政公用工程施工总承包或工程总承包施工部分业绩，一项得</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分，最多得8分。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2" w:type="dxa"/>
            <w:vMerge w:val="continue"/>
            <w:tcBorders>
              <w:left w:val="single" w:color="auto" w:sz="8" w:space="0"/>
              <w:right w:val="single" w:color="auto" w:sz="4" w:space="0"/>
            </w:tcBorders>
            <w:noWrap w:val="0"/>
            <w:vAlign w:val="center"/>
          </w:tcPr>
          <w:p>
            <w:pPr>
              <w:pStyle w:val="26"/>
              <w:ind w:firstLine="480" w:firstLineChars="200"/>
              <w:rPr>
                <w:rFonts w:hint="eastAsia" w:ascii="宋体" w:hAnsi="宋体" w:eastAsia="宋体" w:cs="宋体"/>
                <w:color w:val="auto"/>
                <w:sz w:val="24"/>
                <w:szCs w:val="24"/>
                <w:highlight w:val="none"/>
              </w:rPr>
            </w:pPr>
          </w:p>
        </w:tc>
        <w:tc>
          <w:tcPr>
            <w:tcW w:w="1550" w:type="dxa"/>
            <w:gridSpan w:val="2"/>
            <w:tcBorders>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企业工程项目获奖情况</w:t>
            </w:r>
          </w:p>
        </w:tc>
        <w:tc>
          <w:tcPr>
            <w:tcW w:w="88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295" w:type="dxa"/>
            <w:tcBorders>
              <w:top w:val="single" w:color="auto" w:sz="4" w:space="0"/>
              <w:left w:val="single" w:color="auto" w:sz="4" w:space="0"/>
              <w:bottom w:val="single" w:color="auto" w:sz="4" w:space="0"/>
              <w:right w:val="single" w:color="auto" w:sz="4" w:space="0"/>
            </w:tcBorders>
            <w:noWrap w:val="0"/>
            <w:vAlign w:val="center"/>
          </w:tcPr>
          <w:p>
            <w:pPr>
              <w:pStyle w:val="2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年1月1日至今获得</w:t>
            </w:r>
            <w:r>
              <w:rPr>
                <w:rFonts w:hint="eastAsia" w:ascii="宋体" w:hAnsi="宋体" w:eastAsia="宋体" w:cs="宋体"/>
                <w:color w:val="auto"/>
                <w:sz w:val="24"/>
                <w:szCs w:val="24"/>
                <w:highlight w:val="none"/>
                <w:u w:val="single"/>
              </w:rPr>
              <w:t>市政公用</w:t>
            </w:r>
            <w:r>
              <w:rPr>
                <w:rFonts w:hint="eastAsia" w:ascii="宋体" w:hAnsi="宋体" w:eastAsia="宋体" w:cs="宋体"/>
                <w:color w:val="auto"/>
                <w:sz w:val="24"/>
                <w:szCs w:val="24"/>
                <w:highlight w:val="none"/>
              </w:rPr>
              <w:t>工程获得市级或以上奖项，一项得</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分，最多得8分。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2" w:type="dxa"/>
            <w:vMerge w:val="continue"/>
            <w:tcBorders>
              <w:left w:val="single" w:color="auto" w:sz="8" w:space="0"/>
              <w:right w:val="single" w:color="auto" w:sz="4" w:space="0"/>
            </w:tcBorders>
            <w:noWrap w:val="0"/>
            <w:vAlign w:val="center"/>
          </w:tcPr>
          <w:p>
            <w:pPr>
              <w:pStyle w:val="26"/>
              <w:ind w:firstLine="480" w:firstLineChars="200"/>
              <w:rPr>
                <w:rFonts w:hint="eastAsia" w:ascii="宋体" w:hAnsi="宋体" w:eastAsia="宋体" w:cs="宋体"/>
                <w:color w:val="auto"/>
                <w:sz w:val="24"/>
                <w:szCs w:val="24"/>
                <w:highlight w:val="none"/>
              </w:rPr>
            </w:pPr>
          </w:p>
        </w:tc>
        <w:tc>
          <w:tcPr>
            <w:tcW w:w="1550" w:type="dxa"/>
            <w:gridSpan w:val="2"/>
            <w:tcBorders>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企业工程研发能力</w:t>
            </w:r>
          </w:p>
        </w:tc>
        <w:tc>
          <w:tcPr>
            <w:tcW w:w="88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295"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年1月1日至今</w:t>
            </w:r>
            <w:r>
              <w:rPr>
                <w:rFonts w:hint="eastAsia" w:ascii="宋体" w:hAnsi="宋体" w:eastAsia="宋体" w:cs="宋体"/>
                <w:color w:val="auto"/>
                <w:sz w:val="24"/>
                <w:szCs w:val="24"/>
                <w:highlight w:val="none"/>
                <w:lang w:eastAsia="zh-CN"/>
              </w:rPr>
              <w:t>，作为主要完成单位或独立完成单位获得过市级或以上科学技术进步奖或科技进步奖或科学技术奖项，一项得1分，最多得8分。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1202" w:type="dxa"/>
            <w:vMerge w:val="continue"/>
            <w:tcBorders>
              <w:left w:val="single" w:color="auto" w:sz="8" w:space="0"/>
              <w:right w:val="single" w:color="auto" w:sz="4" w:space="0"/>
            </w:tcBorders>
            <w:noWrap w:val="0"/>
            <w:vAlign w:val="center"/>
          </w:tcPr>
          <w:p>
            <w:pPr>
              <w:pStyle w:val="26"/>
              <w:ind w:firstLine="480" w:firstLineChars="200"/>
              <w:rPr>
                <w:rFonts w:hint="eastAsia" w:ascii="宋体" w:hAnsi="宋体" w:eastAsia="宋体" w:cs="宋体"/>
                <w:color w:val="auto"/>
                <w:sz w:val="24"/>
                <w:szCs w:val="24"/>
                <w:highlight w:val="none"/>
              </w:rPr>
            </w:pPr>
          </w:p>
        </w:tc>
        <w:tc>
          <w:tcPr>
            <w:tcW w:w="1550" w:type="dxa"/>
            <w:gridSpan w:val="2"/>
            <w:tcBorders>
              <w:left w:val="single" w:color="auto" w:sz="4" w:space="0"/>
              <w:right w:val="single" w:color="auto" w:sz="4" w:space="0"/>
            </w:tcBorders>
            <w:noWrap w:val="0"/>
            <w:vAlign w:val="center"/>
          </w:tcPr>
          <w:p>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第三方评价</w:t>
            </w:r>
          </w:p>
        </w:tc>
        <w:tc>
          <w:tcPr>
            <w:tcW w:w="883" w:type="dxa"/>
            <w:tcBorders>
              <w:top w:val="single" w:color="auto" w:sz="4" w:space="0"/>
              <w:left w:val="single" w:color="auto" w:sz="4" w:space="0"/>
              <w:right w:val="single" w:color="auto" w:sz="4" w:space="0"/>
            </w:tcBorders>
            <w:noWrap w:val="0"/>
            <w:vAlign w:val="center"/>
          </w:tcPr>
          <w:p>
            <w:pPr>
              <w:pStyle w:val="2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1295" w:type="dxa"/>
            <w:tcBorders>
              <w:top w:val="single" w:color="auto" w:sz="4" w:space="0"/>
              <w:left w:val="single" w:color="auto" w:sz="4" w:space="0"/>
              <w:right w:val="single" w:color="auto" w:sz="4" w:space="0"/>
            </w:tcBorders>
            <w:noWrap w:val="0"/>
            <w:vAlign w:val="center"/>
          </w:tcPr>
          <w:p>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none"/>
                <w:lang w:eastAsia="zh-CN"/>
              </w:rPr>
              <w:t>2</w:t>
            </w:r>
            <w:r>
              <w:rPr>
                <w:rFonts w:hint="eastAsia" w:ascii="宋体" w:hAnsi="宋体" w:eastAsia="宋体" w:cs="宋体"/>
                <w:color w:val="auto"/>
                <w:sz w:val="24"/>
                <w:szCs w:val="24"/>
                <w:highlight w:val="none"/>
                <w:u w:val="none"/>
                <w:lang w:val="en-US" w:eastAsia="zh-CN"/>
              </w:rPr>
              <w:t>020</w:t>
            </w:r>
            <w:r>
              <w:rPr>
                <w:rFonts w:hint="eastAsia" w:ascii="宋体" w:hAnsi="宋体" w:eastAsia="宋体" w:cs="宋体"/>
                <w:color w:val="auto"/>
                <w:sz w:val="24"/>
                <w:szCs w:val="24"/>
                <w:highlight w:val="none"/>
              </w:rPr>
              <w:t>年至</w:t>
            </w:r>
            <w:r>
              <w:rPr>
                <w:rFonts w:hint="eastAsia" w:ascii="宋体" w:hAnsi="宋体" w:eastAsia="宋体" w:cs="宋体"/>
                <w:color w:val="auto"/>
                <w:sz w:val="24"/>
                <w:szCs w:val="24"/>
                <w:highlight w:val="none"/>
                <w:u w:val="none"/>
                <w:lang w:eastAsia="zh-CN"/>
              </w:rPr>
              <w:t>2</w:t>
            </w:r>
            <w:r>
              <w:rPr>
                <w:rFonts w:hint="eastAsia" w:ascii="宋体" w:hAnsi="宋体" w:eastAsia="宋体" w:cs="宋体"/>
                <w:color w:val="auto"/>
                <w:sz w:val="24"/>
                <w:szCs w:val="24"/>
                <w:highlight w:val="none"/>
                <w:u w:val="none"/>
                <w:lang w:val="en-US" w:eastAsia="zh-CN"/>
              </w:rPr>
              <w:t>022</w:t>
            </w:r>
            <w:r>
              <w:rPr>
                <w:rFonts w:hint="eastAsia" w:ascii="宋体" w:hAnsi="宋体" w:eastAsia="宋体" w:cs="宋体"/>
                <w:color w:val="auto"/>
                <w:sz w:val="24"/>
                <w:szCs w:val="24"/>
                <w:highlight w:val="none"/>
              </w:rPr>
              <w:t>年获得税务机关评定为“纳税信用A级纳税人”的，获得一</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得2分，最多得6分。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2752" w:type="dxa"/>
            <w:gridSpan w:val="3"/>
            <w:tcBorders>
              <w:top w:val="single" w:color="auto" w:sz="4" w:space="0"/>
              <w:left w:val="single" w:color="auto" w:sz="8" w:space="0"/>
              <w:bottom w:val="single" w:color="auto" w:sz="4" w:space="0"/>
              <w:right w:val="single" w:color="auto" w:sz="4" w:space="0"/>
            </w:tcBorders>
            <w:noWrap w:val="0"/>
            <w:vAlign w:val="center"/>
          </w:tcPr>
          <w:p>
            <w:pPr>
              <w:pStyle w:val="26"/>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合计（一+二）</w:t>
            </w:r>
          </w:p>
        </w:tc>
        <w:tc>
          <w:tcPr>
            <w:tcW w:w="88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1295" w:type="dxa"/>
            <w:tcBorders>
              <w:top w:val="single" w:color="auto" w:sz="4" w:space="0"/>
              <w:left w:val="single" w:color="auto" w:sz="4" w:space="0"/>
              <w:bottom w:val="single" w:color="auto" w:sz="4" w:space="0"/>
              <w:right w:val="single" w:color="auto" w:sz="4" w:space="0"/>
            </w:tcBorders>
            <w:noWrap w:val="0"/>
            <w:vAlign w:val="center"/>
          </w:tcPr>
          <w:p>
            <w:pPr>
              <w:pStyle w:val="26"/>
              <w:ind w:firstLine="480" w:firstLineChars="200"/>
              <w:jc w:val="center"/>
              <w:rPr>
                <w:rFonts w:hint="eastAsia" w:ascii="宋体" w:hAnsi="宋体" w:eastAsia="宋体" w:cs="宋体"/>
                <w:color w:val="auto"/>
                <w:sz w:val="24"/>
                <w:szCs w:val="24"/>
                <w:highlight w:val="none"/>
              </w:rPr>
            </w:pPr>
          </w:p>
        </w:tc>
      </w:tr>
    </w:tbl>
    <w:p>
      <w:pPr>
        <w:pStyle w:val="26"/>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w:t>
      </w:r>
    </w:p>
    <w:p>
      <w:pPr>
        <w:pStyle w:val="26"/>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1、评委对业绩认定意见不一致时，则由招标人解释招标文件后，评委讨论业绩认定标准；经讨论后标准仍不一致时，则按少数服从多数处理。按少数服从多数仍不能形成一致意见时，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26"/>
        <w:ind w:left="0" w:lef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rPr>
        <w:t>、类似工程业绩：</w:t>
      </w:r>
    </w:p>
    <w:p>
      <w:pPr>
        <w:pStyle w:val="26"/>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市政公用工程项目：业绩需提供相关证明材料。其中：工程总承包业绩包括勘察设计施工总承包或设计施工总承包或设计采购施工总承包或勘察设计采购施工总承包业绩等。投标人须提供业绩的中标通知书或免招标的相关证明、招标公告网页首页截图（适用于公开招标项目）、中标公示或中标候选人公示网页截图（适用于公开招标项目）、施工合同或工程总承包合同（不含补充合同）、竣工验收证明文件（验收文件至少具有建设单位、设计、施工和监理单位盖章）。完成时间以竣工验收证明材料为准。业绩金额以业绩中标通知书为准，若中标通知书没有显示中标金额或免招标的，以施工合同或工程总承包合同的施工费合同金额为准（不含补充合同）。上述资料显示的内容须一致且工程业绩须为</w:t>
      </w:r>
      <w:r>
        <w:rPr>
          <w:rFonts w:hint="eastAsia" w:ascii="宋体" w:hAnsi="宋体" w:eastAsia="宋体" w:cs="宋体"/>
          <w:color w:val="auto"/>
          <w:sz w:val="21"/>
          <w:szCs w:val="21"/>
          <w:highlight w:val="none"/>
          <w:u w:val="single"/>
        </w:rPr>
        <w:t xml:space="preserve"> 市政公用工程施工总承包 </w:t>
      </w:r>
      <w:r>
        <w:rPr>
          <w:rFonts w:hint="eastAsia" w:ascii="宋体" w:hAnsi="宋体" w:eastAsia="宋体" w:cs="宋体"/>
          <w:color w:val="auto"/>
          <w:sz w:val="21"/>
          <w:szCs w:val="21"/>
          <w:highlight w:val="none"/>
        </w:rPr>
        <w:t>资质方能承接的业绩。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r>
        <w:rPr>
          <w:rFonts w:hint="eastAsia" w:ascii="宋体" w:hAnsi="宋体" w:eastAsia="宋体" w:cs="宋体"/>
          <w:b w:val="0"/>
          <w:bCs w:val="0"/>
          <w:color w:val="auto"/>
          <w:sz w:val="21"/>
          <w:szCs w:val="21"/>
          <w:highlight w:val="none"/>
        </w:rPr>
        <w:t>。</w:t>
      </w:r>
    </w:p>
    <w:p>
      <w:pPr>
        <w:pStyle w:val="26"/>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3、企业工程项目获奖情况：</w:t>
      </w:r>
    </w:p>
    <w:p>
      <w:pPr>
        <w:pStyle w:val="26"/>
        <w:ind w:firstLine="420" w:firstLineChars="20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市政公用工程项目：只评质量奖项</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rPr>
        <w:t>需提供获奖网页信息截图及奖项证书扫描件，时间以发证时间为准，并提供可明确该质量奖项背景项目为市政公用工程项目证明材料（如招标公告或其他证明材料）。其中国家级奖项包括：中国建设工程鲁班奖、国家优质工程金奖、国家优质工程奖、中国土木工程詹天佑奖；省、市级奖项是指由省、市级建设行政主管部门或行业协会颁发的工程质量类奖项。奖项只计算承建单位，不含参建单位。同一项目按最高级别奖项只计一次得分，以证书发证日期为准。若颁发机构非政府相关部门，还需提供该组织在“全国社会组织信用信息公示平台（试运行）”网站（https://xxgs.chinanpo.mca.gov.cn/gsxt/newList）（注：由于全国社会组织信用信息公示平台（试运行）属于试运行，平台名称及网址若有更新，以最新发布的为准。）“全国社会组织信用信息公示平台”栏查询结果截图，同时须提供其在查询结果“状态”栏必须为“正常”。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p>
    <w:p>
      <w:pPr>
        <w:pStyle w:val="26"/>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 w:val="0"/>
          <w:bCs w:val="0"/>
          <w:color w:val="auto"/>
          <w:sz w:val="21"/>
          <w:szCs w:val="21"/>
          <w:highlight w:val="none"/>
          <w:u w:val="none"/>
        </w:rPr>
        <w:t>不符合条件的奖项不计分。</w:t>
      </w:r>
    </w:p>
    <w:p>
      <w:pPr>
        <w:pStyle w:val="26"/>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4、企业工程研发能力：</w:t>
      </w:r>
    </w:p>
    <w:p>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级或以上科学技术进步奖或科技进步奖或科学技术奖：指市级或以上政府部门或中国社会组织依法依规设立的“科学技术进步奖”或“科技进步奖”或“科学技术奖”：须提供奖项证书扫描件，时间以证书中载明的发证时间为准。①科学技术奖励发证机构须为市级或以上政府部门或在国家科学技术奖励工作办公室相关网站（</w:t>
      </w:r>
      <w:r>
        <w:rPr>
          <w:rFonts w:ascii="宋体" w:hAnsi="宋体" w:eastAsia="宋体" w:cs="宋体"/>
          <w:color w:val="auto"/>
          <w:sz w:val="24"/>
          <w:szCs w:val="24"/>
          <w:highlight w:val="none"/>
        </w:rPr>
        <w:t>https://www.nosta.gov.cn/pc/zh/shkjjl/jlmu/page_1.html</w:t>
      </w:r>
      <w:r>
        <w:rPr>
          <w:rFonts w:hint="eastAsia" w:ascii="宋体" w:hAnsi="宋体" w:eastAsia="宋体" w:cs="宋体"/>
          <w:color w:val="auto"/>
          <w:sz w:val="21"/>
          <w:szCs w:val="21"/>
          <w:highlight w:val="none"/>
        </w:rPr>
        <w:t>）或市级或以上科技行政部门相关网站可查询到的社会组织或按照《国家科学技术奖励条例》及《科技部关于进一步鼓励和规范社会力量设立科学技术奖的指导意见》的相关规定设立“科学技术奖”的中国社会组织 ；②中国社会组织（如协会、学会等）需提供其在国家或省级科技行政部门网页查询信息页截图及查询路径或提供发证机构符合科技行政部门要求具有设奖资格等相关证明材料，还须提供其在“全国社会组织信用信息公示平台（试运行）”网站（https://xxgs.chinanpo.mca.gov.cn/gsxt/newList）（注：由于全国社会组织信用信息公示平台（试运行）属于试运行，平台名称及网址若有更新，以最新发布的为准。）“全国社会组织信用信息公示平台”栏查询结果截图，同时须提供其在查询结果“状态”栏必须为“正常”；③仅计算</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工程获得的科学技术奖，证书上需明确其为</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工程获得的科学技术奖励，若无法明确，需提供当地行政主管部门或科技行政部门认可的组织出具的科学技术成果鉴定证书或第三方技术评价证明材料扫描件，并且在科学技术成果鉴定证书或第三方评价证明材料中需明确该科学技术奖励的研究背景项目为</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工程项目，无法提供证书清晰扫描件和科学技术成果鉴定证书或第三方评价证明材料扫描件的且无法证明该科学技术奖励为</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工程项目获得的科学技术奖励不得分。社会组织颁发的科技奖项无法提供发证单位在上述相关网页查询信息页截图及查询路径或提供其设奖资格证明材料的不得分。同一科学技术进步奖或科技进步奖或科学技术奖获得不同级别奖项的按最高级别只计一次得分。</w:t>
      </w:r>
    </w:p>
    <w:p>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不符合上述条件的奖项不计分。</w:t>
      </w:r>
    </w:p>
    <w:p>
      <w:pPr>
        <w:pStyle w:val="26"/>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5、第三方评价：</w:t>
      </w:r>
    </w:p>
    <w:p>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税信用A级纳税人”须提供国家税务总局官网（http://www.chinatax.gov.cn/）“纳税信用A级纳税人名单公布栏”查询结果网页截图或其省级（含直辖市）税务局官网“纳税信用A级纳税人名单公布栏”查询结果网页截图。时间以国家税务总局或其省级（含直辖市）税务局网站纳税信用信息查询结果的网页截图公布的评价年度为准，上述资料显示的企业全称须与投标单位名称一致，否则不得分。不满足上述要求或无提交上述资料不得分。</w:t>
      </w:r>
    </w:p>
    <w:p>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表按百分制评分，所有评委每个分项的分数汇总后去掉一个最高分和一个最低分的算术平均值为投标人的最终得分。分数出现小数点，保留小数点后二位小数，第三位小数四舍五入,若投标人满足多个档次的，按最高档计分。</w:t>
      </w:r>
    </w:p>
    <w:p>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7.项目管理机构人员不得兼任。</w:t>
      </w:r>
    </w:p>
    <w:p>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除了项目组织管理机构能力可计算投标人的分公司（不具备独立法人）或投标人的分支机构（不具备独立法人）外，评分表内其他评分项目只计算投标人自身（不计算投标人的分公司、子公司和分支机构），否则不得分。</w:t>
      </w:r>
    </w:p>
    <w:p>
      <w:pPr>
        <w:spacing w:line="240" w:lineRule="auto"/>
        <w:jc w:val="left"/>
        <w:rPr>
          <w:rFonts w:hint="eastAsia" w:ascii="宋体" w:hAnsi="宋体" w:eastAsia="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附表五（适用于区间抽取法）</w:t>
      </w: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经济标评分表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1052"/>
        <w:gridCol w:w="1052"/>
        <w:gridCol w:w="1052"/>
        <w:gridCol w:w="1052"/>
        <w:gridCol w:w="1052"/>
        <w:gridCol w:w="1052"/>
        <w:gridCol w:w="1052"/>
        <w:gridCol w:w="1053"/>
        <w:gridCol w:w="1053"/>
        <w:gridCol w:w="1053"/>
        <w:gridCol w:w="1053"/>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投标报价PT（元）</w:t>
            </w: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计算评标参考价的等分点值X</w:t>
            </w:r>
          </w:p>
        </w:tc>
        <w:tc>
          <w:tcPr>
            <w:tcW w:w="4282" w:type="pct"/>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评标参考价PC（元）</w:t>
            </w:r>
          </w:p>
        </w:tc>
        <w:tc>
          <w:tcPr>
            <w:tcW w:w="4282" w:type="pct"/>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偏差（（PT-PC）/PC）（%）</w:t>
            </w: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减分（A）</w:t>
            </w: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得分(I=100-A)</w:t>
            </w: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得分排名次序</w:t>
            </w: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评委签名：</w:t>
      </w:r>
    </w:p>
    <w:p>
      <w:pPr>
        <w:spacing w:line="240" w:lineRule="auto"/>
        <w:jc w:val="left"/>
        <w:rPr>
          <w:rFonts w:hint="eastAsia" w:ascii="宋体" w:hAnsi="宋体" w:eastAsia="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附表六</w:t>
      </w: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算术复核表</w:t>
      </w:r>
    </w:p>
    <w:p>
      <w:pPr>
        <w:jc w:val="center"/>
        <w:rPr>
          <w:rFonts w:hint="eastAsia" w:ascii="宋体" w:hAnsi="宋体" w:eastAsia="宋体" w:cs="宋体"/>
          <w:b/>
          <w:color w:val="auto"/>
          <w:sz w:val="24"/>
          <w:szCs w:val="24"/>
          <w:highlight w:val="none"/>
        </w:rPr>
      </w:pP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工程名称：                                           投标人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单位：元</w:t>
      </w:r>
    </w:p>
    <w:tbl>
      <w:tblPr>
        <w:tblStyle w:val="20"/>
        <w:tblW w:w="4998" w:type="pct"/>
        <w:tblInd w:w="0" w:type="dxa"/>
        <w:tblLayout w:type="autofit"/>
        <w:tblCellMar>
          <w:top w:w="0" w:type="dxa"/>
          <w:left w:w="108" w:type="dxa"/>
          <w:bottom w:w="0" w:type="dxa"/>
          <w:right w:w="108" w:type="dxa"/>
        </w:tblCellMar>
      </w:tblPr>
      <w:tblGrid>
        <w:gridCol w:w="585"/>
        <w:gridCol w:w="4422"/>
        <w:gridCol w:w="1540"/>
        <w:gridCol w:w="1514"/>
        <w:gridCol w:w="1911"/>
        <w:gridCol w:w="1408"/>
        <w:gridCol w:w="3402"/>
      </w:tblGrid>
      <w:tr>
        <w:tblPrEx>
          <w:tblCellMar>
            <w:top w:w="0" w:type="dxa"/>
            <w:left w:w="108" w:type="dxa"/>
            <w:bottom w:w="0" w:type="dxa"/>
            <w:right w:w="108" w:type="dxa"/>
          </w:tblCellMar>
        </w:tblPrEx>
        <w:trPr>
          <w:trHeight w:val="705" w:hRule="atLeast"/>
        </w:trPr>
        <w:tc>
          <w:tcPr>
            <w:tcW w:w="2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编号</w:t>
            </w:r>
          </w:p>
        </w:tc>
        <w:tc>
          <w:tcPr>
            <w:tcW w:w="1514"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算术校核项目</w:t>
            </w:r>
          </w:p>
        </w:tc>
        <w:tc>
          <w:tcPr>
            <w:tcW w:w="540"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修正前投标</w:t>
            </w:r>
          </w:p>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报价A</w:t>
            </w:r>
          </w:p>
        </w:tc>
        <w:tc>
          <w:tcPr>
            <w:tcW w:w="531"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修正后投标</w:t>
            </w:r>
          </w:p>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报价B</w:t>
            </w:r>
          </w:p>
        </w:tc>
        <w:tc>
          <w:tcPr>
            <w:tcW w:w="531"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修正率</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b/>
                <w:bCs/>
                <w:color w:val="auto"/>
                <w:kern w:val="0"/>
                <w:sz w:val="24"/>
                <w:szCs w:val="24"/>
                <w:highlight w:val="none"/>
              </w:rPr>
              <w:t>r=|A-B|/A*100%</w:t>
            </w:r>
          </w:p>
        </w:tc>
        <w:tc>
          <w:tcPr>
            <w:tcW w:w="495"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经评审的最终投标报价</w:t>
            </w:r>
          </w:p>
        </w:tc>
        <w:tc>
          <w:tcPr>
            <w:tcW w:w="1169"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14"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[单位工程1]</w:t>
            </w:r>
          </w:p>
        </w:tc>
        <w:tc>
          <w:tcPr>
            <w:tcW w:w="540"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14"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[单位工程2]</w:t>
            </w:r>
          </w:p>
        </w:tc>
        <w:tc>
          <w:tcPr>
            <w:tcW w:w="540"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14"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540"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14"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540"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14"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540"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n</w:t>
            </w:r>
          </w:p>
        </w:tc>
        <w:tc>
          <w:tcPr>
            <w:tcW w:w="1514"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[单位工程n]</w:t>
            </w:r>
          </w:p>
        </w:tc>
        <w:tc>
          <w:tcPr>
            <w:tcW w:w="540"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14"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投标总报价</w:t>
            </w:r>
          </w:p>
        </w:tc>
        <w:tc>
          <w:tcPr>
            <w:tcW w:w="540"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r2bl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∑A=A</w:t>
            </w:r>
            <w:r>
              <w:rPr>
                <w:rFonts w:hint="eastAsia" w:ascii="宋体" w:hAnsi="宋体" w:eastAsia="宋体" w:cs="宋体"/>
                <w:color w:val="auto"/>
                <w:kern w:val="0"/>
                <w:sz w:val="24"/>
                <w:szCs w:val="24"/>
                <w:highlight w:val="none"/>
                <w:vertAlign w:val="subscript"/>
              </w:rPr>
              <w:t>1</w:t>
            </w:r>
            <w:r>
              <w:rPr>
                <w:rFonts w:hint="eastAsia" w:ascii="宋体" w:hAnsi="宋体" w:eastAsia="宋体" w:cs="宋体"/>
                <w:color w:val="auto"/>
                <w:kern w:val="0"/>
                <w:sz w:val="24"/>
                <w:szCs w:val="24"/>
                <w:highlight w:val="none"/>
              </w:rPr>
              <w:t>+A</w:t>
            </w:r>
            <w:r>
              <w:rPr>
                <w:rFonts w:hint="eastAsia" w:ascii="宋体" w:hAnsi="宋体" w:eastAsia="宋体" w:cs="宋体"/>
                <w:color w:val="auto"/>
                <w:kern w:val="0"/>
                <w:sz w:val="24"/>
                <w:szCs w:val="24"/>
                <w:highlight w:val="none"/>
                <w:vertAlign w:val="subscript"/>
              </w:rPr>
              <w:t>2</w:t>
            </w:r>
            <w:r>
              <w:rPr>
                <w:rFonts w:hint="eastAsia" w:ascii="宋体" w:hAnsi="宋体" w:eastAsia="宋体" w:cs="宋体"/>
                <w:color w:val="auto"/>
                <w:kern w:val="0"/>
                <w:sz w:val="24"/>
                <w:szCs w:val="24"/>
                <w:highlight w:val="none"/>
              </w:rPr>
              <w:t>+…An；∑B=B</w:t>
            </w:r>
            <w:r>
              <w:rPr>
                <w:rFonts w:hint="eastAsia" w:ascii="宋体" w:hAnsi="宋体" w:eastAsia="宋体" w:cs="宋体"/>
                <w:color w:val="auto"/>
                <w:kern w:val="0"/>
                <w:sz w:val="24"/>
                <w:szCs w:val="24"/>
                <w:highlight w:val="none"/>
                <w:vertAlign w:val="subscript"/>
              </w:rPr>
              <w:t>1</w:t>
            </w:r>
            <w:r>
              <w:rPr>
                <w:rFonts w:hint="eastAsia" w:ascii="宋体" w:hAnsi="宋体" w:eastAsia="宋体" w:cs="宋体"/>
                <w:color w:val="auto"/>
                <w:kern w:val="0"/>
                <w:sz w:val="24"/>
                <w:szCs w:val="24"/>
                <w:highlight w:val="none"/>
              </w:rPr>
              <w:t>+B</w:t>
            </w:r>
            <w:r>
              <w:rPr>
                <w:rFonts w:hint="eastAsia" w:ascii="宋体" w:hAnsi="宋体" w:eastAsia="宋体" w:cs="宋体"/>
                <w:color w:val="auto"/>
                <w:kern w:val="0"/>
                <w:sz w:val="24"/>
                <w:szCs w:val="24"/>
                <w:highlight w:val="none"/>
                <w:vertAlign w:val="subscript"/>
              </w:rPr>
              <w:t>2</w:t>
            </w:r>
            <w:r>
              <w:rPr>
                <w:rFonts w:hint="eastAsia" w:ascii="宋体" w:hAnsi="宋体" w:eastAsia="宋体" w:cs="宋体"/>
                <w:color w:val="auto"/>
                <w:kern w:val="0"/>
                <w:sz w:val="24"/>
                <w:szCs w:val="24"/>
                <w:highlight w:val="none"/>
              </w:rPr>
              <w:t>+…Bn</w:t>
            </w:r>
          </w:p>
        </w:tc>
      </w:tr>
    </w:tbl>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修正原则：</w:t>
      </w:r>
      <w:r>
        <w:rPr>
          <w:rFonts w:hint="eastAsia" w:ascii="宋体" w:hAnsi="宋体" w:eastAsia="宋体" w:cs="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eastAsia="宋体" w:cs="宋体"/>
          <w:color w:val="auto"/>
          <w:kern w:val="0"/>
          <w:sz w:val="24"/>
          <w:szCs w:val="24"/>
          <w:highlight w:val="none"/>
        </w:rPr>
        <w:tab/>
      </w:r>
    </w:p>
    <w:p>
      <w:pPr>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评委签名：</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日期：</w:t>
      </w:r>
    </w:p>
    <w:p>
      <w:pPr>
        <w:spacing w:line="240" w:lineRule="auto"/>
        <w:jc w:val="left"/>
        <w:rPr>
          <w:rFonts w:hint="eastAsia" w:ascii="宋体" w:hAnsi="宋体" w:eastAsia="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算术复核表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4485"/>
        <w:gridCol w:w="2429"/>
        <w:gridCol w:w="3233"/>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编号</w:t>
            </w: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投标人名称</w:t>
            </w: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原投标报价（A）</w:t>
            </w: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算数复核后投标报价（B）</w:t>
            </w: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评委签名：</w:t>
      </w:r>
    </w:p>
    <w:p>
      <w:pPr>
        <w:spacing w:line="240" w:lineRule="auto"/>
        <w:jc w:val="left"/>
        <w:rPr>
          <w:rFonts w:hint="eastAsia" w:ascii="宋体" w:hAnsi="宋体" w:eastAsia="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pPr>
        <w:pStyle w:val="2"/>
        <w:spacing w:after="0"/>
        <w:jc w:val="both"/>
        <w:rPr>
          <w:rFonts w:hint="eastAsia" w:ascii="宋体" w:hAnsi="宋体" w:eastAsia="宋体" w:cs="宋体"/>
          <w:b/>
          <w:bCs w:val="0"/>
          <w:color w:val="auto"/>
          <w:sz w:val="44"/>
          <w:szCs w:val="44"/>
          <w:highlight w:val="none"/>
        </w:rPr>
      </w:pPr>
      <w:bookmarkStart w:id="27" w:name="_Toc504053942"/>
      <w:bookmarkStart w:id="28" w:name="_Toc504659100"/>
      <w:bookmarkStart w:id="29" w:name="_Toc500249621"/>
      <w:r>
        <w:rPr>
          <w:rFonts w:hint="eastAsia" w:ascii="宋体" w:hAnsi="宋体" w:eastAsia="宋体" w:cs="宋体"/>
          <w:color w:val="auto"/>
          <w:highlight w:val="none"/>
        </w:rPr>
        <w:t xml:space="preserve">            </w:t>
      </w:r>
      <w:r>
        <w:rPr>
          <w:rFonts w:hint="eastAsia" w:ascii="宋体" w:hAnsi="宋体" w:eastAsia="宋体" w:cs="宋体"/>
          <w:b/>
          <w:bCs w:val="0"/>
          <w:color w:val="auto"/>
          <w:sz w:val="44"/>
          <w:szCs w:val="44"/>
          <w:highlight w:val="none"/>
        </w:rPr>
        <w:t xml:space="preserve">        </w:t>
      </w:r>
      <w:bookmarkStart w:id="30" w:name="_Toc5789"/>
      <w:r>
        <w:rPr>
          <w:rFonts w:hint="eastAsia" w:ascii="宋体" w:hAnsi="宋体" w:eastAsia="宋体" w:cs="宋体"/>
          <w:b/>
          <w:bCs w:val="0"/>
          <w:color w:val="auto"/>
          <w:sz w:val="44"/>
          <w:szCs w:val="44"/>
          <w:highlight w:val="none"/>
        </w:rPr>
        <w:t>第三章  合同条款</w:t>
      </w:r>
      <w:bookmarkEnd w:id="27"/>
      <w:bookmarkEnd w:id="28"/>
      <w:bookmarkEnd w:id="29"/>
      <w:bookmarkEnd w:id="30"/>
    </w:p>
    <w:p>
      <w:pPr>
        <w:ind w:firstLine="420" w:firstLineChars="200"/>
        <w:rPr>
          <w:rFonts w:ascii="宋体" w:hAnsi="宋体"/>
          <w:color w:val="auto"/>
          <w:highlight w:val="none"/>
        </w:rPr>
      </w:pPr>
      <w:r>
        <w:rPr>
          <w:rFonts w:ascii="宋体" w:hAnsi="宋体"/>
          <w:color w:val="auto"/>
          <w:highlight w:val="none"/>
        </w:rPr>
        <w:drawing>
          <wp:anchor distT="0" distB="0" distL="114300" distR="114300" simplePos="0" relativeHeight="251661312" behindDoc="0" locked="0" layoutInCell="1" allowOverlap="1">
            <wp:simplePos x="0" y="0"/>
            <wp:positionH relativeFrom="column">
              <wp:posOffset>4003040</wp:posOffset>
            </wp:positionH>
            <wp:positionV relativeFrom="paragraph">
              <wp:posOffset>173355</wp:posOffset>
            </wp:positionV>
            <wp:extent cx="1725295" cy="1388110"/>
            <wp:effectExtent l="0" t="0" r="8255" b="2540"/>
            <wp:wrapSquare wrapText="bothSides"/>
            <wp:docPr id="43" name="图片 43"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lanxing\Desktop\93b1542184114cf8b316f10d4b2d5c42.png93b1542184114cf8b316f10d4b2d5c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25295" cy="1388110"/>
                    </a:xfrm>
                    <a:prstGeom prst="rect">
                      <a:avLst/>
                    </a:prstGeom>
                    <a:noFill/>
                    <a:ln>
                      <a:noFill/>
                    </a:ln>
                  </pic:spPr>
                </pic:pic>
              </a:graphicData>
            </a:graphic>
          </wp:anchor>
        </w:drawing>
      </w:r>
    </w:p>
    <w:p>
      <w:pPr>
        <w:rPr>
          <w:rFonts w:ascii="宋体" w:hAnsi="宋体"/>
          <w:color w:val="auto"/>
          <w:highlight w:val="none"/>
        </w:rPr>
      </w:pPr>
      <w:r>
        <w:rPr>
          <w:rFonts w:ascii="宋体" w:hAnsi="宋体"/>
          <w:color w:val="auto"/>
          <w:highlight w:val="none"/>
        </w:rPr>
        <w:drawing>
          <wp:inline distT="0" distB="0" distL="0" distR="0">
            <wp:extent cx="2495550" cy="257175"/>
            <wp:effectExtent l="0" t="0" r="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495550" cy="257175"/>
                    </a:xfrm>
                    <a:prstGeom prst="rect">
                      <a:avLst/>
                    </a:prstGeom>
                    <a:noFill/>
                    <a:ln>
                      <a:noFill/>
                    </a:ln>
                  </pic:spPr>
                </pic:pic>
              </a:graphicData>
            </a:graphic>
          </wp:inline>
        </w:drawing>
      </w:r>
    </w:p>
    <w:p>
      <w:pPr>
        <w:ind w:firstLine="8400" w:firstLineChars="3500"/>
        <w:rPr>
          <w:rFonts w:ascii="宋体" w:hAnsi="宋体"/>
          <w:color w:val="auto"/>
          <w:sz w:val="24"/>
          <w:highlight w:val="none"/>
        </w:rPr>
      </w:pPr>
      <w:r>
        <w:rPr>
          <w:rFonts w:ascii="宋体" w:hAnsi="宋体"/>
          <w:color w:val="auto"/>
          <w:sz w:val="24"/>
          <w:highlight w:val="none"/>
        </w:rPr>
        <w:drawing>
          <wp:anchor distT="0" distB="0" distL="114300" distR="114300" simplePos="0" relativeHeight="251660288" behindDoc="1" locked="0" layoutInCell="1" allowOverlap="0">
            <wp:simplePos x="0" y="0"/>
            <wp:positionH relativeFrom="column">
              <wp:posOffset>0</wp:posOffset>
            </wp:positionH>
            <wp:positionV relativeFrom="paragraph">
              <wp:posOffset>198120</wp:posOffset>
            </wp:positionV>
            <wp:extent cx="790575" cy="161925"/>
            <wp:effectExtent l="0" t="0" r="9525" b="9525"/>
            <wp:wrapTight wrapText="bothSides">
              <wp:wrapPolygon>
                <wp:start x="16655" y="0"/>
                <wp:lineTo x="3123" y="0"/>
                <wp:lineTo x="0" y="2372"/>
                <wp:lineTo x="520" y="18974"/>
                <wp:lineTo x="21340" y="18974"/>
                <wp:lineTo x="21340" y="9487"/>
                <wp:lineTo x="18737" y="0"/>
                <wp:lineTo x="16655" y="0"/>
              </wp:wrapPolygon>
            </wp:wrapTight>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90575" cy="161925"/>
                    </a:xfrm>
                    <a:prstGeom prst="rect">
                      <a:avLst/>
                    </a:prstGeom>
                    <a:noFill/>
                    <a:ln>
                      <a:noFill/>
                    </a:ln>
                  </pic:spPr>
                </pic:pic>
              </a:graphicData>
            </a:graphic>
          </wp:anchor>
        </w:drawing>
      </w:r>
      <w:r>
        <w:rPr>
          <w:rFonts w:ascii="宋体" w:hAnsi="宋体"/>
          <w:color w:val="auto"/>
          <w:sz w:val="24"/>
          <w:highlight w:val="none"/>
        </w:rPr>
        <w:t xml:space="preserve">                            </w:t>
      </w:r>
    </w:p>
    <w:p>
      <w:pPr>
        <w:tabs>
          <w:tab w:val="left" w:pos="870"/>
        </w:tabs>
        <w:rPr>
          <w:rFonts w:ascii="宋体" w:hAnsi="宋体"/>
          <w:color w:val="auto"/>
          <w:sz w:val="24"/>
          <w:highlight w:val="none"/>
        </w:rPr>
      </w:pPr>
      <w:r>
        <w:rPr>
          <w:rFonts w:ascii="宋体" w:hAnsi="宋体"/>
          <w:color w:val="auto"/>
          <w:sz w:val="24"/>
          <w:highlight w:val="none"/>
        </w:rPr>
        <w:t>穗高建经营部合同[202</w:t>
      </w:r>
      <w:r>
        <w:rPr>
          <w:rFonts w:hint="eastAsia" w:ascii="宋体" w:hAnsi="宋体"/>
          <w:color w:val="auto"/>
          <w:sz w:val="24"/>
          <w:highlight w:val="none"/>
          <w:lang w:val="en-US" w:eastAsia="zh-CN"/>
        </w:rPr>
        <w:t>3</w:t>
      </w:r>
      <w:r>
        <w:rPr>
          <w:rFonts w:ascii="宋体" w:hAnsi="宋体"/>
          <w:color w:val="auto"/>
          <w:sz w:val="24"/>
          <w:highlight w:val="none"/>
        </w:rPr>
        <w:t>]  号</w:t>
      </w:r>
    </w:p>
    <w:p>
      <w:pPr>
        <w:rPr>
          <w:rFonts w:ascii="宋体" w:hAnsi="宋体"/>
          <w:color w:val="auto"/>
          <w:sz w:val="28"/>
          <w:szCs w:val="28"/>
          <w:highlight w:val="none"/>
        </w:rPr>
      </w:pPr>
      <w:r>
        <w:rPr>
          <w:rFonts w:ascii="宋体" w:hAnsi="宋体"/>
          <w:color w:val="auto"/>
          <w:sz w:val="28"/>
          <w:szCs w:val="28"/>
          <w:highlight w:val="none"/>
        </w:rPr>
        <w:t xml:space="preserve"> </w:t>
      </w:r>
    </w:p>
    <w:p>
      <w:pPr>
        <w:ind w:firstLine="840" w:firstLineChars="400"/>
        <w:rPr>
          <w:rFonts w:ascii="宋体" w:hAnsi="宋体"/>
          <w:color w:val="auto"/>
          <w:highlight w:val="none"/>
        </w:rPr>
      </w:pPr>
    </w:p>
    <w:p>
      <w:pPr>
        <w:ind w:firstLine="840" w:firstLineChars="400"/>
        <w:rPr>
          <w:rFonts w:ascii="宋体" w:hAnsi="宋体"/>
          <w:color w:val="auto"/>
          <w:highlight w:val="none"/>
        </w:rPr>
      </w:pPr>
      <w:r>
        <w:rPr>
          <w:rFonts w:ascii="宋体" w:hAnsi="宋体"/>
          <w:color w:val="auto"/>
          <w:highlight w:val="none"/>
        </w:rPr>
        <w:t xml:space="preserve">                                                              </w:t>
      </w:r>
    </w:p>
    <w:p>
      <w:pPr>
        <w:ind w:firstLine="840" w:firstLineChars="400"/>
        <w:rPr>
          <w:rFonts w:ascii="宋体" w:hAnsi="宋体"/>
          <w:color w:val="auto"/>
          <w:highlight w:val="none"/>
        </w:rPr>
      </w:pPr>
      <w:r>
        <w:rPr>
          <w:rFonts w:ascii="宋体" w:hAnsi="宋体"/>
          <w:color w:val="auto"/>
          <w:highlight w:val="none"/>
        </w:rPr>
        <w:t xml:space="preserve">                     </w:t>
      </w:r>
    </w:p>
    <w:p>
      <w:pPr>
        <w:snapToGrid w:val="0"/>
        <w:spacing w:line="440" w:lineRule="exact"/>
        <w:ind w:left="-197" w:leftChars="-94"/>
        <w:jc w:val="center"/>
        <w:rPr>
          <w:rFonts w:ascii="宋体" w:hAnsi="宋体"/>
          <w:color w:val="auto"/>
          <w:highlight w:val="none"/>
        </w:rPr>
      </w:pPr>
    </w:p>
    <w:p>
      <w:pPr>
        <w:snapToGrid w:val="0"/>
        <w:spacing w:line="440" w:lineRule="exact"/>
        <w:ind w:left="-197" w:leftChars="-94"/>
        <w:jc w:val="center"/>
        <w:rPr>
          <w:rFonts w:ascii="宋体" w:hAnsi="宋体"/>
          <w:color w:val="auto"/>
          <w:highlight w:val="none"/>
        </w:rPr>
      </w:pPr>
      <w:r>
        <w:rPr>
          <w:rFonts w:ascii="宋体" w:hAnsi="宋体"/>
          <w:color w:val="auto"/>
          <w:highlight w:val="none"/>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134620</wp:posOffset>
            </wp:positionV>
            <wp:extent cx="5295900" cy="590550"/>
            <wp:effectExtent l="0" t="0" r="0" b="0"/>
            <wp:wrapSquare wrapText="bothSides"/>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95900" cy="590550"/>
                    </a:xfrm>
                    <a:prstGeom prst="rect">
                      <a:avLst/>
                    </a:prstGeom>
                    <a:noFill/>
                    <a:ln>
                      <a:noFill/>
                    </a:ln>
                  </pic:spPr>
                </pic:pic>
              </a:graphicData>
            </a:graphic>
          </wp:anchor>
        </w:drawing>
      </w:r>
    </w:p>
    <w:p>
      <w:pPr>
        <w:spacing w:line="480" w:lineRule="exact"/>
        <w:jc w:val="center"/>
        <w:rPr>
          <w:rFonts w:ascii="宋体" w:hAnsi="宋体"/>
          <w:color w:val="auto"/>
          <w:sz w:val="28"/>
          <w:szCs w:val="28"/>
          <w:highlight w:val="none"/>
        </w:rPr>
      </w:pPr>
      <w:r>
        <w:rPr>
          <w:rFonts w:ascii="宋体" w:hAnsi="宋体"/>
          <w:color w:val="auto"/>
          <w:sz w:val="28"/>
          <w:szCs w:val="28"/>
          <w:highlight w:val="none"/>
        </w:rPr>
        <w:t xml:space="preserve">        </w:t>
      </w:r>
    </w:p>
    <w:p>
      <w:pPr>
        <w:spacing w:line="480" w:lineRule="exact"/>
        <w:jc w:val="center"/>
        <w:rPr>
          <w:rFonts w:ascii="宋体" w:hAnsi="宋体"/>
          <w:color w:val="auto"/>
          <w:sz w:val="28"/>
          <w:szCs w:val="28"/>
          <w:highlight w:val="none"/>
        </w:rPr>
      </w:pPr>
    </w:p>
    <w:p>
      <w:pPr>
        <w:spacing w:line="480" w:lineRule="exact"/>
        <w:rPr>
          <w:rFonts w:ascii="宋体" w:hAnsi="宋体"/>
          <w:color w:val="auto"/>
          <w:sz w:val="28"/>
          <w:szCs w:val="28"/>
          <w:highlight w:val="none"/>
          <w:u w:val="single"/>
        </w:rPr>
      </w:pPr>
      <w:r>
        <w:rPr>
          <w:rFonts w:hint="eastAsia" w:ascii="宋体" w:hAnsi="宋体"/>
          <w:color w:val="auto"/>
          <w:sz w:val="28"/>
          <w:szCs w:val="28"/>
          <w:highlight w:val="none"/>
        </w:rPr>
        <w:t>项目名称：</w:t>
      </w:r>
      <w:r>
        <w:rPr>
          <w:rFonts w:ascii="宋体" w:hAnsi="宋体"/>
          <w:color w:val="auto"/>
          <w:sz w:val="28"/>
          <w:szCs w:val="28"/>
          <w:highlight w:val="none"/>
          <w:u w:val="single"/>
        </w:rPr>
        <w:t xml:space="preserve">                                       </w:t>
      </w:r>
    </w:p>
    <w:p>
      <w:pPr>
        <w:spacing w:line="480" w:lineRule="exact"/>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rPr>
        <w:t>发包人（甲方）：</w:t>
      </w:r>
      <w:r>
        <w:rPr>
          <w:rFonts w:hint="eastAsia" w:ascii="方正大标宋简体" w:hAnsi="仿宋" w:eastAsia="方正大标宋简体"/>
          <w:color w:val="auto"/>
          <w:sz w:val="28"/>
          <w:szCs w:val="28"/>
          <w:highlight w:val="none"/>
          <w:u w:val="single"/>
        </w:rPr>
        <w:t>广州开发区财政投资建设项目管理中心</w:t>
      </w:r>
    </w:p>
    <w:p>
      <w:pPr>
        <w:snapToGrid w:val="0"/>
        <w:spacing w:line="440" w:lineRule="exact"/>
        <w:rPr>
          <w:rFonts w:ascii="宋体" w:hAnsi="宋体"/>
          <w:color w:val="auto"/>
          <w:sz w:val="28"/>
          <w:szCs w:val="28"/>
          <w:highlight w:val="none"/>
          <w:u w:val="single"/>
        </w:rPr>
      </w:pPr>
      <w:r>
        <w:rPr>
          <w:rFonts w:hint="eastAsia" w:ascii="宋体" w:hAnsi="宋体"/>
          <w:color w:val="auto"/>
          <w:sz w:val="28"/>
          <w:szCs w:val="28"/>
          <w:highlight w:val="none"/>
        </w:rPr>
        <w:t>承包人（乙方）：</w:t>
      </w:r>
      <w:r>
        <w:rPr>
          <w:rFonts w:ascii="宋体" w:hAnsi="宋体"/>
          <w:color w:val="auto"/>
          <w:sz w:val="28"/>
          <w:szCs w:val="28"/>
          <w:highlight w:val="none"/>
          <w:u w:val="single"/>
        </w:rPr>
        <w:t xml:space="preserve">                                   </w:t>
      </w:r>
    </w:p>
    <w:p>
      <w:pPr>
        <w:spacing w:line="480" w:lineRule="exact"/>
        <w:rPr>
          <w:rFonts w:ascii="宋体" w:hAnsi="宋体"/>
          <w:color w:val="auto"/>
          <w:sz w:val="28"/>
          <w:szCs w:val="28"/>
          <w:highlight w:val="none"/>
          <w:u w:val="single"/>
        </w:rPr>
      </w:pPr>
      <w:r>
        <w:rPr>
          <w:rFonts w:hint="eastAsia" w:ascii="宋体" w:hAnsi="宋体"/>
          <w:color w:val="auto"/>
          <w:sz w:val="28"/>
          <w:szCs w:val="28"/>
          <w:highlight w:val="none"/>
        </w:rPr>
        <w:t>合同签订日期：</w:t>
      </w:r>
      <w:r>
        <w:rPr>
          <w:rFonts w:ascii="宋体" w:hAnsi="宋体"/>
          <w:color w:val="auto"/>
          <w:sz w:val="28"/>
          <w:szCs w:val="28"/>
          <w:highlight w:val="none"/>
          <w:u w:val="single"/>
        </w:rPr>
        <w:t>202</w:t>
      </w:r>
      <w:r>
        <w:rPr>
          <w:rFonts w:hint="eastAsia" w:ascii="宋体" w:hAnsi="宋体"/>
          <w:color w:val="auto"/>
          <w:sz w:val="28"/>
          <w:szCs w:val="28"/>
          <w:highlight w:val="none"/>
          <w:u w:val="single"/>
          <w:lang w:val="en-US" w:eastAsia="zh-CN"/>
        </w:rPr>
        <w:t>4</w:t>
      </w:r>
      <w:r>
        <w:rPr>
          <w:rFonts w:hint="eastAsia" w:ascii="宋体" w:hAnsi="宋体"/>
          <w:color w:val="auto"/>
          <w:sz w:val="28"/>
          <w:szCs w:val="28"/>
          <w:highlight w:val="none"/>
          <w:u w:val="single"/>
        </w:rPr>
        <w:t>年</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月</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日</w:t>
      </w:r>
    </w:p>
    <w:p>
      <w:pPr>
        <w:spacing w:line="360" w:lineRule="auto"/>
        <w:rPr>
          <w:rFonts w:ascii="宋体" w:hAnsi="宋体"/>
          <w:color w:val="auto"/>
          <w:sz w:val="24"/>
          <w:szCs w:val="24"/>
          <w:highlight w:val="none"/>
        </w:rPr>
      </w:pPr>
      <w:r>
        <w:rPr>
          <w:rFonts w:hint="eastAsia" w:ascii="宋体" w:hAnsi="宋体"/>
          <w:color w:val="auto"/>
          <w:sz w:val="28"/>
          <w:szCs w:val="28"/>
          <w:highlight w:val="none"/>
        </w:rPr>
        <w:t>签订地点：</w:t>
      </w:r>
      <w:r>
        <w:rPr>
          <w:rFonts w:hint="eastAsia" w:ascii="宋体" w:hAnsi="宋体"/>
          <w:color w:val="auto"/>
          <w:sz w:val="28"/>
          <w:szCs w:val="28"/>
          <w:highlight w:val="none"/>
          <w:u w:val="single"/>
        </w:rPr>
        <w:t>广州市黄埔区</w:t>
      </w:r>
    </w:p>
    <w:p>
      <w:pPr>
        <w:snapToGrid w:val="0"/>
        <w:spacing w:line="440" w:lineRule="exact"/>
        <w:jc w:val="center"/>
        <w:rPr>
          <w:rFonts w:ascii="宋体" w:hAnsi="宋体"/>
          <w:b/>
          <w:bCs/>
          <w:color w:val="auto"/>
          <w:sz w:val="28"/>
          <w:szCs w:val="28"/>
          <w:highlight w:val="none"/>
        </w:rPr>
      </w:pPr>
      <w:r>
        <w:rPr>
          <w:rFonts w:ascii="宋体" w:hAnsi="宋体"/>
          <w:color w:val="auto"/>
          <w:sz w:val="24"/>
          <w:szCs w:val="24"/>
          <w:highlight w:val="none"/>
        </w:rPr>
        <w:drawing>
          <wp:anchor distT="0" distB="0" distL="114300" distR="114300" simplePos="0" relativeHeight="251662336" behindDoc="0" locked="0" layoutInCell="1" allowOverlap="0">
            <wp:simplePos x="0" y="0"/>
            <wp:positionH relativeFrom="column">
              <wp:posOffset>-1141095</wp:posOffset>
            </wp:positionH>
            <wp:positionV relativeFrom="paragraph">
              <wp:posOffset>786765</wp:posOffset>
            </wp:positionV>
            <wp:extent cx="7000240" cy="2437765"/>
            <wp:effectExtent l="0" t="0" r="10160" b="635"/>
            <wp:wrapSquare wrapText="bothSides"/>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000240" cy="2437765"/>
                    </a:xfrm>
                    <a:prstGeom prst="rect">
                      <a:avLst/>
                    </a:prstGeom>
                    <a:noFill/>
                    <a:ln>
                      <a:noFill/>
                    </a:ln>
                  </pic:spPr>
                </pic:pic>
              </a:graphicData>
            </a:graphic>
          </wp:anchor>
        </w:drawing>
      </w:r>
      <w:r>
        <w:rPr>
          <w:rFonts w:ascii="宋体" w:hAnsi="宋体"/>
          <w:color w:val="auto"/>
          <w:sz w:val="24"/>
          <w:szCs w:val="24"/>
          <w:highlight w:val="none"/>
        </w:rPr>
        <w:br w:type="page"/>
      </w:r>
      <w:r>
        <w:rPr>
          <w:rFonts w:hint="eastAsia" w:ascii="宋体" w:hAnsi="宋体"/>
          <w:b/>
          <w:color w:val="auto"/>
          <w:sz w:val="28"/>
          <w:szCs w:val="28"/>
          <w:highlight w:val="none"/>
        </w:rPr>
        <w:t>第一部分</w:t>
      </w:r>
      <w:r>
        <w:rPr>
          <w:rFonts w:ascii="宋体" w:hAnsi="宋体"/>
          <w:b/>
          <w:color w:val="auto"/>
          <w:sz w:val="28"/>
          <w:szCs w:val="28"/>
          <w:highlight w:val="none"/>
        </w:rPr>
        <w:t xml:space="preserve">   </w:t>
      </w:r>
      <w:r>
        <w:rPr>
          <w:rFonts w:hint="eastAsia" w:ascii="宋体" w:hAnsi="宋体"/>
          <w:b/>
          <w:color w:val="auto"/>
          <w:sz w:val="28"/>
          <w:szCs w:val="28"/>
          <w:highlight w:val="none"/>
        </w:rPr>
        <w:t>协议书</w:t>
      </w:r>
    </w:p>
    <w:p>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发包人（甲方）：</w:t>
      </w:r>
      <w:r>
        <w:rPr>
          <w:rFonts w:ascii="宋体" w:hAnsi="宋体"/>
          <w:color w:val="auto"/>
          <w:sz w:val="24"/>
          <w:highlight w:val="none"/>
          <w:u w:val="single"/>
        </w:rPr>
        <w:t xml:space="preserve">                             </w:t>
      </w:r>
      <w:r>
        <w:rPr>
          <w:rFonts w:hint="eastAsia" w:ascii="宋体" w:hAnsi="宋体"/>
          <w:color w:val="auto"/>
          <w:sz w:val="24"/>
          <w:highlight w:val="none"/>
        </w:rPr>
        <w:t>。</w:t>
      </w:r>
    </w:p>
    <w:p>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承包人（乙方）：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pStyle w:val="41"/>
        <w:snapToGrid w:val="0"/>
        <w:spacing w:line="440" w:lineRule="exact"/>
        <w:rPr>
          <w:rFonts w:ascii="宋体" w:hAnsi="宋体"/>
          <w:color w:val="auto"/>
          <w:szCs w:val="24"/>
          <w:highlight w:val="none"/>
        </w:rPr>
      </w:pPr>
      <w:r>
        <w:rPr>
          <w:rFonts w:hint="eastAsia" w:ascii="宋体" w:hAnsi="宋体"/>
          <w:color w:val="auto"/>
          <w:szCs w:val="24"/>
          <w:highlight w:val="none"/>
        </w:rPr>
        <w:t>依照《中华人民共和国民法典》、《中华人民共和国建筑法》及其他有关法律、行政法规，遵循平等、自愿、公平和诚实信用的原则，双方就本建设工程施工事项协商一致，订立本合同。</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一、工程概况</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工程名称：</w:t>
      </w:r>
      <w:r>
        <w:rPr>
          <w:rFonts w:ascii="宋体" w:hAnsi="宋体"/>
          <w:bCs/>
          <w:color w:val="auto"/>
          <w:sz w:val="24"/>
          <w:highlight w:val="none"/>
          <w:u w:val="single"/>
        </w:rPr>
        <w:t xml:space="preserve">                            </w:t>
      </w:r>
      <w:r>
        <w:rPr>
          <w:rFonts w:hint="eastAsia" w:ascii="宋体" w:hAnsi="宋体"/>
          <w:bCs/>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工程地点：</w:t>
      </w:r>
      <w:r>
        <w:rPr>
          <w:rFonts w:ascii="宋体" w:hAnsi="宋体"/>
          <w:bCs/>
          <w:color w:val="auto"/>
          <w:sz w:val="24"/>
          <w:highlight w:val="none"/>
          <w:u w:val="single"/>
        </w:rPr>
        <w:t xml:space="preserve">                            </w:t>
      </w:r>
      <w:r>
        <w:rPr>
          <w:rFonts w:hint="eastAsia" w:ascii="宋体" w:hAnsi="宋体"/>
          <w:bCs/>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工程内容：</w:t>
      </w:r>
      <w:r>
        <w:rPr>
          <w:rFonts w:ascii="宋体" w:hAnsi="宋体"/>
          <w:color w:val="auto"/>
          <w:sz w:val="24"/>
          <w:highlight w:val="none"/>
          <w:u w:val="single"/>
        </w:rPr>
        <w:t xml:space="preserve">                          </w:t>
      </w:r>
      <w:r>
        <w:rPr>
          <w:rFonts w:hint="eastAsia" w:ascii="宋体" w:hAnsi="宋体"/>
          <w:color w:val="auto"/>
          <w:sz w:val="24"/>
          <w:highlight w:val="none"/>
        </w:rPr>
        <w:t>。具体内容以施工图纸及工程量清单为准。</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u w:val="single"/>
        </w:rPr>
        <w:t>建设业主有权根据工程实施情况，对承包人的承包范围和承包工程量进行适当调整</w:t>
      </w:r>
      <w:r>
        <w:rPr>
          <w:rFonts w:hint="eastAsia" w:ascii="宋体" w:hAnsi="宋体"/>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工程立项批准文号：</w:t>
      </w:r>
      <w:r>
        <w:rPr>
          <w:rFonts w:ascii="宋体" w:hAnsi="宋体"/>
          <w:color w:val="auto"/>
          <w:sz w:val="24"/>
          <w:highlight w:val="none"/>
          <w:u w:val="single"/>
        </w:rPr>
        <w:t xml:space="preserve">             </w:t>
      </w:r>
      <w:r>
        <w:rPr>
          <w:rFonts w:hint="eastAsia" w:ascii="宋体" w:hAnsi="宋体"/>
          <w:color w:val="auto"/>
          <w:sz w:val="24"/>
          <w:highlight w:val="none"/>
        </w:rPr>
        <w:t>。</w:t>
      </w:r>
    </w:p>
    <w:p>
      <w:pPr>
        <w:snapToGrid w:val="0"/>
        <w:spacing w:line="440" w:lineRule="exact"/>
        <w:ind w:firstLine="480"/>
        <w:jc w:val="left"/>
        <w:rPr>
          <w:rFonts w:ascii="宋体" w:hAnsi="宋体"/>
          <w:color w:val="auto"/>
          <w:sz w:val="24"/>
          <w:highlight w:val="none"/>
          <w:u w:val="single"/>
        </w:rPr>
      </w:pPr>
      <w:r>
        <w:rPr>
          <w:rFonts w:hint="eastAsia" w:ascii="宋体" w:hAnsi="宋体"/>
          <w:color w:val="auto"/>
          <w:sz w:val="24"/>
          <w:highlight w:val="none"/>
        </w:rPr>
        <w:t>资金来源：</w:t>
      </w:r>
      <w:r>
        <w:rPr>
          <w:rFonts w:hint="eastAsia" w:ascii="宋体" w:hAnsi="宋体"/>
          <w:color w:val="auto"/>
          <w:sz w:val="24"/>
          <w:highlight w:val="none"/>
          <w:u w:val="single"/>
        </w:rPr>
        <w:t>财政投资</w:t>
      </w:r>
      <w:r>
        <w:rPr>
          <w:rFonts w:hint="eastAsia" w:ascii="宋体" w:hAnsi="宋体"/>
          <w:color w:val="auto"/>
          <w:sz w:val="24"/>
          <w:highlight w:val="none"/>
        </w:rPr>
        <w:t>。</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二、工程承包范围及承包方式</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（一）承包范围：</w:t>
      </w:r>
      <w:r>
        <w:rPr>
          <w:rFonts w:hint="eastAsia" w:ascii="宋体" w:hAnsi="宋体"/>
          <w:color w:val="auto"/>
          <w:sz w:val="24"/>
          <w:highlight w:val="none"/>
          <w:u w:val="single"/>
        </w:rPr>
        <w:t>按发包人确认的施工图纸、图纸会审纪录和有关变更文件、资料、招标文件、承包人投标文件以及双方签订的有关协议所包含的内容</w:t>
      </w:r>
      <w:r>
        <w:rPr>
          <w:rFonts w:hint="eastAsia" w:ascii="宋体" w:hAnsi="宋体"/>
          <w:color w:val="auto"/>
          <w:sz w:val="24"/>
          <w:highlight w:val="none"/>
        </w:rPr>
        <w:t>。</w:t>
      </w:r>
    </w:p>
    <w:p>
      <w:pPr>
        <w:snapToGri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rPr>
        <w:t>（二）承包方式：</w:t>
      </w:r>
      <w:r>
        <w:rPr>
          <w:rFonts w:ascii="宋体" w:hAnsi="宋体"/>
          <w:color w:val="auto"/>
          <w:sz w:val="24"/>
          <w:highlight w:val="none"/>
          <w:u w:val="single"/>
        </w:rPr>
        <w:t>包工、包料、包工期、包质量、包安全、包文</w:t>
      </w:r>
      <w:r>
        <w:rPr>
          <w:rFonts w:hint="eastAsia" w:ascii="宋体" w:hAnsi="宋体"/>
          <w:color w:val="auto"/>
          <w:sz w:val="24"/>
          <w:highlight w:val="none"/>
          <w:u w:val="single"/>
        </w:rPr>
        <w:t>明施工、包验收、包保修、综合单价包干，</w:t>
      </w:r>
      <w:r>
        <w:rPr>
          <w:rFonts w:ascii="宋体" w:hAnsi="宋体"/>
          <w:color w:val="auto"/>
          <w:sz w:val="24"/>
          <w:highlight w:val="none"/>
          <w:u w:val="single"/>
        </w:rPr>
        <w:t>措施项目费（除施工围蔽费用外）包干，施工围蔽清单综合单价包干，工程量按实计量</w:t>
      </w:r>
      <w:r>
        <w:rPr>
          <w:rFonts w:hint="eastAsia" w:ascii="宋体" w:hAnsi="宋体"/>
          <w:color w:val="auto"/>
          <w:sz w:val="24"/>
          <w:highlight w:val="none"/>
        </w:rPr>
        <w:t>。</w:t>
      </w:r>
    </w:p>
    <w:p>
      <w:pPr>
        <w:snapToGrid w:val="0"/>
        <w:spacing w:line="44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rPr>
        <w:t>三、合同工期</w:t>
      </w:r>
    </w:p>
    <w:p>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暂定开工日期：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暂定竣工日期：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440" w:lineRule="exact"/>
        <w:ind w:left="480"/>
        <w:rPr>
          <w:rFonts w:ascii="宋体" w:hAnsi="宋体"/>
          <w:color w:val="auto"/>
          <w:sz w:val="24"/>
          <w:highlight w:val="none"/>
        </w:rPr>
      </w:pPr>
      <w:r>
        <w:rPr>
          <w:rFonts w:hint="eastAsia" w:ascii="宋体" w:hAnsi="宋体"/>
          <w:color w:val="auto"/>
          <w:sz w:val="24"/>
          <w:highlight w:val="none"/>
        </w:rPr>
        <w:t>合同工期为</w:t>
      </w:r>
      <w:r>
        <w:rPr>
          <w:rFonts w:ascii="宋体" w:hAnsi="宋体"/>
          <w:color w:val="auto"/>
          <w:sz w:val="24"/>
          <w:highlight w:val="none"/>
          <w:u w:val="single"/>
        </w:rPr>
        <w:t xml:space="preserve">     </w:t>
      </w:r>
      <w:r>
        <w:rPr>
          <w:rFonts w:hint="eastAsia" w:ascii="宋体" w:hAnsi="宋体"/>
          <w:color w:val="auto"/>
          <w:sz w:val="24"/>
          <w:highlight w:val="none"/>
        </w:rPr>
        <w:t>日历天。实际开工日期以批准的开工报告为准。</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四、质量标准</w:t>
      </w:r>
    </w:p>
    <w:p>
      <w:pPr>
        <w:pStyle w:val="26"/>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施工要求：符合设计图纸要求和国家、省、市相关法律法规规定要求及行业工程质量标准，</w:t>
      </w:r>
      <w:r>
        <w:rPr>
          <w:rFonts w:hint="eastAsia" w:ascii="宋体" w:hAnsi="宋体" w:eastAsia="宋体" w:cs="宋体"/>
          <w:color w:val="auto"/>
          <w:kern w:val="0"/>
          <w:sz w:val="24"/>
          <w:szCs w:val="24"/>
          <w:highlight w:val="none"/>
          <w:u w:val="single"/>
        </w:rPr>
        <w:t>且达到投标承诺的       标准</w:t>
      </w:r>
      <w:r>
        <w:rPr>
          <w:rFonts w:hint="eastAsia" w:ascii="宋体" w:hAnsi="宋体" w:eastAsia="宋体" w:cs="宋体"/>
          <w:color w:val="auto"/>
          <w:kern w:val="0"/>
          <w:sz w:val="24"/>
          <w:szCs w:val="24"/>
          <w:highlight w:val="none"/>
        </w:rPr>
        <w:t>。</w:t>
      </w:r>
    </w:p>
    <w:p>
      <w:pPr>
        <w:spacing w:line="400" w:lineRule="exact"/>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工程质量标准：合格，</w:t>
      </w:r>
      <w:r>
        <w:rPr>
          <w:rFonts w:hint="eastAsia" w:ascii="宋体" w:hAnsi="宋体" w:cs="宋体"/>
          <w:color w:val="auto"/>
          <w:kern w:val="0"/>
          <w:sz w:val="24"/>
          <w:szCs w:val="24"/>
          <w:highlight w:val="none"/>
          <w:u w:val="single"/>
        </w:rPr>
        <w:t>且达到投标承诺的    标准。</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五、合同价款</w:t>
      </w:r>
    </w:p>
    <w:p>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合同价款暂定为￥</w:t>
      </w:r>
      <w:r>
        <w:rPr>
          <w:rFonts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元（大写：人民币</w:t>
      </w:r>
      <w:r>
        <w:rPr>
          <w:rFonts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），其中绿色施工安全防护措施费为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元、暂列金额为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元，人工费     元，工人工资比例为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w:t>
      </w:r>
    </w:p>
    <w:p>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u w:val="single"/>
        </w:rPr>
        <w:t>工程结算价款以广州开发区财政局审定结算为准</w:t>
      </w:r>
      <w:r>
        <w:rPr>
          <w:rFonts w:hint="eastAsia" w:ascii="宋体" w:hAnsi="宋体"/>
          <w:bCs/>
          <w:snapToGrid w:val="0"/>
          <w:color w:val="auto"/>
          <w:kern w:val="0"/>
          <w:sz w:val="24"/>
          <w:highlight w:val="none"/>
        </w:rPr>
        <w:t>。如遇审计部门审计发现本合同结算价款存在超付的情形，发包人有权据实要求承包人返还该部分款项。</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六、组成合同的文件</w:t>
      </w:r>
    </w:p>
    <w:p>
      <w:pPr>
        <w:spacing w:line="440" w:lineRule="exact"/>
        <w:ind w:firstLine="444" w:firstLineChars="185"/>
        <w:rPr>
          <w:rFonts w:ascii="宋体" w:hAnsi="宋体"/>
          <w:color w:val="auto"/>
          <w:sz w:val="24"/>
          <w:highlight w:val="none"/>
        </w:rPr>
      </w:pPr>
      <w:r>
        <w:rPr>
          <w:rFonts w:hint="eastAsia" w:ascii="宋体" w:hAnsi="宋体"/>
          <w:color w:val="auto"/>
          <w:sz w:val="24"/>
          <w:highlight w:val="none"/>
        </w:rPr>
        <w:t>组成本合同的文件包括：</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1.本合同履行期间发包人与承包人双方签订的补充合同（协议）或修正文件；</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2.本合同协议书</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3.国家、广东省、广州市、广州开发区、</w:t>
      </w:r>
      <w:r>
        <w:rPr>
          <w:rFonts w:hint="eastAsia" w:ascii="宋体" w:hAnsi="宋体"/>
          <w:color w:val="auto"/>
          <w:sz w:val="24"/>
          <w:highlight w:val="none"/>
        </w:rPr>
        <w:t>黄埔</w:t>
      </w:r>
      <w:r>
        <w:rPr>
          <w:rFonts w:ascii="宋体" w:hAnsi="宋体"/>
          <w:color w:val="auto"/>
          <w:sz w:val="24"/>
          <w:highlight w:val="none"/>
        </w:rPr>
        <w:t>区关于本工程施工的有关文件（发包人在收到后尽快通报给承包人）；</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建设业主</w:t>
      </w:r>
      <w:r>
        <w:rPr>
          <w:rFonts w:ascii="宋体" w:hAnsi="宋体"/>
          <w:color w:val="auto"/>
          <w:sz w:val="24"/>
          <w:highlight w:val="none"/>
        </w:rPr>
        <w:t>针对本工程建设管理的各项制度、规定；</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5.中标通知书</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6.本合同专用条款</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7.招标文件及附件（包括补充、修改、澄清文件及答疑纪要等）</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8.本合同通用条款</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9.投标文件及附件</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10.标准、规范和其他有关技术文件</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11.图纸</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12.工程量清单</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13.合同附件（工程质量保修责任书、</w:t>
      </w:r>
      <w:r>
        <w:rPr>
          <w:rFonts w:hint="eastAsia" w:ascii="宋体" w:hAnsi="宋体"/>
          <w:color w:val="auto"/>
          <w:sz w:val="24"/>
          <w:highlight w:val="none"/>
        </w:rPr>
        <w:t>标函承诺书、项目负责人驻场承诺书、工程建设廉政协议书等）；</w:t>
      </w:r>
    </w:p>
    <w:p>
      <w:pPr>
        <w:pStyle w:val="42"/>
        <w:spacing w:line="440" w:lineRule="exact"/>
        <w:ind w:left="0" w:firstLine="480" w:firstLineChars="200"/>
        <w:rPr>
          <w:rFonts w:ascii="宋体" w:hAnsi="宋体" w:eastAsia="宋体"/>
          <w:color w:val="auto"/>
          <w:sz w:val="24"/>
          <w:highlight w:val="none"/>
        </w:rPr>
      </w:pPr>
      <w:r>
        <w:rPr>
          <w:rFonts w:hint="eastAsia" w:ascii="宋体" w:hAnsi="宋体" w:eastAsia="宋体"/>
          <w:color w:val="auto"/>
          <w:sz w:val="24"/>
          <w:highlight w:val="none"/>
        </w:rPr>
        <w:t>双方有关工程的洽商、变更等书面协议或文件视为本合同的组成部分。</w:t>
      </w:r>
    </w:p>
    <w:p>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七、协议书中有关词语含义与本合同第二部分《通用条款》中分别赋予它们的定义相同。</w:t>
      </w:r>
    </w:p>
    <w:p>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八、承包人向发包人承诺按照合同约定进行施工、竣工并在质量保修期内承担工程质量保修责任。</w:t>
      </w:r>
    </w:p>
    <w:p>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九、发包人向承包人承诺按照合同约定的期限和方式支付合同价款及其他应当支付的款项。</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十、合同生效</w:t>
      </w:r>
    </w:p>
    <w:p>
      <w:pPr>
        <w:snapToGrid w:val="0"/>
        <w:spacing w:line="440" w:lineRule="exact"/>
        <w:ind w:firstLine="482"/>
        <w:rPr>
          <w:rFonts w:ascii="宋体" w:hAnsi="宋体"/>
          <w:color w:val="auto"/>
          <w:sz w:val="24"/>
          <w:highlight w:val="none"/>
        </w:rPr>
      </w:pPr>
      <w:r>
        <w:rPr>
          <w:rFonts w:hint="eastAsia" w:ascii="宋体" w:hAnsi="宋体"/>
          <w:color w:val="auto"/>
          <w:sz w:val="24"/>
          <w:highlight w:val="none"/>
        </w:rPr>
        <w:t>合同订立时间：</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440" w:lineRule="exact"/>
        <w:ind w:firstLine="480"/>
        <w:rPr>
          <w:rFonts w:ascii="宋体" w:hAnsi="宋体"/>
          <w:color w:val="auto"/>
          <w:sz w:val="24"/>
          <w:highlight w:val="none"/>
        </w:rPr>
      </w:pPr>
      <w:r>
        <w:rPr>
          <w:rFonts w:hint="eastAsia" w:ascii="宋体" w:hAnsi="宋体"/>
          <w:color w:val="auto"/>
          <w:sz w:val="24"/>
          <w:highlight w:val="none"/>
        </w:rPr>
        <w:t>合同订立地点：</w:t>
      </w:r>
      <w:r>
        <w:rPr>
          <w:rFonts w:hint="eastAsia" w:ascii="宋体" w:hAnsi="宋体"/>
          <w:color w:val="auto"/>
          <w:sz w:val="24"/>
          <w:highlight w:val="none"/>
          <w:u w:val="single"/>
        </w:rPr>
        <w:t>广州市黄埔区</w:t>
      </w:r>
    </w:p>
    <w:p>
      <w:pPr>
        <w:snapToGrid w:val="0"/>
        <w:spacing w:line="440" w:lineRule="exact"/>
        <w:ind w:firstLine="480"/>
        <w:rPr>
          <w:rFonts w:ascii="宋体" w:hAnsi="宋体"/>
          <w:color w:val="auto"/>
          <w:sz w:val="24"/>
          <w:highlight w:val="none"/>
        </w:rPr>
      </w:pPr>
      <w:r>
        <w:rPr>
          <w:rFonts w:hint="eastAsia" w:ascii="宋体" w:hAnsi="宋体"/>
          <w:color w:val="auto"/>
          <w:sz w:val="24"/>
          <w:highlight w:val="none"/>
        </w:rPr>
        <w:t>本合同双方约定：</w:t>
      </w:r>
      <w:r>
        <w:rPr>
          <w:rFonts w:hint="eastAsia" w:ascii="宋体" w:hAnsi="宋体"/>
          <w:color w:val="auto"/>
          <w:sz w:val="24"/>
          <w:highlight w:val="none"/>
          <w:u w:val="single"/>
        </w:rPr>
        <w:t>双方签名、盖章并在承包人提交履约担保</w:t>
      </w:r>
      <w:r>
        <w:rPr>
          <w:rFonts w:hint="eastAsia" w:ascii="宋体" w:hAnsi="宋体"/>
          <w:color w:val="auto"/>
          <w:sz w:val="24"/>
          <w:highlight w:val="none"/>
        </w:rPr>
        <w:t>后生效。</w:t>
      </w:r>
    </w:p>
    <w:p>
      <w:pPr>
        <w:snapToGrid w:val="0"/>
        <w:spacing w:line="440" w:lineRule="exact"/>
        <w:rPr>
          <w:rFonts w:ascii="宋体" w:hAnsi="宋体"/>
          <w:color w:val="auto"/>
          <w:sz w:val="24"/>
          <w:highlight w:val="none"/>
        </w:rPr>
      </w:pPr>
      <w:r>
        <w:rPr>
          <w:rFonts w:ascii="宋体" w:hAnsi="宋体"/>
          <w:color w:val="auto"/>
          <w:sz w:val="24"/>
          <w:highlight w:val="none"/>
        </w:rPr>
        <w:br w:type="page"/>
      </w:r>
    </w:p>
    <w:tbl>
      <w:tblPr>
        <w:tblStyle w:val="20"/>
        <w:tblW w:w="0" w:type="auto"/>
        <w:tblInd w:w="0" w:type="dxa"/>
        <w:tblLayout w:type="fixed"/>
        <w:tblCellMar>
          <w:top w:w="0" w:type="dxa"/>
          <w:left w:w="108" w:type="dxa"/>
          <w:bottom w:w="0" w:type="dxa"/>
          <w:right w:w="108" w:type="dxa"/>
        </w:tblCellMar>
      </w:tblPr>
      <w:tblGrid>
        <w:gridCol w:w="4839"/>
        <w:gridCol w:w="4839"/>
      </w:tblGrid>
      <w:tr>
        <w:tblPrEx>
          <w:tblCellMar>
            <w:top w:w="0" w:type="dxa"/>
            <w:left w:w="108" w:type="dxa"/>
            <w:bottom w:w="0" w:type="dxa"/>
            <w:right w:w="108" w:type="dxa"/>
          </w:tblCellMar>
        </w:tblPrEx>
        <w:trPr>
          <w:trHeight w:val="1134" w:hRule="atLeast"/>
        </w:trPr>
        <w:tc>
          <w:tcPr>
            <w:tcW w:w="4839" w:type="dxa"/>
            <w:noWrap w:val="0"/>
            <w:vAlign w:val="top"/>
          </w:tcPr>
          <w:p>
            <w:pPr>
              <w:snapToGrid w:val="0"/>
              <w:spacing w:line="440" w:lineRule="exact"/>
              <w:rPr>
                <w:rFonts w:ascii="宋体" w:hAnsi="宋体"/>
                <w:color w:val="auto"/>
                <w:sz w:val="24"/>
                <w:highlight w:val="none"/>
              </w:rPr>
            </w:pPr>
            <w:r>
              <w:rPr>
                <w:rFonts w:ascii="宋体" w:hAnsi="宋体"/>
                <w:color w:val="auto"/>
                <w:sz w:val="24"/>
                <w:highlight w:val="none"/>
              </w:rPr>
              <w:t>发包人：（公章）</w:t>
            </w:r>
          </w:p>
        </w:tc>
        <w:tc>
          <w:tcPr>
            <w:tcW w:w="4839" w:type="dxa"/>
            <w:noWrap w:val="0"/>
            <w:vAlign w:val="top"/>
          </w:tcPr>
          <w:p>
            <w:pPr>
              <w:snapToGrid w:val="0"/>
              <w:spacing w:line="440" w:lineRule="exact"/>
              <w:rPr>
                <w:rFonts w:ascii="宋体" w:hAnsi="宋体"/>
                <w:color w:val="auto"/>
                <w:sz w:val="24"/>
                <w:highlight w:val="none"/>
              </w:rPr>
            </w:pPr>
            <w:r>
              <w:rPr>
                <w:rFonts w:ascii="宋体" w:hAnsi="宋体"/>
                <w:color w:val="auto"/>
                <w:sz w:val="24"/>
                <w:highlight w:val="none"/>
              </w:rPr>
              <w:t>承包人：（公章）</w:t>
            </w:r>
          </w:p>
        </w:tc>
      </w:tr>
      <w:tr>
        <w:tblPrEx>
          <w:tblCellMar>
            <w:top w:w="0" w:type="dxa"/>
            <w:left w:w="108" w:type="dxa"/>
            <w:bottom w:w="0" w:type="dxa"/>
            <w:right w:w="108" w:type="dxa"/>
          </w:tblCellMar>
        </w:tblPrEx>
        <w:trPr>
          <w:trHeight w:val="1134" w:hRule="atLeast"/>
        </w:trPr>
        <w:tc>
          <w:tcPr>
            <w:tcW w:w="4839" w:type="dxa"/>
            <w:noWrap w:val="0"/>
            <w:vAlign w:val="top"/>
          </w:tcPr>
          <w:p>
            <w:pPr>
              <w:snapToGrid w:val="0"/>
              <w:spacing w:line="440" w:lineRule="exact"/>
              <w:rPr>
                <w:rFonts w:ascii="宋体" w:hAnsi="宋体"/>
                <w:color w:val="auto"/>
                <w:sz w:val="24"/>
                <w:highlight w:val="none"/>
              </w:rPr>
            </w:pPr>
            <w:r>
              <w:rPr>
                <w:rFonts w:hint="eastAsia" w:ascii="宋体" w:hAnsi="宋体"/>
                <w:color w:val="auto"/>
                <w:sz w:val="24"/>
                <w:highlight w:val="none"/>
              </w:rPr>
              <w:t>住</w:t>
            </w:r>
            <w:r>
              <w:rPr>
                <w:rFonts w:ascii="宋体" w:hAnsi="宋体"/>
                <w:color w:val="auto"/>
                <w:sz w:val="24"/>
                <w:highlight w:val="none"/>
              </w:rPr>
              <w:t xml:space="preserve">  </w:t>
            </w:r>
            <w:r>
              <w:rPr>
                <w:rFonts w:hint="eastAsia" w:ascii="宋体" w:hAnsi="宋体"/>
                <w:color w:val="auto"/>
                <w:sz w:val="24"/>
                <w:highlight w:val="none"/>
              </w:rPr>
              <w:t>所：</w:t>
            </w:r>
          </w:p>
        </w:tc>
        <w:tc>
          <w:tcPr>
            <w:tcW w:w="4839" w:type="dxa"/>
            <w:noWrap w:val="0"/>
            <w:vAlign w:val="top"/>
          </w:tcPr>
          <w:p>
            <w:pPr>
              <w:snapToGrid w:val="0"/>
              <w:spacing w:line="440" w:lineRule="exact"/>
              <w:rPr>
                <w:rFonts w:ascii="宋体" w:hAnsi="宋体"/>
                <w:color w:val="auto"/>
                <w:sz w:val="24"/>
                <w:highlight w:val="none"/>
              </w:rPr>
            </w:pPr>
            <w:r>
              <w:rPr>
                <w:rFonts w:hint="eastAsia" w:ascii="宋体" w:hAnsi="宋体"/>
                <w:color w:val="auto"/>
                <w:sz w:val="24"/>
                <w:highlight w:val="none"/>
              </w:rPr>
              <w:t>住</w:t>
            </w:r>
            <w:r>
              <w:rPr>
                <w:rFonts w:ascii="宋体" w:hAnsi="宋体"/>
                <w:color w:val="auto"/>
                <w:sz w:val="24"/>
                <w:highlight w:val="none"/>
              </w:rPr>
              <w:t xml:space="preserve">  </w:t>
            </w:r>
            <w:r>
              <w:rPr>
                <w:rFonts w:hint="eastAsia" w:ascii="宋体" w:hAnsi="宋体"/>
                <w:color w:val="auto"/>
                <w:sz w:val="24"/>
                <w:highlight w:val="none"/>
              </w:rPr>
              <w:t>所：</w:t>
            </w:r>
          </w:p>
        </w:tc>
      </w:tr>
      <w:tr>
        <w:tblPrEx>
          <w:tblCellMar>
            <w:top w:w="0" w:type="dxa"/>
            <w:left w:w="108" w:type="dxa"/>
            <w:bottom w:w="0" w:type="dxa"/>
            <w:right w:w="108" w:type="dxa"/>
          </w:tblCellMar>
        </w:tblPrEx>
        <w:trPr>
          <w:trHeight w:val="1134" w:hRule="atLeast"/>
        </w:trPr>
        <w:tc>
          <w:tcPr>
            <w:tcW w:w="4839" w:type="dxa"/>
            <w:noWrap w:val="0"/>
            <w:vAlign w:val="top"/>
          </w:tcPr>
          <w:p>
            <w:pPr>
              <w:snapToGrid w:val="0"/>
              <w:spacing w:line="440" w:lineRule="exact"/>
              <w:rPr>
                <w:rFonts w:ascii="宋体" w:hAnsi="宋体"/>
                <w:color w:val="auto"/>
                <w:sz w:val="24"/>
                <w:highlight w:val="none"/>
              </w:rPr>
            </w:pPr>
            <w:r>
              <w:rPr>
                <w:rFonts w:ascii="宋体" w:hAnsi="宋体"/>
                <w:color w:val="auto"/>
                <w:sz w:val="24"/>
                <w:highlight w:val="none"/>
              </w:rPr>
              <w:t>法定代表人：</w:t>
            </w:r>
          </w:p>
        </w:tc>
        <w:tc>
          <w:tcPr>
            <w:tcW w:w="4839" w:type="dxa"/>
            <w:noWrap w:val="0"/>
            <w:vAlign w:val="top"/>
          </w:tcPr>
          <w:p>
            <w:pPr>
              <w:snapToGrid w:val="0"/>
              <w:spacing w:line="440" w:lineRule="exact"/>
              <w:rPr>
                <w:rFonts w:ascii="宋体" w:hAnsi="宋体"/>
                <w:color w:val="auto"/>
                <w:sz w:val="24"/>
                <w:highlight w:val="none"/>
              </w:rPr>
            </w:pPr>
            <w:r>
              <w:rPr>
                <w:rFonts w:ascii="宋体" w:hAnsi="宋体"/>
                <w:color w:val="auto"/>
                <w:sz w:val="24"/>
                <w:highlight w:val="none"/>
              </w:rPr>
              <w:t>法定代表人：</w:t>
            </w:r>
          </w:p>
        </w:tc>
      </w:tr>
      <w:tr>
        <w:tblPrEx>
          <w:tblCellMar>
            <w:top w:w="0" w:type="dxa"/>
            <w:left w:w="108" w:type="dxa"/>
            <w:bottom w:w="0" w:type="dxa"/>
            <w:right w:w="108" w:type="dxa"/>
          </w:tblCellMar>
        </w:tblPrEx>
        <w:trPr>
          <w:trHeight w:val="1134" w:hRule="atLeast"/>
        </w:trPr>
        <w:tc>
          <w:tcPr>
            <w:tcW w:w="4839" w:type="dxa"/>
            <w:noWrap w:val="0"/>
            <w:vAlign w:val="top"/>
          </w:tcPr>
          <w:p>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c>
          <w:tcPr>
            <w:tcW w:w="4839" w:type="dxa"/>
            <w:noWrap w:val="0"/>
            <w:vAlign w:val="top"/>
          </w:tcPr>
          <w:p>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r>
      <w:tr>
        <w:tblPrEx>
          <w:tblCellMar>
            <w:top w:w="0" w:type="dxa"/>
            <w:left w:w="108" w:type="dxa"/>
            <w:bottom w:w="0" w:type="dxa"/>
            <w:right w:w="108" w:type="dxa"/>
          </w:tblCellMar>
        </w:tblPrEx>
        <w:trPr>
          <w:trHeight w:val="1134" w:hRule="atLeast"/>
        </w:trPr>
        <w:tc>
          <w:tcPr>
            <w:tcW w:w="4839" w:type="dxa"/>
            <w:noWrap w:val="0"/>
            <w:vAlign w:val="top"/>
          </w:tcPr>
          <w:p>
            <w:pPr>
              <w:snapToGrid w:val="0"/>
              <w:spacing w:line="440" w:lineRule="exact"/>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话：</w:t>
            </w:r>
          </w:p>
        </w:tc>
        <w:tc>
          <w:tcPr>
            <w:tcW w:w="4839" w:type="dxa"/>
            <w:noWrap w:val="0"/>
            <w:vAlign w:val="top"/>
          </w:tcPr>
          <w:p>
            <w:pPr>
              <w:snapToGrid w:val="0"/>
              <w:spacing w:line="440" w:lineRule="exact"/>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话：</w:t>
            </w:r>
          </w:p>
        </w:tc>
      </w:tr>
      <w:tr>
        <w:tblPrEx>
          <w:tblCellMar>
            <w:top w:w="0" w:type="dxa"/>
            <w:left w:w="108" w:type="dxa"/>
            <w:bottom w:w="0" w:type="dxa"/>
            <w:right w:w="108" w:type="dxa"/>
          </w:tblCellMar>
        </w:tblPrEx>
        <w:trPr>
          <w:trHeight w:val="1134" w:hRule="atLeast"/>
        </w:trPr>
        <w:tc>
          <w:tcPr>
            <w:tcW w:w="4839" w:type="dxa"/>
            <w:noWrap w:val="0"/>
            <w:vAlign w:val="top"/>
          </w:tcPr>
          <w:p>
            <w:pPr>
              <w:snapToGrid w:val="0"/>
              <w:spacing w:line="440" w:lineRule="exact"/>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真：</w:t>
            </w:r>
          </w:p>
        </w:tc>
        <w:tc>
          <w:tcPr>
            <w:tcW w:w="4839" w:type="dxa"/>
            <w:noWrap w:val="0"/>
            <w:vAlign w:val="top"/>
          </w:tcPr>
          <w:p>
            <w:pPr>
              <w:snapToGrid w:val="0"/>
              <w:spacing w:line="440" w:lineRule="exact"/>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真：</w:t>
            </w:r>
          </w:p>
        </w:tc>
      </w:tr>
      <w:tr>
        <w:tblPrEx>
          <w:tblCellMar>
            <w:top w:w="0" w:type="dxa"/>
            <w:left w:w="108" w:type="dxa"/>
            <w:bottom w:w="0" w:type="dxa"/>
            <w:right w:w="108" w:type="dxa"/>
          </w:tblCellMar>
        </w:tblPrEx>
        <w:trPr>
          <w:trHeight w:val="1134" w:hRule="atLeast"/>
        </w:trPr>
        <w:tc>
          <w:tcPr>
            <w:tcW w:w="4839" w:type="dxa"/>
            <w:noWrap w:val="0"/>
            <w:vAlign w:val="top"/>
          </w:tcPr>
          <w:p>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c>
          <w:tcPr>
            <w:tcW w:w="4839" w:type="dxa"/>
            <w:noWrap w:val="0"/>
            <w:vAlign w:val="top"/>
          </w:tcPr>
          <w:p>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r>
      <w:tr>
        <w:tblPrEx>
          <w:tblCellMar>
            <w:top w:w="0" w:type="dxa"/>
            <w:left w:w="108" w:type="dxa"/>
            <w:bottom w:w="0" w:type="dxa"/>
            <w:right w:w="108" w:type="dxa"/>
          </w:tblCellMar>
        </w:tblPrEx>
        <w:trPr>
          <w:trHeight w:val="1134" w:hRule="atLeast"/>
        </w:trPr>
        <w:tc>
          <w:tcPr>
            <w:tcW w:w="4839" w:type="dxa"/>
            <w:noWrap w:val="0"/>
            <w:vAlign w:val="top"/>
          </w:tcPr>
          <w:p>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号：</w:t>
            </w:r>
          </w:p>
        </w:tc>
        <w:tc>
          <w:tcPr>
            <w:tcW w:w="4839" w:type="dxa"/>
            <w:noWrap w:val="0"/>
            <w:vAlign w:val="top"/>
          </w:tcPr>
          <w:p>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号：</w:t>
            </w:r>
          </w:p>
        </w:tc>
      </w:tr>
      <w:tr>
        <w:tblPrEx>
          <w:tblCellMar>
            <w:top w:w="0" w:type="dxa"/>
            <w:left w:w="108" w:type="dxa"/>
            <w:bottom w:w="0" w:type="dxa"/>
            <w:right w:w="108" w:type="dxa"/>
          </w:tblCellMar>
        </w:tblPrEx>
        <w:trPr>
          <w:trHeight w:val="1134" w:hRule="atLeast"/>
        </w:trPr>
        <w:tc>
          <w:tcPr>
            <w:tcW w:w="4839" w:type="dxa"/>
            <w:noWrap w:val="0"/>
            <w:vAlign w:val="top"/>
          </w:tcPr>
          <w:p>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c>
          <w:tcPr>
            <w:tcW w:w="4839" w:type="dxa"/>
            <w:noWrap w:val="0"/>
            <w:vAlign w:val="top"/>
          </w:tcPr>
          <w:p>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r>
    </w:tbl>
    <w:p>
      <w:pPr>
        <w:snapToGrid w:val="0"/>
        <w:spacing w:line="440" w:lineRule="exact"/>
        <w:ind w:firstLine="120" w:firstLineChars="50"/>
        <w:rPr>
          <w:rFonts w:ascii="宋体" w:hAnsi="宋体"/>
          <w:color w:val="auto"/>
          <w:sz w:val="24"/>
          <w:highlight w:val="none"/>
        </w:rPr>
      </w:pPr>
    </w:p>
    <w:p>
      <w:pPr>
        <w:snapToGrid w:val="0"/>
        <w:spacing w:line="440" w:lineRule="exact"/>
        <w:jc w:val="center"/>
        <w:rPr>
          <w:rFonts w:ascii="宋体" w:hAnsi="宋体"/>
          <w:color w:val="auto"/>
          <w:sz w:val="24"/>
          <w:highlight w:val="none"/>
        </w:rPr>
      </w:pPr>
      <w:r>
        <w:rPr>
          <w:rFonts w:ascii="宋体" w:hAnsi="宋体"/>
          <w:color w:val="auto"/>
          <w:sz w:val="24"/>
          <w:highlight w:val="none"/>
        </w:rPr>
        <w:br w:type="page"/>
      </w:r>
      <w:r>
        <w:rPr>
          <w:rFonts w:hint="eastAsia" w:ascii="宋体" w:hAnsi="宋体"/>
          <w:b/>
          <w:bCs/>
          <w:color w:val="auto"/>
          <w:sz w:val="28"/>
          <w:szCs w:val="28"/>
          <w:highlight w:val="none"/>
        </w:rPr>
        <w:t>第二部分</w:t>
      </w:r>
      <w:r>
        <w:rPr>
          <w:rFonts w:ascii="宋体" w:hAnsi="宋体"/>
          <w:b/>
          <w:bCs/>
          <w:color w:val="auto"/>
          <w:sz w:val="28"/>
          <w:szCs w:val="28"/>
          <w:highlight w:val="none"/>
        </w:rPr>
        <w:t xml:space="preserve"> </w:t>
      </w:r>
      <w:r>
        <w:rPr>
          <w:rFonts w:hint="eastAsia" w:ascii="宋体" w:hAnsi="宋体"/>
          <w:b/>
          <w:bCs/>
          <w:color w:val="auto"/>
          <w:sz w:val="28"/>
          <w:szCs w:val="28"/>
          <w:highlight w:val="none"/>
        </w:rPr>
        <w:t>通用条款</w:t>
      </w:r>
    </w:p>
    <w:p>
      <w:pPr>
        <w:spacing w:line="440" w:lineRule="exact"/>
        <w:jc w:val="center"/>
        <w:rPr>
          <w:rFonts w:ascii="宋体" w:hAnsi="宋体"/>
          <w:color w:val="auto"/>
          <w:sz w:val="24"/>
          <w:highlight w:val="none"/>
        </w:rPr>
      </w:pP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一、词语定义及合同文件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词语定义</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下列词语除专用条款另有约定外，应具有本条所赋予的定义：</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 通用条款：是根据法律、行政法规规定及建设工程施工的需要订立，通用于建设工程施工的条款。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 专用条款：是发包人与承包人根据法律、行政法规规定，结合具体工程实际，经协商达成一致意见的条款，是对通用条款的具体化、补充或修改。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 发包人：指在协议书中约定，具有工程发包主体资格和支付工程价款能力的当事人以及取得该当事人资格的合法继承人。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 承包人：指在协议书中约定，被发包人接受的具有工程施工承包主体资格的当事人以及取得该当事人资格的合法继承人。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 </w:t>
      </w:r>
      <w:r>
        <w:rPr>
          <w:rFonts w:hint="eastAsia" w:ascii="宋体" w:hAnsi="宋体"/>
          <w:color w:val="auto"/>
          <w:sz w:val="21"/>
          <w:szCs w:val="21"/>
          <w:highlight w:val="none"/>
        </w:rPr>
        <w:t>项目负责人：指承包人在专用条款中指定的负责施工管理和合同履行的代表。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 设计单位：指发包人委托的负责本工程设计并取得相应工程设计资质等级证书的单位。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 监理单位：指发包人委托的负责本工程监理并取得相应在工程监理资质等级证书的单位。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1.8 工程师：指本工程监理单位委派的总监理工程师或发包人指定的履行本合同的代表，其具体身份和职权由发包人承包人在专用条款中约定。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 工程造价管理部门：指国务院有关部门、县级以上人民政府建设行政主管部门或其委托的工程造价管理机构。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1.10 工程：指发包人承包人在协议书中约定的承包范围内的工程。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1.11 合同价款：指发包人承包人在协议书中约定，发包人用以支付承包人按照合同约定完成承包范围内全部工程并承担质量保修责任的款项。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1.12 追加合同价款：指在合同履行中发生需要增加合同价款的情况，经发包人确认后按计算合同价款的方法增加的合同价款。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1.13 </w:t>
      </w:r>
      <w:r>
        <w:rPr>
          <w:rFonts w:hint="eastAsia" w:ascii="宋体" w:hAnsi="宋体"/>
          <w:color w:val="auto"/>
          <w:sz w:val="21"/>
          <w:szCs w:val="21"/>
          <w:highlight w:val="none"/>
        </w:rPr>
        <w:t>费用：指不包含在合同价款之内的应当由发包人或承包人承担的经济支出。</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1.14 </w:t>
      </w:r>
      <w:r>
        <w:rPr>
          <w:rFonts w:hint="eastAsia" w:ascii="宋体" w:hAnsi="宋体"/>
          <w:color w:val="auto"/>
          <w:sz w:val="21"/>
          <w:szCs w:val="21"/>
          <w:highlight w:val="none"/>
        </w:rPr>
        <w:t>工期：指发包人承包人在协议书中约定，按总日历天数（包括法定节假日）计算的承包天数。</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1.15 开工日期：指发包人承包人在协议书中约定，承包人开始施工的绝对或相对的日期。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1.16 竣工日期：指发包人承包人在协议书中约定，承包人完成承包范围内工程的绝对或相对的日期。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1.17 图纸：指由发包人提供或承包人提供并经发包人批准，满足承包人施工需要的所有图纸（包括配套说明和有关资料）。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1.18 施工场地：指由发包人提供的用于工程施工的场所以及发包人在图纸中具体指定的供施工使用的任何其他场所。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1.19 书面形式：指合同书、信件和数据电文（包括电报、电传、传真、电子数据交换和电子邮件）等可以有形地表现所载内容的形式。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1.20 违约责任：指合同一方不履行合同义务或履行合同义务不符合约定所应承担的责任。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1.21 索赔：指在合同履行过程中，对于并非自己的过错，而是应由对方承担责任的情况造成的实际损失，向对方提出经济补偿和（或）工期顺延的要求。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1.22 不可抗力：指不能预见、不能避免并不能克服的客观情况。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2、合同文件及解释顺序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 合同文件应能相互解释，互为说明。除专用条款另有约定外，组成本合同的文件及优先解释顺序如下：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1）本合同协议书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2）中标通知书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3）投标书及其附件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4）本合同专用条款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5）本合同通用条款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6）标准、规范及有关技术文件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7）图纸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8）工程量清单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9）工程报价单或预算书</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合同履行中，发包人承包人有关工程的洽商、变更等书面协议或文件视为本合同的组成部分。</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3、语言文字和适用法律、标准及规范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 语言文字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本合同文件使用汉语语言文字书写、解释和说明。如专用条款约定使用两种以上（含两种）语言文字时，汉语应为解释和说明本合同的标准语言文字。</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在少数民族地区，双方可以约定使用少数民族语言文字书写和解释、说明本合同。</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 适用法律和法规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本合同文件适用国家的法律和行政法规。需要明示的法律、行政法规，由双方在专用条款中约定。</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 适用标准、规范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国内没有相应标准、规范的，由发包人按专用条款约定的时间向承包人</w:t>
      </w:r>
      <w:r>
        <w:rPr>
          <w:rFonts w:hint="eastAsia" w:ascii="宋体" w:hAnsi="宋体"/>
          <w:color w:val="auto"/>
          <w:spacing w:val="4"/>
          <w:sz w:val="21"/>
          <w:szCs w:val="21"/>
          <w:highlight w:val="none"/>
        </w:rPr>
        <w:t>提出施工技术要求，承包人按约定的时间和要求提出施工工艺，经发包人认</w:t>
      </w:r>
      <w:r>
        <w:rPr>
          <w:rFonts w:hint="eastAsia" w:ascii="宋体" w:hAnsi="宋体"/>
          <w:color w:val="auto"/>
          <w:sz w:val="21"/>
          <w:szCs w:val="21"/>
          <w:highlight w:val="none"/>
        </w:rPr>
        <w:t>可后执行。发包人要求使用国外标准、规范的，应负责提供中文译本。</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本条所发生的购买、翻译标准、规范或制定施工工艺的费用，由发包人承担。</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4、图纸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 </w:t>
      </w:r>
      <w:r>
        <w:rPr>
          <w:rFonts w:hint="eastAsia" w:ascii="宋体" w:hAnsi="宋体"/>
          <w:color w:val="auto"/>
          <w:sz w:val="21"/>
          <w:szCs w:val="21"/>
          <w:highlight w:val="none"/>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 承包人未经发包人同意，不得将本工程图纸转给第三人。工程质量保修期满后，除承包人存档需要的图纸外，应将全部图纸退还给发包人。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 承包人应在施工现场保留一套完整图纸，供工程师及有关人员进行工程检查时使用。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二、双方一般权利和义务</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5、工程师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5.1实行工程监理的，发包人应在实施监理前将委托的监理单位名称、监理内容及监理权限以书面形式通知承包人。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5.4 </w:t>
      </w:r>
      <w:r>
        <w:rPr>
          <w:rFonts w:hint="eastAsia" w:ascii="宋体" w:hAnsi="宋体"/>
          <w:color w:val="auto"/>
          <w:sz w:val="21"/>
          <w:szCs w:val="21"/>
          <w:highlight w:val="none"/>
        </w:rPr>
        <w:t>合同履行中，发生影响发包人承包人双方权利或义务的事件时，负责监理的工程师应依据合同在其职权范围内客观公正地进行处理。一方对工程师的处理有异议时，按本通用条款</w:t>
      </w:r>
      <w:r>
        <w:rPr>
          <w:rFonts w:ascii="宋体" w:hAnsi="宋体"/>
          <w:color w:val="auto"/>
          <w:sz w:val="21"/>
          <w:szCs w:val="21"/>
          <w:highlight w:val="none"/>
        </w:rPr>
        <w:t xml:space="preserve">37条关于争议的约定处理。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5.5 </w:t>
      </w:r>
      <w:r>
        <w:rPr>
          <w:rFonts w:hint="eastAsia" w:ascii="宋体" w:hAnsi="宋体"/>
          <w:color w:val="auto"/>
          <w:sz w:val="21"/>
          <w:szCs w:val="21"/>
          <w:highlight w:val="none"/>
        </w:rPr>
        <w:t>除合同内有明确约定或经发包人同意外，负责监理的工程师无权解除本合同约定的承包人的任何权利与义务。</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5.6 不实行工程监理的，本合同中工程师专指发包人派驻施工现场履行合同的代表，其具体职权由发包人在专用条款中写明。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6、工程师的委派和指令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除工程师或工程师代表外，发包人派驻工地的其他人员均无权向承包人发出任何指令。</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6.2 </w:t>
      </w:r>
      <w:r>
        <w:rPr>
          <w:rFonts w:hint="eastAsia" w:ascii="宋体" w:hAnsi="宋体"/>
          <w:color w:val="auto"/>
          <w:sz w:val="21"/>
          <w:szCs w:val="21"/>
          <w:highlight w:val="none"/>
        </w:rPr>
        <w:t>工程师的指令、通知由其本人签字后，以书面形式交给项目负责人，项目负责人在回执上签署姓名和收到时间后生效。确有必要时，工程师可发出口头指令，并在</w:t>
      </w:r>
      <w:r>
        <w:rPr>
          <w:rFonts w:ascii="宋体" w:hAnsi="宋体"/>
          <w:color w:val="auto"/>
          <w:sz w:val="21"/>
          <w:szCs w:val="21"/>
          <w:highlight w:val="none"/>
        </w:rPr>
        <w:t xml:space="preserve">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承包人认为工程师指令不合理，应在收到指令后</w:t>
      </w:r>
      <w:r>
        <w:rPr>
          <w:rFonts w:ascii="宋体" w:hAnsi="宋体"/>
          <w:color w:val="auto"/>
          <w:sz w:val="21"/>
          <w:szCs w:val="21"/>
          <w:highlight w:val="none"/>
        </w:rPr>
        <w:t>24小时内向工程师提出修改指令的书面报告，工程师在收到承包人报告后24小时内</w:t>
      </w:r>
      <w:r>
        <w:rPr>
          <w:rFonts w:hint="eastAsia" w:ascii="宋体" w:hAnsi="宋体"/>
          <w:color w:val="auto"/>
          <w:sz w:val="21"/>
          <w:szCs w:val="21"/>
          <w:highlight w:val="none"/>
        </w:rPr>
        <w:t>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本款规定同样适用于由工程师代表发出的指令、通知。</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6.3 </w:t>
      </w:r>
      <w:r>
        <w:rPr>
          <w:rFonts w:hint="eastAsia" w:ascii="宋体" w:hAnsi="宋体"/>
          <w:color w:val="auto"/>
          <w:sz w:val="21"/>
          <w:szCs w:val="21"/>
          <w:highlight w:val="none"/>
        </w:rPr>
        <w:t>工程师应按合同约定，及时向承包人提供所需指令、批准并履行约定的</w:t>
      </w:r>
      <w:r>
        <w:rPr>
          <w:rFonts w:hint="eastAsia" w:ascii="宋体" w:hAnsi="宋体"/>
          <w:color w:val="auto"/>
          <w:spacing w:val="4"/>
          <w:sz w:val="21"/>
          <w:szCs w:val="21"/>
          <w:highlight w:val="none"/>
        </w:rPr>
        <w:t>其他义务。由于工程师未能按合同约定履行义务造成工期延误，发包人应承</w:t>
      </w:r>
      <w:r>
        <w:rPr>
          <w:rFonts w:hint="eastAsia" w:ascii="宋体" w:hAnsi="宋体"/>
          <w:color w:val="auto"/>
          <w:sz w:val="21"/>
          <w:szCs w:val="21"/>
          <w:highlight w:val="none"/>
        </w:rPr>
        <w:t>担延误造成的追加合同价款，并赔偿承包人有关损失，顺延延误的工期。</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6.4 如需更换工程师，发包人应至少提前7天以书面形式通知承包人，后任继续行使合同文件约定的前任的职权，履行前任的义务。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项目负责人</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7.1 </w:t>
      </w:r>
      <w:r>
        <w:rPr>
          <w:rFonts w:hint="eastAsia" w:ascii="宋体" w:hAnsi="宋体"/>
          <w:color w:val="auto"/>
          <w:sz w:val="21"/>
          <w:szCs w:val="21"/>
          <w:highlight w:val="none"/>
        </w:rPr>
        <w:t>项目负责人的姓名、职务在专用条款内写明。</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7.2 </w:t>
      </w:r>
      <w:r>
        <w:rPr>
          <w:rFonts w:hint="eastAsia" w:ascii="宋体" w:hAnsi="宋体"/>
          <w:color w:val="auto"/>
          <w:sz w:val="21"/>
          <w:szCs w:val="21"/>
          <w:highlight w:val="none"/>
        </w:rPr>
        <w:t>承包人依据合同发出的通知，以书面形式由项目负责人签字后送交工程师，工程师在回执上签署姓名和收到时间后生效。</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7.3 </w:t>
      </w:r>
      <w:r>
        <w:rPr>
          <w:rFonts w:hint="eastAsia" w:ascii="宋体" w:hAnsi="宋体"/>
          <w:color w:val="auto"/>
          <w:sz w:val="21"/>
          <w:szCs w:val="21"/>
          <w:highlight w:val="none"/>
        </w:rPr>
        <w:t>项目负责人按发包人认可的施工组织设计（施工方案）和工程师依据合同发出的指令组织施工。在情况紧急且无法与工程师联系时，项目负责人应当采取保证人员生命和工程、财产安全的紧急措施，并在采取措施后</w:t>
      </w:r>
      <w:r>
        <w:rPr>
          <w:rFonts w:ascii="宋体" w:hAnsi="宋体"/>
          <w:color w:val="auto"/>
          <w:sz w:val="21"/>
          <w:szCs w:val="21"/>
          <w:highlight w:val="none"/>
        </w:rPr>
        <w:t xml:space="preserve">48小时内向工程师送交报告。责任在发包人或第三人，由发包人承担由此发生的追加合同价款，相应顺延工期；责任在承包人，由承包人承担费用，不顺延工期。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7.4 </w:t>
      </w:r>
      <w:r>
        <w:rPr>
          <w:rFonts w:hint="eastAsia" w:ascii="宋体" w:hAnsi="宋体"/>
          <w:color w:val="auto"/>
          <w:sz w:val="21"/>
          <w:szCs w:val="21"/>
          <w:highlight w:val="none"/>
        </w:rPr>
        <w:t>承包人如需更换项目负责人，应至少提前</w:t>
      </w:r>
      <w:r>
        <w:rPr>
          <w:rFonts w:ascii="宋体" w:hAnsi="宋体"/>
          <w:color w:val="auto"/>
          <w:sz w:val="21"/>
          <w:szCs w:val="21"/>
          <w:highlight w:val="none"/>
        </w:rPr>
        <w:t xml:space="preserve">7天以书面形式通知发包人，并征得发包人同意。后任继续行使合同文件约定的前任的职权，履行前任的义务。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7.5 </w:t>
      </w:r>
      <w:r>
        <w:rPr>
          <w:rFonts w:hint="eastAsia" w:ascii="宋体" w:hAnsi="宋体"/>
          <w:color w:val="auto"/>
          <w:sz w:val="21"/>
          <w:szCs w:val="21"/>
          <w:highlight w:val="none"/>
        </w:rPr>
        <w:t>发包人可以与承包人协商，建议更换其认为不称职的项目负责人。</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8、发包人工作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8.1 发包人按专用条款约定的内容和时间完成以下工作: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办理土地征用、拆迁补偿、平整施工场地等工作，使施工场地具备施工条件，在开工后继续负责解决以上事项遗留问题；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将施工所需水、电、电讯线路从施工场地外部接至专用条款约定地点，保证施工期间的需要；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开通施工场地与城乡公共道路的通道，以及专用条款约定的施工场地内的主要道路，满足施工运输的需要，保证施工期间的畅通。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向承包人提供施工场地的工程地质和地下管线资料，对资料的真实准确性负责；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w:t>
      </w:r>
      <w:r>
        <w:rPr>
          <w:rFonts w:hint="eastAsia" w:ascii="宋体" w:hAnsi="宋体"/>
          <w:color w:val="auto"/>
          <w:sz w:val="21"/>
          <w:szCs w:val="21"/>
          <w:highlight w:val="none"/>
        </w:rPr>
        <w:t>办理施工许可证及其他施工所需证件、批件和临时用地、停水、停电、中断道路交通、爆破作业等的申请批准文件（证明承包人自身资质的证件除外）；</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w:t>
      </w:r>
      <w:r>
        <w:rPr>
          <w:rFonts w:hint="eastAsia" w:ascii="宋体" w:hAnsi="宋体"/>
          <w:color w:val="auto"/>
          <w:sz w:val="21"/>
          <w:szCs w:val="21"/>
          <w:highlight w:val="none"/>
        </w:rPr>
        <w:t>确定水准点与坐标控制点，以书面形式交给承包人，进行现场交验；</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 </w:t>
      </w:r>
      <w:r>
        <w:rPr>
          <w:rFonts w:hint="eastAsia" w:ascii="宋体" w:hAnsi="宋体"/>
          <w:color w:val="auto"/>
          <w:sz w:val="21"/>
          <w:szCs w:val="21"/>
          <w:highlight w:val="none"/>
        </w:rPr>
        <w:t>组织承包人和设计单位进行图纸会审和设计交底；</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 协调管理施工场地周围地下管线和邻近建筑物、构筑物（包括文物保护建筑）、古树名木的保护工作，承担有关费用；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 发包人应做的其他工作，双方在专用条款内约定。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8.2 发包人未履行8.1款各项义务，导致工期延误或给承包人造成损失的，发包人赔偿承包人有关损失，顺延延误的工期。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9、承包人工作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9.1 承包人按专用条款约定的内容和时间完成以下工作：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根据发包人委托，在其设计资质等级和业务允许的范围内，完成施工图设计或与工程配套的设计，经工程师确认后使用，发包人承担由此发生的费用；</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向工程师提供年、季、月度工程进度计划及相应进度统计报表；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根据工程需要，提供和维修非夜间施工使用的照明、围栏设施，并负责安全保卫；</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按专用条款约定的数量和要求，向发包人提供施工场地办公和生活的房屋及设施，发包人承担由此发生的费用；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遵守政府有关主管部门对施工场地交通、施工噪音以及环境保护和安全生产等的管理规定，按规定办理有关手续，并以书面形式通知发包人，发包人承担由此发生的费用，因承包人责任造成的罚款除外；</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按专用条款约定做好施工场地地下管线和邻近建筑物、构筑物（包括文物保护建筑）、古树名木的保护工作；</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保证施工场地清洁符合环境卫生管理的有关规定，交工前清理现场达到专用条款约定的要求，承担因自身原因违反有关规定造成的损失和罚款；</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pacing w:val="-6"/>
          <w:sz w:val="21"/>
          <w:szCs w:val="21"/>
          <w:highlight w:val="none"/>
        </w:rPr>
        <w:t>办理施工许可证及施工所需证件、批件和临时用地、停水、停电、中断</w:t>
      </w:r>
      <w:r>
        <w:rPr>
          <w:rFonts w:hint="eastAsia" w:ascii="宋体" w:hAnsi="宋体"/>
          <w:color w:val="auto"/>
          <w:sz w:val="21"/>
          <w:szCs w:val="21"/>
          <w:highlight w:val="none"/>
        </w:rPr>
        <w:t>道路交通、爆破作业等的申请批准手续（证明承包人自身资质的证件除外）；</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(10)承包人应做的其他工作，双方在专用条款内约定。</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9.2承包人未能履行9.1款各项义务，造成发包人损失的，承包人赔偿发包人有关损失。</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三、施工组织设计和工期</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10、进度计划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10.1 承包人应按专用条款约定的日期，将施工组织设计和工程进度计划提交工程师，工程师按专用条款约定的时间予以确认或提出修改意见，逾期不确认也不提出书面意见的，视为同意。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10.2群体工程中单位工程分期进行施工的，承包人应按照发包人提供图纸及有关资料的时间，按单位工程编制进度计划，其具体内容双方在专用条款中约定。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11、开工及延期开工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11.2因发包人原因不能按照协议书约定的开工日期开工，工程师应以书面形式通知承</w:t>
      </w:r>
      <w:r>
        <w:rPr>
          <w:rFonts w:hint="eastAsia" w:ascii="宋体" w:hAnsi="宋体"/>
          <w:color w:val="auto"/>
          <w:sz w:val="21"/>
          <w:szCs w:val="21"/>
          <w:highlight w:val="none"/>
        </w:rPr>
        <w:t>包人，推迟开工日期。发包人赔偿承包人因延期开工造成的损失，并相应顺延工期。</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12、暂停施工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工程师认为确有必要暂停施工时，应当以书面形式要求承包人暂停施工，并在提出要求后</w:t>
      </w:r>
      <w:r>
        <w:rPr>
          <w:rFonts w:ascii="宋体" w:hAnsi="宋体"/>
          <w:color w:val="auto"/>
          <w:sz w:val="21"/>
          <w:szCs w:val="21"/>
          <w:highlight w:val="none"/>
        </w:rPr>
        <w:t xml:space="preserve">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13、工期延误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13.1因以下原因造成工期延误，经工程师确认工期相应顺延；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发包人未能按专用条款的约定提供图纸及开工条件；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发包人未能按约定日期支付工程预付款、进度款，致使施工不能正常进行；</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工程师未按合同约定提供所需指令、批准等，致使施工不能正常进行；</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设计变更和工程量增加；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w:t>
      </w:r>
      <w:r>
        <w:rPr>
          <w:rFonts w:hint="eastAsia" w:ascii="宋体" w:hAnsi="宋体"/>
          <w:color w:val="auto"/>
          <w:sz w:val="21"/>
          <w:szCs w:val="21"/>
          <w:highlight w:val="none"/>
        </w:rPr>
        <w:t>一周内非承包人原因停水、停电、停气造成停工累计超过</w:t>
      </w:r>
      <w:r>
        <w:rPr>
          <w:rFonts w:ascii="宋体" w:hAnsi="宋体"/>
          <w:color w:val="auto"/>
          <w:sz w:val="21"/>
          <w:szCs w:val="21"/>
          <w:highlight w:val="none"/>
        </w:rPr>
        <w:t>8小时；</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w:t>
      </w:r>
      <w:r>
        <w:rPr>
          <w:rFonts w:hint="eastAsia" w:ascii="宋体" w:hAnsi="宋体"/>
          <w:color w:val="auto"/>
          <w:sz w:val="21"/>
          <w:szCs w:val="21"/>
          <w:highlight w:val="none"/>
        </w:rPr>
        <w:t>不可抗力；</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 </w:t>
      </w:r>
      <w:r>
        <w:rPr>
          <w:rFonts w:hint="eastAsia" w:ascii="宋体" w:hAnsi="宋体"/>
          <w:color w:val="auto"/>
          <w:sz w:val="21"/>
          <w:szCs w:val="21"/>
          <w:highlight w:val="none"/>
        </w:rPr>
        <w:t>专用条款中约定或工程师同意工期顺延的其他情况。</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13.2承包人在13.1款情况发生后14天内，就延误的工期以书面形式向工程师提出报告。工程师在收到报告后14天内予以确认，逾期不予确认也不提出修改意见，视为同意顺延工期。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14、工程竣工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14.1 承包人必须按照协议书约定的竣工日期或工程师同意顺延的工期竣工。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14.2 因承包人原因不能按照协议书约定的竣工日期或工程师同意顺延的工期竣工的，承包人承担违约责任。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四、质量与检验</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15、工程质量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ascii="宋体" w:hAnsi="宋体"/>
          <w:color w:val="auto"/>
          <w:spacing w:val="6"/>
          <w:sz w:val="21"/>
          <w:szCs w:val="21"/>
          <w:highlight w:val="none"/>
        </w:rPr>
        <w:t xml:space="preserve">5.1 </w:t>
      </w:r>
      <w:r>
        <w:rPr>
          <w:rFonts w:hint="eastAsia" w:ascii="宋体" w:hAnsi="宋体"/>
          <w:color w:val="auto"/>
          <w:spacing w:val="6"/>
          <w:sz w:val="21"/>
          <w:szCs w:val="21"/>
          <w:highlight w:val="none"/>
        </w:rPr>
        <w:t>工程质量应当达到协议书约定的质量标准，质量标准的评定以国家或</w:t>
      </w:r>
      <w:r>
        <w:rPr>
          <w:rFonts w:hint="eastAsia" w:ascii="宋体" w:hAnsi="宋体"/>
          <w:color w:val="auto"/>
          <w:sz w:val="21"/>
          <w:szCs w:val="21"/>
          <w:highlight w:val="none"/>
        </w:rPr>
        <w:t>行业的质量检验评定标准为依据。因承包人原因工程质量达不到约定的质量标准，承包人承担违约责任。</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15.2 双方对工程质量有争议，由双方同意的工程质量检测机构鉴定，所需费用及因此造成的损失，由责任方承担。双方均有责任，由双方根据其责任分别承担。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16、检查和返工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16.1 承包人应认真按照标准、规范和设计图纸要求以及工程师依据合同发出的指令施工，随时接受工程师的检查检验，为检查检验提供便利条件。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16.4 因工程师指令失误或其他非承包人原因发生的追加合同价款，由发包人承担。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17、隐蔽工程和中间验收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17.1 </w:t>
      </w:r>
      <w:r>
        <w:rPr>
          <w:rFonts w:hint="eastAsia" w:ascii="宋体" w:hAnsi="宋体"/>
          <w:color w:val="auto"/>
          <w:sz w:val="21"/>
          <w:szCs w:val="21"/>
          <w:highlight w:val="none"/>
        </w:rPr>
        <w:t>工程具备隐蔽条件或达到专用条款约定的中间验收部位，承包人进行自检，并在隐蔽或中间验收前</w:t>
      </w:r>
      <w:r>
        <w:rPr>
          <w:rFonts w:ascii="宋体" w:hAnsi="宋体"/>
          <w:color w:val="auto"/>
          <w:sz w:val="21"/>
          <w:szCs w:val="21"/>
          <w:highlight w:val="none"/>
        </w:rPr>
        <w:t>48小时以书面形式通知工程师验收。通知包括隐蔽和中间验收的内容、验收时间和地点。承包人准备验收记录，验收合格，</w:t>
      </w:r>
      <w:r>
        <w:rPr>
          <w:rFonts w:hint="eastAsia" w:ascii="宋体" w:hAnsi="宋体"/>
          <w:color w:val="auto"/>
          <w:spacing w:val="4"/>
          <w:sz w:val="21"/>
          <w:szCs w:val="21"/>
          <w:highlight w:val="none"/>
        </w:rPr>
        <w:t>工程师在验收记录上签字后，承包人可进行隐蔽和继续施工。验收不合格</w:t>
      </w:r>
      <w:r>
        <w:rPr>
          <w:rFonts w:hint="eastAsia" w:ascii="宋体" w:hAnsi="宋体"/>
          <w:color w:val="auto"/>
          <w:sz w:val="21"/>
          <w:szCs w:val="21"/>
          <w:highlight w:val="none"/>
        </w:rPr>
        <w:t>，承包人在工程师限定的时间内修改后重新验收。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17.3 </w:t>
      </w:r>
      <w:r>
        <w:rPr>
          <w:rFonts w:hint="eastAsia" w:ascii="宋体" w:hAnsi="宋体"/>
          <w:color w:val="auto"/>
          <w:sz w:val="21"/>
          <w:szCs w:val="21"/>
          <w:highlight w:val="none"/>
        </w:rPr>
        <w:t>经工程师验收，工程质量符合标准、规范和设计图纸等要求，验收</w:t>
      </w:r>
      <w:r>
        <w:rPr>
          <w:rFonts w:ascii="宋体" w:hAnsi="宋体"/>
          <w:color w:val="auto"/>
          <w:sz w:val="21"/>
          <w:szCs w:val="21"/>
          <w:highlight w:val="none"/>
        </w:rPr>
        <w:t>24</w:t>
      </w:r>
      <w:r>
        <w:rPr>
          <w:rFonts w:hint="eastAsia" w:ascii="宋体" w:hAnsi="宋体"/>
          <w:color w:val="auto"/>
          <w:spacing w:val="4"/>
          <w:sz w:val="21"/>
          <w:szCs w:val="21"/>
          <w:highlight w:val="none"/>
        </w:rPr>
        <w:t>小时后，工程师不在验收记录上签字，视为工程师已经认可验收记录，承包</w:t>
      </w:r>
      <w:r>
        <w:rPr>
          <w:rFonts w:hint="eastAsia" w:ascii="宋体" w:hAnsi="宋体"/>
          <w:color w:val="auto"/>
          <w:sz w:val="21"/>
          <w:szCs w:val="21"/>
          <w:highlight w:val="none"/>
        </w:rPr>
        <w:t>人可进行隐蔽或继续施工。</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18、重新检验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19、工程试车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19.1 双方约定需要试车的，试车内容应与承包人承包的安装范围相一致。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19.3 工程师不能按时参加试车，须在开始试车前24小时以书面形式向承包人提出延期要求，延期不能超过48小时。工程师未能按以上时间提出延期要求，不参加试车，应承认试车记录。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19.5双方责任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由于设计原因试车达不到验收要求，发包人应要求设计单位修改设计，承包人按修改后的设计重新安装。发包人承担修改设计、拆除及重新安装的全部费用和追加合同价款，工期相应顺延。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由于承包人施工原因试车达不到验收要求，承包人按工程师要求重新安装和试车，并承担重新安装和试车的费用，工期不予顺延。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w:t>
      </w:r>
      <w:r>
        <w:rPr>
          <w:rFonts w:hint="eastAsia" w:ascii="宋体" w:hAnsi="宋体"/>
          <w:color w:val="auto"/>
          <w:sz w:val="21"/>
          <w:szCs w:val="21"/>
          <w:highlight w:val="none"/>
        </w:rPr>
        <w:t>试车费用除已包括在合同价款之内或专用条款另有约定外，均由发包人承担。</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工程师在试车合格后不在试车记录上签字，试车结束24小时后，视为工程师已经认可试车记录，承包人可继续施工或办理竣工手续。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19.6 投料试车应在工程竣工验收后由发包人负责，如发包人要求在工程竣工验收前进行或需要承包人配合时，应征得承包人同意，另行签订补充协议。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五、安全施工</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20、安全施工与检查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21、安全防护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21.2实施爆破作业，在放射、毒害性环境中施工（含储存、运输、使用）及使用毒害性、腐蚀性物品施工时，承包人应在施工前14天以书面形式通知工</w:t>
      </w:r>
      <w:r>
        <w:rPr>
          <w:rFonts w:hint="eastAsia" w:ascii="宋体" w:hAnsi="宋体"/>
          <w:color w:val="auto"/>
          <w:spacing w:val="2"/>
          <w:sz w:val="21"/>
          <w:szCs w:val="21"/>
          <w:highlight w:val="none"/>
        </w:rPr>
        <w:t>程师，并提出相应的安全防护措施，经工程师认可后实施</w:t>
      </w:r>
      <w:r>
        <w:rPr>
          <w:rFonts w:ascii="宋体" w:hAnsi="宋体"/>
          <w:color w:val="auto"/>
          <w:spacing w:val="2"/>
          <w:sz w:val="21"/>
          <w:szCs w:val="21"/>
          <w:highlight w:val="none"/>
        </w:rPr>
        <w:t>,由发包人承担安全</w:t>
      </w:r>
      <w:r>
        <w:rPr>
          <w:rFonts w:hint="eastAsia" w:ascii="宋体" w:hAnsi="宋体"/>
          <w:color w:val="auto"/>
          <w:sz w:val="21"/>
          <w:szCs w:val="21"/>
          <w:highlight w:val="none"/>
        </w:rPr>
        <w:t>防护措施费用。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22、事故处理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22.1发生重大伤亡及其他安全事故，承包人应按有关规定立即上报有关部门并通知工程师，同时按政府有关部门要求处理，由事故责任方承担发生的费用。</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22.2发包人承包人对事故责任有争议时，应按政府有关部门的认定处理。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六、合同价款与支付</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23、合同价款及调整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23.1招标工程的合同价款由发包人承包人依据中标通知书中的中标价格在协议书内约定。非招标工程的合同价款由发包人承包人依据工程预算书在协议书内约定。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23.2合同价款在协议书内约定后，任何一方不得擅自改变。下列三种确定合同价款的方式，双方可在专用条款内约定采用其中一种：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固定价格合同。双方在专用条款内约定合同价款包含的风险范围和风险费用的计算方法，在约定的风险范围内合同价款不再调整。风险范围以外的合同价款调整方法，应当在专用条款内约定。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可调价格合同。合同价款可根据双方的约定而调整，双方在专用条款内约定合同价款调整方法。</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成本加酬金合同。合同价款包括成本和酬金两部分，双方在专用条款内约定成本构成和酬金的计算方法。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23.3可调价格合同中合同价款的调整因素包括：</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法律、行政法规和国家有关政策变化影响合同价款；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工程造价管理部门公布的价格调整；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一周内非承包人原因停水、停电、停气造成的停工累计超过8小时；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双方约定的其他因素。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24、工程预付款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实行工程预付款的，双方应当在专用条款内约定发包人向承包人预付工程款的时间和数额，开工后按约定的时间和比例逐次扣回。预付时间应不迟于约定的开工日期前</w:t>
      </w:r>
      <w:r>
        <w:rPr>
          <w:rFonts w:ascii="宋体" w:hAnsi="宋体"/>
          <w:color w:val="auto"/>
          <w:sz w:val="21"/>
          <w:szCs w:val="21"/>
          <w:highlight w:val="none"/>
        </w:rPr>
        <w:t xml:space="preserve">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25、工程量的确认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25.3对承包人超出设计图纸范围和因承包人原因造成返工的工程量，工程师不予计量。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26、工程款（进度款）支付。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26.1 在确认计量结果后14天内，发包人应向承包人支付工程款（进度款）。按约定时间发包人应扣回的预付款，与工程款（进度款）同期结算。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26.2 本通用条款第23条确定调整的合同价款，第31条工程变更调整的合同价款及其他条款中约定的追加合同价款，应与工程款（进度款）同期调整支付。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26.4 发包人不按合同约定支付工程款（进度款），双方又未达成延期付款协议，导致施工无法进行，承包人可停止施工，由发包人承担违约责任。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七、材料设备供应</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27、发包人供应材料设备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27.1 实行发包人供应材料设备的，双方应当约定发包人供应材料设备的一览表，作为本合同附件（附件2）。一览表包括发包人供应材料设备的品种、规格、型号、数量、单价、质量等级、提供时间和地点。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27.2 发包人按一览表约定的内容提供材料设备，并向承包人提供产品合格证明，对其质量负责。发包人在所供材料设备到货前24小时，以书面形式通知承包人，由承包人派人与发包人共同清点。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27.3 发包人供应的材料设备，承包人派人参加清点后由承包人妥善保管，发包人支付相应保管费用。因承包人原因发生丢失损坏，由承包人负责赔偿。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发包人未通知承包人清点，承包人不负责材料设备的保管，丢失损坏由发包人负责。</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27.4发包人供应的材料设备与一览表不符时，发包人承担有关责任。发包人应承担责任的具体内容，双方根据下列情况在专用条款内约定。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材料设备单价与一览表不符，由发包人承担所有价差；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材料设备的品种、规格、型号、质量等级与一览表不符，承包人可拒绝接收保管，由发包人运出施工场地并重新采购；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发包人供应的材料规格、型号与一览表不符，经发包人同意，承包人可代为调剂串换，由发包人承担相应费用；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到货地点与一览表不符，由发包人负责运至一览表指定地点：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供应数量少于一览表约定的数量时，由发包人补齐，多于一览表约定数量时，发包人负责将多出部分运出施工场地；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到货时间早于一览表约定时间，由发包人承担因此发生的保管费用；到货时间迟于一览表约定的供应时间，发包人赔偿由此造成的承包人损失，造成工期延误的，相应顺延工期。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27.5发包人供应的材料设备使用前，由承包人负责检验或试验，不合格的不得使用，检验或试验费用由发包人承担。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27.6发包人供应材料设备的结算方法，双方在专用条款内约定。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28、承包人采购材料设备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28.1 </w:t>
      </w:r>
      <w:r>
        <w:rPr>
          <w:rFonts w:hint="eastAsia" w:ascii="宋体" w:hAnsi="宋体"/>
          <w:color w:val="auto"/>
          <w:sz w:val="21"/>
          <w:szCs w:val="21"/>
          <w:highlight w:val="none"/>
        </w:rPr>
        <w:t>承包人负责采购材料设备的，应按照专用条款约定及设计和有关标准要求采购，并提供产品合格证明，对材料设备质量负责。承包人在材料设备到货前</w:t>
      </w:r>
      <w:r>
        <w:rPr>
          <w:rFonts w:ascii="宋体" w:hAnsi="宋体"/>
          <w:color w:val="auto"/>
          <w:sz w:val="21"/>
          <w:szCs w:val="21"/>
          <w:highlight w:val="none"/>
        </w:rPr>
        <w:t>24小时通知工程师清点。</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28.2</w:t>
      </w:r>
      <w:r>
        <w:rPr>
          <w:rFonts w:ascii="宋体" w:hAnsi="宋体"/>
          <w:color w:val="auto"/>
          <w:spacing w:val="8"/>
          <w:sz w:val="21"/>
          <w:szCs w:val="21"/>
          <w:highlight w:val="none"/>
        </w:rPr>
        <w:t xml:space="preserve"> 承包人采购的材料设备与设计或标准要求不符时，承包人应按工程师要</w:t>
      </w:r>
      <w:r>
        <w:rPr>
          <w:rFonts w:hint="eastAsia" w:ascii="宋体" w:hAnsi="宋体"/>
          <w:color w:val="auto"/>
          <w:sz w:val="21"/>
          <w:szCs w:val="21"/>
          <w:highlight w:val="none"/>
        </w:rPr>
        <w:t>求的时间运出施工场地，重新采购符合要求的产品，承担由此发生的费用，由此延误的工期不予顺延。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28.3 承包人采购的材料设备在使用前，承包人应按工程师的要求进行检验或试验，不合格的不得使用，检验或试验费用由承包人承担。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28.4 工程师发现承包人采购并使用不符合设计或标准要求的材料设备时，应要求由承包人负责修复、拆除或重新采购，并承担发生的费用，由此延误的工期不予顺延。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28.5 承包人需要使用代用材料时，应经工程师认可后才能使用，由此增减的合同价款双方以书面形式议定。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28.6 由承包人采购的材料设备，发包人不得指定生产厂或供应商。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八、工程变更</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29、工程设计变更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更改工程有关部分的标高、基线、位置和尺寸；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增减合同中约定的工程量；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改变有关工程的施工时间和顺序；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其他有关工程变更需要的附加工作。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因变更导致合同价款的增减及造成的承包人损失，由发包人承担，延误的工期相应顺延。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29.2施工中承包人不得对原工程设计进行变更。因承包人擅自变更设计发生的费用和由此导致发包人的直接损失，由承包人承担，延误的工期不予顺延。</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工程师同意采用承包人合理化建议，所发生的费用和获得的收益，发包人承包人另行约定分担或分享。</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30、其他变更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合同履行中发包人要求变更工程质量标准及发生其他实质性变更，由双方协商解决。</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31、确定变更价款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31.1承包人在工程变更确定后14天内，提出变更工程价款的报告，经工程师确认后调整合同价款。变更合同价款按下列方法进行：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合同中已有适用于变更工程的价格，按合同已有的价格变更合同价款；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合同中只有类似于变更工程的价格，可以参照类似价格变更合同价款；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合同中没有适用或类似于变更工程的价格，由承包人提出适当的变更价格，经工程师确认后执行。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31.2承包人在双方确定变更后14天内不向工程师提出变更工程价款报告时，视为该项变更不涉及合同价款的变更。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31.3工程师应在收到变更工程价款报告之日起14天内予以确认，工程师无正当理由不确认时，自变更工程价款报告送达之日起14天后视为变更工程价款报告已被确认。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31.4工程师不同意承包人提出的变更价款，按本通用条款第37条关于争议的约定处理。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31.5工程师确认增加的工程变更价款作为追加合同价款，与工程款同期支付。</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31.6因承包人自身原因导致的工程变更，承包人无权要求追加合同价款。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九、竣工验收与结算</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32、竣工验收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32.1 </w:t>
      </w:r>
      <w:r>
        <w:rPr>
          <w:rFonts w:hint="eastAsia" w:ascii="宋体" w:hAnsi="宋体"/>
          <w:color w:val="auto"/>
          <w:sz w:val="21"/>
          <w:szCs w:val="21"/>
          <w:highlight w:val="none"/>
        </w:rPr>
        <w:t>工程具备竣工验收条件，承包人按国家工程竣工验收有关规定，向发包人提供完整竣工资料及竣工验收报告。双方约定由承包人提供竣工图的，应当在专用条款内约定提供的日期和份数。</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32.2 </w:t>
      </w:r>
      <w:r>
        <w:rPr>
          <w:rFonts w:hint="eastAsia" w:ascii="宋体" w:hAnsi="宋体"/>
          <w:color w:val="auto"/>
          <w:sz w:val="21"/>
          <w:szCs w:val="21"/>
          <w:highlight w:val="none"/>
        </w:rPr>
        <w:t>发包人收到竣工验收报告后</w:t>
      </w:r>
      <w:r>
        <w:rPr>
          <w:rFonts w:ascii="宋体" w:hAnsi="宋体"/>
          <w:color w:val="auto"/>
          <w:sz w:val="21"/>
          <w:szCs w:val="21"/>
          <w:highlight w:val="none"/>
        </w:rPr>
        <w:t>28天内组织有关单位验收，并在验收后14天内给予认可或提出修改意见。承包人按要求修改，并承担由自身原因造成修改的费用。</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32.3 发包人收到承包人送交的竣工验收报告后28天内不组织验收，或验收后14天内不提出修改意见，视为竣工验收报告已被认可。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32.4 工程竣工验收通过，承包人送交竣工验收报告的日期为实际竣工日期。工程按发包人要求修改后通过竣工验收的，实际竣工日期为承包人修改后提请发包人验收的日期。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32.5 发包人收到承包人竣工验收报告后28天内不组织验收，从第29天起承担工程保管及一切意外责任。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32.6 中间交工工程的范围和竣工时间，双方在专用条款内约定，其验收程序按本通用条款32.1款至32.4款办理。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32.7 因特殊原因，发包人要求部分单位工程或工程部位甩项竣工的，双方另行签订甩项竣工协议，明确双方责任和工程价款支付方法。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32.8 工程未经竣工验收或竣工验收未通过的，发包人不得使用。发包人强行使用时，由此发生的质量问题及其他问题，由发包人承担责任。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33、竣工结算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33.1 工程竣工验收报告经发包人认可后28天内，承包人向发包人递交竣工结算报告及完整的结算资料，双方按照协议书约定的合同价款及专用条款约定的合同价款调整内容，进行工程竣工结算。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33.3 </w:t>
      </w:r>
      <w:r>
        <w:rPr>
          <w:rFonts w:hint="eastAsia" w:ascii="宋体" w:hAnsi="宋体"/>
          <w:color w:val="auto"/>
          <w:sz w:val="21"/>
          <w:szCs w:val="21"/>
          <w:highlight w:val="none"/>
        </w:rPr>
        <w:t>发包人收到竣工结算报告及结算资料后</w:t>
      </w:r>
      <w:r>
        <w:rPr>
          <w:rFonts w:ascii="宋体" w:hAnsi="宋体"/>
          <w:color w:val="auto"/>
          <w:sz w:val="21"/>
          <w:szCs w:val="21"/>
          <w:highlight w:val="none"/>
        </w:rPr>
        <w:t>28天内无正当理由不支付工程竣工结算价款，从第29天起按承包人同期向银行贷款利率支付拖欠工程价款的利息，并承担违约责任。</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33.4 </w:t>
      </w:r>
      <w:r>
        <w:rPr>
          <w:rFonts w:hint="eastAsia" w:ascii="宋体" w:hAnsi="宋体"/>
          <w:color w:val="auto"/>
          <w:sz w:val="21"/>
          <w:szCs w:val="21"/>
          <w:highlight w:val="none"/>
        </w:rPr>
        <w:t>发包人收到竣工结算报告及结算资料后</w:t>
      </w:r>
      <w:r>
        <w:rPr>
          <w:rFonts w:ascii="宋体" w:hAnsi="宋体"/>
          <w:color w:val="auto"/>
          <w:sz w:val="21"/>
          <w:szCs w:val="21"/>
          <w:highlight w:val="none"/>
        </w:rPr>
        <w:t>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33.6 发包人承包人对工程竣工结算价款发生争议时，按本通用条款37条关于争议的约定处理。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34、质量保修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34.1 承包人应按法律、行政法规或国家关于工程质量保修的有关规定，对交付发包人使用的工程在质量保修期内承担质量保修责任。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34.2 质量保修工作的实施。承包人应在工程竣工验收之前，与发包人签订质量保修书，作为本合同附件（附件3）。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34.3 质量保修书的主要内容包括：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质量保修项目内容及范围；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质量保修期；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质量保修责任；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质量保修金的支付方法。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十、违约、索赔和争议</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35、违约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35.1发包人违约。当发生下列情况时：</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本通用条款第24条提到的发包人不按时支付工程预付款；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本通用条款第26.4款提到的发包人不按合同约定支付工程款，导致施工无法进行；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本通用条款第</w:t>
      </w:r>
      <w:r>
        <w:rPr>
          <w:rFonts w:ascii="宋体" w:hAnsi="宋体"/>
          <w:color w:val="auto"/>
          <w:sz w:val="21"/>
          <w:szCs w:val="21"/>
          <w:highlight w:val="none"/>
        </w:rPr>
        <w:t>33.3款提到的发包人无正当理由不支付工程竣工结算价款；</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发包人不履行合同义务或不按合同约定履行义务的其他情况。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发包人承担违约责任，赔偿因其违约给承包人造成的经济损失，顺延延误的工期。双方在专用条款内约定发包人赔偿承包人损失的计算方法或者发包人应当支付违约金的数额或计算方法。</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35.2承包人违约。当发生下列情况时：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本通用条款第14.2款提到的因承包人原因不能按照协议书约定的竣工日期或工程师同意顺延的工期竣工；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本通用条款第15.1款提到的因承包人原因工程质量达不到协议书约定的质量标准；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承包人不履行合同义务或不按合同约定履行义务的其他情况。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承包人承担违约责任，赔偿因其违约给发包人造成的损失。双方在专用条款内约定承包人赔偿发包人损失的计算方法或者承包人应当支付违约金的数额或计算方法。</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35.3一方违约后，另一方要求违约方继续履行合同时，违约方承担上述违约责任后仍应继续履行合同。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36、索赔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36.1当</w:t>
      </w:r>
      <w:r>
        <w:rPr>
          <w:rFonts w:hint="eastAsia" w:ascii="宋体" w:hAnsi="宋体"/>
          <w:color w:val="auto"/>
          <w:sz w:val="21"/>
          <w:szCs w:val="21"/>
          <w:highlight w:val="none"/>
        </w:rPr>
        <w:t>一方向另一方提出索赔时，要有正当索赔理由，且有索赔事件发生时的有效证据。</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索赔事件发生后28天内，向工程师发出索赔意向通知；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发出索赔意向通知后28天内，向工程师提出延长工期和（或）补偿经济损失的索赔报告及有关资料；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工程师在收到承包人送交的索赔报告及有关资料后，于28天内给予答复，或要求承包人进一步补充索赔理由和证据；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工程师在收到承包人送交的索赔报告和有关资料后28天内未予答复或未对承包人作进一步要求，视为该项索赔已经认可；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当该索赔事件持续进行时，承包人应当阶段性向工程师发出索赔意向，在索赔事件终了后28天内，向工程师送交索赔的有关资料和最终索赔报告。索赔答复程序与（3）、（4）规定相同。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36.3承包人未能按合同约定履行自己的各项义务或发生错误，给发包人造成经济损失，发包人可按36.2款确定的时限向承包人提出索赔。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37、争议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37.1发包人承包人在履行合同时发生争议，可以和解或者要求有关主管部门调解。当事人不愿和解、调解或者和解、调解不成的，双方可以在专用条款内约定以下一种方式解决争议：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第一种解决方式：双方达成仲裁协议，向约定的仲裁委员会申请仲裁；</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第二种解决方式：向有管辖权的人民法院起诉。</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37.2发生争议后，除非出现下列情况的，双方都应继续履行合同，保持施工连续，保护好已完工程：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单方违约导致合同确已无法履行，双方协议停止施工；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调解要求停止施工，且为双方接受；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仲裁机构要求停止施工；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法院要求停止施工。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十一、其他</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38、工程分包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38.1 承包人按专用条款的约定分包所承包的部分工程，并与分包单位签订分包合同。非经发包人同意，承包人不得将承包工程的任何部分分包。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38.2 承包人不得将其承包的全部工程转包给他人，也不得将其承包的全部工程肢解以后以分包的名义分别转包给他人。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38.4分包工程价款由承包人与分包单位结算。发包人未经承包人同意不得以任何形式向分包单位支付各种工程款项。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39、不可抗力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39.1 </w:t>
      </w:r>
      <w:r>
        <w:rPr>
          <w:rFonts w:hint="eastAsia" w:ascii="宋体" w:hAnsi="宋体"/>
          <w:color w:val="auto"/>
          <w:sz w:val="21"/>
          <w:szCs w:val="21"/>
          <w:highlight w:val="none"/>
        </w:rPr>
        <w:t>不可抗力包括因战争、动乱、空中飞行物体坠落或其他非发包人承包人责任造成的爆炸、火灾，以及专用条款约定的风、雨、雪、洪、震等自然灾害。</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39.3 </w:t>
      </w:r>
      <w:r>
        <w:rPr>
          <w:rFonts w:hint="eastAsia" w:ascii="宋体" w:hAnsi="宋体"/>
          <w:color w:val="auto"/>
          <w:sz w:val="21"/>
          <w:szCs w:val="21"/>
          <w:highlight w:val="none"/>
        </w:rPr>
        <w:t>因不可抗力事件导致的费用及延误的工期由双方按以下方法分别承担：</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w:t>
      </w:r>
      <w:r>
        <w:rPr>
          <w:rFonts w:hint="eastAsia" w:ascii="宋体" w:hAnsi="宋体"/>
          <w:color w:val="auto"/>
          <w:sz w:val="21"/>
          <w:szCs w:val="21"/>
          <w:highlight w:val="none"/>
        </w:rPr>
        <w:t>工程本身的损害、因工程损害导致第三人人员伤亡和财产损失以及运至施工场地用于施工的材料和待安装的设备的损害，由发包人承担；</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发包人承包人人员伤亡由其所在单位负责，并承担相应费用；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承包人机械设备损坏及停工损失，由承包人承担；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停工期间，承包人应工程师要求留在施工场地的必要的管理人员及保卫人员的费用由发包人承担；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工程所需清理、修复费用，由发包人承担；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延误的工期相应顺延。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39.4因合同一方迟延履行合同后发生不可抗力的，不能免除迟延履行方的相应责任。</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40、保险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40.1工程开工前，发包人为建设工程和施工场地内的自有人员及第三</w:t>
      </w:r>
      <w:r>
        <w:rPr>
          <w:rFonts w:hint="eastAsia" w:ascii="宋体" w:hAnsi="宋体"/>
          <w:color w:val="auto"/>
          <w:sz w:val="21"/>
          <w:szCs w:val="21"/>
          <w:highlight w:val="none"/>
        </w:rPr>
        <w:t>人人员生命财产办理保险，支付保险费用。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40.2运至施工场内用于工程的材料和待安装设备，由发包人办理保险，并支付保险费用。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40.3发包人可以将有关保险事项委托承包人办理，费用由发包人承担。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40.4承包人必须为从事危险作业的职工办理意外伤害保险，并为施工场地内自有人员生命财产和施工机械设备办理保险，支付保险费用。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40.5保险事故发生时，发包人承包人有责任尽力采取必要的措施，防止或者减少损失。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40.6具体投保内容和相关责任，发包人承包人在专用条款中约定。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41、担保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41.1发包人、承包人为了全面履行合同，应互相提供以下担保：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发包人向承包人提供履约担保，按合同约定支付工程价款及履行合同约定的其他义务。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承包人向发包人提供履约担保，按合同约定履行自己的各项义务。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41.2 一方违约后，另一方可要求提供担保的第三人承担相应责任。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41.3 提供担保的内容、方式和相关责任，发包人承包人除在专用条款中约定外，被担保方与担保方还应签订担保合同，作为本合同附件。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42、专利技术及特殊工艺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42.1 </w:t>
      </w:r>
      <w:r>
        <w:rPr>
          <w:rFonts w:hint="eastAsia" w:ascii="宋体" w:hAnsi="宋体"/>
          <w:color w:val="auto"/>
          <w:sz w:val="21"/>
          <w:szCs w:val="21"/>
          <w:highlight w:val="none"/>
        </w:rPr>
        <w:t>发包人要求使用专利技术或特殊工艺，应负责办理相应的申报手续，承担申报、试验、使用等费用；承包人提出使用专利技术或特殊工艺，应取得工程师认可，承包人负责办理申报手续并承担有关费用。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42.2 擅自使用专利技术侵犯他人专利权的，责任者依法承担相应责任。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43、文物和地下障碍物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43.1 </w:t>
      </w:r>
      <w:r>
        <w:rPr>
          <w:rFonts w:hint="eastAsia" w:ascii="宋体" w:hAnsi="宋体"/>
          <w:color w:val="auto"/>
          <w:sz w:val="21"/>
          <w:szCs w:val="21"/>
          <w:highlight w:val="none"/>
        </w:rPr>
        <w:t>在施工中发现古墓、古建筑遗址等文物及化石或其他有考古、地质研究等价值的物品时，承包人应立即保护好现场并于</w:t>
      </w:r>
      <w:r>
        <w:rPr>
          <w:rFonts w:ascii="宋体" w:hAnsi="宋体"/>
          <w:color w:val="auto"/>
          <w:sz w:val="21"/>
          <w:szCs w:val="21"/>
          <w:highlight w:val="none"/>
        </w:rPr>
        <w:t>4小时内以书面形式通知工程师，工程师应于收到书面通知后24小时内报告当地文物管理部门，发包人承包人按文物管理部门的要求采取妥善保护措施。发包人承担由此发生的费用，顺延延误的工期。</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如发现后隐瞒不报，致使文物遭受破坏，责任者依法承担相应责任。</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43.2 </w:t>
      </w:r>
      <w:r>
        <w:rPr>
          <w:rFonts w:hint="eastAsia" w:ascii="宋体" w:hAnsi="宋体"/>
          <w:color w:val="auto"/>
          <w:sz w:val="21"/>
          <w:szCs w:val="21"/>
          <w:highlight w:val="none"/>
        </w:rPr>
        <w:t>施工中发现影响施工的地下障碍物时，承包人应于</w:t>
      </w:r>
      <w:r>
        <w:rPr>
          <w:rFonts w:ascii="宋体" w:hAnsi="宋体"/>
          <w:color w:val="auto"/>
          <w:sz w:val="21"/>
          <w:szCs w:val="21"/>
          <w:highlight w:val="none"/>
        </w:rPr>
        <w:t>8小时内以书面形式通知工程师，同时提出处置</w:t>
      </w:r>
      <w:r>
        <w:rPr>
          <w:rFonts w:hint="eastAsia" w:ascii="宋体" w:hAnsi="宋体"/>
          <w:color w:val="auto"/>
          <w:sz w:val="21"/>
          <w:szCs w:val="21"/>
          <w:highlight w:val="none"/>
        </w:rPr>
        <w:t>方案，工程师收到</w:t>
      </w:r>
      <w:r>
        <w:rPr>
          <w:rFonts w:ascii="宋体" w:hAnsi="宋体"/>
          <w:color w:val="auto"/>
          <w:sz w:val="21"/>
          <w:szCs w:val="21"/>
          <w:highlight w:val="none"/>
        </w:rPr>
        <w:t>处置</w:t>
      </w:r>
      <w:r>
        <w:rPr>
          <w:rFonts w:hint="eastAsia" w:ascii="宋体" w:hAnsi="宋体"/>
          <w:color w:val="auto"/>
          <w:sz w:val="21"/>
          <w:szCs w:val="21"/>
          <w:highlight w:val="none"/>
        </w:rPr>
        <w:t>方案后</w:t>
      </w:r>
      <w:r>
        <w:rPr>
          <w:rFonts w:ascii="宋体" w:hAnsi="宋体"/>
          <w:color w:val="auto"/>
          <w:sz w:val="21"/>
          <w:szCs w:val="21"/>
          <w:highlight w:val="none"/>
        </w:rPr>
        <w:t>24小时内予以认可或提出修正方案。发包人承担由此发生的费用，顺延延误的工期。</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所发现的地下障碍物有归属单位时，发包人应报请有关部门协同处置。</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44、合同解除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44.1 发包人承包人协商一致，可以解除合同。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44.2 发生本通用条款第26.4款情况，停止施工超过56天，发包人仍不支付工程款（进度款），承包人有权解除合同。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44.3 发生本通用条款第38.2款禁止的情况，承包人将其承包的全部工程转包给他人或者肢解以后以分包的名义分别转包给他人，发包人有权解除合同。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44.4 有下列情形之一的，发包人承包人可以解除合同：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因不可抗力致使合同无法履行；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因一方违约（包括因发包人原因造成工程停建或缓建）致使合同无法履行。</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w:t>
      </w:r>
      <w:r>
        <w:rPr>
          <w:rFonts w:hint="eastAsia" w:ascii="宋体" w:hAnsi="宋体"/>
          <w:color w:val="auto"/>
          <w:sz w:val="21"/>
          <w:szCs w:val="21"/>
          <w:highlight w:val="none"/>
        </w:rPr>
        <w:t>合同解除给对方造成的损失。</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44.7合同解除后，不影响双方在合同中约定的结算和清理条款的效力。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45、合同生效与终止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45.1双方在协议书中约定合同生效方式。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45.2除本通用条款第34条外，发包人承包人履行合同全部义务，竣工结算价款支付完毕，承包人向发包人交付竣工工程后，本合同即告终止。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45.3合同的权利义务终止后，发包人承包人应当遵循诚实信用原则，履行通知、协助、保密等义务。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46、合同份数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46.1本合同正本两份，具有同等效力，由发包人承包人分别保存一份。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46.2本合同副本份数，由双方根据需要在专用条款内约定。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47、补充条款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双方根据有关法律、行政法规规定，结合工程实际，经协商一致后，可对本通用条款内容具体化，补充或修改，在专用条款内约定。</w:t>
      </w:r>
    </w:p>
    <w:p>
      <w:pPr>
        <w:spacing w:line="440" w:lineRule="exact"/>
        <w:ind w:firstLine="359" w:firstLineChars="171"/>
        <w:jc w:val="center"/>
        <w:rPr>
          <w:rFonts w:ascii="宋体" w:hAnsi="宋体"/>
          <w:b/>
          <w:color w:val="auto"/>
          <w:sz w:val="28"/>
          <w:szCs w:val="28"/>
          <w:highlight w:val="none"/>
        </w:rPr>
      </w:pPr>
      <w:r>
        <w:rPr>
          <w:rFonts w:ascii="宋体" w:hAnsi="宋体"/>
          <w:color w:val="auto"/>
          <w:sz w:val="21"/>
          <w:szCs w:val="21"/>
          <w:highlight w:val="none"/>
        </w:rPr>
        <w:br w:type="page"/>
      </w:r>
      <w:r>
        <w:rPr>
          <w:rFonts w:hint="eastAsia" w:ascii="宋体" w:hAnsi="宋体"/>
          <w:b/>
          <w:color w:val="auto"/>
          <w:sz w:val="28"/>
          <w:szCs w:val="28"/>
          <w:highlight w:val="none"/>
        </w:rPr>
        <w:t>第三部分</w:t>
      </w:r>
      <w:r>
        <w:rPr>
          <w:rFonts w:ascii="宋体" w:hAnsi="宋体"/>
          <w:b/>
          <w:color w:val="auto"/>
          <w:sz w:val="28"/>
          <w:szCs w:val="28"/>
          <w:highlight w:val="none"/>
        </w:rPr>
        <w:t xml:space="preserve">  </w:t>
      </w:r>
      <w:r>
        <w:rPr>
          <w:rFonts w:hint="eastAsia" w:ascii="宋体" w:hAnsi="宋体"/>
          <w:b/>
          <w:color w:val="auto"/>
          <w:sz w:val="28"/>
          <w:szCs w:val="28"/>
          <w:highlight w:val="none"/>
        </w:rPr>
        <w:t>专用条款</w:t>
      </w:r>
    </w:p>
    <w:p>
      <w:pPr>
        <w:snapToGrid w:val="0"/>
        <w:spacing w:line="440" w:lineRule="exact"/>
        <w:ind w:firstLine="397"/>
        <w:rPr>
          <w:rFonts w:ascii="宋体" w:hAnsi="宋体"/>
          <w:b/>
          <w:color w:val="auto"/>
          <w:sz w:val="24"/>
          <w:highlight w:val="none"/>
        </w:rPr>
      </w:pP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一、词语定义及合同文件</w:t>
      </w:r>
    </w:p>
    <w:p>
      <w:pPr>
        <w:snapToGrid w:val="0"/>
        <w:spacing w:line="44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highlight w:val="none"/>
        </w:rPr>
        <w:t>1.词语定义</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1.6设计单位</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本合同工程的设计单位是：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1.7监理单位</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本合同工程的监理单位是：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1.24招标控制价：</w:t>
      </w:r>
      <w:r>
        <w:rPr>
          <w:rFonts w:hint="eastAsia" w:ascii="宋体" w:hAnsi="宋体" w:cs="宋体"/>
          <w:color w:val="auto"/>
          <w:sz w:val="24"/>
          <w:szCs w:val="24"/>
          <w:highlight w:val="none"/>
          <w:u w:val="single"/>
        </w:rPr>
        <w:t>指经招标人确定的最高投标限价，并在广州公共资源交易中心开发区、黄埔区交易部公示</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1.25中标下浮率：</w:t>
      </w:r>
      <w:r>
        <w:rPr>
          <w:rFonts w:hint="eastAsia" w:ascii="宋体" w:hAnsi="宋体" w:cs="宋体"/>
          <w:color w:val="auto"/>
          <w:sz w:val="24"/>
          <w:szCs w:val="24"/>
          <w:highlight w:val="none"/>
          <w:u w:val="single"/>
        </w:rPr>
        <w:t>中标下浮率=（1-中标价格÷招标控制价）×100%,式中的中标价格及招标控制价均不含不可竞争的绿色施工安全防护措施费及暂列金额。</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1.26工人工资比例=中标的人工费金额÷中标价格</w:t>
      </w:r>
    </w:p>
    <w:p>
      <w:pPr>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2、合同文件及解释顺序</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2.1合同文件组成及解释顺序：</w:t>
      </w:r>
      <w:r>
        <w:rPr>
          <w:rFonts w:hint="eastAsia" w:ascii="宋体" w:hAnsi="宋体" w:cs="宋体"/>
          <w:color w:val="auto"/>
          <w:sz w:val="24"/>
          <w:szCs w:val="24"/>
          <w:highlight w:val="none"/>
          <w:u w:val="single"/>
        </w:rPr>
        <w:t>1.本合同履行期间发包人与承包人双方签订的补充合同（协议）或修正文件；2.本合同协议书；3.国家、广东省、广州市、广州开发区黄埔区关于本工程施工的有关文件（发包人在收到后尽快通报给承包人）；4.发包人针对本工程建设管理的各项制度、规定；5.中标通知书；6.本合同专用条款；7.招标文件及附件（包括补充、修改、澄清文件及答疑纪要等）；8.本合同通用条款；9.投标文件及附件；10.标准、规范和其他有关技术文件；11.图纸；12.工程量清单；13.合同附件（工程质量保修责任书、标函承诺书、项目负责人驻场承诺书、工程建设廉政协议书等）</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3、语言文字和适用法律、标准及规范</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3.1本合同除使用汉语外，还使用</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语言文字。</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3.2适用法律和法规</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需要明示的法律、行政法规：</w:t>
      </w:r>
      <w:r>
        <w:rPr>
          <w:rFonts w:hint="eastAsia" w:ascii="宋体" w:hAnsi="宋体" w:cs="宋体"/>
          <w:color w:val="auto"/>
          <w:sz w:val="24"/>
          <w:szCs w:val="24"/>
          <w:highlight w:val="none"/>
          <w:u w:val="single"/>
        </w:rPr>
        <w:t>按照现行的法律、法规</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3.3适用标准、规范</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适用标准、规范的名称：</w:t>
      </w:r>
      <w:r>
        <w:rPr>
          <w:rFonts w:hint="eastAsia" w:ascii="宋体" w:hAnsi="宋体" w:cs="宋体"/>
          <w:color w:val="auto"/>
          <w:sz w:val="24"/>
          <w:szCs w:val="24"/>
          <w:highlight w:val="none"/>
          <w:u w:val="single"/>
        </w:rPr>
        <w:t>相应工种现行施工规范</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发包人提供标准、规范的时间：</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国内没有相应标准、规范时的约定：</w:t>
      </w:r>
      <w:r>
        <w:rPr>
          <w:rFonts w:hint="eastAsia" w:ascii="宋体" w:hAnsi="宋体" w:cs="宋体"/>
          <w:color w:val="auto"/>
          <w:sz w:val="24"/>
          <w:szCs w:val="24"/>
          <w:highlight w:val="none"/>
          <w:u w:val="single"/>
        </w:rPr>
        <w:t>按施工图纸，招标文件和广州开发区相关规定及答疑纪要的要求执行</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4、图纸</w:t>
      </w:r>
    </w:p>
    <w:p>
      <w:pPr>
        <w:snapToGrid w:val="0"/>
        <w:spacing w:line="440" w:lineRule="exact"/>
        <w:ind w:firstLine="315"/>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4.1发包人向承包人提供图纸日期和套数：</w:t>
      </w:r>
      <w:r>
        <w:rPr>
          <w:rFonts w:hint="eastAsia" w:ascii="宋体" w:hAnsi="宋体" w:cs="宋体"/>
          <w:color w:val="auto"/>
          <w:sz w:val="24"/>
          <w:szCs w:val="24"/>
          <w:highlight w:val="none"/>
          <w:u w:val="single"/>
        </w:rPr>
        <w:t>开工前提供肆套图纸</w:t>
      </w:r>
      <w:r>
        <w:rPr>
          <w:rFonts w:hint="eastAsia" w:ascii="宋体" w:hAnsi="宋体" w:cs="宋体"/>
          <w:color w:val="auto"/>
          <w:sz w:val="24"/>
          <w:szCs w:val="24"/>
          <w:highlight w:val="none"/>
        </w:rPr>
        <w:t>。</w:t>
      </w:r>
    </w:p>
    <w:p>
      <w:pPr>
        <w:snapToGrid w:val="0"/>
        <w:spacing w:line="440" w:lineRule="exact"/>
        <w:ind w:left="997" w:leftChars="132" w:hanging="720" w:hangingChars="3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发包人对图纸的保密要求：</w:t>
      </w:r>
      <w:r>
        <w:rPr>
          <w:rFonts w:hint="eastAsia" w:ascii="宋体" w:hAnsi="宋体" w:cs="宋体"/>
          <w:color w:val="auto"/>
          <w:sz w:val="24"/>
          <w:szCs w:val="24"/>
          <w:highlight w:val="none"/>
          <w:u w:val="single"/>
        </w:rPr>
        <w:t>按本合同通用条款</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使用国外图纸的要求及费用承担：</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二、双方一般权利和义务</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5、工程师</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5.2监理单位委派的工程师</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总监理工程师</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发包人委托的职权：</w:t>
      </w:r>
      <w:r>
        <w:rPr>
          <w:rFonts w:hint="eastAsia" w:ascii="宋体" w:hAnsi="宋体" w:cs="宋体"/>
          <w:color w:val="auto"/>
          <w:sz w:val="24"/>
          <w:szCs w:val="24"/>
          <w:highlight w:val="none"/>
          <w:u w:val="single"/>
        </w:rPr>
        <w:t>对本工程进行全过程的监理</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需要取得发包人批准才能行使的职权：</w:t>
      </w:r>
      <w:r>
        <w:rPr>
          <w:rFonts w:hint="eastAsia" w:ascii="宋体" w:hAnsi="宋体" w:cs="宋体"/>
          <w:color w:val="auto"/>
          <w:sz w:val="24"/>
          <w:szCs w:val="24"/>
          <w:highlight w:val="none"/>
          <w:u w:val="single"/>
        </w:rPr>
        <w:t>按发包人与监理单位签订的监理合同有关规定执行，涉及变更签证或费用</w:t>
      </w:r>
      <w:r>
        <w:rPr>
          <w:rFonts w:hint="eastAsia" w:ascii="宋体" w:hAnsi="宋体" w:cs="宋体"/>
          <w:color w:val="auto"/>
          <w:sz w:val="24"/>
          <w:szCs w:val="24"/>
          <w:highlight w:val="none"/>
        </w:rPr>
        <w:t>调整、发布开工、停工、复工令等均需经</w:t>
      </w:r>
      <w:r>
        <w:rPr>
          <w:rFonts w:hint="eastAsia" w:ascii="宋体" w:hAnsi="宋体" w:cs="宋体"/>
          <w:color w:val="auto"/>
          <w:sz w:val="24"/>
          <w:szCs w:val="24"/>
          <w:highlight w:val="none"/>
          <w:u w:val="single"/>
        </w:rPr>
        <w:t>发包人书面认可</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常驻现场，代表监理单位履行与发包人签订的监理合同</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5.3发包人派驻的工程师</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工程师</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职权：</w:t>
      </w:r>
      <w:r>
        <w:rPr>
          <w:rFonts w:hint="eastAsia" w:ascii="宋体" w:hAnsi="宋体" w:cs="宋体"/>
          <w:color w:val="auto"/>
          <w:sz w:val="24"/>
          <w:szCs w:val="24"/>
          <w:highlight w:val="none"/>
          <w:u w:val="single"/>
        </w:rPr>
        <w:t>发包人代表，行使发包人的权利</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pacing w:val="-8"/>
          <w:sz w:val="24"/>
          <w:szCs w:val="24"/>
          <w:highlight w:val="none"/>
          <w:u w:val="single"/>
        </w:rPr>
      </w:pPr>
      <w:r>
        <w:rPr>
          <w:rFonts w:hint="eastAsia" w:ascii="宋体" w:hAnsi="宋体" w:cs="宋体"/>
          <w:color w:val="auto"/>
          <w:spacing w:val="-8"/>
          <w:sz w:val="24"/>
          <w:szCs w:val="24"/>
          <w:highlight w:val="none"/>
        </w:rPr>
        <w:t>义务：</w:t>
      </w:r>
      <w:r>
        <w:rPr>
          <w:rFonts w:hint="eastAsia" w:ascii="宋体" w:hAnsi="宋体" w:cs="宋体"/>
          <w:color w:val="auto"/>
          <w:spacing w:val="-8"/>
          <w:sz w:val="24"/>
          <w:szCs w:val="24"/>
          <w:highlight w:val="none"/>
          <w:u w:val="single"/>
        </w:rPr>
        <w:t>常驻现场，代表发包人负责工程质量、进度、技术、投资控制等施工期间的日常管理工作，履行与承包人签订的本建设工程施工合同。</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5.6不实行监理的，工程师的职权：</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7、项目负责人</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7.1（1）项目负责人</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，职权：</w:t>
      </w:r>
      <w:r>
        <w:rPr>
          <w:rFonts w:hint="eastAsia" w:ascii="宋体" w:hAnsi="宋体" w:cs="宋体"/>
          <w:color w:val="auto"/>
          <w:sz w:val="24"/>
          <w:szCs w:val="24"/>
          <w:highlight w:val="none"/>
          <w:u w:val="single"/>
        </w:rPr>
        <w:t>代表承包人全权处理本工程的一切事务</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按照在投标文件中签署的（或在签订本合同前补充签署的）《项目负责人驻场承诺书》中的承诺常驻现场，代表承包人履行与发包人签订的本建设工程施工合同</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7.4</w:t>
      </w:r>
      <w:r>
        <w:rPr>
          <w:rFonts w:hint="eastAsia" w:ascii="宋体" w:hAnsi="宋体" w:cs="宋体"/>
          <w:color w:val="auto"/>
          <w:sz w:val="24"/>
          <w:szCs w:val="24"/>
          <w:highlight w:val="none"/>
          <w:u w:val="single"/>
        </w:rPr>
        <w:t>承包人如需更换项目负责人或技术负责人，按有关规定执行，后任继续行使合同文件约定的前任的职权，履行前任的义务。未征得发包人书面同意，承包人不得更换项目负责人</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7.5</w:t>
      </w:r>
      <w:r>
        <w:rPr>
          <w:rFonts w:hint="eastAsia" w:ascii="宋体" w:hAnsi="宋体" w:cs="宋体"/>
          <w:color w:val="auto"/>
          <w:sz w:val="24"/>
          <w:szCs w:val="24"/>
          <w:highlight w:val="none"/>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7.6</w:t>
      </w:r>
      <w:r>
        <w:rPr>
          <w:rFonts w:hint="eastAsia" w:ascii="宋体" w:hAnsi="宋体" w:cs="宋体"/>
          <w:color w:val="auto"/>
          <w:sz w:val="24"/>
          <w:szCs w:val="24"/>
          <w:highlight w:val="none"/>
          <w:u w:val="single"/>
        </w:rPr>
        <w:t>承包人项目负责人不得兼任其他工程项目负责人，否则发包人可按单方面终止合同处理</w:t>
      </w:r>
      <w:r>
        <w:rPr>
          <w:rFonts w:hint="eastAsia" w:ascii="宋体" w:hAnsi="宋体" w:cs="宋体"/>
          <w:color w:val="auto"/>
          <w:sz w:val="24"/>
          <w:szCs w:val="24"/>
          <w:highlight w:val="none"/>
        </w:rPr>
        <w:t>。</w:t>
      </w:r>
    </w:p>
    <w:p>
      <w:pPr>
        <w:adjustRightInd w:val="0"/>
        <w:snapToGrid w:val="0"/>
        <w:spacing w:line="440" w:lineRule="exact"/>
        <w:ind w:right="11" w:firstLine="360" w:firstLineChars="150"/>
        <w:outlineLvl w:val="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7.7现场管理机构</w:t>
      </w:r>
    </w:p>
    <w:p>
      <w:pPr>
        <w:adjustRightInd w:val="0"/>
        <w:snapToGri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（1）承包人必须按照投标文件的承诺建立现场管理机构，严格执行现行建设工程项目管理规范，并积极主动接受建设行政主管部门的监督和检查。</w:t>
      </w:r>
    </w:p>
    <w:p>
      <w:pPr>
        <w:adjustRightInd w:val="0"/>
        <w:snapToGrid w:val="0"/>
        <w:spacing w:line="440" w:lineRule="exact"/>
        <w:ind w:right="11" w:firstLine="460" w:firstLineChars="192"/>
        <w:rPr>
          <w:rFonts w:hint="eastAsia" w:ascii="宋体" w:hAnsi="宋体" w:cs="宋体"/>
          <w:color w:val="auto"/>
          <w:sz w:val="24"/>
          <w:szCs w:val="24"/>
          <w:highlight w:val="none"/>
        </w:rPr>
      </w:pPr>
      <w:r>
        <w:rPr>
          <w:rFonts w:hint="eastAsia" w:ascii="宋体" w:hAnsi="宋体" w:cs="宋体"/>
          <w:color w:val="auto"/>
          <w:sz w:val="24"/>
          <w:szCs w:val="24"/>
          <w:highlight w:val="non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7.8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7.9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7.10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8、发包人工作</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8.1发包人应按约定的时间和要求完成以下工作：</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（1）施工场地具备施工条件的要求及完成的时间：</w:t>
      </w:r>
      <w:r>
        <w:rPr>
          <w:rFonts w:hint="eastAsia" w:ascii="宋体" w:hAnsi="宋体" w:cs="宋体"/>
          <w:color w:val="auto"/>
          <w:sz w:val="24"/>
          <w:szCs w:val="24"/>
          <w:highlight w:val="none"/>
          <w:u w:val="single"/>
        </w:rPr>
        <w:t>土地征收、拆迁补偿工作完成时间原则上在开工前；因土地征收和拆迁补偿进度原因不能按时移交场地的，可采取分段逐步方式移交施工场地</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（2）将施工所需的水、电、电讯线路接至施工场地的时间、地点和供应要求：</w:t>
      </w:r>
      <w:r>
        <w:rPr>
          <w:rFonts w:hint="eastAsia" w:ascii="宋体" w:hAnsi="宋体" w:cs="宋体"/>
          <w:color w:val="auto"/>
          <w:sz w:val="24"/>
          <w:szCs w:val="24"/>
          <w:highlight w:val="none"/>
          <w:u w:val="single"/>
        </w:rPr>
        <w:t>由承包人自行解决，费用已包在本工程中标总造价中</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（3）施工场地与公共道路的通道开通时间和要求：</w:t>
      </w:r>
      <w:r>
        <w:rPr>
          <w:rFonts w:hint="eastAsia" w:ascii="宋体" w:hAnsi="宋体" w:cs="宋体"/>
          <w:color w:val="auto"/>
          <w:sz w:val="24"/>
          <w:szCs w:val="24"/>
          <w:highlight w:val="none"/>
          <w:u w:val="single"/>
        </w:rPr>
        <w:t>通道按现状，不论满足施工要求与否，该通道及施工便道均由承包人自行解决，费用已包在本工程中标总造价中</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（4）工程地质和地下管线资料的提供时间：</w:t>
      </w:r>
      <w:r>
        <w:rPr>
          <w:rFonts w:hint="eastAsia" w:ascii="宋体" w:hAnsi="宋体" w:cs="宋体"/>
          <w:color w:val="auto"/>
          <w:sz w:val="24"/>
          <w:szCs w:val="24"/>
          <w:highlight w:val="none"/>
          <w:u w:val="single"/>
        </w:rPr>
        <w:t>根据施工计划提前提供</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（5）由发包人办理的施工所需证件、批件的名称和完成时间：</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（6）水准点与坐标控制点交验要求：</w:t>
      </w:r>
      <w:r>
        <w:rPr>
          <w:rFonts w:hint="eastAsia" w:ascii="宋体" w:hAnsi="宋体" w:cs="宋体"/>
          <w:color w:val="auto"/>
          <w:sz w:val="24"/>
          <w:szCs w:val="24"/>
          <w:highlight w:val="none"/>
          <w:u w:val="single"/>
        </w:rPr>
        <w:t>开工前交验</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（7）图纸会审和设计交底时间：</w:t>
      </w:r>
      <w:r>
        <w:rPr>
          <w:rFonts w:hint="eastAsia" w:ascii="宋体" w:hAnsi="宋体" w:cs="宋体"/>
          <w:color w:val="auto"/>
          <w:sz w:val="24"/>
          <w:szCs w:val="24"/>
          <w:highlight w:val="none"/>
          <w:u w:val="single"/>
        </w:rPr>
        <w:t>工程施工前</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（8）协调处理施工场地周围地下管线和邻近建筑物、构筑物（含文物保护建筑）、古树名木的保护工作：</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（9）双方约定发包人应做的其他工作：</w:t>
      </w:r>
      <w:r>
        <w:rPr>
          <w:rFonts w:hint="eastAsia" w:ascii="宋体" w:hAnsi="宋体" w:cs="宋体"/>
          <w:color w:val="auto"/>
          <w:sz w:val="24"/>
          <w:szCs w:val="24"/>
          <w:highlight w:val="none"/>
          <w:u w:val="single"/>
        </w:rPr>
        <w:t xml:space="preserve">  发包人按现有场地移交给承包人，承包人应无条件接受。   </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8.2发包人委托承包人办理的工作：</w:t>
      </w:r>
      <w:r>
        <w:rPr>
          <w:rFonts w:hint="eastAsia" w:ascii="宋体" w:hAnsi="宋体" w:cs="宋体"/>
          <w:color w:val="auto"/>
          <w:sz w:val="24"/>
          <w:szCs w:val="24"/>
          <w:highlight w:val="none"/>
          <w:u w:val="single"/>
        </w:rPr>
        <w:t>工程质监登记、合同鉴证、施工许可证、购买印花税等一切施工所需的审批、申领手续以及规划验收、消防验收、环保验收、防雷报建及验收、永久用水接驳及验收等工作。费用按政策规定各自承担相应部分。</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9、承包人工作</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9.1承包人应按约定时间和要求，完成以下工作：</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（1）需由设计资质等级和业务范围允许的承包人完成的设计文件提交时间：</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（2）应提供计划、报表的名称及完成时间：</w:t>
      </w:r>
      <w:r>
        <w:rPr>
          <w:rFonts w:hint="eastAsia" w:ascii="宋体" w:hAnsi="宋体" w:cs="宋体"/>
          <w:color w:val="auto"/>
          <w:sz w:val="24"/>
          <w:szCs w:val="24"/>
          <w:highlight w:val="none"/>
          <w:u w:val="single"/>
        </w:rPr>
        <w:t>施工组织设计、管理人员架构表，于开工前三天报。提交工程年、季、月度计划及进度统计报表</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（3）承担施工安全保卫工作及非夜间施工照明的责任和要求：</w:t>
      </w:r>
      <w:r>
        <w:rPr>
          <w:rFonts w:hint="eastAsia" w:ascii="宋体" w:hAnsi="宋体" w:cs="宋体"/>
          <w:color w:val="auto"/>
          <w:sz w:val="24"/>
          <w:szCs w:val="24"/>
          <w:highlight w:val="none"/>
          <w:u w:val="single"/>
        </w:rPr>
        <w:t>按招标文件要求及国家、省、市、区相关规定执行，并满足本工程需要</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根据工程需要，提供和维护施工使用的照明、围栏设施和警卫，并负责整个现场的安全生产和绿色施工、安全保卫。</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（4）承包人自行解决办公、交通、生活及通讯等设施，费用已包含在本工程中标总造价中；向发包人或监理工程师提供的办公、交通和生活、通讯设施的要求：</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（5）需承包人办理有关施工场地交通、环卫和施工噪音管理等手续：</w:t>
      </w:r>
      <w:r>
        <w:rPr>
          <w:rFonts w:hint="eastAsia" w:ascii="宋体" w:hAnsi="宋体" w:cs="宋体"/>
          <w:color w:val="auto"/>
          <w:sz w:val="24"/>
          <w:szCs w:val="24"/>
          <w:highlight w:val="none"/>
          <w:u w:val="single"/>
        </w:rPr>
        <w:t>承包人按本合同通用条款要求执行，并承担相关费用</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（6）已完工程成品保护的特殊要求及费用承担：</w:t>
      </w:r>
      <w:r>
        <w:rPr>
          <w:rFonts w:hint="eastAsia" w:ascii="宋体" w:hAnsi="宋体" w:cs="宋体"/>
          <w:color w:val="auto"/>
          <w:sz w:val="24"/>
          <w:szCs w:val="24"/>
          <w:highlight w:val="none"/>
          <w:u w:val="single"/>
        </w:rPr>
        <w:t>按本合同通用条款执行</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（7）施工场地周围地下管线和邻近建筑物、构筑物（含文物保护建筑）、古树名木的保护要求及费用承担：</w:t>
      </w:r>
      <w:r>
        <w:rPr>
          <w:rFonts w:hint="eastAsia" w:ascii="宋体" w:hAnsi="宋体" w:cs="宋体"/>
          <w:color w:val="auto"/>
          <w:sz w:val="24"/>
          <w:szCs w:val="24"/>
          <w:highlight w:val="none"/>
          <w:u w:val="single"/>
        </w:rPr>
        <w:t>除文物保护外的保护费全部由承包人承担</w:t>
      </w:r>
      <w:r>
        <w:rPr>
          <w:rFonts w:hint="eastAsia" w:ascii="宋体" w:hAnsi="宋体" w:cs="宋体"/>
          <w:color w:val="auto"/>
          <w:sz w:val="24"/>
          <w:szCs w:val="24"/>
          <w:highlight w:val="none"/>
        </w:rPr>
        <w:t>。</w:t>
      </w:r>
    </w:p>
    <w:p>
      <w:pPr>
        <w:snapToGrid w:val="0"/>
        <w:spacing w:line="440" w:lineRule="exact"/>
        <w:ind w:left="17" w:leftChars="8" w:firstLine="379" w:firstLineChars="158"/>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（8）施工场地清洁卫生的要求：</w:t>
      </w:r>
      <w:r>
        <w:rPr>
          <w:rFonts w:hint="eastAsia" w:ascii="宋体" w:hAnsi="宋体" w:cs="宋体"/>
          <w:color w:val="auto"/>
          <w:sz w:val="24"/>
          <w:szCs w:val="24"/>
          <w:highlight w:val="none"/>
          <w:u w:val="single"/>
        </w:rPr>
        <w:t>满足</w:t>
      </w:r>
      <w:r>
        <w:rPr>
          <w:rFonts w:hint="eastAsia" w:ascii="宋体" w:hAnsi="宋体" w:cs="宋体"/>
          <w:color w:val="auto"/>
          <w:spacing w:val="-10"/>
          <w:sz w:val="24"/>
          <w:szCs w:val="24"/>
          <w:highlight w:val="none"/>
          <w:u w:val="single"/>
        </w:rPr>
        <w:t>文明施工要求及广州市、黄埔区关于扬尘治理的有关要求</w:t>
      </w:r>
      <w:r>
        <w:rPr>
          <w:rFonts w:hint="eastAsia" w:ascii="宋体" w:hAnsi="宋体" w:cs="宋体"/>
          <w:color w:val="auto"/>
          <w:spacing w:val="-10"/>
          <w:sz w:val="24"/>
          <w:szCs w:val="24"/>
          <w:highlight w:val="none"/>
        </w:rPr>
        <w:t>。</w:t>
      </w:r>
      <w:r>
        <w:rPr>
          <w:rFonts w:hint="eastAsia" w:ascii="宋体" w:hAnsi="宋体" w:cs="宋体"/>
          <w:color w:val="auto"/>
          <w:sz w:val="24"/>
          <w:szCs w:val="24"/>
          <w:highlight w:val="none"/>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pPr>
        <w:snapToGrid w:val="0"/>
        <w:spacing w:line="440" w:lineRule="exact"/>
        <w:ind w:left="17" w:leftChars="8" w:firstLine="379" w:firstLineChars="158"/>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（9）双方约定承包人应做的其他工作：</w:t>
      </w:r>
    </w:p>
    <w:p>
      <w:pPr>
        <w:snapToGrid w:val="0"/>
        <w:spacing w:line="440" w:lineRule="exact"/>
        <w:ind w:left="17" w:leftChars="8" w:firstLine="379" w:firstLineChars="15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①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w:t>
      </w:r>
      <w:r>
        <w:rPr>
          <w:rFonts w:hint="eastAsia" w:ascii="宋体" w:hAnsi="宋体" w:cs="宋体"/>
          <w:color w:val="auto"/>
          <w:sz w:val="24"/>
          <w:highlight w:val="none"/>
          <w:u w:val="single"/>
        </w:rPr>
        <w:t>《广州市住房和城乡建设局关于规范房屋建筑工程施工承发包管理的通知》(穗建规字〔2019〕10号)</w:t>
      </w:r>
      <w:r>
        <w:rPr>
          <w:rFonts w:hint="eastAsia" w:ascii="宋体" w:hAnsi="宋体" w:cs="宋体"/>
          <w:color w:val="auto"/>
          <w:sz w:val="24"/>
          <w:szCs w:val="24"/>
          <w:highlight w:val="none"/>
          <w:u w:val="single"/>
        </w:rPr>
        <w:t>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注：总承包工程适用本条款）</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②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③承包人应按照《广州市建设领域工人工资支付分账管理实施细则》的规定选择商业银行开立工人工资支付专用账户，在用工之日起15日内为每个工人办理工人工资个人账户，保证按时足额支付工人工资。承包人应对依法分包的专业工程和劳务工程的承包人实施统一管理，严格按国家、省、市关于农民工工资实施总承包单位代发制度的相关规定代发分包单位工人工资。</w:t>
      </w:r>
    </w:p>
    <w:p>
      <w:pPr>
        <w:snapToGrid w:val="0"/>
        <w:spacing w:line="440" w:lineRule="exact"/>
        <w:ind w:firstLine="397"/>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④承包人应当建立工人考勤、工资结算和支付等管理台账，存档备查，并将相关信息按月报送发包人及监理单位。</w:t>
      </w:r>
    </w:p>
    <w:p>
      <w:pPr>
        <w:snapToGrid w:val="0"/>
        <w:spacing w:line="440" w:lineRule="exact"/>
        <w:ind w:firstLine="3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（10）承包人应在本项目中投入使用燃料电池汽车等新能源工程车,且投入数量占本项目投入的建筑垃圾自卸车（渣土车）总数比例不得低于40%，相关费用已包含在合同价中，不另行计取。</w:t>
      </w:r>
    </w:p>
    <w:p>
      <w:pPr>
        <w:snapToGrid w:val="0"/>
        <w:spacing w:line="440" w:lineRule="exact"/>
        <w:ind w:firstLine="3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（11）承包人应当建立燃料电池汽车等新能源工程车投入管理台账备查，并将投入现场的影像等相关资料按要求报送发包人及监理单位核查。（适用于一般项目）</w:t>
      </w:r>
    </w:p>
    <w:p>
      <w:pPr>
        <w:snapToGrid w:val="0"/>
        <w:spacing w:line="440" w:lineRule="exact"/>
        <w:ind w:firstLine="3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（10）承包人应在本项目中投入使用燃料电池汽车等新能源工程车,且投入数量占本项目投入的建筑垃圾自卸车（渣土车）总数比例不得低于  %（按投标承诺），相关费用已包含在合同价中，不另行计取。</w:t>
      </w:r>
    </w:p>
    <w:p>
      <w:pPr>
        <w:snapToGrid w:val="0"/>
        <w:spacing w:line="440" w:lineRule="exact"/>
        <w:ind w:firstLine="3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（11）承包人应当建立燃料电池汽车等新能源工程车投入管理台账备查，并将投入现场的影像等相关资料按要求报送发包人及监理单位核查。（适用于复杂项目）</w:t>
      </w:r>
    </w:p>
    <w:p>
      <w:pPr>
        <w:snapToGrid w:val="0"/>
        <w:spacing w:line="440" w:lineRule="exact"/>
        <w:ind w:firstLine="397"/>
        <w:rPr>
          <w:rFonts w:hint="eastAsia" w:ascii="宋体" w:hAnsi="宋体" w:cs="宋体"/>
          <w:color w:val="auto"/>
          <w:sz w:val="24"/>
          <w:szCs w:val="24"/>
          <w:highlight w:val="none"/>
        </w:rPr>
      </w:pP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三、施工组织设计和工期</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10、进度计划</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10.1承包人提供施工组织设计(施工方案)和进度计划时间：</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承包人应于接到中标通知书后4天内向发包人提交总体工程进度计划（网络计划），并于开工前3天内提交施工组织设计（施工方案）给发包人</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承包人提交的施工组织设计应当按监理工程师及国家、省、市及广州开发区关于施工承包管理的要求编制</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总监理工程师在接到承包人提交的施工组织设计和工程进度计划后，予以确认或提出修改意见</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工程师确认的时间：</w:t>
      </w:r>
      <w:r>
        <w:rPr>
          <w:rFonts w:hint="eastAsia" w:ascii="宋体" w:hAnsi="宋体" w:cs="宋体"/>
          <w:color w:val="auto"/>
          <w:sz w:val="24"/>
          <w:szCs w:val="24"/>
          <w:highlight w:val="none"/>
          <w:u w:val="single"/>
        </w:rPr>
        <w:t>开工前</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10.2</w:t>
      </w:r>
      <w:r>
        <w:rPr>
          <w:rFonts w:hint="eastAsia" w:ascii="宋体" w:hAnsi="宋体" w:cs="宋体"/>
          <w:color w:val="auto"/>
          <w:sz w:val="24"/>
          <w:szCs w:val="24"/>
          <w:highlight w:val="none"/>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10.3</w:t>
      </w:r>
      <w:r>
        <w:rPr>
          <w:rFonts w:hint="eastAsia" w:ascii="宋体" w:hAnsi="宋体" w:cs="宋体"/>
          <w:color w:val="auto"/>
          <w:sz w:val="24"/>
          <w:szCs w:val="24"/>
          <w:highlight w:val="none"/>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r>
        <w:rPr>
          <w:rFonts w:hint="eastAsia" w:ascii="宋体" w:hAnsi="宋体" w:cs="宋体"/>
          <w:color w:val="auto"/>
          <w:sz w:val="24"/>
          <w:szCs w:val="24"/>
          <w:highlight w:val="none"/>
        </w:rPr>
        <w:t>。</w:t>
      </w:r>
    </w:p>
    <w:p>
      <w:pPr>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11、开工及延期开工</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11.1开工日期和竣工日期</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11.1.1本工程工期为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日历天。其中开工时间初定为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日。（具体开工日期以发包人或监理单位开工令或批准的开工报告日期为准）</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11.1.2承包人必须采取一切有效措施保证竣工日期，不得延误。除非发生了以下情形：</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政府对本工程建设项目作出停建、缓建的决定</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重大设计变更导致本工程在规划、使用、功能方面有重大调整</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不可抗力持续影响而延误工期超过12天以上</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本合同专用条款约定的其他非承包人原因导致的工期延误</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11.2延期开工：</w:t>
      </w:r>
    </w:p>
    <w:p>
      <w:pPr>
        <w:adjustRightInd w:val="0"/>
        <w:snapToGrid w:val="0"/>
        <w:spacing w:line="440" w:lineRule="exact"/>
        <w:ind w:right="11" w:firstLine="420" w:firstLineChars="175"/>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11.2.1</w:t>
      </w:r>
      <w:r>
        <w:rPr>
          <w:rFonts w:hint="eastAsia" w:ascii="宋体" w:hAnsi="宋体" w:cs="宋体"/>
          <w:color w:val="auto"/>
          <w:sz w:val="24"/>
          <w:szCs w:val="24"/>
          <w:highlight w:val="none"/>
          <w:u w:val="single"/>
        </w:rPr>
        <w:t>因发包人原因不能按照协议书约定的开工日期开工或暂停施工的，总监理工程师应通知承包人推迟开工日期，经监理单位、发包人确认后，工期可相应顺延，但不作费用补偿</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11.2.2</w:t>
      </w:r>
      <w:r>
        <w:rPr>
          <w:rFonts w:hint="eastAsia" w:ascii="宋体" w:hAnsi="宋体" w:cs="宋体"/>
          <w:color w:val="auto"/>
          <w:sz w:val="24"/>
          <w:szCs w:val="24"/>
          <w:highlight w:val="none"/>
          <w:u w:val="single"/>
        </w:rPr>
        <w:t>承包人未能主动及时地履行其协调、配合服务义务而造成专业承包单位无法开工，由此产生的工期延误等损失由承包人承担，并承担违约责任</w:t>
      </w:r>
      <w:r>
        <w:rPr>
          <w:rFonts w:hint="eastAsia" w:ascii="宋体" w:hAnsi="宋体" w:cs="宋体"/>
          <w:color w:val="auto"/>
          <w:sz w:val="24"/>
          <w:szCs w:val="24"/>
          <w:highlight w:val="none"/>
        </w:rPr>
        <w:t>。</w:t>
      </w:r>
    </w:p>
    <w:p>
      <w:pPr>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12、暂停施工</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12.1因下列原因，总监理工程师报经发包人同意，可通知承包人暂停施工：</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工程设计发生重大变更</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不可抗力</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质量事故</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安全生产事故</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w:t>
      </w:r>
      <w:r>
        <w:rPr>
          <w:rFonts w:hint="eastAsia" w:ascii="宋体" w:hAnsi="宋体" w:cs="宋体"/>
          <w:color w:val="auto"/>
          <w:sz w:val="24"/>
          <w:szCs w:val="24"/>
          <w:highlight w:val="none"/>
          <w:u w:val="single"/>
        </w:rPr>
        <w:t>因承包人管理不善，可能导致现场混乱</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（6）</w:t>
      </w:r>
      <w:r>
        <w:rPr>
          <w:rFonts w:hint="eastAsia" w:ascii="宋体" w:hAnsi="宋体" w:cs="宋体"/>
          <w:color w:val="auto"/>
          <w:sz w:val="24"/>
          <w:szCs w:val="24"/>
          <w:highlight w:val="none"/>
          <w:u w:val="single"/>
        </w:rPr>
        <w:t>承包人违规施工，经监理工程师通知改正但仍不执行</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承包人不得以与发包人有争议为由或者以争议未解决为由而单方面停工。否则，应按约定承担工期延误的违约责任</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因发生上述第（1）、（2）项原因而暂停施工的，工期可协商调整，因发生上述第（3）、（4）、（5）、（6）项原因而暂停施工的，工期不予顺延,承包人必须承担由此发生的费用并向发包人承担违约责任</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拒绝监理单位管理</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施工组织设计（方案）未获总监理工程师批准而进行施工</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未经监理单位检验而进行下一道工序作业者</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擅自采用未经监理单位及发包人认可或批准的材料的，或者使用的原材料、构配件不合格或未经检查确认的，或者擅自采用未经认可的代用材料的</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w:t>
      </w:r>
      <w:r>
        <w:rPr>
          <w:rFonts w:hint="eastAsia" w:ascii="宋体" w:hAnsi="宋体" w:cs="宋体"/>
          <w:color w:val="auto"/>
          <w:sz w:val="24"/>
          <w:szCs w:val="24"/>
          <w:highlight w:val="none"/>
          <w:u w:val="single"/>
        </w:rPr>
        <w:t>擅自变更设计图纸的要求</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(6)</w:t>
      </w:r>
      <w:r>
        <w:rPr>
          <w:rFonts w:hint="eastAsia" w:ascii="宋体" w:hAnsi="宋体" w:cs="宋体"/>
          <w:color w:val="auto"/>
          <w:sz w:val="24"/>
          <w:szCs w:val="24"/>
          <w:highlight w:val="none"/>
          <w:u w:val="single"/>
        </w:rPr>
        <w:t>转包工程</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(7)</w:t>
      </w:r>
      <w:r>
        <w:rPr>
          <w:rFonts w:hint="eastAsia" w:ascii="宋体" w:hAnsi="宋体" w:cs="宋体"/>
          <w:color w:val="auto"/>
          <w:sz w:val="24"/>
          <w:szCs w:val="24"/>
          <w:highlight w:val="none"/>
          <w:u w:val="single"/>
        </w:rPr>
        <w:t>擅自让未经总监理工程师批准的专业承包单位进场作业</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(8)</w:t>
      </w:r>
      <w:r>
        <w:rPr>
          <w:rFonts w:hint="eastAsia" w:ascii="宋体" w:hAnsi="宋体" w:cs="宋体"/>
          <w:color w:val="auto"/>
          <w:sz w:val="24"/>
          <w:szCs w:val="24"/>
          <w:highlight w:val="none"/>
          <w:u w:val="single"/>
        </w:rPr>
        <w:t>存在安全隐患，未按监理单位要求及时进行整改</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(9)</w:t>
      </w:r>
      <w:r>
        <w:rPr>
          <w:rFonts w:hint="eastAsia" w:ascii="宋体" w:hAnsi="宋体" w:cs="宋体"/>
          <w:color w:val="auto"/>
          <w:sz w:val="24"/>
          <w:szCs w:val="24"/>
          <w:highlight w:val="none"/>
          <w:u w:val="single"/>
        </w:rPr>
        <w:t>未按双方约定的资料上报要求上报所需资料的</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12.3因不可抗力引起工程停工，工期按</w:t>
      </w:r>
      <w:r>
        <w:rPr>
          <w:rFonts w:hint="eastAsia" w:ascii="宋体" w:hAnsi="宋体" w:cs="宋体"/>
          <w:color w:val="auto"/>
          <w:sz w:val="24"/>
          <w:szCs w:val="24"/>
          <w:highlight w:val="none"/>
          <w:u w:val="single"/>
        </w:rPr>
        <w:t>专用条款第12.1款</w:t>
      </w:r>
      <w:r>
        <w:rPr>
          <w:rFonts w:hint="eastAsia" w:ascii="宋体" w:hAnsi="宋体" w:cs="宋体"/>
          <w:color w:val="auto"/>
          <w:sz w:val="24"/>
          <w:szCs w:val="24"/>
          <w:highlight w:val="none"/>
        </w:rPr>
        <w:t>约定执行，费用承担按以下原则：</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因工程损害导致第三方人员伤亡和财产损失，如系在工程竣工验收合格移交给发包人使用前造成的，费用由承包人承担；如系在工程竣工验收合格移交给发包人使用后发生的，费用由发包人承担</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运至施工场地用于施工的材料和待安装的设备的损害，属发包人供应的由发包人承担；属承包人采购的由承包人承担</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发包人承包人人员伤亡由其所在单位负责，并承担相应费用</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承包人机械设备损坏及停工损失由承包人承担</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u w:val="single"/>
        </w:rPr>
        <w:t>停工期间，承包人应总监理工程师要求留在施工场地的必要的管理人员及保卫人员的费用由承包人承担</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u w:val="single"/>
        </w:rPr>
        <w:t>工程所需清理、修复费用由发包人承担</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12.4</w:t>
      </w:r>
      <w:r>
        <w:rPr>
          <w:rFonts w:hint="eastAsia" w:ascii="宋体" w:hAnsi="宋体" w:cs="宋体"/>
          <w:color w:val="auto"/>
          <w:sz w:val="24"/>
          <w:szCs w:val="24"/>
          <w:highlight w:val="none"/>
          <w:u w:val="single"/>
        </w:rPr>
        <w:t>由于承包人自身原因或施工承包管理、配合及协调不力，而导致专业承包工程停工，产生的费用由承包人承担</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13、工期延误</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13.2</w:t>
      </w:r>
      <w:r>
        <w:rPr>
          <w:rFonts w:hint="eastAsia" w:ascii="宋体" w:hAnsi="宋体" w:cs="宋体"/>
          <w:color w:val="auto"/>
          <w:sz w:val="24"/>
          <w:szCs w:val="24"/>
          <w:highlight w:val="none"/>
          <w:u w:val="single"/>
        </w:rPr>
        <w:t>对于非因承包人原因发生的工期延误，承包人应当在工期延误事件发生后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四、质量与验收</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15、工程质量</w:t>
      </w:r>
    </w:p>
    <w:p>
      <w:pPr>
        <w:snapToGrid w:val="0"/>
        <w:spacing w:line="440" w:lineRule="exact"/>
        <w:ind w:firstLine="397"/>
        <w:rPr>
          <w:rFonts w:hint="eastAsia" w:ascii="宋体" w:hAnsi="宋体" w:cs="宋体"/>
          <w:bCs/>
          <w:color w:val="auto"/>
          <w:sz w:val="24"/>
          <w:szCs w:val="24"/>
          <w:highlight w:val="none"/>
        </w:rPr>
      </w:pPr>
      <w:r>
        <w:rPr>
          <w:rFonts w:hint="eastAsia" w:ascii="宋体" w:hAnsi="宋体" w:cs="宋体"/>
          <w:bCs/>
          <w:color w:val="auto"/>
          <w:sz w:val="24"/>
          <w:szCs w:val="24"/>
          <w:highlight w:val="none"/>
        </w:rPr>
        <w:t>15.3</w:t>
      </w:r>
      <w:r>
        <w:rPr>
          <w:rFonts w:hint="eastAsia" w:ascii="宋体" w:hAnsi="宋体" w:cs="宋体"/>
          <w:bCs/>
          <w:color w:val="auto"/>
          <w:sz w:val="24"/>
          <w:szCs w:val="24"/>
          <w:highlight w:val="none"/>
          <w:u w:val="single"/>
        </w:rPr>
        <w:t>承包人必须严格按照设计施工图和国家及行业颁发的现行有关设计、施工及验收规范的要求进行施工，确保工程质量，</w:t>
      </w:r>
      <w:r>
        <w:rPr>
          <w:rFonts w:hint="eastAsia" w:ascii="宋体" w:hAnsi="宋体" w:cs="宋体"/>
          <w:bCs/>
          <w:color w:val="auto"/>
          <w:sz w:val="24"/>
          <w:highlight w:val="none"/>
        </w:rPr>
        <w:t>工程的质量标准要求合格，且达到投标承诺的质量标准</w:t>
      </w:r>
      <w:r>
        <w:rPr>
          <w:rFonts w:hint="eastAsia" w:ascii="宋体" w:hAnsi="宋体" w:cs="宋体"/>
          <w:bCs/>
          <w:color w:val="auto"/>
          <w:sz w:val="24"/>
          <w:szCs w:val="24"/>
          <w:highlight w:val="none"/>
          <w:u w:val="single"/>
        </w:rPr>
        <w:t>。承包人对图纸中存在的问题有责任和义务提前以书面形式报告工程师及发包人，以供发包人同监理人核实并及时要求设计方修改设计图纸</w:t>
      </w:r>
      <w:r>
        <w:rPr>
          <w:rFonts w:hint="eastAsia" w:ascii="宋体" w:hAnsi="宋体" w:cs="宋体"/>
          <w:bCs/>
          <w:color w:val="auto"/>
          <w:sz w:val="24"/>
          <w:szCs w:val="24"/>
          <w:highlight w:val="none"/>
        </w:rPr>
        <w:t>。</w:t>
      </w:r>
    </w:p>
    <w:p>
      <w:pPr>
        <w:snapToGrid w:val="0"/>
        <w:spacing w:line="440" w:lineRule="exact"/>
        <w:ind w:firstLine="397"/>
        <w:rPr>
          <w:rFonts w:hint="eastAsia" w:ascii="宋体" w:hAnsi="宋体" w:cs="宋体"/>
          <w:bCs/>
          <w:color w:val="auto"/>
          <w:sz w:val="24"/>
          <w:szCs w:val="24"/>
          <w:highlight w:val="none"/>
        </w:rPr>
      </w:pPr>
      <w:r>
        <w:rPr>
          <w:rFonts w:hint="eastAsia" w:ascii="宋体" w:hAnsi="宋体" w:cs="宋体"/>
          <w:bCs/>
          <w:color w:val="auto"/>
          <w:sz w:val="24"/>
          <w:szCs w:val="24"/>
          <w:highlight w:val="none"/>
        </w:rPr>
        <w:t>15.4</w:t>
      </w:r>
      <w:r>
        <w:rPr>
          <w:rFonts w:hint="eastAsia" w:ascii="宋体" w:hAnsi="宋体" w:cs="宋体"/>
          <w:bCs/>
          <w:color w:val="auto"/>
          <w:sz w:val="24"/>
          <w:szCs w:val="24"/>
          <w:highlight w:val="none"/>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r>
        <w:rPr>
          <w:rFonts w:hint="eastAsia" w:ascii="宋体" w:hAnsi="宋体" w:cs="宋体"/>
          <w:bCs/>
          <w:color w:val="auto"/>
          <w:sz w:val="24"/>
          <w:szCs w:val="24"/>
          <w:highlight w:val="none"/>
        </w:rPr>
        <w:t>。</w:t>
      </w:r>
    </w:p>
    <w:p>
      <w:pPr>
        <w:snapToGrid w:val="0"/>
        <w:spacing w:line="440" w:lineRule="exact"/>
        <w:ind w:firstLine="397"/>
        <w:rPr>
          <w:rFonts w:hint="eastAsia" w:ascii="宋体" w:hAnsi="宋体" w:cs="宋体"/>
          <w:bCs/>
          <w:color w:val="auto"/>
          <w:sz w:val="24"/>
          <w:szCs w:val="24"/>
          <w:highlight w:val="none"/>
        </w:rPr>
      </w:pPr>
      <w:r>
        <w:rPr>
          <w:rFonts w:hint="eastAsia" w:ascii="宋体" w:hAnsi="宋体" w:cs="宋体"/>
          <w:bCs/>
          <w:color w:val="auto"/>
          <w:sz w:val="24"/>
          <w:szCs w:val="24"/>
          <w:highlight w:val="none"/>
        </w:rPr>
        <w:t>15.5</w:t>
      </w:r>
      <w:r>
        <w:rPr>
          <w:rFonts w:hint="eastAsia" w:ascii="宋体" w:hAnsi="宋体" w:cs="宋体"/>
          <w:bCs/>
          <w:color w:val="auto"/>
          <w:sz w:val="24"/>
          <w:szCs w:val="24"/>
          <w:highlight w:val="none"/>
          <w:u w:val="single"/>
        </w:rPr>
        <w:t>工程质量不符合设计要求、质量不合格者，监理工程师可指令承包人停工或返工，返工费用由承包人承担，工期不予顺延</w:t>
      </w:r>
      <w:r>
        <w:rPr>
          <w:rFonts w:hint="eastAsia" w:ascii="宋体" w:hAnsi="宋体" w:cs="宋体"/>
          <w:bCs/>
          <w:color w:val="auto"/>
          <w:sz w:val="24"/>
          <w:szCs w:val="24"/>
          <w:highlight w:val="none"/>
        </w:rPr>
        <w:t>。</w:t>
      </w:r>
    </w:p>
    <w:p>
      <w:pPr>
        <w:snapToGrid w:val="0"/>
        <w:spacing w:line="440" w:lineRule="exact"/>
        <w:ind w:firstLine="397"/>
        <w:rPr>
          <w:rFonts w:hint="eastAsia" w:ascii="宋体" w:hAnsi="宋体" w:cs="宋体"/>
          <w:bCs/>
          <w:color w:val="auto"/>
          <w:sz w:val="24"/>
          <w:szCs w:val="24"/>
          <w:highlight w:val="none"/>
        </w:rPr>
      </w:pPr>
      <w:r>
        <w:rPr>
          <w:rFonts w:hint="eastAsia" w:ascii="宋体" w:hAnsi="宋体" w:cs="宋体"/>
          <w:bCs/>
          <w:color w:val="auto"/>
          <w:sz w:val="24"/>
          <w:szCs w:val="24"/>
          <w:highlight w:val="none"/>
        </w:rPr>
        <w:t>15.6</w:t>
      </w:r>
      <w:r>
        <w:rPr>
          <w:rFonts w:hint="eastAsia" w:ascii="宋体" w:hAnsi="宋体" w:cs="宋体"/>
          <w:bCs/>
          <w:color w:val="auto"/>
          <w:sz w:val="24"/>
          <w:szCs w:val="24"/>
          <w:highlight w:val="none"/>
          <w:u w:val="single"/>
        </w:rPr>
        <w:t>发生须紧急抢修事故，承包人接到通知后，应立即到达事故现场抢修；否则，发包人可以另委托单位抢修，属承包人施工质量问题造成的修复等费用全部由承包人承担</w:t>
      </w:r>
      <w:r>
        <w:rPr>
          <w:rFonts w:hint="eastAsia" w:ascii="宋体" w:hAnsi="宋体" w:cs="宋体"/>
          <w:bCs/>
          <w:color w:val="auto"/>
          <w:sz w:val="24"/>
          <w:szCs w:val="24"/>
          <w:highlight w:val="none"/>
        </w:rPr>
        <w:t>。</w:t>
      </w:r>
    </w:p>
    <w:p>
      <w:pPr>
        <w:snapToGrid w:val="0"/>
        <w:spacing w:line="440" w:lineRule="exact"/>
        <w:ind w:firstLine="397"/>
        <w:rPr>
          <w:rFonts w:hint="eastAsia" w:ascii="宋体" w:hAnsi="宋体" w:cs="宋体"/>
          <w:bCs/>
          <w:color w:val="auto"/>
          <w:sz w:val="24"/>
          <w:szCs w:val="24"/>
          <w:highlight w:val="none"/>
        </w:rPr>
      </w:pPr>
      <w:r>
        <w:rPr>
          <w:rFonts w:hint="eastAsia" w:ascii="宋体" w:hAnsi="宋体" w:cs="宋体"/>
          <w:bCs/>
          <w:color w:val="auto"/>
          <w:sz w:val="24"/>
          <w:szCs w:val="24"/>
          <w:highlight w:val="none"/>
        </w:rPr>
        <w:t>15.7</w:t>
      </w:r>
      <w:r>
        <w:rPr>
          <w:rFonts w:hint="eastAsia" w:ascii="宋体" w:hAnsi="宋体" w:cs="宋体"/>
          <w:bCs/>
          <w:color w:val="auto"/>
          <w:sz w:val="24"/>
          <w:szCs w:val="24"/>
          <w:highlight w:val="none"/>
          <w:u w:val="single"/>
        </w:rPr>
        <w:t>本工程按照本合同专用条款3.3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商决定</w:t>
      </w:r>
      <w:r>
        <w:rPr>
          <w:rFonts w:hint="eastAsia" w:ascii="宋体" w:hAnsi="宋体" w:cs="宋体"/>
          <w:bCs/>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16、检查和返工</w:t>
      </w:r>
    </w:p>
    <w:p>
      <w:pPr>
        <w:snapToGrid w:val="0"/>
        <w:spacing w:line="440" w:lineRule="exact"/>
        <w:ind w:firstLine="397"/>
        <w:rPr>
          <w:rFonts w:hint="eastAsia" w:ascii="宋体" w:hAnsi="宋体" w:cs="宋体"/>
          <w:bCs/>
          <w:color w:val="auto"/>
          <w:sz w:val="24"/>
          <w:szCs w:val="24"/>
          <w:highlight w:val="none"/>
        </w:rPr>
      </w:pPr>
      <w:r>
        <w:rPr>
          <w:rFonts w:hint="eastAsia" w:ascii="宋体" w:hAnsi="宋体" w:cs="宋体"/>
          <w:bCs/>
          <w:color w:val="auto"/>
          <w:sz w:val="24"/>
          <w:szCs w:val="24"/>
          <w:highlight w:val="none"/>
        </w:rPr>
        <w:t>16.3工程师的检查检验：</w:t>
      </w:r>
      <w:r>
        <w:rPr>
          <w:rFonts w:hint="eastAsia" w:ascii="宋体" w:hAnsi="宋体" w:cs="宋体"/>
          <w:bCs/>
          <w:color w:val="auto"/>
          <w:sz w:val="24"/>
          <w:szCs w:val="24"/>
          <w:highlight w:val="none"/>
          <w:u w:val="single"/>
        </w:rPr>
        <w:t>工程师按规范、标准、设计图纸要求和频率所进行的检查检测不应成为承包人工期顺延的理由</w:t>
      </w:r>
      <w:r>
        <w:rPr>
          <w:rFonts w:hint="eastAsia" w:ascii="宋体" w:hAnsi="宋体" w:cs="宋体"/>
          <w:bCs/>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17、隐蔽工程和中间验收</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17.1双方约定中间验收部位：</w:t>
      </w:r>
      <w:r>
        <w:rPr>
          <w:rFonts w:hint="eastAsia" w:ascii="宋体" w:hAnsi="宋体" w:cs="宋体"/>
          <w:color w:val="auto"/>
          <w:sz w:val="24"/>
          <w:szCs w:val="24"/>
          <w:highlight w:val="none"/>
          <w:u w:val="single"/>
        </w:rPr>
        <w:t>按相应工程施工及验收规范要求执行</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19、工程试车</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19.5试车费用的承担：</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highlight w:val="none"/>
        </w:rPr>
      </w:pPr>
      <w:r>
        <w:rPr>
          <w:rFonts w:hint="eastAsia" w:ascii="宋体" w:hAnsi="宋体" w:cs="宋体"/>
          <w:b/>
          <w:color w:val="auto"/>
          <w:sz w:val="24"/>
          <w:highlight w:val="none"/>
        </w:rPr>
        <w:t>五、安全施工</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20、安全施工与检查</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20.3</w:t>
      </w:r>
      <w:r>
        <w:rPr>
          <w:rFonts w:hint="eastAsia" w:ascii="宋体" w:hAnsi="宋体" w:cs="宋体"/>
          <w:color w:val="auto"/>
          <w:sz w:val="24"/>
          <w:szCs w:val="24"/>
          <w:highlight w:val="none"/>
          <w:u w:val="single"/>
        </w:rPr>
        <w:t>承包人应建立安全责任制，明确各部门安全工作的岗位责任人，建立健全正常运转的各种安全工作保证体系和规章制度，将安全生产目标分解落实到实处</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20.4</w:t>
      </w:r>
      <w:r>
        <w:rPr>
          <w:rFonts w:hint="eastAsia" w:ascii="宋体" w:hAnsi="宋体" w:cs="宋体"/>
          <w:color w:val="auto"/>
          <w:sz w:val="24"/>
          <w:szCs w:val="24"/>
          <w:highlight w:val="none"/>
          <w:u w:val="single"/>
        </w:rPr>
        <w:t>承包人按规定数量配置安全员</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20.5</w:t>
      </w:r>
      <w:r>
        <w:rPr>
          <w:rFonts w:hint="eastAsia" w:ascii="宋体" w:hAnsi="宋体" w:cs="宋体"/>
          <w:color w:val="auto"/>
          <w:sz w:val="24"/>
          <w:szCs w:val="24"/>
          <w:highlight w:val="none"/>
          <w:u w:val="single"/>
        </w:rPr>
        <w:t>承包人在开工前须向质量安全监督机构提交备案的书面资料</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20.6</w:t>
      </w:r>
      <w:r>
        <w:rPr>
          <w:rFonts w:hint="eastAsia" w:ascii="宋体" w:hAnsi="宋体" w:cs="宋体"/>
          <w:color w:val="auto"/>
          <w:sz w:val="24"/>
          <w:szCs w:val="24"/>
          <w:highlight w:val="none"/>
          <w:u w:val="single"/>
        </w:rPr>
        <w:t>承包人在编制施工组织设计时，应当根据工程的特点编制相应的安全技术措施</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20.7</w:t>
      </w:r>
      <w:r>
        <w:rPr>
          <w:rFonts w:hint="eastAsia" w:ascii="宋体" w:hAnsi="宋体" w:cs="宋体"/>
          <w:color w:val="auto"/>
          <w:sz w:val="24"/>
          <w:szCs w:val="24"/>
          <w:highlight w:val="none"/>
          <w:u w:val="single"/>
        </w:rPr>
        <w:t>承包人按有关安全和防护的规定组织施工生产，不得使用不合标准的防护器材、机具和材料</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20.8</w:t>
      </w:r>
      <w:r>
        <w:rPr>
          <w:rFonts w:hint="eastAsia" w:ascii="宋体" w:hAnsi="宋体" w:cs="宋体"/>
          <w:color w:val="auto"/>
          <w:sz w:val="24"/>
          <w:szCs w:val="24"/>
          <w:highlight w:val="none"/>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21、安全防护</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21.3</w:t>
      </w:r>
      <w:r>
        <w:rPr>
          <w:rFonts w:hint="eastAsia" w:ascii="宋体" w:hAnsi="宋体" w:cs="宋体"/>
          <w:color w:val="auto"/>
          <w:sz w:val="24"/>
          <w:szCs w:val="24"/>
          <w:highlight w:val="none"/>
          <w:u w:val="single"/>
        </w:rPr>
        <w:t>承包人应在施工现场采取维护安全、防范危险、预防火灾等措施，在特殊作业环境应对作业人员采取劳动保护措施</w:t>
      </w:r>
      <w:r>
        <w:rPr>
          <w:rFonts w:hint="eastAsia" w:ascii="宋体" w:hAnsi="宋体" w:cs="宋体"/>
          <w:color w:val="auto"/>
          <w:sz w:val="24"/>
          <w:szCs w:val="24"/>
          <w:highlight w:val="none"/>
        </w:rPr>
        <w:t>。</w:t>
      </w:r>
    </w:p>
    <w:p>
      <w:pPr>
        <w:tabs>
          <w:tab w:val="left" w:pos="2340"/>
        </w:tabs>
        <w:spacing w:line="440" w:lineRule="exact"/>
        <w:jc w:val="left"/>
        <w:rPr>
          <w:rFonts w:hint="eastAsia" w:ascii="宋体" w:hAnsi="宋体" w:cs="宋体"/>
          <w:color w:val="auto"/>
          <w:sz w:val="24"/>
          <w:highlight w:val="none"/>
        </w:rPr>
      </w:pPr>
      <w:r>
        <w:rPr>
          <w:rFonts w:hint="eastAsia" w:ascii="宋体" w:hAnsi="宋体" w:cs="宋体"/>
          <w:color w:val="auto"/>
          <w:sz w:val="24"/>
          <w:szCs w:val="24"/>
          <w:highlight w:val="none"/>
        </w:rPr>
        <w:t xml:space="preserve">    21.4</w:t>
      </w:r>
      <w:r>
        <w:rPr>
          <w:rFonts w:hint="eastAsia" w:ascii="宋体" w:hAnsi="宋体" w:cs="宋体"/>
          <w:color w:val="auto"/>
          <w:sz w:val="24"/>
          <w:highlight w:val="none"/>
          <w:u w:val="single"/>
        </w:rPr>
        <w:t>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w:t>
      </w:r>
      <w:r>
        <w:rPr>
          <w:rFonts w:hint="eastAsia" w:ascii="宋体" w:hAnsi="宋体" w:cs="宋体"/>
          <w:bCs/>
          <w:smallCaps/>
          <w:color w:val="auto"/>
          <w:sz w:val="24"/>
          <w:highlight w:val="none"/>
          <w:u w:val="single"/>
        </w:rPr>
        <w:t>穗建质</w:t>
      </w:r>
      <w:r>
        <w:rPr>
          <w:rFonts w:hint="eastAsia" w:ascii="宋体" w:hAnsi="宋体" w:cs="宋体"/>
          <w:color w:val="auto"/>
          <w:sz w:val="24"/>
          <w:highlight w:val="none"/>
          <w:u w:val="single"/>
        </w:rPr>
        <w:t>〔2008〕</w:t>
      </w:r>
      <w:r>
        <w:rPr>
          <w:rFonts w:hint="eastAsia" w:ascii="宋体" w:hAnsi="宋体" w:cs="宋体"/>
          <w:bCs/>
          <w:smallCaps/>
          <w:color w:val="auto"/>
          <w:sz w:val="24"/>
          <w:highlight w:val="none"/>
          <w:u w:val="single"/>
        </w:rPr>
        <w:t>937号）</w:t>
      </w:r>
      <w:r>
        <w:rPr>
          <w:rFonts w:hint="eastAsia" w:ascii="宋体" w:hAnsi="宋体" w:cs="宋体"/>
          <w:color w:val="auto"/>
          <w:sz w:val="24"/>
          <w:highlight w:val="none"/>
          <w:u w:val="single"/>
        </w:rPr>
        <w:t>、《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关于进一步落实我区市政建设项目施工围蔽提升工作的通知》（穗埔建[2019]123号）及</w:t>
      </w:r>
      <w:r>
        <w:rPr>
          <w:rFonts w:hint="eastAsia" w:ascii="宋体" w:hAnsi="宋体" w:cs="宋体"/>
          <w:color w:val="auto"/>
          <w:sz w:val="24"/>
          <w:szCs w:val="24"/>
          <w:highlight w:val="none"/>
          <w:u w:val="single"/>
        </w:rPr>
        <w:t>《黄埔区住房和城乡建设局 广州开发区建设和交通局关于进一步规范全区建设工程施工围蔽标准的通知》（穗埔建﹝2020﹞183号）实施。</w:t>
      </w:r>
      <w:r>
        <w:rPr>
          <w:rFonts w:hint="eastAsia" w:ascii="宋体" w:hAnsi="宋体" w:cs="宋体"/>
          <w:color w:val="auto"/>
          <w:sz w:val="24"/>
          <w:highlight w:val="none"/>
        </w:rPr>
        <w:t>以上文件要求不一致的，以后发布文件为准，若相关部门发布有关施工围蔽新文件规定的，按新规定执行。</w:t>
      </w:r>
      <w:r>
        <w:rPr>
          <w:rFonts w:hint="eastAsia" w:ascii="宋体" w:hAnsi="宋体" w:cs="宋体"/>
          <w:color w:val="auto"/>
          <w:sz w:val="24"/>
          <w:highlight w:val="none"/>
          <w:u w:val="single"/>
        </w:rPr>
        <w:t>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21.5</w:t>
      </w:r>
      <w:r>
        <w:rPr>
          <w:rFonts w:hint="eastAsia" w:ascii="宋体" w:hAnsi="宋体" w:cs="宋体"/>
          <w:color w:val="auto"/>
          <w:sz w:val="24"/>
          <w:szCs w:val="24"/>
          <w:highlight w:val="none"/>
          <w:u w:val="single"/>
        </w:rPr>
        <w:t>承包人应按规定对工程施工人员进行安全教育和管理</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21.6</w:t>
      </w:r>
      <w:r>
        <w:rPr>
          <w:rFonts w:hint="eastAsia" w:ascii="宋体" w:hAnsi="宋体" w:cs="宋体"/>
          <w:color w:val="auto"/>
          <w:sz w:val="24"/>
          <w:szCs w:val="24"/>
          <w:highlight w:val="none"/>
          <w:u w:val="single"/>
        </w:rPr>
        <w:t>承包人应书面记录专项安全施工组织设计方案审查、安全检查、安全技术交底、安全隐患整改、安全教育等重要安全管理活动</w:t>
      </w:r>
      <w:r>
        <w:rPr>
          <w:rFonts w:hint="eastAsia" w:ascii="宋体" w:hAnsi="宋体" w:cs="宋体"/>
          <w:color w:val="auto"/>
          <w:sz w:val="24"/>
          <w:szCs w:val="24"/>
          <w:highlight w:val="none"/>
        </w:rPr>
        <w:t>。</w:t>
      </w:r>
    </w:p>
    <w:p>
      <w:pPr>
        <w:spacing w:line="440" w:lineRule="exact"/>
        <w:ind w:firstLine="360" w:firstLineChars="15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21.7承包人用于本项目的非标起重机械设备须严格执行《关于印发&lt;广州市非标建筑起重机械管理办法&gt;的通知》(穗建质[2010]999号)的相关规定，非标起重机械设备是指没有国家或行业制造标准的各类起重机械设备，如非标架桥设备、 竖井提升设备、非标龙门吊、贝雷架式或扒杆式起重装置等。</w:t>
      </w:r>
    </w:p>
    <w:p>
      <w:pPr>
        <w:spacing w:line="440" w:lineRule="exact"/>
        <w:ind w:firstLine="360" w:firstLineChars="15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21.8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穗建筑[2003]84号】等相关规定。</w:t>
      </w:r>
    </w:p>
    <w:p>
      <w:pPr>
        <w:spacing w:line="440" w:lineRule="exact"/>
        <w:ind w:firstLine="360" w:firstLineChars="15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21.9承包人在工程实施过程中，按照国家、省、市的相关规定制定相关的专项安全施工方案（如高支模、基坑支护、沉井等），组织专家评审通过后，报监理人、发包人审批后方可开展专项工程的施工。</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款（2）项承担违约责任。</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21.11承包人在施工期间要确保工程外场地清洁及道路畅通，如须使用他方道路，则还必须负责养护、保洁责任，否则责任自负。施工和警示标志明显，因施工造成人身损害和财产损失的，由承包人承担责任。</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21.12承包人必须考虑安全、环保等因素在局部施工范围进行施工，现场围蔽不符合国家有关安全措施及技术要求的，不得开展施工作业，由此造成的工期延长，由承包人自己负责，当作延误工期处理。</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委托实施。发包人按实际发生的费用在工程款中扣除，承包人不得有任何异议。</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22、事故处理</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22.3如发生安全事故，除按法定程序办理有关事宜外，还必须按以下程序进行处理：</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22.3.1</w:t>
      </w:r>
      <w:r>
        <w:rPr>
          <w:rFonts w:hint="eastAsia" w:ascii="宋体" w:hAnsi="宋体" w:cs="宋体"/>
          <w:color w:val="auto"/>
          <w:sz w:val="24"/>
          <w:szCs w:val="24"/>
          <w:highlight w:val="none"/>
          <w:u w:val="single"/>
        </w:rPr>
        <w:t>报告安全事故：安全事故发生后，承包人应在1小时内用最快的信息传递手段，将发生事故的时间、地点、伤亡人数、事故原因等情况，报工程师和发包人</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22.3.2</w:t>
      </w:r>
      <w:r>
        <w:rPr>
          <w:rFonts w:hint="eastAsia" w:ascii="宋体" w:hAnsi="宋体" w:cs="宋体"/>
          <w:color w:val="auto"/>
          <w:sz w:val="24"/>
          <w:szCs w:val="24"/>
          <w:highlight w:val="none"/>
          <w:u w:val="single"/>
        </w:rPr>
        <w:t>事故处理：承包人负责抢救伤员、排除险情，防止事故扩大蔓延，保护好现场，并做好标志，启动保险理赔程序</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22.3.3</w:t>
      </w:r>
      <w:r>
        <w:rPr>
          <w:rFonts w:hint="eastAsia" w:ascii="宋体" w:hAnsi="宋体" w:cs="宋体"/>
          <w:color w:val="auto"/>
          <w:sz w:val="24"/>
          <w:szCs w:val="24"/>
          <w:highlight w:val="none"/>
          <w:u w:val="single"/>
        </w:rPr>
        <w:t>事故调查：承包人应组织内部技术安全、质量部门的人员组成调查组，开展调查，并配合做好发包人或政府有关部门组织的调查工作</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22.3.4</w:t>
      </w:r>
      <w:r>
        <w:rPr>
          <w:rFonts w:hint="eastAsia" w:ascii="宋体" w:hAnsi="宋体" w:cs="宋体"/>
          <w:color w:val="auto"/>
          <w:sz w:val="24"/>
          <w:szCs w:val="24"/>
          <w:highlight w:val="none"/>
          <w:u w:val="single"/>
        </w:rPr>
        <w:t>调查报告：承包人应把事故发生经过、原因、性质、损失、责任、处理意见、纠正和预防措施撰写成调查报告，送工程师会审后报发包人</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六、合同价款与支付</w:t>
      </w:r>
    </w:p>
    <w:p>
      <w:pPr>
        <w:snapToGrid w:val="0"/>
        <w:spacing w:line="440" w:lineRule="exact"/>
        <w:ind w:firstLine="397"/>
        <w:rPr>
          <w:rFonts w:hint="eastAsia" w:ascii="宋体" w:hAnsi="宋体" w:cs="宋体"/>
          <w:color w:val="auto"/>
          <w:sz w:val="24"/>
          <w:highlight w:val="none"/>
          <w:u w:val="single"/>
        </w:rPr>
      </w:pPr>
      <w:r>
        <w:rPr>
          <w:rFonts w:hint="eastAsia" w:ascii="宋体" w:hAnsi="宋体" w:cs="宋体"/>
          <w:b/>
          <w:color w:val="auto"/>
          <w:sz w:val="24"/>
          <w:highlight w:val="none"/>
        </w:rPr>
        <w:t>23、合同价款及调整</w:t>
      </w:r>
    </w:p>
    <w:p>
      <w:pPr>
        <w:snapToGrid w:val="0"/>
        <w:spacing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23.2本合同价款按照</w:t>
      </w:r>
      <w:r>
        <w:rPr>
          <w:rFonts w:hint="eastAsia" w:ascii="宋体" w:hAnsi="宋体" w:cs="宋体"/>
          <w:color w:val="auto"/>
          <w:sz w:val="24"/>
          <w:szCs w:val="24"/>
          <w:highlight w:val="none"/>
          <w:u w:val="single"/>
        </w:rPr>
        <w:t>协议书第五条、专用条款23.3款和专用条款23.5款</w:t>
      </w:r>
      <w:r>
        <w:rPr>
          <w:rFonts w:hint="eastAsia" w:ascii="宋体" w:hAnsi="宋体" w:cs="宋体"/>
          <w:color w:val="auto"/>
          <w:sz w:val="24"/>
          <w:szCs w:val="24"/>
          <w:highlight w:val="none"/>
        </w:rPr>
        <w:t>约定执行，最终按结算终审部门审定价结算。</w:t>
      </w:r>
    </w:p>
    <w:p>
      <w:pPr>
        <w:snapToGrid w:val="0"/>
        <w:spacing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本合同价款采用分部分项工程量清单固定综合单价方式确定，具体办法如下：</w:t>
      </w:r>
    </w:p>
    <w:p>
      <w:pPr>
        <w:snapToGrid w:val="0"/>
        <w:spacing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（1）分部分项工程量清单费：</w:t>
      </w:r>
      <w:r>
        <w:rPr>
          <w:rFonts w:hint="eastAsia" w:ascii="宋体" w:hAnsi="宋体" w:cs="宋体"/>
          <w:color w:val="auto"/>
          <w:sz w:val="24"/>
          <w:szCs w:val="24"/>
          <w:highlight w:val="none"/>
          <w:u w:val="single"/>
        </w:rPr>
        <w:t>除专用条款23.5.1及专用条款23.5.2规定情况外，分部分项工程量清单综合单价固定不变，工程量按实计量</w:t>
      </w:r>
      <w:r>
        <w:rPr>
          <w:rFonts w:hint="eastAsia" w:ascii="宋体" w:hAnsi="宋体" w:cs="宋体"/>
          <w:color w:val="auto"/>
          <w:sz w:val="24"/>
          <w:szCs w:val="24"/>
          <w:highlight w:val="none"/>
        </w:rPr>
        <w:t>。</w:t>
      </w:r>
    </w:p>
    <w:p>
      <w:pPr>
        <w:snapToGrid w:val="0"/>
        <w:spacing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（2）措施项目费：</w:t>
      </w:r>
      <w:r>
        <w:rPr>
          <w:rFonts w:hint="eastAsia" w:ascii="宋体" w:hAnsi="宋体" w:cs="宋体"/>
          <w:color w:val="auto"/>
          <w:sz w:val="24"/>
          <w:szCs w:val="24"/>
          <w:highlight w:val="none"/>
          <w:u w:val="single"/>
        </w:rPr>
        <w:t>措施项目费（除施工围蔽费用外）固定不变，包干使用，结算时不予调整，施工围蔽清单综合单价固定不变，工程量按实计量</w:t>
      </w:r>
      <w:r>
        <w:rPr>
          <w:rFonts w:hint="eastAsia" w:ascii="宋体" w:hAnsi="宋体" w:cs="宋体"/>
          <w:color w:val="auto"/>
          <w:sz w:val="24"/>
          <w:szCs w:val="24"/>
          <w:highlight w:val="none"/>
        </w:rPr>
        <w:t>。</w:t>
      </w:r>
    </w:p>
    <w:p>
      <w:pPr>
        <w:snapToGrid w:val="0"/>
        <w:spacing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（3）其他项目部分：</w:t>
      </w:r>
    </w:p>
    <w:p>
      <w:pPr>
        <w:snapToGrid w:val="0"/>
        <w:spacing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hint="eastAsia" w:ascii="宋体" w:hAnsi="宋体" w:cs="宋体"/>
          <w:color w:val="auto"/>
          <w:sz w:val="24"/>
          <w:szCs w:val="24"/>
          <w:highlight w:val="none"/>
        </w:rPr>
        <w:instrText xml:space="preserve">,1)</w:instrTex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u w:val="single"/>
        </w:rPr>
        <w:t>招标人部分为暂定价，按实际签订的专业承包合同或预留金使用情况进行调整和结算</w:t>
      </w:r>
      <w:r>
        <w:rPr>
          <w:rFonts w:hint="eastAsia" w:ascii="宋体" w:hAnsi="宋体" w:cs="宋体"/>
          <w:color w:val="auto"/>
          <w:sz w:val="24"/>
          <w:szCs w:val="24"/>
          <w:highlight w:val="none"/>
        </w:rPr>
        <w:t>；</w:t>
      </w:r>
    </w:p>
    <w:p>
      <w:pPr>
        <w:snapToGrid w:val="0"/>
        <w:spacing w:line="440" w:lineRule="exact"/>
        <w:ind w:firstLine="360" w:firstLineChars="1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hint="eastAsia" w:ascii="宋体" w:hAnsi="宋体" w:cs="宋体"/>
          <w:color w:val="auto"/>
          <w:sz w:val="24"/>
          <w:szCs w:val="24"/>
          <w:highlight w:val="none"/>
        </w:rPr>
        <w:instrText xml:space="preserve">,2)</w:instrTex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u w:val="single"/>
        </w:rPr>
        <w:t>投标人部分为固定价格，结算时不作调整。（若实际没有发生，在结算时扣除未发生项目的费用）</w:t>
      </w:r>
    </w:p>
    <w:p>
      <w:pPr>
        <w:snapToGrid w:val="0"/>
        <w:spacing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highlight w:val="none"/>
        </w:rPr>
        <w:t>③</w:t>
      </w:r>
      <w:r>
        <w:rPr>
          <w:rFonts w:hint="eastAsia" w:ascii="宋体" w:hAnsi="宋体" w:cs="宋体"/>
          <w:color w:val="auto"/>
          <w:sz w:val="24"/>
          <w:szCs w:val="24"/>
          <w:highlight w:val="none"/>
          <w:u w:val="single"/>
        </w:rPr>
        <w:t>投标人预算包干费部分按投标人报价中的费率取费，费率结算时不作调整。</w:t>
      </w:r>
    </w:p>
    <w:p>
      <w:pPr>
        <w:snapToGrid w:val="0"/>
        <w:spacing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税金：税金按实计取，费率固定不变</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23.3双方约定合同价款的调整因素：</w:t>
      </w:r>
    </w:p>
    <w:p>
      <w:pPr>
        <w:numPr>
          <w:ilvl w:val="0"/>
          <w:numId w:val="2"/>
        </w:num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发包人及监理单位共同确认工程量偏差</w:t>
      </w:r>
      <w:r>
        <w:rPr>
          <w:rFonts w:hint="eastAsia" w:ascii="宋体" w:hAnsi="宋体" w:cs="宋体"/>
          <w:color w:val="auto"/>
          <w:sz w:val="24"/>
          <w:szCs w:val="24"/>
          <w:highlight w:val="none"/>
        </w:rPr>
        <w:t>；</w:t>
      </w:r>
    </w:p>
    <w:p>
      <w:pPr>
        <w:numPr>
          <w:ilvl w:val="0"/>
          <w:numId w:val="2"/>
        </w:num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发包人及监理单位共同确认工程变更、签证和新增工程</w:t>
      </w:r>
      <w:r>
        <w:rPr>
          <w:rFonts w:hint="eastAsia" w:ascii="宋体" w:hAnsi="宋体" w:cs="宋体"/>
          <w:color w:val="auto"/>
          <w:sz w:val="24"/>
          <w:szCs w:val="24"/>
          <w:highlight w:val="none"/>
        </w:rPr>
        <w:t>；</w:t>
      </w:r>
    </w:p>
    <w:p>
      <w:pPr>
        <w:numPr>
          <w:ilvl w:val="0"/>
          <w:numId w:val="2"/>
        </w:num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物价变化</w:t>
      </w:r>
      <w:r>
        <w:rPr>
          <w:rFonts w:hint="eastAsia" w:ascii="宋体" w:hAnsi="宋体" w:cs="宋体"/>
          <w:color w:val="auto"/>
          <w:sz w:val="24"/>
          <w:szCs w:val="24"/>
          <w:highlight w:val="none"/>
        </w:rPr>
        <w:t>；</w:t>
      </w:r>
    </w:p>
    <w:p>
      <w:pPr>
        <w:numPr>
          <w:ilvl w:val="0"/>
          <w:numId w:val="2"/>
        </w:num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费用索赔事件或发包人负责的其他情况</w:t>
      </w:r>
      <w:r>
        <w:rPr>
          <w:rFonts w:hint="eastAsia" w:ascii="宋体" w:hAnsi="宋体" w:cs="宋体"/>
          <w:color w:val="auto"/>
          <w:sz w:val="24"/>
          <w:szCs w:val="24"/>
          <w:highlight w:val="none"/>
        </w:rPr>
        <w:t>。</w:t>
      </w:r>
    </w:p>
    <w:p>
      <w:pPr>
        <w:snapToGrid w:val="0"/>
        <w:spacing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以上调整事项涉及的价款计价原则按专用条款23.5款约定执行。</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23.4承包人应在专用条款23.3款情况发生后</w:t>
      </w:r>
      <w:r>
        <w:rPr>
          <w:rFonts w:hint="eastAsia" w:ascii="宋体" w:hAnsi="宋体" w:cs="宋体"/>
          <w:color w:val="auto"/>
          <w:sz w:val="24"/>
          <w:szCs w:val="24"/>
          <w:highlight w:val="none"/>
          <w:u w:val="single"/>
        </w:rPr>
        <w:t>3天</w:t>
      </w:r>
      <w:r>
        <w:rPr>
          <w:rFonts w:hint="eastAsia" w:ascii="宋体" w:hAnsi="宋体" w:cs="宋体"/>
          <w:color w:val="auto"/>
          <w:sz w:val="24"/>
          <w:szCs w:val="24"/>
          <w:highlight w:val="none"/>
        </w:rPr>
        <w:t>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23.5</w:t>
      </w:r>
      <w:r>
        <w:rPr>
          <w:rFonts w:hint="eastAsia" w:ascii="宋体" w:hAnsi="宋体" w:cs="宋体"/>
          <w:color w:val="auto"/>
          <w:sz w:val="24"/>
          <w:szCs w:val="24"/>
          <w:highlight w:val="none"/>
          <w:u w:val="single"/>
        </w:rPr>
        <w:t>合同价款调整原则</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23.5.1</w:t>
      </w:r>
      <w:r>
        <w:rPr>
          <w:rFonts w:hint="eastAsia" w:ascii="宋体" w:hAnsi="宋体" w:cs="宋体"/>
          <w:color w:val="auto"/>
          <w:sz w:val="24"/>
          <w:szCs w:val="24"/>
          <w:highlight w:val="none"/>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r>
        <w:rPr>
          <w:rFonts w:hint="eastAsia" w:ascii="宋体" w:hAnsi="宋体" w:cs="宋体"/>
          <w:color w:val="auto"/>
          <w:sz w:val="24"/>
          <w:szCs w:val="24"/>
          <w:highlight w:val="none"/>
        </w:rPr>
        <w:t>。</w:t>
      </w:r>
    </w:p>
    <w:p>
      <w:pPr>
        <w:snapToGrid w:val="0"/>
        <w:spacing w:line="440" w:lineRule="exact"/>
        <w:ind w:firstLine="338" w:firstLineChars="14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合同工程量清单中有相同适用项目的，则采用该项目投标综合单价；合同工程量清单中相同适用项目有多个的，取最有利于发包人的相同适用项目的投标综合单价。但新增工程量超过15%的，比较招标控制价对应的综合单价并执行中标下浮率和投标综合单价，取两者的较小值作为超出15%的新增工程量的综合单价</w:t>
      </w:r>
      <w:r>
        <w:rPr>
          <w:rFonts w:hint="eastAsia" w:ascii="宋体" w:hAnsi="宋体" w:cs="宋体"/>
          <w:color w:val="auto"/>
          <w:sz w:val="24"/>
          <w:szCs w:val="24"/>
          <w:highlight w:val="none"/>
        </w:rPr>
        <w:t>。</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r>
        <w:rPr>
          <w:rFonts w:hint="eastAsia" w:ascii="宋体" w:hAnsi="宋体" w:cs="宋体"/>
          <w:color w:val="auto"/>
          <w:sz w:val="24"/>
          <w:szCs w:val="24"/>
          <w:highlight w:val="none"/>
        </w:rPr>
        <w:t>。</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合同工程量清单报价中没有相同或类似适用项目的，按以下原则计价</w:t>
      </w:r>
      <w:r>
        <w:rPr>
          <w:rFonts w:hint="eastAsia" w:ascii="宋体" w:hAnsi="宋体" w:cs="宋体"/>
          <w:color w:val="auto"/>
          <w:sz w:val="24"/>
          <w:szCs w:val="24"/>
          <w:highlight w:val="none"/>
        </w:rPr>
        <w:t>：</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① </w:t>
      </w:r>
      <w:r>
        <w:rPr>
          <w:rFonts w:hint="eastAsia" w:ascii="宋体" w:hAnsi="宋体" w:cs="宋体"/>
          <w:color w:val="auto"/>
          <w:sz w:val="24"/>
          <w:szCs w:val="24"/>
          <w:highlight w:val="none"/>
          <w:u w:val="single"/>
        </w:rPr>
        <w:t>由承包人依据变更工程资料，计量原则，按《广东省市政工程综合定额》（2018年）、《广东省房屋建筑与装饰工程综合定额》（2018年）、《广东省通用安装工程综合定额》（2018年）、《广东省园林绿化工程综合定额》（2018年）、《广东省建设工程施工机具台班费用编制规则（2018）等相关定额标准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szCs w:val="24"/>
          <w:highlight w:val="none"/>
        </w:rPr>
        <w:t>。</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② </w:t>
      </w:r>
      <w:r>
        <w:rPr>
          <w:rFonts w:hint="eastAsia" w:ascii="宋体" w:hAnsi="宋体" w:cs="宋体"/>
          <w:color w:val="auto"/>
          <w:sz w:val="24"/>
          <w:szCs w:val="24"/>
          <w:highlight w:val="none"/>
          <w:u w:val="single"/>
        </w:rPr>
        <w:t>合同工程量清单没有相同或相类似且无相关定额的项目，承包人参照《广东省市政工程综合定额》（2018年）、《广东省房屋建筑与装饰工程综合定额》（2018年）、《广东省通用安装工程综合定额》（2018年）、《广东省园林绿化工程综合定额》（2018年）、《广东省建设工程施工机具台班费用编制规则（2018）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szCs w:val="24"/>
          <w:highlight w:val="none"/>
        </w:rPr>
        <w:t>。</w:t>
      </w:r>
    </w:p>
    <w:p>
      <w:pPr>
        <w:pStyle w:val="44"/>
        <w:adjustRightInd w:val="0"/>
        <w:snapToGrid w:val="0"/>
        <w:spacing w:line="440" w:lineRule="exact"/>
        <w:ind w:right="11"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按上述原则确定价格时，措施项目费用（除施工围蔽外）不计取,清单计价及税金的计取，应符合《广东省住房和城乡建设厅关于营业税改征增值税后调整广东省建设工程计价依据的通知》（粤建市【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广东省住房和城乡建设厅关于印发&lt;广东省建设工程计价依据（2018)&gt;的通知》（穗建市〔2019〕6号）等相关文件的规定。</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23.5.2 </w:t>
      </w:r>
      <w:r>
        <w:rPr>
          <w:rFonts w:hint="eastAsia" w:ascii="宋体" w:hAnsi="宋体" w:cs="宋体"/>
          <w:color w:val="auto"/>
          <w:sz w:val="24"/>
          <w:szCs w:val="24"/>
          <w:highlight w:val="none"/>
          <w:u w:val="single"/>
        </w:rPr>
        <w:t>工程量发生变化时，如项目综合单价与招标控制价对应的综合单价×（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hint="eastAsia" w:ascii="宋体" w:hAnsi="宋体" w:cs="宋体"/>
          <w:color w:val="auto"/>
          <w:sz w:val="24"/>
          <w:szCs w:val="24"/>
          <w:highlight w:val="none"/>
        </w:rPr>
        <w:t>。</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23.5.3</w:t>
      </w:r>
      <w:r>
        <w:rPr>
          <w:rFonts w:hint="eastAsia" w:ascii="宋体" w:hAnsi="宋体" w:cs="宋体"/>
          <w:color w:val="auto"/>
          <w:sz w:val="24"/>
          <w:szCs w:val="24"/>
          <w:highlight w:val="none"/>
          <w:u w:val="single"/>
        </w:rPr>
        <w:t>物价涨跌的价格调整</w:t>
      </w:r>
    </w:p>
    <w:p>
      <w:pPr>
        <w:snapToGrid w:val="0"/>
        <w:spacing w:line="440" w:lineRule="exact"/>
        <w:ind w:firstLine="338" w:firstLineChars="14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合同履行期间，出现工程造价管理机构发布的人工、材料、工程设备和施工设备、机械台班单价涨跌超过本工程招标文件规定的投标截止日期前第28天时广州市建设工程造价管理部门发布的人工、材料、工程设备和施工设备、机械台班相应单价且符合以下规定的，应调整合同价款。</w:t>
      </w:r>
    </w:p>
    <w:p>
      <w:pPr>
        <w:snapToGrid w:val="0"/>
        <w:spacing w:line="440" w:lineRule="exact"/>
        <w:ind w:firstLine="338" w:firstLineChars="14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承包人承担工料机价格涨跌幅度在10%以内（含10%）的风险，不予调整合同价款；工料机价格涨跌幅度超过10%时，可以调整合同价款, 调整范围为人工、机械台班、砂、碎石、石屑，及《印发&lt;关于区财政投资工程人工、材料（设备）、机械价格调整的意见&gt;的通知》（穗开环建〔2008〕59号）附件《各类工程可调价差材料（设备）清单》中对应工程类别规定的可调价材料（设备）且属《广州地区建设工程常用材料税前综合价格》（以下简称“综合价格”）包含的材料、设备；“综合价格”中没有的材料、设备均不予调整。</w:t>
      </w:r>
    </w:p>
    <w:p>
      <w:pPr>
        <w:snapToGrid w:val="0"/>
        <w:spacing w:line="440" w:lineRule="exact"/>
        <w:ind w:firstLine="338" w:firstLineChars="14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（2）价款调整的方法</w:t>
      </w:r>
    </w:p>
    <w:p>
      <w:pPr>
        <w:snapToGrid w:val="0"/>
        <w:spacing w:line="440" w:lineRule="exact"/>
        <w:ind w:firstLine="338" w:firstLineChars="14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①当人工、机械台班、可调价格的材料设备价格上涨幅度超过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pPr>
        <w:snapToGrid w:val="0"/>
        <w:spacing w:line="440" w:lineRule="exact"/>
        <w:ind w:firstLine="338" w:firstLineChars="14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② 价款调整以各调价工料机的数量乘以单价价差，再乘以（1-中标下浮率）计算。各工料机的数量按该当期实际完成的适用投标单价项目的工程量计取，各调价工料机的单价价差以广州市建设工程造价管理部门发布的价格信息为依据，按施工当月信息价格与招标文件规定的投标截止日期前第28天时广州市建设工程造价管理部门发布的人工、材料、工程设备和施工设备、机械台班信息价格差值计取。</w:t>
      </w:r>
    </w:p>
    <w:p>
      <w:pPr>
        <w:snapToGrid w:val="0"/>
        <w:spacing w:line="440" w:lineRule="exact"/>
        <w:ind w:firstLine="338" w:firstLineChars="14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③ 价款调整以月为单位计算，结算时一次性调整，如施工期间需调整价款的，经发包人、承包人协商一致后可签订价差补充协议，作为追加（减）合同价款和支付工程进度款的依据。</w:t>
      </w:r>
    </w:p>
    <w:p>
      <w:pPr>
        <w:snapToGrid w:val="0"/>
        <w:spacing w:line="440" w:lineRule="exact"/>
        <w:ind w:firstLine="338" w:firstLineChars="14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④ 各调价材料、设备的信息价格按广州市建设工程造价管理部门发布的当月 “综合价格”计取，综合价格中没有的材料、设备单价，价差不予调整。</w:t>
      </w:r>
    </w:p>
    <w:p>
      <w:pPr>
        <w:snapToGrid w:val="0"/>
        <w:spacing w:line="440" w:lineRule="exact"/>
        <w:ind w:firstLine="338" w:firstLineChars="14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（3）由于承包人原因导致工期延误的，所延误时段内物价上涨的风险全部由承包人承担，不予调整；如物价下跌，则仍按第（2）款约定计算及扣回相应价款。</w:t>
      </w:r>
    </w:p>
    <w:p>
      <w:pPr>
        <w:snapToGrid w:val="0"/>
        <w:spacing w:line="440" w:lineRule="exact"/>
        <w:ind w:firstLine="338" w:firstLineChars="141"/>
        <w:rPr>
          <w:rFonts w:hint="eastAsia" w:ascii="宋体" w:hAnsi="宋体" w:cs="宋体"/>
          <w:b/>
          <w:color w:val="auto"/>
          <w:sz w:val="24"/>
          <w:highlight w:val="none"/>
        </w:rPr>
      </w:pPr>
      <w:r>
        <w:rPr>
          <w:rFonts w:hint="eastAsia" w:ascii="宋体" w:hAnsi="宋体" w:cs="宋体"/>
          <w:color w:val="auto"/>
          <w:sz w:val="24"/>
          <w:highlight w:val="none"/>
        </w:rPr>
        <w:t>24</w:t>
      </w:r>
      <w:r>
        <w:rPr>
          <w:rFonts w:hint="eastAsia" w:ascii="宋体" w:hAnsi="宋体" w:cs="宋体"/>
          <w:b/>
          <w:color w:val="auto"/>
          <w:sz w:val="24"/>
          <w:highlight w:val="none"/>
        </w:rPr>
        <w:t>、工程预付款、工人工资</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24.1工程预付款</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24.1.1发包人向承包人预付工程款的时间和金额或占合同价款总额的比例：按广州开发区财政投资建设项目管理中心 《关于加强建设工程预付款管理的通知》及相关规定核查，承包人相关情况符合要求，且合同生效及财政拨款到位后，发包人预付合同价【扣除绿色施工安全防护措施费，若工程量清单中有暂定金则扣除暂定金（含暂列金额和暂估价）部分】的</w:t>
      </w:r>
      <w:r>
        <w:rPr>
          <w:rFonts w:hint="eastAsia" w:ascii="宋体" w:hAnsi="宋体" w:cs="宋体"/>
          <w:color w:val="auto"/>
          <w:sz w:val="24"/>
          <w:szCs w:val="24"/>
          <w:highlight w:val="none"/>
          <w:u w:val="single"/>
          <w:lang w:eastAsia="zh-CN"/>
        </w:rPr>
        <w:t>2</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%作为预付款，但最高不超过</w:t>
      </w:r>
      <w:r>
        <w:rPr>
          <w:rFonts w:hint="eastAsia" w:ascii="宋体" w:hAnsi="宋体" w:cs="宋体"/>
          <w:color w:val="auto"/>
          <w:sz w:val="24"/>
          <w:szCs w:val="24"/>
          <w:highlight w:val="none"/>
          <w:u w:val="single"/>
          <w:lang w:eastAsia="zh-CN"/>
        </w:rPr>
        <w:t>3</w:t>
      </w:r>
      <w:r>
        <w:rPr>
          <w:rFonts w:hint="eastAsia" w:ascii="宋体" w:hAnsi="宋体" w:cs="宋体"/>
          <w:color w:val="auto"/>
          <w:sz w:val="24"/>
          <w:szCs w:val="24"/>
          <w:highlight w:val="none"/>
          <w:u w:val="single"/>
          <w:lang w:val="en-US" w:eastAsia="zh-CN"/>
        </w:rPr>
        <w:t>000</w:t>
      </w:r>
      <w:r>
        <w:rPr>
          <w:rFonts w:hint="eastAsia" w:ascii="宋体" w:hAnsi="宋体" w:cs="宋体"/>
          <w:color w:val="auto"/>
          <w:sz w:val="24"/>
          <w:szCs w:val="24"/>
          <w:highlight w:val="none"/>
        </w:rPr>
        <w:t>万元。预付款中，（预付款×工人工资比例）的部分需支付至工人工资专用账户。</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24.1.2承包人收取预付款后，应优先用于按有关规定缴纳工伤保险和办理建筑意外伤害险，专款专用。</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24.1.3扣回预付款的时间、比例：按本合同专用条款26条约定执行。</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24.2工人工资</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24.2.1承包人需按有关规定与商业银行另行签订广州市建设领域工人工资支付专用账户管理协议、开设专用账户并报发包人备案,工人工资支付至专用账户。</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24.2.2工人工资进度款与工程进度款同步支付，其中每期需支付的工程进度款×工人工资比例为该期工人工资进度款，支付至工人工资专用账户。</w:t>
      </w:r>
    </w:p>
    <w:p>
      <w:pPr>
        <w:snapToGrid w:val="0"/>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25</w:t>
      </w:r>
      <w:r>
        <w:rPr>
          <w:rFonts w:hint="eastAsia" w:ascii="宋体" w:hAnsi="宋体" w:cs="宋体"/>
          <w:b/>
          <w:color w:val="auto"/>
          <w:sz w:val="24"/>
          <w:highlight w:val="none"/>
        </w:rPr>
        <w:t>、工程量确认</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25.1承包人向工程师提交已完工程量报告的时间：</w:t>
      </w:r>
      <w:r>
        <w:rPr>
          <w:rFonts w:hint="eastAsia" w:ascii="宋体" w:hAnsi="宋体" w:cs="宋体"/>
          <w:color w:val="auto"/>
          <w:sz w:val="24"/>
          <w:szCs w:val="24"/>
          <w:highlight w:val="none"/>
          <w:u w:val="single"/>
        </w:rPr>
        <w:t>自开工之日起每周及每月报告已完成工程状况</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25.2双方一致同意不适用通用条款25.2款，承包人完成工程量必须经发包人书面确认。</w:t>
      </w:r>
    </w:p>
    <w:p>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26、</w:t>
      </w:r>
      <w:r>
        <w:rPr>
          <w:rFonts w:hint="eastAsia" w:ascii="宋体" w:hAnsi="宋体" w:cs="宋体"/>
          <w:b/>
          <w:color w:val="auto"/>
          <w:sz w:val="24"/>
          <w:highlight w:val="none"/>
        </w:rPr>
        <w:t>工程款（进度款）支付</w:t>
      </w:r>
    </w:p>
    <w:p>
      <w:pPr>
        <w:snapToGri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26.1双方约定的工程款（进度款）支付采取如下的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26.1.2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方式进行：</w:t>
      </w:r>
    </w:p>
    <w:p>
      <w:pPr>
        <w:snapToGri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26.1.1按累计完成工作量百分率支付工程款（进度款）方式：</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当完成工作量达到60%时，支付工程进度款   %【累计付款(含已支付的绿色施工安全防护措施费)至合同价款若有暂定金(含暂列金额和暂估价)扣除未计量部分暂定金(含暂列金额和暂估价)后的55%】</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工程完工，并通过初验后支付合同价款30%【累计付款(含绿色施工安全防护措施费）至合同价款若有暂定金(含暂列金额和暂估价)扣除未计量部分暂定金(含暂列金额和暂估价)后的85%】</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工程通过验收并经广州开发区财政局审定施工结算后支付工程款(含绿色施工安全防护措施费）至结算价的97%；工程结算价款额度的3%作为质量保修金，待缺陷责任期结束后结清（不计利息）</w:t>
      </w:r>
      <w:r>
        <w:rPr>
          <w:rFonts w:hint="eastAsia" w:ascii="宋体" w:hAnsi="宋体" w:cs="宋体"/>
          <w:color w:val="auto"/>
          <w:sz w:val="24"/>
          <w:szCs w:val="24"/>
          <w:highlight w:val="none"/>
        </w:rPr>
        <w:t>。</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26.1.2按月度支付工程款（进度款）：</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承包人每月上报完成工程量报表，经监理审核及发包人确认后，发包人按经审定月度完成工程量的85%支付工程进度款</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从本工程发生的第一次进度款支付起，发包人每次按审定月度完成工程量的85%中之50%扣回预付款，每次按审定月度完成工程量的85%扣除应扣回的预付款后支付承包人当次的工程进度款，直至预付款全部扣回完毕止。预付款扣回完毕后，发包人按审定月度完成工程量的85%支付工程进度款；工程完工，累计支付工程款（含绿色施工安全防护措施费）至合同价若有暂定金（含暂列金额及暂估价）则扣除未计量部分暂定金后的85%</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工程通过验收并经广州开发区财政局审定施工结算后支付工程款（含绿色施工安全防护措施费）至结算价的97%；工程结算价款额度的3%作为质量保修金，待缺陷责任期结束后结清（不计利息）</w:t>
      </w:r>
      <w:r>
        <w:rPr>
          <w:rFonts w:hint="eastAsia" w:ascii="宋体" w:hAnsi="宋体" w:cs="宋体"/>
          <w:color w:val="auto"/>
          <w:sz w:val="24"/>
          <w:szCs w:val="24"/>
          <w:highlight w:val="none"/>
        </w:rPr>
        <w:t>。</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pPr>
        <w:adjustRightInd w:val="0"/>
        <w:snapToGrid w:val="0"/>
        <w:spacing w:line="440" w:lineRule="exact"/>
        <w:ind w:right="11"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26.2所有因变更、签证及价格调整等原因所调整增加的工程价款均应由承包人按广州开发区、黄埔区及发包人相关规定程序，报监理初审，并经发包人审批同意后，按审定金额另行签订补充协议支付，或在工程结算中一并支付。</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26.4工程价款的支付条件：</w:t>
      </w:r>
    </w:p>
    <w:p>
      <w:pPr>
        <w:snapToGrid w:val="0"/>
        <w:spacing w:line="440" w:lineRule="exact"/>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（1）支付预付款：</w:t>
      </w:r>
      <w:r>
        <w:rPr>
          <w:rFonts w:hint="eastAsia" w:ascii="宋体" w:hAnsi="宋体" w:cs="宋体"/>
          <w:color w:val="auto"/>
          <w:sz w:val="24"/>
          <w:szCs w:val="24"/>
          <w:highlight w:val="none"/>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按可开工部分的工程量占总工程量的比例做相应调整</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（2）支付工程款（进度款）：</w:t>
      </w:r>
      <w:r>
        <w:rPr>
          <w:rFonts w:hint="eastAsia" w:ascii="宋体" w:hAnsi="宋体" w:cs="宋体"/>
          <w:color w:val="auto"/>
          <w:sz w:val="24"/>
          <w:szCs w:val="24"/>
          <w:highlight w:val="none"/>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Pr>
          <w:rFonts w:hint="eastAsia" w:ascii="宋体" w:hAnsi="宋体" w:cs="宋体"/>
          <w:color w:val="auto"/>
          <w:sz w:val="24"/>
          <w:szCs w:val="24"/>
          <w:highlight w:val="none"/>
        </w:rPr>
        <w:t>。</w:t>
      </w:r>
    </w:p>
    <w:p>
      <w:pPr>
        <w:pStyle w:val="26"/>
        <w:snapToGrid w:val="0"/>
        <w:spacing w:line="440" w:lineRule="exact"/>
        <w:ind w:firstLine="480" w:firstLineChars="200"/>
        <w:rPr>
          <w:rFonts w:hint="eastAsia" w:ascii="宋体" w:hAnsi="宋体" w:cs="宋体"/>
          <w:color w:val="auto"/>
          <w:sz w:val="24"/>
          <w:szCs w:val="24"/>
          <w:highlight w:val="none"/>
        </w:rPr>
      </w:pPr>
    </w:p>
    <w:p>
      <w:pPr>
        <w:pStyle w:val="26"/>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26.5</w:t>
      </w:r>
      <w:r>
        <w:rPr>
          <w:rFonts w:hint="eastAsia" w:ascii="宋体" w:hAnsi="宋体" w:cs="宋体"/>
          <w:color w:val="auto"/>
          <w:sz w:val="24"/>
          <w:szCs w:val="24"/>
          <w:highlight w:val="none"/>
          <w:u w:val="single"/>
        </w:rPr>
        <w:t>绿色施工安全防护措施费</w:t>
      </w:r>
      <w:r>
        <w:rPr>
          <w:rFonts w:hint="eastAsia" w:ascii="宋体" w:hAnsi="宋体" w:cs="宋体"/>
          <w:color w:val="auto"/>
          <w:sz w:val="24"/>
          <w:szCs w:val="24"/>
          <w:highlight w:val="none"/>
        </w:rPr>
        <w:t>支付的支付条件：</w:t>
      </w:r>
    </w:p>
    <w:p>
      <w:pPr>
        <w:pStyle w:val="26"/>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绿色施工安全防护措施费</w:t>
      </w:r>
      <w:r>
        <w:rPr>
          <w:rFonts w:hint="eastAsia" w:ascii="宋体" w:hAnsi="宋体" w:cs="宋体"/>
          <w:color w:val="auto"/>
          <w:sz w:val="24"/>
          <w:szCs w:val="24"/>
          <w:highlight w:val="none"/>
        </w:rPr>
        <w:t>按在工程投标最高报价中的</w:t>
      </w:r>
      <w:r>
        <w:rPr>
          <w:rFonts w:hint="eastAsia" w:ascii="宋体" w:hAnsi="宋体" w:cs="宋体"/>
          <w:color w:val="auto"/>
          <w:sz w:val="24"/>
          <w:szCs w:val="24"/>
          <w:highlight w:val="none"/>
          <w:u w:val="single"/>
        </w:rPr>
        <w:t>绿色施工安全防护措施费</w:t>
      </w:r>
      <w:r>
        <w:rPr>
          <w:rFonts w:hint="eastAsia" w:ascii="宋体" w:hAnsi="宋体" w:cs="宋体"/>
          <w:color w:val="auto"/>
          <w:sz w:val="24"/>
          <w:szCs w:val="24"/>
          <w:highlight w:val="none"/>
        </w:rPr>
        <w:t>用计取，专款专用，并从本施工合同价款中提取（</w:t>
      </w:r>
      <w:r>
        <w:rPr>
          <w:rFonts w:hint="eastAsia" w:ascii="宋体" w:hAnsi="宋体" w:cs="宋体"/>
          <w:color w:val="auto"/>
          <w:sz w:val="24"/>
          <w:szCs w:val="24"/>
          <w:highlight w:val="none"/>
          <w:u w:val="single"/>
        </w:rPr>
        <w:t>绿色施工安全防护措施费</w:t>
      </w:r>
      <w:r>
        <w:rPr>
          <w:rFonts w:hint="eastAsia" w:ascii="宋体" w:hAnsi="宋体" w:cs="宋体"/>
          <w:color w:val="auto"/>
          <w:sz w:val="24"/>
          <w:szCs w:val="24"/>
          <w:highlight w:val="none"/>
        </w:rPr>
        <w:t>已包含在本工程中标价即施工合同价中）。该费用根据《关于加强安全文明施工管理及措施费支付管理的通知》（穗开建管〔2015〕7号）及“穗建筑【2008】967号及“穗建筑【2018】981号”文规定，分阶段支付</w:t>
      </w:r>
      <w:r>
        <w:rPr>
          <w:rFonts w:hint="eastAsia" w:ascii="宋体" w:hAnsi="宋体" w:cs="宋体"/>
          <w:color w:val="auto"/>
          <w:sz w:val="24"/>
          <w:szCs w:val="24"/>
          <w:highlight w:val="none"/>
          <w:u w:val="single"/>
        </w:rPr>
        <w:t>绿色施工安全防护措施费</w:t>
      </w:r>
      <w:r>
        <w:rPr>
          <w:rFonts w:hint="eastAsia" w:ascii="宋体" w:hAnsi="宋体" w:cs="宋体"/>
          <w:color w:val="auto"/>
          <w:sz w:val="24"/>
          <w:szCs w:val="24"/>
          <w:highlight w:val="none"/>
        </w:rPr>
        <w:t>：</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1、施工单位进场完成工地围墙、大门、临时设施、洗车槽、水枪、场内道路硬化、绿化、钢筋堆放点及加工场、垃圾收集点等部位的建设或布置后，由广州开发区安监机构、建设业主、代建单位（如有）、监理单位根据《广州市建设工程文明施工管理规定》、《广州市建设工程文明施工标准》等有关规定，对施工现场进行现场验收并拍照留存，《建设工程项目申办施工许可证安全文明施工现场查勘表》或者《建设工程项目安全生产及文明施工检查记录表》评为合格或以上且财政拨款到位后，支付绿色施工安全防护措施费的50%。</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2、房建工程完成主体结构封顶、市政工程完成路基工作、其它工程完成合同约定工程量的60%后，再次按上述要求进行现场验收并拍照留存，《建筑工程安全中间检查评价表》或者《建设工程项目安全生产及文明施工检查记录表》评为合格或以上且财政拨款到位后，再支付绿色施工安全防护措施费的40%。</w:t>
      </w:r>
    </w:p>
    <w:p>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3、工程完工，《建设工程施工安全评价书》评为合格或以上后，再支付相应绿色施工安全防护措施费的10%。</w:t>
      </w:r>
    </w:p>
    <w:p>
      <w:pPr>
        <w:pStyle w:val="46"/>
        <w:spacing w:line="440" w:lineRule="exact"/>
        <w:ind w:firstLine="480"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26.6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pPr>
        <w:snapToGrid w:val="0"/>
        <w:spacing w:line="440" w:lineRule="exact"/>
        <w:ind w:firstLine="480" w:firstLineChars="200"/>
        <w:rPr>
          <w:rFonts w:hint="eastAsia" w:ascii="宋体" w:hAnsi="宋体" w:cs="宋体"/>
          <w:color w:val="auto"/>
          <w:sz w:val="24"/>
          <w:szCs w:val="24"/>
          <w:highlight w:val="none"/>
        </w:rPr>
      </w:pP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七、材料设备供应</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27、发包人供应材料设备</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27.4发包人供应的材料设备与一览表不符时，双方约定发包人承担责任如下：</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（1）材料设备单价与一览表不符：</w:t>
      </w:r>
      <w:r>
        <w:rPr>
          <w:rFonts w:hint="eastAsia" w:ascii="宋体" w:hAnsi="宋体" w:cs="宋体"/>
          <w:color w:val="auto"/>
          <w:sz w:val="24"/>
          <w:szCs w:val="24"/>
          <w:highlight w:val="none"/>
          <w:u w:val="single"/>
        </w:rPr>
        <mc:AlternateContent>
          <mc:Choice Requires="wps">
            <w:drawing>
              <wp:anchor distT="0" distB="0" distL="114300" distR="114300" simplePos="0" relativeHeight="251663360"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29" name="_x0000_s103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30" o:spid="_x0000_s1026" o:spt="20" style="position:absolute;left:0pt;margin-left:280pt;margin-top:0pt;height:0pt;width:0.05pt;z-index:251663360;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OXkENMAAAAFAQAADwAAAAAAAAAB&#10;ACAAAAAiAAAAZHJzL2Rvd25yZXYueG1sUEsBAhQAFAAAAAgAh07iQEPMsCDcAQAA3AMAAA4AAAAA&#10;AAAAAQAgAAAAIgEAAGRycy9lMm9Eb2MueG1sUEsFBgAAAAAGAAYAWQEAAHAFA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（2）材料设备的品种、规格、型号、质量等级与一览表不符：</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（3）承包人可代为调剂串换的材料：</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（4）到货地点与一览表不符：</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（5）供应数量与一览表不符：</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tabs>
          <w:tab w:val="left" w:pos="700"/>
        </w:tabs>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（6）到货时间与一览表不符；</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tabs>
          <w:tab w:val="left" w:pos="700"/>
        </w:tabs>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27.6发包人供应材料设备的结算方法：</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28、承包人采购材料设备</w:t>
      </w:r>
    </w:p>
    <w:p>
      <w:pPr>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28.1承包人采购材料设备的约定：</w:t>
      </w:r>
      <w:r>
        <w:rPr>
          <w:rFonts w:hint="eastAsia" w:ascii="宋体" w:hAnsi="宋体" w:cs="宋体"/>
          <w:color w:val="auto"/>
          <w:sz w:val="24"/>
          <w:szCs w:val="24"/>
          <w:highlight w:val="none"/>
          <w:u w:val="single"/>
        </w:rPr>
        <w:t>由承包人负责采购材料设备的，按招标文件规定和本合同专用条款第47.28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24小时通知工程师清点。</w:t>
      </w:r>
    </w:p>
    <w:p>
      <w:pPr>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28.2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承包人承担。</w:t>
      </w:r>
    </w:p>
    <w:p>
      <w:pPr>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28.3所有材料、设备报价必须报监理、业主同意后方可使用。</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八、工程变更</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29、工程设计变更</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29.4</w:t>
      </w:r>
      <w:r>
        <w:rPr>
          <w:rFonts w:hint="eastAsia" w:ascii="宋体" w:hAnsi="宋体" w:cs="宋体"/>
          <w:color w:val="auto"/>
          <w:sz w:val="24"/>
          <w:szCs w:val="24"/>
          <w:highlight w:val="none"/>
          <w:u w:val="single"/>
        </w:rPr>
        <w:t>开工前，发包人组织承包人、监理单位、设计单位对施工图纸进行会审。如需实施工程变更签证，承包人需在实施相应变更签证2个月前向发包人提出（确属不可预见因素除外）。否则工程实施过程中每实施一项变更签证，承包人须按该变更签证工程价款的3%向发包人支付违约金，引起的工期延误不予顺延</w:t>
      </w:r>
      <w:r>
        <w:rPr>
          <w:rFonts w:hint="eastAsia" w:ascii="宋体" w:hAnsi="宋体" w:cs="宋体"/>
          <w:color w:val="auto"/>
          <w:sz w:val="24"/>
          <w:szCs w:val="24"/>
          <w:highlight w:val="none"/>
        </w:rPr>
        <w:t>。</w:t>
      </w:r>
      <w:r>
        <w:rPr>
          <w:rFonts w:hint="eastAsia" w:ascii="宋体" w:hAnsi="宋体" w:cs="宋体"/>
          <w:i/>
          <w:color w:val="auto"/>
          <w:sz w:val="24"/>
          <w:szCs w:val="24"/>
          <w:highlight w:val="none"/>
        </w:rPr>
        <w:t>（注：涂色部分为3000万以上项目适用，3000万以下项目请删除）</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同时，如实施工程变更，承包人应以书面形式通知发包人和监理工程师，经监理工程师审查并报发包人同意后，由发包人与设计单位商定修改或变更设计方案进行实施</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29.5</w:t>
      </w:r>
      <w:r>
        <w:rPr>
          <w:rFonts w:hint="eastAsia" w:ascii="宋体" w:hAnsi="宋体" w:cs="宋体"/>
          <w:color w:val="auto"/>
          <w:sz w:val="24"/>
          <w:szCs w:val="24"/>
          <w:highlight w:val="none"/>
          <w:u w:val="single"/>
        </w:rPr>
        <w:t>变更应由监理工程师发出变更指令，没有监理工程师的指令，承包人不得进行上述变更</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29.6</w:t>
      </w:r>
      <w:r>
        <w:rPr>
          <w:rFonts w:hint="eastAsia" w:ascii="宋体" w:hAnsi="宋体" w:cs="宋体"/>
          <w:color w:val="auto"/>
          <w:sz w:val="24"/>
          <w:szCs w:val="24"/>
          <w:highlight w:val="none"/>
          <w:u w:val="single"/>
        </w:rPr>
        <w:t>按施工图纸实施使得工程量少于施工合同工程量清单中已确定或有规定的数量的，则该项工程量减少不需要任何指令</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29.7</w:t>
      </w:r>
      <w:r>
        <w:rPr>
          <w:rFonts w:hint="eastAsia" w:ascii="宋体" w:hAnsi="宋体" w:cs="宋体"/>
          <w:color w:val="auto"/>
          <w:sz w:val="24"/>
          <w:szCs w:val="24"/>
          <w:highlight w:val="none"/>
          <w:u w:val="single"/>
        </w:rPr>
        <w:t>所有涉及工期和工程量的变更均应获得发包人书面批准才能生效</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29.8</w:t>
      </w:r>
      <w:r>
        <w:rPr>
          <w:rFonts w:hint="eastAsia" w:ascii="宋体" w:hAnsi="宋体" w:cs="宋体"/>
          <w:color w:val="auto"/>
          <w:sz w:val="24"/>
          <w:szCs w:val="24"/>
          <w:highlight w:val="none"/>
          <w:u w:val="single"/>
        </w:rPr>
        <w:t>当发包人提出变更通知，承包人认为产生了增加费用，承包人应在发包人提出通知要求后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29.9</w:t>
      </w:r>
      <w:r>
        <w:rPr>
          <w:rFonts w:hint="eastAsia" w:ascii="宋体" w:hAnsi="宋体" w:cs="宋体"/>
          <w:color w:val="auto"/>
          <w:sz w:val="24"/>
          <w:szCs w:val="24"/>
          <w:highlight w:val="none"/>
          <w:u w:val="single"/>
        </w:rPr>
        <w:t>工程变更申报程序按广州开发区、黄埔区以及建设业主的有关规定执行</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29.10</w:t>
      </w:r>
      <w:r>
        <w:rPr>
          <w:rFonts w:hint="eastAsia" w:ascii="宋体" w:hAnsi="宋体" w:cs="宋体"/>
          <w:color w:val="auto"/>
          <w:sz w:val="24"/>
          <w:szCs w:val="24"/>
          <w:highlight w:val="none"/>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30、其它变更</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30.1工程现场签证：</w:t>
      </w:r>
      <w:r>
        <w:rPr>
          <w:rFonts w:hint="eastAsia" w:ascii="宋体" w:hAnsi="宋体" w:cs="宋体"/>
          <w:color w:val="auto"/>
          <w:sz w:val="24"/>
          <w:szCs w:val="24"/>
          <w:highlight w:val="none"/>
          <w:u w:val="single"/>
        </w:rPr>
        <w:t>工程现场签证是指施工生产活动中用以证实在施工中遇到的某些特殊情况的一种书面证明资料，一般指按承发包合同约定，由承发包双方代表就施工过程中涉及合同价款之外的责任事件所作的签认证明</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承包人需对施工图纸进行会审，如需对工程量清单错漏进行确认，承包人需在前四分之一工期阶段内且最长不得超过中标通知书发出之日起6个月内向发包人提出，并按</w:t>
      </w:r>
      <w:r>
        <w:rPr>
          <w:rFonts w:hint="eastAsia" w:ascii="宋体" w:hAnsi="宋体" w:cs="宋体"/>
          <w:color w:val="auto"/>
          <w:sz w:val="24"/>
          <w:highlight w:val="none"/>
          <w:u w:val="single"/>
        </w:rPr>
        <w:t>《广州开发区财政投资建设项目管理中心工程量清单错漏申报管理办法（2021年）》（穗开建管〔2021〕78号）</w:t>
      </w:r>
      <w:r>
        <w:rPr>
          <w:rFonts w:hint="eastAsia" w:ascii="宋体" w:hAnsi="宋体" w:cs="宋体"/>
          <w:color w:val="auto"/>
          <w:sz w:val="24"/>
          <w:szCs w:val="24"/>
          <w:highlight w:val="none"/>
          <w:u w:val="single"/>
        </w:rPr>
        <w:t>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30.2签证的计价：</w:t>
      </w:r>
      <w:r>
        <w:rPr>
          <w:rFonts w:hint="eastAsia" w:ascii="宋体" w:hAnsi="宋体" w:cs="宋体"/>
          <w:color w:val="auto"/>
          <w:sz w:val="24"/>
          <w:szCs w:val="24"/>
          <w:highlight w:val="none"/>
          <w:u w:val="single"/>
        </w:rPr>
        <w:t>按招标文件及合同中关于工程变更的计价有关规定执行</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30.3签证实施前所需的施工方案：</w:t>
      </w:r>
      <w:r>
        <w:rPr>
          <w:rFonts w:hint="eastAsia" w:ascii="宋体" w:hAnsi="宋体" w:cs="宋体"/>
          <w:color w:val="auto"/>
          <w:sz w:val="24"/>
          <w:szCs w:val="24"/>
          <w:highlight w:val="none"/>
          <w:u w:val="single"/>
        </w:rPr>
        <w:t>若签证事件发生时，需使用没有被监理工程师批准过的施工方案，则必须将该施工方案提前报监理工程师和发包人批准，经批准后才能实施，否则发包人将按最经济的施工方案对该签证进行计价</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30.4</w:t>
      </w:r>
      <w:r>
        <w:rPr>
          <w:rFonts w:hint="eastAsia" w:ascii="宋体" w:hAnsi="宋体" w:cs="宋体"/>
          <w:color w:val="auto"/>
          <w:sz w:val="24"/>
          <w:szCs w:val="24"/>
          <w:highlight w:val="none"/>
          <w:u w:val="single"/>
        </w:rPr>
        <w:t>工程现场签证申报程序按广州开发区、黄埔区以及建设业主的有关规定执行</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31、确定变更价款</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31.1</w:t>
      </w:r>
      <w:r>
        <w:rPr>
          <w:rFonts w:hint="eastAsia" w:ascii="宋体" w:hAnsi="宋体" w:cs="宋体"/>
          <w:color w:val="auto"/>
          <w:sz w:val="24"/>
          <w:szCs w:val="24"/>
          <w:highlight w:val="none"/>
          <w:u w:val="single"/>
        </w:rPr>
        <w:t>承包人在工程变更确定后14天内，提出变更工程价款的报告，经工程师确认后调整合同价款。变更合同价款确定原则按本合同相关约定执行</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31.3</w:t>
      </w:r>
      <w:r>
        <w:rPr>
          <w:rFonts w:hint="eastAsia" w:ascii="宋体" w:hAnsi="宋体" w:cs="宋体"/>
          <w:color w:val="auto"/>
          <w:sz w:val="24"/>
          <w:szCs w:val="24"/>
          <w:highlight w:val="none"/>
          <w:u w:val="single"/>
        </w:rPr>
        <w:t>所有变更工程价款的报告必须按规定程序报发包人审核确认</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31.5</w:t>
      </w:r>
      <w:r>
        <w:rPr>
          <w:rFonts w:hint="eastAsia" w:ascii="宋体" w:hAnsi="宋体" w:cs="宋体"/>
          <w:color w:val="auto"/>
          <w:sz w:val="24"/>
          <w:szCs w:val="24"/>
          <w:highlight w:val="none"/>
          <w:u w:val="single"/>
        </w:rPr>
        <w:t>工程变更价款的支付按本合同相关约定支付</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31.7</w:t>
      </w:r>
      <w:r>
        <w:rPr>
          <w:rFonts w:hint="eastAsia" w:ascii="宋体" w:hAnsi="宋体" w:cs="宋体"/>
          <w:color w:val="auto"/>
          <w:sz w:val="24"/>
          <w:szCs w:val="24"/>
          <w:highlight w:val="none"/>
          <w:u w:val="single"/>
        </w:rPr>
        <w:t>发生上述规定的变更后，承包人在收到发包人变更通知的7天内按合同文件规定的计价方式内容编出变更工程建议送交监理单位</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31.8</w:t>
      </w:r>
      <w:r>
        <w:rPr>
          <w:rFonts w:hint="eastAsia" w:ascii="宋体" w:hAnsi="宋体" w:cs="宋体"/>
          <w:color w:val="auto"/>
          <w:sz w:val="24"/>
          <w:szCs w:val="24"/>
          <w:highlight w:val="none"/>
          <w:u w:val="single"/>
        </w:rPr>
        <w:t>在工程变更价款计算时，承包人应按招标文件相关规定编制变更工程的预算，提供变更依据及详细的计算资料，报监理单位和发包人批准</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31.9</w:t>
      </w:r>
      <w:r>
        <w:rPr>
          <w:rFonts w:hint="eastAsia" w:ascii="宋体" w:hAnsi="宋体" w:cs="宋体"/>
          <w:color w:val="auto"/>
          <w:sz w:val="24"/>
          <w:szCs w:val="24"/>
          <w:highlight w:val="none"/>
          <w:u w:val="single"/>
        </w:rPr>
        <w:t>工程变更、签证申报程序按广州开发区、黄埔区以及建设业主的有关规定执行</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九、竣工验收与结算</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32、竣工验收</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32.1承包人提供竣工图纸的约定：</w:t>
      </w:r>
      <w:r>
        <w:rPr>
          <w:rFonts w:hint="eastAsia" w:ascii="宋体" w:hAnsi="宋体" w:cs="宋体"/>
          <w:color w:val="auto"/>
          <w:sz w:val="24"/>
          <w:szCs w:val="24"/>
          <w:highlight w:val="none"/>
          <w:u w:val="singl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32.6中间交工工程的范围和竣工时间：</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33、竣工结算</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（1）承发包双方一致同意不适用</w:t>
      </w:r>
      <w:r>
        <w:rPr>
          <w:rFonts w:hint="eastAsia" w:ascii="宋体" w:hAnsi="宋体" w:cs="宋体"/>
          <w:color w:val="auto"/>
          <w:sz w:val="24"/>
          <w:szCs w:val="24"/>
          <w:highlight w:val="none"/>
          <w:u w:val="single"/>
        </w:rPr>
        <w:t>通用条款33.2款、33.3款、33.4款</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（2）竣工结算办法：</w:t>
      </w:r>
      <w:r>
        <w:rPr>
          <w:rFonts w:hint="eastAsia" w:ascii="宋体" w:hAnsi="宋体" w:cs="宋体"/>
          <w:color w:val="auto"/>
          <w:sz w:val="24"/>
          <w:szCs w:val="24"/>
          <w:highlight w:val="none"/>
          <w:u w:val="singl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（3）竣工结算提交时间：</w:t>
      </w:r>
      <w:r>
        <w:rPr>
          <w:rFonts w:hint="eastAsia" w:ascii="宋体" w:hAnsi="宋体" w:cs="宋体"/>
          <w:color w:val="auto"/>
          <w:sz w:val="24"/>
          <w:szCs w:val="24"/>
          <w:highlight w:val="none"/>
          <w:u w:val="single"/>
        </w:rPr>
        <w:t>承包人须按《广州开发区财政投资建设项目管理中心施工类合同结算编审指引（试行）》及区有关规定编制及办理建设项目工程结算</w:t>
      </w:r>
      <w:r>
        <w:rPr>
          <w:rFonts w:hint="eastAsia" w:ascii="宋体" w:hAnsi="宋体" w:cs="宋体"/>
          <w:color w:val="auto"/>
          <w:sz w:val="24"/>
          <w:szCs w:val="24"/>
          <w:highlight w:val="none"/>
        </w:rPr>
        <w:t>。</w:t>
      </w:r>
    </w:p>
    <w:p>
      <w:pPr>
        <w:pStyle w:val="45"/>
        <w:spacing w:line="44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    </w:t>
      </w:r>
      <w:r>
        <w:rPr>
          <w:rFonts w:hint="eastAsia" w:ascii="宋体" w:hAnsi="宋体" w:cs="宋体"/>
          <w:color w:val="auto"/>
          <w:sz w:val="24"/>
          <w:szCs w:val="24"/>
          <w:highlight w:val="none"/>
          <w:u w:val="single"/>
        </w:rPr>
        <w:t>承包人未按前款规定的期限和内容编制及办理建设项目工程结算（非承包人原因无法办理工程结算的情况除外），经发包人或代建单位或监理人书面通知之日起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十、违约、索赔和争议</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35、违约</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35.1本合同中关于发包人违约的具体责任如下：</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本合同通用条款第35.1条约定发包人违约应承担的责任：</w:t>
      </w:r>
      <w:r>
        <w:rPr>
          <w:rFonts w:hint="eastAsia" w:ascii="宋体" w:hAnsi="宋体" w:cs="宋体"/>
          <w:color w:val="auto"/>
          <w:sz w:val="24"/>
          <w:szCs w:val="24"/>
          <w:highlight w:val="none"/>
          <w:u w:val="single"/>
        </w:rPr>
        <w:t>顺延工期，但不作费用赔偿</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双方约定的发包人其他违约责任：</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35.2本合同中关于承包人违约的具体责任如下：</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35.2.1工期延误的违约责任：</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承包人未按发包人或监理单位开工令要求时间开工的，每迟延开工1天，应向发包人支付违约金5000元；迟延开工超过20天的，发包人有权根据实际情况单方面解除合同</w:t>
      </w:r>
      <w:r>
        <w:rPr>
          <w:rFonts w:hint="eastAsia" w:ascii="宋体" w:hAnsi="宋体" w:cs="宋体"/>
          <w:color w:val="auto"/>
          <w:sz w:val="24"/>
          <w:szCs w:val="24"/>
          <w:highlight w:val="none"/>
        </w:rPr>
        <w:t>。</w:t>
      </w:r>
    </w:p>
    <w:p>
      <w:pPr>
        <w:spacing w:line="440" w:lineRule="exact"/>
        <w:ind w:firstLine="567"/>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因承包人的原因造成工期延误，其中属节点工期延误，从延误的第一天起，每天支付违约金5000元，如在下一个节点赶回工期，可免除上述违约金。属总工期延误，从总工期延误的第一天起，每天支付违约金20000元</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延误工期超过20天的，发包人可视情况终止合同。</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承包人必须按期完成主要工序的施工任务，若属承包人原因逾期达10天未完成主要节点的施工任务时，除按第（2）项约定承担违约责任外，发包人可要求撤换项目负责人，承包人应予以执行，并在总工期不调整的前提下自行消化节点工期的延误。逾期20天未完成主要节点的施工任务时，属承包人进度严重违约行为，发包人可单方面终止合同，将承包人作不良纪录报区建设行政主管部门备案。并由承包人承担相应的进度严重违约责任</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承包人承担的进度严重违约责任为：如果承包人出现进度严重违约事件，则须无条件接受发包人终止合同，并在接到终止合同通知书之日起5个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u w:val="single"/>
        </w:rPr>
        <w:t>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5000元违约金</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w:t>
      </w:r>
      <w:r>
        <w:rPr>
          <w:rFonts w:hint="eastAsia" w:ascii="宋体" w:hAnsi="宋体" w:cs="宋体"/>
          <w:snapToGrid w:val="0"/>
          <w:color w:val="auto"/>
          <w:kern w:val="0"/>
          <w:sz w:val="24"/>
          <w:szCs w:val="24"/>
          <w:highlight w:val="none"/>
          <w:u w:val="single"/>
        </w:rPr>
        <w:t>承包人违反合同专用条款的约定和发包人的规定，逾期完成竣工档案的整理、移交、送审备案工作的，每逾期1天，承包人支付违约金5000元</w:t>
      </w:r>
      <w:r>
        <w:rPr>
          <w:rFonts w:hint="eastAsia" w:ascii="宋体" w:hAnsi="宋体" w:cs="宋体"/>
          <w:snapToGrid w:val="0"/>
          <w:color w:val="auto"/>
          <w:kern w:val="0"/>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35.2.2安全、文明施工要求及违约处理：</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承包人需支付10000元人民币违约金给发包人</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10000元违约金，如发包人因此被相关部门处罚的，罚金由承包人承担</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如果承包人未按招投标文件及本合同要求做好安全、文明施工相关措施，经监理工程师或发包人检查发现的，每发现一次，承包人支付5000元违约金，并按发包人或监理单位要求限期整改，未在限期内完成整改的，每延期一天，承包人支付10000元违约金</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snapToGrid w:val="0"/>
          <w:color w:val="auto"/>
          <w:kern w:val="0"/>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在施工过程中发生安全事故的，除按照国家、省、市规定进行处理外。若导致人员伤亡的，承包人按下列办法支付违约金：如发生死亡事故，死亡1人，支付20万元；死亡2人，支付40万元；死亡3人或以上，支付80万元。如发生重伤事故，重伤1人，支付10万元；重伤2人，支付20万元；重伤3人或以上，支付40万元。因承包人原因发生一般安全事故，未造成人员伤亡或造成人员轻伤及轻微财产损失的，每发生一次，承包人支付违约金5000元</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u w:val="single"/>
        </w:rPr>
        <w:t>在本工程余泥渣土清运施工和建筑垃圾排放运输时，承包人必须严格执行《广州市建筑废弃物管理条例（2015年修正本）》、《广州市市容环境卫生管理规定》、《广州市建设工程现场文明施工管理办法》《关于加强施工现场余泥渣土排放管理工作的通知》（穗建筑【2008】60号）等广州市、黄埔区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5000元违约金。同时，发包人将根据承包人违反余泥渣土运输管理有关规定而造成的不良后果的严重程度，上报区建设行政主管部门进行处理</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35.2.3工程质量方面的违约责任：</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1）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（3）对施工质量问题存在争议，应请国家认可的第三方机构出具检测报告，检测费用由责任方承担。</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bidi="ar"/>
        </w:rPr>
        <w:t>35.2.4关于第三方质量安全评估的违约责任：</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bidi="ar"/>
        </w:rPr>
        <w:t>承包人应严格遵守中心制定的建设工程第三方质量安全评估服务相关管理办法，配合完成第三方质量安全评估工作。根据每次评估结果，经评估确定为一般违约情况的，承包人每次应支付10000元违约金给发包人；经评估确定为严重违约情况的，承包人每次应支付50000元违约金给发包人。</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35.2.5关于农民工工资支付的违约责任：</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承包人拖欠农民工工资（含代发的分包单位工人工资），被农民工投诉属实的，承包人必须在3天内发放拖欠的款项。若继续拖延被投诉2次及以上，经查实，承包人除应立即支付拖欠款项外，还应支付10000违约金给发包人。因承包人拖欠农民工工资，导致农民工采取停工、集聚围阻发包人办公地点甚至政府办公部门等过激行动的，承包人应支付50000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r>
        <w:rPr>
          <w:rFonts w:hint="eastAsia" w:ascii="宋体" w:hAnsi="宋体" w:cs="宋体"/>
          <w:color w:val="auto"/>
          <w:sz w:val="24"/>
          <w:szCs w:val="24"/>
          <w:highlight w:val="none"/>
        </w:rPr>
        <w:t>。</w:t>
      </w:r>
    </w:p>
    <w:p>
      <w:pPr>
        <w:pStyle w:val="44"/>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35.2.6项目管理机构人员、机械设备、劳动力到位方面的违约责任：</w:t>
      </w:r>
    </w:p>
    <w:p>
      <w:pPr>
        <w:pStyle w:val="44"/>
        <w:numPr>
          <w:ilvl w:val="0"/>
          <w:numId w:val="3"/>
        </w:num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50000元违约金给发包人，擅自更换主要施工管理人员的，每更换一人次，承包人需支付30000元违约金给发包人</w:t>
      </w:r>
      <w:r>
        <w:rPr>
          <w:rFonts w:hint="eastAsia" w:ascii="宋体" w:hAnsi="宋体" w:cs="宋体"/>
          <w:color w:val="auto"/>
          <w:sz w:val="24"/>
          <w:szCs w:val="24"/>
          <w:highlight w:val="none"/>
        </w:rPr>
        <w:t>。但征得</w:t>
      </w:r>
      <w:r>
        <w:rPr>
          <w:rFonts w:hint="eastAsia" w:ascii="宋体" w:hAnsi="宋体" w:cs="宋体"/>
          <w:color w:val="auto"/>
          <w:sz w:val="24"/>
          <w:szCs w:val="24"/>
          <w:highlight w:val="none"/>
          <w:u w:val="single"/>
        </w:rPr>
        <w:t>发包人书面同意更换或因发包人按本协议要求更换仍需支付违约金，具体为：更换项目负责人或项目技术负责人的，承包人每更换一人次，需支付30000元违约金给发包人，更换主要施工管理人员的，每更换一人次，承包人需支付10000元违约金给发包人</w:t>
      </w:r>
    </w:p>
    <w:p>
      <w:pPr>
        <w:pStyle w:val="44"/>
        <w:snapToGrid w:val="0"/>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（2）</w:t>
      </w:r>
      <w:r>
        <w:rPr>
          <w:rFonts w:hint="eastAsia" w:ascii="宋体" w:hAnsi="宋体" w:eastAsia="宋体" w:cs="宋体"/>
          <w:color w:val="auto"/>
          <w:kern w:val="2"/>
          <w:sz w:val="24"/>
          <w:szCs w:val="24"/>
          <w:highlight w:val="none"/>
          <w:u w:val="single"/>
          <w:lang w:val="en-US" w:eastAsia="zh-CN" w:bidi="ar-SA"/>
        </w:rPr>
        <w:t>如果承包人未按投标文件中的《拟投入本工程施工的主要机械设备配备表》投入机械设备，经监理工程师或发包人代表检查发现的，将书面告知限期整改，未在限期内完成整改的，每延期一天，承包人需支付10000元违约金给发包人。且承包人应按照本合同相关约定投入相应比例的新能源工程车，否则发包人有权要求其限期整改，逾期不整改的，每缺少提供一台，承包人支付违约金20000元/台。</w:t>
      </w:r>
    </w:p>
    <w:p>
      <w:pPr>
        <w:pStyle w:val="44"/>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如果承包人未投标文件中的人力投入计划投入人力，经监理工程师和发包人代表检查发现的，每发现一次，承包人支付10000元违约金给发包人</w:t>
      </w:r>
      <w:r>
        <w:rPr>
          <w:rFonts w:hint="eastAsia" w:ascii="宋体" w:hAnsi="宋体" w:cs="宋体"/>
          <w:color w:val="auto"/>
          <w:sz w:val="24"/>
          <w:szCs w:val="24"/>
          <w:highlight w:val="none"/>
        </w:rPr>
        <w:t>。</w:t>
      </w:r>
    </w:p>
    <w:p>
      <w:pPr>
        <w:pStyle w:val="44"/>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如果检查发现承包人超过三次未按承诺投入的人力、机械、物力组织施工，发包人将作为不良纪录报区建设行政主管部门备案。如果检查发现承包人没有按施工组织设计的进度安排推进工程建设，使主要工序的工期延误超过10天，没有按发包人的意见撤换现场负责人；或者按发包人的意见撤换现场负责人后，仍然无法有效控制工程进度，承包人除需按本条第（1）项支付违约金外，发包人将发出书面警告，警告发出后15天内，主要工序的工期延误仍然超过10天，发包人将作为不良纪录报区建设行政主管部门备案。对此，承包人不得有异议</w:t>
      </w:r>
      <w:r>
        <w:rPr>
          <w:rFonts w:hint="eastAsia" w:ascii="宋体" w:hAnsi="宋体" w:cs="宋体"/>
          <w:color w:val="auto"/>
          <w:sz w:val="24"/>
          <w:szCs w:val="24"/>
          <w:highlight w:val="none"/>
        </w:rPr>
        <w:t>。</w:t>
      </w:r>
    </w:p>
    <w:p>
      <w:pPr>
        <w:pStyle w:val="44"/>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u w:val="single"/>
        </w:rPr>
        <w:t>承包人的项目负责人、技术负责人、安全负责人、质量负责人、防火负责人等必须常驻施工现场，且须无条件参加每周的工地例会以及发包人书面通知的其它会议，如有缺席，则每人每缺席一次，承包人需支付5000元人民币违约金</w:t>
      </w:r>
      <w:r>
        <w:rPr>
          <w:rFonts w:hint="eastAsia" w:ascii="宋体" w:hAnsi="宋体" w:cs="宋体"/>
          <w:color w:val="auto"/>
          <w:sz w:val="24"/>
          <w:szCs w:val="24"/>
          <w:highlight w:val="none"/>
        </w:rPr>
        <w:t>。</w:t>
      </w:r>
    </w:p>
    <w:p>
      <w:pPr>
        <w:snapToGri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35.2.7工程转包违约责任：</w:t>
      </w:r>
    </w:p>
    <w:p>
      <w:pPr>
        <w:shd w:val="clea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合同约定的工程项目承包人不得转包，必须分包的少量子项工程和专业工程，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w:t>
      </w:r>
      <w:r>
        <w:rPr>
          <w:rFonts w:hint="eastAsia" w:ascii="宋体" w:hAnsi="宋体" w:cs="宋体"/>
          <w:color w:val="auto"/>
          <w:sz w:val="24"/>
          <w:szCs w:val="24"/>
          <w:highlight w:val="none"/>
        </w:rPr>
        <w:t>。</w:t>
      </w:r>
    </w:p>
    <w:p>
      <w:pPr>
        <w:shd w:val="clea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在本工程中有转包、转让、出借资质证书或者以其他方式允许他人以本企业的名义承揽工程的，发包人将解除合同，承包人按合同价的10%承担违约金。因此导致发包人损失超出违约金的部分，承包人应负责赔偿。</w:t>
      </w:r>
    </w:p>
    <w:p>
      <w:pPr>
        <w:shd w:val="clea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35.2.8解除合同的违约责任：</w:t>
      </w:r>
    </w:p>
    <w:p>
      <w:pPr>
        <w:shd w:val="clea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35.2.8.1因承包人严重违约导致发包人单方面解除合同或承包人违约擅自解除合同的，承包人应向发包人支付本合同价款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pPr>
        <w:shd w:val="clea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35.2.8.2不适用通用条款44.6条的约定。</w:t>
      </w:r>
    </w:p>
    <w:p>
      <w:pPr>
        <w:shd w:val="clear"/>
        <w:tabs>
          <w:tab w:val="left" w:pos="8280"/>
        </w:tabs>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35.2.9办理结算的违约责任：</w:t>
      </w:r>
    </w:p>
    <w:p>
      <w:pPr>
        <w:shd w:val="clear"/>
        <w:tabs>
          <w:tab w:val="left" w:pos="8280"/>
        </w:tabs>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承包人不执行《广州开发区财政投资建设项目管理中心施工类合同结算编审指引（试行）》有关规定的，须按该指引有关规定承担违约责任</w:t>
      </w:r>
      <w:r>
        <w:rPr>
          <w:rFonts w:hint="eastAsia" w:ascii="宋体" w:hAnsi="宋体" w:cs="宋体"/>
          <w:color w:val="auto"/>
          <w:sz w:val="24"/>
          <w:szCs w:val="24"/>
          <w:highlight w:val="none"/>
        </w:rPr>
        <w:t>。</w:t>
      </w:r>
    </w:p>
    <w:p>
      <w:pPr>
        <w:shd w:val="clea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35.2.10</w:t>
      </w:r>
      <w:r>
        <w:rPr>
          <w:rFonts w:hint="eastAsia" w:ascii="宋体" w:hAnsi="宋体" w:cs="宋体"/>
          <w:color w:val="auto"/>
          <w:sz w:val="24"/>
          <w:szCs w:val="24"/>
          <w:highlight w:val="none"/>
          <w:u w:val="single"/>
        </w:rPr>
        <w:t>除上述违约责任外，因承包人履行本合同不符合约定或相关规定，发包人可根据实际情况，给予承包人通报批评及作不良记录等处罚措施；情节严重的，可报请上级行政主管部门给予相应处罚</w:t>
      </w:r>
      <w:r>
        <w:rPr>
          <w:rFonts w:hint="eastAsia" w:ascii="宋体" w:hAnsi="宋体" w:cs="宋体"/>
          <w:color w:val="auto"/>
          <w:sz w:val="24"/>
          <w:szCs w:val="24"/>
          <w:highlight w:val="none"/>
        </w:rPr>
        <w:t>。</w:t>
      </w:r>
    </w:p>
    <w:p>
      <w:pPr>
        <w:shd w:val="clea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35.2.11承包人违约责任的认定方式、送达程序及违约金的处理</w:t>
      </w:r>
    </w:p>
    <w:p>
      <w:pPr>
        <w:shd w:val="clea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（1）认定方式：以发包人发出的通知、通报、会议纪要等书面文件确定的内容为准。</w:t>
      </w:r>
    </w:p>
    <w:p>
      <w:pPr>
        <w:shd w:val="clea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（2）送达程序：发包人以下列方式之一将书面违约处理决定送达承包人：</w:t>
      </w:r>
    </w:p>
    <w:p>
      <w:pPr>
        <w:shd w:val="clea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1）承包人现场管理机构工作人员签收。</w:t>
      </w:r>
    </w:p>
    <w:p>
      <w:pPr>
        <w:shd w:val="clea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2）承包人其他工作人员签收。</w:t>
      </w:r>
    </w:p>
    <w:p>
      <w:pPr>
        <w:shd w:val="clea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3）发包人邮寄送达。</w:t>
      </w:r>
    </w:p>
    <w:p>
      <w:pPr>
        <w:shd w:val="clea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pPr>
        <w:shd w:val="clea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37、争议</w:t>
      </w:r>
    </w:p>
    <w:p>
      <w:pPr>
        <w:shd w:val="clea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37.1双方约定，在履行合同过程中产生争议时：</w:t>
      </w:r>
    </w:p>
    <w:p>
      <w:pPr>
        <w:shd w:val="clea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（1）由双方协商解决；</w:t>
      </w:r>
    </w:p>
    <w:p>
      <w:pPr>
        <w:shd w:val="clea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（2）协商不成的，向</w:t>
      </w:r>
      <w:r>
        <w:rPr>
          <w:rFonts w:hint="eastAsia" w:ascii="宋体" w:hAnsi="宋体" w:cs="宋体"/>
          <w:color w:val="auto"/>
          <w:sz w:val="24"/>
          <w:szCs w:val="24"/>
          <w:highlight w:val="none"/>
          <w:u w:val="single"/>
        </w:rPr>
        <w:t>工程所在地</w:t>
      </w:r>
      <w:r>
        <w:rPr>
          <w:rFonts w:hint="eastAsia" w:ascii="宋体" w:hAnsi="宋体" w:cs="宋体"/>
          <w:color w:val="auto"/>
          <w:sz w:val="24"/>
          <w:szCs w:val="24"/>
          <w:highlight w:val="none"/>
        </w:rPr>
        <w:t>人民法院提起诉讼。</w:t>
      </w:r>
    </w:p>
    <w:p>
      <w:pPr>
        <w:shd w:val="clea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十一、其他</w:t>
      </w:r>
    </w:p>
    <w:p>
      <w:pPr>
        <w:shd w:val="clea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38、工程分包</w:t>
      </w:r>
    </w:p>
    <w:p>
      <w:pPr>
        <w:shd w:val="clea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38.1（1）本工程发包人同意承包人分包的工程：非主体非关键工程。承包人分包工程的，需先报发包人同意，分包合同签订后必须报发包人备案。承包人与分包单位签订的分包合同中应明确工人工资比例及支付期限。</w:t>
      </w:r>
    </w:p>
    <w:p>
      <w:pPr>
        <w:shd w:val="clea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39、不可抗力</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39.1双方关于不可抗力的约定：按本合同通用条款执行，自然灾害的范围及其认定方式，按下述约定执行：</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异常天气：仅指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里氏5级（含本数）以上地震</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39.3双方关于不可抗力事件导致的费用承担</w:t>
      </w:r>
      <w:r>
        <w:rPr>
          <w:rFonts w:hint="eastAsia" w:ascii="宋体" w:hAnsi="宋体" w:cs="宋体"/>
          <w:color w:val="auto"/>
          <w:sz w:val="24"/>
          <w:szCs w:val="24"/>
          <w:highlight w:val="none"/>
          <w:u w:val="single"/>
        </w:rPr>
        <w:t>按本专用条款12.3款约定</w:t>
      </w:r>
      <w:r>
        <w:rPr>
          <w:rFonts w:hint="eastAsia" w:ascii="宋体" w:hAnsi="宋体" w:cs="宋体"/>
          <w:color w:val="auto"/>
          <w:sz w:val="24"/>
          <w:szCs w:val="24"/>
          <w:highlight w:val="none"/>
        </w:rPr>
        <w:t>执行。</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40、保险</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40.2承包人对其运至施工场地内用于工程的材料和待安装设备办理保险并支付保险费用。</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40.6本工程双方约定投保内容如下：</w:t>
      </w:r>
    </w:p>
    <w:p>
      <w:pPr>
        <w:snapToGrid w:val="0"/>
        <w:spacing w:line="440" w:lineRule="exact"/>
        <w:ind w:left="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（1）发包人投保内容：</w:t>
      </w:r>
      <w:r>
        <w:rPr>
          <w:rFonts w:hint="eastAsia" w:ascii="宋体" w:hAnsi="宋体" w:cs="宋体"/>
          <w:color w:val="auto"/>
          <w:sz w:val="24"/>
          <w:szCs w:val="24"/>
          <w:highlight w:val="none"/>
          <w:u w:val="single"/>
        </w:rPr>
        <w:t>按广州市建设项目劳动保险相关规定投保</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发包人委托承包人办理的保险事项：</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left="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（2）承包人投保内容：</w:t>
      </w:r>
      <w:r>
        <w:rPr>
          <w:rFonts w:hint="eastAsia" w:ascii="宋体" w:hAnsi="宋体" w:cs="宋体"/>
          <w:color w:val="auto"/>
          <w:sz w:val="24"/>
          <w:szCs w:val="24"/>
          <w:highlight w:val="none"/>
          <w:u w:val="single"/>
        </w:rPr>
        <w:t>开工前承包人应当投保安全生产责任保险，且该保险保障场所应包含本项目，合同价视作已含该项费用。承包人未按规定购买安全生产责任保险，发包人可视严重程度拒绝该单位一定时期内参与后续工程投标</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41、担保</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41.1本工程双方约定担保事项如下：</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（1）发包人向承包人提供履约担保，担保方式为：</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，担保合同作为本合同附件。</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（2）承包人按如下方式向发包人提供履约担保：</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 履约担保：</w:t>
      </w:r>
      <w:r>
        <w:rPr>
          <w:rFonts w:hint="eastAsia" w:ascii="宋体" w:hAnsi="宋体" w:cs="宋体"/>
          <w:color w:val="auto"/>
          <w:sz w:val="24"/>
          <w:szCs w:val="24"/>
          <w:highlight w:val="none"/>
          <w:u w:val="single"/>
        </w:rPr>
        <w:t>承包人向发包人提交担保金额为中标价10%的履约担保，以银行保函形式提交。履约担保为银行保函的，须广州市内分行以上的银行开具的无条件、不可撤销的保函，保函有效期至工程竣工验收合格之日。履约银行保函到期但工程尚未竣工的，承包人应自觉办理保函延期手续，确保担保期限不出现空缺，否则，发包人不予支付工程款</w:t>
      </w:r>
      <w:r>
        <w:rPr>
          <w:rFonts w:hint="eastAsia" w:ascii="宋体" w:hAnsi="宋体" w:cs="宋体"/>
          <w:color w:val="auto"/>
          <w:sz w:val="24"/>
          <w:szCs w:val="24"/>
          <w:highlight w:val="none"/>
        </w:rPr>
        <w:t>。</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首次办理履约保函，如合同工期低于1年的，担保期限可按合同工期，如合同工期高于1年的，担保期限不低于1年。</w:t>
      </w:r>
    </w:p>
    <w:p>
      <w:pPr>
        <w:snapToGrid w:val="0"/>
        <w:spacing w:line="440" w:lineRule="exact"/>
        <w:ind w:firstLine="338" w:firstLineChars="141"/>
        <w:rPr>
          <w:rFonts w:hint="eastAsia" w:ascii="宋体" w:hAnsi="宋体" w:cs="宋体"/>
          <w:color w:val="auto"/>
          <w:sz w:val="24"/>
          <w:szCs w:val="24"/>
          <w:highlight w:val="none"/>
        </w:rPr>
      </w:pPr>
      <w:r>
        <w:rPr>
          <w:rFonts w:hint="eastAsia" w:ascii="宋体" w:hAnsi="宋体" w:cs="宋体"/>
          <w:color w:val="auto"/>
          <w:sz w:val="24"/>
          <w:szCs w:val="24"/>
          <w:highlight w:val="none"/>
        </w:rPr>
        <w:t>履约保函</w:t>
      </w:r>
      <w:r>
        <w:rPr>
          <w:rFonts w:hint="eastAsia" w:ascii="宋体" w:hAnsi="宋体" w:cs="宋体"/>
          <w:color w:val="auto"/>
          <w:sz w:val="24"/>
          <w:szCs w:val="24"/>
          <w:highlight w:val="none"/>
          <w:u w:val="single"/>
        </w:rPr>
        <w:t>办理延期手续</w:t>
      </w:r>
      <w:r>
        <w:rPr>
          <w:rFonts w:hint="eastAsia" w:ascii="宋体" w:hAnsi="宋体" w:cs="宋体"/>
          <w:color w:val="auto"/>
          <w:sz w:val="24"/>
          <w:szCs w:val="24"/>
          <w:highlight w:val="none"/>
        </w:rPr>
        <w:t>时，若项目的完成工程量不足一半，担保金额按中标价的10%；若项目的完成工程量超过一半，担保金额可按中标价的5%；其他特殊情况需调整的，需报发包人审议同意。</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② 履约担保的返还方式：</w:t>
      </w:r>
      <w:r>
        <w:rPr>
          <w:rFonts w:hint="eastAsia" w:ascii="宋体" w:hAnsi="宋体" w:cs="宋体"/>
          <w:color w:val="auto"/>
          <w:sz w:val="24"/>
          <w:szCs w:val="24"/>
          <w:highlight w:val="none"/>
          <w:u w:val="single"/>
        </w:rPr>
        <w:t>履约担保为银行保函的，在工程验收合格后返还承包人</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银行保函的管理和格式按《广州开发区财政投资建设项目管理中心建设工程保函管理细则》执行</w:t>
      </w:r>
      <w:r>
        <w:rPr>
          <w:rFonts w:hint="eastAsia" w:ascii="宋体" w:hAnsi="宋体" w:cs="宋体"/>
          <w:color w:val="auto"/>
          <w:sz w:val="24"/>
          <w:szCs w:val="24"/>
          <w:highlight w:val="none"/>
        </w:rPr>
        <w:t>。</w:t>
      </w:r>
    </w:p>
    <w:p>
      <w:pPr>
        <w:shd w:val="clear"/>
        <w:adjustRightInd w:val="0"/>
        <w:snapToGrid w:val="0"/>
        <w:spacing w:line="440" w:lineRule="exact"/>
        <w:ind w:right="11" w:firstLine="480" w:firstLineChars="200"/>
        <w:outlineLvl w:val="3"/>
        <w:rPr>
          <w:rFonts w:hint="eastAsia" w:ascii="宋体" w:hAnsi="宋体" w:cs="宋体"/>
          <w:color w:val="auto"/>
          <w:sz w:val="24"/>
          <w:szCs w:val="24"/>
          <w:highlight w:val="none"/>
        </w:rPr>
      </w:pPr>
      <w:r>
        <w:rPr>
          <w:rFonts w:hint="eastAsia" w:ascii="宋体" w:hAnsi="宋体" w:cs="宋体"/>
          <w:color w:val="auto"/>
          <w:sz w:val="24"/>
          <w:szCs w:val="24"/>
          <w:highlight w:val="non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46、合同份数</w:t>
      </w:r>
    </w:p>
    <w:p>
      <w:pPr>
        <w:snapToGrid w:val="0"/>
        <w:spacing w:line="440" w:lineRule="exact"/>
        <w:ind w:firstLine="39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46.1双方约定合同正副本份数：</w:t>
      </w:r>
      <w:r>
        <w:rPr>
          <w:rFonts w:hint="eastAsia" w:ascii="宋体" w:hAnsi="宋体" w:cs="宋体"/>
          <w:color w:val="auto"/>
          <w:sz w:val="24"/>
          <w:szCs w:val="24"/>
          <w:highlight w:val="none"/>
          <w:u w:val="single"/>
        </w:rPr>
        <w:t>共拾份，正本一式贰份，发包人承包人各执壹份；副本捌份，发包人肆份，承包人叁份，监理人壹份</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47、补充条款</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安全、文明、科学、规范的施工要求</w:t>
      </w:r>
      <w:r>
        <w:rPr>
          <w:rFonts w:hint="eastAsia" w:ascii="宋体" w:hAnsi="宋体" w:eastAsia="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47.1</w:t>
      </w:r>
      <w:r>
        <w:rPr>
          <w:rFonts w:hint="eastAsia" w:ascii="宋体" w:hAnsi="宋体" w:cs="宋体"/>
          <w:color w:val="auto"/>
          <w:sz w:val="24"/>
          <w:szCs w:val="24"/>
          <w:highlight w:val="none"/>
          <w:u w:val="single"/>
        </w:rPr>
        <w:t>承包人在开工前，必须按照广州市、开发区有关要求办理好相应的施工手续方可开工</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47.2</w:t>
      </w:r>
      <w:r>
        <w:rPr>
          <w:rFonts w:hint="eastAsia" w:ascii="宋体" w:hAnsi="宋体" w:cs="宋体"/>
          <w:color w:val="auto"/>
          <w:sz w:val="24"/>
          <w:szCs w:val="24"/>
          <w:highlight w:val="none"/>
          <w:u w:val="single"/>
        </w:rPr>
        <w:t>施工范围的具体位置及可交付承包人施工安排的用地范围，由承包人根据现场勘察情况报发包人同意确定，建筑轴线控制基点由承包人联系规划局提供</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47.3</w:t>
      </w:r>
      <w:r>
        <w:rPr>
          <w:rFonts w:hint="eastAsia" w:ascii="宋体" w:hAnsi="宋体" w:cs="宋体"/>
          <w:color w:val="auto"/>
          <w:sz w:val="24"/>
          <w:szCs w:val="24"/>
          <w:highlight w:val="none"/>
          <w:u w:val="single"/>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47.4</w:t>
      </w:r>
      <w:r>
        <w:rPr>
          <w:rFonts w:hint="eastAsia" w:ascii="宋体" w:hAnsi="宋体" w:cs="宋体"/>
          <w:color w:val="auto"/>
          <w:sz w:val="24"/>
          <w:szCs w:val="24"/>
          <w:highlight w:val="none"/>
          <w:u w:val="single"/>
        </w:rPr>
        <w:t>承包人在施工期间要确保工程外场地清洁及道路畅通，如须使用他方道路，则还必须负责养护、保洁责任，否则责任自负。施工和警示标志明显，因施工造成人身损害和财产损失的，由承包人承担责任</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47.5</w:t>
      </w:r>
      <w:r>
        <w:rPr>
          <w:rFonts w:hint="eastAsia" w:ascii="宋体" w:hAnsi="宋体" w:cs="宋体"/>
          <w:color w:val="auto"/>
          <w:sz w:val="24"/>
          <w:szCs w:val="24"/>
          <w:highlight w:val="none"/>
          <w:u w:val="single"/>
        </w:rPr>
        <w:t>承包人必须考虑安全、环保等因素在局部施工范围进行围蔽施工，现场围蔽不符合国家有关安全措施及技术要求的，不得开展施工作业，由此造成的工期延长，由承包人自己负责，当作延误工期处理</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47.6</w:t>
      </w:r>
      <w:r>
        <w:rPr>
          <w:rFonts w:hint="eastAsia" w:ascii="宋体" w:hAnsi="宋体" w:cs="宋体"/>
          <w:color w:val="auto"/>
          <w:sz w:val="24"/>
          <w:szCs w:val="24"/>
          <w:highlight w:val="none"/>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47.7</w:t>
      </w:r>
      <w:r>
        <w:rPr>
          <w:rFonts w:hint="eastAsia" w:ascii="宋体" w:hAnsi="宋体" w:cs="宋体"/>
          <w:color w:val="auto"/>
          <w:sz w:val="24"/>
          <w:szCs w:val="24"/>
          <w:highlight w:val="none"/>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47.8</w:t>
      </w:r>
      <w:r>
        <w:rPr>
          <w:rFonts w:hint="eastAsia" w:ascii="宋体" w:hAnsi="宋体" w:cs="宋体"/>
          <w:color w:val="auto"/>
          <w:sz w:val="24"/>
          <w:szCs w:val="24"/>
          <w:highlight w:val="none"/>
          <w:u w:val="single"/>
        </w:rPr>
        <w:t>若遇阻碍施工需拆迁的旧建（构）筑物、地下孤石等障碍物，由承包人负责清障，所需清障费用经监理、发包人现场签证调整</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47.9</w:t>
      </w:r>
      <w:r>
        <w:rPr>
          <w:rFonts w:hint="eastAsia" w:ascii="宋体" w:hAnsi="宋体" w:cs="宋体"/>
          <w:color w:val="auto"/>
          <w:sz w:val="24"/>
          <w:szCs w:val="24"/>
          <w:highlight w:val="none"/>
          <w:u w:val="singl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47.10</w:t>
      </w:r>
      <w:r>
        <w:rPr>
          <w:rFonts w:hint="eastAsia" w:ascii="宋体" w:hAnsi="宋体" w:cs="宋体"/>
          <w:color w:val="auto"/>
          <w:sz w:val="24"/>
          <w:szCs w:val="24"/>
          <w:highlight w:val="none"/>
          <w:u w:val="single"/>
        </w:rPr>
        <w:t>双方根据国家有关规定，结合具体工程约定质量缺陷责任期如下</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基础设施工程、房屋建筑的地基基础工程和主体结构工程为2年</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屋面防水工程为 2 年，室外装饰工程为 2 年</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电力管线、上下水管线安装工程为 2 年</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供热及供冷为 2 个采暖期及供冷期</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w:t>
      </w:r>
      <w:r>
        <w:rPr>
          <w:rFonts w:hint="eastAsia" w:ascii="宋体" w:hAnsi="宋体" w:cs="宋体"/>
          <w:color w:val="auto"/>
          <w:sz w:val="24"/>
          <w:szCs w:val="24"/>
          <w:highlight w:val="none"/>
          <w:u w:val="single"/>
        </w:rPr>
        <w:t>室外的上下水和小区道路等市政公用工程为 2 年</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6、</w:t>
      </w:r>
      <w:r>
        <w:rPr>
          <w:rFonts w:hint="eastAsia" w:ascii="宋体" w:hAnsi="宋体" w:cs="宋体"/>
          <w:color w:val="auto"/>
          <w:sz w:val="24"/>
          <w:szCs w:val="24"/>
          <w:highlight w:val="none"/>
          <w:u w:val="single"/>
        </w:rPr>
        <w:t>市政道路排水工程为 2 年，市政供水工程为 2 年</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7、</w:t>
      </w:r>
      <w:r>
        <w:rPr>
          <w:rFonts w:hint="eastAsia" w:ascii="宋体" w:hAnsi="宋体" w:cs="宋体"/>
          <w:color w:val="auto"/>
          <w:sz w:val="24"/>
          <w:szCs w:val="24"/>
          <w:highlight w:val="none"/>
          <w:u w:val="single"/>
        </w:rPr>
        <w:t>市政供电工程为 2 年，市政道路照明工程 2 年，市政交通设施工程为 2 年</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8、</w:t>
      </w:r>
      <w:r>
        <w:rPr>
          <w:rFonts w:hint="eastAsia" w:ascii="宋体" w:hAnsi="宋体" w:cs="宋体"/>
          <w:color w:val="auto"/>
          <w:sz w:val="24"/>
          <w:szCs w:val="24"/>
          <w:highlight w:val="none"/>
          <w:u w:val="single"/>
        </w:rPr>
        <w:t>园林建筑工程为1年，喷淋工程为2年，胸径15cm以内（含15cm）的苗木养护期为3个月，胸径15cm以上的苗木养护期为1年</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9、</w:t>
      </w:r>
      <w:r>
        <w:rPr>
          <w:rFonts w:hint="eastAsia" w:ascii="宋体" w:hAnsi="宋体" w:cs="宋体"/>
          <w:color w:val="auto"/>
          <w:sz w:val="24"/>
          <w:szCs w:val="24"/>
          <w:highlight w:val="none"/>
          <w:u w:val="single"/>
        </w:rPr>
        <w:t>除上述专业工程外其它工程的质量缺陷责任期按相关规定或经双方另行协商确定</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本工程质量缺陷责任期从广州开发区管委会或其相关职能部门批准的提前移交之日或者正式通过竣工验收之日（以先发生日期为准）算起。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47.11</w:t>
      </w:r>
      <w:r>
        <w:rPr>
          <w:rFonts w:hint="eastAsia" w:ascii="宋体" w:hAnsi="宋体" w:cs="宋体"/>
          <w:color w:val="auto"/>
          <w:sz w:val="24"/>
          <w:szCs w:val="24"/>
          <w:highlight w:val="none"/>
          <w:u w:val="single"/>
        </w:rPr>
        <w:t>本工程的保修期按本合同《工程质量保修责任书》规定的保修期限实行。在保修期内因施工质量而造成返修，其费用由承包人负责。工程质量按市政工程现行验评标准组织验收认定</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47.12施工现场生活区应设置信息公示栏，每月10日前将上月作业工人考勤和工资结算和支付信息在信息公示栏进行公示，公示期不少于5天。</w:t>
      </w:r>
    </w:p>
    <w:p>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农民工佣工要求</w:t>
      </w:r>
      <w:r>
        <w:rPr>
          <w:rFonts w:hint="eastAsia" w:ascii="宋体" w:hAnsi="宋体" w:eastAsia="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47.13</w:t>
      </w:r>
      <w:r>
        <w:rPr>
          <w:rFonts w:hint="eastAsia" w:ascii="宋体" w:hAnsi="宋体" w:cs="宋体"/>
          <w:color w:val="auto"/>
          <w:sz w:val="24"/>
          <w:szCs w:val="24"/>
          <w:highlight w:val="none"/>
          <w:u w:val="single"/>
        </w:rPr>
        <w:t>承包人必须按照穗开规『2004』58号文的有关要求及规定优先使用广州开发区的农民工</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47.14</w:t>
      </w:r>
      <w:r>
        <w:rPr>
          <w:rFonts w:hint="eastAsia" w:ascii="宋体" w:hAnsi="宋体" w:cs="宋体"/>
          <w:color w:val="auto"/>
          <w:sz w:val="24"/>
          <w:szCs w:val="24"/>
          <w:highlight w:val="none"/>
          <w:u w:val="single"/>
        </w:rPr>
        <w:t>承包人必须严格执行穗开纪[2005]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47.15</w:t>
      </w:r>
      <w:r>
        <w:rPr>
          <w:rFonts w:hint="eastAsia" w:ascii="宋体" w:hAnsi="宋体" w:cs="宋体"/>
          <w:color w:val="auto"/>
          <w:sz w:val="24"/>
          <w:szCs w:val="24"/>
          <w:highlight w:val="none"/>
          <w:u w:val="single"/>
        </w:rPr>
        <w:t>承包人应按照《广州市住房和城乡建设委员会关于印发&lt;广州市建筑施工实名制管理办法&gt;的通知》（穗建规字[2017]4号）、《关于印发广州市建设领域工人工资支付分帐管理实施细则的通知》（穗建规字[2020]37号）、《广州市根治拖欠农民工工资工作领导小组办公室关于广州市建设领域工程项目全面实施农民工工资总包代发制度的通知》及广州市黄埔区、开发区对应出台的相关文件规定办理建筑工地实名制管理和工人工资支付分帐管理事宜；防止出现拖欠工人工资情况。承包人违法转包、分包工程的或其他承包人原因导致相应工程出现拖欠工人工资情况的，承包人对拖欠工人工资承担清偿责任，对此引起的纠纷负全责，造成发包人损失（包括但不限于发包人因此而支付的赔偿款、律师费、诉讼费、保全费、公证费、鉴定费等）的，承包人须承担全部责任。</w:t>
      </w:r>
    </w:p>
    <w:p>
      <w:pPr>
        <w:spacing w:line="440" w:lineRule="exact"/>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47.16</w:t>
      </w:r>
      <w:r>
        <w:rPr>
          <w:rFonts w:hint="eastAsia" w:ascii="宋体" w:hAnsi="宋体" w:cs="宋体"/>
          <w:color w:val="auto"/>
          <w:sz w:val="24"/>
          <w:szCs w:val="24"/>
          <w:highlight w:val="none"/>
          <w:u w:val="single"/>
        </w:rPr>
        <w:t>若承包人在本工程内发生无故拖欠农民工工资现象，将被作不良记录，上报区建设行政主管部门</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若承包人转包或者违法分包造成拖欠工人工资的，除上报区建设行政主管部门外，还将提请省建设行业主管部门禁止在广东省行政区域范围内承包工程。</w:t>
      </w:r>
    </w:p>
    <w:p>
      <w:pPr>
        <w:snapToGrid w:val="0"/>
        <w:spacing w:line="440" w:lineRule="exact"/>
        <w:ind w:firstLine="48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项目管理机构人员、机械设备、劳动力到位方面的要求</w:t>
      </w:r>
      <w:r>
        <w:rPr>
          <w:rFonts w:hint="eastAsia" w:ascii="宋体" w:hAnsi="宋体" w:eastAsia="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47.17</w:t>
      </w:r>
      <w:r>
        <w:rPr>
          <w:rFonts w:hint="eastAsia" w:ascii="宋体" w:hAnsi="宋体" w:cs="宋体"/>
          <w:color w:val="auto"/>
          <w:sz w:val="24"/>
          <w:szCs w:val="24"/>
          <w:highlight w:val="none"/>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47.18</w:t>
      </w:r>
      <w:r>
        <w:rPr>
          <w:rFonts w:hint="eastAsia" w:ascii="宋体" w:hAnsi="宋体" w:cs="宋体"/>
          <w:color w:val="auto"/>
          <w:sz w:val="24"/>
          <w:szCs w:val="24"/>
          <w:highlight w:val="none"/>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47.19</w:t>
      </w:r>
      <w:r>
        <w:rPr>
          <w:rFonts w:hint="eastAsia" w:ascii="宋体" w:hAnsi="宋体" w:cs="宋体"/>
          <w:color w:val="auto"/>
          <w:sz w:val="24"/>
          <w:szCs w:val="24"/>
          <w:highlight w:val="none"/>
          <w:u w:val="single"/>
        </w:rPr>
        <w:t>现场施工时，施工员（技术员）不在施工现场不得施工，否则发包人可随时要求停工，工期延误由承包人负责</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47.20</w:t>
      </w:r>
      <w:r>
        <w:rPr>
          <w:rFonts w:hint="eastAsia" w:ascii="宋体" w:hAnsi="宋体" w:cs="宋体"/>
          <w:color w:val="auto"/>
          <w:sz w:val="24"/>
          <w:szCs w:val="24"/>
          <w:highlight w:val="none"/>
          <w:u w:val="single"/>
        </w:rPr>
        <w:t>承包人派往现场的管理人员若因不负责任、或玩忽职守、或严重失职等给发包人造成经济损失，承包人承担相应的经济责任和连带法律责任</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投标报价及造价承包和变更结算方式的要求</w:t>
      </w:r>
      <w:r>
        <w:rPr>
          <w:rFonts w:hint="eastAsia" w:ascii="宋体" w:hAnsi="宋体" w:eastAsia="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47.21</w:t>
      </w:r>
      <w:r>
        <w:rPr>
          <w:rFonts w:hint="eastAsia" w:ascii="宋体" w:hAnsi="宋体" w:cs="宋体"/>
          <w:color w:val="auto"/>
          <w:sz w:val="24"/>
          <w:szCs w:val="24"/>
          <w:highlight w:val="none"/>
          <w:u w:val="single"/>
        </w:rPr>
        <w:t>工程量清单报价中有关问题的说明：</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① </w:t>
      </w:r>
      <w:r>
        <w:rPr>
          <w:rFonts w:hint="eastAsia" w:ascii="宋体" w:hAnsi="宋体" w:cs="宋体"/>
          <w:color w:val="auto"/>
          <w:sz w:val="24"/>
          <w:szCs w:val="24"/>
          <w:highlight w:val="none"/>
          <w:u w:val="single"/>
        </w:rPr>
        <w:t>工程量清单中的标志杆基础中的土方开挖、运输、外运等费用包含在相应项目中，不包含在土石方工程的相关项目中</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② </w:t>
      </w:r>
      <w:r>
        <w:rPr>
          <w:rFonts w:hint="eastAsia" w:ascii="宋体" w:hAnsi="宋体" w:cs="宋体"/>
          <w:color w:val="auto"/>
          <w:sz w:val="24"/>
          <w:szCs w:val="24"/>
          <w:highlight w:val="none"/>
          <w:u w:val="single"/>
        </w:rPr>
        <w:t>投标时,土方的弃运距离暂按15km内考虑，超过15km按15km计算，结算时按招标人确认的实际运距计算,实际运距超过15公里时按15公里包干。</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③</w:t>
      </w:r>
      <w:r>
        <w:rPr>
          <w:rFonts w:hint="eastAsia" w:ascii="宋体" w:hAnsi="宋体" w:cs="宋体"/>
          <w:color w:val="auto"/>
          <w:sz w:val="24"/>
          <w:szCs w:val="24"/>
          <w:highlight w:val="none"/>
          <w:u w:val="single"/>
        </w:rPr>
        <w:t xml:space="preserve"> 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47.22</w:t>
      </w:r>
      <w:r>
        <w:rPr>
          <w:rFonts w:hint="eastAsia" w:ascii="宋体" w:hAnsi="宋体" w:cs="宋体"/>
          <w:color w:val="auto"/>
          <w:sz w:val="24"/>
          <w:szCs w:val="24"/>
          <w:highlight w:val="none"/>
          <w:u w:val="single"/>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使用（施工围蔽费用除外），且承包人不得以任何理由要求发包人另行增加该部分费用（承包人要充分考虑最不利因素影响而采用的施工方案所需的费用）</w:t>
      </w:r>
      <w:r>
        <w:rPr>
          <w:rFonts w:hint="eastAsia" w:ascii="宋体" w:hAnsi="宋体" w:cs="宋体"/>
          <w:color w:val="auto"/>
          <w:sz w:val="24"/>
          <w:szCs w:val="24"/>
          <w:highlight w:val="none"/>
        </w:rPr>
        <w:t>。</w:t>
      </w:r>
    </w:p>
    <w:p>
      <w:pPr>
        <w:pBdr>
          <w:top w:val="single" w:color="auto" w:sz="4" w:space="1"/>
          <w:bottom w:val="single" w:color="auto" w:sz="6" w:space="1"/>
        </w:pBd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47.23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47.24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47.25承包人应使用绿色生产达标企业生产的混凝土，若不遵守承诺，自愿按不履行合同约定处理。</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47.26承包人人应按有关规定协助发包人完成公共排水设施竣工图纸备案工作。</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47.27</w:t>
      </w:r>
      <w:r>
        <w:rPr>
          <w:rFonts w:hint="eastAsia" w:ascii="宋体" w:hAnsi="宋体" w:cs="宋体"/>
          <w:color w:val="auto"/>
          <w:sz w:val="24"/>
          <w:szCs w:val="24"/>
          <w:highlight w:val="none"/>
          <w:u w:val="single"/>
        </w:rPr>
        <w:t>在整个合同执行期间发包人如发现有不合理投标报价的，发包人有权按有关规定和合同约定进行调整，并将书面通知承包人，并以此作为结算依据</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47.28</w:t>
      </w:r>
      <w:r>
        <w:rPr>
          <w:rFonts w:hint="eastAsia" w:ascii="宋体" w:hAnsi="宋体" w:cs="宋体"/>
          <w:color w:val="auto"/>
          <w:sz w:val="24"/>
          <w:highlight w:val="none"/>
          <w:u w:val="single"/>
        </w:rPr>
        <w:t>所有材料品牌选择均须报发包人、监理工程师确认，且经检验合格后方能使用。</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47.29</w:t>
      </w:r>
      <w:r>
        <w:rPr>
          <w:rFonts w:hint="eastAsia" w:ascii="宋体" w:hAnsi="宋体" w:cs="宋体"/>
          <w:color w:val="auto"/>
          <w:sz w:val="24"/>
          <w:szCs w:val="24"/>
          <w:highlight w:val="none"/>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47.30</w:t>
      </w:r>
      <w:r>
        <w:rPr>
          <w:rFonts w:hint="eastAsia" w:ascii="宋体" w:hAnsi="宋体" w:cs="宋体"/>
          <w:color w:val="auto"/>
          <w:sz w:val="24"/>
          <w:szCs w:val="24"/>
          <w:highlight w:val="none"/>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47.31</w:t>
      </w:r>
      <w:r>
        <w:rPr>
          <w:rFonts w:hint="eastAsia" w:ascii="宋体" w:hAnsi="宋体" w:cs="宋体"/>
          <w:color w:val="auto"/>
          <w:sz w:val="24"/>
          <w:szCs w:val="24"/>
          <w:highlight w:val="none"/>
          <w:u w:val="single"/>
        </w:rPr>
        <w:t>承包人须按照发包人与监理人签订的委托监理合同接受监理人的全过程监理</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47.32</w:t>
      </w:r>
      <w:r>
        <w:rPr>
          <w:rFonts w:hint="eastAsia" w:ascii="宋体" w:hAnsi="宋体" w:cs="宋体"/>
          <w:color w:val="auto"/>
          <w:sz w:val="24"/>
          <w:szCs w:val="24"/>
          <w:highlight w:val="none"/>
          <w:u w:val="single"/>
        </w:rPr>
        <w:t>如广州开发区、黄埔区对工程竣工验收及备案有相关规定，则本合同执行该规定</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47.33</w:t>
      </w:r>
      <w:r>
        <w:rPr>
          <w:rFonts w:hint="eastAsia" w:ascii="宋体" w:hAnsi="宋体" w:cs="宋体"/>
          <w:color w:val="auto"/>
          <w:sz w:val="24"/>
          <w:szCs w:val="24"/>
          <w:highlight w:val="none"/>
          <w:u w:val="single"/>
        </w:rPr>
        <w:t>如果审计机关依法对本工程实施审计，发包人、承包人及监理单位应积极配合</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47.34</w:t>
      </w:r>
      <w:r>
        <w:rPr>
          <w:rFonts w:hint="eastAsia" w:ascii="宋体" w:hAnsi="宋体" w:cs="宋体"/>
          <w:color w:val="auto"/>
          <w:sz w:val="24"/>
          <w:szCs w:val="24"/>
          <w:highlight w:val="none"/>
          <w:u w:val="single"/>
        </w:rPr>
        <w:t>本合同在实施过程中所发生的文件来往，双方不得拒绝签收。如果发生类似事件，发文一方可以监理工程师签收为准，视为送达</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47.35</w:t>
      </w:r>
      <w:r>
        <w:rPr>
          <w:rFonts w:hint="eastAsia" w:ascii="宋体" w:hAnsi="宋体" w:cs="宋体"/>
          <w:color w:val="auto"/>
          <w:sz w:val="24"/>
          <w:szCs w:val="24"/>
          <w:highlight w:val="none"/>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47.36</w:t>
      </w:r>
      <w:r>
        <w:rPr>
          <w:rFonts w:hint="eastAsia" w:ascii="宋体" w:hAnsi="宋体" w:cs="宋体"/>
          <w:color w:val="auto"/>
          <w:sz w:val="24"/>
          <w:szCs w:val="24"/>
          <w:highlight w:val="none"/>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47.37</w:t>
      </w:r>
      <w:r>
        <w:rPr>
          <w:rFonts w:hint="eastAsia" w:ascii="宋体" w:hAnsi="宋体" w:cs="宋体"/>
          <w:color w:val="auto"/>
          <w:sz w:val="24"/>
          <w:szCs w:val="24"/>
          <w:highlight w:val="none"/>
          <w:u w:val="single"/>
        </w:rPr>
        <w:t>承包人施工过程中不得侵犯他人的专利权或者其他合法权益，否则由承包人承担相关责任，并保证不因该侵权行为影响工程建设</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47.38</w:t>
      </w:r>
      <w:r>
        <w:rPr>
          <w:rFonts w:hint="eastAsia" w:ascii="宋体" w:hAnsi="宋体" w:cs="宋体"/>
          <w:color w:val="auto"/>
          <w:sz w:val="24"/>
          <w:szCs w:val="24"/>
          <w:highlight w:val="none"/>
          <w:u w:val="single"/>
        </w:rPr>
        <w:t>承包人与发包人签订合同时所提供的开户银行名称及帐号不得擅自变更，如需变更必须征得发包人的书面同意，否则发包人有权停止工程款的拨付，所造成的一切后果由承包人承担</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47.39</w:t>
      </w:r>
      <w:r>
        <w:rPr>
          <w:rFonts w:hint="eastAsia" w:ascii="宋体" w:hAnsi="宋体" w:cs="宋体"/>
          <w:color w:val="auto"/>
          <w:sz w:val="24"/>
          <w:szCs w:val="24"/>
          <w:highlight w:val="none"/>
          <w:u w:val="single"/>
        </w:rPr>
        <w:t>如发包人为本工程的代建单位，则本工程建设业主同时享有本合同项下属发包人的权利，并且合同中约定需发包人审批的事项，必须经建设业主审批同意后方可实施</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i/>
          <w:color w:val="auto"/>
          <w:sz w:val="24"/>
          <w:szCs w:val="24"/>
          <w:highlight w:val="none"/>
        </w:rPr>
      </w:pPr>
      <w:r>
        <w:rPr>
          <w:rFonts w:hint="eastAsia" w:ascii="宋体" w:hAnsi="宋体" w:cs="宋体"/>
          <w:color w:val="auto"/>
          <w:sz w:val="24"/>
          <w:szCs w:val="24"/>
          <w:highlight w:val="none"/>
        </w:rPr>
        <w:t>47.40</w:t>
      </w:r>
      <w:r>
        <w:rPr>
          <w:rFonts w:hint="eastAsia" w:ascii="宋体" w:hAnsi="宋体" w:cs="宋体"/>
          <w:color w:val="auto"/>
          <w:sz w:val="24"/>
          <w:szCs w:val="24"/>
          <w:highlight w:val="none"/>
          <w:u w:val="single"/>
        </w:rPr>
        <w:t>《广州开发区财政投资建设项目管理中心 绿化景观工程计量管理办法》将作为合同附件，各相关单位须遵照执行</w:t>
      </w:r>
      <w:r>
        <w:rPr>
          <w:rFonts w:hint="eastAsia" w:ascii="宋体" w:hAnsi="宋体" w:cs="宋体"/>
          <w:color w:val="auto"/>
          <w:sz w:val="24"/>
          <w:szCs w:val="24"/>
          <w:highlight w:val="none"/>
        </w:rPr>
        <w:t>。</w:t>
      </w:r>
      <w:r>
        <w:rPr>
          <w:rFonts w:hint="eastAsia" w:ascii="宋体" w:hAnsi="宋体" w:cs="宋体"/>
          <w:i/>
          <w:color w:val="auto"/>
          <w:sz w:val="24"/>
          <w:szCs w:val="24"/>
          <w:highlight w:val="none"/>
        </w:rPr>
        <w:t>(注：该条款适用于绿化施工工程)</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47.41</w:t>
      </w:r>
      <w:r>
        <w:rPr>
          <w:rFonts w:hint="eastAsia" w:ascii="宋体" w:hAnsi="宋体" w:cs="宋体"/>
          <w:color w:val="auto"/>
          <w:sz w:val="24"/>
          <w:szCs w:val="24"/>
          <w:highlight w:val="none"/>
          <w:u w:val="single"/>
        </w:rPr>
        <w:t>工程获得国家、省级、市级所发奖项的，可给予通报表彰，但不给予任何物质奖励</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47.42</w:t>
      </w:r>
      <w:r>
        <w:rPr>
          <w:rFonts w:hint="eastAsia" w:ascii="宋体" w:hAnsi="宋体" w:cs="宋体"/>
          <w:color w:val="auto"/>
          <w:sz w:val="24"/>
          <w:szCs w:val="24"/>
          <w:highlight w:val="none"/>
          <w:u w:val="single"/>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47.43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47.44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47.45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47.46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szCs w:val="24"/>
          <w:highlight w:val="none"/>
          <w:u w:val="single"/>
        </w:rPr>
        <w:t>47.47</w:t>
      </w:r>
      <w:r>
        <w:rPr>
          <w:rFonts w:hint="eastAsia" w:ascii="宋体" w:hAnsi="宋体" w:cs="宋体"/>
          <w:color w:val="auto"/>
          <w:sz w:val="24"/>
          <w:highlight w:val="none"/>
          <w:u w:val="single"/>
        </w:rPr>
        <w:t xml:space="preserve"> 承包人在施工过程中应严格执行《城市绿化条例》、《广东省城市绿化条例》、《广州市绿化条例》、《广州市城市树木保护管理规定（试行）》（穗林业园林规字〔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highlight w:val="none"/>
          <w:u w:val="single"/>
        </w:rPr>
        <w:t>47.48 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47.49 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47.50 未尽事宜，经双方友好协商解决。</w:t>
      </w:r>
    </w:p>
    <w:p>
      <w:pPr>
        <w:spacing w:line="440" w:lineRule="exact"/>
        <w:ind w:firstLine="420" w:firstLineChars="200"/>
        <w:rPr>
          <w:rFonts w:hint="eastAsia" w:ascii="宋体" w:hAnsi="宋体"/>
          <w:color w:val="auto"/>
          <w:sz w:val="21"/>
          <w:szCs w:val="21"/>
          <w:highlight w:val="none"/>
          <w:u w:val="single"/>
        </w:rPr>
      </w:pPr>
    </w:p>
    <w:p>
      <w:pPr>
        <w:spacing w:line="440" w:lineRule="exact"/>
        <w:ind w:firstLine="420" w:firstLineChars="200"/>
        <w:rPr>
          <w:rFonts w:hint="eastAsia" w:ascii="宋体" w:hAnsi="宋体"/>
          <w:color w:val="auto"/>
          <w:sz w:val="21"/>
          <w:szCs w:val="21"/>
          <w:highlight w:val="none"/>
          <w:u w:val="single"/>
        </w:rPr>
      </w:pPr>
    </w:p>
    <w:p>
      <w:pPr>
        <w:spacing w:line="440" w:lineRule="exact"/>
        <w:ind w:firstLine="420" w:firstLineChars="200"/>
        <w:rPr>
          <w:rFonts w:hint="eastAsia" w:ascii="宋体" w:hAnsi="宋体"/>
          <w:color w:val="auto"/>
          <w:sz w:val="21"/>
          <w:szCs w:val="21"/>
          <w:highlight w:val="none"/>
          <w:u w:val="single"/>
        </w:rPr>
      </w:pPr>
    </w:p>
    <w:p>
      <w:pPr>
        <w:spacing w:line="440" w:lineRule="exact"/>
        <w:ind w:firstLine="420" w:firstLineChars="200"/>
        <w:rPr>
          <w:rFonts w:hint="eastAsia" w:ascii="宋体" w:hAnsi="宋体"/>
          <w:color w:val="auto"/>
          <w:sz w:val="21"/>
          <w:szCs w:val="21"/>
          <w:highlight w:val="none"/>
          <w:u w:val="single"/>
        </w:rPr>
      </w:pPr>
    </w:p>
    <w:p>
      <w:pPr>
        <w:spacing w:line="440" w:lineRule="exact"/>
        <w:ind w:firstLine="420" w:firstLineChars="200"/>
        <w:rPr>
          <w:rFonts w:hint="eastAsia" w:ascii="宋体" w:hAnsi="宋体"/>
          <w:color w:val="auto"/>
          <w:sz w:val="21"/>
          <w:szCs w:val="21"/>
          <w:highlight w:val="none"/>
          <w:u w:val="single"/>
        </w:rPr>
      </w:pPr>
    </w:p>
    <w:p>
      <w:pPr>
        <w:spacing w:line="440" w:lineRule="exact"/>
        <w:ind w:firstLine="420" w:firstLineChars="200"/>
        <w:rPr>
          <w:rFonts w:hint="eastAsia" w:ascii="宋体" w:hAnsi="宋体"/>
          <w:color w:val="auto"/>
          <w:sz w:val="21"/>
          <w:szCs w:val="21"/>
          <w:highlight w:val="none"/>
          <w:u w:val="single"/>
        </w:rPr>
      </w:pPr>
    </w:p>
    <w:p>
      <w:pPr>
        <w:spacing w:line="440" w:lineRule="exact"/>
        <w:ind w:firstLine="420" w:firstLineChars="200"/>
        <w:rPr>
          <w:rFonts w:hint="eastAsia" w:ascii="宋体" w:hAnsi="宋体"/>
          <w:color w:val="auto"/>
          <w:sz w:val="21"/>
          <w:szCs w:val="21"/>
          <w:highlight w:val="none"/>
          <w:u w:val="single"/>
        </w:rPr>
      </w:pPr>
    </w:p>
    <w:p>
      <w:pPr>
        <w:spacing w:line="240" w:lineRule="auto"/>
        <w:rPr>
          <w:rFonts w:hint="eastAsia" w:ascii="宋体" w:hAnsi="宋体"/>
          <w:color w:val="auto"/>
          <w:sz w:val="21"/>
          <w:szCs w:val="21"/>
          <w:highlight w:val="none"/>
          <w:u w:val="single"/>
        </w:rPr>
      </w:pPr>
      <w:r>
        <w:rPr>
          <w:rFonts w:hint="eastAsia" w:ascii="宋体" w:hAnsi="宋体"/>
          <w:color w:val="auto"/>
          <w:sz w:val="21"/>
          <w:szCs w:val="21"/>
          <w:highlight w:val="none"/>
          <w:u w:val="single"/>
        </w:rPr>
        <w:br w:type="page"/>
      </w:r>
    </w:p>
    <w:p>
      <w:pPr>
        <w:pStyle w:val="16"/>
        <w:rPr>
          <w:rFonts w:hint="eastAsia"/>
          <w:color w:val="auto"/>
          <w:highlight w:val="none"/>
        </w:rPr>
      </w:pPr>
    </w:p>
    <w:p>
      <w:pPr>
        <w:numPr>
          <w:ilvl w:val="0"/>
          <w:numId w:val="4"/>
        </w:numPr>
        <w:jc w:val="center"/>
        <w:rPr>
          <w:rFonts w:hint="eastAsia" w:ascii="宋体" w:hAnsi="宋体" w:eastAsia="宋体" w:cs="宋体"/>
          <w:b/>
          <w:bCs/>
          <w:color w:val="auto"/>
          <w:sz w:val="28"/>
          <w:szCs w:val="28"/>
          <w:highlight w:val="none"/>
          <w:lang w:val="en-US" w:eastAsia="zh-CN"/>
        </w:rPr>
      </w:pPr>
      <w:r>
        <w:rPr>
          <w:rFonts w:hint="eastAsia" w:ascii="宋体" w:hAnsi="宋体" w:cs="宋体"/>
          <w:b/>
          <w:color w:val="auto"/>
          <w:sz w:val="28"/>
          <w:szCs w:val="28"/>
          <w:highlight w:val="none"/>
        </w:rPr>
        <w:t xml:space="preserve"> </w:t>
      </w:r>
      <w:r>
        <w:rPr>
          <w:rFonts w:hint="eastAsia" w:ascii="宋体" w:hAnsi="宋体" w:eastAsia="宋体" w:cs="宋体"/>
          <w:b/>
          <w:bCs/>
          <w:color w:val="auto"/>
          <w:sz w:val="28"/>
          <w:szCs w:val="28"/>
          <w:highlight w:val="none"/>
          <w:lang w:val="en-US" w:eastAsia="zh-CN"/>
        </w:rPr>
        <w:t>绿化种植专篇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（本专篇适用于绿化建设项目、房建及道路配套绿化项目。）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lang w:eastAsia="zh-CN"/>
        </w:rPr>
        <w:t>广州开发区财政投资建设项目管理中心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为</w:t>
      </w:r>
      <w:r>
        <w:rPr>
          <w:rFonts w:hint="eastAsia" w:ascii="宋体" w:hAnsi="宋体" w:eastAsia="宋体" w:cs="宋体"/>
          <w:color w:val="auto"/>
          <w:kern w:val="2"/>
          <w:sz w:val="24"/>
          <w:szCs w:val="24"/>
          <w:highlight w:val="none"/>
          <w:lang w:val="en-US" w:eastAsia="zh-CN" w:bidi="ar-SA"/>
        </w:rPr>
        <w:t>提高绿化苗木选取和种植苗木质量</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加强</w:t>
      </w:r>
      <w:r>
        <w:rPr>
          <w:rFonts w:hint="eastAsia" w:ascii="宋体" w:hAnsi="宋体" w:eastAsia="宋体" w:cs="宋体"/>
          <w:color w:val="auto"/>
          <w:sz w:val="24"/>
          <w:szCs w:val="24"/>
          <w:highlight w:val="none"/>
          <w:lang w:eastAsia="zh-CN"/>
        </w:rPr>
        <w:t>科学</w:t>
      </w:r>
      <w:r>
        <w:rPr>
          <w:rFonts w:hint="eastAsia" w:ascii="宋体" w:hAnsi="宋体" w:eastAsia="宋体" w:cs="宋体"/>
          <w:color w:val="auto"/>
          <w:sz w:val="24"/>
          <w:szCs w:val="24"/>
          <w:highlight w:val="none"/>
        </w:rPr>
        <w:t>绿化建设和管理，提升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项目</w:t>
      </w:r>
      <w:r>
        <w:rPr>
          <w:rFonts w:hint="eastAsia" w:ascii="宋体" w:hAnsi="宋体" w:eastAsia="宋体" w:cs="宋体"/>
          <w:color w:val="auto"/>
          <w:sz w:val="24"/>
          <w:szCs w:val="24"/>
          <w:highlight w:val="none"/>
        </w:rPr>
        <w:t>绿化</w:t>
      </w:r>
      <w:r>
        <w:rPr>
          <w:rFonts w:hint="eastAsia" w:ascii="宋体" w:hAnsi="宋体" w:eastAsia="宋体" w:cs="宋体"/>
          <w:color w:val="auto"/>
          <w:sz w:val="24"/>
          <w:szCs w:val="24"/>
          <w:highlight w:val="none"/>
          <w:lang w:eastAsia="zh-CN"/>
        </w:rPr>
        <w:t>种植和</w:t>
      </w:r>
      <w:r>
        <w:rPr>
          <w:rFonts w:hint="eastAsia" w:ascii="宋体" w:hAnsi="宋体" w:eastAsia="宋体" w:cs="宋体"/>
          <w:color w:val="auto"/>
          <w:sz w:val="24"/>
          <w:szCs w:val="24"/>
          <w:highlight w:val="none"/>
        </w:rPr>
        <w:t>养护管理标准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制订本项目绿化种植专篇。</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一、绿化种植、养护内容及范围</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lang w:val="en-US" w:eastAsia="zh-CN"/>
        </w:rPr>
        <w:t>1、本项目绿化工程</w:t>
      </w:r>
      <w:r>
        <w:rPr>
          <w:rFonts w:hint="eastAsia" w:ascii="宋体" w:hAnsi="宋体" w:eastAsia="宋体" w:cs="宋体"/>
          <w:color w:val="auto"/>
          <w:kern w:val="0"/>
          <w:sz w:val="24"/>
          <w:szCs w:val="24"/>
          <w:highlight w:val="none"/>
        </w:rPr>
        <w:t>范围：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本项目</w:t>
      </w:r>
      <w:r>
        <w:rPr>
          <w:rFonts w:hint="eastAsia" w:ascii="宋体" w:hAnsi="宋体" w:eastAsia="宋体" w:cs="宋体"/>
          <w:color w:val="auto"/>
          <w:sz w:val="24"/>
          <w:szCs w:val="24"/>
          <w:highlight w:val="none"/>
          <w:u w:val="single"/>
        </w:rPr>
        <w:t>施工合同约定的承包范围内的全部</w:t>
      </w:r>
      <w:r>
        <w:rPr>
          <w:rFonts w:hint="eastAsia" w:ascii="宋体" w:hAnsi="宋体" w:eastAsia="宋体" w:cs="宋体"/>
          <w:color w:val="auto"/>
          <w:sz w:val="24"/>
          <w:szCs w:val="24"/>
          <w:highlight w:val="none"/>
          <w:u w:val="single"/>
          <w:lang w:eastAsia="zh-CN"/>
        </w:rPr>
        <w:t>绿化</w:t>
      </w:r>
      <w:r>
        <w:rPr>
          <w:rFonts w:hint="eastAsia" w:ascii="宋体" w:hAnsi="宋体" w:eastAsia="宋体" w:cs="宋体"/>
          <w:color w:val="auto"/>
          <w:sz w:val="24"/>
          <w:szCs w:val="24"/>
          <w:highlight w:val="none"/>
          <w:u w:val="single"/>
        </w:rPr>
        <w:t>工程内容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u w:val="none"/>
          <w:lang w:val="en-US" w:eastAsia="zh-CN"/>
        </w:rPr>
        <w:t xml:space="preserve">    2、本项目《苗木供应清单》：详见本专篇附表。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二、质量要求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要求符合国家、省、市园林绿化规程、检评标准、相关要求及行业标准，包括但不限于以下：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 相关法律法规与政策文件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kern w:val="2"/>
          <w:sz w:val="24"/>
          <w:szCs w:val="24"/>
          <w:highlight w:val="none"/>
          <w:lang w:val="en-US" w:eastAsia="zh-CN" w:bidi="ar-SA"/>
        </w:rPr>
        <w:t>《城市绿化条例》（2017 年修订）；</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《广东省城市绿化条例》（2022 年修订）</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《广州市绿化条例》（2022 年修订）</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《国务院办公厅关于科学绿化的指导意见》（国办发〔2021〕19 号）</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《中共广东省委关于深入推进绿美广东生态建设的决定》（2022 年 12 月 8 日中国共产党广东省第十三届委员会第二次全体会议通过）</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《广东省人民政府办公厅关于科学绿化的实施意见》（粤府办〔2021〕48 号）</w:t>
      </w:r>
    </w:p>
    <w:p>
      <w:pPr>
        <w:pStyle w:val="18"/>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中共广州市委办公厅 广州市人民政府办公厅印发《广州市关于科学绿化的实施意见》的通知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穗办〔2021〕11号</w:t>
      </w:r>
      <w:r>
        <w:rPr>
          <w:rFonts w:hint="eastAsia" w:ascii="宋体" w:hAnsi="宋体" w:eastAsia="宋体" w:cs="宋体"/>
          <w:color w:val="auto"/>
          <w:sz w:val="24"/>
          <w:szCs w:val="24"/>
          <w:highlight w:val="none"/>
          <w:lang w:eastAsia="zh-CN"/>
        </w:rPr>
        <w:t>）</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《广州市林业和园林局关于印发广州市树木修剪技术指引（试行）的通知》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穗林业园林通〔2021〕153 号</w:t>
      </w:r>
      <w:r>
        <w:rPr>
          <w:rFonts w:hint="eastAsia" w:ascii="宋体" w:hAnsi="宋体" w:eastAsia="宋体" w:cs="宋体"/>
          <w:color w:val="auto"/>
          <w:sz w:val="24"/>
          <w:szCs w:val="24"/>
          <w:highlight w:val="none"/>
          <w:lang w:eastAsia="zh-CN"/>
        </w:rPr>
        <w:t>）</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）《广州市林业和园林局关于规范提升全市树木支撑的通知》（穗林业园林通〔2019〕100 号）</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黄埔区住房和城乡建设局 广州开发区建设和交通局关于印发《</w:t>
      </w:r>
      <w:r>
        <w:rPr>
          <w:rFonts w:hint="eastAsia" w:ascii="宋体" w:hAnsi="宋体" w:eastAsia="宋体" w:cs="宋体"/>
          <w:color w:val="auto"/>
          <w:sz w:val="24"/>
          <w:szCs w:val="24"/>
          <w:highlight w:val="none"/>
          <w:lang w:val="en-US" w:eastAsia="zh-CN"/>
        </w:rPr>
        <w:t>黄埔区绿化苗木选用及种植技术指引（1.0版）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黄埔区园林绿化养护技术指引（1.0版）</w:t>
      </w:r>
      <w:r>
        <w:rPr>
          <w:rFonts w:hint="eastAsia" w:ascii="宋体" w:hAnsi="宋体" w:cs="宋体"/>
          <w:color w:val="auto"/>
          <w:sz w:val="24"/>
          <w:szCs w:val="24"/>
          <w:highlight w:val="none"/>
          <w:lang w:val="en-US" w:eastAsia="zh-CN"/>
        </w:rPr>
        <w:t>》的通知（穗埔建</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93</w:t>
      </w:r>
      <w:r>
        <w:rPr>
          <w:rFonts w:hint="eastAsia" w:ascii="宋体" w:hAnsi="宋体" w:eastAsia="宋体" w:cs="宋体"/>
          <w:color w:val="auto"/>
          <w:sz w:val="24"/>
          <w:szCs w:val="24"/>
          <w:highlight w:val="none"/>
          <w:lang w:eastAsia="zh-CN"/>
        </w:rPr>
        <w:t xml:space="preserve"> 号</w:t>
      </w:r>
      <w:r>
        <w:rPr>
          <w:rFonts w:hint="eastAsia" w:ascii="宋体" w:hAnsi="宋体" w:cs="宋体"/>
          <w:color w:val="auto"/>
          <w:sz w:val="24"/>
          <w:szCs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 《黄埔区住房和城乡建设局 广州开发区建设和交通局关于加强科学绿化工作的提醒函》（穗埔建函[2023]2767号）</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相关标准规范</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（1）《园林绿化工程项目规范》（GB55014-2021）；</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（2）《城市园林绿化评价标准》GBT 50563-2010；</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（3）《城市绿地草坪建植与管理技术规程》GBT 19535.2-2004；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（4）《城市园林绿化评价标准》[附条文说明]GB/T 50563-2010</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（5）《地表水环境质量标准》GB 3838-2002</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（6）《园林树木安全性评价技术规范》DB4401/T17—2019 ；</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（7）《广东城市绿化工程施工和验收规范》DBBT581-2009 ；</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（8）《城市园林绿化工程施工及验收规范》DB11/T 212-2017；</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（9）《城市园林绿化用苗-木本苗木分级》DB440300/T 28—2006。</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（10）《城市绿化和园林绿地用植物材料-木本苗》CJT 24-1999；</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（11）《城市绿化和园林绿地用植物材料- 球根花卉种球》CJT</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135-2001 ；</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（12）《绿化种植土壤》CJ/T340-2016；</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（13）《园林植物筛选通用技术要求》CJT 512-2017；</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（14）《城市主要绿化竹种苗木等级》LYT 2345-2014；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（15）《绿化全冠苗木栽植技术规程》LYT 2632-2016；</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（16）《森林植物检疫技术规程》</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（17）《广州市主要乡土和适生植物名录》</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《城市道路绿化规划与设计规范》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三、绿化种植、养护要求</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549" w:firstLineChars="228"/>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绿化苗木选用和种植过程要求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承包人应严格按照本项目《苗木供应清单》要求选用苗木，执行</w:t>
      </w:r>
      <w:r>
        <w:rPr>
          <w:rFonts w:hint="eastAsia" w:ascii="宋体" w:hAnsi="宋体" w:eastAsia="宋体" w:cs="宋体"/>
          <w:color w:val="auto"/>
          <w:sz w:val="24"/>
          <w:szCs w:val="24"/>
          <w:highlight w:val="none"/>
          <w:lang w:val="en-US" w:eastAsia="zh-CN"/>
        </w:rPr>
        <w:t>《黄埔区绿化苗木选用及种植技术指引（1.0版）》，</w:t>
      </w:r>
      <w:r>
        <w:rPr>
          <w:rFonts w:hint="eastAsia" w:ascii="宋体" w:hAnsi="宋体" w:eastAsia="宋体" w:cs="宋体"/>
          <w:color w:val="auto"/>
          <w:kern w:val="2"/>
          <w:sz w:val="24"/>
          <w:szCs w:val="24"/>
          <w:highlight w:val="none"/>
          <w:lang w:val="en-US" w:eastAsia="zh-CN" w:bidi="ar-SA"/>
        </w:rPr>
        <w:t>加强对绿化种植全过程的监管监控，严格把控好绿化苗木品质，精细化深翻整理绿地，因地制宜塑造地形，保证土质营养成分及酸碱度，高标准高质量开挖种植穴，严格控制种植穴的尺寸，确保做到深挖浅埋的要求，规范绿化苗木选苗、起苗、包扎、修剪，做足做全绿化苗木运输保护措施，标准化进行绿化种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控根等技术措施进行迁地抚育，达到种植标准后，方可作为大规格苗木重新应用于园林绿化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2、绿化养护技术及时间要求</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承包人应认真学习并执行</w:t>
      </w:r>
      <w:r>
        <w:rPr>
          <w:rFonts w:hint="eastAsia" w:ascii="宋体" w:hAnsi="宋体" w:eastAsia="宋体" w:cs="宋体"/>
          <w:color w:val="auto"/>
          <w:sz w:val="24"/>
          <w:szCs w:val="24"/>
          <w:highlight w:val="none"/>
          <w:lang w:val="en-US" w:eastAsia="zh-CN"/>
        </w:rPr>
        <w:t>《黄埔区园林绿化养护技术指引（1.0版）》的具体要求，规范项目中</w:t>
      </w:r>
      <w:r>
        <w:rPr>
          <w:rFonts w:hint="eastAsia" w:ascii="宋体" w:hAnsi="宋体" w:eastAsia="宋体" w:cs="宋体"/>
          <w:color w:val="auto"/>
          <w:kern w:val="2"/>
          <w:sz w:val="24"/>
          <w:szCs w:val="24"/>
          <w:highlight w:val="none"/>
          <w:lang w:val="en-US" w:eastAsia="zh-CN" w:bidi="ar-SA"/>
        </w:rPr>
        <w:t>绿化灌溉、施肥、修剪、病虫害综合防治、日常养护管理工作</w:t>
      </w:r>
      <w:r>
        <w:rPr>
          <w:rFonts w:hint="eastAsia" w:ascii="宋体" w:hAnsi="宋体" w:eastAsia="宋体" w:cs="宋体"/>
          <w:color w:val="auto"/>
          <w:sz w:val="24"/>
          <w:szCs w:val="24"/>
          <w:highlight w:val="none"/>
          <w:lang w:val="en-US"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养护期：胸径15CM（含）以上苗木养护期，</w:t>
      </w:r>
      <w:r>
        <w:rPr>
          <w:rFonts w:hint="eastAsia" w:ascii="宋体" w:hAnsi="宋体" w:eastAsia="宋体" w:cs="宋体"/>
          <w:b w:val="0"/>
          <w:bCs w:val="0"/>
          <w:color w:val="auto"/>
          <w:sz w:val="24"/>
          <w:szCs w:val="24"/>
          <w:highlight w:val="none"/>
          <w:lang w:val="en-US" w:eastAsia="zh-CN"/>
        </w:rPr>
        <w:t>自本项目绿化工程</w:t>
      </w:r>
      <w:r>
        <w:rPr>
          <w:rFonts w:hint="eastAsia" w:ascii="宋体" w:hAnsi="宋体" w:eastAsia="宋体" w:cs="宋体"/>
          <w:color w:val="auto"/>
          <w:sz w:val="24"/>
          <w:szCs w:val="24"/>
          <w:highlight w:val="none"/>
        </w:rPr>
        <w:t>通过竣工验收之日</w:t>
      </w:r>
      <w:r>
        <w:rPr>
          <w:rFonts w:hint="eastAsia" w:ascii="宋体" w:hAnsi="宋体" w:eastAsia="宋体" w:cs="宋体"/>
          <w:color w:val="auto"/>
          <w:sz w:val="24"/>
          <w:szCs w:val="24"/>
          <w:highlight w:val="none"/>
          <w:lang w:eastAsia="zh-CN"/>
        </w:rPr>
        <w:t>起</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其他苗木养护期为3个月</w:t>
      </w:r>
      <w:r>
        <w:rPr>
          <w:rFonts w:hint="eastAsia" w:ascii="宋体" w:hAnsi="宋体" w:eastAsia="宋体" w:cs="宋体"/>
          <w:color w:val="auto"/>
          <w:sz w:val="24"/>
          <w:szCs w:val="24"/>
          <w:highlight w:val="none"/>
        </w:rPr>
        <w:t>。</w:t>
      </w:r>
    </w:p>
    <w:p>
      <w:pPr>
        <w:spacing w:line="440" w:lineRule="exact"/>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养护期内，承包人需负责</w:t>
      </w:r>
      <w:r>
        <w:rPr>
          <w:rFonts w:hint="eastAsia" w:ascii="宋体" w:hAnsi="宋体" w:eastAsia="宋体" w:cs="宋体"/>
          <w:color w:val="auto"/>
          <w:sz w:val="24"/>
          <w:szCs w:val="24"/>
          <w:highlight w:val="none"/>
          <w:lang w:val="en-US" w:eastAsia="zh-CN"/>
        </w:rPr>
        <w:t>项目中</w:t>
      </w:r>
      <w:r>
        <w:rPr>
          <w:rFonts w:hint="eastAsia" w:ascii="宋体" w:hAnsi="宋体" w:eastAsia="宋体" w:cs="宋体"/>
          <w:color w:val="auto"/>
          <w:kern w:val="2"/>
          <w:sz w:val="24"/>
          <w:szCs w:val="24"/>
          <w:highlight w:val="none"/>
          <w:lang w:val="en-US" w:eastAsia="zh-CN" w:bidi="ar-SA"/>
        </w:rPr>
        <w:t>绿化灌溉、施肥、修剪、病虫害综合防治、日常养护管理工作，及时更换</w:t>
      </w:r>
      <w:r>
        <w:rPr>
          <w:rFonts w:hint="eastAsia" w:ascii="宋体" w:hAnsi="宋体" w:eastAsia="宋体" w:cs="宋体"/>
          <w:color w:val="auto"/>
          <w:sz w:val="24"/>
          <w:szCs w:val="24"/>
          <w:highlight w:val="none"/>
          <w:lang w:val="en-US" w:eastAsia="zh-CN"/>
        </w:rPr>
        <w:t>不符合清单要求的苗木，</w:t>
      </w:r>
      <w:r>
        <w:rPr>
          <w:rFonts w:hint="eastAsia" w:ascii="宋体" w:hAnsi="宋体" w:eastAsia="宋体" w:cs="宋体"/>
          <w:color w:val="auto"/>
          <w:kern w:val="2"/>
          <w:sz w:val="24"/>
          <w:szCs w:val="24"/>
          <w:highlight w:val="none"/>
          <w:lang w:val="en-US" w:eastAsia="zh-CN" w:bidi="ar-SA"/>
        </w:rPr>
        <w:t>提高绿化种植成活率，确保绿化移交时符合</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黄埔区绿化苗木选用及种植技术指引（1.0版）》</w:t>
      </w:r>
      <w:r>
        <w:rPr>
          <w:rFonts w:hint="eastAsia" w:ascii="宋体" w:hAnsi="宋体" w:eastAsia="宋体" w:cs="宋体"/>
          <w:color w:val="auto"/>
          <w:sz w:val="24"/>
          <w:szCs w:val="24"/>
          <w:highlight w:val="none"/>
          <w:lang w:val="en-US" w:eastAsia="zh-CN"/>
        </w:rPr>
        <w:t>《黄埔区园林绿化养护技术指引（1.0版）》及发包人要求。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四、责任与义务</w:t>
      </w:r>
    </w:p>
    <w:p>
      <w:pPr>
        <w:spacing w:beforeLines="0" w:afterLines="0" w:line="44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1、承包人应严格按照本项目《苗木供应清单》执行苗木选用、种植和养护工作。</w:t>
      </w:r>
      <w:r>
        <w:rPr>
          <w:rFonts w:hint="eastAsia" w:ascii="宋体" w:hAnsi="宋体" w:eastAsia="宋体" w:cs="宋体"/>
          <w:color w:val="auto"/>
          <w:sz w:val="24"/>
          <w:szCs w:val="24"/>
          <w:highlight w:val="none"/>
          <w:lang w:val="en-US" w:eastAsia="zh-CN"/>
        </w:rPr>
        <w:t>如经发包人</w:t>
      </w:r>
      <w:r>
        <w:rPr>
          <w:rFonts w:hint="eastAsia" w:ascii="宋体" w:hAnsi="宋体" w:eastAsia="宋体" w:cs="宋体"/>
          <w:color w:val="auto"/>
          <w:kern w:val="0"/>
          <w:sz w:val="24"/>
          <w:szCs w:val="24"/>
          <w:highlight w:val="none"/>
        </w:rPr>
        <w:t>或</w:t>
      </w:r>
      <w:r>
        <w:rPr>
          <w:rFonts w:hint="eastAsia" w:ascii="宋体" w:hAnsi="宋体" w:eastAsia="宋体" w:cs="宋体"/>
          <w:color w:val="auto"/>
          <w:kern w:val="0"/>
          <w:sz w:val="24"/>
          <w:szCs w:val="24"/>
          <w:highlight w:val="none"/>
          <w:lang w:eastAsia="zh-CN"/>
        </w:rPr>
        <w:t>本项目</w:t>
      </w:r>
      <w:r>
        <w:rPr>
          <w:rFonts w:hint="eastAsia" w:ascii="宋体" w:hAnsi="宋体" w:eastAsia="宋体" w:cs="宋体"/>
          <w:color w:val="auto"/>
          <w:kern w:val="0"/>
          <w:sz w:val="24"/>
          <w:szCs w:val="24"/>
          <w:highlight w:val="none"/>
        </w:rPr>
        <w:t>监理单位</w:t>
      </w:r>
      <w:r>
        <w:rPr>
          <w:rFonts w:hint="eastAsia" w:ascii="宋体" w:hAnsi="宋体" w:eastAsia="宋体" w:cs="宋体"/>
          <w:color w:val="auto"/>
          <w:sz w:val="24"/>
          <w:szCs w:val="24"/>
          <w:highlight w:val="none"/>
          <w:lang w:val="en-US" w:eastAsia="zh-CN"/>
        </w:rPr>
        <w:t>巡查发现苗木不符合清单要求的，应</w:t>
      </w:r>
      <w:r>
        <w:rPr>
          <w:rFonts w:hint="eastAsia" w:ascii="宋体" w:hAnsi="宋体" w:eastAsia="宋体" w:cs="宋体"/>
          <w:color w:val="auto"/>
          <w:kern w:val="2"/>
          <w:sz w:val="24"/>
          <w:szCs w:val="24"/>
          <w:highlight w:val="none"/>
          <w:lang w:val="en-US" w:eastAsia="zh-CN" w:bidi="ar-SA"/>
        </w:rPr>
        <w:t>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pPr>
        <w:spacing w:beforeLines="0" w:afterLines="0" w:line="44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承包人应规范苗木种植过程及绿化灌溉、施肥、修剪、病虫害综合防治、日常养护管理等工作，发包人应不定期对承包人绿化种植成效进行抽查、加强对绿化种植全过程的监管监控，如承包人绿化种植效果达不到项目要求，发包人有权要求其限期整改。每逾期一天，由发包人扣减绿化工程造价的万分之一作为违约金。同时，发包人有权另行委托其他服务单位实施整改，以保证按时按质按量完成整改，所需费用从承包人工程款中全额扣除。</w:t>
      </w:r>
    </w:p>
    <w:p>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五、其它</w:t>
      </w:r>
    </w:p>
    <w:p>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本专篇是为规范本项目绿化工程种植、养护工作制定，未提及的内容均按施工合同专用条款的约定执行。</w:t>
      </w:r>
    </w:p>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s="宋体"/>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520" w:lineRule="exact"/>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附表：</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苗木供应清单</w:t>
      </w:r>
    </w:p>
    <w:p>
      <w:pPr>
        <w:pStyle w:val="12"/>
        <w:keepNext w:val="0"/>
        <w:keepLines w:val="0"/>
        <w:pageBreakBefore w:val="0"/>
        <w:kinsoku/>
        <w:wordWrap/>
        <w:overflowPunct/>
        <w:topLinePunct w:val="0"/>
        <w:autoSpaceDE/>
        <w:autoSpaceDN/>
        <w:bidi w:val="0"/>
        <w:adjustRightInd/>
        <w:snapToGrid/>
        <w:spacing w:line="520" w:lineRule="exact"/>
        <w:ind w:left="0" w:leftChars="0" w:firstLine="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项目名称：</w:t>
      </w:r>
    </w:p>
    <w:tbl>
      <w:tblPr>
        <w:tblStyle w:val="20"/>
        <w:tblW w:w="93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750"/>
        <w:gridCol w:w="1080"/>
        <w:gridCol w:w="1003"/>
        <w:gridCol w:w="1006"/>
        <w:gridCol w:w="884"/>
        <w:gridCol w:w="1080"/>
        <w:gridCol w:w="1080"/>
        <w:gridCol w:w="953"/>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Style w:val="25"/>
                <w:color w:val="auto"/>
                <w:sz w:val="24"/>
                <w:szCs w:val="24"/>
                <w:highlight w:val="none"/>
                <w:lang w:val="en-US" w:eastAsia="zh-CN" w:bidi="ar"/>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Style w:val="25"/>
                <w:color w:val="auto"/>
                <w:sz w:val="24"/>
                <w:szCs w:val="24"/>
                <w:highlight w:val="none"/>
                <w:lang w:val="en-US" w:eastAsia="zh-CN" w:bidi="ar"/>
              </w:rPr>
              <w:t>苗木名称</w:t>
            </w:r>
          </w:p>
        </w:tc>
        <w:tc>
          <w:tcPr>
            <w:tcW w:w="61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Style w:val="25"/>
                <w:color w:val="auto"/>
                <w:sz w:val="24"/>
                <w:szCs w:val="24"/>
                <w:highlight w:val="none"/>
                <w:lang w:val="en-US" w:eastAsia="zh-CN" w:bidi="ar"/>
              </w:rPr>
              <w:t>规格（ 单位：CM）</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Style w:val="25"/>
                <w:color w:val="auto"/>
                <w:sz w:val="24"/>
                <w:szCs w:val="24"/>
                <w:highlight w:val="none"/>
                <w:lang w:val="en-US" w:eastAsia="zh-CN" w:bidi="ar"/>
              </w:rPr>
              <w:t>规格（ 单位：个）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24"/>
                <w:szCs w:val="24"/>
                <w:highlight w:val="none"/>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auto"/>
                <w:sz w:val="24"/>
                <w:szCs w:val="24"/>
                <w:highlight w:val="none"/>
                <w:u w:val="none"/>
              </w:rPr>
            </w:pPr>
            <w:r>
              <w:rPr>
                <w:rStyle w:val="25"/>
                <w:color w:val="auto"/>
                <w:sz w:val="24"/>
                <w:szCs w:val="24"/>
                <w:highlight w:val="none"/>
                <w:lang w:val="en-US" w:eastAsia="zh-CN" w:bidi="ar"/>
              </w:rPr>
              <w:t>胸（ 地）径(Ф)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auto"/>
                <w:sz w:val="24"/>
                <w:szCs w:val="24"/>
                <w:highlight w:val="none"/>
                <w:u w:val="none"/>
              </w:rPr>
            </w:pPr>
            <w:r>
              <w:rPr>
                <w:rStyle w:val="25"/>
                <w:color w:val="auto"/>
                <w:sz w:val="24"/>
                <w:szCs w:val="24"/>
                <w:highlight w:val="none"/>
                <w:lang w:val="en-US" w:eastAsia="zh-CN" w:bidi="ar"/>
              </w:rPr>
              <w:t>株高（H）</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auto"/>
                <w:sz w:val="24"/>
                <w:szCs w:val="24"/>
                <w:highlight w:val="none"/>
                <w:u w:val="none"/>
              </w:rPr>
            </w:pPr>
            <w:r>
              <w:rPr>
                <w:rStyle w:val="25"/>
                <w:color w:val="auto"/>
                <w:sz w:val="24"/>
                <w:szCs w:val="24"/>
                <w:highlight w:val="none"/>
                <w:lang w:val="en-US" w:eastAsia="zh-CN" w:bidi="ar"/>
              </w:rPr>
              <w:t>分枝点高(Ⓗ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auto"/>
                <w:sz w:val="24"/>
                <w:szCs w:val="24"/>
                <w:highlight w:val="none"/>
                <w:u w:val="none"/>
              </w:rPr>
            </w:pPr>
            <w:r>
              <w:rPr>
                <w:rStyle w:val="25"/>
                <w:color w:val="auto"/>
                <w:sz w:val="24"/>
                <w:szCs w:val="24"/>
                <w:highlight w:val="none"/>
                <w:lang w:val="en-US" w:eastAsia="zh-CN" w:bidi="ar"/>
              </w:rPr>
              <w:t xml:space="preserve"> 冠幅（P）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Style w:val="25"/>
                <w:color w:val="auto"/>
                <w:sz w:val="24"/>
                <w:szCs w:val="24"/>
                <w:highlight w:val="none"/>
                <w:lang w:val="en-US" w:eastAsia="zh-CN" w:bidi="ar"/>
              </w:rPr>
              <w:t>土球规格直径* 高度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auto"/>
                <w:sz w:val="24"/>
                <w:szCs w:val="24"/>
                <w:highlight w:val="none"/>
                <w:u w:val="none"/>
              </w:rPr>
            </w:pPr>
            <w:r>
              <w:rPr>
                <w:rStyle w:val="25"/>
                <w:color w:val="auto"/>
                <w:sz w:val="24"/>
                <w:szCs w:val="24"/>
                <w:highlight w:val="none"/>
                <w:lang w:val="en-US" w:eastAsia="zh-CN" w:bidi="ar"/>
              </w:rPr>
              <w:t>种植穴直径* 高度</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auto"/>
                <w:sz w:val="24"/>
                <w:szCs w:val="24"/>
                <w:highlight w:val="none"/>
                <w:u w:val="none"/>
              </w:rPr>
            </w:pPr>
            <w:r>
              <w:rPr>
                <w:rStyle w:val="25"/>
                <w:color w:val="auto"/>
                <w:sz w:val="24"/>
                <w:szCs w:val="24"/>
                <w:highlight w:val="none"/>
                <w:lang w:val="en-US" w:eastAsia="zh-CN" w:bidi="ar"/>
              </w:rPr>
              <w:t>层托数(T)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auto"/>
                <w:sz w:val="24"/>
                <w:szCs w:val="24"/>
                <w:highlight w:val="none"/>
                <w:u w:val="none"/>
              </w:rPr>
            </w:pPr>
            <w:r>
              <w:rPr>
                <w:rStyle w:val="25"/>
                <w:color w:val="auto"/>
                <w:sz w:val="24"/>
                <w:szCs w:val="24"/>
                <w:highlight w:val="none"/>
                <w:lang w:val="en-US" w:eastAsia="zh-CN" w:bidi="ar"/>
              </w:rPr>
              <w:t>分枝数量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i w:val="0"/>
                <w:iCs w:val="0"/>
                <w:color w:val="auto"/>
                <w:sz w:val="24"/>
                <w:szCs w:val="24"/>
                <w:highlight w:val="none"/>
                <w:u w:val="none"/>
              </w:rPr>
            </w:pPr>
          </w:p>
        </w:tc>
      </w:tr>
    </w:tbl>
    <w:p>
      <w:pPr>
        <w:pStyle w:val="12"/>
        <w:keepNext w:val="0"/>
        <w:keepLines w:val="0"/>
        <w:pageBreakBefore w:val="0"/>
        <w:kinsoku/>
        <w:wordWrap/>
        <w:overflowPunct/>
        <w:topLinePunct w:val="0"/>
        <w:autoSpaceDE/>
        <w:autoSpaceDN/>
        <w:bidi w:val="0"/>
        <w:adjustRightInd/>
        <w:snapToGrid/>
        <w:spacing w:line="480" w:lineRule="exact"/>
        <w:ind w:left="0" w:leftChars="0" w:firstLine="0" w:firstLineChars="0"/>
        <w:rPr>
          <w:rFonts w:hint="eastAsia"/>
          <w:color w:val="auto"/>
          <w:sz w:val="24"/>
          <w:szCs w:val="24"/>
          <w:highlight w:val="none"/>
          <w:lang w:val="en-US" w:eastAsia="zh-CN"/>
        </w:rPr>
      </w:pPr>
    </w:p>
    <w:p>
      <w:pPr>
        <w:numPr>
          <w:ilvl w:val="-1"/>
          <w:numId w:val="0"/>
        </w:numPr>
        <w:jc w:val="both"/>
        <w:rPr>
          <w:rFonts w:hint="eastAsia" w:ascii="宋体" w:hAnsi="宋体" w:eastAsia="宋体" w:cs="宋体"/>
          <w:b/>
          <w:bCs/>
          <w:color w:val="auto"/>
          <w:sz w:val="28"/>
          <w:szCs w:val="28"/>
          <w:highlight w:val="none"/>
          <w:lang w:val="en-US" w:eastAsia="zh-CN"/>
        </w:rPr>
      </w:pPr>
    </w:p>
    <w:p>
      <w:pPr>
        <w:numPr>
          <w:ilvl w:val="-1"/>
          <w:numId w:val="0"/>
        </w:numPr>
        <w:jc w:val="both"/>
        <w:rPr>
          <w:rFonts w:hint="eastAsia" w:ascii="宋体" w:hAnsi="宋体" w:eastAsia="宋体" w:cs="宋体"/>
          <w:b/>
          <w:bCs/>
          <w:color w:val="auto"/>
          <w:sz w:val="28"/>
          <w:szCs w:val="28"/>
          <w:highlight w:val="none"/>
          <w:lang w:val="en-US" w:eastAsia="zh-CN"/>
        </w:rPr>
      </w:pPr>
    </w:p>
    <w:p>
      <w:pPr>
        <w:numPr>
          <w:ilvl w:val="-1"/>
          <w:numId w:val="0"/>
        </w:numPr>
        <w:jc w:val="both"/>
        <w:rPr>
          <w:rFonts w:hint="eastAsia" w:ascii="宋体" w:hAnsi="宋体" w:eastAsia="宋体" w:cs="宋体"/>
          <w:b/>
          <w:bCs/>
          <w:color w:val="auto"/>
          <w:sz w:val="28"/>
          <w:szCs w:val="28"/>
          <w:highlight w:val="none"/>
          <w:lang w:val="en-US" w:eastAsia="zh-CN"/>
        </w:rPr>
      </w:pPr>
    </w:p>
    <w:p>
      <w:pPr>
        <w:numPr>
          <w:ilvl w:val="-1"/>
          <w:numId w:val="0"/>
        </w:numPr>
        <w:jc w:val="both"/>
        <w:rPr>
          <w:rFonts w:hint="eastAsia" w:ascii="宋体" w:hAnsi="宋体" w:eastAsia="宋体" w:cs="宋体"/>
          <w:b/>
          <w:bCs/>
          <w:color w:val="auto"/>
          <w:sz w:val="28"/>
          <w:szCs w:val="28"/>
          <w:highlight w:val="none"/>
          <w:lang w:val="en-US" w:eastAsia="zh-CN"/>
        </w:rPr>
      </w:pPr>
    </w:p>
    <w:p>
      <w:pPr>
        <w:numPr>
          <w:ilvl w:val="-1"/>
          <w:numId w:val="0"/>
        </w:numPr>
        <w:jc w:val="both"/>
        <w:rPr>
          <w:rFonts w:hint="eastAsia" w:ascii="宋体" w:hAnsi="宋体" w:eastAsia="宋体" w:cs="宋体"/>
          <w:b/>
          <w:bCs/>
          <w:color w:val="auto"/>
          <w:sz w:val="28"/>
          <w:szCs w:val="28"/>
          <w:highlight w:val="none"/>
          <w:lang w:val="en-US" w:eastAsia="zh-CN"/>
        </w:rPr>
      </w:pPr>
    </w:p>
    <w:p>
      <w:pPr>
        <w:numPr>
          <w:ilvl w:val="-1"/>
          <w:numId w:val="0"/>
        </w:numPr>
        <w:jc w:val="both"/>
        <w:rPr>
          <w:rFonts w:hint="eastAsia" w:ascii="宋体" w:hAnsi="宋体" w:eastAsia="宋体" w:cs="宋体"/>
          <w:b/>
          <w:bCs/>
          <w:color w:val="auto"/>
          <w:sz w:val="28"/>
          <w:szCs w:val="28"/>
          <w:highlight w:val="none"/>
          <w:lang w:val="en-US" w:eastAsia="zh-CN"/>
        </w:rPr>
      </w:pPr>
    </w:p>
    <w:p>
      <w:pPr>
        <w:numPr>
          <w:ilvl w:val="-1"/>
          <w:numId w:val="0"/>
        </w:numPr>
        <w:jc w:val="both"/>
        <w:rPr>
          <w:rFonts w:hint="eastAsia" w:ascii="宋体" w:hAnsi="宋体" w:eastAsia="宋体" w:cs="宋体"/>
          <w:b/>
          <w:bCs/>
          <w:color w:val="auto"/>
          <w:sz w:val="28"/>
          <w:szCs w:val="28"/>
          <w:highlight w:val="none"/>
          <w:lang w:val="en-US" w:eastAsia="zh-CN"/>
        </w:rPr>
      </w:pPr>
    </w:p>
    <w:p>
      <w:pPr>
        <w:numPr>
          <w:ilvl w:val="-1"/>
          <w:numId w:val="0"/>
        </w:numPr>
        <w:jc w:val="both"/>
        <w:rPr>
          <w:rFonts w:hint="eastAsia" w:ascii="宋体" w:hAnsi="宋体" w:eastAsia="宋体" w:cs="宋体"/>
          <w:b/>
          <w:bCs/>
          <w:color w:val="auto"/>
          <w:sz w:val="28"/>
          <w:szCs w:val="28"/>
          <w:highlight w:val="none"/>
          <w:lang w:val="en-US" w:eastAsia="zh-CN"/>
        </w:rPr>
      </w:pPr>
    </w:p>
    <w:p>
      <w:pPr>
        <w:numPr>
          <w:ilvl w:val="-1"/>
          <w:numId w:val="0"/>
        </w:numPr>
        <w:jc w:val="both"/>
        <w:rPr>
          <w:rFonts w:hint="eastAsia" w:ascii="宋体" w:hAnsi="宋体" w:eastAsia="宋体" w:cs="宋体"/>
          <w:b/>
          <w:bCs/>
          <w:color w:val="auto"/>
          <w:sz w:val="28"/>
          <w:szCs w:val="28"/>
          <w:highlight w:val="none"/>
          <w:lang w:val="en-US" w:eastAsia="zh-CN"/>
        </w:rPr>
      </w:pPr>
    </w:p>
    <w:p>
      <w:pPr>
        <w:numPr>
          <w:ilvl w:val="-1"/>
          <w:numId w:val="0"/>
        </w:numPr>
        <w:jc w:val="both"/>
        <w:rPr>
          <w:rFonts w:hint="eastAsia" w:ascii="宋体" w:hAnsi="宋体" w:eastAsia="宋体" w:cs="宋体"/>
          <w:b/>
          <w:bCs/>
          <w:color w:val="auto"/>
          <w:sz w:val="28"/>
          <w:szCs w:val="28"/>
          <w:highlight w:val="none"/>
          <w:lang w:val="en-US" w:eastAsia="zh-CN"/>
        </w:rPr>
      </w:pPr>
    </w:p>
    <w:p>
      <w:pPr>
        <w:numPr>
          <w:ilvl w:val="-1"/>
          <w:numId w:val="0"/>
        </w:numPr>
        <w:jc w:val="both"/>
        <w:rPr>
          <w:rFonts w:hint="eastAsia" w:ascii="宋体" w:hAnsi="宋体" w:eastAsia="宋体" w:cs="宋体"/>
          <w:b/>
          <w:bCs/>
          <w:color w:val="auto"/>
          <w:sz w:val="28"/>
          <w:szCs w:val="28"/>
          <w:highlight w:val="none"/>
          <w:lang w:val="en-US" w:eastAsia="zh-CN"/>
        </w:rPr>
      </w:pPr>
    </w:p>
    <w:p>
      <w:pPr>
        <w:numPr>
          <w:ilvl w:val="-1"/>
          <w:numId w:val="0"/>
        </w:numPr>
        <w:jc w:val="both"/>
        <w:rPr>
          <w:rFonts w:hint="eastAsia" w:ascii="宋体" w:hAnsi="宋体" w:eastAsia="宋体" w:cs="宋体"/>
          <w:b/>
          <w:bCs/>
          <w:color w:val="auto"/>
          <w:sz w:val="28"/>
          <w:szCs w:val="28"/>
          <w:highlight w:val="none"/>
          <w:lang w:val="en-US" w:eastAsia="zh-CN"/>
        </w:rPr>
      </w:pPr>
    </w:p>
    <w:p>
      <w:pPr>
        <w:numPr>
          <w:ilvl w:val="-1"/>
          <w:numId w:val="0"/>
        </w:numPr>
        <w:jc w:val="both"/>
        <w:rPr>
          <w:rFonts w:hint="eastAsia" w:ascii="宋体" w:hAnsi="宋体" w:eastAsia="宋体" w:cs="宋体"/>
          <w:b/>
          <w:bCs/>
          <w:color w:val="auto"/>
          <w:sz w:val="28"/>
          <w:szCs w:val="28"/>
          <w:highlight w:val="none"/>
          <w:lang w:val="en-US" w:eastAsia="zh-CN"/>
        </w:rPr>
      </w:pPr>
    </w:p>
    <w:p>
      <w:pPr>
        <w:numPr>
          <w:ilvl w:val="-1"/>
          <w:numId w:val="0"/>
        </w:numPr>
        <w:jc w:val="both"/>
        <w:rPr>
          <w:rFonts w:hint="eastAsia" w:ascii="宋体" w:hAnsi="宋体" w:eastAsia="宋体" w:cs="宋体"/>
          <w:b/>
          <w:bCs/>
          <w:color w:val="auto"/>
          <w:sz w:val="28"/>
          <w:szCs w:val="28"/>
          <w:highlight w:val="none"/>
          <w:lang w:val="en-US" w:eastAsia="zh-CN"/>
        </w:rPr>
      </w:pPr>
    </w:p>
    <w:p>
      <w:pPr>
        <w:numPr>
          <w:ilvl w:val="-1"/>
          <w:numId w:val="0"/>
        </w:numPr>
        <w:jc w:val="both"/>
        <w:rPr>
          <w:rFonts w:hint="eastAsia" w:ascii="宋体" w:hAnsi="宋体" w:eastAsia="宋体" w:cs="宋体"/>
          <w:b/>
          <w:bCs/>
          <w:color w:val="auto"/>
          <w:sz w:val="28"/>
          <w:szCs w:val="28"/>
          <w:highlight w:val="none"/>
          <w:lang w:val="en-US" w:eastAsia="zh-CN"/>
        </w:rPr>
      </w:pPr>
    </w:p>
    <w:p>
      <w:pPr>
        <w:spacing w:line="440" w:lineRule="exact"/>
        <w:rPr>
          <w:rFonts w:ascii="宋体" w:hAnsi="宋体"/>
          <w:b/>
          <w:color w:val="auto"/>
          <w:sz w:val="28"/>
          <w:szCs w:val="28"/>
          <w:highlight w:val="none"/>
        </w:rPr>
      </w:pPr>
      <w:r>
        <w:rPr>
          <w:rFonts w:hint="eastAsia" w:ascii="宋体" w:hAnsi="宋体"/>
          <w:color w:val="auto"/>
          <w:sz w:val="21"/>
          <w:szCs w:val="21"/>
          <w:highlight w:val="none"/>
        </w:rPr>
        <w:t xml:space="preserve">                         </w:t>
      </w:r>
      <w:r>
        <w:rPr>
          <w:rFonts w:hint="eastAsia" w:ascii="宋体" w:hAnsi="宋体"/>
          <w:color w:val="auto"/>
          <w:sz w:val="28"/>
          <w:szCs w:val="28"/>
          <w:highlight w:val="none"/>
        </w:rPr>
        <w:t xml:space="preserve">  </w:t>
      </w:r>
      <w:r>
        <w:rPr>
          <w:rFonts w:hint="eastAsia" w:ascii="宋体" w:hAnsi="宋体"/>
          <w:b/>
          <w:color w:val="auto"/>
          <w:sz w:val="28"/>
          <w:szCs w:val="28"/>
          <w:highlight w:val="none"/>
        </w:rPr>
        <w:t>第</w:t>
      </w:r>
      <w:r>
        <w:rPr>
          <w:rFonts w:hint="eastAsia" w:ascii="宋体" w:hAnsi="宋体"/>
          <w:b/>
          <w:color w:val="auto"/>
          <w:sz w:val="28"/>
          <w:szCs w:val="28"/>
          <w:highlight w:val="none"/>
          <w:lang w:val="en-US" w:eastAsia="zh-CN"/>
        </w:rPr>
        <w:t>五</w:t>
      </w:r>
      <w:r>
        <w:rPr>
          <w:rFonts w:hint="eastAsia" w:ascii="宋体" w:hAnsi="宋体"/>
          <w:b/>
          <w:color w:val="auto"/>
          <w:sz w:val="28"/>
          <w:szCs w:val="28"/>
          <w:highlight w:val="none"/>
        </w:rPr>
        <w:t>部分</w:t>
      </w:r>
      <w:r>
        <w:rPr>
          <w:rFonts w:ascii="宋体" w:hAnsi="宋体"/>
          <w:b/>
          <w:color w:val="auto"/>
          <w:sz w:val="28"/>
          <w:szCs w:val="28"/>
          <w:highlight w:val="none"/>
        </w:rPr>
        <w:t xml:space="preserve">  </w:t>
      </w:r>
      <w:r>
        <w:rPr>
          <w:rFonts w:hint="eastAsia" w:ascii="宋体" w:hAnsi="宋体"/>
          <w:b/>
          <w:color w:val="auto"/>
          <w:sz w:val="28"/>
          <w:szCs w:val="28"/>
          <w:highlight w:val="none"/>
        </w:rPr>
        <w:t>工程质量保修责任书</w:t>
      </w:r>
    </w:p>
    <w:p>
      <w:pPr>
        <w:snapToGrid w:val="0"/>
        <w:spacing w:line="440" w:lineRule="exact"/>
        <w:rPr>
          <w:rFonts w:ascii="宋体" w:hAnsi="宋体"/>
          <w:color w:val="auto"/>
          <w:sz w:val="24"/>
          <w:highlight w:val="none"/>
        </w:rPr>
      </w:pPr>
      <w:r>
        <w:rPr>
          <w:rFonts w:hint="eastAsia" w:ascii="宋体" w:hAnsi="宋体"/>
          <w:color w:val="auto"/>
          <w:sz w:val="24"/>
          <w:highlight w:val="none"/>
        </w:rPr>
        <w:t>发包人（全称）：</w:t>
      </w:r>
      <w:r>
        <w:rPr>
          <w:rFonts w:ascii="宋体" w:hAnsi="宋体"/>
          <w:color w:val="auto"/>
          <w:sz w:val="24"/>
          <w:highlight w:val="none"/>
          <w:u w:val="single"/>
        </w:rPr>
        <w:t xml:space="preserve">                             </w:t>
      </w:r>
      <w:r>
        <w:rPr>
          <w:rFonts w:hint="eastAsia" w:ascii="宋体" w:hAnsi="宋体"/>
          <w:color w:val="auto"/>
          <w:sz w:val="24"/>
          <w:highlight w:val="none"/>
        </w:rPr>
        <w:t>。</w:t>
      </w:r>
    </w:p>
    <w:p>
      <w:pPr>
        <w:snapToGrid w:val="0"/>
        <w:spacing w:line="440" w:lineRule="exact"/>
        <w:rPr>
          <w:rFonts w:ascii="宋体" w:hAnsi="宋体"/>
          <w:color w:val="auto"/>
          <w:sz w:val="24"/>
          <w:highlight w:val="none"/>
        </w:rPr>
      </w:pPr>
      <w:r>
        <w:rPr>
          <w:rFonts w:hint="eastAsia" w:ascii="宋体" w:hAnsi="宋体"/>
          <w:color w:val="auto"/>
          <w:sz w:val="24"/>
          <w:highlight w:val="none"/>
        </w:rPr>
        <w:t>承包人（全称）：</w:t>
      </w:r>
      <w:r>
        <w:rPr>
          <w:rFonts w:ascii="宋体" w:hAnsi="宋体"/>
          <w:color w:val="auto"/>
          <w:sz w:val="24"/>
          <w:highlight w:val="none"/>
          <w:u w:val="single"/>
        </w:rPr>
        <w:t xml:space="preserve">                             </w:t>
      </w:r>
      <w:r>
        <w:rPr>
          <w:rFonts w:hint="eastAsia" w:ascii="宋体" w:hAnsi="宋体"/>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为保证</w:t>
      </w:r>
      <w:r>
        <w:rPr>
          <w:rFonts w:ascii="宋体" w:hAnsi="宋体"/>
          <w:color w:val="auto"/>
          <w:sz w:val="24"/>
          <w:highlight w:val="none"/>
          <w:u w:val="single"/>
        </w:rPr>
        <w:t xml:space="preserve">                工程</w:t>
      </w:r>
      <w:r>
        <w:rPr>
          <w:rFonts w:hint="eastAsia" w:ascii="宋体" w:hAnsi="宋体"/>
          <w:color w:val="auto"/>
          <w:sz w:val="24"/>
          <w:highlight w:val="none"/>
        </w:rPr>
        <w:t>在合理使用期限内正常使用，发包人承包人协商一致签订工程质量保修责任书。承包人在质量保修期内按照有关管理规定及双方约定承担本工程质量保修责任。</w:t>
      </w:r>
    </w:p>
    <w:p>
      <w:pPr>
        <w:numPr>
          <w:ilvl w:val="0"/>
          <w:numId w:val="6"/>
        </w:numPr>
        <w:tabs>
          <w:tab w:val="left" w:pos="1120"/>
        </w:tabs>
        <w:snapToGrid w:val="0"/>
        <w:spacing w:line="440" w:lineRule="exact"/>
        <w:ind w:hanging="240"/>
        <w:rPr>
          <w:rFonts w:ascii="宋体" w:hAnsi="宋体"/>
          <w:b/>
          <w:bCs/>
          <w:color w:val="auto"/>
          <w:sz w:val="24"/>
          <w:highlight w:val="none"/>
        </w:rPr>
      </w:pPr>
      <w:r>
        <w:rPr>
          <w:rFonts w:hint="eastAsia" w:ascii="宋体" w:hAnsi="宋体"/>
          <w:b/>
          <w:bCs/>
          <w:color w:val="auto"/>
          <w:sz w:val="24"/>
          <w:highlight w:val="none"/>
        </w:rPr>
        <w:t>工程质量保修范围和内容</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质量保修范围包括基础工程、主体路基、路面、桥涵构造物工程、给排水、防护工程以及本建设工程施工合同中所含的其它项目。具体质量保修内容双方约定如下：</w:t>
      </w:r>
    </w:p>
    <w:p>
      <w:pPr>
        <w:snapToGrid w:val="0"/>
        <w:spacing w:line="440" w:lineRule="exact"/>
        <w:ind w:firstLine="578" w:firstLineChars="241"/>
        <w:rPr>
          <w:rFonts w:ascii="宋体" w:hAnsi="宋体"/>
          <w:color w:val="auto"/>
          <w:sz w:val="24"/>
          <w:highlight w:val="none"/>
          <w:u w:val="single"/>
        </w:rPr>
      </w:pPr>
      <w:r>
        <w:rPr>
          <w:rFonts w:hint="eastAsia" w:ascii="宋体" w:hAnsi="宋体"/>
          <w:color w:val="auto"/>
          <w:sz w:val="24"/>
          <w:highlight w:val="none"/>
          <w:u w:val="single"/>
        </w:rPr>
        <w:t>按施工合同约定的承包范围内的全部工程内容</w:t>
      </w:r>
      <w:r>
        <w:rPr>
          <w:rFonts w:hint="eastAsia" w:ascii="宋体" w:hAnsi="宋体"/>
          <w:color w:val="auto"/>
          <w:sz w:val="24"/>
          <w:highlight w:val="none"/>
        </w:rPr>
        <w:t>。</w:t>
      </w:r>
    </w:p>
    <w:p>
      <w:pPr>
        <w:numPr>
          <w:ilvl w:val="0"/>
          <w:numId w:val="6"/>
        </w:numPr>
        <w:tabs>
          <w:tab w:val="left" w:pos="1120"/>
        </w:tabs>
        <w:snapToGrid w:val="0"/>
        <w:spacing w:line="440" w:lineRule="exact"/>
        <w:ind w:hanging="240"/>
        <w:rPr>
          <w:rFonts w:ascii="宋体" w:hAnsi="宋体"/>
          <w:b/>
          <w:bCs/>
          <w:color w:val="auto"/>
          <w:sz w:val="24"/>
          <w:highlight w:val="none"/>
        </w:rPr>
      </w:pPr>
      <w:r>
        <w:rPr>
          <w:rFonts w:hint="eastAsia" w:ascii="宋体" w:hAnsi="宋体"/>
          <w:b/>
          <w:bCs/>
          <w:color w:val="auto"/>
          <w:sz w:val="24"/>
          <w:highlight w:val="none"/>
        </w:rPr>
        <w:t>质量保修期</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质量保修期从广州开发区管委会或其相关职能部门批准的提前移交之日或者正式通过竣工验收之日（以先发生日期为准）算起。</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双方根据国家有关规定，结合具体工程约定质量保修期如下：</w:t>
      </w:r>
    </w:p>
    <w:p>
      <w:pPr>
        <w:snapToGrid w:val="0"/>
        <w:spacing w:line="440" w:lineRule="exact"/>
        <w:ind w:firstLine="578" w:firstLineChars="241"/>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基础设施工程、房屋建筑的地基基础和主体结构工程为设计文件规定的该工程合理使用年限；</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2、电力管线、上下水管线安装工程为</w:t>
      </w:r>
      <w:r>
        <w:rPr>
          <w:rFonts w:ascii="宋体" w:hAnsi="宋体"/>
          <w:color w:val="auto"/>
          <w:sz w:val="24"/>
          <w:highlight w:val="none"/>
          <w:u w:val="single"/>
        </w:rPr>
        <w:t xml:space="preserve"> 2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、供热及供冷为</w:t>
      </w:r>
      <w:r>
        <w:rPr>
          <w:rFonts w:ascii="宋体" w:hAnsi="宋体"/>
          <w:color w:val="auto"/>
          <w:sz w:val="24"/>
          <w:highlight w:val="none"/>
          <w:u w:val="single"/>
        </w:rPr>
        <w:t xml:space="preserve"> </w:t>
      </w:r>
      <w:r>
        <w:rPr>
          <w:rFonts w:hint="eastAsia" w:ascii="宋体" w:hAnsi="宋体"/>
          <w:color w:val="auto"/>
          <w:sz w:val="24"/>
          <w:highlight w:val="none"/>
          <w:u w:val="single"/>
        </w:rPr>
        <w:t>2</w:t>
      </w:r>
      <w:r>
        <w:rPr>
          <w:rFonts w:ascii="宋体" w:hAnsi="宋体"/>
          <w:color w:val="auto"/>
          <w:sz w:val="24"/>
          <w:highlight w:val="none"/>
          <w:u w:val="single"/>
        </w:rPr>
        <w:t xml:space="preserve"> </w:t>
      </w:r>
      <w:r>
        <w:rPr>
          <w:rFonts w:hint="eastAsia" w:ascii="宋体" w:hAnsi="宋体"/>
          <w:color w:val="auto"/>
          <w:sz w:val="24"/>
          <w:highlight w:val="none"/>
        </w:rPr>
        <w:t>个采暖期及供冷期；</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、室外的上下水和小区道路等市政公用工程为</w:t>
      </w:r>
      <w:r>
        <w:rPr>
          <w:rFonts w:ascii="宋体" w:hAnsi="宋体"/>
          <w:color w:val="auto"/>
          <w:sz w:val="24"/>
          <w:highlight w:val="none"/>
          <w:u w:val="single"/>
        </w:rPr>
        <w:t xml:space="preserve">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u w:val="single"/>
        </w:rPr>
      </w:pPr>
      <w:r>
        <w:rPr>
          <w:rFonts w:hint="eastAsia" w:ascii="宋体" w:hAnsi="宋体"/>
          <w:color w:val="auto"/>
          <w:sz w:val="24"/>
          <w:highlight w:val="none"/>
        </w:rPr>
        <w:t>5</w:t>
      </w:r>
      <w:r>
        <w:rPr>
          <w:rFonts w:ascii="宋体" w:hAnsi="宋体"/>
          <w:color w:val="auto"/>
          <w:sz w:val="24"/>
          <w:highlight w:val="none"/>
        </w:rPr>
        <w:t>、市政道</w:t>
      </w:r>
      <w:r>
        <w:rPr>
          <w:rFonts w:hint="eastAsia" w:ascii="宋体" w:hAnsi="宋体"/>
          <w:color w:val="auto"/>
          <w:sz w:val="24"/>
          <w:highlight w:val="none"/>
        </w:rPr>
        <w:t>路</w:t>
      </w:r>
      <w:r>
        <w:rPr>
          <w:rFonts w:ascii="宋体" w:hAnsi="宋体"/>
          <w:color w:val="auto"/>
          <w:sz w:val="24"/>
          <w:highlight w:val="none"/>
        </w:rPr>
        <w:t>排水工程为</w:t>
      </w:r>
      <w:r>
        <w:rPr>
          <w:rFonts w:ascii="宋体" w:hAnsi="宋体"/>
          <w:color w:val="auto"/>
          <w:sz w:val="24"/>
          <w:highlight w:val="none"/>
          <w:u w:val="single"/>
        </w:rPr>
        <w:t xml:space="preserve"> 2 </w:t>
      </w:r>
      <w:r>
        <w:rPr>
          <w:rFonts w:hint="eastAsia" w:ascii="宋体" w:hAnsi="宋体"/>
          <w:color w:val="auto"/>
          <w:sz w:val="24"/>
          <w:highlight w:val="none"/>
        </w:rPr>
        <w:t>年，市政供水工程为</w:t>
      </w:r>
      <w:r>
        <w:rPr>
          <w:rFonts w:ascii="宋体" w:hAnsi="宋体"/>
          <w:color w:val="auto"/>
          <w:sz w:val="24"/>
          <w:highlight w:val="none"/>
          <w:u w:val="single"/>
        </w:rPr>
        <w:t xml:space="preserve"> 2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6、市政供电工程为</w:t>
      </w:r>
      <w:r>
        <w:rPr>
          <w:rFonts w:ascii="宋体" w:hAnsi="宋体"/>
          <w:color w:val="auto"/>
          <w:sz w:val="24"/>
          <w:highlight w:val="none"/>
          <w:u w:val="single"/>
        </w:rPr>
        <w:t xml:space="preserve"> 2 </w:t>
      </w:r>
      <w:r>
        <w:rPr>
          <w:rFonts w:hint="eastAsia" w:ascii="宋体" w:hAnsi="宋体"/>
          <w:color w:val="auto"/>
          <w:sz w:val="24"/>
          <w:highlight w:val="none"/>
        </w:rPr>
        <w:t>年，市政道路照明工程</w:t>
      </w:r>
      <w:r>
        <w:rPr>
          <w:rFonts w:ascii="宋体" w:hAnsi="宋体"/>
          <w:color w:val="auto"/>
          <w:sz w:val="24"/>
          <w:highlight w:val="none"/>
          <w:u w:val="single"/>
        </w:rPr>
        <w:t xml:space="preserve"> 2 </w:t>
      </w:r>
      <w:r>
        <w:rPr>
          <w:rFonts w:hint="eastAsia" w:ascii="宋体" w:hAnsi="宋体"/>
          <w:color w:val="auto"/>
          <w:sz w:val="24"/>
          <w:highlight w:val="none"/>
        </w:rPr>
        <w:t>年，市政交通设施工程为</w:t>
      </w:r>
      <w:r>
        <w:rPr>
          <w:rFonts w:ascii="宋体" w:hAnsi="宋体"/>
          <w:color w:val="auto"/>
          <w:sz w:val="24"/>
          <w:highlight w:val="none"/>
          <w:u w:val="single"/>
        </w:rPr>
        <w:t xml:space="preserve">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7、园林建筑工程为</w:t>
      </w:r>
      <w:r>
        <w:rPr>
          <w:rFonts w:ascii="宋体" w:hAnsi="宋体"/>
          <w:color w:val="auto"/>
          <w:sz w:val="24"/>
          <w:highlight w:val="none"/>
          <w:u w:val="single"/>
        </w:rPr>
        <w:t xml:space="preserve"> 1 </w:t>
      </w:r>
      <w:r>
        <w:rPr>
          <w:rFonts w:hint="eastAsia" w:ascii="宋体" w:hAnsi="宋体"/>
          <w:color w:val="auto"/>
          <w:sz w:val="24"/>
          <w:highlight w:val="none"/>
        </w:rPr>
        <w:t>年，喷淋工程为</w:t>
      </w:r>
      <w:r>
        <w:rPr>
          <w:rFonts w:ascii="宋体" w:hAnsi="宋体"/>
          <w:color w:val="auto"/>
          <w:sz w:val="24"/>
          <w:highlight w:val="none"/>
          <w:u w:val="single"/>
        </w:rPr>
        <w:t xml:space="preserve"> 2</w:t>
      </w:r>
      <w:r>
        <w:rPr>
          <w:rFonts w:hint="eastAsia" w:ascii="宋体" w:hAnsi="宋体"/>
          <w:color w:val="auto"/>
          <w:sz w:val="24"/>
          <w:highlight w:val="none"/>
          <w:u w:val="single"/>
        </w:rPr>
        <w:t xml:space="preserve"> </w:t>
      </w:r>
      <w:r>
        <w:rPr>
          <w:rFonts w:hint="eastAsia" w:ascii="宋体" w:hAnsi="宋体"/>
          <w:color w:val="auto"/>
          <w:sz w:val="24"/>
          <w:highlight w:val="none"/>
        </w:rPr>
        <w:t>年，胸径</w:t>
      </w:r>
      <w:r>
        <w:rPr>
          <w:rFonts w:ascii="宋体" w:hAnsi="宋体"/>
          <w:color w:val="auto"/>
          <w:sz w:val="24"/>
          <w:highlight w:val="none"/>
        </w:rPr>
        <w:t>15cm</w:t>
      </w:r>
      <w:r>
        <w:rPr>
          <w:rFonts w:hint="eastAsia" w:ascii="宋体" w:hAnsi="宋体"/>
          <w:color w:val="auto"/>
          <w:sz w:val="24"/>
          <w:highlight w:val="none"/>
        </w:rPr>
        <w:t>以内（含</w:t>
      </w:r>
      <w:r>
        <w:rPr>
          <w:rFonts w:ascii="宋体" w:hAnsi="宋体"/>
          <w:color w:val="auto"/>
          <w:sz w:val="24"/>
          <w:highlight w:val="none"/>
        </w:rPr>
        <w:t>15cm</w:t>
      </w:r>
      <w:r>
        <w:rPr>
          <w:rFonts w:hint="eastAsia" w:ascii="宋体" w:hAnsi="宋体"/>
          <w:color w:val="auto"/>
          <w:sz w:val="24"/>
          <w:highlight w:val="none"/>
        </w:rPr>
        <w:t>）的苗木养护期为</w:t>
      </w:r>
      <w:r>
        <w:rPr>
          <w:rFonts w:ascii="宋体" w:hAnsi="宋体"/>
          <w:color w:val="auto"/>
          <w:sz w:val="24"/>
          <w:highlight w:val="none"/>
          <w:u w:val="single"/>
        </w:rPr>
        <w:t xml:space="preserve"> 3</w:t>
      </w:r>
      <w:r>
        <w:rPr>
          <w:rFonts w:hint="eastAsia" w:ascii="宋体" w:hAnsi="宋体"/>
          <w:color w:val="auto"/>
          <w:sz w:val="24"/>
          <w:highlight w:val="none"/>
          <w:u w:val="single"/>
        </w:rPr>
        <w:t xml:space="preserve"> </w:t>
      </w:r>
      <w:r>
        <w:rPr>
          <w:rFonts w:hint="eastAsia" w:ascii="宋体" w:hAnsi="宋体"/>
          <w:color w:val="auto"/>
          <w:sz w:val="24"/>
          <w:highlight w:val="none"/>
        </w:rPr>
        <w:t>个月，胸径</w:t>
      </w:r>
      <w:r>
        <w:rPr>
          <w:rFonts w:ascii="宋体" w:hAnsi="宋体"/>
          <w:color w:val="auto"/>
          <w:sz w:val="24"/>
          <w:highlight w:val="none"/>
        </w:rPr>
        <w:t>15cm</w:t>
      </w:r>
      <w:r>
        <w:rPr>
          <w:rFonts w:hint="eastAsia" w:ascii="宋体" w:hAnsi="宋体"/>
          <w:color w:val="auto"/>
          <w:sz w:val="24"/>
          <w:highlight w:val="none"/>
        </w:rPr>
        <w:t>以上的苗木养护期为</w:t>
      </w:r>
      <w:r>
        <w:rPr>
          <w:rFonts w:ascii="宋体" w:hAnsi="宋体"/>
          <w:color w:val="auto"/>
          <w:sz w:val="24"/>
          <w:highlight w:val="none"/>
          <w:u w:val="single"/>
        </w:rPr>
        <w:t xml:space="preserve"> 1</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8、其他约定：</w:t>
      </w:r>
      <w:r>
        <w:rPr>
          <w:rFonts w:hint="eastAsia" w:ascii="宋体" w:hAnsi="宋体"/>
          <w:color w:val="auto"/>
          <w:sz w:val="24"/>
          <w:highlight w:val="none"/>
          <w:u w:val="single"/>
        </w:rPr>
        <w:t>按相关规定执行</w:t>
      </w:r>
      <w:r>
        <w:rPr>
          <w:rFonts w:hint="eastAsia" w:ascii="宋体" w:hAnsi="宋体"/>
          <w:color w:val="auto"/>
          <w:sz w:val="24"/>
          <w:highlight w:val="none"/>
        </w:rPr>
        <w:t>。</w:t>
      </w:r>
    </w:p>
    <w:p>
      <w:pPr>
        <w:numPr>
          <w:ilvl w:val="0"/>
          <w:numId w:val="6"/>
        </w:numPr>
        <w:tabs>
          <w:tab w:val="left" w:pos="1120"/>
        </w:tabs>
        <w:snapToGrid w:val="0"/>
        <w:spacing w:line="440" w:lineRule="exact"/>
        <w:ind w:hanging="420"/>
        <w:rPr>
          <w:rFonts w:ascii="宋体" w:hAnsi="宋体"/>
          <w:b/>
          <w:color w:val="auto"/>
          <w:sz w:val="24"/>
          <w:highlight w:val="none"/>
        </w:rPr>
      </w:pPr>
      <w:r>
        <w:rPr>
          <w:rFonts w:hint="eastAsia" w:ascii="宋体" w:hAnsi="宋体"/>
          <w:b/>
          <w:color w:val="auto"/>
          <w:sz w:val="24"/>
          <w:highlight w:val="none"/>
        </w:rPr>
        <w:t>质量保修责任</w:t>
      </w:r>
    </w:p>
    <w:p>
      <w:pPr>
        <w:tabs>
          <w:tab w:val="left" w:pos="980"/>
        </w:tabs>
        <w:snapToGrid w:val="0"/>
        <w:spacing w:line="440" w:lineRule="exact"/>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color w:val="auto"/>
          <w:sz w:val="24"/>
          <w:highlight w:val="none"/>
        </w:rPr>
        <w:t>属于保修范围的内容项目，承包人应在接到修理通知之日后七天内派人员修理。承包人不在约定期内派人修理，发包人可委托其他人员修理，修理费用从质量保修金内扣除。</w:t>
      </w:r>
    </w:p>
    <w:p>
      <w:pPr>
        <w:tabs>
          <w:tab w:val="left" w:pos="980"/>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2、发生须紧急抢修事故（如给水管道破裂，排水管道严重堵塞，构造物破坏、损坏，路面严重坍塌等），承包人接到事故通知后，应立即到达事故现场抢修。非承包人施工质量引起的事故，抢修费用由发包人承担。</w:t>
      </w:r>
    </w:p>
    <w:p>
      <w:pPr>
        <w:tabs>
          <w:tab w:val="left" w:pos="980"/>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3、国家规定的土木、土建、市政工程合理使用期限内，承包人确保主体工程和桥涵构造物的质量和安全。因承包人原因致使工程在合理使用期限内因质量或安全方面的缺陷造成人身和财产损害的，承包人应承担损害赔偿责任。</w:t>
      </w:r>
    </w:p>
    <w:p>
      <w:pPr>
        <w:numPr>
          <w:ilvl w:val="0"/>
          <w:numId w:val="6"/>
        </w:numPr>
        <w:tabs>
          <w:tab w:val="left" w:pos="1120"/>
        </w:tabs>
        <w:snapToGrid w:val="0"/>
        <w:spacing w:line="440" w:lineRule="exact"/>
        <w:ind w:hanging="420"/>
        <w:rPr>
          <w:rFonts w:ascii="宋体" w:hAnsi="宋体"/>
          <w:b/>
          <w:bCs/>
          <w:color w:val="auto"/>
          <w:sz w:val="24"/>
          <w:highlight w:val="none"/>
        </w:rPr>
      </w:pPr>
      <w:r>
        <w:rPr>
          <w:rFonts w:hint="eastAsia" w:ascii="宋体" w:hAnsi="宋体"/>
          <w:b/>
          <w:bCs/>
          <w:color w:val="auto"/>
          <w:sz w:val="24"/>
          <w:highlight w:val="none"/>
        </w:rPr>
        <w:t>质量保修金的支付</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本工程约定的工程质量保修金为施工合同结算总价款的</w:t>
      </w:r>
      <w:r>
        <w:rPr>
          <w:rFonts w:hint="eastAsia" w:ascii="宋体" w:hAnsi="宋体"/>
          <w:color w:val="auto"/>
          <w:sz w:val="24"/>
          <w:highlight w:val="none"/>
          <w:u w:val="single"/>
        </w:rPr>
        <w:t>3</w:t>
      </w:r>
      <w:r>
        <w:rPr>
          <w:rFonts w:ascii="宋体" w:hAnsi="宋体"/>
          <w:color w:val="auto"/>
          <w:sz w:val="24"/>
          <w:highlight w:val="none"/>
        </w:rPr>
        <w:t>%。</w:t>
      </w:r>
    </w:p>
    <w:p>
      <w:pPr>
        <w:snapToGrid w:val="0"/>
        <w:spacing w:line="440" w:lineRule="exact"/>
        <w:ind w:firstLine="520" w:firstLineChars="250"/>
        <w:rPr>
          <w:rFonts w:ascii="宋体" w:hAnsi="宋体"/>
          <w:color w:val="auto"/>
          <w:spacing w:val="-32"/>
          <w:sz w:val="24"/>
          <w:highlight w:val="none"/>
        </w:rPr>
      </w:pPr>
      <w:r>
        <w:rPr>
          <w:rFonts w:hint="eastAsia" w:ascii="宋体" w:hAnsi="宋体"/>
          <w:color w:val="auto"/>
          <w:spacing w:val="-16"/>
          <w:sz w:val="24"/>
          <w:highlight w:val="none"/>
        </w:rPr>
        <w:t>本工程双方约定工程质量保修金金额为</w:t>
      </w:r>
      <w:r>
        <w:rPr>
          <w:rFonts w:ascii="宋体" w:hAnsi="宋体"/>
          <w:color w:val="auto"/>
          <w:sz w:val="24"/>
          <w:highlight w:val="none"/>
          <w:u w:val="single"/>
        </w:rPr>
        <w:t xml:space="preserve">(大写)    /      </w:t>
      </w:r>
      <w:r>
        <w:rPr>
          <w:rFonts w:hint="eastAsia" w:ascii="宋体" w:hAnsi="宋体"/>
          <w:color w:val="auto"/>
          <w:spacing w:val="-32"/>
          <w:sz w:val="24"/>
          <w:highlight w:val="none"/>
        </w:rPr>
        <w:t>。</w:t>
      </w:r>
    </w:p>
    <w:p>
      <w:pPr>
        <w:snapToGrid w:val="0"/>
        <w:spacing w:line="440" w:lineRule="exact"/>
        <w:ind w:firstLine="480" w:firstLineChars="200"/>
        <w:rPr>
          <w:rFonts w:ascii="宋体" w:hAnsi="宋体"/>
          <w:bCs/>
          <w:color w:val="auto"/>
          <w:sz w:val="24"/>
          <w:highlight w:val="none"/>
        </w:rPr>
      </w:pPr>
      <w:r>
        <w:rPr>
          <w:rFonts w:hint="eastAsia" w:ascii="宋体" w:hAnsi="宋体"/>
          <w:color w:val="auto"/>
          <w:sz w:val="24"/>
          <w:highlight w:val="none"/>
        </w:rPr>
        <w:t>质量保修金银行利率为</w:t>
      </w:r>
      <w:r>
        <w:rPr>
          <w:rFonts w:ascii="宋体" w:hAnsi="宋体"/>
          <w:color w:val="auto"/>
          <w:sz w:val="24"/>
          <w:highlight w:val="none"/>
          <w:u w:val="single"/>
        </w:rPr>
        <w:t xml:space="preserve">      /     </w:t>
      </w:r>
      <w:r>
        <w:rPr>
          <w:rFonts w:ascii="宋体" w:hAnsi="宋体"/>
          <w:color w:val="auto"/>
          <w:sz w:val="24"/>
          <w:highlight w:val="none"/>
        </w:rPr>
        <w:t>。</w:t>
      </w:r>
    </w:p>
    <w:p>
      <w:pPr>
        <w:numPr>
          <w:ilvl w:val="0"/>
          <w:numId w:val="6"/>
        </w:numPr>
        <w:tabs>
          <w:tab w:val="left" w:pos="1120"/>
        </w:tabs>
        <w:snapToGrid w:val="0"/>
        <w:spacing w:line="440" w:lineRule="exact"/>
        <w:ind w:hanging="420"/>
        <w:rPr>
          <w:rFonts w:ascii="宋体" w:hAnsi="宋体"/>
          <w:b/>
          <w:color w:val="auto"/>
          <w:sz w:val="24"/>
          <w:highlight w:val="none"/>
        </w:rPr>
      </w:pPr>
      <w:r>
        <w:rPr>
          <w:rFonts w:hint="eastAsia" w:ascii="宋体" w:hAnsi="宋体"/>
          <w:b/>
          <w:color w:val="auto"/>
          <w:sz w:val="24"/>
          <w:highlight w:val="none"/>
        </w:rPr>
        <w:t>其他</w:t>
      </w:r>
    </w:p>
    <w:p>
      <w:pPr>
        <w:tabs>
          <w:tab w:val="left" w:pos="980"/>
        </w:tabs>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rPr>
        <w:t>双方约定的其他工程质量保修事项：</w:t>
      </w:r>
      <w:r>
        <w:rPr>
          <w:rFonts w:hint="eastAsia" w:ascii="宋体" w:hAnsi="宋体"/>
          <w:color w:val="auto"/>
          <w:sz w:val="24"/>
          <w:highlight w:val="none"/>
          <w:u w:val="single"/>
        </w:rPr>
        <w:t>保留经广州开发区财政局核定的结算总造价的3</w:t>
      </w:r>
      <w:r>
        <w:rPr>
          <w:rFonts w:ascii="宋体" w:hAnsi="宋体"/>
          <w:color w:val="auto"/>
          <w:sz w:val="24"/>
          <w:highlight w:val="none"/>
          <w:u w:val="single"/>
        </w:rPr>
        <w:t>%作为保修金，在</w:t>
      </w:r>
      <w:r>
        <w:rPr>
          <w:rFonts w:hint="eastAsia" w:ascii="宋体" w:hAnsi="宋体"/>
          <w:color w:val="auto"/>
          <w:sz w:val="24"/>
          <w:highlight w:val="none"/>
          <w:u w:val="single"/>
        </w:rPr>
        <w:t>质量缺陷责任</w:t>
      </w:r>
      <w:r>
        <w:rPr>
          <w:rFonts w:ascii="宋体" w:hAnsi="宋体"/>
          <w:color w:val="auto"/>
          <w:sz w:val="24"/>
          <w:highlight w:val="none"/>
          <w:u w:val="single"/>
        </w:rPr>
        <w:t>期满后结清（不计利息）。</w:t>
      </w:r>
    </w:p>
    <w:p>
      <w:pPr>
        <w:tabs>
          <w:tab w:val="left" w:pos="980"/>
        </w:tabs>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本工程质量保修责任书作为施工合同附件，由施工合同发包人与承包人双方共同签署。</w:t>
      </w:r>
    </w:p>
    <w:p>
      <w:pPr>
        <w:pStyle w:val="41"/>
        <w:spacing w:line="440" w:lineRule="exact"/>
        <w:ind w:firstLine="0"/>
        <w:jc w:val="left"/>
        <w:rPr>
          <w:rFonts w:ascii="宋体" w:hAnsi="宋体"/>
          <w:color w:val="auto"/>
          <w:szCs w:val="24"/>
          <w:highlight w:val="none"/>
        </w:rPr>
      </w:pPr>
    </w:p>
    <w:p>
      <w:pPr>
        <w:pStyle w:val="41"/>
        <w:spacing w:line="440" w:lineRule="exact"/>
        <w:ind w:firstLine="0"/>
        <w:jc w:val="left"/>
        <w:rPr>
          <w:rFonts w:ascii="宋体" w:hAnsi="宋体"/>
          <w:color w:val="auto"/>
          <w:szCs w:val="24"/>
          <w:highlight w:val="none"/>
        </w:rPr>
      </w:pPr>
    </w:p>
    <w:p>
      <w:pPr>
        <w:pStyle w:val="41"/>
        <w:spacing w:line="440" w:lineRule="exact"/>
        <w:ind w:firstLine="0"/>
        <w:jc w:val="left"/>
        <w:rPr>
          <w:rFonts w:ascii="宋体" w:hAnsi="宋体"/>
          <w:color w:val="auto"/>
          <w:szCs w:val="24"/>
          <w:highlight w:val="none"/>
        </w:rPr>
      </w:pPr>
    </w:p>
    <w:p>
      <w:pPr>
        <w:pStyle w:val="41"/>
        <w:spacing w:line="440" w:lineRule="exact"/>
        <w:ind w:firstLine="0"/>
        <w:jc w:val="left"/>
        <w:rPr>
          <w:rFonts w:ascii="宋体" w:hAnsi="宋体"/>
          <w:color w:val="auto"/>
          <w:szCs w:val="24"/>
          <w:highlight w:val="none"/>
        </w:rPr>
      </w:pPr>
    </w:p>
    <w:p>
      <w:pPr>
        <w:pStyle w:val="41"/>
        <w:spacing w:line="440" w:lineRule="exact"/>
        <w:ind w:firstLine="0"/>
        <w:jc w:val="left"/>
        <w:rPr>
          <w:rFonts w:ascii="宋体" w:hAnsi="宋体"/>
          <w:color w:val="auto"/>
          <w:szCs w:val="24"/>
          <w:highlight w:val="none"/>
        </w:rPr>
      </w:pPr>
    </w:p>
    <w:p>
      <w:pPr>
        <w:pStyle w:val="41"/>
        <w:spacing w:line="440" w:lineRule="exact"/>
        <w:ind w:firstLine="397"/>
        <w:jc w:val="left"/>
        <w:rPr>
          <w:rFonts w:ascii="宋体" w:hAnsi="宋体"/>
          <w:color w:val="auto"/>
          <w:szCs w:val="24"/>
          <w:highlight w:val="none"/>
        </w:rPr>
      </w:pPr>
      <w:r>
        <w:rPr>
          <w:rFonts w:hint="eastAsia" w:ascii="宋体" w:hAnsi="宋体"/>
          <w:color w:val="auto"/>
          <w:szCs w:val="24"/>
          <w:highlight w:val="none"/>
        </w:rPr>
        <w:t>发包人（公章）：</w:t>
      </w:r>
      <w:r>
        <w:rPr>
          <w:rFonts w:ascii="宋体" w:hAnsi="宋体"/>
          <w:color w:val="auto"/>
          <w:szCs w:val="24"/>
          <w:highlight w:val="none"/>
        </w:rPr>
        <w:t xml:space="preserve">                       </w:t>
      </w:r>
      <w:r>
        <w:rPr>
          <w:rFonts w:hint="eastAsia" w:ascii="宋体" w:hAnsi="宋体"/>
          <w:color w:val="auto"/>
          <w:szCs w:val="24"/>
          <w:highlight w:val="none"/>
        </w:rPr>
        <w:t>承包人（公章）：</w:t>
      </w:r>
    </w:p>
    <w:p>
      <w:pPr>
        <w:pStyle w:val="41"/>
        <w:spacing w:line="440" w:lineRule="exact"/>
        <w:ind w:firstLine="397"/>
        <w:jc w:val="left"/>
        <w:rPr>
          <w:rFonts w:ascii="宋体" w:hAnsi="宋体"/>
          <w:color w:val="auto"/>
          <w:szCs w:val="24"/>
          <w:highlight w:val="none"/>
        </w:rPr>
      </w:pPr>
    </w:p>
    <w:p>
      <w:pPr>
        <w:pStyle w:val="41"/>
        <w:spacing w:line="440" w:lineRule="exact"/>
        <w:ind w:firstLine="397"/>
        <w:jc w:val="left"/>
        <w:rPr>
          <w:rFonts w:ascii="宋体" w:hAnsi="宋体"/>
          <w:color w:val="auto"/>
          <w:szCs w:val="24"/>
          <w:highlight w:val="none"/>
        </w:rPr>
      </w:pPr>
    </w:p>
    <w:p>
      <w:pPr>
        <w:pStyle w:val="41"/>
        <w:spacing w:line="440" w:lineRule="exact"/>
        <w:ind w:firstLine="397"/>
        <w:jc w:val="left"/>
        <w:rPr>
          <w:rFonts w:ascii="宋体" w:hAnsi="宋体"/>
          <w:color w:val="auto"/>
          <w:szCs w:val="24"/>
          <w:highlight w:val="none"/>
        </w:rPr>
      </w:pPr>
      <w:r>
        <w:rPr>
          <w:rFonts w:hint="eastAsia" w:ascii="宋体" w:hAnsi="宋体"/>
          <w:color w:val="auto"/>
          <w:szCs w:val="24"/>
          <w:highlight w:val="none"/>
        </w:rPr>
        <w:t>法定代表人：</w:t>
      </w:r>
      <w:r>
        <w:rPr>
          <w:rFonts w:ascii="宋体" w:hAnsi="宋体"/>
          <w:color w:val="auto"/>
          <w:szCs w:val="24"/>
          <w:highlight w:val="none"/>
        </w:rPr>
        <w:t xml:space="preserve">                          </w:t>
      </w:r>
      <w:r>
        <w:rPr>
          <w:rFonts w:hint="eastAsia" w:ascii="宋体" w:hAnsi="宋体"/>
          <w:color w:val="auto"/>
          <w:szCs w:val="24"/>
          <w:highlight w:val="none"/>
        </w:rPr>
        <w:t>法定代表人：</w:t>
      </w:r>
    </w:p>
    <w:p>
      <w:pPr>
        <w:pStyle w:val="41"/>
        <w:spacing w:line="440" w:lineRule="exact"/>
        <w:ind w:firstLine="397"/>
        <w:jc w:val="left"/>
        <w:rPr>
          <w:rFonts w:ascii="宋体" w:hAnsi="宋体"/>
          <w:color w:val="auto"/>
          <w:szCs w:val="24"/>
          <w:highlight w:val="none"/>
        </w:rPr>
      </w:pPr>
    </w:p>
    <w:p>
      <w:pPr>
        <w:pStyle w:val="41"/>
        <w:spacing w:line="440" w:lineRule="exact"/>
        <w:ind w:firstLine="397"/>
        <w:jc w:val="left"/>
        <w:rPr>
          <w:rFonts w:ascii="宋体" w:hAnsi="宋体"/>
          <w:color w:val="auto"/>
          <w:szCs w:val="24"/>
          <w:highlight w:val="none"/>
        </w:rPr>
      </w:pPr>
    </w:p>
    <w:p>
      <w:pPr>
        <w:pStyle w:val="41"/>
        <w:spacing w:line="440" w:lineRule="exact"/>
        <w:ind w:firstLine="397"/>
        <w:jc w:val="left"/>
        <w:rPr>
          <w:rFonts w:ascii="宋体" w:hAnsi="宋体"/>
          <w:color w:val="auto"/>
          <w:szCs w:val="24"/>
          <w:highlight w:val="none"/>
        </w:rPr>
      </w:pPr>
      <w:r>
        <w:rPr>
          <w:rFonts w:hint="eastAsia" w:ascii="宋体" w:hAnsi="宋体"/>
          <w:color w:val="auto"/>
          <w:szCs w:val="24"/>
          <w:highlight w:val="none"/>
        </w:rPr>
        <w:t>委托代理人：</w:t>
      </w:r>
      <w:r>
        <w:rPr>
          <w:rFonts w:ascii="宋体" w:hAnsi="宋体"/>
          <w:color w:val="auto"/>
          <w:szCs w:val="24"/>
          <w:highlight w:val="none"/>
        </w:rPr>
        <w:t xml:space="preserve">                          </w:t>
      </w:r>
      <w:r>
        <w:rPr>
          <w:rFonts w:hint="eastAsia" w:ascii="宋体" w:hAnsi="宋体"/>
          <w:color w:val="auto"/>
          <w:szCs w:val="24"/>
          <w:highlight w:val="none"/>
        </w:rPr>
        <w:t>委托代理人：</w:t>
      </w:r>
    </w:p>
    <w:p>
      <w:pPr>
        <w:pStyle w:val="41"/>
        <w:spacing w:line="440" w:lineRule="exact"/>
        <w:ind w:firstLine="397"/>
        <w:jc w:val="left"/>
        <w:rPr>
          <w:rFonts w:ascii="宋体" w:hAnsi="宋体"/>
          <w:color w:val="auto"/>
          <w:szCs w:val="24"/>
          <w:highlight w:val="none"/>
        </w:rPr>
      </w:pPr>
    </w:p>
    <w:p>
      <w:pPr>
        <w:pStyle w:val="41"/>
        <w:spacing w:line="440" w:lineRule="exact"/>
        <w:ind w:firstLine="397"/>
        <w:jc w:val="left"/>
        <w:rPr>
          <w:rFonts w:ascii="宋体" w:hAnsi="宋体"/>
          <w:color w:val="auto"/>
          <w:szCs w:val="24"/>
          <w:highlight w:val="none"/>
        </w:rPr>
      </w:pPr>
    </w:p>
    <w:p>
      <w:pPr>
        <w:pStyle w:val="41"/>
        <w:spacing w:line="440" w:lineRule="exact"/>
        <w:ind w:firstLine="397"/>
        <w:jc w:val="left"/>
        <w:rPr>
          <w:rFonts w:hint="eastAsia" w:ascii="宋体" w:hAnsi="宋体"/>
          <w:color w:val="auto"/>
          <w:szCs w:val="24"/>
          <w:highlight w:val="none"/>
        </w:rPr>
      </w:pPr>
      <w:r>
        <w:rPr>
          <w:rFonts w:hint="eastAsia" w:ascii="宋体" w:hAnsi="宋体"/>
          <w:color w:val="auto"/>
          <w:szCs w:val="24"/>
          <w:highlight w:val="none"/>
        </w:rPr>
        <w:t>签订时间：</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pPr>
        <w:pStyle w:val="41"/>
        <w:spacing w:line="440" w:lineRule="exact"/>
        <w:ind w:firstLine="397"/>
        <w:jc w:val="left"/>
        <w:rPr>
          <w:rFonts w:hint="eastAsia" w:ascii="宋体" w:hAnsi="宋体"/>
          <w:color w:val="auto"/>
          <w:szCs w:val="24"/>
          <w:highlight w:val="none"/>
        </w:rPr>
      </w:pPr>
    </w:p>
    <w:p>
      <w:pPr>
        <w:pStyle w:val="41"/>
        <w:spacing w:line="440" w:lineRule="exact"/>
        <w:ind w:firstLine="397"/>
        <w:jc w:val="left"/>
        <w:rPr>
          <w:rFonts w:hint="eastAsia" w:ascii="宋体" w:hAnsi="宋体"/>
          <w:color w:val="auto"/>
          <w:szCs w:val="24"/>
          <w:highlight w:val="none"/>
        </w:rPr>
      </w:pPr>
    </w:p>
    <w:p>
      <w:pPr>
        <w:pStyle w:val="41"/>
        <w:spacing w:line="440" w:lineRule="exact"/>
        <w:ind w:firstLine="397"/>
        <w:jc w:val="left"/>
        <w:rPr>
          <w:rFonts w:hint="eastAsia" w:ascii="宋体" w:hAnsi="宋体"/>
          <w:color w:val="auto"/>
          <w:szCs w:val="24"/>
          <w:highlight w:val="none"/>
        </w:rPr>
      </w:pPr>
    </w:p>
    <w:p>
      <w:pPr>
        <w:pStyle w:val="41"/>
        <w:spacing w:line="440" w:lineRule="exact"/>
        <w:ind w:firstLine="397"/>
        <w:jc w:val="left"/>
        <w:rPr>
          <w:rFonts w:hint="eastAsia" w:ascii="宋体" w:hAnsi="宋体"/>
          <w:color w:val="auto"/>
          <w:szCs w:val="24"/>
          <w:highlight w:val="none"/>
        </w:rPr>
      </w:pPr>
    </w:p>
    <w:p>
      <w:pPr>
        <w:pStyle w:val="41"/>
        <w:spacing w:line="440" w:lineRule="exact"/>
        <w:ind w:firstLine="397"/>
        <w:jc w:val="left"/>
        <w:rPr>
          <w:rFonts w:hint="eastAsia" w:ascii="宋体" w:hAnsi="宋体"/>
          <w:color w:val="auto"/>
          <w:szCs w:val="24"/>
          <w:highlight w:val="none"/>
        </w:rPr>
      </w:pPr>
    </w:p>
    <w:p>
      <w:pPr>
        <w:pStyle w:val="41"/>
        <w:spacing w:line="440" w:lineRule="exact"/>
        <w:ind w:firstLine="397"/>
        <w:jc w:val="left"/>
        <w:rPr>
          <w:rFonts w:hint="eastAsia" w:ascii="宋体" w:hAnsi="宋体"/>
          <w:color w:val="auto"/>
          <w:szCs w:val="24"/>
          <w:highlight w:val="none"/>
        </w:rPr>
      </w:pPr>
    </w:p>
    <w:p>
      <w:pPr>
        <w:pStyle w:val="47"/>
        <w:adjustRightInd w:val="0"/>
        <w:snapToGrid w:val="0"/>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p>
    <w:p>
      <w:pPr>
        <w:adjustRightInd w:val="0"/>
        <w:snapToGrid w:val="0"/>
        <w:rPr>
          <w:rFonts w:hint="eastAsia" w:ascii="宋体" w:hAnsi="宋体"/>
          <w:b/>
          <w:bCs/>
          <w:color w:val="auto"/>
          <w:sz w:val="28"/>
          <w:szCs w:val="28"/>
          <w:highlight w:val="none"/>
        </w:rPr>
      </w:pPr>
      <w:r>
        <w:rPr>
          <w:rFonts w:hint="eastAsia" w:ascii="宋体" w:hAnsi="宋体"/>
          <w:b/>
          <w:bCs/>
          <w:color w:val="auto"/>
          <w:sz w:val="28"/>
          <w:szCs w:val="28"/>
          <w:highlight w:val="none"/>
        </w:rPr>
        <w:br w:type="page"/>
      </w:r>
    </w:p>
    <w:p>
      <w:pPr>
        <w:pStyle w:val="47"/>
        <w:adjustRightInd w:val="0"/>
        <w:snapToGrid w:val="0"/>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附件：            </w:t>
      </w:r>
      <w:r>
        <w:rPr>
          <w:rFonts w:hint="eastAsia" w:ascii="宋体" w:hAnsi="宋体"/>
          <w:color w:val="auto"/>
          <w:sz w:val="28"/>
          <w:szCs w:val="28"/>
          <w:highlight w:val="none"/>
        </w:rPr>
        <w:t xml:space="preserve">  </w:t>
      </w:r>
      <w:r>
        <w:rPr>
          <w:rFonts w:hint="eastAsia" w:ascii="宋体" w:hAnsi="宋体"/>
          <w:b/>
          <w:bCs/>
          <w:color w:val="auto"/>
          <w:sz w:val="28"/>
          <w:szCs w:val="28"/>
          <w:highlight w:val="none"/>
        </w:rPr>
        <w:t>工程建设项目廉政责任书</w:t>
      </w:r>
    </w:p>
    <w:p>
      <w:pPr>
        <w:pStyle w:val="48"/>
        <w:adjustRightInd w:val="0"/>
        <w:snapToGrid w:val="0"/>
        <w:spacing w:line="400" w:lineRule="exact"/>
        <w:ind w:firstLine="0"/>
        <w:rPr>
          <w:rFonts w:hint="eastAsia" w:ascii="宋体" w:hAnsi="宋体"/>
          <w:snapToGrid w:val="0"/>
          <w:color w:val="auto"/>
          <w:kern w:val="0"/>
          <w:sz w:val="24"/>
          <w:highlight w:val="none"/>
        </w:rPr>
      </w:pPr>
    </w:p>
    <w:p>
      <w:pPr>
        <w:pStyle w:val="47"/>
        <w:adjustRightInd w:val="0"/>
        <w:snapToGrid w:val="0"/>
        <w:spacing w:line="400" w:lineRule="exact"/>
        <w:ind w:left="495" w:hanging="495"/>
        <w:rPr>
          <w:rFonts w:hint="eastAsia" w:ascii="宋体" w:hAnsi="宋体"/>
          <w:color w:val="auto"/>
          <w:sz w:val="24"/>
          <w:highlight w:val="none"/>
          <w:u w:val="single"/>
        </w:rPr>
      </w:pPr>
      <w:r>
        <w:rPr>
          <w:rFonts w:hint="eastAsia" w:ascii="宋体" w:hAnsi="宋体"/>
          <w:color w:val="auto"/>
          <w:sz w:val="24"/>
          <w:highlight w:val="none"/>
        </w:rPr>
        <w:t>工程项目名称：</w:t>
      </w:r>
      <w:r>
        <w:rPr>
          <w:rFonts w:hint="eastAsia" w:ascii="宋体" w:hAnsi="宋体"/>
          <w:color w:val="auto"/>
          <w:sz w:val="24"/>
          <w:highlight w:val="none"/>
          <w:u w:val="single"/>
        </w:rPr>
        <w:t xml:space="preserve">                                </w:t>
      </w:r>
    </w:p>
    <w:p>
      <w:pPr>
        <w:pStyle w:val="47"/>
        <w:adjustRightInd w:val="0"/>
        <w:snapToGrid w:val="0"/>
        <w:spacing w:line="400" w:lineRule="exact"/>
        <w:ind w:left="495" w:hanging="495"/>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w:t>
      </w:r>
    </w:p>
    <w:p>
      <w:pPr>
        <w:pStyle w:val="47"/>
        <w:adjustRightInd w:val="0"/>
        <w:snapToGrid w:val="0"/>
        <w:spacing w:line="400" w:lineRule="exact"/>
        <w:rPr>
          <w:rFonts w:ascii="宋体" w:hAnsi="宋体"/>
          <w:color w:val="auto"/>
          <w:sz w:val="24"/>
          <w:highlight w:val="none"/>
          <w:u w:val="single"/>
        </w:rPr>
      </w:pPr>
      <w:r>
        <w:rPr>
          <w:rFonts w:hint="eastAsia" w:ascii="宋体" w:hAnsi="宋体"/>
          <w:color w:val="auto"/>
          <w:sz w:val="24"/>
          <w:highlight w:val="none"/>
        </w:rPr>
        <w:t xml:space="preserve">甲方： </w:t>
      </w:r>
      <w:r>
        <w:rPr>
          <w:rFonts w:hint="eastAsia" w:ascii="宋体" w:hAnsi="宋体"/>
          <w:color w:val="auto"/>
          <w:sz w:val="24"/>
          <w:highlight w:val="none"/>
          <w:u w:val="single"/>
        </w:rPr>
        <w:t xml:space="preserve">                                       </w:t>
      </w:r>
    </w:p>
    <w:p>
      <w:pPr>
        <w:pStyle w:val="47"/>
        <w:adjustRightInd w:val="0"/>
        <w:snapToGrid w:val="0"/>
        <w:spacing w:line="400" w:lineRule="exact"/>
        <w:rPr>
          <w:rFonts w:hint="eastAsia" w:ascii="宋体" w:hAnsi="宋体"/>
          <w:color w:val="auto"/>
          <w:sz w:val="24"/>
          <w:highlight w:val="none"/>
        </w:rPr>
      </w:pPr>
      <w:r>
        <w:rPr>
          <w:rFonts w:hint="eastAsia" w:ascii="宋体" w:hAnsi="宋体"/>
          <w:color w:val="auto"/>
          <w:sz w:val="24"/>
          <w:highlight w:val="none"/>
        </w:rPr>
        <w:t xml:space="preserve">乙方： </w:t>
      </w:r>
      <w:r>
        <w:rPr>
          <w:rFonts w:hint="eastAsia" w:ascii="宋体" w:hAnsi="宋体"/>
          <w:color w:val="auto"/>
          <w:sz w:val="24"/>
          <w:highlight w:val="none"/>
          <w:u w:val="single"/>
        </w:rPr>
        <w:t xml:space="preserve">                                       </w:t>
      </w:r>
    </w:p>
    <w:p>
      <w:pPr>
        <w:pStyle w:val="47"/>
        <w:adjustRightInd w:val="0"/>
        <w:snapToGrid w:val="0"/>
        <w:spacing w:line="400" w:lineRule="exact"/>
        <w:rPr>
          <w:rFonts w:ascii="宋体" w:hAnsi="宋体"/>
          <w:color w:val="auto"/>
          <w:sz w:val="24"/>
          <w:highlight w:val="none"/>
        </w:rPr>
      </w:pP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440" w:lineRule="exact"/>
        <w:ind w:firstLine="482"/>
        <w:rPr>
          <w:rFonts w:hint="eastAsia" w:ascii="宋体" w:hAnsi="宋体" w:cs="宋体"/>
          <w:b/>
          <w:color w:val="auto"/>
          <w:kern w:val="0"/>
          <w:sz w:val="24"/>
          <w:highlight w:val="none"/>
        </w:rPr>
      </w:pPr>
      <w:r>
        <w:rPr>
          <w:rFonts w:hint="eastAsia" w:ascii="宋体" w:hAnsi="宋体" w:cs="宋体"/>
          <w:b/>
          <w:snapToGrid w:val="0"/>
          <w:color w:val="auto"/>
          <w:kern w:val="0"/>
          <w:sz w:val="24"/>
          <w:highlight w:val="none"/>
          <w:lang w:bidi="ar"/>
        </w:rPr>
        <w:t>第一条</w:t>
      </w:r>
      <w:r>
        <w:rPr>
          <w:rFonts w:hint="eastAsia" w:ascii="宋体" w:hAnsi="宋体" w:cs="宋体"/>
          <w:snapToGrid w:val="0"/>
          <w:color w:val="auto"/>
          <w:kern w:val="0"/>
          <w:sz w:val="24"/>
          <w:highlight w:val="none"/>
          <w:lang w:bidi="ar"/>
        </w:rPr>
        <w:t>甲、乙双方的责任</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（一）应严格遵守国家关于市场准入、项目招标投标、</w:t>
      </w:r>
      <w:r>
        <w:rPr>
          <w:rFonts w:hint="eastAsia" w:ascii="宋体" w:hAnsi="宋体" w:cs="宋体"/>
          <w:color w:val="auto"/>
          <w:kern w:val="0"/>
          <w:sz w:val="24"/>
          <w:highlight w:val="none"/>
          <w:lang w:bidi="ar"/>
        </w:rPr>
        <w:t>工程建设和市场活动</w:t>
      </w:r>
      <w:r>
        <w:rPr>
          <w:rFonts w:hint="eastAsia" w:ascii="宋体" w:hAnsi="宋体" w:cs="宋体"/>
          <w:snapToGrid w:val="0"/>
          <w:color w:val="auto"/>
          <w:kern w:val="0"/>
          <w:sz w:val="24"/>
          <w:highlight w:val="none"/>
          <w:lang w:bidi="ar"/>
        </w:rPr>
        <w:t>等有关法律、法规、相关政策，以及廉政建设的各项规定。</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（二）严格执行建设工程项目承发包合同文件，自觉按合同办事。</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（三）业务活动必须坚持公开、公平、公正、诚信、透明的原则（除法律法规另有规定者外），不得为获取不正当的利益，损害国家、集体和对方利益，不得</w:t>
      </w:r>
      <w:r>
        <w:rPr>
          <w:rFonts w:hint="eastAsia" w:ascii="宋体" w:hAnsi="宋体" w:cs="宋体"/>
          <w:color w:val="auto"/>
          <w:kern w:val="0"/>
          <w:sz w:val="24"/>
          <w:highlight w:val="none"/>
          <w:lang w:bidi="ar"/>
        </w:rPr>
        <w:t>违反工程建设过程管理的规章制度。</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（四）发现对方在业务活动中有违规、违纪、违法行为的，应及时提醒对方，情节严重的，应向其上级主管部门或纪检监察、司法等有关机关举报。</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b/>
          <w:snapToGrid w:val="0"/>
          <w:color w:val="auto"/>
          <w:kern w:val="0"/>
          <w:sz w:val="24"/>
          <w:highlight w:val="none"/>
          <w:lang w:bidi="ar"/>
        </w:rPr>
        <w:t>第二条</w:t>
      </w:r>
      <w:r>
        <w:rPr>
          <w:rFonts w:hint="eastAsia" w:ascii="宋体" w:hAnsi="宋体" w:cs="宋体"/>
          <w:snapToGrid w:val="0"/>
          <w:color w:val="auto"/>
          <w:kern w:val="0"/>
          <w:sz w:val="24"/>
          <w:highlight w:val="none"/>
          <w:lang w:bidi="ar"/>
        </w:rPr>
        <w:t>甲方的责任</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甲方的领导和从事本建设工程项目的工作人员，在工程建设的事前、事中、事后应遵守以下规定：</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（一）不准向乙方和相关单位索要或接受回扣、礼金、有价证券、贵重物品和好处费、感谢费等。</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（二）不准在乙方和相关单位报销任何应由甲方或个人支付的费用。</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（三）不准要求、暗示或接受乙方和相关单位为个人装修住房、婚丧嫁娶、配偶子女的工作安排以及出国（境）、旅游等提供方便。</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（四）不准参加有可能影响公正执行公务的乙方及相关单位的宴请、健身、娱乐等活动。</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（五）不准向乙方介绍或为配偶、子女、亲属参与同甲方项目工程合同有关的设备、材料、工程分包、劳务等经济活动。不得以任何理由向乙方和相关单位推荐分包单位。</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b/>
          <w:snapToGrid w:val="0"/>
          <w:color w:val="auto"/>
          <w:kern w:val="0"/>
          <w:sz w:val="24"/>
          <w:highlight w:val="none"/>
          <w:lang w:bidi="ar"/>
        </w:rPr>
        <w:t>第三条</w:t>
      </w:r>
      <w:r>
        <w:rPr>
          <w:rFonts w:hint="eastAsia" w:ascii="宋体" w:hAnsi="宋体" w:cs="宋体"/>
          <w:snapToGrid w:val="0"/>
          <w:color w:val="auto"/>
          <w:kern w:val="0"/>
          <w:sz w:val="24"/>
          <w:highlight w:val="none"/>
          <w:lang w:bidi="ar"/>
        </w:rPr>
        <w:t>乙方的责任</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应与甲方保持正常的业务交往，按照有关法律法规和程序开展业务工作，严格执行</w:t>
      </w:r>
      <w:r>
        <w:rPr>
          <w:rFonts w:hint="eastAsia" w:ascii="宋体" w:hAnsi="宋体" w:cs="宋体"/>
          <w:color w:val="auto"/>
          <w:kern w:val="0"/>
          <w:sz w:val="24"/>
          <w:highlight w:val="none"/>
          <w:lang w:bidi="ar"/>
        </w:rPr>
        <w:t>工程建设过程管理的有关方针、政策，尤其是强制性标准和规范</w:t>
      </w:r>
      <w:r>
        <w:rPr>
          <w:rFonts w:hint="eastAsia" w:ascii="宋体" w:hAnsi="宋体" w:cs="宋体"/>
          <w:snapToGrid w:val="0"/>
          <w:color w:val="auto"/>
          <w:kern w:val="0"/>
          <w:sz w:val="24"/>
          <w:highlight w:val="none"/>
          <w:lang w:bidi="ar"/>
        </w:rPr>
        <w:t>，并遵守以下规定：</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（一）不准以任何理由向甲方、相关单位及其工作人员索要、接受或赠送礼金、有价证券、贵重物品及回扣、好处费、感谢费等。</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（二）不准以任何理由为甲方和相关单位报销应由对方或个人支付的费用。</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（三）不准接受或暗示为甲方、相关单位或个人装修住房、婚丧嫁娶、配偶子女的工作安排以及出国（境）、旅游等提供方便。</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（四）不准以任何理由为甲方、相关单位或个人组织有可能影响公正执行公务的宴请、健身、娱乐等活动。</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b/>
          <w:snapToGrid w:val="0"/>
          <w:color w:val="auto"/>
          <w:kern w:val="0"/>
          <w:sz w:val="24"/>
          <w:highlight w:val="none"/>
          <w:lang w:bidi="ar"/>
        </w:rPr>
        <w:t>第四条</w:t>
      </w:r>
      <w:r>
        <w:rPr>
          <w:rFonts w:hint="eastAsia" w:ascii="宋体" w:hAnsi="宋体" w:cs="宋体"/>
          <w:snapToGrid w:val="0"/>
          <w:color w:val="auto"/>
          <w:kern w:val="0"/>
          <w:sz w:val="24"/>
          <w:highlight w:val="none"/>
          <w:lang w:bidi="ar"/>
        </w:rPr>
        <w:t>违约责任</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440" w:lineRule="exact"/>
        <w:ind w:firstLine="482"/>
        <w:rPr>
          <w:rFonts w:hint="eastAsia" w:ascii="宋体" w:hAnsi="宋体" w:cs="宋体"/>
          <w:b/>
          <w:color w:val="auto"/>
          <w:kern w:val="0"/>
          <w:sz w:val="24"/>
          <w:highlight w:val="none"/>
        </w:rPr>
      </w:pPr>
      <w:r>
        <w:rPr>
          <w:rFonts w:hint="eastAsia" w:ascii="宋体" w:hAnsi="宋体" w:cs="宋体"/>
          <w:b/>
          <w:snapToGrid w:val="0"/>
          <w:color w:val="auto"/>
          <w:kern w:val="0"/>
          <w:sz w:val="24"/>
          <w:highlight w:val="none"/>
          <w:lang w:bidi="ar"/>
        </w:rPr>
        <w:t>第五条</w:t>
      </w:r>
      <w:r>
        <w:rPr>
          <w:rFonts w:hint="eastAsia" w:ascii="宋体" w:hAnsi="宋体" w:cs="宋体"/>
          <w:snapToGrid w:val="0"/>
          <w:color w:val="auto"/>
          <w:kern w:val="0"/>
          <w:sz w:val="24"/>
          <w:highlight w:val="none"/>
          <w:lang w:bidi="ar"/>
        </w:rPr>
        <w:t>本廉政责任书作为合同的附件，与合同具有同等法律效力。经双方签署后立即生效。</w:t>
      </w:r>
    </w:p>
    <w:p>
      <w:pPr>
        <w:adjustRightInd w:val="0"/>
        <w:snapToGrid w:val="0"/>
        <w:spacing w:line="440" w:lineRule="exact"/>
        <w:ind w:firstLine="482"/>
        <w:rPr>
          <w:rFonts w:hint="eastAsia" w:ascii="宋体" w:hAnsi="宋体" w:cs="宋体"/>
          <w:b/>
          <w:color w:val="auto"/>
          <w:kern w:val="0"/>
          <w:sz w:val="24"/>
          <w:highlight w:val="none"/>
        </w:rPr>
      </w:pPr>
      <w:r>
        <w:rPr>
          <w:rFonts w:hint="eastAsia" w:ascii="宋体" w:hAnsi="宋体" w:cs="宋体"/>
          <w:b/>
          <w:snapToGrid w:val="0"/>
          <w:color w:val="auto"/>
          <w:kern w:val="0"/>
          <w:sz w:val="24"/>
          <w:highlight w:val="none"/>
          <w:lang w:bidi="ar"/>
        </w:rPr>
        <w:t>第六条</w:t>
      </w:r>
      <w:r>
        <w:rPr>
          <w:rFonts w:hint="eastAsia" w:ascii="宋体" w:hAnsi="宋体" w:cs="宋体"/>
          <w:snapToGrid w:val="0"/>
          <w:color w:val="auto"/>
          <w:kern w:val="0"/>
          <w:sz w:val="24"/>
          <w:highlight w:val="none"/>
          <w:lang w:bidi="ar"/>
        </w:rPr>
        <w:t>本廉政责任书的有效期与合同的有效期相同。</w:t>
      </w:r>
    </w:p>
    <w:p>
      <w:pPr>
        <w:adjustRightInd w:val="0"/>
        <w:snapToGrid w:val="0"/>
        <w:spacing w:line="440" w:lineRule="exact"/>
        <w:rPr>
          <w:rFonts w:hint="eastAsia" w:ascii="宋体" w:hAnsi="宋体" w:cs="宋体"/>
          <w:color w:val="auto"/>
          <w:kern w:val="0"/>
          <w:sz w:val="24"/>
          <w:highlight w:val="none"/>
        </w:rPr>
      </w:pPr>
      <w:r>
        <w:rPr>
          <w:rFonts w:hint="eastAsia" w:ascii="宋体" w:hAnsi="宋体" w:cs="宋体"/>
          <w:b/>
          <w:color w:val="auto"/>
          <w:kern w:val="0"/>
          <w:sz w:val="24"/>
          <w:highlight w:val="none"/>
          <w:lang w:bidi="ar"/>
        </w:rPr>
        <w:t xml:space="preserve">    </w:t>
      </w:r>
      <w:r>
        <w:rPr>
          <w:rFonts w:hint="eastAsia" w:ascii="宋体" w:hAnsi="宋体" w:cs="宋体"/>
          <w:b/>
          <w:snapToGrid w:val="0"/>
          <w:color w:val="auto"/>
          <w:kern w:val="0"/>
          <w:sz w:val="24"/>
          <w:highlight w:val="none"/>
          <w:lang w:bidi="ar"/>
        </w:rPr>
        <w:t>第七条</w:t>
      </w:r>
      <w:r>
        <w:rPr>
          <w:rFonts w:hint="eastAsia" w:ascii="宋体" w:hAnsi="宋体" w:cs="宋体"/>
          <w:snapToGrid w:val="0"/>
          <w:color w:val="auto"/>
          <w:kern w:val="0"/>
          <w:sz w:val="24"/>
          <w:highlight w:val="none"/>
          <w:lang w:bidi="ar"/>
        </w:rPr>
        <w:t>本廉政责任书</w:t>
      </w:r>
      <w:r>
        <w:rPr>
          <w:rFonts w:hint="eastAsia" w:ascii="宋体" w:hAnsi="宋体" w:cs="宋体"/>
          <w:snapToGrid w:val="0"/>
          <w:color w:val="auto"/>
          <w:kern w:val="0"/>
          <w:sz w:val="24"/>
          <w:highlight w:val="none"/>
          <w:lang w:val="en-US" w:eastAsia="zh-CN" w:bidi="ar"/>
        </w:rPr>
        <w:t>份数和合同份数一致</w:t>
      </w:r>
      <w:r>
        <w:rPr>
          <w:rFonts w:hint="eastAsia" w:ascii="宋体" w:hAnsi="宋体" w:cs="宋体"/>
          <w:bCs/>
          <w:color w:val="auto"/>
          <w:kern w:val="0"/>
          <w:sz w:val="24"/>
          <w:highlight w:val="none"/>
          <w:lang w:bidi="ar"/>
        </w:rPr>
        <w:t>。</w:t>
      </w:r>
    </w:p>
    <w:p>
      <w:pPr>
        <w:adjustRightInd w:val="0"/>
        <w:snapToGrid w:val="0"/>
        <w:spacing w:line="380" w:lineRule="exact"/>
        <w:ind w:right="11"/>
        <w:rPr>
          <w:rFonts w:hint="eastAsia" w:ascii="宋体" w:hAnsi="宋体" w:cs="宋体"/>
          <w:snapToGrid w:val="0"/>
          <w:color w:val="auto"/>
          <w:kern w:val="0"/>
          <w:sz w:val="24"/>
          <w:highlight w:val="none"/>
        </w:rPr>
      </w:pPr>
    </w:p>
    <w:p>
      <w:pPr>
        <w:pStyle w:val="47"/>
        <w:adjustRightInd w:val="0"/>
        <w:snapToGrid w:val="0"/>
        <w:spacing w:line="360" w:lineRule="auto"/>
        <w:ind w:left="1920" w:right="11" w:hanging="1920" w:hangingChars="800"/>
        <w:rPr>
          <w:rFonts w:hint="eastAsia" w:ascii="宋体" w:hAnsi="宋体"/>
          <w:color w:val="auto"/>
          <w:sz w:val="24"/>
          <w:highlight w:val="none"/>
        </w:rPr>
      </w:pPr>
      <w:r>
        <w:rPr>
          <w:rFonts w:hint="eastAsia" w:ascii="宋体" w:hAnsi="宋体"/>
          <w:color w:val="auto"/>
          <w:sz w:val="24"/>
          <w:highlight w:val="none"/>
        </w:rPr>
        <w:t xml:space="preserve">甲方：                                 乙方： </w:t>
      </w:r>
    </w:p>
    <w:p>
      <w:pPr>
        <w:pStyle w:val="47"/>
        <w:adjustRightInd w:val="0"/>
        <w:snapToGrid w:val="0"/>
        <w:spacing w:line="360" w:lineRule="auto"/>
        <w:ind w:left="1917" w:leftChars="513" w:right="11" w:hanging="840" w:hangingChars="350"/>
        <w:rPr>
          <w:rFonts w:hint="eastAsia" w:ascii="宋体" w:hAnsi="宋体"/>
          <w:color w:val="auto"/>
          <w:sz w:val="24"/>
          <w:highlight w:val="none"/>
        </w:rPr>
      </w:pPr>
      <w:r>
        <w:rPr>
          <w:rFonts w:hint="eastAsia" w:ascii="宋体" w:hAnsi="宋体"/>
          <w:color w:val="auto"/>
          <w:sz w:val="24"/>
          <w:highlight w:val="none"/>
        </w:rPr>
        <w:t xml:space="preserve">                          </w:t>
      </w:r>
    </w:p>
    <w:p>
      <w:pPr>
        <w:pStyle w:val="47"/>
        <w:adjustRightInd w:val="0"/>
        <w:snapToGrid w:val="0"/>
        <w:spacing w:line="360" w:lineRule="auto"/>
        <w:ind w:right="11"/>
        <w:rPr>
          <w:rFonts w:hint="eastAsia" w:ascii="宋体" w:hAnsi="宋体"/>
          <w:color w:val="auto"/>
          <w:sz w:val="24"/>
          <w:highlight w:val="none"/>
        </w:rPr>
      </w:pPr>
      <w:r>
        <w:rPr>
          <w:rFonts w:hint="eastAsia" w:ascii="宋体" w:hAnsi="宋体"/>
          <w:color w:val="auto"/>
          <w:sz w:val="24"/>
          <w:highlight w:val="none"/>
        </w:rPr>
        <w:t>法定代表人：                           法定代表人：</w:t>
      </w:r>
    </w:p>
    <w:p>
      <w:pPr>
        <w:pStyle w:val="47"/>
        <w:tabs>
          <w:tab w:val="left" w:pos="5460"/>
        </w:tabs>
        <w:adjustRightInd w:val="0"/>
        <w:snapToGrid w:val="0"/>
        <w:spacing w:line="360" w:lineRule="auto"/>
        <w:ind w:left="-2" w:leftChars="-1" w:right="11"/>
        <w:rPr>
          <w:rFonts w:hint="eastAsia" w:ascii="宋体" w:hAnsi="宋体"/>
          <w:color w:val="auto"/>
          <w:sz w:val="24"/>
          <w:highlight w:val="none"/>
        </w:rPr>
      </w:pPr>
    </w:p>
    <w:p>
      <w:pPr>
        <w:pStyle w:val="47"/>
        <w:tabs>
          <w:tab w:val="left" w:pos="5460"/>
        </w:tabs>
        <w:adjustRightInd w:val="0"/>
        <w:snapToGrid w:val="0"/>
        <w:spacing w:line="360" w:lineRule="auto"/>
        <w:ind w:left="-2" w:leftChars="-1" w:right="11"/>
        <w:rPr>
          <w:rFonts w:hint="eastAsia" w:ascii="宋体" w:hAnsi="宋体"/>
          <w:color w:val="auto"/>
          <w:sz w:val="24"/>
          <w:highlight w:val="none"/>
        </w:rPr>
      </w:pPr>
      <w:r>
        <w:rPr>
          <w:rFonts w:hint="eastAsia" w:ascii="宋体" w:hAnsi="宋体"/>
          <w:color w:val="auto"/>
          <w:sz w:val="24"/>
          <w:highlight w:val="none"/>
        </w:rPr>
        <w:t>委托代理人：                           委托代理人：</w:t>
      </w:r>
    </w:p>
    <w:p>
      <w:pPr>
        <w:pStyle w:val="47"/>
        <w:tabs>
          <w:tab w:val="left" w:pos="5460"/>
        </w:tabs>
        <w:adjustRightInd w:val="0"/>
        <w:snapToGrid w:val="0"/>
        <w:spacing w:line="400" w:lineRule="exact"/>
        <w:ind w:left="-2" w:leftChars="-1" w:right="11"/>
        <w:rPr>
          <w:rFonts w:hint="eastAsia" w:ascii="宋体" w:hAnsi="宋体"/>
          <w:color w:val="auto"/>
          <w:sz w:val="24"/>
          <w:highlight w:val="none"/>
        </w:rPr>
      </w:pPr>
    </w:p>
    <w:p>
      <w:pPr>
        <w:pStyle w:val="47"/>
        <w:tabs>
          <w:tab w:val="left" w:pos="5460"/>
        </w:tabs>
        <w:adjustRightInd w:val="0"/>
        <w:snapToGrid w:val="0"/>
        <w:spacing w:line="400" w:lineRule="exact"/>
        <w:ind w:left="-2" w:leftChars="-1" w:right="11"/>
        <w:rPr>
          <w:rFonts w:hint="eastAsia" w:ascii="宋体" w:hAnsi="宋体"/>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                      </w:t>
      </w:r>
    </w:p>
    <w:p>
      <w:pPr>
        <w:jc w:val="left"/>
        <w:rPr>
          <w:rFonts w:hint="eastAsia" w:ascii="宋体" w:hAnsi="宋体" w:eastAsia="宋体" w:cs="宋体"/>
          <w:color w:val="auto"/>
          <w:highlight w:val="none"/>
        </w:rPr>
      </w:pPr>
      <w:r>
        <w:rPr>
          <w:rFonts w:hint="eastAsia" w:ascii="宋体" w:hAnsi="宋体"/>
          <w:color w:val="auto"/>
          <w:sz w:val="24"/>
          <w:highlight w:val="none"/>
        </w:rPr>
        <w:t>签约地点：广东省广州市黄埔区</w:t>
      </w:r>
    </w:p>
    <w:p>
      <w:pPr>
        <w:pStyle w:val="2"/>
        <w:jc w:val="center"/>
        <w:rPr>
          <w:rFonts w:hint="eastAsia" w:ascii="宋体" w:hAnsi="宋体" w:eastAsia="宋体" w:cs="宋体"/>
          <w:b/>
          <w:bCs w:val="0"/>
          <w:color w:val="auto"/>
          <w:sz w:val="32"/>
          <w:szCs w:val="32"/>
          <w:highlight w:val="none"/>
        </w:rPr>
      </w:pPr>
    </w:p>
    <w:p>
      <w:pPr>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rPr>
          <w:rFonts w:hint="eastAsia"/>
          <w:color w:val="auto"/>
          <w:highlight w:val="none"/>
        </w:rPr>
      </w:pPr>
      <w:bookmarkStart w:id="31" w:name="_Toc30083"/>
    </w:p>
    <w:p>
      <w:pPr>
        <w:pStyle w:val="2"/>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第四章  投标文件格式</w:t>
      </w:r>
      <w:bookmarkEnd w:id="31"/>
    </w:p>
    <w:p>
      <w:pPr>
        <w:autoSpaceDE w:val="0"/>
        <w:autoSpaceDN w:val="0"/>
        <w:adjustRightInd w:val="0"/>
        <w:spacing w:line="360" w:lineRule="auto"/>
        <w:rPr>
          <w:rFonts w:hint="eastAsia" w:ascii="宋体" w:hAnsi="宋体" w:eastAsia="宋体" w:cs="宋体"/>
          <w:color w:val="auto"/>
          <w:sz w:val="32"/>
          <w:szCs w:val="32"/>
          <w:highlight w:val="none"/>
        </w:rPr>
      </w:pPr>
    </w:p>
    <w:p>
      <w:pPr>
        <w:autoSpaceDE w:val="0"/>
        <w:autoSpaceDN w:val="0"/>
        <w:adjustRightIn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w:t>
      </w:r>
      <w:r>
        <w:rPr>
          <w:rFonts w:ascii="宋体"/>
          <w:color w:val="auto"/>
          <w:sz w:val="32"/>
          <w:szCs w:val="32"/>
          <w:highlight w:val="none"/>
        </w:rPr>
        <w:t>投标文件</w:t>
      </w:r>
      <w:r>
        <w:rPr>
          <w:rFonts w:hint="eastAsia" w:ascii="宋体"/>
          <w:color w:val="auto"/>
          <w:sz w:val="32"/>
          <w:szCs w:val="32"/>
          <w:highlight w:val="none"/>
        </w:rPr>
        <w:t>技术标部分（含资格审查文件）</w:t>
      </w:r>
      <w:r>
        <w:rPr>
          <w:rFonts w:ascii="宋体"/>
          <w:color w:val="auto"/>
          <w:sz w:val="32"/>
          <w:szCs w:val="32"/>
          <w:highlight w:val="none"/>
        </w:rPr>
        <w:t>格式</w:t>
      </w:r>
    </w:p>
    <w:p>
      <w:pPr>
        <w:autoSpaceDE w:val="0"/>
        <w:autoSpaceDN w:val="0"/>
        <w:adjustRightInd w:val="0"/>
        <w:spacing w:line="360" w:lineRule="auto"/>
        <w:rPr>
          <w:rFonts w:hint="eastAsia" w:ascii="宋体" w:hAnsi="宋体" w:eastAsia="宋体" w:cs="宋体"/>
          <w:color w:val="auto"/>
          <w:sz w:val="32"/>
          <w:szCs w:val="32"/>
          <w:highlight w:val="none"/>
        </w:rPr>
      </w:pPr>
    </w:p>
    <w:p>
      <w:pPr>
        <w:autoSpaceDE w:val="0"/>
        <w:autoSpaceDN w:val="0"/>
        <w:adjustRightIn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autoSpaceDE w:val="0"/>
        <w:autoSpaceDN w:val="0"/>
        <w:adjustRightInd w:val="0"/>
        <w:spacing w:line="360" w:lineRule="auto"/>
        <w:rPr>
          <w:rFonts w:hint="eastAsia" w:ascii="宋体" w:hAnsi="宋体" w:eastAsia="宋体" w:cs="宋体"/>
          <w:color w:val="auto"/>
          <w:sz w:val="44"/>
          <w:szCs w:val="44"/>
          <w:highlight w:val="none"/>
        </w:rPr>
      </w:pPr>
    </w:p>
    <w:p>
      <w:pPr>
        <w:autoSpaceDE w:val="0"/>
        <w:autoSpaceDN w:val="0"/>
        <w:adjustRightInd w:val="0"/>
        <w:spacing w:line="360" w:lineRule="auto"/>
        <w:rPr>
          <w:rFonts w:hint="eastAsia" w:ascii="宋体" w:hAnsi="宋体" w:eastAsia="宋体" w:cs="宋体"/>
          <w:color w:val="auto"/>
          <w:sz w:val="44"/>
          <w:szCs w:val="44"/>
          <w:highlight w:val="none"/>
        </w:rPr>
      </w:pPr>
    </w:p>
    <w:p>
      <w:pPr>
        <w:autoSpaceDE w:val="0"/>
        <w:autoSpaceDN w:val="0"/>
        <w:adjustRightInd w:val="0"/>
        <w:spacing w:line="360" w:lineRule="auto"/>
        <w:rPr>
          <w:rFonts w:hint="eastAsia" w:ascii="宋体" w:hAnsi="宋体" w:eastAsia="宋体" w:cs="宋体"/>
          <w:color w:val="auto"/>
          <w:sz w:val="44"/>
          <w:szCs w:val="44"/>
          <w:highlight w:val="none"/>
        </w:rPr>
      </w:pPr>
    </w:p>
    <w:p>
      <w:pPr>
        <w:autoSpaceDE w:val="0"/>
        <w:autoSpaceDN w:val="0"/>
        <w:adjustRightInd w:val="0"/>
        <w:spacing w:line="360" w:lineRule="auto"/>
        <w:rPr>
          <w:rFonts w:hint="eastAsia" w:ascii="宋体" w:hAnsi="宋体" w:eastAsia="宋体" w:cs="宋体"/>
          <w:color w:val="auto"/>
          <w:sz w:val="44"/>
          <w:szCs w:val="44"/>
          <w:highlight w:val="none"/>
        </w:rPr>
      </w:pPr>
    </w:p>
    <w:p>
      <w:pPr>
        <w:autoSpaceDE w:val="0"/>
        <w:autoSpaceDN w:val="0"/>
        <w:adjustRightInd w:val="0"/>
        <w:spacing w:line="360" w:lineRule="auto"/>
        <w:rPr>
          <w:rFonts w:hint="eastAsia" w:ascii="宋体" w:hAnsi="宋体" w:eastAsia="宋体" w:cs="宋体"/>
          <w:color w:val="auto"/>
          <w:sz w:val="44"/>
          <w:szCs w:val="44"/>
          <w:highlight w:val="none"/>
        </w:rPr>
      </w:pPr>
    </w:p>
    <w:p>
      <w:pPr>
        <w:autoSpaceDE w:val="0"/>
        <w:autoSpaceDN w:val="0"/>
        <w:adjustRightInd w:val="0"/>
        <w:spacing w:line="360" w:lineRule="auto"/>
        <w:rPr>
          <w:rFonts w:hint="eastAsia" w:ascii="宋体" w:hAnsi="宋体" w:eastAsia="宋体" w:cs="宋体"/>
          <w:color w:val="auto"/>
          <w:sz w:val="44"/>
          <w:szCs w:val="44"/>
          <w:highlight w:val="none"/>
        </w:rPr>
      </w:pPr>
    </w:p>
    <w:p>
      <w:pPr>
        <w:autoSpaceDE w:val="0"/>
        <w:autoSpaceDN w:val="0"/>
        <w:adjustRightInd w:val="0"/>
        <w:spacing w:line="360" w:lineRule="auto"/>
        <w:rPr>
          <w:rFonts w:hint="eastAsia" w:ascii="宋体" w:hAnsi="宋体" w:eastAsia="宋体" w:cs="宋体"/>
          <w:color w:val="auto"/>
          <w:sz w:val="44"/>
          <w:szCs w:val="44"/>
          <w:highlight w:val="none"/>
        </w:rPr>
      </w:pPr>
    </w:p>
    <w:p>
      <w:pPr>
        <w:autoSpaceDE w:val="0"/>
        <w:autoSpaceDN w:val="0"/>
        <w:adjustRightInd w:val="0"/>
        <w:spacing w:line="360" w:lineRule="auto"/>
        <w:rPr>
          <w:rFonts w:hint="eastAsia" w:ascii="宋体" w:hAnsi="宋体" w:eastAsia="宋体" w:cs="宋体"/>
          <w:color w:val="auto"/>
          <w:sz w:val="44"/>
          <w:szCs w:val="44"/>
          <w:highlight w:val="none"/>
        </w:rPr>
      </w:pPr>
    </w:p>
    <w:p>
      <w:pPr>
        <w:autoSpaceDE w:val="0"/>
        <w:autoSpaceDN w:val="0"/>
        <w:adjustRightInd w:val="0"/>
        <w:spacing w:line="360" w:lineRule="auto"/>
        <w:rPr>
          <w:rFonts w:hint="eastAsia" w:ascii="宋体" w:hAnsi="宋体" w:eastAsia="宋体" w:cs="宋体"/>
          <w:color w:val="auto"/>
          <w:sz w:val="44"/>
          <w:szCs w:val="44"/>
          <w:highlight w:val="none"/>
        </w:rPr>
      </w:pPr>
    </w:p>
    <w:p>
      <w:pPr>
        <w:autoSpaceDE w:val="0"/>
        <w:autoSpaceDN w:val="0"/>
        <w:adjustRightInd w:val="0"/>
        <w:spacing w:line="360" w:lineRule="auto"/>
        <w:rPr>
          <w:rFonts w:hint="eastAsia" w:ascii="宋体" w:hAnsi="宋体" w:eastAsia="宋体" w:cs="宋体"/>
          <w:color w:val="auto"/>
          <w:sz w:val="44"/>
          <w:szCs w:val="44"/>
          <w:highlight w:val="none"/>
        </w:rPr>
      </w:pPr>
    </w:p>
    <w:p>
      <w:pPr>
        <w:autoSpaceDE w:val="0"/>
        <w:autoSpaceDN w:val="0"/>
        <w:adjustRightInd w:val="0"/>
        <w:spacing w:line="360" w:lineRule="auto"/>
        <w:rPr>
          <w:rFonts w:hint="eastAsia" w:ascii="宋体" w:hAnsi="宋体" w:eastAsia="宋体" w:cs="宋体"/>
          <w:color w:val="auto"/>
          <w:sz w:val="44"/>
          <w:szCs w:val="44"/>
          <w:highlight w:val="none"/>
        </w:rPr>
      </w:pPr>
    </w:p>
    <w:p>
      <w:pPr>
        <w:autoSpaceDE w:val="0"/>
        <w:autoSpaceDN w:val="0"/>
        <w:adjustRightInd w:val="0"/>
        <w:spacing w:line="360" w:lineRule="auto"/>
        <w:rPr>
          <w:rFonts w:hint="eastAsia" w:ascii="宋体" w:hAnsi="宋体" w:eastAsia="宋体" w:cs="宋体"/>
          <w:color w:val="auto"/>
          <w:sz w:val="44"/>
          <w:szCs w:val="44"/>
          <w:highlight w:val="none"/>
        </w:rPr>
      </w:pPr>
    </w:p>
    <w:p>
      <w:pPr>
        <w:autoSpaceDE w:val="0"/>
        <w:autoSpaceDN w:val="0"/>
        <w:adjustRightInd w:val="0"/>
        <w:spacing w:line="360" w:lineRule="auto"/>
        <w:rPr>
          <w:rFonts w:hint="eastAsia" w:ascii="宋体" w:hAnsi="宋体" w:eastAsia="宋体" w:cs="宋体"/>
          <w:color w:val="auto"/>
          <w:sz w:val="44"/>
          <w:szCs w:val="4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44"/>
          <w:szCs w:val="44"/>
          <w:highlight w:val="none"/>
        </w:rPr>
        <w:t xml:space="preserve">      </w:t>
      </w:r>
    </w:p>
    <w:p>
      <w:pPr>
        <w:topLinePunct w:val="0"/>
        <w:adjustRightInd/>
        <w:snapToGrid/>
        <w:spacing w:after="0" w:afterLines="-2147483648"/>
        <w:jc w:val="left"/>
        <w:rPr>
          <w:rFonts w:hint="eastAsia" w:ascii="宋体" w:hAnsi="宋体" w:eastAsia="宋体" w:cs="宋体"/>
          <w:bCs/>
          <w:color w:val="auto"/>
          <w:spacing w:val="4"/>
          <w:kern w:val="0"/>
          <w:sz w:val="24"/>
          <w:szCs w:val="24"/>
          <w:highlight w:val="none"/>
        </w:rPr>
      </w:pPr>
      <w:bookmarkStart w:id="32" w:name="_Toc6493845"/>
      <w:r>
        <w:rPr>
          <w:rFonts w:hint="eastAsia" w:ascii="宋体" w:hAnsi="宋体" w:eastAsia="宋体" w:cs="宋体"/>
          <w:bCs/>
          <w:color w:val="auto"/>
          <w:spacing w:val="4"/>
          <w:kern w:val="0"/>
          <w:sz w:val="24"/>
          <w:szCs w:val="24"/>
          <w:highlight w:val="none"/>
        </w:rPr>
        <w:br w:type="page"/>
      </w:r>
    </w:p>
    <w:p>
      <w:pPr>
        <w:topLinePunct/>
        <w:adjustRightInd w:val="0"/>
        <w:snapToGrid w:val="0"/>
        <w:spacing w:after="156" w:afterLines="50"/>
        <w:jc w:val="left"/>
        <w:rPr>
          <w:rFonts w:hint="eastAsia" w:ascii="宋体" w:hAnsi="宋体" w:eastAsia="宋体" w:cs="宋体"/>
          <w:bCs/>
          <w:color w:val="auto"/>
          <w:spacing w:val="4"/>
          <w:kern w:val="0"/>
          <w:sz w:val="24"/>
          <w:szCs w:val="24"/>
          <w:highlight w:val="none"/>
          <w:lang w:eastAsia="zh-CN"/>
        </w:rPr>
      </w:pPr>
      <w:r>
        <w:rPr>
          <w:rFonts w:hint="eastAsia"/>
          <w:color w:val="auto"/>
          <w:sz w:val="24"/>
          <w:szCs w:val="24"/>
          <w:highlight w:val="none"/>
        </w:rPr>
        <w:t>技术标</w:t>
      </w:r>
      <w:r>
        <w:rPr>
          <w:rFonts w:hint="eastAsia" w:ascii="宋体" w:hAnsi="宋体" w:eastAsia="宋体" w:cs="宋体"/>
          <w:bCs/>
          <w:color w:val="auto"/>
          <w:spacing w:val="4"/>
          <w:kern w:val="0"/>
          <w:sz w:val="24"/>
          <w:szCs w:val="24"/>
          <w:highlight w:val="none"/>
        </w:rPr>
        <w:t>格式一</w:t>
      </w:r>
      <w:bookmarkEnd w:id="32"/>
      <w:r>
        <w:rPr>
          <w:rFonts w:hint="eastAsia" w:ascii="宋体" w:hAnsi="宋体" w:cs="宋体"/>
          <w:bCs/>
          <w:color w:val="auto"/>
          <w:spacing w:val="4"/>
          <w:kern w:val="0"/>
          <w:sz w:val="24"/>
          <w:szCs w:val="24"/>
          <w:highlight w:val="none"/>
          <w:lang w:eastAsia="zh-CN"/>
        </w:rPr>
        <w:t>：</w:t>
      </w:r>
    </w:p>
    <w:p>
      <w:pPr>
        <w:autoSpaceDE w:val="0"/>
        <w:autoSpaceDN w:val="0"/>
        <w:adjustRightInd w:val="0"/>
        <w:jc w:val="center"/>
        <w:outlineLvl w:val="1"/>
        <w:rPr>
          <w:rFonts w:hint="eastAsia" w:ascii="宋体" w:hAnsi="宋体" w:eastAsia="宋体" w:cs="宋体"/>
          <w:b/>
          <w:bCs/>
          <w:color w:val="auto"/>
          <w:sz w:val="36"/>
          <w:szCs w:val="36"/>
          <w:highlight w:val="none"/>
          <w:lang w:val="zh-CN"/>
        </w:rPr>
      </w:pPr>
      <w:bookmarkStart w:id="33" w:name="_Toc17590"/>
      <w:bookmarkStart w:id="34" w:name="_Toc10308"/>
      <w:r>
        <w:rPr>
          <w:rFonts w:hint="eastAsia" w:ascii="宋体" w:hAnsi="宋体" w:eastAsia="宋体" w:cs="宋体"/>
          <w:b/>
          <w:bCs/>
          <w:color w:val="auto"/>
          <w:sz w:val="36"/>
          <w:szCs w:val="36"/>
          <w:highlight w:val="none"/>
          <w:lang w:val="zh-CN"/>
        </w:rPr>
        <w:t>广州建设工程施工招标投标书（技术标）</w:t>
      </w:r>
      <w:bookmarkEnd w:id="33"/>
      <w:bookmarkEnd w:id="34"/>
    </w:p>
    <w:tbl>
      <w:tblPr>
        <w:tblStyle w:val="20"/>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工 程 名 称</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保 修 期 限</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383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姓   名</w:t>
            </w:r>
          </w:p>
        </w:tc>
        <w:tc>
          <w:tcPr>
            <w:tcW w:w="383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Cs/>
                <w:color w:val="auto"/>
                <w:sz w:val="24"/>
                <w:szCs w:val="24"/>
                <w:highlight w:val="none"/>
                <w:lang w:val="zh-CN"/>
              </w:rPr>
            </w:pPr>
          </w:p>
        </w:tc>
      </w:tr>
    </w:tbl>
    <w:p>
      <w:pPr>
        <w:autoSpaceDE w:val="0"/>
        <w:autoSpaceDN w:val="0"/>
        <w:adjustRightInd w:val="0"/>
        <w:spacing w:line="360" w:lineRule="auto"/>
        <w:rPr>
          <w:rFonts w:hint="eastAsia" w:ascii="宋体" w:hAnsi="宋体" w:eastAsia="宋体" w:cs="宋体"/>
          <w:snapToGrid w:val="0"/>
          <w:color w:val="auto"/>
          <w:spacing w:val="4"/>
          <w:kern w:val="0"/>
          <w:sz w:val="24"/>
          <w:szCs w:val="24"/>
          <w:highlight w:val="none"/>
          <w:lang w:eastAsia="zh-CN"/>
        </w:rPr>
      </w:pPr>
      <w:r>
        <w:rPr>
          <w:rFonts w:hint="eastAsia" w:ascii="宋体" w:hAnsi="宋体" w:eastAsia="宋体" w:cs="宋体"/>
          <w:b/>
          <w:color w:val="auto"/>
          <w:highlight w:val="none"/>
        </w:rPr>
        <w:br w:type="page"/>
      </w:r>
      <w:r>
        <w:rPr>
          <w:rFonts w:hint="eastAsia"/>
          <w:color w:val="auto"/>
          <w:sz w:val="24"/>
          <w:szCs w:val="24"/>
          <w:highlight w:val="none"/>
        </w:rPr>
        <w:t>技术标</w:t>
      </w:r>
      <w:r>
        <w:rPr>
          <w:rFonts w:hint="eastAsia" w:ascii="宋体" w:hAnsi="宋体" w:eastAsia="宋体" w:cs="宋体"/>
          <w:bCs/>
          <w:color w:val="auto"/>
          <w:sz w:val="24"/>
          <w:szCs w:val="24"/>
          <w:highlight w:val="none"/>
        </w:rPr>
        <w:t>格式二</w:t>
      </w:r>
      <w:r>
        <w:rPr>
          <w:rFonts w:hint="eastAsia" w:ascii="宋体" w:hAnsi="宋体" w:cs="宋体"/>
          <w:bCs/>
          <w:color w:val="auto"/>
          <w:sz w:val="24"/>
          <w:szCs w:val="24"/>
          <w:highlight w:val="none"/>
          <w:lang w:eastAsia="zh-CN"/>
        </w:rPr>
        <w:t>：</w:t>
      </w:r>
    </w:p>
    <w:p>
      <w:pPr>
        <w:topLinePunct/>
        <w:adjustRightInd w:val="0"/>
        <w:snapToGrid w:val="0"/>
        <w:spacing w:line="360" w:lineRule="auto"/>
        <w:jc w:val="center"/>
        <w:rPr>
          <w:rFonts w:hint="eastAsia" w:ascii="宋体" w:hAnsi="宋体" w:eastAsia="宋体" w:cs="宋体"/>
          <w:b/>
          <w:snapToGrid w:val="0"/>
          <w:color w:val="auto"/>
          <w:spacing w:val="4"/>
          <w:kern w:val="0"/>
          <w:sz w:val="32"/>
          <w:szCs w:val="32"/>
          <w:highlight w:val="none"/>
        </w:rPr>
      </w:pPr>
      <w:r>
        <w:rPr>
          <w:rFonts w:hint="eastAsia" w:ascii="宋体" w:hAnsi="宋体" w:eastAsia="宋体" w:cs="宋体"/>
          <w:b/>
          <w:snapToGrid w:val="0"/>
          <w:color w:val="auto"/>
          <w:spacing w:val="4"/>
          <w:kern w:val="0"/>
          <w:sz w:val="32"/>
          <w:szCs w:val="32"/>
          <w:highlight w:val="none"/>
        </w:rPr>
        <w:t>投 标 函</w:t>
      </w:r>
    </w:p>
    <w:p>
      <w:pPr>
        <w:topLinePunct/>
        <w:adjustRightInd w:val="0"/>
        <w:snapToGrid w:val="0"/>
        <w:spacing w:line="360" w:lineRule="auto"/>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致：</w:t>
      </w:r>
      <w:r>
        <w:rPr>
          <w:rFonts w:hint="eastAsia" w:ascii="宋体" w:hAnsi="宋体" w:eastAsia="宋体" w:cs="宋体"/>
          <w:snapToGrid w:val="0"/>
          <w:color w:val="auto"/>
          <w:spacing w:val="4"/>
          <w:kern w:val="0"/>
          <w:sz w:val="24"/>
          <w:szCs w:val="24"/>
          <w:highlight w:val="none"/>
          <w:u w:val="single"/>
        </w:rPr>
        <w:t xml:space="preserve"> （招标人名称）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1.根据已收到贵方的项目编号为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工程的招标文件，并已详细审核了全部招标文件及有关附件。</w:t>
      </w:r>
    </w:p>
    <w:p>
      <w:pPr>
        <w:snapToGrid w:val="0"/>
        <w:spacing w:line="360" w:lineRule="auto"/>
        <w:ind w:firstLine="523" w:firstLineChars="218"/>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rPr>
        <w:t>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愿以经济标中的投标报价并按上述合同条款、标准和技术规范、图纸、工程量清单等的要求承包上述工程的施工、竣工并修补其任何缺陷。</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4.我方理解贵方将不受必须接受你们所收到的最低标价或其它任何投标文件的约束。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5.如果我方中标，我方保证按招标文件中规定的工期，在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日历天内完成并移交本工程，质量标准达到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6.如果我方中标，我方将按照规定递交由招标人认可，并在招标文件中规定金额的履约保函。</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7.除非另外达成协议并生效，贵方的中标通知书和本投标文件将成为约束双方的合同文件的组成部分。</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pPr>
        <w:spacing w:line="360" w:lineRule="auto"/>
        <w:ind w:firstLine="481"/>
        <w:rPr>
          <w:rFonts w:hint="eastAsia" w:ascii="宋体" w:hAnsi="宋体" w:cs="宋体"/>
          <w:b/>
          <w:bCs/>
          <w:color w:val="auto"/>
          <w:kern w:val="0"/>
          <w:sz w:val="24"/>
          <w:szCs w:val="24"/>
          <w:highlight w:val="none"/>
        </w:rPr>
      </w:pPr>
      <w:r>
        <w:rPr>
          <w:rFonts w:hint="eastAsia" w:ascii="宋体" w:hAnsi="宋体" w:cs="宋体"/>
          <w:b/>
          <w:bCs/>
          <w:color w:val="auto"/>
          <w:sz w:val="24"/>
          <w:szCs w:val="24"/>
          <w:highlight w:val="none"/>
        </w:rPr>
        <w:t>9.</w:t>
      </w:r>
      <w:r>
        <w:rPr>
          <w:rFonts w:hint="eastAsia" w:ascii="宋体" w:hAnsi="宋体" w:cs="宋体"/>
          <w:b/>
          <w:bCs/>
          <w:color w:val="auto"/>
          <w:kern w:val="0"/>
          <w:sz w:val="24"/>
          <w:szCs w:val="24"/>
          <w:highlight w:val="none"/>
        </w:rPr>
        <w:t>如我方中标,我方承诺：须按《广州开发区财政投资建设项目管理中心施工类合同结算编审指引（试行）》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建设业主有权根据建设业主已有资料进行审核并报财政部门审定，财政部门审定的竣工结算合同总价视同是经我方认可的工程竣工结算合同总价。</w:t>
      </w:r>
    </w:p>
    <w:p>
      <w:pPr>
        <w:spacing w:line="360" w:lineRule="auto"/>
        <w:ind w:firstLine="481"/>
        <w:rPr>
          <w:rFonts w:hint="eastAsia" w:ascii="宋体" w:hAnsi="宋体" w:cs="宋体"/>
          <w:snapToGrid w:val="0"/>
          <w:color w:val="auto"/>
          <w:spacing w:val="4"/>
          <w:kern w:val="0"/>
          <w:sz w:val="24"/>
          <w:szCs w:val="24"/>
          <w:highlight w:val="none"/>
        </w:rPr>
      </w:pPr>
    </w:p>
    <w:p>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 标 人：    （盖章）</w:t>
      </w:r>
    </w:p>
    <w:p>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法定代表人或授权代理人（签字或盖章）：</w:t>
      </w:r>
    </w:p>
    <w:p>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 xml:space="preserve">日    期：    年    月    日 </w:t>
      </w:r>
    </w:p>
    <w:p>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p>
    <w:p>
      <w:pPr>
        <w:spacing w:line="360" w:lineRule="auto"/>
        <w:jc w:val="left"/>
        <w:rPr>
          <w:rFonts w:hint="eastAsia" w:ascii="宋体" w:hAnsi="宋体" w:cs="宋体"/>
          <w:color w:val="auto"/>
          <w:sz w:val="24"/>
          <w:szCs w:val="24"/>
          <w:highlight w:val="none"/>
        </w:rPr>
      </w:pPr>
    </w:p>
    <w:p>
      <w:pPr>
        <w:spacing w:line="360" w:lineRule="auto"/>
        <w:jc w:val="left"/>
        <w:rPr>
          <w:rFonts w:hint="eastAsia" w:ascii="宋体" w:hAnsi="宋体" w:cs="宋体"/>
          <w:color w:val="auto"/>
          <w:szCs w:val="21"/>
          <w:highlight w:val="none"/>
        </w:rPr>
      </w:pPr>
    </w:p>
    <w:p>
      <w:pPr>
        <w:topLinePunct/>
        <w:adjustRightInd w:val="0"/>
        <w:snapToGrid w:val="0"/>
        <w:spacing w:line="360" w:lineRule="auto"/>
        <w:ind w:firstLine="585" w:firstLineChars="279"/>
        <w:rPr>
          <w:rFonts w:hint="eastAsia" w:ascii="宋体" w:hAnsi="宋体" w:eastAsia="宋体" w:cs="宋体"/>
          <w:b/>
          <w:color w:val="auto"/>
          <w:sz w:val="24"/>
          <w:szCs w:val="24"/>
          <w:highlight w:val="none"/>
        </w:rPr>
      </w:pPr>
      <w:r>
        <w:rPr>
          <w:rFonts w:hint="eastAsia" w:ascii="宋体" w:hAnsi="宋体" w:cs="宋体"/>
          <w:color w:val="auto"/>
          <w:szCs w:val="21"/>
          <w:highlight w:val="none"/>
        </w:rPr>
        <w:t>注：《投标函》第5条内容“在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日历天内完成并移交本工程”横线上要求按照本工程《广州建设工程施工招标投标书（技术标）》承诺的投标总工期填写，否则视作未按规定的格式填写，作无效标处理；《投标函》第5条内容“质量标准达到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要求”横线上要求按照本工程《广州建设工程施工招标投标书（技术标）》承诺的质量标准填写，否则视作未按规定的格式填写，作无效标处理</w:t>
      </w:r>
      <w:r>
        <w:rPr>
          <w:rFonts w:hint="eastAsia" w:ascii="宋体" w:hAnsi="宋体" w:cs="宋体"/>
          <w:snapToGrid w:val="0"/>
          <w:color w:val="auto"/>
          <w:spacing w:val="4"/>
          <w:kern w:val="0"/>
          <w:sz w:val="24"/>
          <w:szCs w:val="24"/>
          <w:highlight w:val="none"/>
          <w:lang w:eastAsia="zh-CN"/>
        </w:rPr>
        <w:t>。</w:t>
      </w:r>
      <w:r>
        <w:rPr>
          <w:rFonts w:hint="eastAsia" w:ascii="宋体" w:hAnsi="宋体" w:eastAsia="宋体" w:cs="宋体"/>
          <w:snapToGrid w:val="0"/>
          <w:color w:val="auto"/>
          <w:spacing w:val="4"/>
          <w:kern w:val="0"/>
          <w:sz w:val="24"/>
          <w:szCs w:val="24"/>
          <w:highlight w:val="none"/>
        </w:rPr>
        <w:t xml:space="preserve"> </w:t>
      </w:r>
    </w:p>
    <w:p>
      <w:pPr>
        <w:widowControl/>
        <w:snapToGrid w:val="0"/>
        <w:spacing w:line="360" w:lineRule="auto"/>
        <w:ind w:right="102"/>
        <w:jc w:val="left"/>
        <w:rPr>
          <w:rFonts w:hint="eastAsia" w:ascii="宋体" w:hAnsi="宋体" w:eastAsia="宋体" w:cs="宋体"/>
          <w:color w:val="auto"/>
          <w:sz w:val="24"/>
          <w:szCs w:val="24"/>
          <w:highlight w:val="none"/>
          <w:lang w:eastAsia="zh-CN"/>
        </w:rPr>
      </w:pPr>
      <w:bookmarkStart w:id="35" w:name="_Toc474749524"/>
      <w:bookmarkStart w:id="36" w:name="_Toc478375101"/>
      <w:r>
        <w:rPr>
          <w:rFonts w:hint="eastAsia" w:ascii="宋体" w:hAnsi="宋体" w:eastAsia="宋体" w:cs="宋体"/>
          <w:bCs/>
          <w:color w:val="auto"/>
          <w:sz w:val="24"/>
          <w:szCs w:val="24"/>
          <w:highlight w:val="none"/>
        </w:rPr>
        <w:br w:type="page"/>
      </w:r>
      <w:r>
        <w:rPr>
          <w:rFonts w:hint="eastAsia"/>
          <w:color w:val="auto"/>
          <w:sz w:val="24"/>
          <w:szCs w:val="24"/>
          <w:highlight w:val="none"/>
        </w:rPr>
        <w:t>技术标</w:t>
      </w:r>
      <w:r>
        <w:rPr>
          <w:rFonts w:hint="eastAsia" w:ascii="宋体" w:hAnsi="宋体" w:eastAsia="宋体" w:cs="宋体"/>
          <w:color w:val="auto"/>
          <w:sz w:val="24"/>
          <w:szCs w:val="24"/>
          <w:highlight w:val="none"/>
        </w:rPr>
        <w:t>格式三</w:t>
      </w:r>
      <w:r>
        <w:rPr>
          <w:rFonts w:hint="eastAsia" w:ascii="宋体" w:hAnsi="宋体" w:cs="宋体"/>
          <w:color w:val="auto"/>
          <w:sz w:val="24"/>
          <w:szCs w:val="24"/>
          <w:highlight w:val="none"/>
          <w:lang w:eastAsia="zh-CN"/>
        </w:rPr>
        <w:t>：</w:t>
      </w:r>
    </w:p>
    <w:p>
      <w:pPr>
        <w:topLinePunct/>
        <w:adjustRightInd w:val="0"/>
        <w:snapToGrid w:val="0"/>
        <w:spacing w:line="360" w:lineRule="auto"/>
        <w:jc w:val="center"/>
        <w:rPr>
          <w:rFonts w:hint="eastAsia" w:ascii="宋体" w:hAnsi="宋体" w:eastAsia="宋体" w:cs="宋体"/>
          <w:b/>
          <w:color w:val="auto"/>
          <w:spacing w:val="4"/>
          <w:kern w:val="0"/>
          <w:sz w:val="36"/>
          <w:szCs w:val="36"/>
          <w:highlight w:val="none"/>
        </w:rPr>
      </w:pPr>
      <w:r>
        <w:rPr>
          <w:rFonts w:hint="eastAsia" w:ascii="宋体" w:hAnsi="宋体" w:eastAsia="宋体" w:cs="宋体"/>
          <w:b/>
          <w:color w:val="auto"/>
          <w:spacing w:val="4"/>
          <w:kern w:val="0"/>
          <w:sz w:val="36"/>
          <w:szCs w:val="36"/>
          <w:highlight w:val="none"/>
        </w:rPr>
        <w:t>已竣工验收的类似工程业绩表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2309"/>
        <w:gridCol w:w="231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工程对应的企业资质</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250" w:type="pc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中标金额或合同金额 (人民币：万元)</w:t>
            </w:r>
          </w:p>
        </w:tc>
        <w:tc>
          <w:tcPr>
            <w:tcW w:w="1250" w:type="pc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竣工日期</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项目经理姓名</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项目业主名称</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竣工质量评定等级</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工程获奖情况</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bl>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color w:val="auto"/>
          <w:szCs w:val="21"/>
          <w:highlight w:val="none"/>
        </w:rPr>
        <w:t>由投标人按评审要求填写本表，并按《技术标详细审查评分表》要求附相关证明材料。</w:t>
      </w:r>
      <w:r>
        <w:rPr>
          <w:rFonts w:hint="eastAsia" w:ascii="宋体" w:hAnsi="宋体" w:eastAsia="宋体" w:cs="宋体"/>
          <w:color w:val="auto"/>
          <w:szCs w:val="21"/>
          <w:highlight w:val="none"/>
        </w:rPr>
        <w:t xml:space="preserve"> </w:t>
      </w:r>
    </w:p>
    <w:p>
      <w:pPr>
        <w:spacing w:line="360" w:lineRule="auto"/>
        <w:jc w:val="left"/>
        <w:rPr>
          <w:rFonts w:hint="eastAsia" w:ascii="宋体" w:hAnsi="宋体" w:eastAsia="宋体" w:cs="宋体"/>
          <w:color w:val="auto"/>
          <w:szCs w:val="21"/>
          <w:highlight w:val="none"/>
        </w:rPr>
      </w:pPr>
    </w:p>
    <w:p>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投标人：　　（盖章）</w:t>
      </w:r>
    </w:p>
    <w:p>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法定代表人或授权代理人(签字或盖章)：</w:t>
      </w:r>
    </w:p>
    <w:p>
      <w:pPr>
        <w:autoSpaceDE w:val="0"/>
        <w:autoSpaceDN w:val="0"/>
        <w:adjustRightInd w:val="0"/>
        <w:ind w:firstLine="3720" w:firstLineChars="15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日   期：    年    月    日</w:t>
      </w:r>
    </w:p>
    <w:p>
      <w:pPr>
        <w:ind w:firstLine="400" w:firstLineChars="200"/>
        <w:rPr>
          <w:rFonts w:hint="eastAsia" w:ascii="宋体" w:hAnsi="宋体" w:eastAsia="宋体" w:cs="宋体"/>
          <w:color w:val="auto"/>
          <w:sz w:val="20"/>
          <w:szCs w:val="24"/>
          <w:highlight w:val="none"/>
        </w:rPr>
      </w:pPr>
    </w:p>
    <w:p>
      <w:pPr>
        <w:autoSpaceDE w:val="0"/>
        <w:autoSpaceDN w:val="0"/>
        <w:adjustRightInd w:val="0"/>
        <w:spacing w:line="360" w:lineRule="auto"/>
        <w:jc w:val="center"/>
        <w:rPr>
          <w:rFonts w:hint="eastAsia" w:ascii="宋体" w:hAnsi="宋体" w:eastAsia="宋体" w:cs="宋体"/>
          <w:b/>
          <w:bCs/>
          <w:color w:val="auto"/>
          <w:sz w:val="36"/>
          <w:szCs w:val="36"/>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p>
    <w:p>
      <w:pPr>
        <w:pStyle w:val="11"/>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pStyle w:val="16"/>
        <w:rPr>
          <w:rFonts w:hint="eastAsia"/>
          <w:color w:val="auto"/>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r>
        <w:rPr>
          <w:rFonts w:hint="eastAsia"/>
          <w:color w:val="auto"/>
          <w:sz w:val="24"/>
          <w:szCs w:val="24"/>
          <w:highlight w:val="none"/>
        </w:rPr>
        <w:t>技术标</w:t>
      </w:r>
      <w:r>
        <w:rPr>
          <w:rFonts w:hint="eastAsia" w:ascii="宋体" w:hAnsi="宋体" w:eastAsia="宋体" w:cs="宋体"/>
          <w:color w:val="auto"/>
          <w:sz w:val="24"/>
          <w:szCs w:val="24"/>
          <w:highlight w:val="none"/>
          <w:lang w:val="zh-CN"/>
        </w:rPr>
        <w:t>格式四</w:t>
      </w:r>
      <w:r>
        <w:rPr>
          <w:rFonts w:hint="eastAsia" w:ascii="宋体" w:hAnsi="宋体" w:cs="宋体"/>
          <w:color w:val="auto"/>
          <w:sz w:val="24"/>
          <w:szCs w:val="24"/>
          <w:highlight w:val="none"/>
          <w:lang w:val="zh-CN"/>
        </w:rPr>
        <w:t>：</w:t>
      </w:r>
    </w:p>
    <w:p>
      <w:pPr>
        <w:autoSpaceDE w:val="0"/>
        <w:autoSpaceDN w:val="0"/>
        <w:adjustRightInd w:val="0"/>
        <w:spacing w:line="360" w:lineRule="auto"/>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企业承建工程获奖情况表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507"/>
        <w:gridCol w:w="1506"/>
        <w:gridCol w:w="1507"/>
        <w:gridCol w:w="1506"/>
        <w:gridCol w:w="150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项目概况</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业主单位</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完成情况</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颁发单位</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获奖奖项</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r>
    </w:tbl>
    <w:p>
      <w:pPr>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w:t>
      </w:r>
      <w:r>
        <w:rPr>
          <w:rFonts w:hint="eastAsia" w:ascii="宋体" w:hAnsi="宋体"/>
          <w:color w:val="auto"/>
          <w:szCs w:val="21"/>
          <w:highlight w:val="none"/>
        </w:rPr>
        <w:t>由投标人按评审要求填写本表，并按《技术标详细审查评分表》要求附相关证明材料</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 xml:space="preserve"> </w:t>
      </w:r>
    </w:p>
    <w:p>
      <w:pPr>
        <w:spacing w:line="360" w:lineRule="auto"/>
        <w:jc w:val="left"/>
        <w:rPr>
          <w:rFonts w:hint="eastAsia" w:ascii="宋体" w:hAnsi="宋体" w:eastAsia="宋体" w:cs="宋体"/>
          <w:color w:val="auto"/>
          <w:szCs w:val="24"/>
          <w:highlight w:val="none"/>
        </w:rPr>
      </w:pPr>
    </w:p>
    <w:p>
      <w:pPr>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　　（盖章）</w:t>
      </w:r>
    </w:p>
    <w:p>
      <w:pPr>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法定代表人或授权代理人(签字或盖章)：</w:t>
      </w:r>
    </w:p>
    <w:p>
      <w:pPr>
        <w:spacing w:line="360" w:lineRule="auto"/>
        <w:jc w:val="left"/>
        <w:rPr>
          <w:rFonts w:hint="eastAsia" w:ascii="宋体" w:hAnsi="宋体" w:eastAsia="宋体" w:cs="宋体"/>
          <w:bCs/>
          <w:color w:val="auto"/>
          <w:szCs w:val="24"/>
          <w:highlight w:val="none"/>
        </w:rPr>
      </w:pPr>
      <w:r>
        <w:rPr>
          <w:rFonts w:hint="eastAsia" w:ascii="宋体" w:hAnsi="宋体" w:eastAsia="宋体" w:cs="宋体"/>
          <w:color w:val="auto"/>
          <w:szCs w:val="24"/>
          <w:highlight w:val="none"/>
        </w:rPr>
        <w:t>日   期：    年    月    日</w:t>
      </w:r>
    </w:p>
    <w:p>
      <w:pPr>
        <w:spacing w:line="360" w:lineRule="auto"/>
        <w:jc w:val="left"/>
        <w:rPr>
          <w:rFonts w:hint="eastAsia" w:ascii="宋体" w:hAnsi="宋体" w:eastAsia="宋体" w:cs="宋体"/>
          <w:bCs/>
          <w:color w:val="auto"/>
          <w:szCs w:val="24"/>
          <w:highlight w:val="none"/>
        </w:rPr>
      </w:pPr>
    </w:p>
    <w:p>
      <w:pPr>
        <w:spacing w:line="360" w:lineRule="auto"/>
        <w:jc w:val="left"/>
        <w:rPr>
          <w:rFonts w:hint="eastAsia" w:ascii="宋体" w:hAnsi="宋体" w:eastAsia="宋体" w:cs="宋体"/>
          <w:bCs/>
          <w:color w:val="auto"/>
          <w:szCs w:val="24"/>
          <w:highlight w:val="none"/>
        </w:rPr>
      </w:pPr>
    </w:p>
    <w:p>
      <w:pPr>
        <w:spacing w:line="360" w:lineRule="auto"/>
        <w:jc w:val="left"/>
        <w:rPr>
          <w:rFonts w:hint="eastAsia" w:ascii="宋体" w:hAnsi="宋体" w:eastAsia="宋体" w:cs="宋体"/>
          <w:bCs/>
          <w:color w:val="auto"/>
          <w:szCs w:val="24"/>
          <w:highlight w:val="none"/>
        </w:rPr>
      </w:pPr>
    </w:p>
    <w:p>
      <w:pPr>
        <w:spacing w:line="360" w:lineRule="auto"/>
        <w:jc w:val="left"/>
        <w:rPr>
          <w:rFonts w:hint="eastAsia" w:ascii="宋体" w:hAnsi="宋体" w:eastAsia="宋体" w:cs="宋体"/>
          <w:bCs/>
          <w:color w:val="auto"/>
          <w:szCs w:val="24"/>
          <w:highlight w:val="none"/>
        </w:rPr>
      </w:pPr>
    </w:p>
    <w:p>
      <w:pPr>
        <w:spacing w:line="360" w:lineRule="auto"/>
        <w:jc w:val="left"/>
        <w:rPr>
          <w:rFonts w:hint="eastAsia" w:ascii="宋体" w:hAnsi="宋体" w:eastAsia="宋体" w:cs="宋体"/>
          <w:bCs/>
          <w:color w:val="auto"/>
          <w:szCs w:val="24"/>
          <w:highlight w:val="none"/>
        </w:rPr>
      </w:pPr>
    </w:p>
    <w:p>
      <w:pPr>
        <w:pStyle w:val="16"/>
        <w:rPr>
          <w:rFonts w:hint="eastAsia" w:ascii="宋体" w:hAnsi="宋体" w:eastAsia="宋体" w:cs="宋体"/>
          <w:bCs/>
          <w:color w:val="auto"/>
          <w:szCs w:val="24"/>
          <w:highlight w:val="none"/>
        </w:rPr>
      </w:pPr>
    </w:p>
    <w:p>
      <w:pPr>
        <w:rPr>
          <w:rFonts w:hint="eastAsia"/>
          <w:color w:val="auto"/>
          <w:highlight w:val="none"/>
        </w:rPr>
      </w:pPr>
    </w:p>
    <w:p>
      <w:pPr>
        <w:spacing w:line="360" w:lineRule="auto"/>
        <w:jc w:val="left"/>
        <w:rPr>
          <w:rFonts w:hint="eastAsia" w:ascii="宋体" w:hAnsi="宋体" w:eastAsia="宋体" w:cs="宋体"/>
          <w:bCs/>
          <w:color w:val="auto"/>
          <w:szCs w:val="24"/>
          <w:highlight w:val="none"/>
        </w:rPr>
      </w:pPr>
    </w:p>
    <w:p>
      <w:pPr>
        <w:topLinePunct/>
        <w:adjustRightInd w:val="0"/>
        <w:snapToGrid w:val="0"/>
        <w:spacing w:line="360" w:lineRule="auto"/>
        <w:rPr>
          <w:rFonts w:hint="eastAsia" w:ascii="宋体" w:hAnsi="宋体" w:eastAsia="宋体" w:cs="宋体"/>
          <w:b/>
          <w:snapToGrid w:val="0"/>
          <w:color w:val="auto"/>
          <w:spacing w:val="4"/>
          <w:kern w:val="0"/>
          <w:sz w:val="24"/>
          <w:szCs w:val="24"/>
          <w:highlight w:val="none"/>
        </w:rPr>
      </w:pPr>
      <w:r>
        <w:rPr>
          <w:rFonts w:hint="eastAsia"/>
          <w:color w:val="auto"/>
          <w:sz w:val="24"/>
          <w:szCs w:val="24"/>
          <w:highlight w:val="none"/>
        </w:rPr>
        <w:t>技术标</w:t>
      </w:r>
      <w:r>
        <w:rPr>
          <w:rFonts w:hint="eastAsia" w:ascii="宋体" w:hAnsi="宋体" w:eastAsia="宋体" w:cs="宋体"/>
          <w:bCs/>
          <w:color w:val="auto"/>
          <w:sz w:val="24"/>
          <w:szCs w:val="24"/>
          <w:highlight w:val="none"/>
        </w:rPr>
        <w:t>格式五：</w:t>
      </w:r>
      <w:r>
        <w:rPr>
          <w:rFonts w:hint="eastAsia" w:ascii="宋体" w:hAnsi="宋体" w:eastAsia="宋体" w:cs="宋体"/>
          <w:b/>
          <w:snapToGrid w:val="0"/>
          <w:color w:val="auto"/>
          <w:spacing w:val="4"/>
          <w:kern w:val="0"/>
          <w:sz w:val="24"/>
          <w:szCs w:val="24"/>
          <w:highlight w:val="none"/>
        </w:rPr>
        <w:t xml:space="preserve">                     </w:t>
      </w:r>
    </w:p>
    <w:p>
      <w:pPr>
        <w:topLinePunct/>
        <w:adjustRightInd w:val="0"/>
        <w:snapToGrid w:val="0"/>
        <w:spacing w:line="360" w:lineRule="auto"/>
        <w:jc w:val="center"/>
        <w:rPr>
          <w:rFonts w:hint="eastAsia" w:ascii="宋体" w:hAnsi="宋体" w:eastAsia="宋体" w:cs="宋体"/>
          <w:b/>
          <w:snapToGrid w:val="0"/>
          <w:color w:val="auto"/>
          <w:spacing w:val="4"/>
          <w:kern w:val="0"/>
          <w:sz w:val="24"/>
          <w:szCs w:val="24"/>
          <w:highlight w:val="none"/>
          <w:lang w:val="en-US" w:eastAsia="zh-CN"/>
        </w:rPr>
      </w:pPr>
      <w:r>
        <w:rPr>
          <w:rFonts w:hint="eastAsia" w:ascii="宋体" w:hAnsi="宋体" w:eastAsia="宋体" w:cs="宋体"/>
          <w:b/>
          <w:snapToGrid w:val="0"/>
          <w:color w:val="auto"/>
          <w:spacing w:val="4"/>
          <w:kern w:val="0"/>
          <w:sz w:val="24"/>
          <w:szCs w:val="24"/>
          <w:highlight w:val="none"/>
        </w:rPr>
        <w:t>投入主要人员汇总表</w:t>
      </w:r>
    </w:p>
    <w:tbl>
      <w:tblPr>
        <w:tblStyle w:val="20"/>
        <w:tblW w:w="99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28"/>
        <w:gridCol w:w="1806"/>
        <w:gridCol w:w="1476"/>
        <w:gridCol w:w="2380"/>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color w:val="auto"/>
                <w:kern w:val="44"/>
                <w:szCs w:val="21"/>
                <w:highlight w:val="none"/>
              </w:rPr>
            </w:pPr>
            <w:r>
              <w:rPr>
                <w:rFonts w:hint="eastAsia" w:ascii="宋体" w:hAnsi="宋体" w:eastAsia="宋体" w:cs="宋体"/>
                <w:b/>
                <w:color w:val="auto"/>
                <w:kern w:val="44"/>
                <w:szCs w:val="21"/>
                <w:highlight w:val="none"/>
              </w:rPr>
              <w:t>序号</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color w:val="auto"/>
                <w:kern w:val="44"/>
                <w:szCs w:val="21"/>
                <w:highlight w:val="none"/>
              </w:rPr>
            </w:pPr>
            <w:r>
              <w:rPr>
                <w:rFonts w:hint="eastAsia" w:ascii="宋体" w:hAnsi="宋体" w:eastAsia="宋体" w:cs="宋体"/>
                <w:b/>
                <w:color w:val="auto"/>
                <w:kern w:val="44"/>
                <w:szCs w:val="21"/>
                <w:highlight w:val="none"/>
              </w:rPr>
              <w:t>姓名</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color w:val="auto"/>
                <w:kern w:val="44"/>
                <w:szCs w:val="21"/>
                <w:highlight w:val="none"/>
                <w:lang w:eastAsia="zh-CN"/>
              </w:rPr>
            </w:pPr>
            <w:r>
              <w:rPr>
                <w:rFonts w:hint="eastAsia" w:ascii="宋体" w:hAnsi="宋体" w:eastAsia="宋体" w:cs="宋体"/>
                <w:b/>
                <w:color w:val="auto"/>
                <w:kern w:val="44"/>
                <w:szCs w:val="21"/>
                <w:highlight w:val="none"/>
                <w:lang w:eastAsia="zh-CN"/>
              </w:rPr>
              <w:t>职位</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color w:val="auto"/>
                <w:kern w:val="44"/>
                <w:szCs w:val="21"/>
                <w:highlight w:val="none"/>
                <w:lang w:eastAsia="zh-CN"/>
              </w:rPr>
            </w:pPr>
            <w:r>
              <w:rPr>
                <w:rFonts w:hint="eastAsia" w:ascii="宋体" w:hAnsi="宋体" w:eastAsia="宋体" w:cs="宋体"/>
                <w:b/>
                <w:color w:val="auto"/>
                <w:kern w:val="44"/>
                <w:szCs w:val="21"/>
                <w:highlight w:val="none"/>
                <w:lang w:eastAsia="zh-CN"/>
              </w:rPr>
              <w:t>专业类别</w:t>
            </w:r>
          </w:p>
        </w:tc>
        <w:tc>
          <w:tcPr>
            <w:tcW w:w="2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color w:val="auto"/>
                <w:kern w:val="44"/>
                <w:szCs w:val="21"/>
                <w:highlight w:val="none"/>
              </w:rPr>
            </w:pPr>
            <w:r>
              <w:rPr>
                <w:rFonts w:hint="eastAsia" w:ascii="宋体" w:hAnsi="宋体" w:eastAsia="宋体" w:cs="宋体"/>
                <w:b/>
                <w:color w:val="auto"/>
                <w:kern w:val="44"/>
                <w:szCs w:val="21"/>
                <w:highlight w:val="none"/>
              </w:rPr>
              <w:t>人员资格情况</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color w:val="auto"/>
                <w:kern w:val="44"/>
                <w:szCs w:val="21"/>
                <w:highlight w:val="none"/>
              </w:rPr>
            </w:pPr>
            <w:r>
              <w:rPr>
                <w:rFonts w:hint="eastAsia" w:ascii="宋体" w:hAnsi="宋体" w:eastAsia="宋体" w:cs="宋体"/>
                <w:b/>
                <w:color w:val="auto"/>
                <w:kern w:val="4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noWrap w:val="0"/>
            <w:vAlign w:val="center"/>
          </w:tcPr>
          <w:p>
            <w:pPr>
              <w:widowControl/>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right w:val="single" w:color="auto" w:sz="4" w:space="0"/>
            </w:tcBorders>
            <w:noWrap w:val="0"/>
            <w:vAlign w:val="center"/>
          </w:tcPr>
          <w:p>
            <w:pPr>
              <w:widowControl/>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noWrap w:val="0"/>
            <w:vAlign w:val="center"/>
          </w:tcPr>
          <w:p>
            <w:pPr>
              <w:widowControl/>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noWrap w:val="0"/>
            <w:vAlign w:val="center"/>
          </w:tcPr>
          <w:p>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right w:val="single" w:color="auto" w:sz="4" w:space="0"/>
            </w:tcBorders>
            <w:noWrap w:val="0"/>
            <w:vAlign w:val="center"/>
          </w:tcPr>
          <w:p>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noWrap w:val="0"/>
            <w:vAlign w:val="center"/>
          </w:tcPr>
          <w:p>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noWrap w:val="0"/>
            <w:vAlign w:val="center"/>
          </w:tcPr>
          <w:p>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noWrap w:val="0"/>
            <w:vAlign w:val="center"/>
          </w:tcPr>
          <w:p>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noWrap w:val="0"/>
            <w:vAlign w:val="center"/>
          </w:tcPr>
          <w:p>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noWrap w:val="0"/>
            <w:vAlign w:val="center"/>
          </w:tcPr>
          <w:p>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361" w:leftChars="-172" w:firstLine="436" w:firstLineChars="200"/>
              <w:jc w:val="center"/>
              <w:rPr>
                <w:rFonts w:hint="eastAsia" w:ascii="宋体" w:hAnsi="宋体" w:eastAsia="宋体" w:cs="宋体"/>
                <w:dstrike/>
                <w:color w:val="auto"/>
                <w:spacing w:val="4"/>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dstrike/>
                <w:color w:val="auto"/>
                <w:spacing w:val="4"/>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dstrike/>
                <w:color w:val="auto"/>
                <w:spacing w:val="4"/>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dstrike/>
                <w:color w:val="auto"/>
                <w:spacing w:val="4"/>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dstrike/>
                <w:color w:val="auto"/>
                <w:spacing w:val="4"/>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dstrike/>
                <w:color w:val="auto"/>
                <w:spacing w:val="4"/>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bl>
    <w:p>
      <w:pPr>
        <w:topLinePunct/>
        <w:adjustRightInd w:val="0"/>
        <w:snapToGrid w:val="0"/>
        <w:spacing w:line="24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注：</w:t>
      </w:r>
      <w:r>
        <w:rPr>
          <w:rFonts w:hint="eastAsia" w:ascii="宋体" w:hAnsi="宋体" w:eastAsia="宋体" w:cs="宋体"/>
          <w:color w:val="auto"/>
          <w:spacing w:val="4"/>
          <w:kern w:val="0"/>
          <w:sz w:val="24"/>
          <w:szCs w:val="24"/>
          <w:highlight w:val="none"/>
        </w:rPr>
        <w:br w:type="textWrapping"/>
      </w:r>
      <w:r>
        <w:rPr>
          <w:rFonts w:hint="eastAsia" w:ascii="宋体" w:hAnsi="宋体" w:eastAsia="宋体" w:cs="宋体"/>
          <w:color w:val="auto"/>
          <w:spacing w:val="4"/>
          <w:kern w:val="0"/>
          <w:sz w:val="24"/>
          <w:szCs w:val="24"/>
          <w:highlight w:val="none"/>
        </w:rPr>
        <w:t>1.本表投标人视本工程具体情况结合招标人对本工程的具体要求自行配备。</w:t>
      </w:r>
    </w:p>
    <w:p>
      <w:pPr>
        <w:topLinePunct/>
        <w:adjustRightInd w:val="0"/>
        <w:snapToGrid w:val="0"/>
        <w:spacing w:line="24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2.上述人员须为投标单位人员，并须提供居民身份证及投标截止前近一个月（2023年12月）有效社保证明。</w:t>
      </w:r>
    </w:p>
    <w:p>
      <w:pPr>
        <w:topLinePunct/>
        <w:adjustRightInd w:val="0"/>
        <w:snapToGrid w:val="0"/>
        <w:spacing w:line="24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上述人员须按招标公告及《技术标详细审查评分表》相应要求提供居民身份证、职称证（如有），有效期内的注册证（如有）、岗位证（如有）或培训合格证（如有）等相关证明资料。所有资料为原件扫描件并加盖投标人电于印章。</w:t>
      </w:r>
    </w:p>
    <w:p>
      <w:pPr>
        <w:topLinePunct/>
        <w:adjustRightInd w:val="0"/>
        <w:snapToGrid w:val="0"/>
        <w:spacing w:line="24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4.本表中填报的所有人员均需接《主要人员简历表》格式要求提交《主要人员简历表》。</w:t>
      </w:r>
    </w:p>
    <w:p>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p>
    <w:p>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p>
    <w:p>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投标人：　　（盖章）</w:t>
      </w:r>
    </w:p>
    <w:p>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法定代表人或授权代理人(签字或盖章)：</w:t>
      </w:r>
    </w:p>
    <w:p>
      <w:pPr>
        <w:topLinePunct/>
        <w:adjustRightInd w:val="0"/>
        <w:snapToGrid w:val="0"/>
        <w:spacing w:before="120" w:after="120"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日   期：    年    月    日</w:t>
      </w:r>
    </w:p>
    <w:p>
      <w:pPr>
        <w:topLinePunct/>
        <w:adjustRightInd w:val="0"/>
        <w:snapToGrid w:val="0"/>
        <w:spacing w:line="360" w:lineRule="auto"/>
        <w:rPr>
          <w:rFonts w:hint="eastAsia" w:ascii="宋体" w:hAnsi="宋体" w:eastAsia="宋体" w:cs="宋体"/>
          <w:b/>
          <w:snapToGrid w:val="0"/>
          <w:color w:val="auto"/>
          <w:spacing w:val="4"/>
          <w:kern w:val="0"/>
          <w:sz w:val="24"/>
          <w:szCs w:val="24"/>
          <w:highlight w:val="none"/>
        </w:rPr>
      </w:pPr>
    </w:p>
    <w:p>
      <w:pPr>
        <w:pStyle w:val="11"/>
        <w:rPr>
          <w:rFonts w:hint="eastAsia" w:ascii="宋体" w:hAnsi="宋体" w:eastAsia="宋体" w:cs="宋体"/>
          <w:color w:val="auto"/>
          <w:highlight w:val="none"/>
        </w:rPr>
      </w:pPr>
    </w:p>
    <w:p>
      <w:pPr>
        <w:topLinePunct/>
        <w:adjustRightInd w:val="0"/>
        <w:snapToGrid w:val="0"/>
        <w:spacing w:line="360" w:lineRule="auto"/>
        <w:jc w:val="center"/>
        <w:rPr>
          <w:rFonts w:hint="eastAsia" w:ascii="宋体" w:hAnsi="宋体" w:eastAsia="宋体" w:cs="宋体"/>
          <w:b/>
          <w:snapToGrid w:val="0"/>
          <w:color w:val="auto"/>
          <w:spacing w:val="4"/>
          <w:kern w:val="0"/>
          <w:sz w:val="36"/>
          <w:szCs w:val="36"/>
          <w:highlight w:val="none"/>
        </w:rPr>
      </w:pPr>
      <w:r>
        <w:rPr>
          <w:rFonts w:hint="eastAsia" w:ascii="宋体" w:hAnsi="宋体" w:eastAsia="宋体" w:cs="宋体"/>
          <w:b/>
          <w:snapToGrid w:val="0"/>
          <w:color w:val="auto"/>
          <w:spacing w:val="4"/>
          <w:kern w:val="0"/>
          <w:sz w:val="36"/>
          <w:szCs w:val="36"/>
          <w:highlight w:val="none"/>
        </w:rPr>
        <w:t>主要人员简历表</w:t>
      </w:r>
    </w:p>
    <w:p>
      <w:pPr>
        <w:topLinePunct/>
        <w:adjustRightInd w:val="0"/>
        <w:snapToGrid w:val="0"/>
        <w:spacing w:line="36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 xml:space="preserve">工程名称： </w:t>
      </w:r>
    </w:p>
    <w:tbl>
      <w:tblPr>
        <w:tblStyle w:val="20"/>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324"/>
        <w:gridCol w:w="1791"/>
        <w:gridCol w:w="1060"/>
        <w:gridCol w:w="592"/>
        <w:gridCol w:w="183"/>
        <w:gridCol w:w="1283"/>
        <w:gridCol w:w="1005"/>
        <w:gridCol w:w="346"/>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20" w:hRule="atLeast"/>
          <w:tblCellSpacing w:w="0" w:type="dxa"/>
          <w:jc w:val="center"/>
        </w:trPr>
        <w:tc>
          <w:tcPr>
            <w:tcW w:w="722" w:type="pct"/>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77" w:type="pct"/>
            <w:noWrap w:val="0"/>
            <w:vAlign w:val="center"/>
          </w:tcPr>
          <w:p>
            <w:pPr>
              <w:jc w:val="left"/>
              <w:rPr>
                <w:rFonts w:hint="eastAsia" w:ascii="宋体" w:hAnsi="宋体" w:eastAsia="宋体" w:cs="宋体"/>
                <w:color w:val="auto"/>
                <w:sz w:val="24"/>
                <w:szCs w:val="24"/>
                <w:highlight w:val="none"/>
              </w:rPr>
            </w:pPr>
          </w:p>
        </w:tc>
        <w:tc>
          <w:tcPr>
            <w:tcW w:w="578" w:type="pct"/>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122" w:type="pct"/>
            <w:gridSpan w:val="3"/>
            <w:noWrap w:val="0"/>
            <w:vAlign w:val="center"/>
          </w:tcPr>
          <w:p>
            <w:pPr>
              <w:jc w:val="left"/>
              <w:rPr>
                <w:rFonts w:hint="eastAsia" w:ascii="宋体" w:hAnsi="宋体" w:eastAsia="宋体" w:cs="宋体"/>
                <w:color w:val="auto"/>
                <w:sz w:val="24"/>
                <w:szCs w:val="24"/>
                <w:highlight w:val="none"/>
              </w:rPr>
            </w:pPr>
          </w:p>
        </w:tc>
        <w:tc>
          <w:tcPr>
            <w:tcW w:w="737" w:type="pct"/>
            <w:gridSpan w:val="2"/>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860" w:type="pct"/>
            <w:noWrap w:val="0"/>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977" w:type="pct"/>
            <w:noWrap w:val="0"/>
            <w:vAlign w:val="center"/>
          </w:tcPr>
          <w:p>
            <w:pPr>
              <w:jc w:val="left"/>
              <w:rPr>
                <w:rFonts w:hint="eastAsia" w:ascii="宋体" w:hAnsi="宋体" w:eastAsia="宋体" w:cs="宋体"/>
                <w:color w:val="auto"/>
                <w:sz w:val="24"/>
                <w:szCs w:val="24"/>
                <w:highlight w:val="none"/>
              </w:rPr>
            </w:pPr>
          </w:p>
        </w:tc>
        <w:tc>
          <w:tcPr>
            <w:tcW w:w="578" w:type="pct"/>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122" w:type="pct"/>
            <w:gridSpan w:val="3"/>
            <w:noWrap w:val="0"/>
            <w:vAlign w:val="center"/>
          </w:tcPr>
          <w:p>
            <w:pPr>
              <w:jc w:val="left"/>
              <w:rPr>
                <w:rFonts w:hint="eastAsia" w:ascii="宋体" w:hAnsi="宋体" w:eastAsia="宋体" w:cs="宋体"/>
                <w:color w:val="auto"/>
                <w:sz w:val="24"/>
                <w:szCs w:val="24"/>
                <w:highlight w:val="none"/>
              </w:rPr>
            </w:pPr>
          </w:p>
        </w:tc>
        <w:tc>
          <w:tcPr>
            <w:tcW w:w="737" w:type="pct"/>
            <w:gridSpan w:val="2"/>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860" w:type="pct"/>
            <w:noWrap w:val="0"/>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699" w:type="pct"/>
            <w:gridSpan w:val="2"/>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参加工作时间</w:t>
            </w:r>
          </w:p>
        </w:tc>
        <w:tc>
          <w:tcPr>
            <w:tcW w:w="1001" w:type="pct"/>
            <w:gridSpan w:val="3"/>
            <w:noWrap w:val="0"/>
            <w:vAlign w:val="center"/>
          </w:tcPr>
          <w:p>
            <w:pPr>
              <w:jc w:val="left"/>
              <w:rPr>
                <w:rFonts w:hint="eastAsia" w:ascii="宋体" w:hAnsi="宋体" w:eastAsia="宋体" w:cs="宋体"/>
                <w:color w:val="auto"/>
                <w:sz w:val="24"/>
                <w:szCs w:val="24"/>
                <w:highlight w:val="none"/>
              </w:rPr>
            </w:pPr>
          </w:p>
        </w:tc>
        <w:tc>
          <w:tcPr>
            <w:tcW w:w="1248" w:type="pct"/>
            <w:gridSpan w:val="2"/>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担任相应职务年限</w:t>
            </w:r>
          </w:p>
        </w:tc>
        <w:tc>
          <w:tcPr>
            <w:tcW w:w="1049" w:type="pct"/>
            <w:gridSpan w:val="2"/>
            <w:noWrap w:val="0"/>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699" w:type="pct"/>
            <w:gridSpan w:val="2"/>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300" w:type="pct"/>
            <w:gridSpan w:val="7"/>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月毕业于     学校    系，学制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699" w:type="pct"/>
            <w:gridSpan w:val="2"/>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资格证书号</w:t>
            </w:r>
          </w:p>
        </w:tc>
        <w:tc>
          <w:tcPr>
            <w:tcW w:w="3300" w:type="pct"/>
            <w:gridSpan w:val="7"/>
            <w:noWrap w:val="0"/>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000" w:type="pct"/>
            <w:gridSpan w:val="9"/>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977"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901" w:type="pct"/>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800" w:type="pct"/>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开、竣工日期</w:t>
            </w:r>
          </w:p>
        </w:tc>
        <w:tc>
          <w:tcPr>
            <w:tcW w:w="737" w:type="pct"/>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在建或已完工程质量</w:t>
            </w:r>
          </w:p>
        </w:tc>
        <w:tc>
          <w:tcPr>
            <w:tcW w:w="860"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pPr>
              <w:jc w:val="left"/>
              <w:rPr>
                <w:rFonts w:hint="eastAsia" w:ascii="宋体" w:hAnsi="宋体" w:eastAsia="宋体" w:cs="宋体"/>
                <w:color w:val="auto"/>
                <w:sz w:val="24"/>
                <w:szCs w:val="24"/>
                <w:highlight w:val="none"/>
              </w:rPr>
            </w:pPr>
          </w:p>
        </w:tc>
        <w:tc>
          <w:tcPr>
            <w:tcW w:w="977" w:type="pct"/>
            <w:noWrap w:val="0"/>
            <w:vAlign w:val="center"/>
          </w:tcPr>
          <w:p>
            <w:pPr>
              <w:jc w:val="left"/>
              <w:rPr>
                <w:rFonts w:hint="eastAsia" w:ascii="宋体" w:hAnsi="宋体" w:eastAsia="宋体" w:cs="宋体"/>
                <w:color w:val="auto"/>
                <w:sz w:val="24"/>
                <w:szCs w:val="24"/>
                <w:highlight w:val="none"/>
              </w:rPr>
            </w:pPr>
          </w:p>
        </w:tc>
        <w:tc>
          <w:tcPr>
            <w:tcW w:w="901" w:type="pct"/>
            <w:gridSpan w:val="2"/>
            <w:noWrap w:val="0"/>
            <w:vAlign w:val="center"/>
          </w:tcPr>
          <w:p>
            <w:pPr>
              <w:jc w:val="left"/>
              <w:rPr>
                <w:rFonts w:hint="eastAsia" w:ascii="宋体" w:hAnsi="宋体" w:eastAsia="宋体" w:cs="宋体"/>
                <w:color w:val="auto"/>
                <w:sz w:val="24"/>
                <w:szCs w:val="24"/>
                <w:highlight w:val="none"/>
              </w:rPr>
            </w:pPr>
          </w:p>
        </w:tc>
        <w:tc>
          <w:tcPr>
            <w:tcW w:w="800" w:type="pct"/>
            <w:gridSpan w:val="2"/>
            <w:noWrap w:val="0"/>
            <w:vAlign w:val="center"/>
          </w:tcPr>
          <w:p>
            <w:pPr>
              <w:jc w:val="left"/>
              <w:rPr>
                <w:rFonts w:hint="eastAsia" w:ascii="宋体" w:hAnsi="宋体" w:eastAsia="宋体" w:cs="宋体"/>
                <w:color w:val="auto"/>
                <w:sz w:val="24"/>
                <w:szCs w:val="24"/>
                <w:highlight w:val="none"/>
              </w:rPr>
            </w:pPr>
          </w:p>
        </w:tc>
        <w:tc>
          <w:tcPr>
            <w:tcW w:w="737" w:type="pct"/>
            <w:gridSpan w:val="2"/>
            <w:noWrap w:val="0"/>
            <w:vAlign w:val="center"/>
          </w:tcPr>
          <w:p>
            <w:pPr>
              <w:jc w:val="left"/>
              <w:rPr>
                <w:rFonts w:hint="eastAsia" w:ascii="宋体" w:hAnsi="宋体" w:eastAsia="宋体" w:cs="宋体"/>
                <w:color w:val="auto"/>
                <w:sz w:val="24"/>
                <w:szCs w:val="24"/>
                <w:highlight w:val="none"/>
              </w:rPr>
            </w:pPr>
          </w:p>
        </w:tc>
        <w:tc>
          <w:tcPr>
            <w:tcW w:w="860" w:type="pct"/>
            <w:noWrap w:val="0"/>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pPr>
              <w:jc w:val="left"/>
              <w:rPr>
                <w:rFonts w:hint="eastAsia" w:ascii="宋体" w:hAnsi="宋体" w:eastAsia="宋体" w:cs="宋体"/>
                <w:color w:val="auto"/>
                <w:sz w:val="24"/>
                <w:szCs w:val="24"/>
                <w:highlight w:val="none"/>
              </w:rPr>
            </w:pPr>
          </w:p>
        </w:tc>
        <w:tc>
          <w:tcPr>
            <w:tcW w:w="977" w:type="pct"/>
            <w:noWrap w:val="0"/>
            <w:vAlign w:val="center"/>
          </w:tcPr>
          <w:p>
            <w:pPr>
              <w:jc w:val="left"/>
              <w:rPr>
                <w:rFonts w:hint="eastAsia" w:ascii="宋体" w:hAnsi="宋体" w:eastAsia="宋体" w:cs="宋体"/>
                <w:color w:val="auto"/>
                <w:sz w:val="24"/>
                <w:szCs w:val="24"/>
                <w:highlight w:val="none"/>
              </w:rPr>
            </w:pPr>
          </w:p>
        </w:tc>
        <w:tc>
          <w:tcPr>
            <w:tcW w:w="901" w:type="pct"/>
            <w:gridSpan w:val="2"/>
            <w:noWrap w:val="0"/>
            <w:vAlign w:val="center"/>
          </w:tcPr>
          <w:p>
            <w:pPr>
              <w:jc w:val="left"/>
              <w:rPr>
                <w:rFonts w:hint="eastAsia" w:ascii="宋体" w:hAnsi="宋体" w:eastAsia="宋体" w:cs="宋体"/>
                <w:color w:val="auto"/>
                <w:sz w:val="24"/>
                <w:szCs w:val="24"/>
                <w:highlight w:val="none"/>
              </w:rPr>
            </w:pPr>
          </w:p>
        </w:tc>
        <w:tc>
          <w:tcPr>
            <w:tcW w:w="800" w:type="pct"/>
            <w:gridSpan w:val="2"/>
            <w:noWrap w:val="0"/>
            <w:vAlign w:val="center"/>
          </w:tcPr>
          <w:p>
            <w:pPr>
              <w:jc w:val="left"/>
              <w:rPr>
                <w:rFonts w:hint="eastAsia" w:ascii="宋体" w:hAnsi="宋体" w:eastAsia="宋体" w:cs="宋体"/>
                <w:color w:val="auto"/>
                <w:sz w:val="24"/>
                <w:szCs w:val="24"/>
                <w:highlight w:val="none"/>
              </w:rPr>
            </w:pPr>
          </w:p>
        </w:tc>
        <w:tc>
          <w:tcPr>
            <w:tcW w:w="737" w:type="pct"/>
            <w:gridSpan w:val="2"/>
            <w:noWrap w:val="0"/>
            <w:vAlign w:val="center"/>
          </w:tcPr>
          <w:p>
            <w:pPr>
              <w:jc w:val="left"/>
              <w:rPr>
                <w:rFonts w:hint="eastAsia" w:ascii="宋体" w:hAnsi="宋体" w:eastAsia="宋体" w:cs="宋体"/>
                <w:color w:val="auto"/>
                <w:sz w:val="24"/>
                <w:szCs w:val="24"/>
                <w:highlight w:val="none"/>
              </w:rPr>
            </w:pPr>
          </w:p>
        </w:tc>
        <w:tc>
          <w:tcPr>
            <w:tcW w:w="860" w:type="pct"/>
            <w:noWrap w:val="0"/>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pPr>
              <w:jc w:val="left"/>
              <w:rPr>
                <w:rFonts w:hint="eastAsia" w:ascii="宋体" w:hAnsi="宋体" w:eastAsia="宋体" w:cs="宋体"/>
                <w:color w:val="auto"/>
                <w:sz w:val="24"/>
                <w:szCs w:val="24"/>
                <w:highlight w:val="none"/>
              </w:rPr>
            </w:pPr>
          </w:p>
        </w:tc>
        <w:tc>
          <w:tcPr>
            <w:tcW w:w="977" w:type="pct"/>
            <w:noWrap w:val="0"/>
            <w:vAlign w:val="center"/>
          </w:tcPr>
          <w:p>
            <w:pPr>
              <w:jc w:val="left"/>
              <w:rPr>
                <w:rFonts w:hint="eastAsia" w:ascii="宋体" w:hAnsi="宋体" w:eastAsia="宋体" w:cs="宋体"/>
                <w:color w:val="auto"/>
                <w:sz w:val="24"/>
                <w:szCs w:val="24"/>
                <w:highlight w:val="none"/>
              </w:rPr>
            </w:pPr>
          </w:p>
        </w:tc>
        <w:tc>
          <w:tcPr>
            <w:tcW w:w="901" w:type="pct"/>
            <w:gridSpan w:val="2"/>
            <w:noWrap w:val="0"/>
            <w:vAlign w:val="center"/>
          </w:tcPr>
          <w:p>
            <w:pPr>
              <w:jc w:val="left"/>
              <w:rPr>
                <w:rFonts w:hint="eastAsia" w:ascii="宋体" w:hAnsi="宋体" w:eastAsia="宋体" w:cs="宋体"/>
                <w:color w:val="auto"/>
                <w:sz w:val="24"/>
                <w:szCs w:val="24"/>
                <w:highlight w:val="none"/>
              </w:rPr>
            </w:pPr>
          </w:p>
        </w:tc>
        <w:tc>
          <w:tcPr>
            <w:tcW w:w="800" w:type="pct"/>
            <w:gridSpan w:val="2"/>
            <w:noWrap w:val="0"/>
            <w:vAlign w:val="center"/>
          </w:tcPr>
          <w:p>
            <w:pPr>
              <w:jc w:val="left"/>
              <w:rPr>
                <w:rFonts w:hint="eastAsia" w:ascii="宋体" w:hAnsi="宋体" w:eastAsia="宋体" w:cs="宋体"/>
                <w:color w:val="auto"/>
                <w:sz w:val="24"/>
                <w:szCs w:val="24"/>
                <w:highlight w:val="none"/>
              </w:rPr>
            </w:pPr>
          </w:p>
        </w:tc>
        <w:tc>
          <w:tcPr>
            <w:tcW w:w="737" w:type="pct"/>
            <w:gridSpan w:val="2"/>
            <w:noWrap w:val="0"/>
            <w:vAlign w:val="center"/>
          </w:tcPr>
          <w:p>
            <w:pPr>
              <w:jc w:val="left"/>
              <w:rPr>
                <w:rFonts w:hint="eastAsia" w:ascii="宋体" w:hAnsi="宋体" w:eastAsia="宋体" w:cs="宋体"/>
                <w:color w:val="auto"/>
                <w:sz w:val="24"/>
                <w:szCs w:val="24"/>
                <w:highlight w:val="none"/>
              </w:rPr>
            </w:pPr>
          </w:p>
        </w:tc>
        <w:tc>
          <w:tcPr>
            <w:tcW w:w="860" w:type="pct"/>
            <w:noWrap w:val="0"/>
            <w:vAlign w:val="center"/>
          </w:tcPr>
          <w:p>
            <w:pPr>
              <w:jc w:val="left"/>
              <w:rPr>
                <w:rFonts w:hint="eastAsia" w:ascii="宋体" w:hAnsi="宋体" w:eastAsia="宋体" w:cs="宋体"/>
                <w:color w:val="auto"/>
                <w:sz w:val="24"/>
                <w:szCs w:val="24"/>
                <w:highlight w:val="none"/>
              </w:rPr>
            </w:pPr>
          </w:p>
        </w:tc>
      </w:tr>
    </w:tbl>
    <w:p>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p>
    <w:p>
      <w:pPr>
        <w:topLinePunct/>
        <w:adjustRightInd w:val="0"/>
        <w:snapToGrid w:val="0"/>
        <w:spacing w:line="360" w:lineRule="auto"/>
        <w:ind w:firstLine="4092" w:firstLineChars="1650"/>
        <w:jc w:val="both"/>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投标人：　　（盖章）</w:t>
      </w:r>
    </w:p>
    <w:p>
      <w:pPr>
        <w:topLinePunct/>
        <w:adjustRightInd w:val="0"/>
        <w:snapToGrid w:val="0"/>
        <w:spacing w:line="360" w:lineRule="auto"/>
        <w:ind w:firstLine="4092" w:firstLineChars="1650"/>
        <w:jc w:val="both"/>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法定代表人或授权代理人(签字或盖章)：</w:t>
      </w:r>
    </w:p>
    <w:p>
      <w:pPr>
        <w:topLinePunct/>
        <w:adjustRightInd w:val="0"/>
        <w:snapToGrid w:val="0"/>
        <w:spacing w:line="360" w:lineRule="auto"/>
        <w:ind w:firstLine="4092" w:firstLineChars="1650"/>
        <w:jc w:val="both"/>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日   期：    年    月    日</w:t>
      </w:r>
    </w:p>
    <w:p>
      <w:pPr>
        <w:pStyle w:val="16"/>
        <w:rPr>
          <w:rFonts w:hint="eastAsia"/>
          <w:color w:val="auto"/>
          <w:highlight w:val="none"/>
          <w:lang w:val="en-US" w:eastAsia="zh-CN"/>
        </w:rPr>
      </w:pPr>
    </w:p>
    <w:p>
      <w:pPr>
        <w:rPr>
          <w:rFonts w:hint="eastAsia"/>
          <w:color w:val="auto"/>
          <w:highlight w:val="none"/>
          <w:lang w:val="en-US" w:eastAsia="zh-CN"/>
        </w:rPr>
      </w:pPr>
    </w:p>
    <w:p>
      <w:pPr>
        <w:topLinePunct/>
        <w:adjustRightInd w:val="0"/>
        <w:snapToGrid w:val="0"/>
        <w:spacing w:line="360" w:lineRule="auto"/>
        <w:jc w:val="center"/>
        <w:rPr>
          <w:rFonts w:hint="eastAsia" w:ascii="宋体" w:hAnsi="宋体" w:eastAsia="宋体" w:cs="宋体"/>
          <w:b/>
          <w:snapToGrid w:val="0"/>
          <w:color w:val="auto"/>
          <w:spacing w:val="4"/>
          <w:kern w:val="0"/>
          <w:sz w:val="24"/>
          <w:szCs w:val="24"/>
          <w:highlight w:val="none"/>
        </w:rPr>
      </w:pPr>
    </w:p>
    <w:p>
      <w:pPr>
        <w:topLinePunct/>
        <w:adjustRightInd w:val="0"/>
        <w:snapToGrid w:val="0"/>
        <w:spacing w:line="360" w:lineRule="auto"/>
        <w:jc w:val="center"/>
        <w:rPr>
          <w:rFonts w:hint="eastAsia" w:ascii="宋体" w:hAnsi="宋体" w:eastAsia="宋体" w:cs="宋体"/>
          <w:b/>
          <w:snapToGrid w:val="0"/>
          <w:color w:val="auto"/>
          <w:spacing w:val="4"/>
          <w:kern w:val="0"/>
          <w:sz w:val="24"/>
          <w:szCs w:val="24"/>
          <w:highlight w:val="none"/>
        </w:rPr>
      </w:pPr>
    </w:p>
    <w:p>
      <w:pPr>
        <w:topLinePunct/>
        <w:adjustRightInd w:val="0"/>
        <w:snapToGrid w:val="0"/>
        <w:spacing w:line="360" w:lineRule="auto"/>
        <w:jc w:val="center"/>
        <w:rPr>
          <w:rFonts w:hint="eastAsia" w:ascii="宋体" w:hAnsi="宋体" w:eastAsia="宋体" w:cs="宋体"/>
          <w:b/>
          <w:snapToGrid w:val="0"/>
          <w:color w:val="auto"/>
          <w:spacing w:val="4"/>
          <w:kern w:val="0"/>
          <w:sz w:val="24"/>
          <w:szCs w:val="24"/>
          <w:highlight w:val="none"/>
        </w:rPr>
      </w:pPr>
    </w:p>
    <w:p>
      <w:pPr>
        <w:topLinePunct/>
        <w:adjustRightInd w:val="0"/>
        <w:snapToGrid w:val="0"/>
        <w:spacing w:before="156" w:beforeLines="50" w:after="156" w:afterLines="50" w:line="360" w:lineRule="auto"/>
        <w:jc w:val="left"/>
        <w:outlineLvl w:val="2"/>
        <w:rPr>
          <w:rFonts w:hint="eastAsia" w:ascii="宋体" w:hAnsi="宋体" w:eastAsia="宋体" w:cs="宋体"/>
          <w:snapToGrid w:val="0"/>
          <w:color w:val="auto"/>
          <w:spacing w:val="4"/>
          <w:kern w:val="0"/>
          <w:sz w:val="24"/>
          <w:szCs w:val="24"/>
          <w:highlight w:val="none"/>
          <w:lang w:eastAsia="zh-CN"/>
        </w:rPr>
      </w:pPr>
      <w:bookmarkStart w:id="37" w:name="_Toc4573"/>
      <w:bookmarkStart w:id="38" w:name="_Toc13235"/>
      <w:r>
        <w:rPr>
          <w:rFonts w:hint="eastAsia"/>
          <w:color w:val="auto"/>
          <w:sz w:val="24"/>
          <w:szCs w:val="24"/>
          <w:highlight w:val="none"/>
        </w:rPr>
        <w:t>技术标</w:t>
      </w:r>
      <w:r>
        <w:rPr>
          <w:rFonts w:hint="eastAsia" w:ascii="宋体" w:hAnsi="宋体" w:eastAsia="宋体" w:cs="宋体"/>
          <w:bCs/>
          <w:color w:val="auto"/>
          <w:spacing w:val="4"/>
          <w:kern w:val="0"/>
          <w:sz w:val="24"/>
          <w:szCs w:val="24"/>
          <w:highlight w:val="none"/>
        </w:rPr>
        <w:t>格式</w:t>
      </w:r>
      <w:bookmarkEnd w:id="35"/>
      <w:bookmarkEnd w:id="36"/>
      <w:r>
        <w:rPr>
          <w:rFonts w:hint="eastAsia" w:ascii="宋体" w:hAnsi="宋体" w:eastAsia="宋体" w:cs="宋体"/>
          <w:snapToGrid w:val="0"/>
          <w:color w:val="auto"/>
          <w:spacing w:val="4"/>
          <w:kern w:val="0"/>
          <w:sz w:val="24"/>
          <w:szCs w:val="24"/>
          <w:highlight w:val="none"/>
        </w:rPr>
        <w:t>六</w:t>
      </w:r>
      <w:bookmarkEnd w:id="37"/>
      <w:bookmarkEnd w:id="38"/>
      <w:r>
        <w:rPr>
          <w:rFonts w:hint="eastAsia" w:ascii="宋体" w:hAnsi="宋体" w:cs="宋体"/>
          <w:snapToGrid w:val="0"/>
          <w:color w:val="auto"/>
          <w:spacing w:val="4"/>
          <w:kern w:val="0"/>
          <w:sz w:val="24"/>
          <w:szCs w:val="24"/>
          <w:highlight w:val="none"/>
          <w:lang w:eastAsia="zh-CN"/>
        </w:rPr>
        <w:t>：</w:t>
      </w:r>
    </w:p>
    <w:p>
      <w:pPr>
        <w:tabs>
          <w:tab w:val="left" w:pos="720"/>
        </w:tabs>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标函承诺书</w:t>
      </w:r>
    </w:p>
    <w:p>
      <w:pPr>
        <w:pStyle w:val="28"/>
        <w:spacing w:line="360" w:lineRule="auto"/>
        <w:ind w:left="339" w:leftChars="101" w:hanging="127" w:hangingChars="53"/>
        <w:jc w:val="left"/>
        <w:rPr>
          <w:rFonts w:hint="eastAsia" w:ascii="宋体" w:hAnsi="宋体" w:eastAsia="宋体" w:cs="宋体"/>
          <w:color w:val="auto"/>
          <w:sz w:val="24"/>
          <w:szCs w:val="24"/>
          <w:highlight w:val="none"/>
          <w:u w:val="single"/>
        </w:rPr>
      </w:pPr>
    </w:p>
    <w:p>
      <w:pPr>
        <w:pStyle w:val="28"/>
        <w:spacing w:line="360" w:lineRule="auto"/>
        <w:ind w:left="339" w:leftChars="101" w:hanging="127" w:hangingChars="53"/>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致：</w:t>
      </w:r>
      <w:r>
        <w:rPr>
          <w:rFonts w:hint="eastAsia" w:ascii="宋体" w:hAnsi="宋体" w:eastAsia="宋体" w:cs="宋体"/>
          <w:color w:val="auto"/>
          <w:sz w:val="24"/>
          <w:szCs w:val="24"/>
          <w:highlight w:val="none"/>
          <w:u w:val="single"/>
          <w:lang w:eastAsia="zh-CN"/>
        </w:rPr>
        <w:t>广州开发区财政投资建设项目管理中心</w:t>
      </w:r>
    </w:p>
    <w:p>
      <w:pPr>
        <w:spacing w:after="12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如果在本招标工程中我司中标，我司将积极响应贵单位提出的合同条件及招标文件的要求，并做出如下承诺：</w:t>
      </w:r>
    </w:p>
    <w:p>
      <w:pPr>
        <w:spacing w:after="12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1、若我公司中标，我公司承诺按时交纳履约保证金。</w:t>
      </w:r>
    </w:p>
    <w:p>
      <w:pPr>
        <w:spacing w:after="120" w:afterLines="5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2、在本工程施工期间，拟投入的人力不少于下表中的人数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工种</w:t>
            </w: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rPr>
            </w:pPr>
            <w:r>
              <w:rPr>
                <w:rFonts w:hint="eastAsia" w:ascii="宋体" w:hAnsi="宋体" w:cs="宋体"/>
                <w:color w:val="auto"/>
                <w:szCs w:val="21"/>
                <w:highlight w:val="none"/>
              </w:rPr>
              <w:t>施工低峰期数量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left="-422" w:leftChars="-201"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bl>
    <w:p>
      <w:pPr>
        <w:spacing w:before="120" w:beforeLines="50" w:after="120" w:afterLines="50"/>
        <w:ind w:left="441" w:leftChars="210" w:firstLine="480" w:firstLineChars="200"/>
        <w:jc w:val="left"/>
        <w:rPr>
          <w:rFonts w:hint="eastAsia" w:ascii="宋体" w:hAnsi="宋体" w:cs="宋体"/>
          <w:color w:val="auto"/>
          <w:sz w:val="24"/>
          <w:szCs w:val="24"/>
          <w:highlight w:val="none"/>
          <w:u w:val="single"/>
        </w:rPr>
      </w:pPr>
    </w:p>
    <w:p>
      <w:pPr>
        <w:spacing w:before="120" w:beforeLines="50" w:after="120" w:afterLines="5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3、在工程施工期间，拟投入的主要机械设备按投标文件所附的《拟投入本工程施工的主要机械设备配备表》。</w:t>
      </w:r>
    </w:p>
    <w:p>
      <w:pPr>
        <w:spacing w:after="12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4、所选用的主要材料品牌符合招标文件的要求。</w:t>
      </w:r>
    </w:p>
    <w:p>
      <w:pPr>
        <w:spacing w:after="12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5、拟投入到本工程的主要技术人员、经济和管理人员按投标文件所附的《投入主要人员汇总表》。中标后，拟投入到本工程安全员人数不得低于住建部相关文件的最低要求。</w:t>
      </w:r>
    </w:p>
    <w:p>
      <w:pPr>
        <w:spacing w:after="120"/>
        <w:ind w:left="420" w:leftChars="200"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br w:type="page"/>
      </w:r>
    </w:p>
    <w:p>
      <w:pPr>
        <w:spacing w:after="12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6、我公司保证拟派项目负责人符合《广州市住房和城乡建设局关于加强建筑工程项目负责人管理的通知》（穗建规字〔</w:t>
      </w:r>
      <w:r>
        <w:rPr>
          <w:rFonts w:ascii="宋体" w:hAnsi="宋体" w:cs="宋体"/>
          <w:color w:val="auto"/>
          <w:sz w:val="24"/>
          <w:szCs w:val="24"/>
          <w:highlight w:val="none"/>
        </w:rPr>
        <w:t>2020〕32号）文的要求，</w:t>
      </w:r>
      <w:r>
        <w:rPr>
          <w:rFonts w:hint="eastAsia" w:ascii="宋体" w:hAnsi="宋体" w:cs="宋体"/>
          <w:color w:val="auto"/>
          <w:sz w:val="24"/>
          <w:szCs w:val="24"/>
          <w:highlight w:val="none"/>
        </w:rPr>
        <w:t>并将严格按照招标文件要求，自签订合同之日起至工程竣工验收将常驻现场，严格按照有关工程项目管理的要求进行项目管理，如果不能够按照此要求实施，我方自愿接受贵中心的处罚措施。</w:t>
      </w:r>
    </w:p>
    <w:p>
      <w:pPr>
        <w:spacing w:after="12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7、本工程施工过程中，我司将严格按照国家、省、市有关施工及验收规范、标准进行施工，确保本工程质量标准达到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要求。</w:t>
      </w:r>
    </w:p>
    <w:p>
      <w:pPr>
        <w:spacing w:after="12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8、在确保工程质量的前提下，我司严格控制工程工期，确保工程在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日历天内完成。</w:t>
      </w:r>
    </w:p>
    <w:p>
      <w:pPr>
        <w:spacing w:after="12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pPr>
        <w:spacing w:after="12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10、按照发包人、监理工程师的要求及时为各专业工程（电信、电力管线、电力走廊、煤气、道路绿化、路灯、交通设施等）提供工作面，并为专业工程穿插施工所需各项配合工作给予方便。</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11、将按照招标过程中确定的范围，除了下表所列专业工程外，其余全部工程由我司自行施工。对工程分包，我司承诺按照招标文件的要求和有关规定履行总包单位的职责，在中标后提供分包单位的资质证明材料（如有必须分包的专业工程，请填入下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必须分包的专业工程内容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ind w:left="-105" w:leftChars="-50" w:firstLine="90" w:firstLineChars="43"/>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序号</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u w:val="single"/>
              </w:rPr>
            </w:pPr>
          </w:p>
        </w:tc>
      </w:tr>
    </w:tbl>
    <w:p>
      <w:pPr>
        <w:tabs>
          <w:tab w:val="left" w:pos="315"/>
        </w:tabs>
        <w:spacing w:line="360" w:lineRule="auto"/>
        <w:ind w:left="19" w:leftChars="9" w:firstLine="480" w:firstLineChars="200"/>
        <w:rPr>
          <w:rFonts w:hint="eastAsia" w:ascii="宋体" w:hAnsi="宋体" w:cs="宋体"/>
          <w:color w:val="auto"/>
          <w:sz w:val="24"/>
          <w:szCs w:val="24"/>
          <w:highlight w:val="none"/>
        </w:rPr>
      </w:pPr>
      <w:r>
        <w:rPr>
          <w:rFonts w:hint="eastAsia" w:ascii="宋体" w:hAnsi="宋体"/>
          <w:color w:val="auto"/>
          <w:sz w:val="24"/>
          <w:szCs w:val="24"/>
          <w:highlight w:val="none"/>
        </w:rPr>
        <w:t>12、我司保证在中标后，严格按照 《广州市住房和城乡建设委员会关于印发&lt;广州市建筑施工实名制管理办法&g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pPr>
        <w:tabs>
          <w:tab w:val="left" w:pos="0"/>
        </w:tabs>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13、我司保证在中标后，根据工程特点，编制本工程详细的施工组织设计和施工方案，并报监理和发包人审核批准，并严格按审批的意见和要求组织施工。</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14、我司承诺积极响应并接受招标文件中合同专用专款关于合同价款的调整办法。</w:t>
      </w:r>
    </w:p>
    <w:p>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 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pPr>
        <w:spacing w:line="360" w:lineRule="auto"/>
        <w:ind w:left="318"/>
        <w:rPr>
          <w:rFonts w:hint="eastAsia" w:ascii="宋体" w:hAnsi="宋体" w:cs="宋体"/>
          <w:color w:val="auto"/>
          <w:sz w:val="24"/>
          <w:szCs w:val="24"/>
          <w:highlight w:val="none"/>
          <w:u w:val="single"/>
        </w:rPr>
      </w:pPr>
    </w:p>
    <w:p>
      <w:pPr>
        <w:spacing w:after="120" w:line="360" w:lineRule="auto"/>
        <w:ind w:left="420" w:leftChars="200" w:firstLine="3547" w:firstLineChars="1478"/>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投标单位：（公章） </w:t>
      </w:r>
    </w:p>
    <w:p>
      <w:pPr>
        <w:spacing w:after="12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法人代表或其授权代理人：（签名或盖章）</w:t>
      </w:r>
    </w:p>
    <w:p>
      <w:pPr>
        <w:spacing w:after="120" w:line="360" w:lineRule="auto"/>
        <w:ind w:left="420" w:leftChars="200" w:right="560" w:firstLine="5040" w:firstLineChars="21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spacing w:after="120" w:line="360" w:lineRule="auto"/>
        <w:ind w:left="420" w:leftChars="200"/>
        <w:jc w:val="left"/>
        <w:rPr>
          <w:rFonts w:hint="eastAsia" w:ascii="宋体" w:hAnsi="宋体" w:cs="宋体"/>
          <w:color w:val="auto"/>
          <w:sz w:val="24"/>
          <w:szCs w:val="24"/>
          <w:highlight w:val="none"/>
          <w:u w:val="single"/>
        </w:rPr>
      </w:pPr>
    </w:p>
    <w:p>
      <w:pPr>
        <w:spacing w:line="336" w:lineRule="auto"/>
        <w:ind w:left="-2" w:leftChars="-1"/>
        <w:rPr>
          <w:rFonts w:hint="eastAsia" w:ascii="宋体" w:hAnsi="宋体" w:cs="宋体"/>
          <w:color w:val="auto"/>
          <w:szCs w:val="21"/>
          <w:highlight w:val="none"/>
        </w:rPr>
      </w:pPr>
      <w:r>
        <w:rPr>
          <w:rFonts w:hint="eastAsia" w:ascii="宋体" w:hAnsi="宋体" w:cs="宋体"/>
          <w:color w:val="auto"/>
          <w:szCs w:val="21"/>
          <w:highlight w:val="none"/>
        </w:rPr>
        <w:t>注：</w:t>
      </w:r>
    </w:p>
    <w:p>
      <w:pPr>
        <w:spacing w:line="336" w:lineRule="auto"/>
        <w:ind w:left="-2" w:leftChars="-1"/>
        <w:jc w:val="left"/>
        <w:rPr>
          <w:rFonts w:hint="eastAsia" w:ascii="宋体" w:hAnsi="宋体" w:cs="宋体"/>
          <w:color w:val="auto"/>
          <w:szCs w:val="21"/>
          <w:highlight w:val="none"/>
        </w:rPr>
      </w:pPr>
      <w:r>
        <w:rPr>
          <w:rFonts w:hint="eastAsia" w:ascii="宋体" w:hAnsi="宋体" w:cs="宋体"/>
          <w:color w:val="auto"/>
          <w:szCs w:val="21"/>
          <w:highlight w:val="none"/>
        </w:rPr>
        <w:t>1、《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pPr>
        <w:spacing w:line="336" w:lineRule="auto"/>
        <w:ind w:left="-2" w:leftChars="-1"/>
        <w:jc w:val="left"/>
        <w:rPr>
          <w:rFonts w:hint="eastAsia" w:ascii="宋体" w:hAnsi="宋体" w:cs="宋体"/>
          <w:color w:val="auto"/>
          <w:szCs w:val="21"/>
          <w:highlight w:val="none"/>
        </w:rPr>
      </w:pPr>
      <w:r>
        <w:rPr>
          <w:rFonts w:hint="eastAsia" w:ascii="宋体" w:hAnsi="宋体" w:cs="宋体"/>
          <w:color w:val="auto"/>
          <w:szCs w:val="21"/>
          <w:highlight w:val="none"/>
        </w:rPr>
        <w:t>2、《标函承诺书》第7条内容“确保本工程质量达到</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rPr>
        <w:t>要求” 横线上要求按照本工程《广州建设工程施工招标投标书（技术标）》承诺的质量标准填写，否则视作未按规定的格式填写，作无效标处理。</w:t>
      </w:r>
    </w:p>
    <w:p>
      <w:pPr>
        <w:topLinePunct w:val="0"/>
        <w:adjustRightInd/>
        <w:snapToGrid/>
        <w:spacing w:before="0" w:beforeLines="-2147483648" w:after="0" w:afterLines="-2147483648" w:line="24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rPr>
        <w:t>《标函承诺书》第8条内容“确保工程在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日历天内完成”横线上要求按照本工程《广州建设工程施工招标投标书（技术标）》承诺的投标总工期填写，否则视作未按规定的格式填写，作无效标处理。</w:t>
      </w:r>
      <w:bookmarkStart w:id="39" w:name="_Toc24943"/>
      <w:bookmarkStart w:id="40" w:name="_Toc14656"/>
      <w:r>
        <w:rPr>
          <w:rFonts w:hint="eastAsia" w:ascii="宋体" w:hAnsi="宋体" w:eastAsia="宋体" w:cs="宋体"/>
          <w:color w:val="auto"/>
          <w:sz w:val="24"/>
          <w:szCs w:val="24"/>
          <w:highlight w:val="none"/>
        </w:rPr>
        <w:br w:type="page"/>
      </w:r>
    </w:p>
    <w:p>
      <w:pPr>
        <w:topLinePunct w:val="0"/>
        <w:adjustRightInd/>
        <w:snapToGrid/>
        <w:spacing w:before="0" w:beforeLines="-2147483648" w:after="0" w:afterLines="-2147483648" w:line="336" w:lineRule="auto"/>
        <w:ind w:left="-2" w:leftChars="-1"/>
        <w:jc w:val="left"/>
        <w:outlineLvl w:val="9"/>
        <w:rPr>
          <w:rFonts w:hint="eastAsia" w:ascii="宋体" w:hAnsi="宋体" w:eastAsia="宋体" w:cs="宋体"/>
          <w:snapToGrid w:val="0"/>
          <w:color w:val="auto"/>
          <w:spacing w:val="4"/>
          <w:kern w:val="0"/>
          <w:sz w:val="24"/>
          <w:szCs w:val="24"/>
          <w:highlight w:val="none"/>
          <w:lang w:eastAsia="zh-CN"/>
        </w:rPr>
      </w:pPr>
      <w:r>
        <w:rPr>
          <w:rFonts w:hint="eastAsia"/>
          <w:color w:val="auto"/>
          <w:sz w:val="24"/>
          <w:szCs w:val="24"/>
          <w:highlight w:val="none"/>
        </w:rPr>
        <w:t>技术标</w:t>
      </w:r>
      <w:r>
        <w:rPr>
          <w:rFonts w:hint="eastAsia" w:ascii="宋体" w:hAnsi="宋体" w:eastAsia="宋体" w:cs="宋体"/>
          <w:bCs/>
          <w:color w:val="auto"/>
          <w:spacing w:val="4"/>
          <w:kern w:val="0"/>
          <w:sz w:val="24"/>
          <w:szCs w:val="24"/>
          <w:highlight w:val="none"/>
        </w:rPr>
        <w:t>格式</w:t>
      </w:r>
      <w:r>
        <w:rPr>
          <w:rFonts w:hint="eastAsia" w:ascii="宋体" w:hAnsi="宋体" w:eastAsia="宋体" w:cs="宋体"/>
          <w:snapToGrid w:val="0"/>
          <w:color w:val="auto"/>
          <w:spacing w:val="4"/>
          <w:kern w:val="0"/>
          <w:sz w:val="24"/>
          <w:szCs w:val="24"/>
          <w:highlight w:val="none"/>
        </w:rPr>
        <w:t>七</w:t>
      </w:r>
      <w:bookmarkEnd w:id="39"/>
      <w:bookmarkEnd w:id="40"/>
      <w:r>
        <w:rPr>
          <w:rFonts w:hint="eastAsia" w:ascii="宋体" w:hAnsi="宋体" w:cs="宋体"/>
          <w:snapToGrid w:val="0"/>
          <w:color w:val="auto"/>
          <w:spacing w:val="4"/>
          <w:kern w:val="0"/>
          <w:sz w:val="24"/>
          <w:szCs w:val="24"/>
          <w:highlight w:val="none"/>
          <w:lang w:eastAsia="zh-CN"/>
        </w:rPr>
        <w:t>：</w:t>
      </w:r>
    </w:p>
    <w:p>
      <w:pPr>
        <w:pStyle w:val="18"/>
        <w:spacing w:after="0" w:line="336" w:lineRule="auto"/>
        <w:ind w:left="-2" w:leftChars="-1" w:firstLine="422" w:firstLineChars="17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项目负责人驻场承诺书</w:t>
      </w:r>
    </w:p>
    <w:p>
      <w:pPr>
        <w:pStyle w:val="18"/>
        <w:spacing w:after="0" w:line="336" w:lineRule="auto"/>
        <w:ind w:left="-2" w:leftChars="-1" w:firstLineChars="175"/>
        <w:jc w:val="center"/>
        <w:rPr>
          <w:rFonts w:hint="eastAsia" w:ascii="宋体" w:hAnsi="宋体" w:eastAsia="宋体" w:cs="宋体"/>
          <w:color w:val="auto"/>
          <w:sz w:val="24"/>
          <w:szCs w:val="24"/>
          <w:highlight w:val="none"/>
          <w:u w:val="single"/>
        </w:rPr>
      </w:pPr>
    </w:p>
    <w:p>
      <w:pPr>
        <w:spacing w:line="336"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致（业主/监理）                                           ：</w:t>
      </w:r>
    </w:p>
    <w:p>
      <w:pPr>
        <w:spacing w:line="336" w:lineRule="auto"/>
        <w:rPr>
          <w:rFonts w:hint="eastAsia" w:ascii="宋体" w:hAnsi="宋体" w:eastAsia="宋体" w:cs="宋体"/>
          <w:color w:val="auto"/>
          <w:sz w:val="24"/>
          <w:szCs w:val="24"/>
          <w:highlight w:val="none"/>
          <w:u w:val="single"/>
        </w:rPr>
      </w:pPr>
    </w:p>
    <w:p>
      <w:pPr>
        <w:spacing w:line="336" w:lineRule="auto"/>
        <w:ind w:left="0" w:firstLine="523" w:firstLineChars="218"/>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本人（姓名） ，项目负责人证书注册编号：             受（投标人</w:t>
      </w:r>
      <w:r>
        <w:rPr>
          <w:rFonts w:hint="eastAsia" w:ascii="宋体" w:hAnsi="宋体" w:cs="宋体"/>
          <w:color w:val="auto"/>
          <w:sz w:val="24"/>
          <w:szCs w:val="24"/>
          <w:highlight w:val="none"/>
          <w:u w:val="single"/>
          <w:lang w:val="en-US" w:eastAsia="zh-CN"/>
        </w:rPr>
        <w:t>名称</w:t>
      </w:r>
      <w:r>
        <w:rPr>
          <w:rFonts w:hint="eastAsia" w:ascii="宋体" w:hAnsi="宋体" w:cs="宋体"/>
          <w:color w:val="auto"/>
          <w:sz w:val="24"/>
          <w:szCs w:val="24"/>
          <w:highlight w:val="none"/>
          <w:u w:val="single"/>
        </w:rPr>
        <w:t>）委派，拟在</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（项目名称）  担任项目负责人一职。为加强本工程项目管理，保证我公司在中标后严格履行与业主签定的工程建设承包合同，圆满的完成本项工程，我愿就此做出以下承诺；</w:t>
      </w:r>
    </w:p>
    <w:p>
      <w:pPr>
        <w:spacing w:line="336"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pPr>
        <w:spacing w:line="336"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2．如果本招标工程我公司中标，我本人保证在工程签订合同之日起至工程竣工验收完成期间只担任此工程的项目经理，不参加其他任何工程的报名和任何工作，不在其他任何工程担任本职务。</w:t>
      </w:r>
    </w:p>
    <w:p>
      <w:pPr>
        <w:spacing w:line="336"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pPr>
        <w:spacing w:line="336" w:lineRule="auto"/>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rPr>
        <w:t>4．项目负责人本人身份证扫描件和两寸相片扫描件</w:t>
      </w:r>
      <w:r>
        <w:rPr>
          <w:rFonts w:hint="eastAsia" w:ascii="宋体" w:hAnsi="宋体" w:eastAsia="宋体" w:cs="宋体"/>
          <w:color w:val="auto"/>
          <w:sz w:val="24"/>
          <w:szCs w:val="24"/>
          <w:highlight w:val="none"/>
          <w:u w:val="single"/>
        </w:rPr>
        <w:t>：</w:t>
      </w:r>
    </w:p>
    <w:p>
      <w:pPr>
        <w:spacing w:line="336" w:lineRule="auto"/>
        <w:rPr>
          <w:rFonts w:hint="eastAsia" w:ascii="宋体" w:hAnsi="宋体" w:eastAsia="宋体" w:cs="宋体"/>
          <w:color w:val="auto"/>
          <w:sz w:val="24"/>
          <w:szCs w:val="24"/>
          <w:highlight w:val="none"/>
          <w:u w:val="single"/>
        </w:rPr>
      </w:pPr>
    </w:p>
    <w:tbl>
      <w:tblPr>
        <w:tblStyle w:val="2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043" w:type="dxa"/>
            <w:tcBorders>
              <w:top w:val="single" w:color="auto" w:sz="4" w:space="0"/>
              <w:left w:val="single" w:color="auto" w:sz="4" w:space="0"/>
              <w:bottom w:val="single" w:color="auto" w:sz="4" w:space="0"/>
              <w:right w:val="single" w:color="auto" w:sz="4" w:space="0"/>
            </w:tcBorders>
            <w:noWrap w:val="0"/>
            <w:vAlign w:val="top"/>
          </w:tcPr>
          <w:p>
            <w:pPr>
              <w:spacing w:line="336" w:lineRule="auto"/>
              <w:jc w:val="center"/>
              <w:rPr>
                <w:rFonts w:hint="eastAsia" w:ascii="宋体" w:hAnsi="宋体" w:eastAsia="宋体" w:cs="宋体"/>
                <w:color w:val="auto"/>
                <w:szCs w:val="21"/>
                <w:highlight w:val="none"/>
                <w:u w:val="single"/>
              </w:rPr>
            </w:pPr>
          </w:p>
          <w:p>
            <w:pPr>
              <w:spacing w:line="336" w:lineRule="auto"/>
              <w:jc w:val="center"/>
              <w:rPr>
                <w:rFonts w:hint="eastAsia" w:ascii="宋体" w:hAnsi="宋体" w:eastAsia="宋体" w:cs="宋体"/>
                <w:color w:val="auto"/>
                <w:szCs w:val="21"/>
                <w:highlight w:val="none"/>
                <w:u w:val="single"/>
              </w:rPr>
            </w:pPr>
          </w:p>
          <w:p>
            <w:pPr>
              <w:spacing w:line="336" w:lineRule="auto"/>
              <w:jc w:val="center"/>
              <w:rPr>
                <w:rFonts w:hint="eastAsia" w:ascii="宋体" w:hAnsi="宋体" w:eastAsia="宋体" w:cs="宋体"/>
                <w:color w:val="auto"/>
                <w:szCs w:val="21"/>
                <w:highlight w:val="none"/>
                <w:u w:val="single"/>
              </w:rPr>
            </w:pPr>
          </w:p>
          <w:p>
            <w:pPr>
              <w:spacing w:line="336"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身份证</w:t>
            </w:r>
            <w:r>
              <w:rPr>
                <w:rFonts w:hint="eastAsia" w:ascii="宋体" w:hAnsi="宋体" w:eastAsia="宋体" w:cs="宋体"/>
                <w:color w:val="auto"/>
                <w:sz w:val="24"/>
                <w:szCs w:val="24"/>
                <w:highlight w:val="none"/>
                <w:u w:val="single"/>
                <w:lang w:val="en-US" w:eastAsia="zh-CN"/>
              </w:rPr>
              <w:t>扫描件</w:t>
            </w:r>
          </w:p>
        </w:tc>
        <w:tc>
          <w:tcPr>
            <w:tcW w:w="2492" w:type="dxa"/>
            <w:tcBorders>
              <w:top w:val="single" w:color="auto" w:sz="4" w:space="0"/>
              <w:left w:val="single" w:color="auto" w:sz="4" w:space="0"/>
              <w:bottom w:val="single" w:color="auto" w:sz="4" w:space="0"/>
              <w:right w:val="single" w:color="auto" w:sz="4" w:space="0"/>
            </w:tcBorders>
            <w:noWrap w:val="0"/>
            <w:vAlign w:val="top"/>
          </w:tcPr>
          <w:p>
            <w:pPr>
              <w:spacing w:line="336" w:lineRule="auto"/>
              <w:jc w:val="center"/>
              <w:rPr>
                <w:rFonts w:hint="eastAsia" w:ascii="宋体" w:hAnsi="宋体" w:eastAsia="宋体" w:cs="宋体"/>
                <w:color w:val="auto"/>
                <w:szCs w:val="21"/>
                <w:highlight w:val="none"/>
                <w:u w:val="single"/>
              </w:rPr>
            </w:pPr>
          </w:p>
          <w:p>
            <w:pPr>
              <w:spacing w:line="336" w:lineRule="auto"/>
              <w:jc w:val="center"/>
              <w:rPr>
                <w:rFonts w:hint="eastAsia" w:ascii="宋体" w:hAnsi="宋体" w:eastAsia="宋体" w:cs="宋体"/>
                <w:color w:val="auto"/>
                <w:szCs w:val="21"/>
                <w:highlight w:val="none"/>
                <w:u w:val="single"/>
              </w:rPr>
            </w:pPr>
          </w:p>
          <w:p>
            <w:pPr>
              <w:spacing w:line="336" w:lineRule="auto"/>
              <w:jc w:val="center"/>
              <w:rPr>
                <w:rFonts w:hint="eastAsia" w:ascii="宋体" w:hAnsi="宋体" w:eastAsia="宋体" w:cs="宋体"/>
                <w:color w:val="auto"/>
                <w:szCs w:val="21"/>
                <w:highlight w:val="none"/>
                <w:u w:val="single"/>
              </w:rPr>
            </w:pPr>
          </w:p>
          <w:p>
            <w:pPr>
              <w:spacing w:line="336"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相片</w:t>
            </w:r>
            <w:r>
              <w:rPr>
                <w:rFonts w:hint="eastAsia" w:ascii="宋体" w:hAnsi="宋体" w:eastAsia="宋体" w:cs="宋体"/>
                <w:color w:val="auto"/>
                <w:sz w:val="24"/>
                <w:szCs w:val="24"/>
                <w:highlight w:val="none"/>
                <w:u w:val="single"/>
                <w:lang w:val="en-US" w:eastAsia="zh-CN"/>
              </w:rPr>
              <w:t>扫描件</w:t>
            </w:r>
          </w:p>
        </w:tc>
      </w:tr>
    </w:tbl>
    <w:p>
      <w:pPr>
        <w:spacing w:line="336" w:lineRule="auto"/>
        <w:rPr>
          <w:rFonts w:hint="eastAsia" w:ascii="宋体" w:hAnsi="宋体" w:eastAsia="宋体" w:cs="宋体"/>
          <w:color w:val="auto"/>
          <w:sz w:val="24"/>
          <w:szCs w:val="24"/>
          <w:highlight w:val="none"/>
          <w:u w:val="single"/>
        </w:rPr>
      </w:pPr>
    </w:p>
    <w:p>
      <w:pPr>
        <w:spacing w:line="336" w:lineRule="auto"/>
        <w:ind w:firstLine="3840" w:firstLineChars="1600"/>
        <w:rPr>
          <w:rFonts w:hint="default" w:ascii="宋体" w:hAnsi="宋体" w:eastAsia="宋体" w:cs="宋体"/>
          <w:color w:val="auto"/>
          <w:sz w:val="24"/>
          <w:szCs w:val="24"/>
          <w:highlight w:val="none"/>
          <w:u w:val="single"/>
          <w:lang w:val="en-US" w:eastAsia="zh-CN"/>
        </w:rPr>
      </w:pPr>
      <w:r>
        <w:rPr>
          <w:rFonts w:hint="eastAsia" w:ascii="宋体" w:hAnsi="宋体"/>
          <w:color w:val="auto"/>
          <w:sz w:val="24"/>
          <w:szCs w:val="20"/>
          <w:highlight w:val="none"/>
        </w:rPr>
        <w:t>投标人名称（盖法人公章）</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single"/>
          <w:lang w:val="en-US" w:eastAsia="zh-CN"/>
        </w:rPr>
        <w:t xml:space="preserve">                </w:t>
      </w:r>
    </w:p>
    <w:p>
      <w:pPr>
        <w:snapToGrid/>
        <w:spacing w:line="336" w:lineRule="auto"/>
        <w:ind w:firstLine="3840" w:firstLineChars="1600"/>
        <w:jc w:val="left"/>
        <w:rPr>
          <w:rFonts w:hint="eastAsia" w:ascii="宋体" w:hAnsi="宋体" w:eastAsia="宋体" w:cs="Times New Roman"/>
          <w:color w:val="auto"/>
          <w:sz w:val="24"/>
          <w:szCs w:val="20"/>
          <w:highlight w:val="none"/>
        </w:rPr>
      </w:pPr>
      <w:r>
        <w:rPr>
          <w:rFonts w:hint="eastAsia" w:ascii="宋体" w:hAnsi="宋体" w:eastAsia="宋体" w:cs="宋体"/>
          <w:color w:val="auto"/>
          <w:sz w:val="24"/>
          <w:szCs w:val="24"/>
          <w:highlight w:val="none"/>
          <w:u w:val="none"/>
        </w:rPr>
        <w:t>项目负责人签名：</w:t>
      </w:r>
      <w:r>
        <w:rPr>
          <w:rFonts w:hint="eastAsia" w:ascii="宋体" w:hAnsi="宋体" w:eastAsia="宋体" w:cs="宋体"/>
          <w:color w:val="auto"/>
          <w:sz w:val="24"/>
          <w:szCs w:val="24"/>
          <w:highlight w:val="none"/>
          <w:u w:val="single"/>
        </w:rPr>
        <w:t xml:space="preserve">                 </w:t>
      </w:r>
    </w:p>
    <w:p>
      <w:pPr>
        <w:autoSpaceDE/>
        <w:autoSpaceDN/>
        <w:adjustRightInd/>
        <w:spacing w:line="336" w:lineRule="auto"/>
        <w:ind w:firstLine="3840" w:firstLineChars="1600"/>
        <w:rPr>
          <w:rFonts w:hint="eastAsia" w:ascii="宋体" w:hAnsi="宋体" w:eastAsia="宋体" w:cs="宋体"/>
          <w:bCs/>
          <w:color w:val="auto"/>
          <w:sz w:val="24"/>
          <w:szCs w:val="24"/>
          <w:highlight w:val="none"/>
        </w:rPr>
      </w:pPr>
      <w:r>
        <w:rPr>
          <w:rFonts w:hint="eastAsia" w:ascii="宋体" w:hAnsi="宋体" w:eastAsia="宋体" w:cs="Times New Roman"/>
          <w:color w:val="auto"/>
          <w:sz w:val="24"/>
          <w:szCs w:val="20"/>
          <w:highlight w:val="none"/>
        </w:rPr>
        <w:t>日期</w:t>
      </w:r>
      <w:r>
        <w:rPr>
          <w:rFonts w:hint="eastAsia" w:ascii="Times New Roman" w:hAnsi="宋体"/>
          <w:color w:val="auto"/>
          <w:sz w:val="24"/>
          <w:highlight w:val="none"/>
        </w:rPr>
        <w:t>：</w:t>
      </w:r>
      <w:r>
        <w:rPr>
          <w:rFonts w:hint="eastAsia" w:ascii="Times New Roman" w:hAnsi="宋体"/>
          <w:color w:val="auto"/>
          <w:sz w:val="24"/>
          <w:highlight w:val="none"/>
          <w:u w:val="single"/>
        </w:rPr>
        <w:t xml:space="preserve">      </w:t>
      </w:r>
      <w:r>
        <w:rPr>
          <w:rFonts w:hint="eastAsia" w:ascii="Times New Roman" w:hAnsi="宋体"/>
          <w:color w:val="auto"/>
          <w:sz w:val="24"/>
          <w:highlight w:val="none"/>
        </w:rPr>
        <w:t>年</w:t>
      </w:r>
      <w:r>
        <w:rPr>
          <w:rFonts w:hint="eastAsia" w:ascii="Times New Roman" w:hAnsi="宋体"/>
          <w:color w:val="auto"/>
          <w:sz w:val="24"/>
          <w:highlight w:val="none"/>
          <w:u w:val="single"/>
        </w:rPr>
        <w:t xml:space="preserve">    </w:t>
      </w:r>
      <w:r>
        <w:rPr>
          <w:rFonts w:hint="eastAsia" w:ascii="Times New Roman" w:hAnsi="宋体"/>
          <w:color w:val="auto"/>
          <w:sz w:val="24"/>
          <w:highlight w:val="none"/>
        </w:rPr>
        <w:t>月</w:t>
      </w:r>
      <w:r>
        <w:rPr>
          <w:rFonts w:hint="eastAsia" w:ascii="Times New Roman" w:hAnsi="宋体"/>
          <w:color w:val="auto"/>
          <w:sz w:val="24"/>
          <w:highlight w:val="none"/>
          <w:u w:val="single"/>
        </w:rPr>
        <w:t xml:space="preserve">    </w:t>
      </w:r>
      <w:r>
        <w:rPr>
          <w:rFonts w:hint="eastAsia" w:ascii="Times New Roman" w:hAnsi="宋体"/>
          <w:color w:val="auto"/>
          <w:sz w:val="24"/>
          <w:highlight w:val="none"/>
        </w:rPr>
        <w:t>日</w:t>
      </w:r>
    </w:p>
    <w:p>
      <w:pPr>
        <w:autoSpaceDE/>
        <w:autoSpaceDN/>
        <w:adjustRightInd/>
        <w:spacing w:line="240" w:lineRule="auto"/>
        <w:rPr>
          <w:rFonts w:hint="eastAsia"/>
          <w:color w:val="auto"/>
          <w:sz w:val="24"/>
          <w:szCs w:val="24"/>
          <w:highlight w:val="none"/>
        </w:rPr>
      </w:pPr>
      <w:r>
        <w:rPr>
          <w:rFonts w:hint="eastAsia"/>
          <w:color w:val="auto"/>
          <w:sz w:val="24"/>
          <w:szCs w:val="24"/>
          <w:highlight w:val="none"/>
        </w:rPr>
        <w:br w:type="page"/>
      </w:r>
    </w:p>
    <w:p>
      <w:pPr>
        <w:autoSpaceDE w:val="0"/>
        <w:autoSpaceDN w:val="0"/>
        <w:adjustRightInd w:val="0"/>
        <w:spacing w:line="360" w:lineRule="auto"/>
        <w:rPr>
          <w:rFonts w:hint="eastAsia" w:ascii="宋体" w:hAnsi="宋体" w:eastAsia="宋体" w:cs="宋体"/>
          <w:bCs/>
          <w:color w:val="auto"/>
          <w:sz w:val="24"/>
          <w:szCs w:val="24"/>
          <w:highlight w:val="none"/>
        </w:rPr>
      </w:pPr>
      <w:r>
        <w:rPr>
          <w:rFonts w:hint="eastAsia"/>
          <w:color w:val="auto"/>
          <w:sz w:val="24"/>
          <w:szCs w:val="24"/>
          <w:highlight w:val="none"/>
        </w:rPr>
        <w:t>技术标</w:t>
      </w:r>
      <w:r>
        <w:rPr>
          <w:rFonts w:hint="eastAsia" w:ascii="宋体" w:hAnsi="宋体" w:eastAsia="宋体" w:cs="宋体"/>
          <w:bCs/>
          <w:color w:val="auto"/>
          <w:spacing w:val="4"/>
          <w:kern w:val="0"/>
          <w:sz w:val="24"/>
          <w:szCs w:val="24"/>
          <w:highlight w:val="none"/>
        </w:rPr>
        <w:t>格式</w:t>
      </w:r>
      <w:r>
        <w:rPr>
          <w:rFonts w:hint="eastAsia" w:ascii="宋体" w:hAnsi="宋体" w:cs="宋体"/>
          <w:bCs/>
          <w:color w:val="auto"/>
          <w:sz w:val="24"/>
          <w:szCs w:val="24"/>
          <w:highlight w:val="none"/>
          <w:lang w:val="en-US" w:eastAsia="zh-CN"/>
        </w:rPr>
        <w:t>八</w:t>
      </w:r>
      <w:r>
        <w:rPr>
          <w:rFonts w:hint="eastAsia" w:ascii="宋体" w:hAnsi="宋体" w:eastAsia="宋体" w:cs="宋体"/>
          <w:bCs/>
          <w:color w:val="auto"/>
          <w:sz w:val="24"/>
          <w:szCs w:val="24"/>
          <w:highlight w:val="none"/>
        </w:rPr>
        <w:t>：</w:t>
      </w:r>
    </w:p>
    <w:p>
      <w:pPr>
        <w:pStyle w:val="31"/>
        <w:ind w:firstLine="496" w:firstLineChars="0"/>
        <w:rPr>
          <w:rFonts w:hint="eastAsia" w:ascii="宋体" w:hAnsi="宋体" w:eastAsia="宋体" w:cs="宋体"/>
          <w:color w:val="auto"/>
          <w:highlight w:val="none"/>
        </w:rPr>
      </w:pPr>
    </w:p>
    <w:p>
      <w:pPr>
        <w:pStyle w:val="31"/>
        <w:ind w:firstLine="496" w:firstLineChars="0"/>
        <w:rPr>
          <w:rFonts w:hint="eastAsia" w:ascii="宋体" w:hAnsi="宋体" w:eastAsia="宋体" w:cs="宋体"/>
          <w:color w:val="auto"/>
          <w:highlight w:val="none"/>
        </w:rPr>
      </w:pP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响应招标文件所附施工组织设计要点承诺书</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u w:val="single"/>
        </w:rPr>
      </w:pPr>
      <w:r>
        <w:rPr>
          <w:rFonts w:hint="eastAsia" w:ascii="宋体" w:hAnsi="宋体"/>
          <w:color w:val="auto"/>
          <w:sz w:val="24"/>
          <w:szCs w:val="24"/>
          <w:highlight w:val="none"/>
          <w:u w:val="single"/>
        </w:rPr>
        <w:t>广州开发区财政投资建设项目管理中心</w:t>
      </w:r>
      <w:r>
        <w:rPr>
          <w:rFonts w:hint="eastAsia" w:ascii="宋体" w:hAnsi="宋体" w:eastAsia="宋体" w:cs="宋体"/>
          <w:color w:val="auto"/>
          <w:sz w:val="24"/>
          <w:highlight w:val="none"/>
        </w:rPr>
        <w:t>：</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我方承诺，如中标承建</w:t>
      </w:r>
      <w:r>
        <w:rPr>
          <w:rFonts w:hint="eastAsia" w:ascii="宋体" w:hAnsi="宋体" w:eastAsia="宋体" w:cs="宋体"/>
          <w:color w:val="auto"/>
          <w:sz w:val="24"/>
          <w:highlight w:val="none"/>
          <w:u w:val="single"/>
        </w:rPr>
        <w:t xml:space="preserve">         (项目名称)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，将按招标文件所附的本工程</w:t>
      </w:r>
      <w:r>
        <w:rPr>
          <w:rFonts w:hint="eastAsia" w:ascii="宋体" w:hAnsi="宋体" w:eastAsia="宋体" w:cs="宋体"/>
          <w:color w:val="auto"/>
          <w:sz w:val="24"/>
          <w:highlight w:val="none"/>
          <w:u w:val="single"/>
        </w:rPr>
        <w:t>施工组织设计要点</w:t>
      </w:r>
      <w:r>
        <w:rPr>
          <w:rFonts w:hint="eastAsia" w:ascii="宋体" w:hAnsi="宋体" w:eastAsia="宋体" w:cs="宋体"/>
          <w:color w:val="auto"/>
          <w:sz w:val="24"/>
          <w:highlight w:val="none"/>
        </w:rPr>
        <w:t>进行响应的基础上自行组织施工。并承诺在中标后按招标文件所附的</w:t>
      </w:r>
      <w:r>
        <w:rPr>
          <w:rFonts w:hint="eastAsia" w:ascii="宋体" w:hAnsi="宋体" w:eastAsia="宋体" w:cs="宋体"/>
          <w:color w:val="auto"/>
          <w:sz w:val="24"/>
          <w:highlight w:val="none"/>
          <w:u w:val="single"/>
        </w:rPr>
        <w:t>施工组织设计要点</w:t>
      </w:r>
      <w:r>
        <w:rPr>
          <w:rFonts w:hint="eastAsia" w:ascii="宋体" w:hAnsi="宋体" w:eastAsia="宋体" w:cs="宋体"/>
          <w:color w:val="auto"/>
          <w:sz w:val="24"/>
          <w:highlight w:val="none"/>
        </w:rPr>
        <w:t>基础上编制详细的施工组织设计，并报经监理单位和建设单位审批后实施。</w:t>
      </w:r>
    </w:p>
    <w:p>
      <w:pPr>
        <w:spacing w:line="360" w:lineRule="auto"/>
        <w:ind w:firstLine="435"/>
        <w:rPr>
          <w:rFonts w:hint="eastAsia" w:ascii="宋体" w:hAnsi="宋体"/>
          <w:color w:val="auto"/>
          <w:sz w:val="24"/>
          <w:szCs w:val="20"/>
          <w:highlight w:val="none"/>
        </w:rPr>
      </w:pPr>
    </w:p>
    <w:p>
      <w:pPr>
        <w:spacing w:line="360" w:lineRule="auto"/>
        <w:ind w:firstLine="435"/>
        <w:rPr>
          <w:rFonts w:hint="eastAsia" w:ascii="宋体" w:hAnsi="宋体"/>
          <w:color w:val="auto"/>
          <w:sz w:val="24"/>
          <w:szCs w:val="20"/>
          <w:highlight w:val="none"/>
        </w:rPr>
      </w:pPr>
    </w:p>
    <w:p>
      <w:pPr>
        <w:spacing w:line="360" w:lineRule="auto"/>
        <w:ind w:firstLine="435"/>
        <w:rPr>
          <w:rFonts w:hint="eastAsia" w:ascii="宋体" w:hAnsi="宋体"/>
          <w:color w:val="auto"/>
          <w:sz w:val="24"/>
          <w:szCs w:val="20"/>
          <w:highlight w:val="none"/>
        </w:rPr>
      </w:pPr>
    </w:p>
    <w:p>
      <w:pPr>
        <w:spacing w:line="360" w:lineRule="auto"/>
        <w:ind w:firstLine="3000" w:firstLineChars="1250"/>
        <w:rPr>
          <w:rFonts w:hint="eastAsia" w:ascii="宋体" w:hAnsi="宋体"/>
          <w:color w:val="auto"/>
          <w:sz w:val="24"/>
          <w:szCs w:val="20"/>
          <w:highlight w:val="none"/>
          <w:u w:val="single"/>
        </w:rPr>
      </w:pPr>
      <w:r>
        <w:rPr>
          <w:rFonts w:hint="eastAsia" w:ascii="宋体" w:hAnsi="宋体"/>
          <w:color w:val="auto"/>
          <w:sz w:val="24"/>
          <w:szCs w:val="20"/>
          <w:highlight w:val="none"/>
        </w:rPr>
        <w:t>投标人名称（盖法人公章）：</w:t>
      </w:r>
      <w:r>
        <w:rPr>
          <w:rFonts w:hint="eastAsia" w:ascii="宋体" w:hAnsi="宋体"/>
          <w:color w:val="auto"/>
          <w:sz w:val="24"/>
          <w:szCs w:val="20"/>
          <w:highlight w:val="none"/>
          <w:u w:val="single"/>
        </w:rPr>
        <w:t xml:space="preserve">                   </w:t>
      </w:r>
    </w:p>
    <w:p>
      <w:pPr>
        <w:spacing w:line="360" w:lineRule="auto"/>
        <w:ind w:firstLine="3000" w:firstLineChars="1250"/>
        <w:rPr>
          <w:rFonts w:hint="eastAsia" w:ascii="宋体" w:hAnsi="宋体"/>
          <w:color w:val="auto"/>
          <w:sz w:val="24"/>
          <w:szCs w:val="20"/>
          <w:highlight w:val="none"/>
          <w:u w:val="none"/>
        </w:rPr>
      </w:pPr>
      <w:r>
        <w:rPr>
          <w:rFonts w:hint="eastAsia" w:ascii="宋体" w:hAnsi="宋体"/>
          <w:color w:val="auto"/>
          <w:sz w:val="24"/>
          <w:szCs w:val="20"/>
          <w:highlight w:val="none"/>
        </w:rPr>
        <w:t>法定代表人或被授权人（签字或盖章）：</w:t>
      </w:r>
      <w:r>
        <w:rPr>
          <w:rFonts w:hint="eastAsia" w:ascii="宋体" w:hAnsi="宋体"/>
          <w:color w:val="auto"/>
          <w:sz w:val="24"/>
          <w:szCs w:val="20"/>
          <w:highlight w:val="none"/>
          <w:u w:val="single"/>
        </w:rPr>
        <w:t xml:space="preserve">         </w:t>
      </w:r>
    </w:p>
    <w:p>
      <w:pPr>
        <w:spacing w:line="360" w:lineRule="auto"/>
        <w:ind w:firstLine="3000" w:firstLineChars="1250"/>
        <w:rPr>
          <w:rFonts w:hint="eastAsia" w:ascii="宋体" w:hAnsi="宋体" w:eastAsia="宋体" w:cs="宋体"/>
          <w:color w:val="auto"/>
          <w:sz w:val="24"/>
          <w:highlight w:val="none"/>
        </w:rPr>
      </w:pPr>
      <w:r>
        <w:rPr>
          <w:rFonts w:hint="eastAsia" w:ascii="宋体" w:hAnsi="宋体"/>
          <w:color w:val="auto"/>
          <w:sz w:val="24"/>
          <w:szCs w:val="20"/>
          <w:highlight w:val="none"/>
        </w:rPr>
        <w:t>日期</w:t>
      </w:r>
      <w:r>
        <w:rPr>
          <w:rFonts w:hint="eastAsia" w:ascii="Times New Roman" w:hAnsi="宋体"/>
          <w:color w:val="auto"/>
          <w:sz w:val="24"/>
          <w:highlight w:val="none"/>
        </w:rPr>
        <w:t>：</w:t>
      </w:r>
      <w:r>
        <w:rPr>
          <w:rFonts w:hint="eastAsia" w:ascii="Times New Roman" w:hAnsi="宋体"/>
          <w:color w:val="auto"/>
          <w:sz w:val="24"/>
          <w:highlight w:val="none"/>
          <w:u w:val="single"/>
        </w:rPr>
        <w:t xml:space="preserve">      </w:t>
      </w:r>
      <w:r>
        <w:rPr>
          <w:rFonts w:hint="eastAsia" w:ascii="Times New Roman" w:hAnsi="宋体"/>
          <w:color w:val="auto"/>
          <w:sz w:val="24"/>
          <w:highlight w:val="none"/>
        </w:rPr>
        <w:t>年</w:t>
      </w:r>
      <w:r>
        <w:rPr>
          <w:rFonts w:hint="eastAsia" w:ascii="Times New Roman" w:hAnsi="宋体"/>
          <w:color w:val="auto"/>
          <w:sz w:val="24"/>
          <w:highlight w:val="none"/>
          <w:u w:val="single"/>
        </w:rPr>
        <w:t xml:space="preserve">    </w:t>
      </w:r>
      <w:r>
        <w:rPr>
          <w:rFonts w:hint="eastAsia" w:ascii="Times New Roman" w:hAnsi="宋体"/>
          <w:color w:val="auto"/>
          <w:sz w:val="24"/>
          <w:highlight w:val="none"/>
        </w:rPr>
        <w:t>月</w:t>
      </w:r>
      <w:r>
        <w:rPr>
          <w:rFonts w:hint="eastAsia" w:ascii="Times New Roman" w:hAnsi="宋体"/>
          <w:color w:val="auto"/>
          <w:sz w:val="24"/>
          <w:highlight w:val="none"/>
          <w:u w:val="single"/>
        </w:rPr>
        <w:t xml:space="preserve">    </w:t>
      </w:r>
      <w:r>
        <w:rPr>
          <w:rFonts w:hint="eastAsia" w:ascii="Times New Roman" w:hAnsi="宋体"/>
          <w:color w:val="auto"/>
          <w:sz w:val="24"/>
          <w:highlight w:val="none"/>
        </w:rPr>
        <w:t>日</w:t>
      </w:r>
      <w:r>
        <w:rPr>
          <w:rFonts w:ascii="宋体" w:hAnsi="宋体" w:cs="宋体"/>
          <w:b/>
          <w:color w:val="auto"/>
          <w:sz w:val="28"/>
          <w:szCs w:val="28"/>
          <w:highlight w:val="none"/>
        </w:rPr>
        <w:br w:type="page"/>
      </w:r>
    </w:p>
    <w:p>
      <w:pPr>
        <w:pStyle w:val="31"/>
        <w:ind w:firstLine="0" w:firstLineChars="0"/>
        <w:rPr>
          <w:rFonts w:hint="eastAsia" w:ascii="宋体" w:hAnsi="宋体" w:eastAsia="宋体" w:cs="宋体"/>
          <w:color w:val="auto"/>
          <w:highlight w:val="none"/>
        </w:rPr>
      </w:pPr>
      <w:r>
        <w:rPr>
          <w:rFonts w:hint="eastAsia"/>
          <w:color w:val="auto"/>
          <w:sz w:val="24"/>
          <w:szCs w:val="24"/>
          <w:highlight w:val="none"/>
        </w:rPr>
        <w:t>技术标</w:t>
      </w:r>
      <w:r>
        <w:rPr>
          <w:rFonts w:hint="eastAsia" w:ascii="宋体" w:hAnsi="宋体" w:eastAsia="宋体" w:cs="宋体"/>
          <w:bCs/>
          <w:color w:val="auto"/>
          <w:spacing w:val="4"/>
          <w:kern w:val="0"/>
          <w:sz w:val="24"/>
          <w:szCs w:val="24"/>
          <w:highlight w:val="none"/>
        </w:rPr>
        <w:t>格式</w:t>
      </w:r>
      <w:r>
        <w:rPr>
          <w:rFonts w:hint="eastAsia" w:cs="宋体"/>
          <w:color w:val="auto"/>
          <w:highlight w:val="none"/>
          <w:lang w:val="en-US" w:eastAsia="zh-CN"/>
        </w:rPr>
        <w:t>九</w:t>
      </w:r>
      <w:r>
        <w:rPr>
          <w:rFonts w:hint="eastAsia" w:ascii="宋体" w:hAnsi="宋体" w:eastAsia="宋体" w:cs="宋体"/>
          <w:color w:val="auto"/>
          <w:highlight w:val="none"/>
        </w:rPr>
        <w:t>：</w:t>
      </w:r>
    </w:p>
    <w:p>
      <w:pPr>
        <w:pStyle w:val="32"/>
        <w:ind w:firstLine="6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参与编制技术标投标文件人员名单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r>
    </w:tbl>
    <w:p>
      <w:pPr>
        <w:autoSpaceDE w:val="0"/>
        <w:autoSpaceDN w:val="0"/>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注：参与编制技术标书所有人员名单应包括如编制技术投标方案、负责清样校对、负责打印及复印等所有人员在内的人员名单。</w:t>
      </w: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pStyle w:val="16"/>
        <w:rPr>
          <w:rFonts w:hint="eastAsia"/>
          <w:color w:val="auto"/>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pStyle w:val="31"/>
        <w:ind w:firstLine="0" w:firstLineChars="0"/>
        <w:rPr>
          <w:rFonts w:hint="eastAsia" w:ascii="宋体" w:hAnsi="宋体" w:eastAsia="宋体" w:cs="宋体"/>
          <w:bCs/>
          <w:color w:val="auto"/>
          <w:highlight w:val="none"/>
        </w:rPr>
      </w:pPr>
    </w:p>
    <w:p>
      <w:pPr>
        <w:pStyle w:val="31"/>
        <w:ind w:firstLine="0" w:firstLineChars="0"/>
        <w:rPr>
          <w:rFonts w:hint="eastAsia" w:ascii="宋体" w:hAnsi="宋体" w:eastAsia="宋体" w:cs="宋体"/>
          <w:color w:val="auto"/>
          <w:highlight w:val="none"/>
        </w:rPr>
      </w:pPr>
      <w:r>
        <w:rPr>
          <w:rFonts w:hint="eastAsia"/>
          <w:color w:val="auto"/>
          <w:sz w:val="24"/>
          <w:szCs w:val="24"/>
          <w:highlight w:val="none"/>
        </w:rPr>
        <w:t>技术标</w:t>
      </w:r>
      <w:r>
        <w:rPr>
          <w:rFonts w:hint="eastAsia" w:ascii="宋体" w:hAnsi="宋体" w:eastAsia="宋体" w:cs="宋体"/>
          <w:bCs/>
          <w:color w:val="auto"/>
          <w:spacing w:val="4"/>
          <w:kern w:val="0"/>
          <w:sz w:val="24"/>
          <w:szCs w:val="24"/>
          <w:highlight w:val="none"/>
        </w:rPr>
        <w:t>格式</w:t>
      </w:r>
      <w:r>
        <w:rPr>
          <w:rFonts w:hint="eastAsia" w:ascii="宋体" w:hAnsi="宋体" w:eastAsia="宋体" w:cs="宋体"/>
          <w:color w:val="auto"/>
          <w:highlight w:val="none"/>
        </w:rPr>
        <w:t>十：</w:t>
      </w:r>
    </w:p>
    <w:p>
      <w:pPr>
        <w:autoSpaceDE w:val="0"/>
        <w:autoSpaceDN w:val="0"/>
        <w:adjustRightIn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拟投入本工程施工的主要机械设备配备表</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
        <w:gridCol w:w="2856"/>
        <w:gridCol w:w="2024"/>
        <w:gridCol w:w="1559"/>
        <w:gridCol w:w="1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w:t>
            </w:r>
          </w:p>
          <w:p>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号</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投入总数量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来源</w:t>
            </w:r>
          </w:p>
          <w:p>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(自有/</w:t>
            </w:r>
          </w:p>
          <w:p>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租赁)</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r>
    </w:tbl>
    <w:p>
      <w:pPr>
        <w:tabs>
          <w:tab w:val="left" w:pos="720"/>
        </w:tabs>
        <w:snapToGrid w:val="0"/>
        <w:spacing w:line="360" w:lineRule="auto"/>
        <w:rPr>
          <w:rFonts w:hint="eastAsia" w:ascii="宋体" w:hAnsi="宋体" w:eastAsia="宋体" w:cs="宋体"/>
          <w:color w:val="auto"/>
          <w:highlight w:val="none"/>
        </w:rPr>
      </w:pPr>
    </w:p>
    <w:p>
      <w:pPr>
        <w:numPr>
          <w:ilvl w:val="-1"/>
          <w:numId w:val="0"/>
        </w:numPr>
        <w:tabs>
          <w:tab w:val="left" w:pos="720"/>
        </w:tabs>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w:t>
      </w:r>
    </w:p>
    <w:p>
      <w:pPr>
        <w:numPr>
          <w:ilvl w:val="-1"/>
          <w:numId w:val="0"/>
        </w:numPr>
        <w:tabs>
          <w:tab w:val="left" w:pos="720"/>
        </w:tabs>
        <w:snapToGrid w:val="0"/>
        <w:spacing w:line="360" w:lineRule="auto"/>
        <w:ind w:firstLine="0" w:firstLineChars="0"/>
        <w:rPr>
          <w:rFonts w:hint="eastAsia" w:ascii="宋体" w:hAnsi="宋体" w:eastAsia="宋体" w:cs="宋体"/>
          <w:color w:val="auto"/>
          <w:highlight w:val="none"/>
        </w:rPr>
      </w:pPr>
      <w:r>
        <w:rPr>
          <w:rFonts w:hint="eastAsia" w:ascii="宋体" w:hAnsi="宋体"/>
          <w:color w:val="auto"/>
          <w:highlight w:val="none"/>
        </w:rPr>
        <w:t>1、设备名称及要求数量由投标人视本工程具体情况结合招标人对本工程的具体要求自行配备。2、为贯彻绿色发展理念，本项目应积极使用燃料电池汽车等新能源工程车，要求投标人投入的新能源工程车占投入的建筑垃圾自卸车（渣土车）总数比例不低于40%。一旦中标，必须全部到位，否则按合同违约处理</w:t>
      </w:r>
      <w:r>
        <w:rPr>
          <w:rFonts w:hint="eastAsia" w:ascii="宋体" w:hAnsi="宋体" w:eastAsia="宋体" w:cs="宋体"/>
          <w:color w:val="auto"/>
          <w:sz w:val="24"/>
          <w:szCs w:val="24"/>
          <w:highlight w:val="none"/>
        </w:rPr>
        <w:t>。</w:t>
      </w:r>
    </w:p>
    <w:p>
      <w:pPr>
        <w:ind w:right="-130" w:rightChars="-62"/>
        <w:rPr>
          <w:rFonts w:hint="eastAsia" w:ascii="宋体" w:hAnsi="宋体" w:eastAsia="宋体" w:cs="宋体"/>
          <w:color w:val="auto"/>
          <w:highlight w:val="none"/>
        </w:rPr>
      </w:pPr>
    </w:p>
    <w:p>
      <w:pPr>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p>
    <w:p>
      <w:pPr>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r>
        <w:rPr>
          <w:rFonts w:hint="eastAsia" w:ascii="宋体" w:hAnsi="宋体" w:eastAsia="宋体" w:cs="宋体"/>
          <w:snapToGrid w:val="0"/>
          <w:color w:val="auto"/>
          <w:spacing w:val="4"/>
          <w:kern w:val="0"/>
          <w:szCs w:val="21"/>
          <w:highlight w:val="none"/>
        </w:rPr>
        <w:t>投标人：　　（盖章）</w:t>
      </w:r>
    </w:p>
    <w:p>
      <w:pPr>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r>
        <w:rPr>
          <w:rFonts w:hint="eastAsia" w:ascii="宋体" w:hAnsi="宋体" w:eastAsia="宋体" w:cs="宋体"/>
          <w:snapToGrid w:val="0"/>
          <w:color w:val="auto"/>
          <w:spacing w:val="4"/>
          <w:kern w:val="0"/>
          <w:szCs w:val="21"/>
          <w:highlight w:val="none"/>
        </w:rPr>
        <w:t>法定代表人或授权代理人（签字或盖章）：</w:t>
      </w:r>
    </w:p>
    <w:p>
      <w:pPr>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r>
        <w:rPr>
          <w:rFonts w:hint="eastAsia" w:ascii="宋体" w:hAnsi="宋体" w:eastAsia="宋体" w:cs="宋体"/>
          <w:snapToGrid w:val="0"/>
          <w:color w:val="auto"/>
          <w:spacing w:val="4"/>
          <w:kern w:val="0"/>
          <w:szCs w:val="21"/>
          <w:highlight w:val="none"/>
        </w:rPr>
        <w:t>日期：  年  月  日</w:t>
      </w: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pStyle w:val="16"/>
        <w:rPr>
          <w:rFonts w:hint="eastAsia"/>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keepNext/>
        <w:keepLines/>
        <w:numPr>
          <w:ilvl w:val="1"/>
          <w:numId w:val="0"/>
        </w:numPr>
        <w:spacing w:before="120" w:after="120" w:line="360" w:lineRule="auto"/>
        <w:outlineLvl w:val="1"/>
        <w:rPr>
          <w:rFonts w:hint="eastAsia" w:ascii="宋体" w:hAnsi="宋体" w:eastAsia="宋体" w:cs="宋体"/>
          <w:b w:val="0"/>
          <w:bCs/>
          <w:color w:val="auto"/>
          <w:kern w:val="0"/>
          <w:sz w:val="24"/>
          <w:szCs w:val="24"/>
          <w:highlight w:val="none"/>
        </w:rPr>
      </w:pPr>
      <w:bookmarkStart w:id="41" w:name="_Toc22483"/>
      <w:r>
        <w:rPr>
          <w:rFonts w:hint="eastAsia" w:ascii="宋体" w:hAnsi="宋体" w:eastAsia="宋体" w:cs="宋体"/>
          <w:b w:val="0"/>
          <w:bCs/>
          <w:color w:val="auto"/>
          <w:kern w:val="0"/>
          <w:sz w:val="24"/>
          <w:szCs w:val="24"/>
          <w:highlight w:val="none"/>
        </w:rPr>
        <w:t>技术标格式十</w:t>
      </w:r>
      <w:r>
        <w:rPr>
          <w:rFonts w:hint="eastAsia" w:ascii="宋体" w:hAnsi="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rPr>
        <w:t>：</w:t>
      </w:r>
    </w:p>
    <w:p>
      <w:pPr>
        <w:keepNext/>
        <w:keepLines/>
        <w:numPr>
          <w:ilvl w:val="1"/>
          <w:numId w:val="0"/>
        </w:numPr>
        <w:spacing w:before="120" w:after="120" w:line="360" w:lineRule="auto"/>
        <w:jc w:val="center"/>
        <w:outlineLvl w:val="1"/>
        <w:rPr>
          <w:rFonts w:hint="eastAsia" w:ascii="宋体" w:hAnsi="宋体" w:eastAsia="宋体" w:cs="宋体"/>
          <w:color w:val="auto"/>
          <w:highlight w:val="none"/>
        </w:rPr>
      </w:pPr>
      <w:r>
        <w:rPr>
          <w:rFonts w:hint="eastAsia" w:ascii="宋体" w:hAnsi="宋体" w:eastAsia="宋体" w:cs="宋体"/>
          <w:b/>
          <w:color w:val="auto"/>
          <w:kern w:val="0"/>
          <w:sz w:val="24"/>
          <w:szCs w:val="24"/>
          <w:highlight w:val="none"/>
        </w:rPr>
        <w:t>危险性较大的分部分项工程安全管理措施</w:t>
      </w:r>
      <w:bookmarkEnd w:id="41"/>
    </w:p>
    <w:p>
      <w:pPr>
        <w:widowControl/>
        <w:numPr>
          <w:ilvl w:val="0"/>
          <w:numId w:val="7"/>
        </w:numPr>
        <w:autoSpaceDE w:val="0"/>
        <w:autoSpaceDN w:val="0"/>
        <w:adjustRightInd w:val="0"/>
        <w:spacing w:line="360" w:lineRule="auto"/>
        <w:jc w:val="left"/>
        <w:rPr>
          <w:rFonts w:ascii="宋体" w:hAnsi="宋体"/>
          <w:snapToGrid w:val="0"/>
          <w:color w:val="auto"/>
          <w:spacing w:val="4"/>
          <w:kern w:val="0"/>
          <w:sz w:val="24"/>
          <w:szCs w:val="24"/>
          <w:highlight w:val="none"/>
        </w:rPr>
      </w:pPr>
      <w:r>
        <w:rPr>
          <w:rFonts w:hint="eastAsia" w:ascii="宋体" w:hAnsi="宋体"/>
          <w:color w:val="auto"/>
          <w:kern w:val="0"/>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widowControl/>
        <w:numPr>
          <w:ilvl w:val="0"/>
          <w:numId w:val="7"/>
        </w:numPr>
        <w:autoSpaceDE w:val="0"/>
        <w:autoSpaceDN w:val="0"/>
        <w:adjustRightInd w:val="0"/>
        <w:spacing w:line="360" w:lineRule="auto"/>
        <w:jc w:val="left"/>
        <w:rPr>
          <w:rFonts w:ascii="宋体" w:hAnsi="宋体"/>
          <w:color w:val="auto"/>
          <w:kern w:val="0"/>
          <w:sz w:val="24"/>
          <w:szCs w:val="28"/>
          <w:highlight w:val="none"/>
        </w:rPr>
      </w:pPr>
      <w:r>
        <w:rPr>
          <w:rFonts w:hint="eastAsia" w:ascii="宋体" w:hAnsi="宋体"/>
          <w:color w:val="auto"/>
          <w:kern w:val="0"/>
          <w:sz w:val="24"/>
          <w:szCs w:val="28"/>
          <w:highlight w:val="none"/>
        </w:rPr>
        <w:t>招标人根据设计文件的要求及37号文的规定列出“危险性较大的分部分项工程清单及超过一定规模的危险性较大的分部分项工程清单”中与本招标项目相关的清单项，具体详第5点“打</w:t>
      </w:r>
      <w:r>
        <w:rPr>
          <w:rFonts w:hint="eastAsia" w:ascii="宋体" w:hAnsi="宋体"/>
          <w:color w:val="auto"/>
          <w:kern w:val="0"/>
          <w:sz w:val="24"/>
          <w:szCs w:val="36"/>
          <w:highlight w:val="none"/>
        </w:rPr>
        <w:t>√”标识。</w:t>
      </w:r>
    </w:p>
    <w:p>
      <w:pPr>
        <w:widowControl/>
        <w:numPr>
          <w:ilvl w:val="0"/>
          <w:numId w:val="8"/>
        </w:numPr>
        <w:autoSpaceDE w:val="0"/>
        <w:autoSpaceDN w:val="0"/>
        <w:adjustRightInd w:val="0"/>
        <w:spacing w:line="360" w:lineRule="auto"/>
        <w:jc w:val="left"/>
        <w:rPr>
          <w:rFonts w:ascii="宋体" w:hAnsi="宋体"/>
          <w:color w:val="auto"/>
          <w:kern w:val="0"/>
          <w:sz w:val="24"/>
          <w:szCs w:val="36"/>
          <w:highlight w:val="none"/>
        </w:rPr>
      </w:pPr>
      <w:r>
        <w:rPr>
          <w:rFonts w:hint="eastAsia" w:ascii="宋体" w:hAnsi="宋体"/>
          <w:color w:val="auto"/>
          <w:kern w:val="0"/>
          <w:sz w:val="24"/>
          <w:szCs w:val="28"/>
          <w:highlight w:val="none"/>
        </w:rPr>
        <w:t>投标单位同意建设单位在清单中标识的该项请在对应项打“</w:t>
      </w:r>
      <w:r>
        <w:rPr>
          <w:rFonts w:hint="eastAsia" w:ascii="宋体" w:hAnsi="宋体"/>
          <w:color w:val="auto"/>
          <w:kern w:val="0"/>
          <w:sz w:val="24"/>
          <w:szCs w:val="36"/>
          <w:highlight w:val="none"/>
        </w:rPr>
        <w:t>√”标识，并在投标文件中提供相应的安全管理措施。</w:t>
      </w:r>
    </w:p>
    <w:p>
      <w:pPr>
        <w:widowControl/>
        <w:numPr>
          <w:ilvl w:val="0"/>
          <w:numId w:val="8"/>
        </w:numPr>
        <w:autoSpaceDE w:val="0"/>
        <w:autoSpaceDN w:val="0"/>
        <w:adjustRightInd w:val="0"/>
        <w:spacing w:line="360" w:lineRule="auto"/>
        <w:jc w:val="left"/>
        <w:rPr>
          <w:rFonts w:ascii="宋体" w:hAnsi="宋体"/>
          <w:color w:val="auto"/>
          <w:kern w:val="0"/>
          <w:sz w:val="24"/>
          <w:szCs w:val="36"/>
          <w:highlight w:val="none"/>
        </w:rPr>
      </w:pPr>
      <w:r>
        <w:rPr>
          <w:rFonts w:hint="eastAsia" w:ascii="宋体" w:hAnsi="宋体"/>
          <w:color w:val="auto"/>
          <w:kern w:val="0"/>
          <w:sz w:val="24"/>
          <w:szCs w:val="28"/>
          <w:highlight w:val="none"/>
        </w:rPr>
        <w:t>投标单位对清单中认为需要补充的该项请在对应项打“</w:t>
      </w:r>
      <w:r>
        <w:rPr>
          <w:rFonts w:hint="eastAsia" w:ascii="宋体" w:hAnsi="宋体"/>
          <w:color w:val="auto"/>
          <w:kern w:val="0"/>
          <w:sz w:val="24"/>
          <w:szCs w:val="36"/>
          <w:highlight w:val="none"/>
        </w:rPr>
        <w:t>√”标识，并在投标文件中提供相应的安全管理措施。</w:t>
      </w:r>
    </w:p>
    <w:p>
      <w:pPr>
        <w:widowControl/>
        <w:numPr>
          <w:ilvl w:val="0"/>
          <w:numId w:val="8"/>
        </w:numPr>
        <w:autoSpaceDE w:val="0"/>
        <w:autoSpaceDN w:val="0"/>
        <w:adjustRightInd w:val="0"/>
        <w:spacing w:line="360" w:lineRule="auto"/>
        <w:jc w:val="left"/>
        <w:rPr>
          <w:rFonts w:ascii="宋体" w:hAnsi="宋体"/>
          <w:color w:val="auto"/>
          <w:kern w:val="0"/>
          <w:sz w:val="24"/>
          <w:szCs w:val="28"/>
          <w:highlight w:val="none"/>
        </w:rPr>
      </w:pPr>
      <w:r>
        <w:rPr>
          <w:rFonts w:hint="eastAsia" w:ascii="宋体" w:hAnsi="宋体"/>
          <w:color w:val="auto"/>
          <w:kern w:val="0"/>
          <w:sz w:val="24"/>
          <w:szCs w:val="36"/>
          <w:highlight w:val="none"/>
        </w:rPr>
        <w:t>投标单位不同意建设单位</w:t>
      </w:r>
      <w:r>
        <w:rPr>
          <w:rFonts w:hint="eastAsia" w:ascii="宋体" w:hAnsi="宋体"/>
          <w:color w:val="auto"/>
          <w:kern w:val="0"/>
          <w:sz w:val="24"/>
          <w:szCs w:val="28"/>
          <w:highlight w:val="none"/>
        </w:rPr>
        <w:t>在清单中标识的该项</w:t>
      </w:r>
      <w:r>
        <w:rPr>
          <w:rFonts w:hint="eastAsia" w:ascii="宋体" w:hAnsi="宋体"/>
          <w:color w:val="auto"/>
          <w:kern w:val="0"/>
          <w:sz w:val="24"/>
          <w:szCs w:val="36"/>
          <w:highlight w:val="none"/>
        </w:rPr>
        <w:t>请在对应项打“×”标识，并在备注栏填上相关说明。</w:t>
      </w:r>
    </w:p>
    <w:p>
      <w:pPr>
        <w:widowControl/>
        <w:numPr>
          <w:ilvl w:val="0"/>
          <w:numId w:val="7"/>
        </w:numPr>
        <w:autoSpaceDE w:val="0"/>
        <w:autoSpaceDN w:val="0"/>
        <w:adjustRightInd w:val="0"/>
        <w:spacing w:line="360" w:lineRule="auto"/>
        <w:jc w:val="left"/>
        <w:rPr>
          <w:rFonts w:ascii="宋体" w:hAnsi="宋体"/>
          <w:color w:val="auto"/>
          <w:kern w:val="0"/>
          <w:sz w:val="24"/>
          <w:szCs w:val="28"/>
          <w:highlight w:val="none"/>
        </w:rPr>
      </w:pPr>
      <w:r>
        <w:rPr>
          <w:rFonts w:hint="eastAsia" w:ascii="宋体" w:hAnsi="宋体"/>
          <w:color w:val="auto"/>
          <w:kern w:val="0"/>
          <w:sz w:val="24"/>
          <w:szCs w:val="28"/>
          <w:highlight w:val="none"/>
        </w:rPr>
        <w:t>投标单位应当在投标时根据招标人提供的下述第5点清单，在投标文件中编制专项施工方案。</w:t>
      </w:r>
    </w:p>
    <w:p>
      <w:pPr>
        <w:widowControl/>
        <w:numPr>
          <w:ilvl w:val="0"/>
          <w:numId w:val="7"/>
        </w:numPr>
        <w:autoSpaceDE w:val="0"/>
        <w:autoSpaceDN w:val="0"/>
        <w:adjustRightInd w:val="0"/>
        <w:spacing w:line="360" w:lineRule="auto"/>
        <w:jc w:val="left"/>
        <w:rPr>
          <w:rFonts w:ascii="宋体" w:hAnsi="宋体"/>
          <w:color w:val="auto"/>
          <w:kern w:val="0"/>
          <w:sz w:val="24"/>
          <w:szCs w:val="28"/>
          <w:highlight w:val="none"/>
        </w:rPr>
      </w:pPr>
      <w:r>
        <w:rPr>
          <w:rFonts w:hint="eastAsia" w:ascii="宋体" w:hAnsi="宋体"/>
          <w:color w:val="auto"/>
          <w:kern w:val="0"/>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numPr>
          <w:ilvl w:val="0"/>
          <w:numId w:val="9"/>
        </w:numPr>
        <w:autoSpaceDE w:val="0"/>
        <w:autoSpaceDN w:val="0"/>
        <w:adjustRightInd w:val="0"/>
        <w:spacing w:line="360" w:lineRule="auto"/>
        <w:jc w:val="left"/>
        <w:rPr>
          <w:rFonts w:hint="eastAsia" w:ascii="宋体" w:hAnsi="宋体" w:eastAsia="宋体" w:cs="宋体"/>
          <w:color w:val="auto"/>
          <w:sz w:val="24"/>
          <w:szCs w:val="28"/>
          <w:highlight w:val="none"/>
        </w:rPr>
      </w:pPr>
      <w:r>
        <w:rPr>
          <w:rFonts w:hint="eastAsia" w:ascii="宋体" w:hAnsi="宋体"/>
          <w:color w:val="auto"/>
          <w:kern w:val="0"/>
          <w:sz w:val="24"/>
          <w:szCs w:val="28"/>
          <w:highlight w:val="none"/>
        </w:rPr>
        <w:t>危险性较大的分部分项工程清单及超过一定规模的危险性较大的分部分项工程清单（参考版）（招标时要请前期部门和项目部核填）</w:t>
      </w:r>
      <w:r>
        <w:rPr>
          <w:rFonts w:hint="eastAsia" w:ascii="宋体" w:hAnsi="宋体" w:eastAsia="宋体" w:cs="宋体"/>
          <w:color w:val="auto"/>
          <w:sz w:val="24"/>
          <w:szCs w:val="28"/>
          <w:highlight w:val="none"/>
        </w:rPr>
        <w:t>：</w:t>
      </w:r>
    </w:p>
    <w:p>
      <w:pPr>
        <w:autoSpaceDE w:val="0"/>
        <w:autoSpaceDN w:val="0"/>
        <w:adjustRightInd w:val="0"/>
        <w:spacing w:line="360" w:lineRule="auto"/>
        <w:jc w:val="left"/>
        <w:rPr>
          <w:rFonts w:hint="eastAsia" w:ascii="宋体" w:hAnsi="宋体" w:eastAsia="宋体" w:cs="宋体"/>
          <w:color w:val="auto"/>
          <w:sz w:val="24"/>
          <w:szCs w:val="28"/>
          <w:highlight w:val="none"/>
        </w:rPr>
      </w:pPr>
    </w:p>
    <w:p>
      <w:pPr>
        <w:pStyle w:val="5"/>
        <w:rPr>
          <w:rFonts w:hint="eastAsia" w:ascii="宋体" w:hAnsi="宋体" w:eastAsia="宋体" w:cs="宋体"/>
          <w:color w:val="auto"/>
          <w:sz w:val="24"/>
          <w:szCs w:val="28"/>
          <w:highlight w:val="none"/>
        </w:rPr>
      </w:pPr>
    </w:p>
    <w:p>
      <w:pPr>
        <w:pStyle w:val="5"/>
        <w:rPr>
          <w:rFonts w:hint="eastAsia" w:ascii="宋体" w:hAnsi="宋体" w:eastAsia="宋体" w:cs="宋体"/>
          <w:color w:val="auto"/>
          <w:sz w:val="24"/>
          <w:szCs w:val="28"/>
          <w:highlight w:val="none"/>
        </w:rPr>
      </w:pPr>
    </w:p>
    <w:p>
      <w:pPr>
        <w:pStyle w:val="5"/>
        <w:rPr>
          <w:rFonts w:hint="eastAsia" w:ascii="宋体" w:hAnsi="宋体" w:eastAsia="宋体" w:cs="宋体"/>
          <w:color w:val="auto"/>
          <w:sz w:val="24"/>
          <w:szCs w:val="28"/>
          <w:highlight w:val="none"/>
        </w:rPr>
      </w:pPr>
    </w:p>
    <w:p>
      <w:pPr>
        <w:pStyle w:val="5"/>
        <w:rPr>
          <w:rFonts w:hint="eastAsia" w:ascii="宋体" w:hAnsi="宋体" w:eastAsia="宋体" w:cs="宋体"/>
          <w:color w:val="auto"/>
          <w:sz w:val="24"/>
          <w:szCs w:val="28"/>
          <w:highlight w:val="none"/>
        </w:rPr>
      </w:pPr>
    </w:p>
    <w:p>
      <w:pPr>
        <w:pStyle w:val="5"/>
        <w:rPr>
          <w:rFonts w:hint="eastAsia" w:ascii="宋体" w:hAnsi="宋体" w:eastAsia="宋体" w:cs="宋体"/>
          <w:color w:val="auto"/>
          <w:sz w:val="24"/>
          <w:szCs w:val="28"/>
          <w:highlight w:val="none"/>
        </w:rPr>
      </w:pPr>
    </w:p>
    <w:p>
      <w:pPr>
        <w:pStyle w:val="5"/>
        <w:rPr>
          <w:rFonts w:hint="eastAsia" w:ascii="宋体" w:hAnsi="宋体" w:eastAsia="宋体" w:cs="宋体"/>
          <w:color w:val="auto"/>
          <w:sz w:val="24"/>
          <w:szCs w:val="28"/>
          <w:highlight w:val="none"/>
        </w:rPr>
      </w:pPr>
    </w:p>
    <w:p>
      <w:pPr>
        <w:pStyle w:val="5"/>
        <w:rPr>
          <w:rFonts w:hint="eastAsia" w:ascii="宋体" w:hAnsi="宋体" w:eastAsia="宋体" w:cs="宋体"/>
          <w:color w:val="auto"/>
          <w:sz w:val="24"/>
          <w:szCs w:val="28"/>
          <w:highlight w:val="none"/>
        </w:rPr>
      </w:pPr>
    </w:p>
    <w:p>
      <w:pPr>
        <w:pStyle w:val="5"/>
        <w:rPr>
          <w:rFonts w:hint="eastAsia" w:ascii="宋体" w:hAnsi="宋体" w:eastAsia="宋体" w:cs="宋体"/>
          <w:color w:val="auto"/>
          <w:sz w:val="24"/>
          <w:szCs w:val="28"/>
          <w:highlight w:val="none"/>
        </w:rPr>
      </w:pPr>
    </w:p>
    <w:p>
      <w:pPr>
        <w:pStyle w:val="5"/>
        <w:rPr>
          <w:rFonts w:hint="eastAsia" w:ascii="宋体" w:hAnsi="宋体" w:eastAsia="宋体" w:cs="宋体"/>
          <w:color w:val="auto"/>
          <w:sz w:val="24"/>
          <w:szCs w:val="28"/>
          <w:highlight w:val="none"/>
        </w:rPr>
      </w:pPr>
    </w:p>
    <w:p>
      <w:pPr>
        <w:pStyle w:val="5"/>
        <w:rPr>
          <w:rFonts w:hint="eastAsia" w:ascii="宋体" w:hAnsi="宋体" w:eastAsia="宋体" w:cs="宋体"/>
          <w:color w:val="auto"/>
          <w:sz w:val="24"/>
          <w:szCs w:val="28"/>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1353"/>
        <w:gridCol w:w="1353"/>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center"/>
          </w:tcPr>
          <w:p>
            <w:pPr>
              <w:widowControl/>
              <w:jc w:val="center"/>
              <w:rPr>
                <w:rFonts w:ascii="宋体" w:hAnsi="宋体"/>
                <w:b/>
                <w:color w:val="auto"/>
                <w:kern w:val="0"/>
                <w:sz w:val="24"/>
                <w:szCs w:val="20"/>
                <w:highlight w:val="none"/>
              </w:rPr>
            </w:pPr>
            <w:r>
              <w:rPr>
                <w:rFonts w:hint="eastAsia" w:ascii="宋体" w:hAnsi="宋体"/>
                <w:b/>
                <w:color w:val="auto"/>
                <w:kern w:val="0"/>
                <w:sz w:val="24"/>
                <w:szCs w:val="20"/>
                <w:highlight w:val="none"/>
              </w:rPr>
              <w:t>一、危险性较大的分部分项工程清单</w:t>
            </w:r>
          </w:p>
        </w:tc>
        <w:tc>
          <w:tcPr>
            <w:tcW w:w="1353" w:type="dxa"/>
            <w:noWrap w:val="0"/>
            <w:vAlign w:val="center"/>
          </w:tcPr>
          <w:p>
            <w:pPr>
              <w:widowControl/>
              <w:jc w:val="center"/>
              <w:rPr>
                <w:rFonts w:ascii="宋体" w:hAnsi="宋体"/>
                <w:color w:val="auto"/>
                <w:kern w:val="0"/>
                <w:sz w:val="24"/>
                <w:szCs w:val="36"/>
                <w:highlight w:val="none"/>
              </w:rPr>
            </w:pPr>
            <w:r>
              <w:rPr>
                <w:rFonts w:hint="eastAsia" w:ascii="宋体" w:hAnsi="宋体"/>
                <w:color w:val="auto"/>
                <w:kern w:val="0"/>
                <w:sz w:val="24"/>
                <w:szCs w:val="36"/>
                <w:highlight w:val="none"/>
              </w:rPr>
              <w:t>建设单位</w:t>
            </w:r>
          </w:p>
        </w:tc>
        <w:tc>
          <w:tcPr>
            <w:tcW w:w="1353" w:type="dxa"/>
            <w:noWrap w:val="0"/>
            <w:vAlign w:val="center"/>
          </w:tcPr>
          <w:p>
            <w:pPr>
              <w:widowControl/>
              <w:jc w:val="center"/>
              <w:rPr>
                <w:rFonts w:ascii="宋体" w:hAnsi="宋体"/>
                <w:color w:val="auto"/>
                <w:kern w:val="0"/>
                <w:sz w:val="24"/>
                <w:szCs w:val="36"/>
                <w:highlight w:val="none"/>
              </w:rPr>
            </w:pPr>
            <w:r>
              <w:rPr>
                <w:rFonts w:hint="eastAsia" w:ascii="宋体" w:hAnsi="宋体"/>
                <w:color w:val="auto"/>
                <w:kern w:val="0"/>
                <w:sz w:val="24"/>
                <w:szCs w:val="36"/>
                <w:highlight w:val="none"/>
              </w:rPr>
              <w:t>投标单位</w:t>
            </w:r>
          </w:p>
        </w:tc>
        <w:tc>
          <w:tcPr>
            <w:tcW w:w="1057" w:type="dxa"/>
            <w:noWrap w:val="0"/>
            <w:vAlign w:val="center"/>
          </w:tcPr>
          <w:p>
            <w:pPr>
              <w:widowControl/>
              <w:jc w:val="center"/>
              <w:rPr>
                <w:rFonts w:ascii="宋体" w:hAnsi="宋体"/>
                <w:color w:val="auto"/>
                <w:kern w:val="0"/>
                <w:sz w:val="24"/>
                <w:szCs w:val="36"/>
                <w:highlight w:val="none"/>
              </w:rPr>
            </w:pPr>
            <w:r>
              <w:rPr>
                <w:rFonts w:hint="eastAsia" w:ascii="宋体" w:hAnsi="宋体"/>
                <w:color w:val="auto"/>
                <w:kern w:val="0"/>
                <w:sz w:val="24"/>
                <w:szCs w:val="3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olor w:val="auto"/>
                <w:kern w:val="0"/>
                <w:sz w:val="24"/>
                <w:szCs w:val="20"/>
                <w:highlight w:val="none"/>
              </w:rPr>
            </w:pPr>
            <w:r>
              <w:rPr>
                <w:rFonts w:hint="eastAsia" w:ascii="宋体" w:hAnsi="宋体"/>
                <w:color w:val="auto"/>
                <w:kern w:val="0"/>
                <w:sz w:val="24"/>
                <w:szCs w:val="20"/>
                <w:highlight w:val="none"/>
              </w:rPr>
              <w:t>一、基坑工程</w:t>
            </w:r>
          </w:p>
        </w:tc>
        <w:tc>
          <w:tcPr>
            <w:tcW w:w="1353" w:type="dxa"/>
            <w:noWrap w:val="0"/>
            <w:vAlign w:val="center"/>
          </w:tcPr>
          <w:p>
            <w:pPr>
              <w:widowControl/>
              <w:jc w:val="center"/>
              <w:rPr>
                <w:rFonts w:ascii="宋体" w:hAnsi="宋体"/>
                <w:color w:val="auto"/>
                <w:kern w:val="0"/>
                <w:sz w:val="24"/>
                <w:szCs w:val="36"/>
                <w:highlight w:val="none"/>
              </w:rPr>
            </w:pPr>
          </w:p>
        </w:tc>
        <w:tc>
          <w:tcPr>
            <w:tcW w:w="1353" w:type="dxa"/>
            <w:noWrap w:val="0"/>
            <w:vAlign w:val="center"/>
          </w:tcPr>
          <w:p>
            <w:pPr>
              <w:widowControl/>
              <w:jc w:val="center"/>
              <w:rPr>
                <w:rFonts w:ascii="宋体" w:hAnsi="宋体"/>
                <w:color w:val="auto"/>
                <w:kern w:val="0"/>
                <w:sz w:val="20"/>
                <w:szCs w:val="20"/>
                <w:highlight w:val="none"/>
              </w:rPr>
            </w:pP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olor w:val="auto"/>
                <w:kern w:val="0"/>
                <w:sz w:val="24"/>
                <w:szCs w:val="20"/>
                <w:highlight w:val="none"/>
              </w:rPr>
            </w:pPr>
            <w:r>
              <w:rPr>
                <w:rFonts w:hint="eastAsia" w:ascii="宋体" w:hAnsi="宋体"/>
                <w:color w:val="auto"/>
                <w:kern w:val="0"/>
                <w:sz w:val="24"/>
                <w:szCs w:val="20"/>
                <w:highlight w:val="none"/>
              </w:rPr>
              <w:t>（一）开挖深度超过3m（含3m）的基坑（槽）的土方开挖、支护、降水工程。</w:t>
            </w:r>
          </w:p>
        </w:tc>
        <w:tc>
          <w:tcPr>
            <w:tcW w:w="1353" w:type="dxa"/>
            <w:noWrap w:val="0"/>
            <w:vAlign w:val="center"/>
          </w:tcPr>
          <w:p>
            <w:pPr>
              <w:widowControl/>
              <w:jc w:val="center"/>
              <w:rPr>
                <w:rFonts w:ascii="宋体" w:hAnsi="宋体"/>
                <w:color w:val="auto"/>
                <w:kern w:val="0"/>
                <w:sz w:val="20"/>
                <w:szCs w:val="20"/>
                <w:highlight w:val="none"/>
              </w:rPr>
            </w:pPr>
            <w:r>
              <w:rPr>
                <w:rFonts w:hint="eastAsia" w:ascii="宋体" w:hAnsi="宋体"/>
                <w:color w:val="auto"/>
                <w:kern w:val="0"/>
                <w:sz w:val="24"/>
                <w:szCs w:val="36"/>
                <w:highlight w:val="none"/>
              </w:rPr>
              <w:t>(</w:t>
            </w:r>
            <w:r>
              <w:rPr>
                <w:rFonts w:hint="eastAsia" w:ascii="宋体" w:hAnsi="宋体"/>
                <w:color w:val="auto"/>
                <w:kern w:val="0"/>
                <w:sz w:val="24"/>
                <w:szCs w:val="36"/>
                <w:highlight w:val="none"/>
                <w:lang w:eastAsia="zh-CN"/>
              </w:rPr>
              <w:t xml:space="preserve"> </w:t>
            </w:r>
            <w:r>
              <w:rPr>
                <w:rFonts w:hint="eastAsia" w:ascii="宋体" w:hAnsi="宋体"/>
                <w:color w:val="auto"/>
                <w:kern w:val="0"/>
                <w:sz w:val="24"/>
                <w:szCs w:val="36"/>
                <w:highlight w:val="none"/>
              </w:rPr>
              <w:t>√</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w:t>
            </w:r>
          </w:p>
        </w:tc>
        <w:tc>
          <w:tcPr>
            <w:tcW w:w="1353" w:type="dxa"/>
            <w:noWrap w:val="0"/>
            <w:vAlign w:val="center"/>
          </w:tcPr>
          <w:p>
            <w:pPr>
              <w:widowControl/>
              <w:jc w:val="center"/>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spacing w:line="360" w:lineRule="atLeast"/>
              <w:jc w:val="left"/>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（二）开挖深度虽未超过3m，但地质条件、周围环境和地下管线复杂，或影响毗邻建、构筑物安全的基坑（槽）的土方开挖、支护、降水工程。</w:t>
            </w:r>
          </w:p>
        </w:tc>
        <w:tc>
          <w:tcPr>
            <w:tcW w:w="1353" w:type="dxa"/>
            <w:noWrap w:val="0"/>
            <w:vAlign w:val="center"/>
          </w:tcPr>
          <w:p>
            <w:pPr>
              <w:widowControl/>
              <w:jc w:val="center"/>
              <w:rPr>
                <w:rFonts w:ascii="宋体" w:hAnsi="宋体"/>
                <w:color w:val="auto"/>
                <w:kern w:val="0"/>
                <w:sz w:val="20"/>
                <w:szCs w:val="20"/>
                <w:highlight w:val="none"/>
              </w:rPr>
            </w:pPr>
            <w:r>
              <w:rPr>
                <w:rFonts w:hint="eastAsia" w:ascii="宋体" w:hAnsi="宋体"/>
                <w:color w:val="auto"/>
                <w:kern w:val="0"/>
                <w:sz w:val="24"/>
                <w:szCs w:val="36"/>
                <w:highlight w:val="none"/>
              </w:rPr>
              <w:t>(</w:t>
            </w:r>
            <w:r>
              <w:rPr>
                <w:rFonts w:hint="eastAsia" w:ascii="宋体" w:hAnsi="宋体"/>
                <w:color w:val="auto"/>
                <w:kern w:val="0"/>
                <w:sz w:val="24"/>
                <w:szCs w:val="36"/>
                <w:highlight w:val="none"/>
                <w:lang w:eastAsia="zh-CN"/>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w:t>
            </w:r>
          </w:p>
        </w:tc>
        <w:tc>
          <w:tcPr>
            <w:tcW w:w="1353" w:type="dxa"/>
            <w:noWrap w:val="0"/>
            <w:vAlign w:val="center"/>
          </w:tcPr>
          <w:p>
            <w:pPr>
              <w:widowControl/>
              <w:jc w:val="center"/>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olor w:val="auto"/>
                <w:kern w:val="0"/>
                <w:sz w:val="24"/>
                <w:szCs w:val="20"/>
                <w:highlight w:val="none"/>
              </w:rPr>
            </w:pPr>
            <w:r>
              <w:rPr>
                <w:rFonts w:hint="eastAsia" w:ascii="宋体" w:hAnsi="宋体" w:cs="宋体"/>
                <w:color w:val="auto"/>
                <w:kern w:val="0"/>
                <w:sz w:val="24"/>
                <w:szCs w:val="20"/>
                <w:highlight w:val="none"/>
              </w:rPr>
              <w:t>二、模板工程及支撑体系</w:t>
            </w:r>
          </w:p>
        </w:tc>
        <w:tc>
          <w:tcPr>
            <w:tcW w:w="1353" w:type="dxa"/>
            <w:noWrap w:val="0"/>
            <w:vAlign w:val="center"/>
          </w:tcPr>
          <w:p>
            <w:pPr>
              <w:widowControl/>
              <w:jc w:val="center"/>
              <w:rPr>
                <w:rFonts w:ascii="宋体" w:hAnsi="宋体"/>
                <w:color w:val="auto"/>
                <w:kern w:val="0"/>
                <w:sz w:val="20"/>
                <w:szCs w:val="20"/>
                <w:highlight w:val="none"/>
              </w:rPr>
            </w:pPr>
          </w:p>
        </w:tc>
        <w:tc>
          <w:tcPr>
            <w:tcW w:w="1353" w:type="dxa"/>
            <w:noWrap w:val="0"/>
            <w:vAlign w:val="center"/>
          </w:tcPr>
          <w:p>
            <w:pPr>
              <w:widowControl/>
              <w:jc w:val="center"/>
              <w:rPr>
                <w:rFonts w:ascii="宋体" w:hAnsi="宋体"/>
                <w:color w:val="auto"/>
                <w:kern w:val="0"/>
                <w:sz w:val="20"/>
                <w:szCs w:val="20"/>
                <w:highlight w:val="none"/>
              </w:rPr>
            </w:pP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 w:val="24"/>
                <w:szCs w:val="20"/>
                <w:highlight w:val="none"/>
              </w:rPr>
            </w:pPr>
            <w:r>
              <w:rPr>
                <w:rFonts w:hint="eastAsia" w:ascii="宋体" w:hAnsi="宋体"/>
                <w:color w:val="auto"/>
                <w:kern w:val="0"/>
                <w:sz w:val="24"/>
                <w:szCs w:val="20"/>
                <w:highlight w:val="none"/>
              </w:rPr>
              <w:t>（一）各类工具式模板工程：包括滑模、爬模、飞模、隧道模等工程。</w:t>
            </w:r>
          </w:p>
        </w:tc>
        <w:tc>
          <w:tcPr>
            <w:tcW w:w="1353" w:type="dxa"/>
            <w:noWrap w:val="0"/>
            <w:vAlign w:val="center"/>
          </w:tcPr>
          <w:p>
            <w:pPr>
              <w:widowControl/>
              <w:jc w:val="center"/>
              <w:rPr>
                <w:rFonts w:ascii="宋体" w:hAnsi="宋体"/>
                <w:color w:val="auto"/>
                <w:kern w:val="0"/>
                <w:sz w:val="24"/>
                <w:szCs w:val="36"/>
                <w:highlight w:val="none"/>
              </w:rPr>
            </w:pPr>
            <w:r>
              <w:rPr>
                <w:rFonts w:ascii="宋体" w:hAnsi="宋体"/>
                <w:color w:val="auto"/>
                <w:kern w:val="0"/>
                <w:sz w:val="24"/>
                <w:szCs w:val="36"/>
                <w:highlight w:val="none"/>
              </w:rPr>
              <w:t>(   )</w:t>
            </w:r>
          </w:p>
        </w:tc>
        <w:tc>
          <w:tcPr>
            <w:tcW w:w="1353" w:type="dxa"/>
            <w:noWrap w:val="0"/>
            <w:vAlign w:val="center"/>
          </w:tcPr>
          <w:p>
            <w:pPr>
              <w:widowControl/>
              <w:jc w:val="center"/>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53" w:type="dxa"/>
            <w:noWrap w:val="0"/>
            <w:vAlign w:val="center"/>
          </w:tcPr>
          <w:p>
            <w:pPr>
              <w:widowControl/>
              <w:jc w:val="center"/>
              <w:rPr>
                <w:rFonts w:ascii="宋体" w:hAnsi="宋体"/>
                <w:color w:val="auto"/>
                <w:kern w:val="0"/>
                <w:sz w:val="20"/>
                <w:szCs w:val="20"/>
                <w:highlight w:val="none"/>
              </w:rPr>
            </w:pPr>
            <w:r>
              <w:rPr>
                <w:rFonts w:hint="eastAsia" w:ascii="宋体" w:hAnsi="宋体"/>
                <w:color w:val="auto"/>
                <w:kern w:val="0"/>
                <w:sz w:val="24"/>
                <w:szCs w:val="36"/>
                <w:highlight w:val="none"/>
              </w:rPr>
              <w:t>(</w:t>
            </w:r>
            <w:r>
              <w:rPr>
                <w:rFonts w:hint="eastAsia" w:ascii="宋体" w:hAnsi="宋体"/>
                <w:color w:val="auto"/>
                <w:kern w:val="0"/>
                <w:sz w:val="24"/>
                <w:szCs w:val="36"/>
                <w:highlight w:val="none"/>
                <w:lang w:eastAsia="zh-CN"/>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w:t>
            </w:r>
          </w:p>
        </w:tc>
        <w:tc>
          <w:tcPr>
            <w:tcW w:w="1353" w:type="dxa"/>
            <w:noWrap w:val="0"/>
            <w:vAlign w:val="center"/>
          </w:tcPr>
          <w:p>
            <w:pPr>
              <w:widowControl/>
              <w:jc w:val="center"/>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（三）承重支撑体系：用于钢结构安装等满堂支撑体系。</w:t>
            </w:r>
          </w:p>
        </w:tc>
        <w:tc>
          <w:tcPr>
            <w:tcW w:w="1353" w:type="dxa"/>
            <w:noWrap w:val="0"/>
            <w:vAlign w:val="center"/>
          </w:tcPr>
          <w:p>
            <w:pPr>
              <w:widowControl/>
              <w:jc w:val="center"/>
              <w:rPr>
                <w:rFonts w:ascii="宋体" w:hAnsi="宋体"/>
                <w:color w:val="auto"/>
                <w:kern w:val="0"/>
                <w:sz w:val="20"/>
                <w:szCs w:val="20"/>
                <w:highlight w:val="none"/>
              </w:rPr>
            </w:pPr>
            <w:r>
              <w:rPr>
                <w:rFonts w:hint="eastAsia" w:ascii="宋体" w:hAnsi="宋体"/>
                <w:color w:val="auto"/>
                <w:kern w:val="0"/>
                <w:sz w:val="24"/>
                <w:szCs w:val="36"/>
                <w:highlight w:val="none"/>
              </w:rPr>
              <w:t>(</w:t>
            </w:r>
            <w:r>
              <w:rPr>
                <w:rFonts w:hint="eastAsia" w:ascii="宋体" w:hAnsi="宋体"/>
                <w:color w:val="auto"/>
                <w:kern w:val="0"/>
                <w:sz w:val="24"/>
                <w:szCs w:val="36"/>
                <w:highlight w:val="none"/>
                <w:lang w:eastAsia="zh-CN"/>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w:t>
            </w:r>
          </w:p>
        </w:tc>
        <w:tc>
          <w:tcPr>
            <w:tcW w:w="1353" w:type="dxa"/>
            <w:noWrap w:val="0"/>
            <w:vAlign w:val="center"/>
          </w:tcPr>
          <w:p>
            <w:pPr>
              <w:widowControl/>
              <w:jc w:val="center"/>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三、起重吊装及起重机械安装拆卸工程</w:t>
            </w:r>
          </w:p>
        </w:tc>
        <w:tc>
          <w:tcPr>
            <w:tcW w:w="1353" w:type="dxa"/>
            <w:noWrap w:val="0"/>
            <w:vAlign w:val="center"/>
          </w:tcPr>
          <w:p>
            <w:pPr>
              <w:widowControl/>
              <w:jc w:val="center"/>
              <w:rPr>
                <w:rFonts w:hint="eastAsia" w:ascii="宋体" w:hAnsi="宋体"/>
                <w:color w:val="auto"/>
                <w:kern w:val="0"/>
                <w:sz w:val="24"/>
                <w:szCs w:val="36"/>
                <w:highlight w:val="none"/>
              </w:rPr>
            </w:pPr>
          </w:p>
        </w:tc>
        <w:tc>
          <w:tcPr>
            <w:tcW w:w="1353" w:type="dxa"/>
            <w:noWrap w:val="0"/>
            <w:vAlign w:val="center"/>
          </w:tcPr>
          <w:p>
            <w:pPr>
              <w:widowControl/>
              <w:jc w:val="center"/>
              <w:rPr>
                <w:rFonts w:hint="eastAsia" w:ascii="宋体" w:hAnsi="宋体"/>
                <w:color w:val="auto"/>
                <w:kern w:val="0"/>
                <w:sz w:val="24"/>
                <w:szCs w:val="36"/>
                <w:highlight w:val="none"/>
              </w:rPr>
            </w:pP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（一）采用非常规起重设备、方法，且单件起吊重量在10kN及以上的起重吊装工程。</w:t>
            </w:r>
          </w:p>
        </w:tc>
        <w:tc>
          <w:tcPr>
            <w:tcW w:w="1353" w:type="dxa"/>
            <w:noWrap w:val="0"/>
            <w:vAlign w:val="center"/>
          </w:tcPr>
          <w:p>
            <w:pPr>
              <w:widowControl/>
              <w:jc w:val="center"/>
              <w:rPr>
                <w:rFonts w:hint="eastAsia" w:ascii="宋体" w:hAnsi="宋体"/>
                <w:color w:val="auto"/>
                <w:kern w:val="0"/>
                <w:sz w:val="24"/>
                <w:szCs w:val="36"/>
                <w:highlight w:val="none"/>
              </w:rPr>
            </w:pPr>
            <w:r>
              <w:rPr>
                <w:rFonts w:ascii="宋体" w:hAnsi="宋体"/>
                <w:color w:val="auto"/>
                <w:kern w:val="0"/>
                <w:sz w:val="24"/>
                <w:szCs w:val="36"/>
                <w:highlight w:val="none"/>
              </w:rPr>
              <w:t>(   )</w:t>
            </w:r>
          </w:p>
        </w:tc>
        <w:tc>
          <w:tcPr>
            <w:tcW w:w="1353" w:type="dxa"/>
            <w:noWrap w:val="0"/>
            <w:vAlign w:val="center"/>
          </w:tcPr>
          <w:p>
            <w:pPr>
              <w:widowControl/>
              <w:jc w:val="center"/>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（二）采用起重机械进行安装的工程。</w:t>
            </w:r>
          </w:p>
        </w:tc>
        <w:tc>
          <w:tcPr>
            <w:tcW w:w="1353" w:type="dxa"/>
            <w:noWrap w:val="0"/>
            <w:vAlign w:val="center"/>
          </w:tcPr>
          <w:p>
            <w:pPr>
              <w:widowControl/>
              <w:jc w:val="center"/>
              <w:rPr>
                <w:rFonts w:hint="eastAsia" w:ascii="宋体" w:hAnsi="宋体"/>
                <w:color w:val="auto"/>
                <w:kern w:val="0"/>
                <w:sz w:val="24"/>
                <w:szCs w:val="36"/>
                <w:highlight w:val="none"/>
              </w:rPr>
            </w:pPr>
            <w:r>
              <w:rPr>
                <w:rFonts w:hint="eastAsia" w:ascii="宋体" w:hAnsi="宋体"/>
                <w:color w:val="auto"/>
                <w:kern w:val="0"/>
                <w:sz w:val="24"/>
                <w:szCs w:val="36"/>
                <w:highlight w:val="none"/>
              </w:rPr>
              <w:t>(</w:t>
            </w:r>
            <w:r>
              <w:rPr>
                <w:rFonts w:hint="eastAsia" w:ascii="宋体" w:hAnsi="宋体"/>
                <w:color w:val="auto"/>
                <w:kern w:val="0"/>
                <w:sz w:val="24"/>
                <w:szCs w:val="36"/>
                <w:highlight w:val="none"/>
                <w:lang w:eastAsia="zh-CN"/>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w:t>
            </w:r>
          </w:p>
        </w:tc>
        <w:tc>
          <w:tcPr>
            <w:tcW w:w="1353" w:type="dxa"/>
            <w:noWrap w:val="0"/>
            <w:vAlign w:val="center"/>
          </w:tcPr>
          <w:p>
            <w:pPr>
              <w:widowControl/>
              <w:jc w:val="center"/>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（三）起重机械安装和拆卸工程。</w:t>
            </w:r>
          </w:p>
        </w:tc>
        <w:tc>
          <w:tcPr>
            <w:tcW w:w="1353" w:type="dxa"/>
            <w:noWrap w:val="0"/>
            <w:vAlign w:val="center"/>
          </w:tcPr>
          <w:p>
            <w:pPr>
              <w:widowControl/>
              <w:jc w:val="center"/>
              <w:rPr>
                <w:rFonts w:hint="eastAsia" w:ascii="宋体" w:hAnsi="宋体"/>
                <w:color w:val="auto"/>
                <w:kern w:val="0"/>
                <w:sz w:val="24"/>
                <w:szCs w:val="36"/>
                <w:highlight w:val="none"/>
              </w:rPr>
            </w:pPr>
            <w:r>
              <w:rPr>
                <w:rFonts w:hint="eastAsia" w:ascii="宋体" w:hAnsi="宋体"/>
                <w:color w:val="auto"/>
                <w:kern w:val="0"/>
                <w:sz w:val="24"/>
                <w:szCs w:val="36"/>
                <w:highlight w:val="none"/>
              </w:rPr>
              <w:t>(</w:t>
            </w:r>
            <w:r>
              <w:rPr>
                <w:rFonts w:hint="eastAsia" w:ascii="宋体" w:hAnsi="宋体"/>
                <w:color w:val="auto"/>
                <w:kern w:val="0"/>
                <w:sz w:val="24"/>
                <w:szCs w:val="36"/>
                <w:highlight w:val="none"/>
                <w:lang w:eastAsia="zh-CN"/>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w:t>
            </w:r>
          </w:p>
        </w:tc>
        <w:tc>
          <w:tcPr>
            <w:tcW w:w="1353" w:type="dxa"/>
            <w:noWrap w:val="0"/>
            <w:vAlign w:val="center"/>
          </w:tcPr>
          <w:p>
            <w:pPr>
              <w:widowControl/>
              <w:jc w:val="center"/>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1057" w:type="dxa"/>
            <w:noWrap w:val="0"/>
            <w:vAlign w:val="center"/>
          </w:tcPr>
          <w:p>
            <w:pPr>
              <w:widowControl/>
              <w:jc w:val="center"/>
              <w:rPr>
                <w:rFonts w:ascii="宋体" w:hAnsi="宋体"/>
                <w:color w:val="auto"/>
                <w:kern w:val="0"/>
                <w:sz w:val="24"/>
                <w:szCs w:val="36"/>
                <w:highlight w:val="none"/>
              </w:rPr>
            </w:pPr>
          </w:p>
        </w:tc>
      </w:tr>
    </w:tbl>
    <w:p>
      <w:pPr>
        <w:topLinePunct/>
        <w:adjustRightInd w:val="0"/>
        <w:snapToGrid w:val="0"/>
        <w:spacing w:line="360" w:lineRule="auto"/>
        <w:ind w:firstLine="436" w:firstLineChars="200"/>
        <w:rPr>
          <w:rFonts w:hint="eastAsia" w:ascii="宋体" w:hAnsi="宋体" w:eastAsia="宋体" w:cs="宋体"/>
          <w:color w:val="auto"/>
          <w:spacing w:val="4"/>
          <w:kern w:val="0"/>
          <w:szCs w:val="21"/>
          <w:highlight w:val="none"/>
        </w:rPr>
      </w:pPr>
    </w:p>
    <w:p>
      <w:pPr>
        <w:spacing w:line="360" w:lineRule="auto"/>
        <w:ind w:firstLine="4320" w:firstLineChars="18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投标人名称（盖法人公章）：</w:t>
      </w:r>
    </w:p>
    <w:p>
      <w:pPr>
        <w:spacing w:line="360" w:lineRule="auto"/>
        <w:ind w:firstLine="3120" w:firstLineChars="13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法定代表人或被授权人（签字或盖章）：</w:t>
      </w:r>
    </w:p>
    <w:p>
      <w:pPr>
        <w:autoSpaceDE w:val="0"/>
        <w:autoSpaceDN w:val="0"/>
        <w:adjustRightInd w:val="0"/>
        <w:spacing w:line="360" w:lineRule="auto"/>
        <w:ind w:firstLine="5040" w:firstLineChars="2400"/>
        <w:rPr>
          <w:rFonts w:hint="eastAsia" w:ascii="宋体" w:hAnsi="宋体" w:eastAsia="宋体" w:cs="宋体"/>
          <w:bCs/>
          <w:color w:val="auto"/>
          <w:sz w:val="24"/>
          <w:szCs w:val="24"/>
          <w:highlight w:val="none"/>
        </w:rPr>
      </w:pPr>
      <w:r>
        <w:rPr>
          <w:rFonts w:hint="eastAsia" w:ascii="宋体" w:hAnsi="宋体" w:eastAsia="宋体" w:cs="宋体"/>
          <w:color w:val="auto"/>
          <w:szCs w:val="20"/>
          <w:highlight w:val="none"/>
        </w:rPr>
        <w:t>日期：   年  月  日</w:t>
      </w: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topLinePunct/>
        <w:autoSpaceDE/>
        <w:autoSpaceDN/>
        <w:adjustRightInd w:val="0"/>
        <w:snapToGrid w:val="0"/>
        <w:spacing w:after="156" w:afterLines="50"/>
        <w:jc w:val="center"/>
        <w:outlineLvl w:val="1"/>
        <w:rPr>
          <w:rFonts w:hint="eastAsia" w:ascii="宋体" w:hAnsi="宋体" w:eastAsia="宋体" w:cs="宋体"/>
          <w:b/>
          <w:bCs/>
          <w:color w:val="auto"/>
          <w:sz w:val="44"/>
          <w:szCs w:val="44"/>
          <w:highlight w:val="none"/>
          <w:lang w:val="zh-CN"/>
        </w:rPr>
      </w:pPr>
      <w:bookmarkStart w:id="42" w:name="_Toc26315"/>
      <w:r>
        <w:rPr>
          <w:rFonts w:hint="eastAsia" w:ascii="宋体" w:hAnsi="宋体" w:eastAsia="宋体" w:cs="宋体"/>
          <w:color w:val="auto"/>
          <w:spacing w:val="4"/>
          <w:kern w:val="0"/>
          <w:sz w:val="44"/>
          <w:szCs w:val="44"/>
          <w:highlight w:val="none"/>
        </w:rPr>
        <w:t>二、经济标投标文件格式</w:t>
      </w:r>
      <w:bookmarkEnd w:id="42"/>
    </w:p>
    <w:p>
      <w:pPr>
        <w:autoSpaceDE w:val="0"/>
        <w:autoSpaceDN w:val="0"/>
        <w:adjustRightInd w:val="0"/>
        <w:rPr>
          <w:rFonts w:hint="eastAsia" w:ascii="宋体" w:hAnsi="宋体" w:eastAsia="宋体" w:cs="宋体"/>
          <w:b/>
          <w:bCs/>
          <w:color w:val="auto"/>
          <w:sz w:val="44"/>
          <w:szCs w:val="44"/>
          <w:highlight w:val="none"/>
          <w:lang w:val="zh-CN"/>
        </w:rPr>
      </w:pPr>
    </w:p>
    <w:p>
      <w:pPr>
        <w:widowControl/>
        <w:spacing w:before="100" w:beforeAutospacing="1" w:after="100" w:afterAutospacing="1"/>
        <w:jc w:val="left"/>
        <w:outlineLvl w:val="2"/>
        <w:rPr>
          <w:rFonts w:hint="eastAsia" w:ascii="宋体" w:hAnsi="宋体" w:eastAsia="宋体" w:cs="宋体"/>
          <w:b/>
          <w:bCs/>
          <w:color w:val="auto"/>
          <w:kern w:val="0"/>
          <w:sz w:val="44"/>
          <w:szCs w:val="44"/>
          <w:highlight w:val="none"/>
          <w:lang w:val="zh-CN" w:eastAsia="zh-CN"/>
        </w:rPr>
      </w:pPr>
      <w:bookmarkStart w:id="43" w:name="_Toc16171"/>
      <w:r>
        <w:rPr>
          <w:rFonts w:hint="eastAsia" w:ascii="宋体" w:hAnsi="宋体" w:eastAsia="Times New Roman"/>
          <w:bCs/>
          <w:color w:val="auto"/>
          <w:spacing w:val="4"/>
          <w:sz w:val="24"/>
          <w:szCs w:val="24"/>
          <w:highlight w:val="none"/>
        </w:rPr>
        <w:t>经济标格式一</w:t>
      </w:r>
      <w:r>
        <w:rPr>
          <w:rFonts w:hint="eastAsia" w:ascii="宋体" w:hAnsi="宋体" w:eastAsia="宋体"/>
          <w:bCs/>
          <w:color w:val="auto"/>
          <w:spacing w:val="4"/>
          <w:sz w:val="24"/>
          <w:szCs w:val="24"/>
          <w:highlight w:val="none"/>
          <w:lang w:eastAsia="zh-CN"/>
        </w:rPr>
        <w:t>：</w:t>
      </w:r>
      <w:bookmarkEnd w:id="43"/>
    </w:p>
    <w:p>
      <w:pPr>
        <w:autoSpaceDE w:val="0"/>
        <w:autoSpaceDN w:val="0"/>
        <w:adjustRightInd w:val="0"/>
        <w:jc w:val="center"/>
        <w:rPr>
          <w:rFonts w:hint="eastAsia" w:ascii="宋体" w:hAnsi="宋体" w:eastAsia="宋体" w:cs="宋体"/>
          <w:b/>
          <w:bCs/>
          <w:color w:val="auto"/>
          <w:sz w:val="44"/>
          <w:szCs w:val="44"/>
          <w:highlight w:val="none"/>
          <w:lang w:val="zh-CN"/>
        </w:rPr>
      </w:pPr>
    </w:p>
    <w:p>
      <w:pPr>
        <w:widowControl/>
        <w:topLinePunct/>
        <w:adjustRightInd w:val="0"/>
        <w:snapToGrid w:val="0"/>
        <w:spacing w:line="273" w:lineRule="auto"/>
        <w:jc w:val="center"/>
        <w:outlineLvl w:val="1"/>
        <w:rPr>
          <w:rFonts w:hint="eastAsia" w:ascii="宋体" w:hAnsi="宋体" w:eastAsia="宋体" w:cs="宋体"/>
          <w:b/>
          <w:bCs/>
          <w:color w:val="auto"/>
          <w:spacing w:val="4"/>
          <w:kern w:val="0"/>
          <w:sz w:val="36"/>
          <w:szCs w:val="36"/>
          <w:highlight w:val="none"/>
        </w:rPr>
      </w:pPr>
      <w:bookmarkStart w:id="44" w:name="_Toc21286"/>
      <w:r>
        <w:rPr>
          <w:rFonts w:hint="eastAsia" w:ascii="宋体" w:hAnsi="宋体" w:eastAsia="宋体" w:cs="宋体"/>
          <w:b/>
          <w:bCs/>
          <w:color w:val="auto"/>
          <w:spacing w:val="4"/>
          <w:kern w:val="0"/>
          <w:sz w:val="36"/>
          <w:szCs w:val="36"/>
          <w:highlight w:val="none"/>
        </w:rPr>
        <w:t>广州建设工程施工招标投标书（经济标）</w:t>
      </w:r>
      <w:bookmarkEnd w:id="44"/>
    </w:p>
    <w:tbl>
      <w:tblPr>
        <w:tblStyle w:val="20"/>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工 程 名 称</w:t>
            </w:r>
          </w:p>
        </w:tc>
        <w:tc>
          <w:tcPr>
            <w:tcW w:w="60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3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投标总报价（元）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3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其中：</w:t>
            </w:r>
            <w:r>
              <w:rPr>
                <w:rFonts w:hint="eastAsia" w:ascii="宋体" w:hAnsi="宋体" w:eastAsia="宋体" w:cs="宋体"/>
                <w:bCs/>
                <w:color w:val="auto"/>
                <w:sz w:val="24"/>
                <w:szCs w:val="24"/>
                <w:highlight w:val="none"/>
                <w:lang w:val="zh-CN"/>
              </w:rPr>
              <w:t>人工费</w:t>
            </w:r>
            <w:r>
              <w:rPr>
                <w:rFonts w:hint="eastAsia" w:ascii="宋体" w:hAnsi="宋体" w:eastAsia="宋体"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其中：</w:t>
            </w:r>
            <w:r>
              <w:rPr>
                <w:rFonts w:hint="eastAsia" w:ascii="宋体" w:hAnsi="宋体" w:eastAsia="宋体" w:cs="宋体"/>
                <w:color w:val="auto"/>
                <w:sz w:val="24"/>
                <w:szCs w:val="24"/>
                <w:highlight w:val="none"/>
                <w:lang w:val="zh-CN"/>
              </w:rPr>
              <w:t>绿色施工安全防护措施费（元）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其中： 暂列金额</w:t>
            </w:r>
            <w:r>
              <w:rPr>
                <w:rFonts w:hint="eastAsia" w:ascii="宋体" w:hAnsi="宋体" w:eastAsia="宋体"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r>
              <w:rPr>
                <w:rFonts w:hint="eastAsia" w:ascii="宋体" w:hAnsi="宋体" w:eastAsia="宋体" w:cs="宋体"/>
                <w:bCs/>
                <w:color w:val="auto"/>
                <w:sz w:val="24"/>
                <w:szCs w:val="24"/>
                <w:highlight w:val="none"/>
                <w:lang w:val="zh-CN"/>
              </w:rPr>
              <w:t xml:space="preserve"> </w:t>
            </w:r>
          </w:p>
        </w:tc>
      </w:tr>
    </w:tbl>
    <w:p>
      <w:pPr>
        <w:widowControl/>
        <w:spacing w:before="100" w:beforeAutospacing="1" w:after="100" w:afterAutospacing="1"/>
        <w:jc w:val="left"/>
        <w:outlineLvl w:val="2"/>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kern w:val="0"/>
          <w:sz w:val="24"/>
          <w:szCs w:val="24"/>
          <w:highlight w:val="none"/>
        </w:rPr>
        <w:br w:type="page"/>
      </w:r>
      <w:bookmarkStart w:id="45" w:name="_Toc30992"/>
      <w:r>
        <w:rPr>
          <w:rFonts w:hint="eastAsia" w:ascii="宋体" w:hAnsi="宋体" w:eastAsia="Times New Roman"/>
          <w:bCs/>
          <w:color w:val="auto"/>
          <w:spacing w:val="4"/>
          <w:sz w:val="24"/>
          <w:szCs w:val="24"/>
          <w:highlight w:val="none"/>
        </w:rPr>
        <w:t>经济标格式</w:t>
      </w:r>
      <w:r>
        <w:rPr>
          <w:rFonts w:hint="eastAsia" w:ascii="宋体" w:hAnsi="宋体" w:eastAsia="宋体"/>
          <w:bCs/>
          <w:color w:val="auto"/>
          <w:spacing w:val="4"/>
          <w:sz w:val="24"/>
          <w:szCs w:val="24"/>
          <w:highlight w:val="none"/>
          <w:lang w:val="en-US" w:eastAsia="zh-CN"/>
        </w:rPr>
        <w:t>二：</w:t>
      </w:r>
      <w:bookmarkEnd w:id="45"/>
    </w:p>
    <w:p>
      <w:pPr>
        <w:autoSpaceDE w:val="0"/>
        <w:autoSpaceDN w:val="0"/>
        <w:adjustRightInd w:val="0"/>
        <w:rPr>
          <w:rFonts w:hint="eastAsia" w:ascii="宋体" w:hAnsi="宋体" w:eastAsia="宋体" w:cs="宋体"/>
          <w:color w:val="auto"/>
          <w:sz w:val="24"/>
          <w:szCs w:val="24"/>
          <w:highlight w:val="none"/>
        </w:rPr>
      </w:pPr>
    </w:p>
    <w:p>
      <w:pPr>
        <w:widowControl/>
        <w:topLinePunct/>
        <w:adjustRightInd w:val="0"/>
        <w:snapToGrid w:val="0"/>
        <w:spacing w:line="273" w:lineRule="auto"/>
        <w:jc w:val="center"/>
        <w:outlineLvl w:val="1"/>
        <w:rPr>
          <w:rFonts w:hint="eastAsia" w:ascii="宋体" w:hAnsi="宋体" w:eastAsia="宋体" w:cs="宋体"/>
          <w:b/>
          <w:bCs/>
          <w:color w:val="auto"/>
          <w:spacing w:val="4"/>
          <w:kern w:val="0"/>
          <w:sz w:val="36"/>
          <w:szCs w:val="36"/>
          <w:highlight w:val="none"/>
        </w:rPr>
      </w:pPr>
      <w:bookmarkStart w:id="46" w:name="_Toc30258"/>
      <w:r>
        <w:rPr>
          <w:rFonts w:hint="eastAsia" w:ascii="宋体" w:hAnsi="宋体" w:eastAsia="宋体" w:cs="宋体"/>
          <w:b/>
          <w:bCs/>
          <w:color w:val="auto"/>
          <w:spacing w:val="4"/>
          <w:kern w:val="0"/>
          <w:sz w:val="36"/>
          <w:szCs w:val="36"/>
          <w:highlight w:val="none"/>
        </w:rPr>
        <w:t>参与编制经济标投标文件人员名单</w:t>
      </w:r>
      <w:bookmarkEnd w:id="46"/>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919" w:type="dxa"/>
            <w:gridSpan w:val="5"/>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所承担工作</w:t>
            </w: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r>
    </w:tbl>
    <w:p>
      <w:pPr>
        <w:tabs>
          <w:tab w:val="left" w:pos="720"/>
        </w:tabs>
        <w:snapToGrid w:val="0"/>
        <w:spacing w:line="360" w:lineRule="auto"/>
        <w:rPr>
          <w:rFonts w:hint="eastAsia" w:ascii="宋体" w:hAnsi="宋体" w:eastAsia="宋体" w:cs="宋体"/>
          <w:color w:val="auto"/>
          <w:sz w:val="24"/>
          <w:szCs w:val="24"/>
          <w:highlight w:val="none"/>
        </w:rPr>
      </w:pPr>
    </w:p>
    <w:p>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 xml:space="preserve">注：参与编制经济标书所有人员名单应包括如编制各种专业工程量清单投标报价、负责清样校对、负责打印及复印等所有人员在内的人员名单。 </w:t>
      </w:r>
    </w:p>
    <w:p>
      <w:pPr>
        <w:autoSpaceDE w:val="0"/>
        <w:autoSpaceDN w:val="0"/>
        <w:adjustRightInd w:val="0"/>
        <w:rPr>
          <w:rFonts w:hint="eastAsia" w:ascii="宋体" w:hAnsi="宋体" w:eastAsia="宋体" w:cs="宋体"/>
          <w:b/>
          <w:bCs/>
          <w:color w:val="auto"/>
          <w:sz w:val="44"/>
          <w:szCs w:val="44"/>
          <w:highlight w:val="none"/>
          <w:lang w:val="zh-CN"/>
        </w:rPr>
      </w:pPr>
    </w:p>
    <w:p>
      <w:pPr>
        <w:autoSpaceDE w:val="0"/>
        <w:autoSpaceDN w:val="0"/>
        <w:adjustRightInd w:val="0"/>
        <w:rPr>
          <w:rFonts w:hint="eastAsia" w:ascii="宋体" w:hAnsi="宋体" w:eastAsia="宋体" w:cs="宋体"/>
          <w:b/>
          <w:bCs/>
          <w:color w:val="auto"/>
          <w:sz w:val="44"/>
          <w:szCs w:val="44"/>
          <w:highlight w:val="none"/>
          <w:lang w:val="zh-CN"/>
        </w:rPr>
      </w:pPr>
    </w:p>
    <w:p>
      <w:pPr>
        <w:autoSpaceDE w:val="0"/>
        <w:autoSpaceDN w:val="0"/>
        <w:adjustRightInd w:val="0"/>
        <w:rPr>
          <w:rFonts w:hint="eastAsia" w:ascii="宋体" w:hAnsi="宋体" w:eastAsia="宋体" w:cs="宋体"/>
          <w:b/>
          <w:bCs/>
          <w:color w:val="auto"/>
          <w:sz w:val="44"/>
          <w:szCs w:val="44"/>
          <w:highlight w:val="none"/>
          <w:lang w:val="zh-CN"/>
        </w:rPr>
      </w:pPr>
    </w:p>
    <w:p>
      <w:pPr>
        <w:autoSpaceDE w:val="0"/>
        <w:autoSpaceDN w:val="0"/>
        <w:adjustRightInd w:val="0"/>
        <w:rPr>
          <w:rFonts w:hint="eastAsia" w:ascii="宋体" w:hAnsi="宋体" w:eastAsia="宋体" w:cs="宋体"/>
          <w:b/>
          <w:bCs/>
          <w:color w:val="auto"/>
          <w:sz w:val="44"/>
          <w:szCs w:val="44"/>
          <w:highlight w:val="none"/>
          <w:lang w:val="zh-CN"/>
        </w:rPr>
      </w:pPr>
    </w:p>
    <w:p>
      <w:pPr>
        <w:spacing w:line="360" w:lineRule="auto"/>
        <w:rPr>
          <w:rFonts w:hint="eastAsia" w:ascii="宋体" w:hAnsi="宋体" w:eastAsia="宋体" w:cs="宋体"/>
          <w:color w:val="auto"/>
          <w:sz w:val="24"/>
          <w:szCs w:val="24"/>
          <w:highlight w:val="none"/>
        </w:rPr>
      </w:pPr>
    </w:p>
    <w:p>
      <w:pPr>
        <w:spacing w:line="320" w:lineRule="exact"/>
        <w:rPr>
          <w:rFonts w:hint="eastAsia" w:ascii="宋体" w:hAnsi="宋体" w:eastAsia="宋体" w:cs="宋体"/>
          <w:color w:val="auto"/>
          <w:szCs w:val="21"/>
          <w:highlight w:val="none"/>
        </w:rPr>
      </w:pPr>
    </w:p>
    <w:p>
      <w:pPr>
        <w:spacing w:line="320" w:lineRule="exact"/>
        <w:rPr>
          <w:rFonts w:hint="eastAsia" w:ascii="宋体" w:hAnsi="宋体" w:eastAsia="宋体" w:cs="宋体"/>
          <w:color w:val="auto"/>
          <w:szCs w:val="21"/>
          <w:highlight w:val="none"/>
        </w:rPr>
      </w:pPr>
    </w:p>
    <w:p>
      <w:pPr>
        <w:spacing w:line="320" w:lineRule="exact"/>
        <w:rPr>
          <w:rFonts w:hint="eastAsia" w:ascii="宋体" w:hAnsi="宋体" w:eastAsia="宋体" w:cs="宋体"/>
          <w:color w:val="auto"/>
          <w:szCs w:val="21"/>
          <w:highlight w:val="none"/>
        </w:rPr>
      </w:pPr>
    </w:p>
    <w:p>
      <w:pPr>
        <w:spacing w:line="320" w:lineRule="exact"/>
        <w:rPr>
          <w:rFonts w:hint="eastAsia" w:ascii="宋体" w:hAnsi="宋体" w:eastAsia="宋体" w:cs="宋体"/>
          <w:color w:val="auto"/>
          <w:szCs w:val="21"/>
          <w:highlight w:val="none"/>
        </w:rPr>
      </w:pPr>
    </w:p>
    <w:p>
      <w:pPr>
        <w:spacing w:line="320" w:lineRule="exact"/>
        <w:rPr>
          <w:rFonts w:hint="eastAsia" w:ascii="宋体" w:hAnsi="宋体" w:eastAsia="宋体" w:cs="宋体"/>
          <w:color w:val="auto"/>
          <w:szCs w:val="21"/>
          <w:highlight w:val="none"/>
        </w:rPr>
      </w:pPr>
    </w:p>
    <w:p>
      <w:pPr>
        <w:spacing w:line="320" w:lineRule="exact"/>
        <w:rPr>
          <w:rFonts w:hint="eastAsia" w:ascii="宋体" w:hAnsi="宋体" w:eastAsia="宋体" w:cs="宋体"/>
          <w:color w:val="auto"/>
          <w:szCs w:val="21"/>
          <w:highlight w:val="none"/>
        </w:rPr>
      </w:pPr>
    </w:p>
    <w:p>
      <w:pPr>
        <w:spacing w:line="320" w:lineRule="exact"/>
        <w:rPr>
          <w:rFonts w:hint="eastAsia" w:ascii="宋体" w:hAnsi="宋体" w:eastAsia="宋体" w:cs="宋体"/>
          <w:color w:val="auto"/>
          <w:szCs w:val="21"/>
          <w:highlight w:val="none"/>
        </w:rPr>
      </w:pPr>
    </w:p>
    <w:p>
      <w:pPr>
        <w:spacing w:line="320" w:lineRule="exact"/>
        <w:rPr>
          <w:rFonts w:hint="eastAsia" w:ascii="宋体" w:hAnsi="宋体" w:eastAsia="宋体" w:cs="宋体"/>
          <w:color w:val="auto"/>
          <w:szCs w:val="21"/>
          <w:highlight w:val="none"/>
        </w:rPr>
      </w:pPr>
    </w:p>
    <w:p>
      <w:pPr>
        <w:topLinePunct/>
        <w:adjustRightInd w:val="0"/>
        <w:snapToGrid w:val="0"/>
        <w:spacing w:line="360" w:lineRule="auto"/>
        <w:rPr>
          <w:rFonts w:hint="eastAsia" w:ascii="宋体" w:hAnsi="宋体" w:eastAsia="宋体" w:cs="宋体"/>
          <w:bCs/>
          <w:snapToGrid w:val="0"/>
          <w:color w:val="auto"/>
          <w:spacing w:val="4"/>
          <w:kern w:val="0"/>
          <w:sz w:val="24"/>
          <w:szCs w:val="24"/>
          <w:highlight w:val="none"/>
        </w:rPr>
      </w:pPr>
    </w:p>
    <w:p>
      <w:pPr>
        <w:pStyle w:val="16"/>
        <w:rPr>
          <w:rFonts w:hint="eastAsia"/>
          <w:color w:val="auto"/>
          <w:highlight w:val="none"/>
        </w:rPr>
      </w:pPr>
    </w:p>
    <w:p>
      <w:pPr>
        <w:topLinePunct/>
        <w:adjustRightInd w:val="0"/>
        <w:snapToGrid w:val="0"/>
        <w:spacing w:line="360" w:lineRule="auto"/>
        <w:rPr>
          <w:rFonts w:hint="eastAsia" w:ascii="宋体" w:hAnsi="宋体" w:eastAsia="宋体" w:cs="宋体"/>
          <w:bCs/>
          <w:snapToGrid w:val="0"/>
          <w:color w:val="auto"/>
          <w:spacing w:val="4"/>
          <w:kern w:val="0"/>
          <w:sz w:val="24"/>
          <w:szCs w:val="24"/>
          <w:highlight w:val="none"/>
        </w:rPr>
      </w:pPr>
    </w:p>
    <w:p>
      <w:pPr>
        <w:topLinePunct/>
        <w:adjustRightInd w:val="0"/>
        <w:snapToGrid w:val="0"/>
        <w:spacing w:line="360" w:lineRule="auto"/>
        <w:rPr>
          <w:rFonts w:hint="eastAsia" w:ascii="宋体" w:hAnsi="宋体" w:eastAsia="宋体" w:cs="宋体"/>
          <w:color w:val="auto"/>
          <w:spacing w:val="4"/>
          <w:kern w:val="0"/>
          <w:sz w:val="24"/>
          <w:szCs w:val="24"/>
          <w:highlight w:val="none"/>
          <w:lang w:eastAsia="zh-CN"/>
        </w:rPr>
      </w:pPr>
      <w:r>
        <w:rPr>
          <w:rFonts w:hint="eastAsia" w:ascii="宋体" w:hAnsi="宋体" w:eastAsia="Times New Roman"/>
          <w:bCs/>
          <w:color w:val="auto"/>
          <w:spacing w:val="4"/>
          <w:sz w:val="24"/>
          <w:szCs w:val="24"/>
          <w:highlight w:val="none"/>
        </w:rPr>
        <w:t>经济标格式</w:t>
      </w:r>
      <w:r>
        <w:rPr>
          <w:rFonts w:hint="eastAsia" w:ascii="宋体" w:hAnsi="宋体" w:eastAsia="宋体"/>
          <w:bCs/>
          <w:color w:val="auto"/>
          <w:spacing w:val="4"/>
          <w:sz w:val="24"/>
          <w:szCs w:val="24"/>
          <w:highlight w:val="none"/>
          <w:lang w:val="en-US" w:eastAsia="zh-CN"/>
        </w:rPr>
        <w:t>三：</w:t>
      </w:r>
    </w:p>
    <w:p>
      <w:pPr>
        <w:widowControl/>
        <w:topLinePunct/>
        <w:adjustRightInd w:val="0"/>
        <w:snapToGrid w:val="0"/>
        <w:spacing w:line="273" w:lineRule="auto"/>
        <w:jc w:val="center"/>
        <w:outlineLvl w:val="1"/>
        <w:rPr>
          <w:rFonts w:hint="eastAsia" w:ascii="宋体" w:hAnsi="宋体" w:eastAsia="宋体" w:cs="宋体"/>
          <w:b/>
          <w:bCs/>
          <w:color w:val="auto"/>
          <w:spacing w:val="4"/>
          <w:kern w:val="0"/>
          <w:sz w:val="36"/>
          <w:szCs w:val="36"/>
          <w:highlight w:val="none"/>
        </w:rPr>
      </w:pPr>
      <w:bookmarkStart w:id="47" w:name="_Toc13531"/>
      <w:r>
        <w:rPr>
          <w:rFonts w:hint="eastAsia" w:ascii="宋体" w:hAnsi="宋体" w:eastAsia="宋体" w:cs="宋体"/>
          <w:b/>
          <w:bCs/>
          <w:color w:val="auto"/>
          <w:spacing w:val="4"/>
          <w:kern w:val="0"/>
          <w:sz w:val="36"/>
          <w:szCs w:val="36"/>
          <w:highlight w:val="none"/>
        </w:rPr>
        <w:t>对投标文件编制的承诺</w:t>
      </w:r>
      <w:bookmarkEnd w:id="47"/>
    </w:p>
    <w:p>
      <w:pPr>
        <w:spacing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本公司授权</w:t>
      </w:r>
      <w:r>
        <w:rPr>
          <w:rFonts w:hint="eastAsia" w:ascii="宋体" w:hAnsi="宋体" w:eastAsia="宋体" w:cs="宋体"/>
          <w:color w:val="auto"/>
          <w:kern w:val="0"/>
          <w:sz w:val="24"/>
          <w:szCs w:val="24"/>
          <w:highlight w:val="none"/>
          <w:u w:val="single"/>
        </w:rPr>
        <w:t xml:space="preserve">         （身份证号：               ）</w:t>
      </w:r>
      <w:r>
        <w:rPr>
          <w:rFonts w:hint="eastAsia" w:ascii="宋体" w:hAnsi="宋体" w:eastAsia="宋体" w:cs="宋体"/>
          <w:color w:val="auto"/>
          <w:kern w:val="0"/>
          <w:sz w:val="24"/>
          <w:szCs w:val="24"/>
          <w:highlight w:val="none"/>
        </w:rPr>
        <w:t>负责对投标文件的编制及内容进行解释、说明，并承诺以下事项：</w:t>
      </w:r>
    </w:p>
    <w:p>
      <w:pPr>
        <w:spacing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1.被授权人清楚投标文件编制的具体情况，包括技术方案文件、工程量清单、以及投标文件的加密打包的理解；</w:t>
      </w:r>
    </w:p>
    <w:p>
      <w:pPr>
        <w:spacing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2.在本项目开标至评标结束前，努力确保被授权人在项目评标所在地附近；</w:t>
      </w:r>
    </w:p>
    <w:p>
      <w:pPr>
        <w:spacing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3.从评标委员会要求澄清起二小时内，被授权人应如实地书面澄清。</w:t>
      </w:r>
    </w:p>
    <w:p>
      <w:pPr>
        <w:spacing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如由于未遵守上述承诺内容之一导致无法进行澄清的，我公司认可和接受评标委员会作出的评审结论。                                 </w:t>
      </w:r>
    </w:p>
    <w:p>
      <w:pPr>
        <w:spacing w:line="360" w:lineRule="auto"/>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附件：《投标文件编制情况》</w:t>
      </w:r>
    </w:p>
    <w:p>
      <w:pPr>
        <w:spacing w:line="360" w:lineRule="auto"/>
        <w:ind w:right="90" w:firstLine="3240" w:firstLineChars="1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投标人名称（盖法人公章）：</w:t>
      </w:r>
      <w:r>
        <w:rPr>
          <w:rFonts w:hint="eastAsia" w:ascii="宋体" w:hAnsi="宋体" w:eastAsia="宋体" w:cs="宋体"/>
          <w:color w:val="auto"/>
          <w:sz w:val="24"/>
          <w:szCs w:val="24"/>
          <w:highlight w:val="none"/>
          <w:u w:val="single"/>
        </w:rPr>
        <w:t xml:space="preserve">                  </w:t>
      </w:r>
    </w:p>
    <w:p>
      <w:pPr>
        <w:spacing w:line="360" w:lineRule="auto"/>
        <w:ind w:firstLine="2160" w:firstLineChars="9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法定代表人或被授权人（签字或盖章）：</w:t>
      </w:r>
      <w:r>
        <w:rPr>
          <w:rFonts w:hint="eastAsia" w:ascii="宋体" w:hAnsi="宋体" w:eastAsia="宋体" w:cs="宋体"/>
          <w:color w:val="auto"/>
          <w:sz w:val="24"/>
          <w:szCs w:val="24"/>
          <w:highlight w:val="none"/>
          <w:u w:val="single"/>
        </w:rPr>
        <w:t xml:space="preserve">                  </w:t>
      </w:r>
    </w:p>
    <w:p>
      <w:pPr>
        <w:spacing w:line="360" w:lineRule="auto"/>
        <w:ind w:firstLine="4440" w:firstLineChars="185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48" w:name="_Toc3751"/>
      <w:r>
        <w:rPr>
          <w:rFonts w:hint="eastAsia" w:ascii="宋体" w:hAnsi="宋体" w:eastAsia="宋体" w:cs="宋体"/>
          <w:color w:val="auto"/>
          <w:sz w:val="24"/>
          <w:szCs w:val="24"/>
          <w:highlight w:val="none"/>
        </w:rPr>
        <w:t>日期：      年   月   日</w:t>
      </w:r>
      <w:bookmarkEnd w:id="48"/>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24"/>
          <w:szCs w:val="24"/>
          <w:highlight w:val="none"/>
        </w:rPr>
        <w:t xml:space="preserve">    </w:t>
      </w:r>
    </w:p>
    <w:p>
      <w:pPr>
        <w:widowControl/>
        <w:topLinePunct/>
        <w:adjustRightInd w:val="0"/>
        <w:snapToGrid w:val="0"/>
        <w:spacing w:line="273" w:lineRule="auto"/>
        <w:jc w:val="center"/>
        <w:outlineLvl w:val="1"/>
        <w:rPr>
          <w:rFonts w:hint="eastAsia" w:ascii="宋体" w:hAnsi="宋体" w:eastAsia="宋体" w:cs="宋体"/>
          <w:b/>
          <w:bCs/>
          <w:color w:val="auto"/>
          <w:spacing w:val="4"/>
          <w:kern w:val="0"/>
          <w:sz w:val="36"/>
          <w:szCs w:val="36"/>
          <w:highlight w:val="none"/>
        </w:rPr>
      </w:pPr>
      <w:bookmarkStart w:id="49" w:name="_Toc22554"/>
      <w:r>
        <w:rPr>
          <w:rFonts w:hint="eastAsia" w:ascii="宋体" w:hAnsi="宋体" w:eastAsia="宋体" w:cs="宋体"/>
          <w:b/>
          <w:bCs/>
          <w:color w:val="auto"/>
          <w:spacing w:val="4"/>
          <w:kern w:val="0"/>
          <w:sz w:val="36"/>
          <w:szCs w:val="36"/>
          <w:highlight w:val="none"/>
        </w:rPr>
        <w:t>投标文件编制情况</w:t>
      </w:r>
      <w:bookmarkEnd w:id="49"/>
    </w:p>
    <w:p>
      <w:pPr>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1.投标文件报价编制方式: □自行编制的，编制的负责人：</w:t>
      </w:r>
      <w:r>
        <w:rPr>
          <w:rFonts w:hint="eastAsia" w:ascii="宋体" w:hAnsi="宋体" w:eastAsia="宋体" w:cs="宋体"/>
          <w:color w:val="auto"/>
          <w:kern w:val="0"/>
          <w:sz w:val="24"/>
          <w:szCs w:val="24"/>
          <w:highlight w:val="none"/>
          <w:u w:val="single"/>
        </w:rPr>
        <w:t xml:space="preserve"> （盖造价工程师执业专用章或全国建设工程造价员章，执业单位应与投标人一致） </w:t>
      </w:r>
      <w:r>
        <w:rPr>
          <w:rFonts w:hint="eastAsia" w:ascii="宋体" w:hAnsi="宋体" w:eastAsia="宋体" w:cs="宋体"/>
          <w:color w:val="auto"/>
          <w:kern w:val="0"/>
          <w:sz w:val="24"/>
          <w:szCs w:val="24"/>
          <w:highlight w:val="none"/>
        </w:rPr>
        <w:t>。□委托编制的，受委托单位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，编制的负责人：</w:t>
      </w:r>
      <w:r>
        <w:rPr>
          <w:rFonts w:hint="eastAsia" w:ascii="宋体" w:hAnsi="宋体" w:eastAsia="宋体" w:cs="宋体"/>
          <w:color w:val="auto"/>
          <w:kern w:val="0"/>
          <w:sz w:val="24"/>
          <w:szCs w:val="24"/>
          <w:highlight w:val="none"/>
          <w:u w:val="single"/>
        </w:rPr>
        <w:t xml:space="preserve"> （盖造价工程师执业专用章或全国建设工程造价员章，执业单位应与受委托单位一致） </w:t>
      </w:r>
      <w:r>
        <w:rPr>
          <w:rFonts w:hint="eastAsia" w:ascii="宋体" w:hAnsi="宋体" w:eastAsia="宋体" w:cs="宋体"/>
          <w:color w:val="auto"/>
          <w:kern w:val="0"/>
          <w:sz w:val="24"/>
          <w:szCs w:val="24"/>
          <w:highlight w:val="none"/>
        </w:rPr>
        <w:t>。</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2.投标文件加密打包的电脑情况</w:t>
      </w:r>
    </w:p>
    <w:p>
      <w:pPr>
        <w:pStyle w:val="11"/>
        <w:rPr>
          <w:rFonts w:hint="eastAsia" w:ascii="宋体" w:hAnsi="宋体" w:eastAsia="宋体" w:cs="宋体"/>
          <w:color w:val="auto"/>
          <w:kern w:val="0"/>
          <w:sz w:val="24"/>
          <w:szCs w:val="24"/>
          <w:highlight w:val="none"/>
        </w:rPr>
      </w:pPr>
    </w:p>
    <w:p>
      <w:pPr>
        <w:rPr>
          <w:rFonts w:hint="eastAsia" w:ascii="宋体" w:hAnsi="宋体" w:eastAsia="宋体" w:cs="宋体"/>
          <w:color w:val="auto"/>
          <w:highlight w:val="none"/>
        </w:rPr>
      </w:pPr>
    </w:p>
    <w:tbl>
      <w:tblPr>
        <w:tblStyle w:val="20"/>
        <w:tblW w:w="0" w:type="auto"/>
        <w:tblInd w:w="0" w:type="dxa"/>
        <w:tblLayout w:type="fixed"/>
        <w:tblCellMar>
          <w:top w:w="0" w:type="dxa"/>
          <w:left w:w="108" w:type="dxa"/>
          <w:bottom w:w="0" w:type="dxa"/>
          <w:right w:w="108" w:type="dxa"/>
        </w:tblCellMar>
      </w:tblPr>
      <w:tblGrid>
        <w:gridCol w:w="9740"/>
      </w:tblGrid>
      <w:tr>
        <w:tblPrEx>
          <w:tblCellMar>
            <w:top w:w="0" w:type="dxa"/>
            <w:left w:w="108" w:type="dxa"/>
            <w:bottom w:w="0" w:type="dxa"/>
            <w:right w:w="108" w:type="dxa"/>
          </w:tblCellMar>
        </w:tblPrEx>
        <w:trPr>
          <w:trHeight w:val="2744" w:hRule="atLeast"/>
        </w:trPr>
        <w:tc>
          <w:tcPr>
            <w:tcW w:w="9740"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投标文件加密打包的电脑     自有    □      外包    □     其他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电脑类型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电脑所属单位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电脑所在地址        （如××市××区(县) ××街（路）××号××大厦××房）</w:t>
            </w:r>
          </w:p>
        </w:tc>
      </w:tr>
    </w:tbl>
    <w:p>
      <w:pPr>
        <w:spacing w:line="320" w:lineRule="exact"/>
        <w:rPr>
          <w:rFonts w:hint="eastAsia" w:ascii="宋体" w:hAnsi="宋体" w:eastAsia="宋体" w:cs="宋体"/>
          <w:color w:val="auto"/>
          <w:szCs w:val="21"/>
          <w:highlight w:val="none"/>
        </w:rPr>
      </w:pPr>
    </w:p>
    <w:p>
      <w:pPr>
        <w:numPr>
          <w:ilvl w:val="-1"/>
          <w:numId w:val="0"/>
        </w:numPr>
        <w:topLinePunct/>
        <w:adjustRightInd w:val="0"/>
        <w:snapToGrid w:val="0"/>
        <w:spacing w:after="156" w:afterLines="50" w:line="240" w:lineRule="auto"/>
        <w:jc w:val="center"/>
        <w:outlineLvl w:val="1"/>
        <w:rPr>
          <w:rFonts w:hint="eastAsia" w:ascii="宋体" w:hAnsi="宋体" w:eastAsia="宋体" w:cs="宋体"/>
          <w:b w:val="0"/>
          <w:snapToGrid/>
          <w:color w:val="auto"/>
          <w:spacing w:val="4"/>
          <w:kern w:val="0"/>
          <w:sz w:val="44"/>
          <w:szCs w:val="44"/>
          <w:highlight w:val="none"/>
          <w:lang w:val="en-US" w:eastAsia="zh-CN"/>
        </w:rPr>
      </w:pPr>
      <w:bookmarkStart w:id="50" w:name="_Toc2272569"/>
    </w:p>
    <w:p>
      <w:pPr>
        <w:tabs>
          <w:tab w:val="left" w:pos="720"/>
        </w:tabs>
        <w:snapToGrid w:val="0"/>
        <w:spacing w:line="360" w:lineRule="auto"/>
        <w:jc w:val="center"/>
        <w:rPr>
          <w:rStyle w:val="33"/>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 xml:space="preserve"> </w:t>
      </w:r>
      <w:bookmarkStart w:id="51" w:name="_Toc2272568"/>
      <w:bookmarkStart w:id="52" w:name="_Toc9312"/>
      <w:r>
        <w:rPr>
          <w:rStyle w:val="33"/>
          <w:rFonts w:hint="eastAsia" w:ascii="宋体" w:hAnsi="宋体" w:eastAsia="宋体" w:cs="宋体"/>
          <w:b/>
          <w:bCs w:val="0"/>
          <w:color w:val="auto"/>
          <w:sz w:val="24"/>
          <w:szCs w:val="24"/>
          <w:highlight w:val="none"/>
        </w:rPr>
        <w:t>第五章  技术条件（工程建设标准）</w:t>
      </w:r>
      <w:bookmarkEnd w:id="51"/>
    </w:p>
    <w:bookmarkEnd w:id="52"/>
    <w:p>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一、标准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以现行的中华人民共和国及有关部委颁布的标准、规范、和规程。若施工时期建设主管部门颁布新的规范、标准，则按照新的规范、标准执行。</w:t>
      </w: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二、施工组织设计要点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如果中标，中标人应按项目的进展需求，并在规定的时间内按要点要求，编制详细的施工组织设计，作为工程施工的指导性文件，向建设单位提交一式四份的《施工组织设计方案》，内容包括（不限于）以下：</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（一）工程概况及特点</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1.1 工程概况</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工程简述，工程规模，工程承包范围，地质及地貌状况，自然环境，交通情况等。</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1.2 工程特点</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设计特点、工程特点、影响施工的主要和特殊环节分析等。</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（二）施工现场组织机构</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2.1 组织机构关系图</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2.2 工程主要负责人简介。</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（三）施工现场总平面布置图</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3.1 施工现场平面布置图</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（四）施工方案</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4.1 施工准备</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简要叙述施工技术资料、材料、通讯、施工场地的准备，施工机械、施工力量的配置，以及生活设施等的准备情况。主要施工机械设备表。</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4.2 施工工序总体安排</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4.3 主要工序和特殊工序的施工方法和施工效率估计，潜在问题的分析。</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4.4 工程成本的控制措施为控制成本，提高效益，拟采取的措施。</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（五）工期及施工进度计划</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5.1 工期规划及要求</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用横道图反映各主要施工过程的计划进度，深度达到全面、准确、清楚的描述工程实施过程，从中可衍生出各种施工资源计划及其过程管理信息。</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5.2 施工进度计划网络图</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施工网络图应明确工程开工、竣工日期，工程施工的关键路线，并针对关键工序，提出确保工期拟采取的措施。</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5.3 施工资源（人力、材料、机具、场地及进场道路、公共关系）计划</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5.4 施工进度计划分析</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计划潜在问题，计划中的潜力及其开发途径等。</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5.5 计划控制</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程序、方法及制度等。</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（六）质量目标、质量保证体系及技术组织措施</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6.1 质量目标</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本工程要求的质量目标：合格。</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用单位工程和分项工程合格率、优良品率表示，欲达到的工程质量等级。</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6.2 质量管理组织机构及主要职责</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用框图表示质量管理组织机构，并简要叙述各质量管理部门的主要职责。</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6.3 质量管理的措施</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简要叙述质量管理的措施和关键工序的质量控制。</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6.4 质量管理及检验的标准</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执行的主要质量标准、规范。</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6.5 质量保证技术措施</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针对本工程特点，分析质量薄弱环节，拟将采取的技术措施。</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（七）安全目标、安全保证体系及技术组织措施</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7.1 安全管理目标</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7.2 安全管理组织机构及主要职责</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用框图表示安全管理组织机构，并简要叙述各安全管理部门及人员的主要职责。</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7.3 安全管理制度及办法</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7.4 安全组织技术措施</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针对本工程特点，分析安全薄弱环节，拟将采取的技术措施。</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7.5 重要施工方案和特殊施工工序的安全过程控制</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pPr>
        <w:spacing w:line="360" w:lineRule="auto"/>
        <w:ind w:firstLine="424" w:firstLineChars="177"/>
        <w:rPr>
          <w:rFonts w:hint="eastAsia" w:ascii="宋体" w:hAnsi="宋体" w:cs="宋体"/>
          <w:color w:val="auto"/>
          <w:sz w:val="24"/>
          <w:szCs w:val="24"/>
          <w:highlight w:val="none"/>
        </w:rPr>
      </w:pPr>
      <w:bookmarkStart w:id="53" w:name="_Hlt531956504"/>
      <w:r>
        <w:rPr>
          <w:rFonts w:hint="eastAsia" w:ascii="宋体" w:hAnsi="宋体" w:cs="宋体"/>
          <w:color w:val="auto"/>
          <w:sz w:val="24"/>
          <w:szCs w:val="24"/>
          <w:highlight w:val="none"/>
        </w:rPr>
        <w:t>安全生产目标：杜绝本项目施工人员重大伤亡事故。</w:t>
      </w:r>
      <w:bookmarkEnd w:id="53"/>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文明施工目标：标准化管理。</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（八）环境保护及文明施工</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8.1 环境保护</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分析因施工可能引起的环境保护方面的问题。</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8.2 加强施工管理、严格保护环境</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提出环境保护的目标及采取的具体措施。</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8.3 文明施工的目标、组织机构和实施方案</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8.4 文明施工考核、管理办法</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（九）计划、统计和信息管理</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9.1 计划、统计报表的编制与传递；</w:t>
      </w:r>
    </w:p>
    <w:p>
      <w:pPr>
        <w:spacing w:line="360" w:lineRule="auto"/>
        <w:ind w:firstLine="424" w:firstLineChars="177"/>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9.2 信息管理</w:t>
      </w:r>
    </w:p>
    <w:p>
      <w:pPr>
        <w:spacing w:line="360" w:lineRule="auto"/>
        <w:ind w:firstLine="424" w:firstLineChars="177"/>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提出信息管理的目标及拟将采取的措施。</w:t>
      </w:r>
    </w:p>
    <w:p>
      <w:pPr>
        <w:spacing w:line="360" w:lineRule="auto"/>
        <w:ind w:firstLine="424" w:firstLineChars="177"/>
        <w:rPr>
          <w:rFonts w:hint="eastAsia" w:ascii="宋体" w:hAnsi="宋体" w:eastAsia="宋体" w:cs="宋体"/>
          <w:color w:val="auto"/>
          <w:sz w:val="24"/>
          <w:szCs w:val="24"/>
          <w:highlight w:val="none"/>
        </w:rPr>
      </w:pPr>
    </w:p>
    <w:p>
      <w:pPr>
        <w:spacing w:line="360" w:lineRule="auto"/>
        <w:ind w:firstLine="424" w:firstLineChars="177"/>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Cs w:val="20"/>
          <w:highlight w:val="none"/>
        </w:rPr>
      </w:pPr>
    </w:p>
    <w:p>
      <w:pPr>
        <w:autoSpaceDE w:val="0"/>
        <w:autoSpaceDN w:val="0"/>
        <w:adjustRightInd w:val="0"/>
        <w:spacing w:line="360" w:lineRule="auto"/>
        <w:rPr>
          <w:rFonts w:hint="eastAsia" w:ascii="宋体" w:hAnsi="宋体" w:eastAsia="宋体" w:cs="宋体"/>
          <w:color w:val="auto"/>
          <w:sz w:val="24"/>
          <w:szCs w:val="24"/>
          <w:highlight w:val="none"/>
        </w:rPr>
      </w:pPr>
    </w:p>
    <w:p>
      <w:pPr>
        <w:pStyle w:val="2"/>
        <w:jc w:val="center"/>
        <w:rPr>
          <w:rFonts w:hint="eastAsia" w:ascii="宋体" w:hAnsi="宋体" w:eastAsia="宋体" w:cs="宋体"/>
          <w:color w:val="auto"/>
          <w:sz w:val="24"/>
          <w:szCs w:val="24"/>
          <w:highlight w:val="none"/>
        </w:rPr>
      </w:pPr>
    </w:p>
    <w:p>
      <w:pPr>
        <w:pStyle w:val="2"/>
        <w:jc w:val="cente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rPr>
          <w:rFonts w:hint="eastAsia"/>
          <w:color w:val="auto"/>
          <w:highlight w:val="none"/>
        </w:rPr>
      </w:pPr>
    </w:p>
    <w:p>
      <w:pPr>
        <w:jc w:val="center"/>
        <w:rPr>
          <w:rFonts w:hint="eastAsia" w:ascii="宋体" w:hAnsi="宋体" w:eastAsia="宋体" w:cs="宋体"/>
          <w:color w:val="auto"/>
          <w:sz w:val="24"/>
          <w:szCs w:val="24"/>
          <w:highlight w:val="none"/>
        </w:rPr>
      </w:pPr>
      <w:bookmarkStart w:id="54" w:name="_Toc9353"/>
      <w:r>
        <w:rPr>
          <w:rFonts w:hint="eastAsia" w:ascii="宋体" w:hAnsi="宋体" w:eastAsia="宋体" w:cs="宋体"/>
          <w:color w:val="auto"/>
          <w:sz w:val="24"/>
          <w:szCs w:val="24"/>
          <w:highlight w:val="none"/>
        </w:rPr>
        <w:br w:type="page"/>
      </w:r>
    </w:p>
    <w:p>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图纸及勘察资料</w:t>
      </w:r>
      <w:bookmarkEnd w:id="50"/>
      <w:bookmarkEnd w:id="54"/>
    </w:p>
    <w:p>
      <w:pPr>
        <w:rPr>
          <w:rFonts w:ascii="宋体"/>
          <w:b/>
          <w:color w:val="auto"/>
          <w:sz w:val="24"/>
          <w:szCs w:val="24"/>
          <w:highlight w:val="none"/>
        </w:rPr>
      </w:pPr>
      <w:r>
        <w:rPr>
          <w:rFonts w:hint="eastAsia" w:ascii="宋体" w:hAnsi="宋体"/>
          <w:color w:val="auto"/>
          <w:sz w:val="24"/>
          <w:szCs w:val="24"/>
          <w:highlight w:val="none"/>
        </w:rPr>
        <w:t>注：本章由招标人自行制定，另册。</w:t>
      </w:r>
    </w:p>
    <w:p>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55" w:name="_Toc22481"/>
      <w:bookmarkStart w:id="56" w:name="_Toc2272570"/>
      <w:r>
        <w:rPr>
          <w:rFonts w:hint="eastAsia" w:ascii="宋体" w:hAnsi="宋体" w:eastAsia="宋体" w:cs="宋体"/>
          <w:color w:val="auto"/>
          <w:sz w:val="24"/>
          <w:szCs w:val="24"/>
          <w:highlight w:val="none"/>
        </w:rPr>
        <w:t>第七章  工程量清单</w:t>
      </w:r>
      <w:bookmarkEnd w:id="55"/>
      <w:bookmarkEnd w:id="56"/>
    </w:p>
    <w:p>
      <w:pPr>
        <w:rPr>
          <w:rFonts w:ascii="宋体"/>
          <w:b/>
          <w:color w:val="auto"/>
          <w:sz w:val="24"/>
          <w:szCs w:val="24"/>
          <w:highlight w:val="none"/>
        </w:rPr>
      </w:pPr>
      <w:r>
        <w:rPr>
          <w:rFonts w:hint="eastAsia" w:ascii="宋体" w:hAnsi="宋体"/>
          <w:color w:val="auto"/>
          <w:sz w:val="24"/>
          <w:szCs w:val="24"/>
          <w:highlight w:val="none"/>
        </w:rPr>
        <w:t>注：本章由招标人自行制定。</w:t>
      </w:r>
    </w:p>
    <w:p>
      <w:pPr>
        <w:pStyle w:val="18"/>
        <w:spacing w:after="0" w:line="360" w:lineRule="auto"/>
        <w:ind w:left="-2" w:leftChars="-1" w:firstLine="960" w:firstLineChars="400"/>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57" w:name="_Toc3710"/>
      <w:bookmarkStart w:id="58" w:name="_Toc2272571"/>
      <w:r>
        <w:rPr>
          <w:rFonts w:hint="eastAsia" w:ascii="宋体" w:hAnsi="宋体" w:eastAsia="宋体" w:cs="宋体"/>
          <w:color w:val="auto"/>
          <w:sz w:val="24"/>
          <w:szCs w:val="24"/>
          <w:highlight w:val="none"/>
        </w:rPr>
        <w:t>第八章  最高投标限价</w:t>
      </w:r>
      <w:bookmarkEnd w:id="57"/>
      <w:bookmarkEnd w:id="58"/>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spacing w:line="360" w:lineRule="auto"/>
        <w:jc w:val="center"/>
        <w:rPr>
          <w:rFonts w:ascii="宋体" w:hAnsi="宋体"/>
          <w:color w:val="auto"/>
          <w:sz w:val="24"/>
          <w:szCs w:val="24"/>
          <w:highlight w:val="none"/>
          <w:u w:val="single"/>
        </w:rPr>
      </w:pPr>
      <w:r>
        <w:rPr>
          <w:rFonts w:hint="eastAsia" w:ascii="宋体" w:hAnsi="宋体"/>
          <w:color w:val="auto"/>
          <w:sz w:val="24"/>
          <w:szCs w:val="24"/>
          <w:highlight w:val="none"/>
          <w:u w:val="single"/>
        </w:rPr>
        <w:t>（另册）</w:t>
      </w:r>
    </w:p>
    <w:p>
      <w:pPr>
        <w:spacing w:line="360" w:lineRule="auto"/>
        <w:ind w:firstLine="480"/>
        <w:rPr>
          <w:rFonts w:hint="eastAsia" w:ascii="宋体" w:hAnsi="宋体" w:eastAsia="宋体" w:cs="宋体"/>
          <w:color w:val="auto"/>
          <w:sz w:val="24"/>
          <w:szCs w:val="24"/>
          <w:highlight w:val="none"/>
          <w:u w:val="single"/>
        </w:rPr>
      </w:pPr>
    </w:p>
    <w:p>
      <w:pPr>
        <w:spacing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p>
    <w:sectPr>
      <w:headerReference r:id="rId10" w:type="default"/>
      <w:footerReference r:id="rId11" w:type="default"/>
      <w:pgSz w:w="11906" w:h="16838"/>
      <w:pgMar w:top="1080" w:right="1440" w:bottom="108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21</w:t>
    </w:r>
    <w:r>
      <w:fldChar w:fldCharType="end"/>
    </w:r>
  </w:p>
  <w:p>
    <w:pPr>
      <w:pStyle w:val="13"/>
      <w:ind w:firstLine="392"/>
      <w:rPr>
        <w:rStyle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92"/>
      <w:rPr>
        <w:rStyle w:val="22"/>
      </w:rPr>
    </w:pPr>
    <w:r>
      <w:fldChar w:fldCharType="begin"/>
    </w:r>
    <w:r>
      <w:rPr>
        <w:rStyle w:val="22"/>
      </w:rPr>
      <w:instrText xml:space="preserve">PAGE  </w:instrText>
    </w:r>
    <w:r>
      <w:fldChar w:fldCharType="separate"/>
    </w:r>
    <w:r>
      <w:rPr>
        <w:rStyle w:val="22"/>
        <w:rFonts w:hint="eastAsia"/>
      </w:rPr>
      <w:t>一</w:t>
    </w:r>
    <w:r>
      <w:rPr>
        <w:rStyle w:val="22"/>
      </w:rPr>
      <w:t>–2</w:t>
    </w:r>
    <w:r>
      <w:fldChar w:fldCharType="end"/>
    </w:r>
  </w:p>
  <w:p>
    <w:pPr>
      <w:pStyle w:val="13"/>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11</w:t>
    </w:r>
    <w:r>
      <w:fldChar w:fldCharType="end"/>
    </w:r>
  </w:p>
  <w:p>
    <w:pPr>
      <w:pStyle w:val="13"/>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109</w: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n6SssPAgAADwQAAA4AAAAAAAAAAQAgAAAA&#10;HwEAAGRycy9lMm9Eb2MueG1sUEsFBgAAAAAGAAYAWQEAAKA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8"/>
    <w:multiLevelType w:val="singleLevel"/>
    <w:tmpl w:val="00000008"/>
    <w:lvl w:ilvl="0" w:tentative="0">
      <w:start w:val="1"/>
      <w:numFmt w:val="japaneseCounting"/>
      <w:lvlText w:val="%1、"/>
      <w:lvlJc w:val="left"/>
      <w:pPr>
        <w:tabs>
          <w:tab w:val="left" w:pos="960"/>
        </w:tabs>
        <w:ind w:left="960" w:hanging="480"/>
      </w:pPr>
    </w:lvl>
  </w:abstractNum>
  <w:abstractNum w:abstractNumId="2">
    <w:nsid w:val="0000000B"/>
    <w:multiLevelType w:val="singleLevel"/>
    <w:tmpl w:val="0000000B"/>
    <w:lvl w:ilvl="0" w:tentative="0">
      <w:start w:val="1"/>
      <w:numFmt w:val="decimal"/>
      <w:suff w:val="nothing"/>
      <w:lvlText w:val="（%1）"/>
      <w:lvlJc w:val="left"/>
    </w:lvl>
  </w:abstractNum>
  <w:abstractNum w:abstractNumId="3">
    <w:nsid w:val="0000000C"/>
    <w:multiLevelType w:val="singleLevel"/>
    <w:tmpl w:val="0000000C"/>
    <w:lvl w:ilvl="0" w:tentative="0">
      <w:start w:val="1"/>
      <w:numFmt w:val="decimal"/>
      <w:suff w:val="nothing"/>
      <w:lvlText w:val="（%1）"/>
      <w:lvlJc w:val="left"/>
    </w:lvl>
  </w:abstractNum>
  <w:abstractNum w:abstractNumId="4">
    <w:nsid w:val="00000010"/>
    <w:multiLevelType w:val="multilevel"/>
    <w:tmpl w:val="00000010"/>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01BB16A0"/>
    <w:multiLevelType w:val="singleLevel"/>
    <w:tmpl w:val="01BB16A0"/>
    <w:lvl w:ilvl="0" w:tentative="0">
      <w:start w:val="4"/>
      <w:numFmt w:val="chineseCounting"/>
      <w:suff w:val="space"/>
      <w:lvlText w:val="第%1部分"/>
      <w:lvlJc w:val="left"/>
      <w:rPr>
        <w:rFonts w:hint="eastAsia"/>
      </w:rPr>
    </w:lvl>
  </w:abstractNum>
  <w:abstractNum w:abstractNumId="6">
    <w:nsid w:val="14181B7E"/>
    <w:multiLevelType w:val="singleLevel"/>
    <w:tmpl w:val="14181B7E"/>
    <w:lvl w:ilvl="0" w:tentative="0">
      <w:start w:val="1"/>
      <w:numFmt w:val="decimal"/>
      <w:suff w:val="nothing"/>
      <w:lvlText w:val="%1、"/>
      <w:lvlJc w:val="left"/>
    </w:lvl>
  </w:abstractNum>
  <w:abstractNum w:abstractNumId="7">
    <w:nsid w:val="5CADBC91"/>
    <w:multiLevelType w:val="singleLevel"/>
    <w:tmpl w:val="5CADBC91"/>
    <w:lvl w:ilvl="0" w:tentative="0">
      <w:start w:val="1"/>
      <w:numFmt w:val="decimal"/>
      <w:suff w:val="nothing"/>
      <w:lvlText w:val="（%1）"/>
      <w:lvlJc w:val="left"/>
    </w:lvl>
  </w:abstractNum>
  <w:abstractNum w:abstractNumId="8">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2"/>
  </w:num>
  <w:num w:numId="4">
    <w:abstractNumId w:val="5"/>
  </w:num>
  <w:num w:numId="5">
    <w:abstractNumId w:val="6"/>
  </w:num>
  <w:num w:numId="6">
    <w:abstractNumId w:val="1"/>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ZjM1YzYzYzVmN2YzZTI3NzBlODYyNjIwODEyZTIifQ=="/>
  </w:docVars>
  <w:rsids>
    <w:rsidRoot w:val="6ECA11E3"/>
    <w:rsid w:val="005B5E13"/>
    <w:rsid w:val="00A24B21"/>
    <w:rsid w:val="00D95AE5"/>
    <w:rsid w:val="016025FC"/>
    <w:rsid w:val="019D4E55"/>
    <w:rsid w:val="02182ED7"/>
    <w:rsid w:val="02EF1E8A"/>
    <w:rsid w:val="04F875A0"/>
    <w:rsid w:val="06B900B8"/>
    <w:rsid w:val="07DE427B"/>
    <w:rsid w:val="07F77C97"/>
    <w:rsid w:val="082A3964"/>
    <w:rsid w:val="0A081EEC"/>
    <w:rsid w:val="0CA77331"/>
    <w:rsid w:val="0CD4440C"/>
    <w:rsid w:val="100D0BBD"/>
    <w:rsid w:val="105F163C"/>
    <w:rsid w:val="11647F5F"/>
    <w:rsid w:val="12C43AFC"/>
    <w:rsid w:val="134231CE"/>
    <w:rsid w:val="15472268"/>
    <w:rsid w:val="16815D1C"/>
    <w:rsid w:val="178A7F7B"/>
    <w:rsid w:val="19C3747C"/>
    <w:rsid w:val="1D100F23"/>
    <w:rsid w:val="1D554B87"/>
    <w:rsid w:val="1E263889"/>
    <w:rsid w:val="1E651EA7"/>
    <w:rsid w:val="1E65704C"/>
    <w:rsid w:val="1EEC53C1"/>
    <w:rsid w:val="1F3E6060"/>
    <w:rsid w:val="1F8025E1"/>
    <w:rsid w:val="212D7572"/>
    <w:rsid w:val="21470119"/>
    <w:rsid w:val="2184175C"/>
    <w:rsid w:val="221413B9"/>
    <w:rsid w:val="223D0F38"/>
    <w:rsid w:val="247C4C34"/>
    <w:rsid w:val="24AC2947"/>
    <w:rsid w:val="2546353E"/>
    <w:rsid w:val="255F65A3"/>
    <w:rsid w:val="25F969F8"/>
    <w:rsid w:val="26796F4A"/>
    <w:rsid w:val="26BE3237"/>
    <w:rsid w:val="27A95429"/>
    <w:rsid w:val="2A3E56F6"/>
    <w:rsid w:val="2A675350"/>
    <w:rsid w:val="2BDF4B0D"/>
    <w:rsid w:val="2C2C5AB4"/>
    <w:rsid w:val="2CD06DD8"/>
    <w:rsid w:val="2D14731D"/>
    <w:rsid w:val="2D7B31C8"/>
    <w:rsid w:val="2DCE2518"/>
    <w:rsid w:val="2E112C5C"/>
    <w:rsid w:val="2EB27755"/>
    <w:rsid w:val="2EFA19CE"/>
    <w:rsid w:val="2F2A2D4D"/>
    <w:rsid w:val="2FB7406E"/>
    <w:rsid w:val="30753757"/>
    <w:rsid w:val="3331759D"/>
    <w:rsid w:val="33BA52ED"/>
    <w:rsid w:val="34E15963"/>
    <w:rsid w:val="35727C2D"/>
    <w:rsid w:val="35CD711E"/>
    <w:rsid w:val="36933369"/>
    <w:rsid w:val="36BD576F"/>
    <w:rsid w:val="36DB190F"/>
    <w:rsid w:val="36F823B4"/>
    <w:rsid w:val="3701042F"/>
    <w:rsid w:val="371D536D"/>
    <w:rsid w:val="37373A04"/>
    <w:rsid w:val="37ED0850"/>
    <w:rsid w:val="38136029"/>
    <w:rsid w:val="389425B0"/>
    <w:rsid w:val="38C62993"/>
    <w:rsid w:val="39595C88"/>
    <w:rsid w:val="3ADC4083"/>
    <w:rsid w:val="3C466D4E"/>
    <w:rsid w:val="3DAE273F"/>
    <w:rsid w:val="3DD504CF"/>
    <w:rsid w:val="3E813523"/>
    <w:rsid w:val="3EDC0ECC"/>
    <w:rsid w:val="4067023A"/>
    <w:rsid w:val="407960B9"/>
    <w:rsid w:val="412A3AB2"/>
    <w:rsid w:val="415E375B"/>
    <w:rsid w:val="42D37FA3"/>
    <w:rsid w:val="42FB288E"/>
    <w:rsid w:val="43566DE0"/>
    <w:rsid w:val="43AF5C05"/>
    <w:rsid w:val="44BD25D7"/>
    <w:rsid w:val="450A60D4"/>
    <w:rsid w:val="464B166D"/>
    <w:rsid w:val="466963C3"/>
    <w:rsid w:val="483C5694"/>
    <w:rsid w:val="49125FFB"/>
    <w:rsid w:val="491C4628"/>
    <w:rsid w:val="49FD2121"/>
    <w:rsid w:val="4A144EDF"/>
    <w:rsid w:val="4A7E62C5"/>
    <w:rsid w:val="4AC24D5B"/>
    <w:rsid w:val="4B01452B"/>
    <w:rsid w:val="4C3479F8"/>
    <w:rsid w:val="4C4B0ACB"/>
    <w:rsid w:val="4CDB7E70"/>
    <w:rsid w:val="4DB56DF9"/>
    <w:rsid w:val="4F0612C4"/>
    <w:rsid w:val="4FE45773"/>
    <w:rsid w:val="524424F9"/>
    <w:rsid w:val="52532C9B"/>
    <w:rsid w:val="52AA6800"/>
    <w:rsid w:val="52C16224"/>
    <w:rsid w:val="5316330F"/>
    <w:rsid w:val="54931516"/>
    <w:rsid w:val="54F46459"/>
    <w:rsid w:val="550C072E"/>
    <w:rsid w:val="56E90F5B"/>
    <w:rsid w:val="57174FB2"/>
    <w:rsid w:val="573C16D0"/>
    <w:rsid w:val="57B462A2"/>
    <w:rsid w:val="57E417E0"/>
    <w:rsid w:val="58634CBB"/>
    <w:rsid w:val="58FA2E94"/>
    <w:rsid w:val="591311F4"/>
    <w:rsid w:val="59E3160A"/>
    <w:rsid w:val="5A5D23AA"/>
    <w:rsid w:val="5A9D1E29"/>
    <w:rsid w:val="5B622594"/>
    <w:rsid w:val="5B9938B6"/>
    <w:rsid w:val="5B9A46F8"/>
    <w:rsid w:val="5D083339"/>
    <w:rsid w:val="5E793C16"/>
    <w:rsid w:val="60C16F3B"/>
    <w:rsid w:val="60F65306"/>
    <w:rsid w:val="631B2E02"/>
    <w:rsid w:val="64106469"/>
    <w:rsid w:val="64943E02"/>
    <w:rsid w:val="65F57186"/>
    <w:rsid w:val="67A755AC"/>
    <w:rsid w:val="67BE6D26"/>
    <w:rsid w:val="68384D1D"/>
    <w:rsid w:val="69CF1EED"/>
    <w:rsid w:val="6B50669B"/>
    <w:rsid w:val="6C127F06"/>
    <w:rsid w:val="6E8F15D9"/>
    <w:rsid w:val="6ECA11E3"/>
    <w:rsid w:val="6F007327"/>
    <w:rsid w:val="6F434296"/>
    <w:rsid w:val="6F5361F2"/>
    <w:rsid w:val="702B4B0F"/>
    <w:rsid w:val="715274D7"/>
    <w:rsid w:val="72DB4A4B"/>
    <w:rsid w:val="763F1AD3"/>
    <w:rsid w:val="776C5995"/>
    <w:rsid w:val="781A5362"/>
    <w:rsid w:val="788A03B6"/>
    <w:rsid w:val="79892D64"/>
    <w:rsid w:val="79A33E26"/>
    <w:rsid w:val="79F44419"/>
    <w:rsid w:val="7A316896"/>
    <w:rsid w:val="7B095F8D"/>
    <w:rsid w:val="7B9F686F"/>
    <w:rsid w:val="7C4C3032"/>
    <w:rsid w:val="7C9F72EF"/>
    <w:rsid w:val="7D175611"/>
    <w:rsid w:val="7F0E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33"/>
    <w:autoRedefine/>
    <w:qFormat/>
    <w:uiPriority w:val="0"/>
    <w:pPr>
      <w:keepNext/>
      <w:keepLines/>
      <w:spacing w:after="120" w:line="360" w:lineRule="auto"/>
      <w:jc w:val="left"/>
      <w:outlineLvl w:val="0"/>
    </w:pPr>
    <w:rPr>
      <w:kern w:val="44"/>
      <w:sz w:val="28"/>
      <w:szCs w:val="28"/>
    </w:rPr>
  </w:style>
  <w:style w:type="paragraph" w:styleId="4">
    <w:name w:val="heading 2"/>
    <w:basedOn w:val="1"/>
    <w:next w:val="5"/>
    <w:autoRedefine/>
    <w:qFormat/>
    <w:uiPriority w:val="0"/>
    <w:pPr>
      <w:keepNext/>
      <w:keepLines/>
      <w:numPr>
        <w:ilvl w:val="1"/>
        <w:numId w:val="0"/>
      </w:numPr>
      <w:spacing w:before="120" w:after="120" w:line="415" w:lineRule="auto"/>
      <w:ind w:left="454"/>
      <w:jc w:val="center"/>
      <w:outlineLvl w:val="1"/>
    </w:pPr>
    <w:rPr>
      <w:rFonts w:ascii="Arial" w:hAnsi="Arial" w:eastAsia="宋体"/>
      <w:b/>
      <w:color w:val="000000"/>
      <w:kern w:val="0"/>
      <w:sz w:val="24"/>
      <w:szCs w:val="24"/>
    </w:rPr>
  </w:style>
  <w:style w:type="paragraph" w:styleId="6">
    <w:name w:val="heading 3"/>
    <w:basedOn w:val="1"/>
    <w:next w:val="1"/>
    <w:autoRedefine/>
    <w:qFormat/>
    <w:uiPriority w:val="0"/>
    <w:pPr>
      <w:widowControl/>
      <w:spacing w:before="100" w:beforeAutospacing="1" w:after="100" w:afterAutospacing="1"/>
      <w:jc w:val="left"/>
      <w:outlineLvl w:val="2"/>
    </w:pPr>
    <w:rPr>
      <w:rFonts w:ascii="宋体" w:hAnsi="宋体" w:eastAsia="宋体"/>
      <w:kern w:val="0"/>
      <w:sz w:val="27"/>
      <w:szCs w:val="27"/>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120" w:after="60"/>
      <w:jc w:val="center"/>
    </w:pPr>
    <w:rPr>
      <w:rFonts w:ascii="Arial" w:hAnsi="Arial" w:eastAsia="宋体"/>
      <w:b/>
      <w:kern w:val="0"/>
      <w:sz w:val="44"/>
      <w:szCs w:val="20"/>
    </w:rPr>
  </w:style>
  <w:style w:type="paragraph" w:styleId="5">
    <w:name w:val="Normal Indent"/>
    <w:basedOn w:val="1"/>
    <w:autoRedefine/>
    <w:qFormat/>
    <w:uiPriority w:val="0"/>
    <w:pPr>
      <w:ind w:firstLine="420"/>
    </w:pPr>
    <w:rPr>
      <w:rFonts w:ascii="Times New Roman" w:hAnsi="Times New Roman"/>
      <w:szCs w:val="20"/>
    </w:rPr>
  </w:style>
  <w:style w:type="paragraph" w:styleId="7">
    <w:name w:val="annotation text"/>
    <w:basedOn w:val="1"/>
    <w:autoRedefine/>
    <w:qFormat/>
    <w:uiPriority w:val="0"/>
    <w:pPr>
      <w:spacing w:line="360" w:lineRule="auto"/>
      <w:ind w:firstLine="523" w:firstLineChars="218"/>
      <w:jc w:val="left"/>
    </w:pPr>
    <w:rPr>
      <w:rFonts w:ascii="宋体" w:hAnsi="宋体" w:eastAsia="宋体"/>
      <w:kern w:val="0"/>
      <w:sz w:val="24"/>
      <w:szCs w:val="24"/>
    </w:rPr>
  </w:style>
  <w:style w:type="paragraph" w:styleId="8">
    <w:name w:val="Body Text"/>
    <w:basedOn w:val="1"/>
    <w:next w:val="9"/>
    <w:autoRedefine/>
    <w:qFormat/>
    <w:uiPriority w:val="0"/>
    <w:pPr>
      <w:spacing w:after="120"/>
    </w:pPr>
    <w:rPr>
      <w:rFonts w:ascii="Times New Roman" w:hAnsi="Times New Roman" w:eastAsia="宋体"/>
      <w:kern w:val="0"/>
      <w:sz w:val="20"/>
      <w:szCs w:val="20"/>
    </w:rPr>
  </w:style>
  <w:style w:type="paragraph" w:styleId="9">
    <w:name w:val="Body Text Indent"/>
    <w:basedOn w:val="1"/>
    <w:autoRedefine/>
    <w:qFormat/>
    <w:uiPriority w:val="0"/>
    <w:pPr>
      <w:ind w:firstLine="570"/>
    </w:pPr>
    <w:rPr>
      <w:rFonts w:ascii="Times New Roman" w:hAnsi="Times New Roman" w:eastAsia="宋体"/>
      <w:kern w:val="0"/>
      <w:sz w:val="28"/>
      <w:szCs w:val="20"/>
    </w:rPr>
  </w:style>
  <w:style w:type="paragraph" w:styleId="10">
    <w:name w:val="toc 3"/>
    <w:basedOn w:val="1"/>
    <w:next w:val="1"/>
    <w:autoRedefine/>
    <w:qFormat/>
    <w:uiPriority w:val="0"/>
    <w:pPr>
      <w:snapToGrid w:val="0"/>
      <w:spacing w:line="360" w:lineRule="auto"/>
      <w:ind w:left="400" w:leftChars="400"/>
      <w:jc w:val="left"/>
    </w:pPr>
    <w:rPr>
      <w:rFonts w:ascii="Times New Roman" w:hAnsi="Times New Roman"/>
      <w:sz w:val="24"/>
      <w:szCs w:val="20"/>
    </w:rPr>
  </w:style>
  <w:style w:type="paragraph" w:styleId="11">
    <w:name w:val="Plain Text"/>
    <w:basedOn w:val="1"/>
    <w:autoRedefine/>
    <w:qFormat/>
    <w:uiPriority w:val="0"/>
    <w:rPr>
      <w:rFonts w:ascii="宋体" w:hAnsi="Courier New" w:eastAsia="宋体"/>
      <w:kern w:val="0"/>
      <w:sz w:val="20"/>
      <w:szCs w:val="20"/>
    </w:rPr>
  </w:style>
  <w:style w:type="paragraph" w:styleId="12">
    <w:name w:val="Date"/>
    <w:basedOn w:val="1"/>
    <w:next w:val="1"/>
    <w:autoRedefine/>
    <w:qFormat/>
    <w:uiPriority w:val="0"/>
    <w:rPr>
      <w:rFonts w:ascii="Times New Roman" w:hAnsi="Times New Roman" w:eastAsia="宋体"/>
      <w:kern w:val="0"/>
      <w:sz w:val="20"/>
      <w:szCs w:val="20"/>
    </w:rPr>
  </w:style>
  <w:style w:type="paragraph" w:styleId="13">
    <w:name w:val="footer"/>
    <w:basedOn w:val="1"/>
    <w:autoRedefine/>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14">
    <w:name w:val="header"/>
    <w:basedOn w:val="1"/>
    <w:autoRedefine/>
    <w:unhideWhenUsed/>
    <w:qFormat/>
    <w:uiPriority w:val="0"/>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15">
    <w:name w:val="toc 1"/>
    <w:basedOn w:val="1"/>
    <w:next w:val="1"/>
    <w:autoRedefine/>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6">
    <w:name w:val="toc 2"/>
    <w:basedOn w:val="1"/>
    <w:next w:val="1"/>
    <w:autoRedefine/>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17">
    <w:name w:val="Body Text 2"/>
    <w:basedOn w:val="1"/>
    <w:autoRedefine/>
    <w:qFormat/>
    <w:uiPriority w:val="0"/>
    <w:rPr>
      <w:rFonts w:ascii="宋体" w:hAnsi="宋体" w:eastAsia="宋体"/>
      <w:kern w:val="0"/>
      <w:sz w:val="20"/>
      <w:szCs w:val="24"/>
      <w:u w:val="single"/>
    </w:rPr>
  </w:style>
  <w:style w:type="paragraph" w:styleId="18">
    <w:name w:val="Body Text First Indent"/>
    <w:basedOn w:val="8"/>
    <w:autoRedefine/>
    <w:qFormat/>
    <w:uiPriority w:val="0"/>
    <w:pPr>
      <w:ind w:firstLine="420"/>
    </w:pPr>
  </w:style>
  <w:style w:type="paragraph" w:styleId="19">
    <w:name w:val="Body Text First Indent 2"/>
    <w:basedOn w:val="9"/>
    <w:autoRedefine/>
    <w:unhideWhenUsed/>
    <w:qFormat/>
    <w:uiPriority w:val="0"/>
    <w:pPr>
      <w:ind w:firstLine="420" w:firstLineChars="200"/>
    </w:pPr>
    <w:rPr>
      <w:sz w:val="21"/>
    </w:rPr>
  </w:style>
  <w:style w:type="character" w:styleId="22">
    <w:name w:val="page number"/>
    <w:autoRedefine/>
    <w:qFormat/>
    <w:uiPriority w:val="0"/>
    <w:rPr>
      <w:rFonts w:cs="Times New Roman"/>
    </w:rPr>
  </w:style>
  <w:style w:type="character" w:styleId="23">
    <w:name w:val="Hyperlink"/>
    <w:autoRedefine/>
    <w:qFormat/>
    <w:uiPriority w:val="0"/>
    <w:rPr>
      <w:color w:val="0000FF"/>
      <w:u w:val="single"/>
    </w:rPr>
  </w:style>
  <w:style w:type="character" w:customStyle="1" w:styleId="24">
    <w:name w:val="font51"/>
    <w:autoRedefine/>
    <w:qFormat/>
    <w:uiPriority w:val="0"/>
    <w:rPr>
      <w:rFonts w:hint="eastAsia" w:ascii="宋体" w:hAnsi="宋体" w:eastAsia="宋体"/>
      <w:color w:val="000000"/>
      <w:sz w:val="24"/>
      <w:szCs w:val="24"/>
      <w:u w:val="none"/>
    </w:rPr>
  </w:style>
  <w:style w:type="character" w:customStyle="1" w:styleId="25">
    <w:name w:val="font11"/>
    <w:basedOn w:val="21"/>
    <w:autoRedefine/>
    <w:qFormat/>
    <w:uiPriority w:val="0"/>
    <w:rPr>
      <w:rFonts w:hint="eastAsia" w:ascii="宋体" w:hAnsi="宋体" w:eastAsia="宋体"/>
      <w:color w:val="000000"/>
      <w:sz w:val="24"/>
      <w:szCs w:val="24"/>
      <w:u w:val="single"/>
    </w:rPr>
  </w:style>
  <w:style w:type="paragraph" w:customStyle="1" w:styleId="26">
    <w:name w:val="正文 New New"/>
    <w:autoRedefine/>
    <w:qFormat/>
    <w:uiPriority w:val="0"/>
    <w:pPr>
      <w:widowControl w:val="0"/>
      <w:jc w:val="both"/>
    </w:pPr>
    <w:rPr>
      <w:rFonts w:ascii="Times New Roman" w:hAnsi="Times New Roman" w:eastAsia="楷体_GB2312" w:cs="Times New Roman"/>
      <w:lang w:val="en-US" w:eastAsia="zh-CN" w:bidi="ar-SA"/>
    </w:rPr>
  </w:style>
  <w:style w:type="paragraph" w:customStyle="1" w:styleId="27">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8">
    <w:name w:val="正文文本缩进 New New"/>
    <w:basedOn w:val="1"/>
    <w:autoRedefine/>
    <w:qFormat/>
    <w:uiPriority w:val="0"/>
    <w:pPr>
      <w:spacing w:after="120"/>
      <w:ind w:left="420" w:leftChars="200"/>
    </w:pPr>
    <w:rPr>
      <w:rFonts w:ascii="Times New Roman" w:eastAsia="楷体_GB2312"/>
      <w:szCs w:val="20"/>
    </w:rPr>
  </w:style>
  <w:style w:type="paragraph" w:customStyle="1" w:styleId="29">
    <w:name w:val="表头"/>
    <w:basedOn w:val="1"/>
    <w:autoRedefine/>
    <w:qFormat/>
    <w:uiPriority w:val="0"/>
    <w:pPr>
      <w:spacing w:line="360" w:lineRule="auto"/>
      <w:jc w:val="center"/>
    </w:pPr>
    <w:rPr>
      <w:rFonts w:ascii="黑体" w:hAnsi="Times New Roman" w:eastAsia="黑体"/>
      <w:kern w:val="0"/>
      <w:sz w:val="24"/>
      <w:szCs w:val="20"/>
    </w:rPr>
  </w:style>
  <w:style w:type="paragraph" w:customStyle="1" w:styleId="30">
    <w:name w:val="正文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31">
    <w:name w:val="文一"/>
    <w:basedOn w:val="1"/>
    <w:next w:val="1"/>
    <w:autoRedefine/>
    <w:qFormat/>
    <w:uiPriority w:val="0"/>
    <w:pPr>
      <w:topLinePunct/>
      <w:adjustRightInd w:val="0"/>
      <w:snapToGrid w:val="0"/>
      <w:spacing w:line="360" w:lineRule="auto"/>
      <w:ind w:firstLine="200" w:firstLineChars="200"/>
    </w:pPr>
    <w:rPr>
      <w:rFonts w:ascii="宋体" w:hAnsi="宋体"/>
      <w:spacing w:val="4"/>
      <w:sz w:val="24"/>
      <w:szCs w:val="24"/>
    </w:rPr>
  </w:style>
  <w:style w:type="paragraph" w:customStyle="1" w:styleId="32">
    <w:name w:val="正题"/>
    <w:basedOn w:val="31"/>
    <w:next w:val="31"/>
    <w:autoRedefine/>
    <w:qFormat/>
    <w:uiPriority w:val="0"/>
    <w:pPr>
      <w:ind w:firstLine="0" w:firstLineChars="0"/>
      <w:jc w:val="center"/>
    </w:pPr>
    <w:rPr>
      <w:rFonts w:eastAsia="黑体"/>
      <w:b/>
      <w:sz w:val="36"/>
      <w:szCs w:val="36"/>
    </w:rPr>
  </w:style>
  <w:style w:type="character" w:customStyle="1" w:styleId="33">
    <w:name w:val="标题 1 Char"/>
    <w:link w:val="2"/>
    <w:autoRedefine/>
    <w:qFormat/>
    <w:uiPriority w:val="0"/>
    <w:rPr>
      <w:kern w:val="44"/>
      <w:sz w:val="28"/>
      <w:szCs w:val="28"/>
    </w:rPr>
  </w:style>
  <w:style w:type="paragraph" w:customStyle="1" w:styleId="34">
    <w:name w:val="样式 宋体 四号 首行缩进:  2 字符"/>
    <w:basedOn w:val="1"/>
    <w:autoRedefine/>
    <w:qFormat/>
    <w:uiPriority w:val="0"/>
    <w:pPr>
      <w:widowControl/>
    </w:pPr>
    <w:rPr>
      <w:rFonts w:ascii="Times New Roman" w:hAnsi="Times New Roman" w:eastAsia="宋体" w:cs="宋体"/>
      <w:color w:val="000000"/>
      <w:kern w:val="0"/>
      <w:szCs w:val="20"/>
    </w:rPr>
  </w:style>
  <w:style w:type="paragraph" w:styleId="35">
    <w:name w:val="No Spacing"/>
    <w:basedOn w:val="1"/>
    <w:autoRedefine/>
    <w:qFormat/>
    <w:uiPriority w:val="0"/>
    <w:rPr>
      <w:sz w:val="22"/>
      <w:szCs w:val="20"/>
    </w:rPr>
  </w:style>
  <w:style w:type="paragraph" w:customStyle="1" w:styleId="36">
    <w:name w:val="PlainText"/>
    <w:basedOn w:val="1"/>
    <w:autoRedefine/>
    <w:qFormat/>
    <w:uiPriority w:val="0"/>
    <w:rPr>
      <w:rFonts w:ascii="宋体" w:hAnsi="Courier New"/>
      <w:kern w:val="0"/>
      <w:sz w:val="20"/>
      <w:szCs w:val="20"/>
    </w:rPr>
  </w:style>
  <w:style w:type="paragraph" w:customStyle="1" w:styleId="37">
    <w:name w:val="章节三"/>
    <w:basedOn w:val="31"/>
    <w:next w:val="1"/>
    <w:autoRedefine/>
    <w:qFormat/>
    <w:uiPriority w:val="0"/>
    <w:pPr>
      <w:spacing w:before="156" w:beforeLines="50" w:line="240" w:lineRule="auto"/>
      <w:ind w:firstLine="0" w:firstLineChars="0"/>
      <w:jc w:val="left"/>
      <w:outlineLvl w:val="2"/>
    </w:pPr>
    <w:rPr>
      <w:rFonts w:ascii="黑体" w:eastAsia="黑体"/>
      <w:b/>
    </w:rPr>
  </w:style>
  <w:style w:type="paragraph" w:customStyle="1" w:styleId="38">
    <w:name w:val="封二"/>
    <w:basedOn w:val="31"/>
    <w:next w:val="31"/>
    <w:autoRedefine/>
    <w:qFormat/>
    <w:uiPriority w:val="0"/>
    <w:pPr>
      <w:ind w:firstLine="0" w:firstLineChars="0"/>
      <w:jc w:val="center"/>
    </w:pPr>
    <w:rPr>
      <w:rFonts w:eastAsia="黑体"/>
      <w:b/>
      <w:sz w:val="36"/>
      <w:szCs w:val="36"/>
    </w:rPr>
  </w:style>
  <w:style w:type="paragraph" w:customStyle="1" w:styleId="39">
    <w:name w:val="封一"/>
    <w:basedOn w:val="31"/>
    <w:next w:val="31"/>
    <w:autoRedefine/>
    <w:qFormat/>
    <w:uiPriority w:val="0"/>
    <w:pPr>
      <w:ind w:firstLine="0" w:firstLineChars="0"/>
      <w:jc w:val="center"/>
    </w:pPr>
    <w:rPr>
      <w:rFonts w:eastAsia="黑体"/>
      <w:b/>
      <w:sz w:val="84"/>
      <w:szCs w:val="84"/>
    </w:rPr>
  </w:style>
  <w:style w:type="paragraph" w:customStyle="1" w:styleId="40">
    <w:name w:val="封四"/>
    <w:basedOn w:val="31"/>
    <w:next w:val="31"/>
    <w:autoRedefine/>
    <w:qFormat/>
    <w:uiPriority w:val="0"/>
    <w:pPr>
      <w:jc w:val="left"/>
    </w:pPr>
    <w:rPr>
      <w:sz w:val="30"/>
      <w:szCs w:val="30"/>
    </w:rPr>
  </w:style>
  <w:style w:type="paragraph" w:customStyle="1" w:styleId="41">
    <w:name w:val="Body Text Indent"/>
    <w:basedOn w:val="1"/>
    <w:autoRedefine/>
    <w:qFormat/>
    <w:uiPriority w:val="0"/>
    <w:pPr>
      <w:ind w:firstLine="480"/>
    </w:pPr>
    <w:rPr>
      <w:sz w:val="24"/>
      <w:szCs w:val="20"/>
    </w:rPr>
  </w:style>
  <w:style w:type="paragraph" w:customStyle="1" w:styleId="42">
    <w:name w:val="Body Text Indent 3"/>
    <w:basedOn w:val="1"/>
    <w:autoRedefine/>
    <w:qFormat/>
    <w:uiPriority w:val="0"/>
    <w:pPr>
      <w:snapToGrid w:val="0"/>
      <w:spacing w:line="360" w:lineRule="auto"/>
      <w:ind w:left="20" w:firstLine="529" w:firstLineChars="189"/>
    </w:pPr>
    <w:rPr>
      <w:rFonts w:ascii="仿宋_GB2312" w:eastAsia="仿宋_GB2312"/>
      <w:sz w:val="28"/>
    </w:rPr>
  </w:style>
  <w:style w:type="paragraph" w:customStyle="1" w:styleId="43">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45">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正文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正文 New New New New New New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8">
    <w:name w:val="正文缩进 New"/>
    <w:basedOn w:val="47"/>
    <w:autoRedefine/>
    <w:qFormat/>
    <w:uiPriority w:val="0"/>
    <w:pPr>
      <w:ind w:firstLine="420"/>
    </w:pPr>
    <w:rPr>
      <w:rFonts w:ascii="Times New Roman" w:hAnsi="Times New Roman" w:cs="Times New Roman"/>
      <w:snapToGrid/>
      <w:kern w:val="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image" Target="media/image6.emf"/><Relationship Id="rId17" Type="http://schemas.openxmlformats.org/officeDocument/2006/relationships/image" Target="media/image5.emf"/><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2023-09-12T03:31:00Z</dcterms:created>
  <dc:creator>侠名</dc:creator>
  <cp:lastModifiedBy>Windows</cp:lastModifiedBy>
  <dcterms:modified xsi:type="dcterms:W3CDTF">2024-01-12T05:00:14Z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40E84E10F25343038397F44A78148A97_13</vt:lpwstr>
  </property>
</Properties>
</file>