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uto"/>
        <w:ind w:right="102"/>
        <w:jc w:val="left"/>
        <w:rPr>
          <w:color w:val="auto"/>
          <w:sz w:val="32"/>
          <w:szCs w:val="32"/>
          <w:highlight w:val="none"/>
        </w:rPr>
      </w:pPr>
      <w:r>
        <w:rPr>
          <w:rFonts w:hint="eastAsia" w:ascii="宋体" w:hAnsi="宋体"/>
          <w:color w:val="auto"/>
          <w:szCs w:val="21"/>
          <w:highlight w:val="none"/>
        </w:rPr>
        <w:t xml:space="preserve"> </w:t>
      </w:r>
    </w:p>
    <w:p>
      <w:pPr>
        <w:spacing w:line="360" w:lineRule="auto"/>
        <w:jc w:val="center"/>
        <w:rPr>
          <w:rFonts w:hint="eastAsia" w:ascii="宋体" w:hAnsi="宋体"/>
          <w:b/>
          <w:color w:val="auto"/>
          <w:sz w:val="36"/>
          <w:szCs w:val="36"/>
          <w:highlight w:val="none"/>
          <w:lang w:eastAsia="zh-CN"/>
        </w:rPr>
      </w:pPr>
      <w:r>
        <w:rPr>
          <w:rFonts w:hint="eastAsia" w:ascii="宋体" w:hAnsi="宋体"/>
          <w:b/>
          <w:color w:val="auto"/>
          <w:sz w:val="36"/>
          <w:szCs w:val="36"/>
          <w:highlight w:val="none"/>
          <w:lang w:eastAsia="zh-CN"/>
        </w:rPr>
        <w:t>孚能科技年产30GWh动力电池生产基地电芯车间1、化成车间1、PACK车间、动力站房及其他单体洁净机电工程</w:t>
      </w:r>
    </w:p>
    <w:p>
      <w:pPr>
        <w:spacing w:line="360" w:lineRule="auto"/>
        <w:jc w:val="center"/>
        <w:rPr>
          <w:rFonts w:hint="eastAsia" w:ascii="宋体" w:hAnsi="宋体" w:eastAsia="宋体"/>
          <w:b/>
          <w:color w:val="auto"/>
          <w:sz w:val="36"/>
          <w:szCs w:val="36"/>
          <w:highlight w:val="none"/>
          <w:lang w:eastAsia="zh-CN"/>
        </w:rPr>
      </w:pPr>
      <w:bookmarkStart w:id="49" w:name="_GoBack"/>
      <w:bookmarkEnd w:id="49"/>
      <w:r>
        <w:rPr>
          <w:rFonts w:hint="eastAsia" w:ascii="宋体" w:hAnsi="宋体"/>
          <w:b/>
          <w:color w:val="auto"/>
          <w:sz w:val="36"/>
          <w:szCs w:val="36"/>
          <w:highlight w:val="none"/>
          <w:lang w:eastAsia="zh-CN"/>
        </w:rPr>
        <w:t>施工总承包</w:t>
      </w: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spacing w:line="360" w:lineRule="auto"/>
        <w:jc w:val="center"/>
        <w:rPr>
          <w:rFonts w:ascii="宋体" w:hAnsi="宋体"/>
          <w:color w:val="auto"/>
          <w:sz w:val="36"/>
          <w:highlight w:val="none"/>
          <w:u w:val="single"/>
        </w:rPr>
      </w:pPr>
    </w:p>
    <w:p>
      <w:pPr>
        <w:spacing w:line="360" w:lineRule="auto"/>
        <w:jc w:val="center"/>
        <w:rPr>
          <w:rFonts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pPr>
        <w:spacing w:line="360" w:lineRule="auto"/>
        <w:jc w:val="center"/>
        <w:rPr>
          <w:rFonts w:ascii="宋体" w:hAnsi="宋体"/>
          <w:color w:val="auto"/>
          <w:sz w:val="32"/>
          <w:highlight w:val="none"/>
        </w:rPr>
      </w:pPr>
    </w:p>
    <w:p>
      <w:pPr>
        <w:spacing w:line="360" w:lineRule="auto"/>
        <w:ind w:firstLine="2560" w:firstLineChars="800"/>
        <w:rPr>
          <w:rFonts w:ascii="宋体" w:hAnsi="宋体"/>
          <w:color w:val="auto"/>
          <w:sz w:val="32"/>
          <w:highlight w:val="none"/>
        </w:rPr>
      </w:pPr>
    </w:p>
    <w:p>
      <w:pPr>
        <w:pStyle w:val="20"/>
        <w:rPr>
          <w:color w:val="auto"/>
          <w:highlight w:val="none"/>
        </w:rPr>
      </w:pPr>
    </w:p>
    <w:p>
      <w:pPr>
        <w:pStyle w:val="20"/>
        <w:rPr>
          <w:color w:val="auto"/>
          <w:highlight w:val="none"/>
        </w:rPr>
      </w:pPr>
    </w:p>
    <w:p>
      <w:pPr>
        <w:spacing w:line="360" w:lineRule="auto"/>
        <w:rPr>
          <w:rFonts w:ascii="宋体" w:hAnsi="宋体"/>
          <w:color w:val="auto"/>
          <w:sz w:val="52"/>
          <w:highlight w:val="none"/>
        </w:rPr>
      </w:pPr>
    </w:p>
    <w:p>
      <w:pPr>
        <w:spacing w:line="360" w:lineRule="auto"/>
        <w:ind w:firstLine="419" w:firstLineChars="131"/>
        <w:jc w:val="left"/>
        <w:rPr>
          <w:rFonts w:ascii="宋体" w:hAnsi="宋体"/>
          <w:color w:val="auto"/>
          <w:sz w:val="32"/>
          <w:szCs w:val="32"/>
          <w:highlight w:val="none"/>
          <w:u w:val="single"/>
        </w:rPr>
      </w:pPr>
      <w:r>
        <w:rPr>
          <w:rFonts w:hint="eastAsia" w:ascii="宋体" w:hAnsi="宋体"/>
          <w:color w:val="auto"/>
          <w:sz w:val="32"/>
          <w:szCs w:val="32"/>
          <w:highlight w:val="none"/>
        </w:rPr>
        <w:t>招标单位：</w:t>
      </w:r>
      <w:r>
        <w:rPr>
          <w:rFonts w:hint="eastAsia" w:ascii="宋体" w:hAnsi="宋体"/>
          <w:color w:val="auto"/>
          <w:sz w:val="32"/>
          <w:szCs w:val="32"/>
          <w:highlight w:val="none"/>
          <w:u w:val="single"/>
        </w:rPr>
        <w:t>广州开投智慧能源投资有限公司</w:t>
      </w:r>
    </w:p>
    <w:p>
      <w:pPr>
        <w:spacing w:line="360" w:lineRule="auto"/>
        <w:ind w:firstLine="419" w:firstLineChars="131"/>
        <w:jc w:val="left"/>
        <w:rPr>
          <w:rFonts w:ascii="宋体" w:hAnsi="宋体"/>
          <w:color w:val="auto"/>
          <w:sz w:val="32"/>
          <w:szCs w:val="32"/>
          <w:highlight w:val="none"/>
          <w:u w:val="single"/>
        </w:rPr>
      </w:pPr>
      <w:r>
        <w:rPr>
          <w:rFonts w:hint="eastAsia" w:ascii="宋体" w:hAnsi="宋体"/>
          <w:color w:val="auto"/>
          <w:sz w:val="32"/>
          <w:szCs w:val="32"/>
          <w:highlight w:val="none"/>
        </w:rPr>
        <w:t>项目建设管理单位：</w:t>
      </w:r>
      <w:r>
        <w:rPr>
          <w:rFonts w:hint="eastAsia" w:ascii="宋体" w:hAnsi="宋体"/>
          <w:color w:val="auto"/>
          <w:sz w:val="32"/>
          <w:szCs w:val="32"/>
          <w:highlight w:val="none"/>
          <w:u w:val="single"/>
        </w:rPr>
        <w:t xml:space="preserve">广州市金鼎广铝装饰工程有限公司 </w:t>
      </w:r>
    </w:p>
    <w:p>
      <w:pPr>
        <w:spacing w:line="360" w:lineRule="auto"/>
        <w:ind w:firstLine="419" w:firstLineChars="131"/>
        <w:rPr>
          <w:rFonts w:ascii="宋体" w:hAnsi="宋体"/>
          <w:color w:val="auto"/>
          <w:sz w:val="32"/>
          <w:szCs w:val="32"/>
          <w:highlight w:val="none"/>
          <w:u w:val="single"/>
        </w:rPr>
      </w:pPr>
      <w:r>
        <w:rPr>
          <w:rFonts w:hint="eastAsia" w:ascii="宋体" w:hAnsi="宋体"/>
          <w:color w:val="auto"/>
          <w:sz w:val="32"/>
          <w:szCs w:val="32"/>
          <w:highlight w:val="none"/>
        </w:rPr>
        <w:t>招标代理单位：</w:t>
      </w:r>
      <w:r>
        <w:rPr>
          <w:rFonts w:hint="eastAsia" w:ascii="宋体" w:hAnsi="宋体"/>
          <w:color w:val="auto"/>
          <w:sz w:val="32"/>
          <w:szCs w:val="32"/>
          <w:highlight w:val="none"/>
          <w:u w:val="single"/>
        </w:rPr>
        <w:t>广州金盛建工程项目管理咨询有限公司</w:t>
      </w:r>
    </w:p>
    <w:p>
      <w:pPr>
        <w:spacing w:line="360" w:lineRule="auto"/>
        <w:ind w:firstLine="419" w:firstLineChars="131"/>
        <w:rPr>
          <w:rFonts w:ascii="宋体" w:hAnsi="宋体"/>
          <w:color w:val="auto"/>
          <w:sz w:val="32"/>
          <w:highlight w:val="none"/>
        </w:rPr>
      </w:pPr>
      <w:r>
        <w:rPr>
          <w:rFonts w:hint="eastAsia" w:ascii="宋体" w:hAnsi="宋体"/>
          <w:color w:val="auto"/>
          <w:sz w:val="32"/>
          <w:szCs w:val="32"/>
          <w:highlight w:val="none"/>
        </w:rPr>
        <w:t>日     期：</w:t>
      </w:r>
      <w:r>
        <w:rPr>
          <w:rFonts w:ascii="宋体" w:hAnsi="宋体"/>
          <w:color w:val="auto"/>
          <w:sz w:val="32"/>
          <w:szCs w:val="32"/>
          <w:highlight w:val="none"/>
          <w:u w:val="single"/>
        </w:rPr>
        <w:t>2023</w:t>
      </w:r>
      <w:r>
        <w:rPr>
          <w:rFonts w:hint="eastAsia" w:ascii="宋体" w:hAnsi="宋体"/>
          <w:color w:val="auto"/>
          <w:sz w:val="32"/>
          <w:szCs w:val="32"/>
          <w:highlight w:val="none"/>
        </w:rPr>
        <w:t>年</w:t>
      </w:r>
      <w:r>
        <w:rPr>
          <w:rFonts w:hint="eastAsia" w:ascii="宋体" w:hAnsi="宋体"/>
          <w:color w:val="auto"/>
          <w:sz w:val="32"/>
          <w:szCs w:val="32"/>
          <w:highlight w:val="none"/>
          <w:u w:val="single"/>
          <w:lang w:val="en-US" w:eastAsia="zh-CN"/>
        </w:rPr>
        <w:t>12</w:t>
      </w:r>
      <w:r>
        <w:rPr>
          <w:rFonts w:hint="eastAsia" w:ascii="宋体" w:hAnsi="宋体"/>
          <w:color w:val="auto"/>
          <w:sz w:val="32"/>
          <w:szCs w:val="32"/>
          <w:highlight w:val="none"/>
        </w:rPr>
        <w:t>月</w:t>
      </w:r>
    </w:p>
    <w:p>
      <w:pPr>
        <w:jc w:val="center"/>
        <w:rPr>
          <w:rStyle w:val="45"/>
          <w:rFonts w:ascii="宋体" w:hAnsi="宋体"/>
          <w:b/>
          <w:bCs/>
          <w:color w:val="auto"/>
          <w:sz w:val="28"/>
          <w:szCs w:val="28"/>
          <w:highlight w:val="none"/>
          <w:u w:val="none"/>
        </w:rPr>
        <w:sectPr>
          <w:headerReference r:id="rId3" w:type="even"/>
          <w:footerReference r:id="rId4" w:type="even"/>
          <w:endnotePr>
            <w:numFmt w:val="decimal"/>
          </w:endnotePr>
          <w:type w:val="continuous"/>
          <w:pgSz w:w="11906" w:h="16838"/>
          <w:pgMar w:top="1134" w:right="1418" w:bottom="1247" w:left="1418" w:header="851" w:footer="907" w:gutter="0"/>
          <w:cols w:space="720" w:num="1"/>
          <w:titlePg/>
          <w:docGrid w:type="lines" w:linePitch="312" w:charSpace="0"/>
        </w:sectPr>
      </w:pPr>
    </w:p>
    <w:p>
      <w:pPr>
        <w:jc w:val="center"/>
        <w:rPr>
          <w:rFonts w:ascii="宋体" w:hAnsi="宋体"/>
          <w:b/>
          <w:caps/>
          <w:color w:val="auto"/>
          <w:kern w:val="0"/>
          <w:highlight w:val="none"/>
        </w:rPr>
      </w:pPr>
      <w:r>
        <w:rPr>
          <w:rStyle w:val="45"/>
          <w:rFonts w:hint="eastAsia" w:ascii="宋体" w:hAnsi="宋体"/>
          <w:b/>
          <w:bCs/>
          <w:color w:val="auto"/>
          <w:sz w:val="28"/>
          <w:szCs w:val="28"/>
          <w:highlight w:val="none"/>
          <w:u w:val="none"/>
        </w:rPr>
        <w:t>目录</w:t>
      </w:r>
    </w:p>
    <w:p>
      <w:pPr>
        <w:pStyle w:val="27"/>
        <w:tabs>
          <w:tab w:val="right" w:leader="dot" w:pos="9070"/>
          <w:tab w:val="clear" w:pos="9060"/>
        </w:tabs>
        <w:rPr>
          <w:color w:val="auto"/>
          <w:highlight w:val="none"/>
        </w:rPr>
      </w:pPr>
      <w:r>
        <w:rPr>
          <w:color w:val="auto"/>
          <w:sz w:val="21"/>
          <w:szCs w:val="21"/>
          <w:highlight w:val="none"/>
        </w:rPr>
        <w:fldChar w:fldCharType="begin"/>
      </w:r>
      <w:r>
        <w:rPr>
          <w:color w:val="auto"/>
          <w:sz w:val="21"/>
          <w:szCs w:val="21"/>
          <w:highlight w:val="none"/>
        </w:rPr>
        <w:instrText xml:space="preserve"> TOC \o "1-3" \h \z \u </w:instrText>
      </w:r>
      <w:r>
        <w:rPr>
          <w:color w:val="auto"/>
          <w:sz w:val="21"/>
          <w:szCs w:val="21"/>
          <w:highlight w:val="none"/>
        </w:rPr>
        <w:fldChar w:fldCharType="separate"/>
      </w:r>
      <w:r>
        <w:rPr>
          <w:color w:val="auto"/>
          <w:highlight w:val="none"/>
        </w:rPr>
        <w:fldChar w:fldCharType="begin"/>
      </w:r>
      <w:r>
        <w:rPr>
          <w:color w:val="auto"/>
          <w:highlight w:val="none"/>
        </w:rPr>
        <w:instrText xml:space="preserve"> HYPERLINK \l "_Toc27412"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_Toc27412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"_Toc23934" </w:instrText>
      </w:r>
      <w:r>
        <w:rPr>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_Toc23934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"_Toc6266" </w:instrText>
      </w:r>
      <w:r>
        <w:rPr>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_Toc6266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"_Toc31317" </w:instrText>
      </w:r>
      <w:r>
        <w:rPr>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_Toc31317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"_Toc24039"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_Toc24039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"_Toc10051" </w:instrText>
      </w:r>
      <w:r>
        <w:rPr>
          <w:color w:val="auto"/>
          <w:highlight w:val="none"/>
        </w:rPr>
        <w:fldChar w:fldCharType="separate"/>
      </w:r>
      <w:r>
        <w:rPr>
          <w:rFonts w:hint="eastAsia"/>
          <w:color w:val="auto"/>
          <w:szCs w:val="28"/>
          <w:highlight w:val="none"/>
        </w:rPr>
        <w:t>一、</w:t>
      </w:r>
      <w:r>
        <w:rPr>
          <w:rFonts w:hint="eastAsia"/>
          <w:color w:val="auto"/>
          <w:highlight w:val="none"/>
        </w:rPr>
        <w:t>开标、评标及定标办法修改表</w:t>
      </w:r>
      <w:r>
        <w:rPr>
          <w:color w:val="auto"/>
          <w:highlight w:val="none"/>
        </w:rPr>
        <w:tab/>
      </w:r>
      <w:r>
        <w:rPr>
          <w:color w:val="auto"/>
          <w:highlight w:val="none"/>
        </w:rPr>
        <w:fldChar w:fldCharType="begin"/>
      </w:r>
      <w:r>
        <w:rPr>
          <w:color w:val="auto"/>
          <w:highlight w:val="none"/>
        </w:rPr>
        <w:instrText xml:space="preserve"> PAGEREF _Toc10051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"_Toc17325" </w:instrText>
      </w:r>
      <w:r>
        <w:rPr>
          <w:color w:val="auto"/>
          <w:highlight w:val="none"/>
        </w:rPr>
        <w:fldChar w:fldCharType="separate"/>
      </w:r>
      <w:r>
        <w:rPr>
          <w:rFonts w:hint="eastAsia"/>
          <w:color w:val="auto"/>
          <w:highlight w:val="none"/>
        </w:rPr>
        <w:t>二、开标、评标及定标办法</w:t>
      </w:r>
      <w:r>
        <w:rPr>
          <w:rFonts w:hint="eastAsia"/>
          <w:color w:val="auto"/>
          <w:szCs w:val="30"/>
          <w:highlight w:val="none"/>
        </w:rPr>
        <w:t>通用条款</w:t>
      </w:r>
      <w:r>
        <w:rPr>
          <w:color w:val="auto"/>
          <w:highlight w:val="none"/>
        </w:rPr>
        <w:tab/>
      </w:r>
      <w:r>
        <w:rPr>
          <w:color w:val="auto"/>
          <w:highlight w:val="none"/>
        </w:rPr>
        <w:fldChar w:fldCharType="begin"/>
      </w:r>
      <w:r>
        <w:rPr>
          <w:color w:val="auto"/>
          <w:highlight w:val="none"/>
        </w:rPr>
        <w:instrText xml:space="preserve"> PAGEREF _Toc17325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"_Toc20376" </w:instrText>
      </w:r>
      <w:r>
        <w:rPr>
          <w:color w:val="auto"/>
          <w:highlight w:val="none"/>
        </w:rPr>
        <w:fldChar w:fldCharType="separate"/>
      </w:r>
      <w:r>
        <w:rPr>
          <w:rFonts w:hint="eastAsia"/>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_Toc20376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"_Toc13100"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lang w:val="en-US" w:eastAsia="zh-CN"/>
        </w:rPr>
        <w:t>39</w:t>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"_Toc7266" </w:instrText>
      </w:r>
      <w:r>
        <w:rPr>
          <w:color w:val="auto"/>
          <w:highlight w:val="none"/>
        </w:rPr>
        <w:fldChar w:fldCharType="separate"/>
      </w:r>
      <w:r>
        <w:rPr>
          <w:rFonts w:hint="eastAsia"/>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_Toc7266 \h </w:instrText>
      </w:r>
      <w:r>
        <w:rPr>
          <w:color w:val="auto"/>
          <w:highlight w:val="none"/>
        </w:rPr>
        <w:fldChar w:fldCharType="separate"/>
      </w:r>
      <w:r>
        <w:rPr>
          <w:color w:val="auto"/>
          <w:highlight w:val="none"/>
        </w:rPr>
        <w:t>161</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"_Toc13179"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_Toc13179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"_Toc11661"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_Toc11661 \h </w:instrText>
      </w:r>
      <w:r>
        <w:rPr>
          <w:color w:val="auto"/>
          <w:highlight w:val="none"/>
        </w:rPr>
        <w:fldChar w:fldCharType="separate"/>
      </w:r>
      <w:r>
        <w:rPr>
          <w:color w:val="auto"/>
          <w:highlight w:val="none"/>
        </w:rPr>
        <w:t>163</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"_Toc11184" </w:instrText>
      </w:r>
      <w:r>
        <w:rPr>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_Toc11184 \h </w:instrText>
      </w:r>
      <w:r>
        <w:rPr>
          <w:color w:val="auto"/>
          <w:highlight w:val="none"/>
        </w:rPr>
        <w:fldChar w:fldCharType="separate"/>
      </w:r>
      <w:r>
        <w:rPr>
          <w:color w:val="auto"/>
          <w:highlight w:val="none"/>
        </w:rPr>
        <w:t>164</w:t>
      </w:r>
      <w:r>
        <w:rPr>
          <w:color w:val="auto"/>
          <w:highlight w:val="none"/>
        </w:rPr>
        <w:fldChar w:fldCharType="end"/>
      </w:r>
      <w:r>
        <w:rPr>
          <w:color w:val="auto"/>
          <w:highlight w:val="none"/>
        </w:rPr>
        <w:fldChar w:fldCharType="end"/>
      </w:r>
    </w:p>
    <w:p>
      <w:pPr>
        <w:pStyle w:val="99"/>
        <w:spacing w:line="360" w:lineRule="auto"/>
        <w:rPr>
          <w:color w:val="auto"/>
          <w:highlight w:val="none"/>
        </w:rPr>
      </w:pPr>
      <w:r>
        <w:rPr>
          <w:color w:val="auto"/>
          <w:highlight w:val="none"/>
        </w:rPr>
        <w:fldChar w:fldCharType="end"/>
      </w:r>
      <w:bookmarkStart w:id="0" w:name="_Toc2272545"/>
    </w:p>
    <w:p>
      <w:pPr>
        <w:pStyle w:val="4"/>
        <w:spacing w:line="240" w:lineRule="auto"/>
        <w:rPr>
          <w:rFonts w:ascii="宋体" w:hAnsi="宋体"/>
          <w:color w:val="auto"/>
          <w:highlight w:val="none"/>
        </w:rPr>
        <w:sectPr>
          <w:footerReference r:id="rId6" w:type="first"/>
          <w:footerReference r:id="rId5" w:type="default"/>
          <w:endnotePr>
            <w:numFmt w:val="decimal"/>
          </w:endnotePr>
          <w:pgSz w:w="11906" w:h="16838"/>
          <w:pgMar w:top="1134" w:right="1418" w:bottom="1247" w:left="1418" w:header="851" w:footer="907" w:gutter="0"/>
          <w:pgNumType w:start="1"/>
          <w:cols w:space="720" w:num="1"/>
          <w:docGrid w:type="lines" w:linePitch="312" w:charSpace="0"/>
        </w:sectPr>
      </w:pPr>
    </w:p>
    <w:p>
      <w:pPr>
        <w:pStyle w:val="4"/>
        <w:spacing w:line="240" w:lineRule="auto"/>
        <w:rPr>
          <w:rFonts w:ascii="宋体" w:hAnsi="宋体"/>
          <w:color w:val="auto"/>
          <w:highlight w:val="none"/>
        </w:rPr>
      </w:pPr>
      <w:bookmarkStart w:id="1" w:name="_Toc27412"/>
      <w:r>
        <w:rPr>
          <w:rFonts w:hint="eastAsia" w:ascii="宋体" w:hAnsi="宋体"/>
          <w:color w:val="auto"/>
          <w:highlight w:val="none"/>
        </w:rPr>
        <w:t>第一章</w:t>
      </w:r>
      <w:r>
        <w:rPr>
          <w:rFonts w:ascii="宋体" w:hAnsi="宋体"/>
          <w:color w:val="auto"/>
          <w:highlight w:val="none"/>
        </w:rPr>
        <w:t xml:space="preserve">  </w:t>
      </w:r>
      <w:r>
        <w:rPr>
          <w:rFonts w:hint="eastAsia" w:ascii="宋体" w:hAnsi="宋体"/>
          <w:color w:val="auto"/>
          <w:highlight w:val="none"/>
        </w:rPr>
        <w:t>投标须知</w:t>
      </w:r>
      <w:bookmarkEnd w:id="0"/>
      <w:bookmarkEnd w:id="1"/>
    </w:p>
    <w:p>
      <w:pPr>
        <w:pStyle w:val="5"/>
        <w:rPr>
          <w:color w:val="auto"/>
          <w:highlight w:val="none"/>
        </w:rPr>
      </w:pPr>
      <w:bookmarkStart w:id="2" w:name="_Toc23934"/>
      <w:bookmarkStart w:id="3" w:name="_Toc2272546"/>
      <w:r>
        <w:rPr>
          <w:rFonts w:hint="eastAsia"/>
          <w:color w:val="auto"/>
          <w:highlight w:val="none"/>
        </w:rPr>
        <w:t>一、投标须知前附表</w:t>
      </w:r>
      <w:bookmarkEnd w:id="2"/>
      <w:bookmarkEnd w:id="3"/>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565" w:firstLineChars="268"/>
        <w:textAlignment w:val="auto"/>
        <w:rPr>
          <w:rFonts w:hint="eastAsia" w:ascii="宋体" w:hAnsi="宋体" w:eastAsia="仿宋"/>
          <w:b/>
          <w:color w:val="auto"/>
          <w:szCs w:val="21"/>
          <w:highlight w:val="none"/>
          <w:lang w:eastAsia="zh-CN"/>
        </w:rPr>
      </w:pPr>
      <w:r>
        <w:rPr>
          <w:rFonts w:hint="eastAsia" w:ascii="宋体" w:hAnsi="宋体"/>
          <w:b/>
          <w:color w:val="auto"/>
          <w:szCs w:val="21"/>
          <w:highlight w:val="none"/>
        </w:rPr>
        <w:t>声明：</w:t>
      </w:r>
      <w:r>
        <w:rPr>
          <w:rFonts w:hint="eastAsia" w:ascii="仿宋" w:hAnsi="仿宋" w:eastAsia="仿宋" w:cs="宋体"/>
          <w:bCs/>
          <w:color w:val="auto"/>
          <w:kern w:val="0"/>
          <w:sz w:val="22"/>
        </w:rPr>
        <w:t>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仿宋" w:hAnsi="仿宋" w:eastAsia="仿宋" w:cs="宋体"/>
          <w:b/>
          <w:bCs/>
          <w:color w:val="auto"/>
          <w:kern w:val="0"/>
          <w:sz w:val="22"/>
        </w:rPr>
        <w:t>http://zfcj.gz.gov.cn/</w:t>
      </w:r>
      <w:r>
        <w:rPr>
          <w:rFonts w:hint="eastAsia" w:ascii="仿宋" w:hAnsi="仿宋" w:eastAsia="仿宋" w:cs="宋体"/>
          <w:bCs/>
          <w:color w:val="auto"/>
          <w:kern w:val="0"/>
          <w:sz w:val="22"/>
        </w:rPr>
        <w:t>）下载查阅</w:t>
      </w:r>
      <w:r>
        <w:rPr>
          <w:rFonts w:hint="eastAsia" w:ascii="仿宋" w:hAnsi="仿宋" w:eastAsia="仿宋" w:cs="宋体"/>
          <w:bCs/>
          <w:color w:val="auto"/>
          <w:kern w:val="0"/>
          <w:sz w:val="22"/>
          <w:lang w:eastAsia="zh-CN"/>
        </w:rPr>
        <w:t>。</w:t>
      </w:r>
    </w:p>
    <w:tbl>
      <w:tblPr>
        <w:tblStyle w:val="37"/>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1"/>
              <w:ind w:firstLine="458"/>
              <w:jc w:val="center"/>
              <w:rPr>
                <w:rFonts w:ascii="宋体" w:hAnsi="宋体"/>
                <w:color w:val="auto"/>
                <w:kern w:val="2"/>
                <w:sz w:val="21"/>
                <w:szCs w:val="21"/>
                <w:highlight w:val="none"/>
              </w:rPr>
            </w:pPr>
            <w:r>
              <w:rPr>
                <w:rFonts w:hint="eastAsia" w:ascii="宋体" w:hAnsi="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rPr>
              <w:t>招标人（即发包人）：</w:t>
            </w:r>
            <w:r>
              <w:rPr>
                <w:rFonts w:hint="eastAsia" w:ascii="宋体" w:hAnsi="宋体"/>
                <w:color w:val="auto"/>
                <w:szCs w:val="21"/>
                <w:highlight w:val="none"/>
                <w:u w:val="single"/>
              </w:rPr>
              <w:t>广州开投智慧能源投资有限公司</w:t>
            </w:r>
          </w:p>
          <w:p>
            <w:pPr>
              <w:pStyle w:val="20"/>
              <w:rPr>
                <w:rFonts w:hint="eastAsia" w:hAnsi="宋体"/>
                <w:color w:val="auto"/>
                <w:kern w:val="2"/>
                <w:sz w:val="21"/>
                <w:szCs w:val="21"/>
                <w:highlight w:val="none"/>
                <w:u w:val="single"/>
              </w:rPr>
            </w:pPr>
            <w:r>
              <w:rPr>
                <w:rFonts w:hint="eastAsia" w:hAnsi="宋体"/>
                <w:color w:val="auto"/>
                <w:kern w:val="2"/>
                <w:sz w:val="21"/>
                <w:szCs w:val="21"/>
                <w:highlight w:val="none"/>
                <w:u w:val="single"/>
              </w:rPr>
              <w:t xml:space="preserve">项目建设管理单位：广州市金鼎广铝装饰工程有限公司 </w:t>
            </w:r>
          </w:p>
          <w:p>
            <w:pPr>
              <w:rPr>
                <w:color w:val="auto"/>
                <w:highlight w:val="none"/>
              </w:rPr>
            </w:pPr>
            <w:r>
              <w:rPr>
                <w:rFonts w:hint="eastAsia" w:ascii="宋体" w:hAnsi="宋体"/>
                <w:color w:val="auto"/>
                <w:szCs w:val="21"/>
                <w:highlight w:val="none"/>
              </w:rPr>
              <w:t>招标代理：</w:t>
            </w:r>
            <w:r>
              <w:rPr>
                <w:rFonts w:hint="eastAsia" w:ascii="宋体" w:hAnsi="宋体"/>
                <w:color w:val="auto"/>
                <w:szCs w:val="21"/>
                <w:highlight w:val="none"/>
                <w:u w:val="single"/>
              </w:rPr>
              <w:t>广州金盛建工程项目管理咨询有限公司</w:t>
            </w:r>
          </w:p>
          <w:p>
            <w:pPr>
              <w:rPr>
                <w:rFonts w:ascii="宋体" w:hAnsi="宋体"/>
                <w:color w:val="auto"/>
                <w:szCs w:val="21"/>
                <w:highlight w:val="none"/>
              </w:rPr>
            </w:pPr>
            <w:r>
              <w:rPr>
                <w:rFonts w:hint="eastAsia" w:ascii="宋体" w:hAnsi="宋体"/>
                <w:color w:val="auto"/>
                <w:szCs w:val="21"/>
                <w:highlight w:val="none"/>
              </w:rPr>
              <w:t>设计单位：</w:t>
            </w:r>
            <w:r>
              <w:rPr>
                <w:rFonts w:hint="eastAsia" w:ascii="宋体" w:hAnsi="宋体"/>
                <w:color w:val="auto"/>
                <w:szCs w:val="21"/>
                <w:highlight w:val="none"/>
                <w:u w:val="single"/>
              </w:rPr>
              <w:t xml:space="preserve"> 中机中联工程有限公司 </w:t>
            </w:r>
          </w:p>
          <w:p>
            <w:pPr>
              <w:rPr>
                <w:rFonts w:ascii="宋体" w:hAnsi="宋体"/>
                <w:color w:val="auto"/>
                <w:szCs w:val="21"/>
                <w:highlight w:val="none"/>
                <w:u w:val="single"/>
              </w:rPr>
            </w:pPr>
            <w:r>
              <w:rPr>
                <w:rFonts w:hint="eastAsia" w:ascii="宋体" w:hAnsi="宋体"/>
                <w:color w:val="auto"/>
                <w:szCs w:val="21"/>
                <w:highlight w:val="none"/>
              </w:rPr>
              <w:t>监理单位：</w:t>
            </w:r>
            <w:r>
              <w:rPr>
                <w:rFonts w:hint="eastAsia" w:ascii="宋体" w:hAnsi="宋体"/>
                <w:color w:val="auto"/>
                <w:szCs w:val="21"/>
                <w:highlight w:val="none"/>
                <w:u w:val="single"/>
              </w:rPr>
              <w:t>广东财贸建设工程顾问有限公司</w:t>
            </w:r>
          </w:p>
          <w:p>
            <w:pPr>
              <w:rPr>
                <w:rFonts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 xml:space="preserve"> </w:t>
            </w:r>
            <w:r>
              <w:rPr>
                <w:rFonts w:hint="eastAsia" w:ascii="宋体" w:hAnsi="宋体" w:eastAsia="宋体" w:cs="宋体"/>
                <w:bCs/>
                <w:color w:val="auto"/>
                <w:sz w:val="21"/>
                <w:szCs w:val="21"/>
                <w:u w:val="single"/>
                <w:lang w:val="en-US" w:eastAsia="zh-CN"/>
              </w:rPr>
              <w:t>(主)广东省建筑材料研究院有限公司</w:t>
            </w:r>
            <w:r>
              <w:rPr>
                <w:rFonts w:hint="eastAsia" w:ascii="宋体" w:hAnsi="宋体" w:cs="宋体"/>
                <w:bCs/>
                <w:color w:val="auto"/>
                <w:sz w:val="21"/>
                <w:szCs w:val="21"/>
                <w:u w:val="single"/>
                <w:lang w:val="en-US" w:eastAsia="zh-CN"/>
              </w:rPr>
              <w:t>；</w:t>
            </w:r>
            <w:r>
              <w:rPr>
                <w:rFonts w:hint="eastAsia" w:ascii="宋体" w:hAnsi="宋体" w:eastAsia="宋体" w:cs="宋体"/>
                <w:bCs/>
                <w:color w:val="auto"/>
                <w:sz w:val="21"/>
                <w:szCs w:val="21"/>
                <w:u w:val="single"/>
                <w:lang w:val="en-US" w:eastAsia="zh-CN"/>
              </w:rPr>
              <w:t>(成)广东南粤勘察设计有限公司</w:t>
            </w:r>
            <w:r>
              <w:rPr>
                <w:rFonts w:hint="eastAsia" w:ascii="宋体" w:hAnsi="宋体" w:cs="宋体"/>
                <w:bCs/>
                <w:color w:val="auto"/>
                <w:sz w:val="21"/>
                <w:szCs w:val="21"/>
                <w:u w:val="single"/>
                <w:lang w:val="en-US" w:eastAsia="zh-CN"/>
              </w:rPr>
              <w:t xml:space="preserve"> </w:t>
            </w:r>
            <w:r>
              <w:rPr>
                <w:rFonts w:hint="eastAsia" w:ascii="宋体" w:hAnsi="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olor w:val="auto"/>
                <w:szCs w:val="21"/>
                <w:highlight w:val="none"/>
                <w:u w:val="single"/>
                <w:lang w:eastAsia="zh-CN"/>
              </w:rPr>
            </w:pPr>
            <w:r>
              <w:rPr>
                <w:rFonts w:hint="eastAsia" w:ascii="宋体" w:hAnsi="宋体" w:cs="宋体"/>
                <w:color w:val="auto"/>
                <w:szCs w:val="21"/>
                <w:highlight w:val="none"/>
                <w:u w:val="single"/>
                <w:lang w:eastAsia="zh-CN"/>
              </w:rPr>
              <w:t>孚能科技年产30GWh动力电池生产基地电芯车间1、化成车间1、PACK车间、动力站房及其他单体洁净机电工程施工总承包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广州市黄埔区知识城改革大道以东，人才大道以北，创维智能产业创新基地东北侧。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图纸及清单范围内包工、包料、包工期、包质量、包安全、包文明施工、包验收、包办理项目相关的报建及验收手续。分部分项工程量清单费</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综合单价固定不变，工程量按实计量，具体按合同专用条款执行。措施项目费</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绿色施工安全防护措施费包干，其余措施项目费按“综合单价固定不变</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工程量按实计量。总承包服务费费率按 0.5%</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固定不变。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工程规模符合申报“</w:t>
            </w:r>
            <w:r>
              <w:rPr>
                <w:rFonts w:hint="eastAsia" w:ascii="宋体" w:hAnsi="宋体"/>
                <w:color w:val="auto"/>
                <w:szCs w:val="21"/>
                <w:highlight w:val="none"/>
                <w:u w:val="single"/>
                <w:lang w:eastAsia="zh-CN"/>
              </w:rPr>
              <w:t>广东省建设工程优质奖</w:t>
            </w:r>
            <w:r>
              <w:rPr>
                <w:rFonts w:hint="eastAsia" w:ascii="宋体" w:hAnsi="宋体"/>
                <w:color w:val="auto"/>
                <w:szCs w:val="21"/>
                <w:highlight w:val="none"/>
                <w:u w:val="single"/>
              </w:rPr>
              <w:t>”的，需达到“</w:t>
            </w:r>
            <w:r>
              <w:rPr>
                <w:rFonts w:hint="eastAsia" w:ascii="宋体" w:hAnsi="宋体"/>
                <w:color w:val="auto"/>
                <w:szCs w:val="21"/>
                <w:highlight w:val="none"/>
                <w:u w:val="single"/>
                <w:lang w:eastAsia="zh-CN"/>
              </w:rPr>
              <w:t>广东省建设工程优质奖</w:t>
            </w:r>
            <w:r>
              <w:rPr>
                <w:rFonts w:hint="eastAsia" w:ascii="宋体" w:hAnsi="宋体"/>
                <w:color w:val="auto"/>
                <w:szCs w:val="21"/>
                <w:highlight w:val="none"/>
                <w:u w:val="single"/>
              </w:rPr>
              <w:t>”的质量标准；工程规模不符合申报“</w:t>
            </w:r>
            <w:r>
              <w:rPr>
                <w:rFonts w:hint="eastAsia" w:ascii="宋体" w:hAnsi="宋体"/>
                <w:color w:val="auto"/>
                <w:szCs w:val="21"/>
                <w:highlight w:val="none"/>
                <w:u w:val="single"/>
                <w:lang w:eastAsia="zh-CN"/>
              </w:rPr>
              <w:t>广东省建设工程优质奖</w:t>
            </w:r>
            <w:r>
              <w:rPr>
                <w:rFonts w:hint="eastAsia" w:ascii="宋体" w:hAnsi="宋体"/>
                <w:color w:val="auto"/>
                <w:szCs w:val="21"/>
                <w:highlight w:val="none"/>
                <w:u w:val="single"/>
              </w:rPr>
              <w:t>”但符合申报“广州市优良样板工程”的，需达到“广州市优良样板工程”的质量标准；工程规模不符合申报“</w:t>
            </w:r>
            <w:r>
              <w:rPr>
                <w:rFonts w:hint="eastAsia" w:ascii="宋体" w:hAnsi="宋体"/>
                <w:color w:val="auto"/>
                <w:szCs w:val="21"/>
                <w:highlight w:val="none"/>
                <w:u w:val="single"/>
                <w:lang w:eastAsia="zh-CN"/>
              </w:rPr>
              <w:t>广东省建设工程优质奖</w:t>
            </w:r>
            <w:r>
              <w:rPr>
                <w:rFonts w:hint="eastAsia" w:ascii="宋体" w:hAnsi="宋体"/>
                <w:color w:val="auto"/>
                <w:szCs w:val="21"/>
                <w:highlight w:val="none"/>
                <w:u w:val="single"/>
              </w:rPr>
              <w:t>”及“广州市优良样板工程”的，工程质量达到国家或行业质量检验评定的合格标准。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日计划开工，施工总</w:t>
            </w:r>
            <w:r>
              <w:rPr>
                <w:rFonts w:hint="eastAsia" w:ascii="宋体" w:hAnsi="宋体"/>
                <w:color w:val="auto"/>
                <w:szCs w:val="21"/>
                <w:highlight w:val="none"/>
                <w:lang w:val="en-US" w:eastAsia="zh-CN"/>
              </w:rPr>
              <w:t>工</w:t>
            </w:r>
            <w:r>
              <w:rPr>
                <w:rFonts w:hint="eastAsia" w:ascii="宋体" w:hAnsi="宋体"/>
                <w:color w:val="auto"/>
                <w:szCs w:val="21"/>
                <w:highlight w:val="none"/>
              </w:rPr>
              <w:t>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114 </w:t>
            </w:r>
            <w:r>
              <w:rPr>
                <w:rFonts w:hint="eastAsia" w:ascii="宋体" w:hAnsi="宋体"/>
                <w:color w:val="auto"/>
                <w:szCs w:val="21"/>
                <w:highlight w:val="none"/>
              </w:rPr>
              <w:t>日历天</w:t>
            </w:r>
            <w:r>
              <w:rPr>
                <w:rFonts w:hint="eastAsia" w:asciiTheme="minorEastAsia" w:hAnsiTheme="minorEastAsia" w:eastAsiaTheme="minorEastAsia"/>
                <w:color w:val="auto"/>
                <w:szCs w:val="21"/>
                <w:highlight w:val="none"/>
                <w:u w:val="single"/>
              </w:rPr>
              <w:t>（具体开工日期</w:t>
            </w:r>
            <w:r>
              <w:rPr>
                <w:rFonts w:hint="eastAsia"/>
                <w:highlight w:val="none"/>
                <w:u w:val="single"/>
                <w:lang w:val="en-US" w:eastAsia="zh-CN"/>
              </w:rPr>
              <w:t>以监理方发出的开工令或发包人发出的书面进场通知为准</w:t>
            </w:r>
            <w:r>
              <w:rPr>
                <w:rFonts w:hint="eastAsia" w:asciiTheme="minorEastAsia" w:hAnsiTheme="minorEastAsia" w:eastAsiaTheme="minorEastAsia"/>
                <w:color w:val="auto"/>
                <w:szCs w:val="21"/>
                <w:highlight w:val="none"/>
                <w:u w:val="single"/>
              </w:rPr>
              <w:t>）</w:t>
            </w:r>
            <w:r>
              <w:rPr>
                <w:rFonts w:hint="eastAsia" w:ascii="宋体" w:hAnsi="宋体"/>
                <w:color w:val="auto"/>
                <w:szCs w:val="21"/>
                <w:highlight w:val="none"/>
              </w:rPr>
              <w:t>。</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自</w:t>
            </w:r>
            <w:r>
              <w:rPr>
                <w:rFonts w:ascii="宋体" w:hAnsi="宋体"/>
                <w:color w:val="auto"/>
                <w:szCs w:val="21"/>
                <w:highlight w:val="none"/>
                <w:u w:val="single"/>
              </w:rPr>
              <w:t>有资金</w:t>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bookmarkStart w:id="4" w:name="EBdfd7e3fe86a241738f1c1d356c309534"/>
            <w:r>
              <w:rPr>
                <w:rFonts w:hint="eastAsia" w:asciiTheme="minorEastAsia" w:hAnsiTheme="minorEastAsia" w:eastAsiaTheme="minorEastAsia"/>
                <w:color w:val="auto"/>
                <w:szCs w:val="21"/>
                <w:highlight w:val="none"/>
                <w:u w:val="single"/>
              </w:rPr>
              <w:t>本工程的投标报价采用</w:t>
            </w:r>
            <w:r>
              <w:rPr>
                <w:rFonts w:hint="eastAsia" w:ascii="宋体" w:hAnsi="宋体" w:cs="宋体"/>
                <w:color w:val="auto"/>
                <w:szCs w:val="21"/>
                <w:highlight w:val="none"/>
                <w:u w:val="single"/>
              </w:rPr>
              <w:t>工程量清单计价，按国家、省有关计价规范执行。</w:t>
            </w:r>
            <w:r>
              <w:rPr>
                <w:rFonts w:hint="eastAsia" w:asciiTheme="minorEastAsia" w:hAnsiTheme="minorEastAsia" w:eastAsiaTheme="minorEastAsia"/>
                <w:color w:val="auto"/>
                <w:szCs w:val="21"/>
                <w:highlight w:val="none"/>
                <w:u w:val="single"/>
              </w:rPr>
              <w:t>投标人根据工程量清单、施工图纸、招标范围界面及有关资料自行报价。</w:t>
            </w:r>
            <w:bookmarkEnd w:id="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ascii="宋体" w:hAnsi="宋体"/>
                <w:b/>
                <w:color w:val="auto"/>
                <w:szCs w:val="21"/>
                <w:highlight w:val="none"/>
                <w:u w:val="single"/>
              </w:rPr>
              <w:t>90</w:t>
            </w:r>
            <w:r>
              <w:rPr>
                <w:rFonts w:hint="eastAsia" w:ascii="宋体" w:hAnsi="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如投标有效期内发生异议或投诉的，则投标有效期自动延长至异议或投诉处理结束后90日历天。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pStyle w:val="20"/>
              <w:rPr>
                <w:b/>
                <w:strike/>
                <w:color w:val="auto"/>
              </w:rPr>
            </w:pPr>
            <w:r>
              <w:rPr>
                <w:rFonts w:hint="eastAsia" w:ascii="仿宋" w:hAnsi="仿宋" w:eastAsia="仿宋" w:cs="宋体"/>
                <w:b/>
                <w:strike/>
                <w:color w:val="auto"/>
                <w:kern w:val="0"/>
                <w:sz w:val="22"/>
              </w:rPr>
              <w:t>方式一：本项目不收投标保证金。</w:t>
            </w:r>
          </w:p>
          <w:p>
            <w:pPr>
              <w:widowControl/>
              <w:jc w:val="left"/>
              <w:rPr>
                <w:rFonts w:ascii="仿宋" w:hAnsi="仿宋" w:eastAsia="仿宋" w:cs="宋体"/>
                <w:bCs/>
                <w:color w:val="auto"/>
                <w:kern w:val="0"/>
                <w:sz w:val="22"/>
              </w:rPr>
            </w:pPr>
            <w:r>
              <w:rPr>
                <w:rFonts w:hint="eastAsia" w:ascii="仿宋" w:hAnsi="仿宋" w:eastAsia="仿宋" w:cs="宋体"/>
                <w:b/>
                <w:color w:val="auto"/>
                <w:kern w:val="0"/>
                <w:sz w:val="22"/>
              </w:rPr>
              <w:t>方式二：本项目收取投标保证金</w:t>
            </w:r>
            <w:r>
              <w:rPr>
                <w:rFonts w:hint="eastAsia" w:ascii="仿宋" w:hAnsi="仿宋" w:eastAsia="仿宋" w:cs="宋体"/>
                <w:bCs/>
                <w:color w:val="auto"/>
                <w:kern w:val="0"/>
                <w:sz w:val="22"/>
                <w:u w:val="single"/>
              </w:rPr>
              <w:t xml:space="preserve"> </w:t>
            </w:r>
            <w:r>
              <w:rPr>
                <w:rFonts w:hint="eastAsia" w:ascii="仿宋" w:hAnsi="仿宋" w:eastAsia="仿宋" w:cs="宋体"/>
                <w:b/>
                <w:bCs w:val="0"/>
                <w:color w:val="auto"/>
                <w:kern w:val="0"/>
                <w:sz w:val="22"/>
                <w:u w:val="single"/>
                <w:lang w:val="en-US" w:eastAsia="zh-CN"/>
              </w:rPr>
              <w:t>50</w:t>
            </w:r>
            <w:r>
              <w:rPr>
                <w:rFonts w:hint="eastAsia" w:ascii="仿宋" w:hAnsi="仿宋" w:eastAsia="仿宋" w:cs="宋体"/>
                <w:bCs/>
                <w:color w:val="auto"/>
                <w:kern w:val="0"/>
                <w:sz w:val="22"/>
              </w:rPr>
              <w:t>万元人民币，缴纳时间在</w:t>
            </w:r>
            <w:r>
              <w:rPr>
                <w:rFonts w:ascii="宋体" w:hAnsi="宋体"/>
                <w:color w:val="auto"/>
                <w:szCs w:val="21"/>
                <w:highlight w:val="none"/>
              </w:rPr>
              <w:t>递交投标文件截止时间</w:t>
            </w:r>
            <w:r>
              <w:rPr>
                <w:rFonts w:hint="eastAsia" w:ascii="仿宋" w:hAnsi="仿宋" w:eastAsia="仿宋" w:cs="宋体"/>
                <w:bCs/>
                <w:color w:val="auto"/>
                <w:kern w:val="0"/>
                <w:sz w:val="22"/>
              </w:rPr>
              <w:t>之前。</w:t>
            </w:r>
          </w:p>
          <w:p>
            <w:pPr>
              <w:widowControl/>
              <w:jc w:val="left"/>
              <w:rPr>
                <w:rFonts w:ascii="仿宋" w:hAnsi="仿宋" w:eastAsia="仿宋" w:cs="宋体"/>
                <w:bCs/>
                <w:color w:val="auto"/>
                <w:kern w:val="0"/>
                <w:sz w:val="22"/>
              </w:rPr>
            </w:pPr>
            <w:r>
              <w:rPr>
                <w:rFonts w:hint="eastAsia" w:ascii="仿宋" w:hAnsi="仿宋" w:eastAsia="仿宋" w:cs="宋体"/>
                <w:bCs/>
                <w:color w:val="auto"/>
                <w:kern w:val="0"/>
                <w:sz w:val="22"/>
              </w:rPr>
              <w:t>注：</w:t>
            </w:r>
          </w:p>
          <w:p>
            <w:pPr>
              <w:widowControl/>
              <w:jc w:val="left"/>
              <w:rPr>
                <w:rFonts w:hint="eastAsia" w:ascii="宋体" w:hAnsi="宋体" w:eastAsia="宋体" w:cs="宋体"/>
                <w:b/>
                <w:color w:val="auto"/>
                <w:kern w:val="0"/>
                <w:sz w:val="21"/>
                <w:szCs w:val="21"/>
              </w:rPr>
            </w:pPr>
            <w:r>
              <w:rPr>
                <w:rFonts w:hint="eastAsia" w:ascii="仿宋" w:hAnsi="仿宋" w:eastAsia="仿宋" w:cs="宋体"/>
                <w:b w:val="0"/>
                <w:bCs w:val="0"/>
                <w:color w:val="auto"/>
                <w:kern w:val="0"/>
                <w:sz w:val="22"/>
              </w:rPr>
              <w:t>1、</w:t>
            </w:r>
            <w:r>
              <w:rPr>
                <w:rFonts w:hint="eastAsia" w:ascii="仿宋" w:hAnsi="仿宋" w:eastAsia="仿宋" w:cs="宋体"/>
                <w:b w:val="0"/>
                <w:color w:val="auto"/>
                <w:kern w:val="0"/>
                <w:sz w:val="22"/>
              </w:rPr>
              <w:t>政府投资项目不得收取投标保证金。</w:t>
            </w:r>
            <w:r>
              <w:rPr>
                <w:rFonts w:hint="eastAsia" w:ascii="宋体" w:hAnsi="宋体" w:eastAsia="宋体" w:cs="宋体"/>
                <w:bCs/>
                <w:color w:val="auto"/>
                <w:kern w:val="0"/>
                <w:sz w:val="21"/>
                <w:szCs w:val="21"/>
              </w:rPr>
              <w:t>鼓励招标人对简单小额项目不要求提供投标担保，对中小企业投标人免除投标担保。</w:t>
            </w:r>
          </w:p>
          <w:p>
            <w:pPr>
              <w:widowControl/>
              <w:jc w:val="left"/>
              <w:rPr>
                <w:rFonts w:hint="eastAsia" w:ascii="宋体" w:hAnsi="宋体" w:eastAsia="宋体" w:cs="宋体"/>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eastAsia="宋体" w:cs="宋体"/>
                <w:bCs/>
                <w:color w:val="auto"/>
                <w:kern w:val="0"/>
                <w:sz w:val="21"/>
                <w:szCs w:val="21"/>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rPr>
                <w:rFonts w:ascii="宋体" w:hAnsi="宋体" w:cs="宋体"/>
                <w:color w:val="auto"/>
                <w:szCs w:val="21"/>
                <w:highlight w:val="none"/>
              </w:rPr>
            </w:pPr>
            <w:r>
              <w:rPr>
                <w:rFonts w:hint="eastAsia" w:ascii="宋体" w:hAnsi="宋体" w:eastAsia="宋体" w:cs="宋体"/>
                <w:bCs/>
                <w:color w:val="auto"/>
                <w:kern w:val="0"/>
                <w:sz w:val="21"/>
                <w:szCs w:val="21"/>
              </w:rPr>
              <w:t>3、招标人在免收投标保证金的同时，应约定免交投标保证金的投标人存在16.4条款所列情形的后续处理措施</w:t>
            </w:r>
            <w:r>
              <w:rPr>
                <w:rFonts w:hint="eastAsia" w:ascii="宋体" w:hAnsi="宋体" w:eastAsia="宋体" w:cs="宋体"/>
                <w:color w:val="auto"/>
                <w:szCs w:val="21"/>
                <w:highlight w:val="none"/>
              </w:rPr>
              <w:t>；</w:t>
            </w:r>
            <w:r>
              <w:rPr>
                <w:rFonts w:hint="eastAsia" w:ascii="宋体" w:hAnsi="宋体" w:cs="宋体"/>
                <w:color w:val="auto"/>
                <w:szCs w:val="21"/>
                <w:highlight w:val="none"/>
              </w:rPr>
              <w:t xml:space="preserve"> </w:t>
            </w:r>
          </w:p>
          <w:p>
            <w:pPr>
              <w:topLinePunct/>
              <w:rPr>
                <w:rFonts w:ascii="宋体" w:hAnsi="宋体"/>
                <w:color w:val="auto"/>
                <w:szCs w:val="21"/>
                <w:highlight w:val="none"/>
                <w:u w:val="single"/>
              </w:rPr>
            </w:pPr>
            <w:r>
              <w:rPr>
                <w:rFonts w:hint="eastAsia" w:ascii="宋体" w:hAnsi="宋体"/>
                <w:color w:val="auto"/>
                <w:szCs w:val="21"/>
                <w:highlight w:val="none"/>
                <w:u w:val="single"/>
                <w:lang w:val="en-US" w:eastAsia="zh-CN"/>
              </w:rPr>
              <w:t>4</w:t>
            </w:r>
            <w:r>
              <w:rPr>
                <w:rFonts w:ascii="宋体" w:hAnsi="宋体"/>
                <w:color w:val="auto"/>
                <w:szCs w:val="21"/>
                <w:highlight w:val="none"/>
                <w:u w:val="single"/>
              </w:rPr>
              <w:t>．投标保证金的形式：投标保证金可采用现金、支票、投标保证保险、投标保函（银行或专业担保公司出具）的形式，须在递交投标文件截止时间前完成缴纳。</w:t>
            </w:r>
          </w:p>
          <w:p>
            <w:pPr>
              <w:topLinePunct/>
              <w:rPr>
                <w:rFonts w:ascii="宋体" w:hAnsi="宋体"/>
                <w:color w:val="auto"/>
                <w:szCs w:val="21"/>
                <w:highlight w:val="none"/>
                <w:u w:val="single"/>
              </w:rPr>
            </w:pPr>
            <w:r>
              <w:rPr>
                <w:rFonts w:hint="eastAsia" w:ascii="宋体" w:hAnsi="宋体"/>
                <w:color w:val="auto"/>
                <w:szCs w:val="21"/>
                <w:highlight w:val="none"/>
                <w:u w:val="single"/>
                <w:lang w:val="en-US" w:eastAsia="zh-CN"/>
              </w:rPr>
              <w:t>5</w:t>
            </w:r>
            <w:r>
              <w:rPr>
                <w:rFonts w:ascii="宋体" w:hAnsi="宋体"/>
                <w:color w:val="auto"/>
                <w:szCs w:val="21"/>
                <w:highlight w:val="none"/>
                <w:u w:val="single"/>
              </w:rPr>
              <w:t>．如采用现金或者支票方式提交的，由广州公共资源交易中心代收。保证金从投标人基本账户转账至广州公共资源交易中心。其缴纳情况以广州公共资源交易中心数据库记录的信息为准。缴纳时间：递交投标文件开始时至递交投标文件截止时间前。具体操作步骤参见广州公共资源交易中心最新的投标保证金缴纳操作流程。</w:t>
            </w:r>
          </w:p>
          <w:p>
            <w:pPr>
              <w:topLinePunct/>
              <w:ind w:firstLine="0" w:firstLineChars="0"/>
              <w:rPr>
                <w:rFonts w:ascii="宋体" w:hAnsi="宋体"/>
                <w:color w:val="auto"/>
                <w:highlight w:val="none"/>
              </w:rPr>
            </w:pPr>
            <w:r>
              <w:rPr>
                <w:rFonts w:hint="eastAsia" w:ascii="宋体" w:hAnsi="宋体"/>
                <w:color w:val="auto"/>
                <w:szCs w:val="21"/>
                <w:highlight w:val="none"/>
                <w:u w:val="single"/>
                <w:lang w:val="en-US" w:eastAsia="zh-CN"/>
              </w:rPr>
              <w:t>6</w:t>
            </w:r>
            <w:r>
              <w:rPr>
                <w:rFonts w:ascii="宋体" w:hAnsi="宋体"/>
                <w:color w:val="auto"/>
                <w:szCs w:val="21"/>
                <w:highlight w:val="none"/>
                <w:u w:val="single"/>
              </w:rPr>
              <w:t>．如采用投标保函或投标保证保险的方式提交的，投标保函需开具给招标人；保证保险需开具给招标人（受益人也必须是招标人</w:t>
            </w:r>
            <w:r>
              <w:rPr>
                <w:rFonts w:hint="eastAsia" w:ascii="宋体" w:hAnsi="宋体"/>
                <w:color w:val="auto"/>
                <w:szCs w:val="21"/>
                <w:highlight w:val="none"/>
                <w:u w:val="single"/>
              </w:rPr>
              <w:t>（即为广州开投智慧能源投资有限公司）</w:t>
            </w:r>
            <w:r>
              <w:rPr>
                <w:rFonts w:ascii="宋体" w:hAnsi="宋体"/>
                <w:color w:val="auto"/>
                <w:szCs w:val="21"/>
                <w:highlight w:val="none"/>
                <w:u w:val="single"/>
              </w:rPr>
              <w:t>）。在开标前不需要提交纸质原件，投标人应在投标文件中提交投标保函或投标保险等的</w:t>
            </w:r>
            <w:r>
              <w:rPr>
                <w:rFonts w:hint="eastAsia" w:ascii="宋体" w:hAnsi="宋体"/>
                <w:color w:val="auto"/>
                <w:szCs w:val="21"/>
                <w:highlight w:val="none"/>
                <w:u w:val="single"/>
              </w:rPr>
              <w:t>清晰</w:t>
            </w:r>
            <w:r>
              <w:rPr>
                <w:rFonts w:ascii="宋体" w:hAnsi="宋体"/>
                <w:color w:val="auto"/>
                <w:szCs w:val="21"/>
                <w:highlight w:val="none"/>
                <w:u w:val="single"/>
              </w:rPr>
              <w:t>扫描件并加盖投标人电子印章。完成评标后，由中标候选人在中标候选人公示前提交纸质原件给招标代理单位，纸质原件将在网上公示。若以交易系统支持的电子保函或电子投标保证保险递交的，到账情况以开标时广州公共资源交易中心数据库查询信息为准</w:t>
            </w:r>
            <w:r>
              <w:rPr>
                <w:rFonts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1"/>
              <w:rPr>
                <w:rFonts w:ascii="宋体" w:hAnsi="宋体"/>
                <w:color w:val="auto"/>
                <w:kern w:val="2"/>
                <w:sz w:val="21"/>
                <w:szCs w:val="21"/>
                <w:highlight w:val="none"/>
              </w:rPr>
            </w:pPr>
            <w:r>
              <w:rPr>
                <w:rFonts w:hint="eastAsia" w:ascii="宋体" w:hAnsi="宋体" w:cs="宋体"/>
                <w:color w:val="auto"/>
                <w:kern w:val="2"/>
                <w:sz w:val="21"/>
                <w:szCs w:val="21"/>
                <w:highlight w:val="none"/>
                <w:u w:val="single"/>
              </w:rPr>
              <w:t>招标人不集中组织，由投标人自行踏勘，投标人不进行踏勘的，视为已熟知现场条件，自行承担相关风险。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1.方式：网上答疑，投标人的疑问通过广州公共资源交易中心交易平台提交；</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2.疑问提交时间：202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cs="宋体"/>
                <w:color w:val="auto"/>
                <w:szCs w:val="21"/>
                <w:highlight w:val="none"/>
                <w:u w:val="single"/>
              </w:rPr>
              <w:t>前(在递交投标文件截止日期前18日)；</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3.招标人澄清、修补或答疑期限：在递交投标文件截止日期前15 日；</w:t>
            </w:r>
          </w:p>
          <w:p>
            <w:pPr>
              <w:rPr>
                <w:rFonts w:ascii="宋体" w:hAnsi="宋体" w:cs="宋体"/>
                <w:color w:val="auto"/>
                <w:szCs w:val="21"/>
                <w:highlight w:val="none"/>
              </w:rPr>
            </w:pPr>
            <w:r>
              <w:rPr>
                <w:rFonts w:hint="eastAsia" w:ascii="宋体" w:hAnsi="宋体" w:cs="宋体"/>
                <w:color w:val="auto"/>
                <w:szCs w:val="21"/>
                <w:highlight w:val="none"/>
                <w:u w:val="single"/>
              </w:rPr>
              <w:t>4.具体要求：按照广州公共资源交易中心交易平台关于全流程电子化项目的相关指南进行操作，详见：广州公共资源交易中心网站最新指引。 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r>
              <w:rPr>
                <w:rFonts w:hint="eastAsia"/>
                <w:color w:val="auto"/>
                <w:highlight w:val="none"/>
                <w:u w:val="single"/>
              </w:rPr>
              <w:t>具体时间地点详见广州公共资源交易中心网（网址：http://www.gzggzy.cn）</w:t>
            </w:r>
            <w:r>
              <w:rPr>
                <w:rFonts w:hint="eastAsia"/>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（技术标和经济标同时开标）</w:t>
            </w:r>
          </w:p>
          <w:p>
            <w:pPr>
              <w:rPr>
                <w:rFonts w:ascii="宋体" w:hAnsi="宋体" w:cs="宋体"/>
                <w:color w:val="auto"/>
                <w:szCs w:val="21"/>
                <w:highlight w:val="none"/>
                <w:u w:val="singl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lang w:eastAsia="zh-CN"/>
              </w:rPr>
              <w:t>广州公共资源交易中心</w:t>
            </w:r>
            <w:r>
              <w:rPr>
                <w:rFonts w:hint="eastAsia" w:ascii="宋体" w:hAnsi="宋体" w:cs="宋体"/>
                <w:color w:val="auto"/>
                <w:szCs w:val="21"/>
                <w:highlight w:val="none"/>
                <w:u w:val="single"/>
              </w:rPr>
              <w:t>第   开标室。</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广州公共资源交易中心网站最新指引</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pPr>
              <w:rPr>
                <w:rFonts w:ascii="宋体" w:hAnsi="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lang w:eastAsia="zh-CN"/>
              </w:rPr>
              <w:t>广州公共资源交易中心第   开标室</w:t>
            </w:r>
            <w:r>
              <w:rPr>
                <w:rFonts w:hint="eastAsia" w:ascii="宋体" w:hAnsi="宋体" w:cs="宋体"/>
                <w:color w:val="auto"/>
                <w:szCs w:val="21"/>
                <w:highlight w:val="none"/>
                <w:u w:val="single"/>
              </w:rPr>
              <w:t>。</w:t>
            </w:r>
          </w:p>
          <w:p>
            <w:pPr>
              <w:rPr>
                <w:rFonts w:ascii="宋体" w:hAnsi="宋体"/>
                <w:color w:val="auto"/>
                <w:szCs w:val="21"/>
                <w:highlight w:val="none"/>
              </w:rPr>
            </w:pPr>
            <w:r>
              <w:rPr>
                <w:rFonts w:hint="eastAsia" w:ascii="宋体" w:hAnsi="宋体" w:cs="宋体"/>
                <w:color w:val="auto"/>
                <w:szCs w:val="21"/>
                <w:highlight w:val="none"/>
              </w:rPr>
              <w:t>上述时间及地点是否有改变，请密切留意补充公告和招标答疑纪要的相关信息。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2"/>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方式一：选取方法六（适合综合评分法三，技术标与经济标同时开启）</w:t>
            </w:r>
          </w:p>
          <w:p>
            <w:pPr>
              <w:pStyle w:val="2"/>
              <w:ind w:firstLine="0"/>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第一阶段得分</w:t>
            </w:r>
            <w:r>
              <w:rPr>
                <w:rFonts w:ascii="宋体" w:hAnsi="宋体" w:cs="宋体"/>
                <w:color w:val="auto"/>
                <w:kern w:val="2"/>
                <w:sz w:val="21"/>
                <w:szCs w:val="21"/>
                <w:highlight w:val="none"/>
                <w:u w:val="single"/>
              </w:rPr>
              <w:t>=技术分</w:t>
            </w:r>
            <w:r>
              <w:rPr>
                <w:rFonts w:hint="eastAsia" w:ascii="宋体" w:hAnsi="宋体" w:cs="宋体"/>
                <w:color w:val="auto"/>
                <w:kern w:val="2"/>
                <w:sz w:val="21"/>
                <w:szCs w:val="21"/>
                <w:highlight w:val="none"/>
                <w:u w:val="single"/>
              </w:rPr>
              <w:t>（100%</w:t>
            </w:r>
            <w:r>
              <w:rPr>
                <w:rFonts w:ascii="宋体" w:hAnsi="宋体" w:cs="宋体"/>
                <w:color w:val="auto"/>
                <w:kern w:val="2"/>
                <w:sz w:val="21"/>
                <w:szCs w:val="21"/>
                <w:highlight w:val="none"/>
                <w:u w:val="single"/>
              </w:rPr>
              <w:t>）</w:t>
            </w:r>
          </w:p>
          <w:p>
            <w:pPr>
              <w:pStyle w:val="2"/>
              <w:spacing w:after="0"/>
              <w:ind w:firstLine="0"/>
              <w:rPr>
                <w:rFonts w:hAnsi="宋体" w:cs="宋体" w:eastAsiaTheme="minorEastAsia"/>
                <w:color w:val="auto"/>
                <w:kern w:val="2"/>
                <w:sz w:val="21"/>
                <w:szCs w:val="21"/>
                <w:highlight w:val="none"/>
              </w:rPr>
            </w:pPr>
            <w:r>
              <w:rPr>
                <w:rFonts w:hint="eastAsia" w:ascii="宋体" w:hAnsi="宋体" w:cs="宋体"/>
                <w:color w:val="auto"/>
                <w:kern w:val="2"/>
                <w:sz w:val="21"/>
                <w:szCs w:val="21"/>
                <w:highlight w:val="none"/>
                <w:u w:val="single"/>
              </w:rPr>
              <w:t>第二阶段得分（总得分）</w:t>
            </w:r>
            <w:r>
              <w:rPr>
                <w:rFonts w:ascii="宋体" w:hAnsi="宋体" w:cs="宋体"/>
                <w:color w:val="auto"/>
                <w:kern w:val="2"/>
                <w:sz w:val="21"/>
                <w:szCs w:val="21"/>
                <w:highlight w:val="none"/>
                <w:u w:val="single"/>
              </w:rPr>
              <w:t>=技术分×</w:t>
            </w:r>
            <w:r>
              <w:rPr>
                <w:rFonts w:hint="eastAsia" w:ascii="宋体" w:hAnsi="宋体" w:cs="宋体"/>
                <w:color w:val="auto"/>
                <w:kern w:val="2"/>
                <w:sz w:val="21"/>
                <w:szCs w:val="21"/>
                <w:highlight w:val="none"/>
                <w:u w:val="single"/>
              </w:rPr>
              <w:t>技术</w:t>
            </w:r>
            <w:r>
              <w:rPr>
                <w:rFonts w:ascii="宋体" w:hAnsi="宋体" w:cs="宋体"/>
                <w:color w:val="auto"/>
                <w:kern w:val="2"/>
                <w:sz w:val="21"/>
                <w:szCs w:val="21"/>
                <w:highlight w:val="none"/>
                <w:u w:val="single"/>
              </w:rPr>
              <w:t>分权重（</w:t>
            </w:r>
            <w:r>
              <w:rPr>
                <w:rFonts w:hint="eastAsia" w:ascii="宋体" w:hAnsi="宋体" w:cs="宋体"/>
                <w:color w:val="auto"/>
                <w:kern w:val="2"/>
                <w:sz w:val="21"/>
                <w:szCs w:val="21"/>
                <w:highlight w:val="none"/>
                <w:u w:val="single"/>
              </w:rPr>
              <w:t>4</w:t>
            </w:r>
            <w:r>
              <w:rPr>
                <w:rFonts w:ascii="宋体" w:hAnsi="宋体" w:cs="宋体"/>
                <w:color w:val="auto"/>
                <w:kern w:val="2"/>
                <w:sz w:val="21"/>
                <w:szCs w:val="21"/>
                <w:highlight w:val="none"/>
                <w:u w:val="single"/>
              </w:rPr>
              <w:t>0%）+经济分×经济分权重（</w:t>
            </w:r>
            <w:r>
              <w:rPr>
                <w:rFonts w:hint="eastAsia" w:ascii="宋体" w:hAnsi="宋体" w:cs="宋体"/>
                <w:color w:val="auto"/>
                <w:kern w:val="2"/>
                <w:sz w:val="21"/>
                <w:szCs w:val="21"/>
                <w:highlight w:val="none"/>
                <w:u w:val="single"/>
              </w:rPr>
              <w:t>6</w:t>
            </w:r>
            <w:r>
              <w:rPr>
                <w:rFonts w:ascii="宋体" w:hAnsi="宋体" w:cs="宋体"/>
                <w:color w:val="auto"/>
                <w:kern w:val="2"/>
                <w:sz w:val="21"/>
                <w:szCs w:val="21"/>
                <w:highlight w:val="none"/>
                <w:u w:val="single"/>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pStyle w:val="2"/>
              <w:spacing w:after="0"/>
              <w:ind w:firstLine="0"/>
              <w:rPr>
                <w:rFonts w:ascii="宋体" w:hAnsi="宋体"/>
                <w:color w:val="auto"/>
                <w:kern w:val="2"/>
                <w:sz w:val="21"/>
                <w:highlight w:val="none"/>
              </w:rPr>
            </w:pPr>
            <w:r>
              <w:rPr>
                <w:rFonts w:hint="eastAsia" w:ascii="宋体" w:hAnsi="宋体"/>
                <w:color w:val="auto"/>
                <w:kern w:val="2"/>
                <w:sz w:val="21"/>
                <w:szCs w:val="22"/>
                <w:highlight w:val="none"/>
              </w:rPr>
              <w:t>中标人提供的履约担保金额为中标价款的10%。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 w:val="21"/>
                <w:szCs w:val="21"/>
                <w:highlight w:val="none"/>
                <w:u w:val="single"/>
              </w:rPr>
              <w:t>402477788.79</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ind w:hanging="10"/>
              <w:rPr>
                <w:rFonts w:ascii="宋体" w:hAnsi="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lang w:val="en-US" w:eastAsia="zh-CN"/>
              </w:rPr>
              <w:t>15241215.48</w:t>
            </w:r>
            <w:r>
              <w:rPr>
                <w:rFonts w:hint="eastAsia" w:ascii="宋体" w:hAnsi="宋体" w:cs="宋体"/>
                <w:color w:val="auto"/>
                <w:szCs w:val="21"/>
                <w:highlight w:val="none"/>
              </w:rPr>
              <w:t>元，暂列金额为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 w:val="21"/>
                <w:szCs w:val="21"/>
                <w:highlight w:val="none"/>
                <w:u w:val="single"/>
                <w:lang w:val="en-US" w:eastAsia="zh-CN" w:bidi="ar-SA"/>
              </w:rPr>
              <w:t>16504191.01</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元，暂估</w:t>
            </w:r>
            <w:r>
              <w:rPr>
                <w:rFonts w:hint="eastAsia" w:ascii="宋体" w:hAnsi="宋体"/>
                <w:color w:val="auto"/>
                <w:szCs w:val="21"/>
                <w:highlight w:val="none"/>
              </w:rPr>
              <w:t>价为</w:t>
            </w:r>
            <w:r>
              <w:rPr>
                <w:rFonts w:hint="eastAsia" w:asciiTheme="minorEastAsia" w:hAnsiTheme="minorEastAsia" w:cstheme="minorEastAsia"/>
                <w:b/>
                <w:bCs/>
                <w:color w:val="auto"/>
                <w:sz w:val="24"/>
                <w:u w:val="single"/>
                <w:lang w:val="en-US" w:eastAsia="zh-CN" w:bidi="ar"/>
              </w:rPr>
              <w:t xml:space="preserve"> </w:t>
            </w:r>
            <w:r>
              <w:rPr>
                <w:rFonts w:hint="eastAsia" w:ascii="宋体" w:hAnsi="宋体" w:cs="宋体"/>
                <w:color w:val="auto"/>
                <w:sz w:val="21"/>
                <w:szCs w:val="21"/>
                <w:highlight w:val="none"/>
                <w:u w:val="single"/>
                <w:lang w:val="en-US" w:eastAsia="zh-CN" w:bidi="ar-SA"/>
              </w:rPr>
              <w:t>4500000.00</w:t>
            </w:r>
            <w:r>
              <w:rPr>
                <w:rFonts w:hint="eastAsia" w:ascii="宋体" w:hAnsi="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2"/>
              <w:spacing w:after="0"/>
              <w:ind w:firstLine="0"/>
              <w:jc w:val="left"/>
              <w:rPr>
                <w:rFonts w:ascii="宋体" w:hAnsi="宋体"/>
                <w:color w:val="auto"/>
                <w:kern w:val="2"/>
                <w:sz w:val="21"/>
                <w:szCs w:val="21"/>
                <w:highlight w:val="none"/>
              </w:rPr>
            </w:pPr>
            <w:r>
              <w:rPr>
                <w:rFonts w:hint="eastAsia" w:ascii="宋体" w:hAnsi="宋体"/>
                <w:color w:val="auto"/>
                <w:kern w:val="2"/>
                <w:sz w:val="21"/>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u w:val="singl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u w:val="single"/>
              </w:rPr>
            </w:pPr>
            <w:r>
              <w:rPr>
                <w:rFonts w:hint="eastAsia" w:ascii="宋体" w:hAnsi="宋体"/>
                <w:color w:val="auto"/>
                <w:szCs w:val="21"/>
                <w:highlight w:val="none"/>
                <w:u w:val="single"/>
              </w:rPr>
              <w:t>总承包服务费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u w:val="single"/>
              </w:rPr>
            </w:pPr>
            <w:r>
              <w:rPr>
                <w:rFonts w:hint="eastAsia" w:ascii="宋体" w:hAnsi="宋体"/>
                <w:color w:val="auto"/>
                <w:szCs w:val="21"/>
                <w:highlight w:val="none"/>
                <w:u w:val="single"/>
              </w:rPr>
              <w:t>承包人需对发包人单独发包的工程提供总承包管理和协调，并提供配合和服务。总承包服务费按照发包人单独发包的工程合同价（若出现签订补充合同增加合同价等情况的，以最初签订的该标段对应发包人单独发包的专业承包合同的合同价为准）乘以总承包服务费费率计取，该费用</w:t>
            </w:r>
            <w:r>
              <w:rPr>
                <w:rFonts w:hint="eastAsia" w:ascii="宋体" w:hAnsi="宋体"/>
                <w:color w:val="auto"/>
                <w:szCs w:val="21"/>
                <w:highlight w:val="none"/>
                <w:u w:val="single"/>
                <w:lang w:val="en-US" w:eastAsia="zh-CN"/>
              </w:rPr>
              <w:t>0.50</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固定不变</w:t>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trike/>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trike/>
                <w:color w:val="auto"/>
                <w:szCs w:val="21"/>
                <w:highlight w:val="none"/>
              </w:rPr>
            </w:pPr>
            <w:r>
              <w:rPr>
                <w:rFonts w:hint="eastAsia" w:ascii="宋体" w:hAnsi="宋体" w:cs="宋体"/>
                <w:color w:val="auto"/>
                <w:szCs w:val="21"/>
                <w:highlight w:val="none"/>
              </w:rPr>
              <w:t>计算评标参考价的等分点值X</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strike/>
                <w:color w:val="auto"/>
                <w:szCs w:val="21"/>
                <w:highlight w:val="none"/>
              </w:rPr>
            </w:pPr>
            <w:r>
              <w:rPr>
                <w:rFonts w:hint="eastAsia" w:ascii="宋体" w:hAnsi="宋体" w:cs="宋体"/>
                <w:color w:val="auto"/>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通过技术有效性审查的投标人均进入第二阶段（适用于通过技术有效性审查家数在[3,</w:t>
            </w:r>
            <w:r>
              <w:rPr>
                <w:rFonts w:hint="eastAsia" w:ascii="Calibri" w:hAnsi="Calibri" w:cs="Times New Roman"/>
                <w:color w:val="auto"/>
                <w:sz w:val="22"/>
                <w:szCs w:val="22"/>
                <w:highlight w:val="none"/>
                <w:u w:val="single"/>
              </w:rPr>
              <w:t xml:space="preserve"> </w:t>
            </w:r>
            <w:r>
              <w:rPr>
                <w:rFonts w:hint="eastAsia" w:ascii="宋体" w:hAnsi="宋体" w:cs="Times New Roman"/>
                <w:color w:val="auto"/>
                <w:sz w:val="21"/>
                <w:szCs w:val="21"/>
                <w:highlight w:val="none"/>
                <w:u w:val="single"/>
              </w:rPr>
              <w:t xml:space="preserve">7 </w:t>
            </w:r>
            <w:r>
              <w:rPr>
                <w:rFonts w:hint="eastAsia" w:ascii="宋体" w:hAnsi="宋体" w:cs="宋体"/>
                <w:color w:val="auto"/>
                <w:szCs w:val="21"/>
                <w:highlight w:val="none"/>
              </w:rPr>
              <w:t>]中的）。</w:t>
            </w:r>
          </w:p>
          <w:p>
            <w:pPr>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将第一阶段得分由高至低排序，前</w:t>
            </w:r>
            <w:r>
              <w:rPr>
                <w:rFonts w:ascii="宋体" w:hAnsi="宋体" w:cs="宋体"/>
                <w:color w:val="auto"/>
                <w:szCs w:val="21"/>
                <w:highlight w:val="none"/>
                <w:u w:val="single"/>
              </w:rPr>
              <w:t>7</w:t>
            </w:r>
            <w:r>
              <w:rPr>
                <w:rFonts w:hint="eastAsia" w:ascii="宋体" w:hAnsi="宋体" w:cs="宋体"/>
                <w:color w:val="auto"/>
                <w:szCs w:val="21"/>
                <w:highlight w:val="none"/>
              </w:rPr>
              <w:t>名投标人进入第二阶段评审（适用于通过技术有效性审查家数大于</w:t>
            </w:r>
            <w:r>
              <w:rPr>
                <w:rFonts w:ascii="宋体" w:hAnsi="宋体" w:cs="宋体"/>
                <w:color w:val="auto"/>
                <w:szCs w:val="21"/>
                <w:highlight w:val="none"/>
                <w:u w:val="single"/>
              </w:rPr>
              <w:t>7</w:t>
            </w:r>
            <w:r>
              <w:rPr>
                <w:rFonts w:hint="eastAsia" w:ascii="宋体" w:hAnsi="宋体" w:cs="宋体"/>
                <w:color w:val="auto"/>
                <w:szCs w:val="21"/>
                <w:highlight w:val="none"/>
              </w:rPr>
              <w:t>家的，招标人可根据工程具体情况，确定不少于</w:t>
            </w:r>
            <w:r>
              <w:rPr>
                <w:rFonts w:ascii="宋体" w:hAnsi="宋体" w:cs="宋体"/>
                <w:color w:val="auto"/>
                <w:szCs w:val="21"/>
                <w:highlight w:val="none"/>
                <w:u w:val="single"/>
              </w:rPr>
              <w:t>7</w:t>
            </w:r>
            <w:r>
              <w:rPr>
                <w:rFonts w:hint="eastAsia" w:ascii="宋体" w:hAnsi="宋体" w:cs="宋体"/>
                <w:color w:val="auto"/>
                <w:szCs w:val="21"/>
                <w:highlight w:val="none"/>
              </w:rPr>
              <w:t>家进入第二阶段）。</w:t>
            </w:r>
          </w:p>
          <w:p>
            <w:pPr>
              <w:rPr>
                <w:rFonts w:ascii="宋体" w:hAnsi="宋体"/>
                <w:color w:val="auto"/>
                <w:szCs w:val="21"/>
                <w:highlight w:val="none"/>
              </w:rPr>
            </w:pPr>
            <w:r>
              <w:rPr>
                <w:rFonts w:hint="eastAsia" w:ascii="宋体" w:hAnsi="宋体" w:cs="宋体"/>
                <w:color w:val="auto"/>
                <w:kern w:val="0"/>
                <w:sz w:val="22"/>
                <w:highlight w:val="none"/>
              </w:rPr>
              <w:t>注：本款适用于选择评标办法一至评标办法六。进入第二阶段的投标人家数应符合行政监管部门的要求</w:t>
            </w:r>
            <w:r>
              <w:rPr>
                <w:rFonts w:hint="eastAsia" w:ascii="宋体" w:hAnsi="宋体" w:cs="仿宋_GB2312"/>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lang w:val="en-US" w:eastAsia="zh-CN"/>
              </w:rPr>
              <w:t xml:space="preserve"> </w:t>
            </w:r>
            <w:r>
              <w:rPr>
                <w:rFonts w:hint="eastAsia" w:ascii="宋体" w:hAnsi="宋体" w:eastAsia="宋体" w:cs="宋体"/>
                <w:i w:val="0"/>
                <w:iCs w:val="0"/>
                <w:color w:val="auto"/>
                <w:sz w:val="22"/>
                <w:szCs w:val="22"/>
                <w:u w:val="single"/>
              </w:rPr>
              <w:t>362230009.91</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ascii="宋体" w:hAnsi="宋体"/>
                <w:color w:val="auto"/>
                <w:szCs w:val="21"/>
                <w:highlight w:val="none"/>
                <w:u w:val="single"/>
              </w:rPr>
              <w:t>（最高投标限价的 90 %）</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技术分权重为</w:t>
            </w:r>
            <w:r>
              <w:rPr>
                <w:rFonts w:hint="eastAsia" w:ascii="宋体" w:hAnsi="宋体"/>
                <w:color w:val="auto"/>
                <w:szCs w:val="21"/>
                <w:highlight w:val="none"/>
                <w:u w:val="single"/>
              </w:rPr>
              <w:t xml:space="preserve">100 </w:t>
            </w:r>
            <w:r>
              <w:rPr>
                <w:rFonts w:hint="eastAsia" w:ascii="宋体" w:hAnsi="宋体"/>
                <w:color w:val="auto"/>
                <w:szCs w:val="21"/>
                <w:highlight w:val="none"/>
              </w:rPr>
              <w:t>%，综合诚信评价得分权重为</w:t>
            </w:r>
            <w:r>
              <w:rPr>
                <w:rFonts w:hint="eastAsia" w:ascii="宋体" w:hAnsi="宋体"/>
                <w:color w:val="auto"/>
                <w:szCs w:val="21"/>
                <w:highlight w:val="none"/>
                <w:u w:val="single"/>
              </w:rPr>
              <w:t xml:space="preserve"> 0</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rPr>
                <w:rFonts w:ascii="宋体" w:hAnsi="宋体" w:eastAsiaTheme="minorEastAsia"/>
                <w:color w:val="auto"/>
                <w:szCs w:val="21"/>
                <w:highlight w:val="none"/>
              </w:rPr>
            </w:pPr>
            <w:r>
              <w:rPr>
                <w:rFonts w:hint="eastAsia" w:ascii="宋体" w:hAnsi="宋体"/>
                <w:color w:val="auto"/>
                <w:szCs w:val="21"/>
                <w:highlight w:val="none"/>
              </w:rPr>
              <w:t>注：</w:t>
            </w:r>
            <w:r>
              <w:rPr>
                <w:rFonts w:hint="eastAsia"/>
                <w:color w:val="auto"/>
                <w:highlight w:val="none"/>
              </w:rPr>
              <w:t>本阶段技术分评审标准取自《技术标详细审查评分表》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本项目不采用企业综合诚信评价分数</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trike w:val="0"/>
                <w:color w:val="auto"/>
                <w:szCs w:val="21"/>
                <w:highlight w:val="none"/>
              </w:rPr>
            </w:pPr>
            <w:r>
              <w:rPr>
                <w:rFonts w:ascii="宋体" w:hAnsi="宋体"/>
                <w:strike w:val="0"/>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trike w:val="0"/>
                <w:color w:val="auto"/>
                <w:szCs w:val="21"/>
                <w:highlight w:val="none"/>
              </w:rPr>
            </w:pPr>
            <w:r>
              <w:rPr>
                <w:rFonts w:hint="eastAsia" w:ascii="宋体" w:hAnsi="宋体" w:cs="宋体"/>
                <w:strike w:val="0"/>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60" w:lineRule="auto"/>
              <w:ind w:firstLine="210" w:firstLineChars="100"/>
              <w:rPr>
                <w:rFonts w:ascii="宋体" w:hAnsi="宋体"/>
                <w:strike w:val="0"/>
                <w:color w:val="auto"/>
                <w:szCs w:val="21"/>
                <w:highlight w:val="none"/>
              </w:rPr>
            </w:pPr>
            <w:r>
              <w:rPr>
                <w:rFonts w:hint="eastAsia" w:ascii="宋体" w:hAnsi="宋体" w:cs="宋体"/>
                <w:color w:val="auto"/>
                <w:szCs w:val="21"/>
                <w:highlight w:val="none"/>
                <w:u w:val="single"/>
              </w:rPr>
              <w:t xml:space="preserve">本款不适用。 </w:t>
            </w:r>
            <w:r>
              <w:rPr>
                <w:rFonts w:hint="eastAsia" w:ascii="宋体" w:hAnsi="宋体" w:cs="宋体"/>
                <w:color w:val="auto"/>
                <w:szCs w:val="21"/>
                <w:highlight w:val="none"/>
              </w:rPr>
              <w:t xml:space="preserve"> </w:t>
            </w:r>
            <w:r>
              <w:rPr>
                <w:rFonts w:ascii="宋体" w:hAnsi="宋体" w:cs="宋体"/>
                <w:strike w:val="0"/>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选取方法</w:t>
            </w:r>
            <w:r>
              <w:rPr>
                <w:rFonts w:hint="eastAsia" w:ascii="宋体" w:hAnsi="宋体" w:cs="宋体"/>
                <w:color w:val="auto"/>
                <w:szCs w:val="21"/>
                <w:highlight w:val="none"/>
                <w:u w:val="single"/>
              </w:rPr>
              <w:t xml:space="preserve"> 二    </w:t>
            </w:r>
          </w:p>
          <w:p>
            <w:pPr>
              <w:rPr>
                <w:rFonts w:ascii="宋体" w:hAnsi="宋体" w:cs="宋体"/>
                <w:color w:val="auto"/>
                <w:szCs w:val="21"/>
                <w:highlight w:val="none"/>
                <w:u w:val="single"/>
              </w:rPr>
            </w:pPr>
            <w:r>
              <w:rPr>
                <w:rFonts w:hint="eastAsia" w:ascii="宋体" w:hAnsi="宋体" w:cs="宋体"/>
                <w:color w:val="auto"/>
                <w:szCs w:val="21"/>
                <w:highlight w:val="none"/>
              </w:rPr>
              <w:t>方法二：按照“总得分=技术标详细审查得分×得分权重</w:t>
            </w:r>
            <w:r>
              <w:rPr>
                <w:rFonts w:hint="eastAsia" w:ascii="宋体" w:hAnsi="宋体" w:cs="宋体"/>
                <w:color w:val="auto"/>
                <w:szCs w:val="21"/>
                <w:highlight w:val="none"/>
                <w:lang w:val="en-US" w:eastAsia="zh-CN"/>
              </w:rPr>
              <w:t>（</w:t>
            </w:r>
            <w:r>
              <w:rPr>
                <w:rFonts w:ascii="宋体" w:hAnsi="宋体" w:cs="宋体"/>
                <w:color w:val="auto"/>
                <w:szCs w:val="21"/>
                <w:highlight w:val="none"/>
              </w:rPr>
              <w:t>4</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+经济分×经济分权重（60%）”的公式，计算各有效投标文件的总得分，并按照总得分从高到低排列先后次序。总得分相同的，以投标报价低的排前；</w:t>
            </w:r>
            <w:r>
              <w:rPr>
                <w:rFonts w:hint="eastAsia" w:ascii="宋体" w:hAnsi="宋体" w:cs="宋体"/>
                <w:color w:val="auto"/>
                <w:szCs w:val="21"/>
                <w:highlight w:val="none"/>
                <w:u w:val="single"/>
              </w:rPr>
              <w:t>如仍存在相同情况，则对具有相同情况的投标人，按中标候选人数量规定，由评标委员会采用记名投票方式，确定中标候选人的排序。</w:t>
            </w:r>
          </w:p>
          <w:p>
            <w:pPr>
              <w:widowControl/>
              <w:adjustRightInd/>
              <w:snapToGrid/>
              <w:spacing w:line="240" w:lineRule="auto"/>
              <w:rPr>
                <w:rFonts w:ascii="宋体" w:hAnsi="宋体"/>
                <w:color w:val="auto"/>
                <w:szCs w:val="21"/>
                <w:highlight w:val="none"/>
              </w:rPr>
            </w:pPr>
            <w:r>
              <w:rPr>
                <w:rFonts w:hint="eastAsia" w:ascii="宋体" w:hAnsi="宋体" w:cs="宋体"/>
                <w:color w:val="auto"/>
                <w:szCs w:val="21"/>
                <w:highlight w:val="none"/>
                <w:u w:val="single"/>
              </w:rPr>
              <w:t>注：记名投票方式确定排序的具体操作步骤为：由评标委员会对出现该情况的投标人采取记名投票的方式确定，按得票数高低进行排序，以得票数高的排前，根据得票数高低确定中标候选人排序。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s="宋体"/>
                <w:color w:val="auto"/>
                <w:szCs w:val="21"/>
                <w:highlight w:val="none"/>
                <w:u w:val="single"/>
              </w:rPr>
              <w:t>详见招标文件及施工合同相关条款。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kern w:val="0"/>
                <w:szCs w:val="21"/>
                <w:highlight w:val="none"/>
                <w:lang w:val="zh-CN"/>
              </w:rPr>
              <w:t>建设工程质量检测</w:t>
            </w:r>
            <w:r>
              <w:rPr>
                <w:rFonts w:hint="eastAsia" w:ascii="宋体" w:hAnsi="宋体"/>
                <w:color w:val="auto"/>
                <w:kern w:val="0"/>
                <w:szCs w:val="21"/>
                <w:highlight w:val="none"/>
              </w:rPr>
              <w:t>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r>
              <w:rPr>
                <w:rFonts w:hint="eastAsia" w:ascii="宋体" w:hAnsi="宋体" w:cs="宋体"/>
                <w:color w:val="auto"/>
                <w:kern w:val="0"/>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pPr>
              <w:spacing w:line="276" w:lineRule="auto"/>
              <w:rPr>
                <w:rFonts w:ascii="宋体" w:hAnsi="宋体" w:cs="宋体"/>
                <w:color w:val="auto"/>
                <w:kern w:val="0"/>
                <w:szCs w:val="21"/>
                <w:highlight w:val="none"/>
                <w:lang w:val="zh-CN"/>
              </w:rPr>
            </w:pPr>
            <w:r>
              <w:rPr>
                <w:rFonts w:hint="eastAsia" w:ascii="宋体" w:hAnsi="宋体" w:cs="宋体"/>
                <w:color w:val="auto"/>
                <w:szCs w:val="21"/>
                <w:highlight w:val="none"/>
              </w:rPr>
              <w:t>☑</w:t>
            </w:r>
            <w:r>
              <w:rPr>
                <w:rFonts w:hint="eastAsia" w:ascii="宋体" w:hAnsi="宋体" w:cs="宋体"/>
                <w:color w:val="auto"/>
                <w:kern w:val="0"/>
                <w:szCs w:val="21"/>
                <w:highlight w:val="none"/>
                <w:lang w:val="zh-CN"/>
              </w:rPr>
              <w:t>允许：分包内容要求：</w:t>
            </w:r>
            <w:r>
              <w:rPr>
                <w:rFonts w:hint="eastAsia" w:ascii="宋体" w:hAnsi="宋体" w:cs="宋体"/>
                <w:color w:val="auto"/>
                <w:kern w:val="0"/>
                <w:szCs w:val="21"/>
                <w:highlight w:val="none"/>
                <w:u w:val="single"/>
                <w:lang w:val="zh-CN"/>
              </w:rPr>
              <w:t>非主体关键、</w:t>
            </w:r>
            <w:r>
              <w:rPr>
                <w:rFonts w:hint="eastAsia" w:cs="宋体" w:asciiTheme="minorEastAsia" w:hAnsiTheme="minorEastAsia" w:eastAsiaTheme="minorEastAsia"/>
                <w:color w:val="auto"/>
                <w:szCs w:val="21"/>
                <w:highlight w:val="none"/>
                <w:u w:val="single"/>
              </w:rPr>
              <w:t>非关键性工程</w:t>
            </w:r>
            <w:r>
              <w:rPr>
                <w:rFonts w:hint="eastAsia" w:ascii="宋体" w:hAnsi="宋体" w:cs="宋体"/>
                <w:color w:val="auto"/>
                <w:kern w:val="0"/>
                <w:szCs w:val="21"/>
                <w:highlight w:val="none"/>
                <w:u w:val="single"/>
                <w:lang w:val="zh-CN" w:bidi="ar"/>
              </w:rPr>
              <w:t>。</w:t>
            </w:r>
          </w:p>
          <w:p>
            <w:pPr>
              <w:spacing w:line="276"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分包金额要求：</w:t>
            </w:r>
            <w:r>
              <w:rPr>
                <w:rFonts w:hint="eastAsia" w:asciiTheme="minorEastAsia" w:hAnsiTheme="minorEastAsia" w:eastAsiaTheme="minorEastAsia"/>
                <w:color w:val="auto"/>
                <w:szCs w:val="21"/>
                <w:highlight w:val="none"/>
                <w:u w:val="single"/>
              </w:rPr>
              <w:t>按国家现行规定执行</w:t>
            </w:r>
            <w:r>
              <w:rPr>
                <w:rFonts w:hint="eastAsia" w:ascii="宋体" w:hAnsi="宋体"/>
                <w:color w:val="auto"/>
                <w:szCs w:val="21"/>
                <w:highlight w:val="none"/>
                <w:u w:val="single"/>
              </w:rPr>
              <w:t>。</w:t>
            </w:r>
          </w:p>
          <w:p>
            <w:pPr>
              <w:spacing w:line="276"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lang w:val="zh-CN"/>
              </w:rPr>
              <w:t>符合有关法律法规和文件规定，并不得再次分包。</w:t>
            </w:r>
          </w:p>
          <w:p>
            <w:pPr>
              <w:rPr>
                <w:rFonts w:ascii="宋体" w:hAnsi="宋体"/>
                <w:color w:val="auto"/>
                <w:kern w:val="0"/>
                <w:szCs w:val="21"/>
                <w:highlight w:val="none"/>
                <w:lang w:val="zh-CN"/>
              </w:rPr>
            </w:pPr>
            <w:r>
              <w:rPr>
                <w:rFonts w:hint="eastAsia" w:ascii="宋体" w:hAnsi="宋体" w:cs="宋体"/>
                <w:color w:val="auto"/>
                <w:kern w:val="0"/>
                <w:szCs w:val="21"/>
                <w:highlight w:val="none"/>
                <w:lang w:val="zh-CN"/>
              </w:rPr>
              <w:t xml:space="preserve">        对分包人的其他要求：</w:t>
            </w:r>
            <w:r>
              <w:rPr>
                <w:rFonts w:hint="eastAsia" w:ascii="宋体" w:hAnsi="宋体"/>
                <w:color w:val="auto"/>
                <w:szCs w:val="21"/>
                <w:highlight w:val="none"/>
                <w:u w:val="singl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s="宋体"/>
                <w:color w:val="auto"/>
                <w:kern w:val="0"/>
                <w:szCs w:val="21"/>
                <w:highlight w:val="none"/>
                <w:lang w:val="zh-CN"/>
              </w:rPr>
              <w:t>安全生产责任保险</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ind w:firstLine="420" w:firstLineChars="200"/>
              <w:jc w:val="left"/>
              <w:rPr>
                <w:rFonts w:ascii="宋体" w:hAnsi="宋体"/>
                <w:color w:val="auto"/>
                <w:szCs w:val="20"/>
                <w:highlight w:val="none"/>
                <w:u w:val="single"/>
              </w:rPr>
            </w:pPr>
            <w:r>
              <w:rPr>
                <w:rFonts w:hint="eastAsia" w:cs="Calibri"/>
                <w:color w:val="auto"/>
                <w:szCs w:val="20"/>
                <w:highlight w:val="none"/>
                <w:u w:val="single"/>
              </w:rPr>
              <w:t>①</w:t>
            </w:r>
            <w:r>
              <w:rPr>
                <w:rFonts w:hint="eastAsia" w:ascii="宋体" w:hAnsi="宋体"/>
                <w:color w:val="auto"/>
                <w:szCs w:val="20"/>
                <w:highlight w:val="none"/>
                <w:u w:val="single"/>
              </w:rPr>
              <w:t>绿色施工要求</w:t>
            </w:r>
          </w:p>
          <w:p>
            <w:pPr>
              <w:widowControl/>
              <w:ind w:firstLine="420" w:firstLineChars="200"/>
              <w:jc w:val="left"/>
              <w:rPr>
                <w:rFonts w:ascii="宋体" w:hAnsi="宋体"/>
                <w:color w:val="auto"/>
                <w:szCs w:val="20"/>
                <w:highlight w:val="none"/>
                <w:u w:val="single"/>
              </w:rPr>
            </w:pPr>
            <w:r>
              <w:rPr>
                <w:rFonts w:hint="eastAsia" w:ascii="宋体" w:hAnsi="宋体"/>
                <w:color w:val="auto"/>
                <w:szCs w:val="20"/>
                <w:highlight w:val="none"/>
                <w:u w:val="single"/>
              </w:rPr>
              <w:t>本工程要求符合“国家绿色建筑三星级”标准，承包人需按中华人民共和国《建筑工程绿色施工评价标准》（GB/T50640-2010）及广州市《建筑工程绿色施工技术规程》和其他相关要求编制绿色施工方案经业主批准后施工并应取得广州市建设工程安全文明绿色施工标准化示范工地。承包人需配合发包人及相关单位完成绿色建筑设计及运营标识的申报工作，不另行计取费用。</w:t>
            </w:r>
          </w:p>
          <w:p>
            <w:pPr>
              <w:ind w:firstLine="420" w:firstLineChars="200"/>
              <w:rPr>
                <w:rFonts w:ascii="宋体" w:hAnsi="宋体" w:cs="Courier New"/>
                <w:color w:val="auto"/>
                <w:szCs w:val="21"/>
                <w:highlight w:val="none"/>
              </w:rPr>
            </w:pPr>
            <w:r>
              <w:rPr>
                <w:rFonts w:hint="eastAsia" w:cs="Calibri"/>
                <w:color w:val="auto"/>
                <w:szCs w:val="20"/>
                <w:highlight w:val="none"/>
                <w:u w:val="single"/>
              </w:rPr>
              <w:t>②</w:t>
            </w:r>
            <w:r>
              <w:rPr>
                <w:rFonts w:hint="eastAsia" w:ascii="宋体" w:hAnsi="宋体" w:cs="宋体"/>
                <w:color w:val="auto"/>
                <w:szCs w:val="21"/>
                <w:highlight w:val="non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highlight w:val="none"/>
              </w:rPr>
              <w:t>38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s="宋体"/>
                <w:color w:val="auto"/>
                <w:szCs w:val="21"/>
                <w:highlight w:val="none"/>
              </w:rPr>
              <w:t>36.5.2</w:t>
            </w: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广州公共资源交易中心网站最新指引。</w:t>
            </w:r>
          </w:p>
          <w:p>
            <w:pPr>
              <w:rPr>
                <w:rFonts w:ascii="宋体" w:hAnsi="宋体" w:cs="宋体"/>
                <w:color w:val="auto"/>
                <w:szCs w:val="21"/>
                <w:highlight w:val="none"/>
              </w:rPr>
            </w:pPr>
            <w:r>
              <w:rPr>
                <w:rFonts w:hint="eastAsia" w:ascii="宋体" w:hAnsi="宋体" w:cs="宋体"/>
                <w:color w:val="auto"/>
                <w:szCs w:val="21"/>
                <w:highlight w:val="none"/>
              </w:rPr>
              <w:t>2、提交投标文件光盘备用</w:t>
            </w:r>
          </w:p>
          <w:p>
            <w:pPr>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宋体"/>
                <w:color w:val="auto"/>
                <w:szCs w:val="21"/>
                <w:highlight w:val="none"/>
              </w:rPr>
            </w:pPr>
            <w:r>
              <w:rPr>
                <w:rFonts w:hint="eastAsia" w:ascii="宋体" w:hAnsi="宋体" w:cs="宋体"/>
                <w:color w:val="auto"/>
                <w:szCs w:val="21"/>
                <w:highlight w:val="none"/>
              </w:rPr>
              <w:t xml:space="preserve"> 3、补救方案</w:t>
            </w:r>
          </w:p>
          <w:p>
            <w:pPr>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pPr>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pPr>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Courier New"/>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r>
              <w:rPr>
                <w:rFonts w:hint="eastAsia" w:ascii="宋体" w:hAnsi="宋体" w:cs="Courier New"/>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u w:val="single"/>
              </w:rPr>
              <w:t>39</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r>
              <w:rPr>
                <w:rFonts w:hint="eastAsia" w:ascii="宋体" w:hAnsi="宋体" w:cs="宋体"/>
                <w:color w:val="auto"/>
                <w:szCs w:val="21"/>
                <w:highlight w:val="none"/>
                <w:u w:val="single"/>
              </w:rPr>
              <w:t>招标人拒绝接收投标文件备用光盘的情况</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pPr>
              <w:rPr>
                <w:rFonts w:ascii="宋体" w:hAnsi="宋体" w:cs="Courier New"/>
                <w:color w:val="auto"/>
                <w:szCs w:val="21"/>
                <w:highlight w:val="none"/>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u w:val="single"/>
              </w:rPr>
            </w:pPr>
            <w:r>
              <w:rPr>
                <w:rFonts w:hint="eastAsia" w:ascii="宋体" w:hAnsi="宋体" w:cs="宋体"/>
                <w:color w:val="auto"/>
                <w:szCs w:val="21"/>
                <w:highlight w:val="none"/>
                <w:u w:val="single"/>
              </w:rPr>
              <w:t>40</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r>
              <w:rPr>
                <w:rFonts w:hint="eastAsia" w:ascii="宋体" w:hAnsi="宋体" w:cs="宋体"/>
                <w:color w:val="auto"/>
                <w:szCs w:val="21"/>
                <w:highlight w:val="none"/>
                <w:u w:val="single"/>
              </w:rPr>
              <w:t>中标公示后中标单位提交投标文件要求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auto"/>
                <w:szCs w:val="21"/>
                <w:highlight w:val="non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w:t>
            </w:r>
            <w:r>
              <w:rPr>
                <w:rFonts w:hint="eastAsia"/>
                <w:color w:val="auto"/>
                <w:highlight w:val="none"/>
                <w:u w:val="single"/>
              </w:rPr>
              <w:t>不用生成投标书；包括用Microsoft Excel 软件或广州公共资源交易中心提供的投标书制作软件制作的工程量清单报价表和单价分析表，用 Microsoft Word 软件或广州公共资源交易中心提供的投标书制作软（必</w:t>
            </w:r>
            <w:r>
              <w:rPr>
                <w:rFonts w:hint="eastAsia"/>
                <w:color w:val="auto"/>
                <w:highlight w:val="none"/>
                <w:u w:val="single"/>
                <w:lang w:val="en-US" w:eastAsia="zh-CN"/>
              </w:rPr>
              <w:t>须</w:t>
            </w:r>
            <w:r>
              <w:rPr>
                <w:rFonts w:hint="eastAsia"/>
                <w:color w:val="auto"/>
                <w:highlight w:val="none"/>
                <w:u w:val="single"/>
              </w:rPr>
              <w:t>包含广联达在内的软件）件制作的经济投标文件其他部分。电子文件介质使用CD-R光盘，所有电子文件不能采用压缩处理）</w:t>
            </w:r>
            <w:r>
              <w:rPr>
                <w:rFonts w:hint="eastAsia" w:ascii="宋体" w:hAnsi="宋体" w:cs="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u w:val="single"/>
              </w:rPr>
            </w:pPr>
            <w:r>
              <w:rPr>
                <w:rFonts w:hint="eastAsia" w:ascii="宋体" w:hAnsi="宋体" w:cs="宋体"/>
                <w:color w:val="auto"/>
                <w:szCs w:val="21"/>
                <w:highlight w:val="none"/>
                <w:u w:val="single"/>
              </w:rPr>
              <w:t>41</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u w:val="single"/>
              </w:rPr>
            </w:pPr>
            <w:r>
              <w:rPr>
                <w:rFonts w:hint="eastAsia" w:ascii="宋体" w:hAnsi="宋体"/>
                <w:color w:val="auto"/>
                <w:highlight w:val="none"/>
                <w:u w:val="single"/>
              </w:rPr>
              <w:t>其他费用</w:t>
            </w:r>
          </w:p>
        </w:tc>
        <w:tc>
          <w:tcPr>
            <w:tcW w:w="5857" w:type="dxa"/>
            <w:tcBorders>
              <w:top w:val="single" w:color="auto" w:sz="4" w:space="0"/>
              <w:left w:val="single" w:color="auto" w:sz="4" w:space="0"/>
              <w:bottom w:val="single" w:color="auto" w:sz="4" w:space="0"/>
              <w:right w:val="double" w:color="auto" w:sz="4" w:space="0"/>
            </w:tcBorders>
            <w:vAlign w:val="center"/>
          </w:tcPr>
          <w:p>
            <w:pPr>
              <w:numPr>
                <w:ilvl w:val="0"/>
                <w:numId w:val="3"/>
              </w:numPr>
              <w:rPr>
                <w:color w:val="auto"/>
                <w:szCs w:val="21"/>
                <w:highlight w:val="none"/>
              </w:rPr>
            </w:pPr>
            <w:r>
              <w:rPr>
                <w:rFonts w:hint="eastAsia"/>
                <w:color w:val="auto"/>
                <w:szCs w:val="21"/>
                <w:highlight w:val="none"/>
                <w:u w:val="single"/>
              </w:rPr>
              <w:t>中标人应根据政府有关规定，向广州公共资源交易中心交纳交易服务费，交易中心向中标人开具增值税发票；</w:t>
            </w:r>
          </w:p>
          <w:p>
            <w:pPr>
              <w:pStyle w:val="20"/>
              <w:numPr>
                <w:ilvl w:val="0"/>
                <w:numId w:val="3"/>
              </w:numPr>
              <w:rPr>
                <w:color w:val="auto"/>
                <w:sz w:val="21"/>
                <w:szCs w:val="21"/>
                <w:highlight w:val="none"/>
              </w:rPr>
            </w:pPr>
            <w:r>
              <w:rPr>
                <w:rFonts w:hint="eastAsia" w:hAnsi="宋体" w:cs="宋体"/>
                <w:color w:val="auto"/>
                <w:sz w:val="21"/>
                <w:szCs w:val="21"/>
                <w:highlight w:val="none"/>
                <w:u w:val="single"/>
              </w:rPr>
              <w:t>招标代理费由中标单位缴纳，计算方法按招标人与招标代理签订的招标代理合同约定执行。</w:t>
            </w:r>
          </w:p>
        </w:tc>
      </w:tr>
    </w:tbl>
    <w:p>
      <w:pPr>
        <w:spacing w:line="360" w:lineRule="auto"/>
        <w:rPr>
          <w:rFonts w:ascii="宋体" w:hAnsi="宋体"/>
          <w:color w:val="auto"/>
          <w:szCs w:val="21"/>
          <w:highlight w:val="none"/>
        </w:rPr>
      </w:pPr>
      <w:r>
        <w:rPr>
          <w:rFonts w:hint="eastAsia" w:ascii="宋体" w:hAnsi="宋体" w:cs="宋体"/>
          <w:strike/>
          <w:color w:val="auto"/>
          <w:kern w:val="0"/>
          <w:szCs w:val="21"/>
          <w:highlight w:val="none"/>
        </w:rPr>
        <w:t>注：企业诚信综合评价得分即企业诚信综合评价60日诚信分，以下同。</w:t>
      </w:r>
    </w:p>
    <w:p>
      <w:pPr>
        <w:pStyle w:val="5"/>
        <w:rPr>
          <w:color w:val="auto"/>
          <w:highlight w:val="none"/>
        </w:rPr>
      </w:pPr>
      <w:r>
        <w:rPr>
          <w:color w:val="auto"/>
          <w:highlight w:val="none"/>
        </w:rPr>
        <w:br w:type="page"/>
      </w:r>
      <w:bookmarkStart w:id="5" w:name="_Toc2272547"/>
      <w:bookmarkStart w:id="6" w:name="_Toc6266"/>
      <w:r>
        <w:rPr>
          <w:rFonts w:hint="eastAsia"/>
          <w:color w:val="auto"/>
          <w:highlight w:val="none"/>
        </w:rPr>
        <w:t>二、投标须知修改表</w:t>
      </w:r>
      <w:bookmarkEnd w:id="5"/>
      <w:bookmarkEnd w:id="6"/>
    </w:p>
    <w:p>
      <w:pPr>
        <w:pStyle w:val="2"/>
        <w:pBdr>
          <w:bottom w:val="single" w:color="auto" w:sz="6" w:space="1"/>
        </w:pBdr>
        <w:spacing w:after="0" w:line="360" w:lineRule="auto"/>
        <w:rPr>
          <w:rFonts w:hint="eastAsia" w:ascii="宋体" w:hAnsi="宋体" w:eastAsia="宋体" w:cs="宋体"/>
          <w:color w:val="auto"/>
          <w:sz w:val="21"/>
          <w:szCs w:val="21"/>
          <w:highlight w:val="none"/>
          <w:u w:val="single"/>
        </w:rPr>
      </w:pPr>
      <w:r>
        <w:rPr>
          <w:rFonts w:hint="eastAsia" w:ascii="宋体" w:hAnsi="宋体"/>
          <w:b/>
          <w:color w:val="auto"/>
          <w:sz w:val="21"/>
          <w:szCs w:val="21"/>
          <w:highlight w:val="none"/>
        </w:rPr>
        <w:t>声明</w:t>
      </w:r>
      <w:r>
        <w:rPr>
          <w:rFonts w:hint="eastAsia" w:ascii="宋体" w:hAnsi="宋体" w:eastAsia="宋体" w:cs="Times New Roman"/>
          <w:b/>
          <w:color w:val="auto"/>
          <w:sz w:val="21"/>
          <w:szCs w:val="21"/>
          <w:highlight w:val="none"/>
        </w:rPr>
        <w:t>：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pPr>
        <w:pStyle w:val="2"/>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u w:val="singl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r>
        <w:rPr>
          <w:rFonts w:hint="eastAsia" w:ascii="宋体" w:hAnsi="宋体" w:cs="宋体"/>
          <w:color w:val="auto"/>
          <w:sz w:val="21"/>
          <w:szCs w:val="21"/>
          <w:highlight w:val="none"/>
        </w:rPr>
        <w:t>。</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w:t>
      </w:r>
      <w:r>
        <w:rPr>
          <w:rFonts w:hint="eastAsia" w:ascii="宋体" w:hAnsi="宋体" w:cs="宋体"/>
          <w:bCs/>
          <w:color w:val="auto"/>
          <w:szCs w:val="21"/>
          <w:highlight w:val="none"/>
        </w:rPr>
        <w:t>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pPr>
        <w:pBdr>
          <w:top w:val="none" w:color="auto" w:sz="0" w:space="0"/>
          <w:left w:val="none" w:color="auto" w:sz="0" w:space="0"/>
          <w:bottom w:val="none" w:color="auto" w:sz="0" w:space="0"/>
          <w:right w:val="none" w:color="auto" w:sz="0" w:space="0"/>
          <w:between w:val="none" w:color="auto" w:sz="0" w:space="0"/>
        </w:pBdr>
        <w:spacing w:line="440" w:lineRule="exact"/>
        <w:ind w:firstLine="472" w:firstLineChars="224"/>
        <w:rPr>
          <w:rFonts w:hint="eastAsia" w:ascii="宋体" w:hAnsi="宋体" w:cs="宋体"/>
          <w:b/>
          <w:color w:val="auto"/>
          <w:szCs w:val="21"/>
        </w:rPr>
      </w:pPr>
      <w:r>
        <w:rPr>
          <w:rFonts w:hint="eastAsia" w:ascii="宋体" w:hAnsi="宋体" w:cs="宋体"/>
          <w:b/>
          <w:color w:val="auto"/>
          <w:szCs w:val="21"/>
        </w:rPr>
        <w:t>条款号：</w:t>
      </w:r>
      <w:r>
        <w:rPr>
          <w:rFonts w:ascii="宋体" w:hAnsi="宋体" w:cs="宋体"/>
          <w:b/>
          <w:color w:val="auto"/>
          <w:szCs w:val="21"/>
        </w:rPr>
        <w:t>7</w:t>
      </w:r>
      <w:r>
        <w:rPr>
          <w:rFonts w:hint="eastAsia" w:ascii="宋体" w:hAnsi="宋体" w:cs="宋体"/>
          <w:b/>
          <w:color w:val="auto"/>
          <w:szCs w:val="21"/>
        </w:rPr>
        <w:t>.1              修改类型：修改</w:t>
      </w:r>
    </w:p>
    <w:p>
      <w:pPr>
        <w:pBdr>
          <w:top w:val="none" w:color="auto" w:sz="0" w:space="0"/>
          <w:left w:val="none" w:color="auto" w:sz="0" w:space="0"/>
          <w:bottom w:val="none" w:color="auto" w:sz="0" w:space="0"/>
          <w:right w:val="none" w:color="auto" w:sz="0" w:space="0"/>
          <w:between w:val="none" w:color="auto" w:sz="0" w:space="0"/>
        </w:pBdr>
        <w:spacing w:line="360" w:lineRule="auto"/>
        <w:ind w:firstLine="472" w:firstLineChars="224"/>
        <w:rPr>
          <w:rFonts w:ascii="宋体" w:hAnsi="宋体" w:cs="宋体"/>
          <w:color w:val="auto"/>
          <w:szCs w:val="21"/>
        </w:rPr>
      </w:pPr>
      <w:r>
        <w:rPr>
          <w:rFonts w:hint="eastAsia" w:ascii="宋体" w:hAnsi="宋体" w:cs="宋体"/>
          <w:b/>
          <w:color w:val="auto"/>
          <w:szCs w:val="21"/>
        </w:rPr>
        <w:t>原文：</w:t>
      </w:r>
      <w:r>
        <w:rPr>
          <w:rFonts w:ascii="宋体" w:hAnsi="宋体" w:cs="宋体"/>
          <w:color w:val="auto"/>
          <w:szCs w:val="21"/>
        </w:rPr>
        <w:t>7</w:t>
      </w:r>
      <w:r>
        <w:rPr>
          <w:rFonts w:hint="eastAsia" w:ascii="宋体" w:hAnsi="宋体" w:cs="宋体"/>
          <w:color w:val="auto"/>
          <w:szCs w:val="21"/>
        </w:rPr>
        <w:t>.1本招标文件包括下列文件，以及所有按本须知第</w:t>
      </w:r>
      <w:r>
        <w:rPr>
          <w:rFonts w:ascii="宋体" w:hAnsi="宋体" w:cs="宋体"/>
          <w:color w:val="auto"/>
          <w:szCs w:val="21"/>
        </w:rPr>
        <w:t>8</w:t>
      </w:r>
      <w:r>
        <w:rPr>
          <w:rFonts w:hint="eastAsia" w:ascii="宋体" w:hAnsi="宋体" w:cs="宋体"/>
          <w:color w:val="auto"/>
          <w:szCs w:val="21"/>
        </w:rPr>
        <w:t>条发出的招标答疑会会议纪要和按本须知第</w:t>
      </w:r>
      <w:r>
        <w:rPr>
          <w:rFonts w:ascii="宋体" w:hAnsi="宋体" w:cs="宋体"/>
          <w:color w:val="auto"/>
          <w:szCs w:val="21"/>
        </w:rPr>
        <w:t>9</w:t>
      </w:r>
      <w:r>
        <w:rPr>
          <w:rFonts w:hint="eastAsia" w:ascii="宋体" w:hAnsi="宋体" w:cs="宋体"/>
          <w:color w:val="auto"/>
          <w:szCs w:val="21"/>
        </w:rPr>
        <w:t>条发出的澄清或修改：</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第一章</w:t>
      </w:r>
      <w:r>
        <w:rPr>
          <w:rFonts w:ascii="宋体" w:hAnsi="宋体" w:cs="宋体"/>
          <w:bCs/>
          <w:color w:val="auto"/>
          <w:szCs w:val="21"/>
        </w:rPr>
        <w:t xml:space="preserve">  </w:t>
      </w:r>
      <w:r>
        <w:rPr>
          <w:rFonts w:hint="eastAsia" w:ascii="宋体" w:hAnsi="宋体" w:cs="宋体"/>
          <w:color w:val="auto"/>
          <w:szCs w:val="21"/>
        </w:rPr>
        <w:t>投标须知</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第二章</w:t>
      </w:r>
      <w:r>
        <w:rPr>
          <w:rFonts w:ascii="宋体" w:hAnsi="宋体" w:cs="宋体"/>
          <w:bCs/>
          <w:color w:val="auto"/>
          <w:szCs w:val="21"/>
        </w:rPr>
        <w:t xml:space="preserve">  </w:t>
      </w:r>
      <w:r>
        <w:rPr>
          <w:rFonts w:hint="eastAsia" w:ascii="宋体" w:hAnsi="宋体" w:cs="宋体"/>
          <w:color w:val="auto"/>
          <w:szCs w:val="21"/>
        </w:rPr>
        <w:t>开标、评标及定标办法</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合同条款</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第四章</w:t>
      </w:r>
      <w:r>
        <w:rPr>
          <w:rFonts w:ascii="宋体" w:hAnsi="宋体" w:cs="宋体"/>
          <w:bCs/>
          <w:color w:val="auto"/>
          <w:szCs w:val="21"/>
        </w:rPr>
        <w:t xml:space="preserve">  </w:t>
      </w:r>
      <w:r>
        <w:rPr>
          <w:rFonts w:hint="eastAsia" w:ascii="宋体" w:hAnsi="宋体" w:cs="宋体"/>
          <w:color w:val="auto"/>
          <w:szCs w:val="21"/>
        </w:rPr>
        <w:t>投标文件格式</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第五章</w:t>
      </w:r>
      <w:r>
        <w:rPr>
          <w:rFonts w:ascii="宋体" w:hAnsi="宋体" w:cs="宋体"/>
          <w:bCs/>
          <w:color w:val="auto"/>
          <w:szCs w:val="21"/>
        </w:rPr>
        <w:t xml:space="preserve">  </w:t>
      </w:r>
      <w:r>
        <w:rPr>
          <w:rFonts w:hint="eastAsia" w:ascii="宋体" w:hAnsi="宋体" w:cs="宋体"/>
          <w:color w:val="auto"/>
          <w:szCs w:val="21"/>
        </w:rPr>
        <w:t>技术条件（工程建设标准）（另册）</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第六章</w:t>
      </w:r>
      <w:r>
        <w:rPr>
          <w:rFonts w:ascii="宋体" w:hAnsi="宋体" w:cs="宋体"/>
          <w:bCs/>
          <w:color w:val="auto"/>
          <w:szCs w:val="21"/>
        </w:rPr>
        <w:t xml:space="preserve">  </w:t>
      </w:r>
      <w:r>
        <w:rPr>
          <w:rFonts w:hint="eastAsia" w:ascii="宋体" w:hAnsi="宋体" w:cs="宋体"/>
          <w:color w:val="auto"/>
          <w:szCs w:val="21"/>
        </w:rPr>
        <w:t>图纸及勘察资料（另册）</w:t>
      </w:r>
    </w:p>
    <w:p>
      <w:pPr>
        <w:pBdr>
          <w:top w:val="none" w:color="auto" w:sz="0" w:space="0"/>
          <w:left w:val="none" w:color="auto" w:sz="0" w:space="0"/>
          <w:bottom w:val="none" w:color="auto" w:sz="0" w:space="1"/>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第七章</w:t>
      </w:r>
      <w:r>
        <w:rPr>
          <w:rFonts w:ascii="宋体" w:hAnsi="宋体" w:cs="宋体"/>
          <w:bCs/>
          <w:color w:val="auto"/>
          <w:szCs w:val="21"/>
        </w:rPr>
        <w:t xml:space="preserve">  </w:t>
      </w:r>
      <w:r>
        <w:rPr>
          <w:rFonts w:hint="eastAsia" w:ascii="宋体" w:hAnsi="宋体" w:cs="宋体"/>
          <w:bCs/>
          <w:color w:val="auto"/>
          <w:szCs w:val="21"/>
        </w:rPr>
        <w:t>招标</w:t>
      </w:r>
      <w:r>
        <w:rPr>
          <w:rFonts w:hint="eastAsia" w:ascii="宋体" w:hAnsi="宋体" w:cs="宋体"/>
          <w:color w:val="auto"/>
          <w:szCs w:val="21"/>
        </w:rPr>
        <w:t>工程量清单（另册）</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hint="eastAsia" w:ascii="宋体" w:hAnsi="宋体" w:cs="宋体"/>
          <w:color w:val="auto"/>
          <w:szCs w:val="21"/>
        </w:rPr>
      </w:pPr>
      <w:r>
        <w:rPr>
          <w:rFonts w:hint="eastAsia" w:ascii="宋体" w:hAnsi="宋体" w:cs="宋体"/>
          <w:color w:val="auto"/>
          <w:szCs w:val="21"/>
        </w:rPr>
        <w:t>第八章</w:t>
      </w:r>
      <w:r>
        <w:rPr>
          <w:rFonts w:ascii="宋体" w:hAnsi="宋体" w:cs="宋体"/>
          <w:color w:val="auto"/>
          <w:szCs w:val="21"/>
        </w:rPr>
        <w:t xml:space="preserve">  </w:t>
      </w:r>
      <w:r>
        <w:rPr>
          <w:rFonts w:hint="eastAsia" w:ascii="宋体" w:hAnsi="宋体" w:cs="宋体"/>
          <w:color w:val="auto"/>
          <w:szCs w:val="21"/>
        </w:rPr>
        <w:t>最高投标限价。</w:t>
      </w:r>
    </w:p>
    <w:p>
      <w:pPr>
        <w:pBdr>
          <w:top w:val="none" w:color="auto" w:sz="0" w:space="0"/>
          <w:left w:val="none" w:color="auto" w:sz="0" w:space="0"/>
          <w:bottom w:val="none" w:color="auto" w:sz="0" w:space="0"/>
          <w:right w:val="none" w:color="auto" w:sz="0" w:space="0"/>
          <w:between w:val="none" w:color="auto" w:sz="0" w:space="0"/>
        </w:pBdr>
        <w:spacing w:line="360" w:lineRule="auto"/>
        <w:ind w:firstLine="472" w:firstLineChars="224"/>
        <w:rPr>
          <w:rFonts w:ascii="宋体" w:hAnsi="宋体" w:cs="宋体"/>
          <w:color w:val="auto"/>
          <w:szCs w:val="21"/>
        </w:rPr>
      </w:pPr>
      <w:r>
        <w:rPr>
          <w:rFonts w:hint="eastAsia" w:ascii="宋体" w:hAnsi="宋体" w:cs="宋体"/>
          <w:b/>
          <w:color w:val="auto"/>
          <w:szCs w:val="21"/>
        </w:rPr>
        <w:t>现文：</w:t>
      </w:r>
      <w:r>
        <w:rPr>
          <w:rFonts w:ascii="宋体" w:hAnsi="宋体" w:cs="宋体"/>
          <w:color w:val="auto"/>
          <w:szCs w:val="21"/>
        </w:rPr>
        <w:t>7</w:t>
      </w:r>
      <w:r>
        <w:rPr>
          <w:rFonts w:hint="eastAsia" w:ascii="宋体" w:hAnsi="宋体" w:cs="宋体"/>
          <w:color w:val="auto"/>
          <w:szCs w:val="21"/>
        </w:rPr>
        <w:t>.1本招标文件包括下列文件，以及所有按本须知第</w:t>
      </w:r>
      <w:r>
        <w:rPr>
          <w:rFonts w:ascii="宋体" w:hAnsi="宋体" w:cs="宋体"/>
          <w:color w:val="auto"/>
          <w:szCs w:val="21"/>
        </w:rPr>
        <w:t>8</w:t>
      </w:r>
      <w:r>
        <w:rPr>
          <w:rFonts w:hint="eastAsia" w:ascii="宋体" w:hAnsi="宋体" w:cs="宋体"/>
          <w:color w:val="auto"/>
          <w:szCs w:val="21"/>
        </w:rPr>
        <w:t>条发出的招标答疑会会议纪要和按本须知第</w:t>
      </w:r>
      <w:r>
        <w:rPr>
          <w:rFonts w:ascii="宋体" w:hAnsi="宋体" w:cs="宋体"/>
          <w:color w:val="auto"/>
          <w:szCs w:val="21"/>
        </w:rPr>
        <w:t>9</w:t>
      </w:r>
      <w:r>
        <w:rPr>
          <w:rFonts w:hint="eastAsia" w:ascii="宋体" w:hAnsi="宋体" w:cs="宋体"/>
          <w:color w:val="auto"/>
          <w:szCs w:val="21"/>
        </w:rPr>
        <w:t>条发出的澄清或修改：</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第一章</w:t>
      </w:r>
      <w:r>
        <w:rPr>
          <w:rFonts w:ascii="宋体" w:hAnsi="宋体" w:cs="宋体"/>
          <w:bCs/>
          <w:color w:val="auto"/>
          <w:szCs w:val="21"/>
        </w:rPr>
        <w:t xml:space="preserve">  </w:t>
      </w:r>
      <w:r>
        <w:rPr>
          <w:rFonts w:hint="eastAsia" w:ascii="宋体" w:hAnsi="宋体" w:cs="宋体"/>
          <w:color w:val="auto"/>
          <w:szCs w:val="21"/>
        </w:rPr>
        <w:t>投标须知</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第二章</w:t>
      </w:r>
      <w:r>
        <w:rPr>
          <w:rFonts w:ascii="宋体" w:hAnsi="宋体" w:cs="宋体"/>
          <w:bCs/>
          <w:color w:val="auto"/>
          <w:szCs w:val="21"/>
        </w:rPr>
        <w:t xml:space="preserve">  </w:t>
      </w:r>
      <w:r>
        <w:rPr>
          <w:rFonts w:hint="eastAsia" w:ascii="宋体" w:hAnsi="宋体" w:cs="宋体"/>
          <w:color w:val="auto"/>
          <w:szCs w:val="21"/>
        </w:rPr>
        <w:t>开标、评标及定标办法</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合同条款</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第四章</w:t>
      </w:r>
      <w:r>
        <w:rPr>
          <w:rFonts w:ascii="宋体" w:hAnsi="宋体" w:cs="宋体"/>
          <w:bCs/>
          <w:color w:val="auto"/>
          <w:szCs w:val="21"/>
        </w:rPr>
        <w:t xml:space="preserve">  </w:t>
      </w:r>
      <w:r>
        <w:rPr>
          <w:rFonts w:hint="eastAsia" w:ascii="宋体" w:hAnsi="宋体" w:cs="宋体"/>
          <w:color w:val="auto"/>
          <w:szCs w:val="21"/>
        </w:rPr>
        <w:t>投标文件格式</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第五章</w:t>
      </w:r>
      <w:r>
        <w:rPr>
          <w:rFonts w:ascii="宋体" w:hAnsi="宋体" w:cs="宋体"/>
          <w:bCs/>
          <w:color w:val="auto"/>
          <w:szCs w:val="21"/>
        </w:rPr>
        <w:t xml:space="preserve">  </w:t>
      </w:r>
      <w:r>
        <w:rPr>
          <w:rFonts w:hint="eastAsia" w:ascii="宋体" w:hAnsi="宋体" w:cs="宋体"/>
          <w:color w:val="auto"/>
          <w:szCs w:val="21"/>
        </w:rPr>
        <w:t>技术条件（工程建设标准）（另册）</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第六章</w:t>
      </w:r>
      <w:r>
        <w:rPr>
          <w:rFonts w:ascii="宋体" w:hAnsi="宋体" w:cs="宋体"/>
          <w:bCs/>
          <w:color w:val="auto"/>
          <w:szCs w:val="21"/>
        </w:rPr>
        <w:t xml:space="preserve">  </w:t>
      </w:r>
      <w:r>
        <w:rPr>
          <w:rFonts w:hint="eastAsia" w:ascii="宋体" w:hAnsi="宋体" w:cs="宋体"/>
          <w:color w:val="auto"/>
          <w:szCs w:val="21"/>
        </w:rPr>
        <w:t>图纸及勘察资料（另册）</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bCs/>
          <w:color w:val="auto"/>
          <w:szCs w:val="21"/>
        </w:rPr>
        <w:t>第七章</w:t>
      </w:r>
      <w:r>
        <w:rPr>
          <w:rFonts w:ascii="宋体" w:hAnsi="宋体" w:cs="宋体"/>
          <w:bCs/>
          <w:color w:val="auto"/>
          <w:szCs w:val="21"/>
        </w:rPr>
        <w:t xml:space="preserve">  </w:t>
      </w:r>
      <w:r>
        <w:rPr>
          <w:rFonts w:hint="eastAsia" w:ascii="宋体" w:hAnsi="宋体" w:cs="宋体"/>
          <w:bCs/>
          <w:color w:val="auto"/>
          <w:szCs w:val="21"/>
        </w:rPr>
        <w:t>招标</w:t>
      </w:r>
      <w:r>
        <w:rPr>
          <w:rFonts w:hint="eastAsia" w:ascii="宋体" w:hAnsi="宋体" w:cs="宋体"/>
          <w:color w:val="auto"/>
          <w:szCs w:val="21"/>
        </w:rPr>
        <w:t>工程量清单（另册）</w:t>
      </w:r>
    </w:p>
    <w:p>
      <w:pPr>
        <w:pBdr>
          <w:top w:val="none" w:color="auto" w:sz="0" w:space="0"/>
          <w:left w:val="none" w:color="auto" w:sz="0" w:space="0"/>
          <w:bottom w:val="none" w:color="auto" w:sz="0" w:space="0"/>
          <w:right w:val="none" w:color="auto" w:sz="0" w:space="0"/>
          <w:between w:val="none" w:color="auto" w:sz="0" w:space="0"/>
        </w:pBdr>
        <w:spacing w:line="360" w:lineRule="auto"/>
        <w:ind w:firstLine="470" w:firstLineChars="224"/>
        <w:rPr>
          <w:rFonts w:ascii="宋体" w:hAnsi="宋体" w:cs="宋体"/>
          <w:color w:val="auto"/>
          <w:szCs w:val="21"/>
        </w:rPr>
      </w:pPr>
      <w:r>
        <w:rPr>
          <w:rFonts w:hint="eastAsia" w:ascii="宋体" w:hAnsi="宋体" w:cs="宋体"/>
          <w:color w:val="auto"/>
          <w:szCs w:val="21"/>
        </w:rPr>
        <w:t>第八章</w:t>
      </w:r>
      <w:r>
        <w:rPr>
          <w:rFonts w:ascii="宋体" w:hAnsi="宋体" w:cs="宋体"/>
          <w:color w:val="auto"/>
          <w:szCs w:val="21"/>
        </w:rPr>
        <w:t xml:space="preserve">  </w:t>
      </w:r>
      <w:r>
        <w:rPr>
          <w:rFonts w:hint="eastAsia" w:ascii="宋体" w:hAnsi="宋体" w:cs="宋体"/>
          <w:color w:val="auto"/>
          <w:szCs w:val="21"/>
        </w:rPr>
        <w:t>最高投标限价。（另册）</w:t>
      </w:r>
    </w:p>
    <w:p>
      <w:pPr>
        <w:pBdr>
          <w:top w:val="none" w:color="auto" w:sz="0" w:space="0"/>
          <w:left w:val="none" w:color="auto" w:sz="0" w:space="0"/>
          <w:bottom w:val="single" w:color="auto" w:sz="4" w:space="0"/>
          <w:right w:val="none" w:color="auto" w:sz="0" w:space="0"/>
          <w:between w:val="none" w:color="auto" w:sz="0" w:space="0"/>
        </w:pBdr>
        <w:spacing w:line="360" w:lineRule="auto"/>
        <w:ind w:firstLine="411" w:firstLineChars="195"/>
        <w:rPr>
          <w:rFonts w:hint="eastAsia" w:ascii="宋体" w:hAnsi="宋体" w:eastAsia="宋体" w:cs="宋体"/>
          <w:b/>
          <w:color w:val="auto"/>
          <w:szCs w:val="21"/>
          <w:highlight w:val="none"/>
          <w:lang w:eastAsia="zh-CN"/>
        </w:rPr>
      </w:pPr>
      <w:r>
        <w:rPr>
          <w:rFonts w:ascii="宋体" w:hAnsi="宋体" w:cs="宋体"/>
          <w:b/>
          <w:bCs/>
          <w:color w:val="auto"/>
          <w:szCs w:val="21"/>
        </w:rPr>
        <w:t>注：</w:t>
      </w:r>
      <w:r>
        <w:rPr>
          <w:rFonts w:ascii="宋体" w:hAnsi="宋体" w:cs="宋体"/>
          <w:b/>
          <w:bCs/>
          <w:color w:val="auto"/>
          <w:szCs w:val="21"/>
          <w:u w:val="single"/>
        </w:rPr>
        <w:t>招标人应在技术条件（工程建设标准）中明确施工现场建筑垃圾源头减量的具体要求和建筑垃圾综合利用产品的使用要求</w:t>
      </w:r>
      <w:r>
        <w:rPr>
          <w:rFonts w:hint="eastAsia" w:ascii="宋体" w:hAnsi="宋体" w:eastAsia="宋体" w:cs="宋体"/>
          <w:b/>
          <w:bCs/>
          <w:color w:val="auto"/>
          <w:szCs w:val="21"/>
          <w:u w:val="single"/>
        </w:rPr>
        <w:t>。</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条款号：8.1                          修改类型：修改</w:t>
      </w:r>
    </w:p>
    <w:p>
      <w:pPr>
        <w:pStyle w:val="2"/>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8.1投标人若对招标文件（包括招标图纸）中有疑问，可以书面形式通过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pPr>
        <w:pStyle w:val="2"/>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w:t>
      </w:r>
      <w:r>
        <w:rPr>
          <w:rFonts w:hint="eastAsia" w:ascii="宋体" w:hAnsi="宋体"/>
          <w:color w:val="auto"/>
          <w:sz w:val="21"/>
          <w:szCs w:val="21"/>
          <w:highlight w:val="none"/>
        </w:rPr>
        <w:t>投标人若对招标文件（包括招标图纸</w:t>
      </w:r>
      <w:r>
        <w:rPr>
          <w:rFonts w:hint="eastAsia" w:ascii="宋体" w:hAnsi="宋体"/>
          <w:color w:val="auto"/>
          <w:sz w:val="21"/>
          <w:szCs w:val="21"/>
          <w:highlight w:val="none"/>
          <w:u w:val="single"/>
        </w:rPr>
        <w:t>、清单、最高投标限价</w:t>
      </w:r>
      <w:r>
        <w:rPr>
          <w:rFonts w:hint="eastAsia" w:ascii="宋体" w:hAnsi="宋体"/>
          <w:color w:val="auto"/>
          <w:sz w:val="21"/>
          <w:szCs w:val="21"/>
          <w:highlight w:val="none"/>
        </w:rPr>
        <w:t>）中有疑问，可以书面形式通过</w:t>
      </w:r>
      <w:r>
        <w:rPr>
          <w:rFonts w:ascii="宋体" w:hAnsi="宋体"/>
          <w:color w:val="auto"/>
          <w:sz w:val="21"/>
          <w:szCs w:val="21"/>
          <w:highlight w:val="none"/>
          <w:u w:val="single"/>
        </w:rPr>
        <w:t xml:space="preserve"> </w:t>
      </w:r>
      <w:r>
        <w:rPr>
          <w:rFonts w:hint="eastAsia" w:ascii="宋体" w:hAnsi="宋体" w:cs="宋体"/>
          <w:color w:val="auto"/>
          <w:sz w:val="21"/>
          <w:szCs w:val="21"/>
          <w:highlight w:val="none"/>
          <w:u w:val="single"/>
        </w:rPr>
        <w:t>广州公共资源交易中心</w:t>
      </w:r>
      <w:r>
        <w:rPr>
          <w:rFonts w:ascii="宋体" w:hAnsi="宋体"/>
          <w:color w:val="auto"/>
          <w:sz w:val="21"/>
          <w:szCs w:val="21"/>
          <w:highlight w:val="none"/>
          <w:u w:val="single"/>
        </w:rPr>
        <w:t xml:space="preserve"> </w:t>
      </w:r>
      <w:r>
        <w:rPr>
          <w:rFonts w:hint="eastAsia" w:ascii="宋体" w:hAnsi="宋体"/>
          <w:color w:val="auto"/>
          <w:sz w:val="21"/>
          <w:szCs w:val="21"/>
          <w:highlight w:val="none"/>
        </w:rPr>
        <w:t>交易平台提交给招标人或招标代理人，提交形式见本须知前附表第</w:t>
      </w:r>
      <w:r>
        <w:rPr>
          <w:rFonts w:ascii="宋体" w:hAnsi="宋体"/>
          <w:color w:val="auto"/>
          <w:sz w:val="21"/>
          <w:szCs w:val="21"/>
          <w:highlight w:val="none"/>
        </w:rPr>
        <w:t>16</w:t>
      </w:r>
      <w:r>
        <w:rPr>
          <w:rFonts w:hint="eastAsia" w:ascii="宋体" w:hAnsi="宋体"/>
          <w:color w:val="auto"/>
          <w:sz w:val="21"/>
          <w:szCs w:val="21"/>
          <w:highlight w:val="none"/>
        </w:rPr>
        <w:t>项。</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pPr>
        <w:pStyle w:val="2"/>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 “项目答疑纪要”专区公开发布。答疑纪要一经在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pPr>
        <w:pStyle w:val="2"/>
        <w:pBdr>
          <w:bottom w:val="single" w:color="auto" w:sz="4" w:space="1"/>
        </w:pBdr>
        <w:spacing w:after="0" w:line="360" w:lineRule="auto"/>
        <w:ind w:firstLine="411" w:firstLineChars="195"/>
        <w:rPr>
          <w:rFonts w:ascii="宋体" w:hAnsi="宋体" w:cs="宋体"/>
          <w:color w:val="auto"/>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8.2</w:t>
      </w:r>
      <w:r>
        <w:rPr>
          <w:rFonts w:hint="eastAsia" w:ascii="宋体" w:hAnsi="宋体" w:cs="宋体"/>
          <w:color w:val="auto"/>
          <w:sz w:val="21"/>
          <w:szCs w:val="21"/>
          <w:highlight w:val="none"/>
          <w:u w:val="single"/>
        </w:rPr>
        <w:t>招标答疑纪要</w:t>
      </w:r>
      <w:r>
        <w:rPr>
          <w:rFonts w:hint="eastAsia" w:ascii="宋体" w:hAnsi="宋体" w:cs="宋体"/>
          <w:color w:val="auto"/>
          <w:sz w:val="21"/>
          <w:szCs w:val="21"/>
          <w:highlight w:val="none"/>
        </w:rPr>
        <w:t>将在提交投标文件截止时间15日前在</w:t>
      </w:r>
      <w:r>
        <w:rPr>
          <w:rFonts w:hint="eastAsia" w:ascii="宋体" w:hAnsi="宋体" w:cs="宋体"/>
          <w:color w:val="auto"/>
          <w:sz w:val="21"/>
          <w:szCs w:val="21"/>
          <w:highlight w:val="none"/>
          <w:u w:val="single"/>
        </w:rPr>
        <w:t>广州公共资源交易中心</w:t>
      </w:r>
      <w:r>
        <w:rPr>
          <w:rFonts w:hint="eastAsia" w:ascii="宋体" w:hAnsi="宋体" w:cs="宋体"/>
          <w:color w:val="auto"/>
          <w:sz w:val="21"/>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 w:val="21"/>
          <w:szCs w:val="21"/>
          <w:highlight w:val="none"/>
          <w:u w:val="single"/>
        </w:rPr>
        <w:t>项目查询(日程安排、答疑纪要)</w:t>
      </w:r>
      <w:r>
        <w:rPr>
          <w:rFonts w:hint="eastAsia" w:ascii="宋体" w:hAnsi="宋体" w:cs="宋体"/>
          <w:color w:val="auto"/>
          <w:sz w:val="21"/>
          <w:szCs w:val="21"/>
          <w:highlight w:val="none"/>
          <w:u w:val="single"/>
        </w:rPr>
        <w:fldChar w:fldCharType="end"/>
      </w:r>
      <w:r>
        <w:rPr>
          <w:rFonts w:hint="eastAsia" w:ascii="宋体" w:hAnsi="宋体" w:cs="宋体"/>
          <w:color w:val="auto"/>
          <w:sz w:val="21"/>
          <w:szCs w:val="21"/>
          <w:highlight w:val="none"/>
        </w:rPr>
        <w:t>”专区公开发布。答疑纪要一经在</w:t>
      </w:r>
      <w:r>
        <w:rPr>
          <w:rFonts w:hint="eastAsia" w:ascii="宋体" w:hAnsi="宋体" w:cs="宋体"/>
          <w:color w:val="auto"/>
          <w:sz w:val="21"/>
          <w:szCs w:val="21"/>
          <w:highlight w:val="none"/>
          <w:u w:val="single"/>
        </w:rPr>
        <w:t>广州公共资源交易中心</w:t>
      </w:r>
      <w:r>
        <w:rPr>
          <w:rFonts w:hint="eastAsia" w:ascii="宋体" w:hAnsi="宋体" w:cs="宋体"/>
          <w:color w:val="auto"/>
          <w:sz w:val="21"/>
          <w:szCs w:val="21"/>
          <w:highlight w:val="none"/>
        </w:rPr>
        <w:t>交易平台发布，视作已发放给所有投标人。</w:t>
      </w:r>
    </w:p>
    <w:p>
      <w:pPr>
        <w:pBdr>
          <w:bottom w:val="single" w:color="auto" w:sz="6" w:space="1"/>
        </w:pBd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条款号：8.3            修改类型：修改</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：8.3答疑会会议纪要为招标文件的一部分。</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：8.3</w:t>
      </w:r>
      <w:r>
        <w:rPr>
          <w:rFonts w:hint="eastAsia" w:ascii="宋体" w:hAnsi="宋体" w:cs="宋体"/>
          <w:color w:val="auto"/>
          <w:szCs w:val="21"/>
          <w:highlight w:val="none"/>
          <w:u w:val="single"/>
        </w:rPr>
        <w:t>答疑纪要</w:t>
      </w:r>
      <w:r>
        <w:rPr>
          <w:rFonts w:hint="eastAsia" w:ascii="宋体" w:hAnsi="宋体" w:cs="宋体"/>
          <w:color w:val="auto"/>
          <w:szCs w:val="21"/>
          <w:highlight w:val="none"/>
        </w:rPr>
        <w:t>为招标文件的一部分。</w:t>
      </w:r>
    </w:p>
    <w:p>
      <w:pPr>
        <w:spacing w:line="360" w:lineRule="auto"/>
        <w:ind w:firstLine="411" w:firstLineChars="195"/>
        <w:rPr>
          <w:rFonts w:ascii="宋体" w:hAnsi="宋体" w:cs="宋体"/>
          <w:b/>
          <w:color w:val="auto"/>
          <w:szCs w:val="21"/>
          <w:highlight w:val="none"/>
        </w:rPr>
      </w:pP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条款号：8.4                  修改类型：修改</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8.4若招标答疑会会议纪要与招标文件有矛盾，以答疑会议纪要最后发出的书面形式的文件为准。</w:t>
      </w:r>
    </w:p>
    <w:p>
      <w:pPr>
        <w:pBdr>
          <w:bottom w:val="single" w:color="auto" w:sz="4" w:space="0"/>
        </w:pBd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8.4若招标答疑纪要与招标文件有矛盾时，以</w:t>
      </w:r>
      <w:r>
        <w:rPr>
          <w:rFonts w:hint="eastAsia" w:ascii="宋体" w:hAnsi="宋体" w:cs="宋体"/>
          <w:bCs/>
          <w:color w:val="auto"/>
          <w:szCs w:val="21"/>
          <w:highlight w:val="none"/>
          <w:u w:val="single"/>
        </w:rPr>
        <w:t>广州公共资源交易中心交易平台最新发布的文件为准。</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交易平台上网发布时间作为送达时间。</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条款号：9.4                         修改类型：修改</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w:t>
      </w:r>
      <w:r>
        <w:rPr>
          <w:rFonts w:hint="eastAsia" w:ascii="宋体" w:hAnsi="宋体" w:cs="宋体"/>
          <w:color w:val="auto"/>
          <w:szCs w:val="21"/>
          <w:highlight w:val="none"/>
          <w:u w:val="single"/>
        </w:rPr>
        <w:t>以广州公共资源交易中心网站“招标答疑”专区公开发布</w:t>
      </w:r>
      <w:r>
        <w:rPr>
          <w:rFonts w:hint="eastAsia" w:ascii="宋体" w:hAnsi="宋体" w:cs="宋体"/>
          <w:color w:val="auto"/>
          <w:szCs w:val="21"/>
          <w:highlight w:val="none"/>
        </w:rPr>
        <w:t>的内容为准。当招标文件的澄清、修改、补充等在同一内容的表述不一致时，以</w:t>
      </w:r>
      <w:r>
        <w:rPr>
          <w:rFonts w:hint="eastAsia" w:ascii="宋体" w:hAnsi="宋体" w:cs="宋体"/>
          <w:color w:val="auto"/>
          <w:szCs w:val="21"/>
          <w:highlight w:val="none"/>
          <w:u w:val="single"/>
        </w:rPr>
        <w:t>广州公共资源交易中心网站最后发布的内容为准</w:t>
      </w:r>
      <w:r>
        <w:rPr>
          <w:rFonts w:hint="eastAsia" w:ascii="宋体" w:hAnsi="宋体" w:cs="宋体"/>
          <w:color w:val="auto"/>
          <w:szCs w:val="21"/>
          <w:highlight w:val="none"/>
        </w:rPr>
        <w:t>。</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原文：</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 xml:space="preserve">（1）投标人声明； </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（3）企业营业执照（取自平台内上传件）；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（4）企业资质证书（取自平台内上传件）；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 xml:space="preserve">（9）拟委派项目负责人的建造师注册证书（取自平台内上传件）； </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（10）项目负责人安全生产考核合格证明或在有效期内的安全考核合格证书（B类）或建筑施工企业项目负责人安全生产考核合格证书（取自平台内上传件）；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w:t>
      </w:r>
      <w:r>
        <w:rPr>
          <w:rFonts w:hint="eastAsia" w:ascii="宋体" w:hAnsi="宋体" w:cs="宋体"/>
          <w:color w:val="auto"/>
          <w:szCs w:val="21"/>
          <w:highlight w:val="none"/>
        </w:rPr>
        <w:t>须提供类似工程业绩的项目名称及项目编号，具体格式由招标人自定</w:t>
      </w:r>
      <w:r>
        <w:rPr>
          <w:rFonts w:hint="eastAsia" w:ascii="宋体" w:hAnsi="宋体" w:cs="宋体"/>
          <w:bCs/>
          <w:color w:val="auto"/>
          <w:szCs w:val="21"/>
          <w:highlight w:val="none"/>
        </w:rPr>
        <w:t>）；</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 xml:space="preserve">（14）列明主办单位的联合体工作协议（采用联合体投标时需递交，投标人拟任本工程项目负责人、专职安全员应为联合体主办方信用档案中的在册人员，联合体工作协议应明确约定各方拟承担的工作和责任）； </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（15）</w:t>
      </w:r>
      <w:r>
        <w:rPr>
          <w:rFonts w:hint="eastAsia" w:ascii="宋体" w:hAnsi="宋体" w:cs="宋体"/>
          <w:color w:val="auto"/>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11.2.3项目管理机构配备。</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（3）其他辅助说明资料。</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11.2.5施工组织设计或施工方案。</w:t>
      </w:r>
      <w:r>
        <w:rPr>
          <w:rFonts w:hint="eastAsia" w:ascii="宋体" w:hAnsi="宋体" w:cs="宋体"/>
          <w:bCs/>
          <w:color w:val="auto"/>
          <w:kern w:val="0"/>
          <w:sz w:val="22"/>
          <w:highlight w:val="none"/>
        </w:rPr>
        <w:t>（</w:t>
      </w:r>
      <w:r>
        <w:rPr>
          <w:rFonts w:hint="eastAsia" w:ascii="宋体" w:hAnsi="宋体" w:cs="宋体"/>
          <w:b/>
          <w:bCs/>
          <w:color w:val="auto"/>
          <w:kern w:val="0"/>
          <w:sz w:val="22"/>
          <w:highlight w:val="none"/>
        </w:rPr>
        <w:t>投标人在编制施工组织设计或施工方案时应按照招标人提出的施工现场建筑垃圾源头减量的具体要求以及建筑垃圾综合利用产品的使用要求提供相应措施。</w:t>
      </w:r>
      <w:r>
        <w:rPr>
          <w:rFonts w:hint="eastAsia" w:ascii="宋体" w:hAnsi="宋体" w:cs="宋体"/>
          <w:bCs/>
          <w:color w:val="auto"/>
          <w:kern w:val="0"/>
          <w:sz w:val="22"/>
          <w:highlight w:val="none"/>
        </w:rPr>
        <w:t>）</w:t>
      </w:r>
    </w:p>
    <w:p>
      <w:pPr>
        <w:tabs>
          <w:tab w:val="left" w:pos="1125"/>
        </w:tabs>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现文：</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11.2投标文件技术标部分</w:t>
      </w:r>
      <w:r>
        <w:rPr>
          <w:rFonts w:hint="eastAsia" w:ascii="宋体" w:hAnsi="宋体" w:cs="宋体"/>
          <w:color w:val="auto"/>
          <w:szCs w:val="21"/>
          <w:highlight w:val="none"/>
          <w:u w:val="single"/>
        </w:rPr>
        <w:t>（含资格审查文件）</w:t>
      </w:r>
      <w:r>
        <w:rPr>
          <w:rFonts w:hint="eastAsia" w:ascii="宋体" w:hAnsi="宋体" w:cs="宋体"/>
          <w:bCs/>
          <w:color w:val="auto"/>
          <w:szCs w:val="21"/>
          <w:highlight w:val="none"/>
        </w:rPr>
        <w:t>主要包括下列内容</w:t>
      </w:r>
      <w:r>
        <w:rPr>
          <w:rFonts w:hint="eastAsia" w:ascii="宋体" w:hAnsi="宋体" w:cs="宋体"/>
          <w:color w:val="auto"/>
          <w:szCs w:val="21"/>
          <w:highlight w:val="none"/>
          <w:u w:val="single"/>
        </w:rPr>
        <w:t>（除注明“取自平台内上传件”或网页截图外，均为原件清晰扫描件）</w:t>
      </w:r>
      <w:r>
        <w:rPr>
          <w:rFonts w:hint="eastAsia" w:ascii="宋体" w:hAnsi="宋体" w:cs="宋体"/>
          <w:bCs/>
          <w:color w:val="auto"/>
          <w:szCs w:val="21"/>
          <w:highlight w:val="none"/>
        </w:rPr>
        <w:t>:</w:t>
      </w:r>
    </w:p>
    <w:p>
      <w:pPr>
        <w:spacing w:line="360" w:lineRule="auto"/>
        <w:ind w:firstLine="409" w:firstLineChars="195"/>
        <w:rPr>
          <w:rFonts w:ascii="宋体" w:hAnsi="宋体" w:cs="宋体"/>
          <w:color w:val="auto"/>
          <w:szCs w:val="21"/>
          <w:highlight w:val="none"/>
          <w:u w:val="single"/>
        </w:rPr>
      </w:pPr>
      <w:r>
        <w:rPr>
          <w:rFonts w:hint="eastAsia" w:ascii="宋体" w:hAnsi="宋体" w:cs="宋体"/>
          <w:bCs/>
          <w:color w:val="auto"/>
          <w:szCs w:val="21"/>
          <w:highlight w:val="none"/>
        </w:rPr>
        <w:t>11.2.1</w:t>
      </w:r>
      <w:r>
        <w:rPr>
          <w:rFonts w:hint="eastAsia" w:ascii="宋体" w:hAnsi="宋体" w:cs="宋体"/>
          <w:color w:val="auto"/>
          <w:szCs w:val="21"/>
          <w:highlight w:val="none"/>
          <w:u w:val="single"/>
        </w:rPr>
        <w:t>广州建设工程施工招标投标书（技术标）</w:t>
      </w:r>
      <w:r>
        <w:rPr>
          <w:rFonts w:ascii="宋体" w:hAnsi="宋体" w:cs="宋体"/>
          <w:bCs/>
          <w:color w:val="auto"/>
          <w:szCs w:val="21"/>
          <w:highlight w:val="none"/>
          <w:u w:val="single"/>
        </w:rPr>
        <w:t>(需按招标文件第四章要求的格式填写，具体格式以《广州建设工程施工招标投标书（技术标）》为准；电子投标管理软件编制的“广州建设工程施工招标投标书”不作为否决投标的条件</w:t>
      </w:r>
      <w:r>
        <w:rPr>
          <w:rFonts w:hint="eastAsia" w:ascii="宋体" w:hAnsi="宋体" w:cs="宋体"/>
          <w:color w:val="auto"/>
          <w:szCs w:val="21"/>
          <w:highlight w:val="none"/>
          <w:u w:val="single"/>
        </w:rPr>
        <w:t>。</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Cs/>
          <w:color w:val="auto"/>
          <w:szCs w:val="21"/>
          <w:highlight w:val="none"/>
          <w:u w:val="single"/>
        </w:rPr>
        <w:t>扫描件（须按招标公告附件内容及格式要求编制）</w:t>
      </w:r>
      <w:r>
        <w:rPr>
          <w:rFonts w:hint="eastAsia" w:ascii="宋体" w:hAnsi="宋体" w:cs="宋体"/>
          <w:bCs/>
          <w:color w:val="auto"/>
          <w:szCs w:val="21"/>
          <w:highlight w:val="none"/>
        </w:rPr>
        <w:t>；</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r>
        <w:rPr>
          <w:rFonts w:hint="eastAsia" w:ascii="宋体" w:hAnsi="宋体" w:cs="宋体"/>
          <w:bCs/>
          <w:color w:val="auto"/>
          <w:szCs w:val="21"/>
          <w:highlight w:val="none"/>
          <w:u w:val="single"/>
        </w:rPr>
        <w:t>扫描件</w:t>
      </w:r>
      <w:r>
        <w:rPr>
          <w:rFonts w:hint="eastAsia" w:ascii="宋体" w:hAnsi="宋体" w:cs="宋体"/>
          <w:bCs/>
          <w:color w:val="auto"/>
          <w:szCs w:val="21"/>
          <w:highlight w:val="none"/>
        </w:rPr>
        <w:t>；</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（3）企业营业执照（取自平台内上传件）；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（4）企业资质证书（取自平台内上传件）；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（8）</w:t>
      </w:r>
      <w:r>
        <w:rPr>
          <w:rFonts w:hint="eastAsia" w:ascii="宋体" w:hAnsi="宋体" w:cs="宋体"/>
          <w:bCs/>
          <w:color w:val="auto"/>
          <w:szCs w:val="21"/>
          <w:highlight w:val="none"/>
          <w:u w:val="single"/>
        </w:rPr>
        <w:t>拟委派技术负责人的职称证书（提供清晰扫描件或取自平台内上传件）；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（9）</w:t>
      </w:r>
      <w:r>
        <w:rPr>
          <w:rFonts w:hint="eastAsia" w:ascii="宋体" w:hAnsi="宋体" w:cs="宋体"/>
          <w:bCs/>
          <w:color w:val="auto"/>
          <w:szCs w:val="21"/>
          <w:highlight w:val="none"/>
          <w:u w:val="single"/>
        </w:rPr>
        <w:t>拟委派项目负责人的建造师证书</w:t>
      </w:r>
      <w:r>
        <w:rPr>
          <w:rFonts w:hint="eastAsia" w:ascii="宋体" w:hAnsi="宋体" w:cs="宋体"/>
          <w:bCs/>
          <w:color w:val="auto"/>
          <w:szCs w:val="21"/>
          <w:highlight w:val="none"/>
        </w:rPr>
        <w:t>（取自平台内上传件）；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（10）项目负责人安全生产考核合格证明或在有效期内的安全考核合格证书（B类）或建筑施工企业项目负责人安全生产考核合格证书（取自平台内上传件）；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（11）专职安全员须具有在有效期内的安全考核合格证书（C类）或建筑施工企业专职安全生产管理人员安全生产考核合格证书</w:t>
      </w:r>
      <w:r>
        <w:rPr>
          <w:rFonts w:hint="eastAsia" w:ascii="宋体" w:hAnsi="宋体" w:cs="宋体"/>
          <w:bCs/>
          <w:color w:val="auto"/>
          <w:szCs w:val="21"/>
          <w:highlight w:val="none"/>
          <w:u w:val="single"/>
        </w:rPr>
        <w:t>（C3类）</w:t>
      </w:r>
      <w:r>
        <w:rPr>
          <w:rFonts w:hint="eastAsia" w:ascii="宋体" w:hAnsi="宋体" w:cs="宋体"/>
          <w:bCs/>
          <w:color w:val="auto"/>
          <w:szCs w:val="21"/>
          <w:highlight w:val="none"/>
        </w:rPr>
        <w:t>（取自平台内上传件）；</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2</w:t>
      </w:r>
      <w:r>
        <w:rPr>
          <w:rFonts w:hint="eastAsia" w:ascii="宋体" w:hAnsi="宋体" w:cs="宋体"/>
          <w:bCs/>
          <w:color w:val="auto"/>
          <w:szCs w:val="21"/>
          <w:highlight w:val="none"/>
        </w:rPr>
        <w:t>）用于资格审查的业绩（</w:t>
      </w:r>
      <w:r>
        <w:rPr>
          <w:rFonts w:hint="eastAsia" w:ascii="宋体" w:hAnsi="宋体" w:cs="宋体"/>
          <w:bCs/>
          <w:color w:val="auto"/>
          <w:szCs w:val="21"/>
          <w:highlight w:val="none"/>
          <w:u w:val="single"/>
        </w:rPr>
        <w:t>投标人须提供类似工程业绩的</w:t>
      </w:r>
      <w:r>
        <w:rPr>
          <w:rFonts w:hint="eastAsia" w:ascii="宋体" w:hAnsi="宋体" w:cs="宋体"/>
          <w:bCs/>
          <w:color w:val="auto"/>
          <w:szCs w:val="21"/>
          <w:highlight w:val="none"/>
          <w:u w:val="single"/>
          <w:lang w:eastAsia="zh-CN"/>
        </w:rPr>
        <w:t>相关证明材料</w:t>
      </w:r>
      <w:r>
        <w:rPr>
          <w:rFonts w:hint="eastAsia" w:ascii="宋体" w:hAnsi="宋体" w:cs="宋体"/>
          <w:bCs/>
          <w:color w:val="auto"/>
          <w:szCs w:val="21"/>
          <w:highlight w:val="none"/>
        </w:rPr>
        <w:t>）；</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3</w:t>
      </w:r>
      <w:r>
        <w:rPr>
          <w:rFonts w:hint="eastAsia" w:ascii="宋体" w:hAnsi="宋体" w:cs="宋体"/>
          <w:bCs/>
          <w:color w:val="auto"/>
          <w:szCs w:val="21"/>
          <w:highlight w:val="none"/>
        </w:rPr>
        <w:t>）资格审查前，投标人须在广州市住房和城乡建设局建立企业信用档案，拟担任本工程项目负责人、专职安全员须是本企业信用档案中的在册人员；</w:t>
      </w:r>
    </w:p>
    <w:p>
      <w:pPr>
        <w:spacing w:line="360" w:lineRule="auto"/>
        <w:ind w:firstLine="409" w:firstLineChars="195"/>
        <w:rPr>
          <w:color w:val="auto"/>
          <w:highlight w:val="none"/>
        </w:rPr>
      </w:pPr>
      <w:r>
        <w:rPr>
          <w:rFonts w:hint="eastAsia" w:ascii="宋体" w:hAnsi="宋体" w:cs="宋体"/>
          <w:bCs w:val="0"/>
          <w:color w:val="auto"/>
          <w:szCs w:val="21"/>
          <w:highlight w:val="none"/>
          <w:u w:val="single"/>
        </w:rPr>
        <w:t>（14）</w:t>
      </w:r>
      <w:r>
        <w:rPr>
          <w:rFonts w:hint="eastAsia" w:ascii="宋体" w:hAnsi="宋体" w:cs="宋体"/>
          <w:color w:val="auto"/>
          <w:szCs w:val="21"/>
          <w:highlight w:val="none"/>
          <w:u w:val="single"/>
        </w:rPr>
        <w:t>未被列入拖欠农民工工资失信联合惩戒对象名单。</w:t>
      </w:r>
    </w:p>
    <w:p>
      <w:pPr>
        <w:spacing w:line="360" w:lineRule="auto"/>
        <w:ind w:firstLine="409" w:firstLineChars="195"/>
        <w:rPr>
          <w:rFonts w:ascii="宋体" w:hAnsi="宋体" w:cs="宋体"/>
          <w:bCs/>
          <w:color w:val="auto"/>
          <w:szCs w:val="21"/>
          <w:highlight w:val="none"/>
          <w:u w:val="single"/>
        </w:rPr>
      </w:pPr>
      <w:r>
        <w:rPr>
          <w:rFonts w:hint="eastAsia" w:ascii="宋体" w:hAnsi="宋体" w:cs="宋体"/>
          <w:bCs/>
          <w:color w:val="auto"/>
          <w:szCs w:val="21"/>
          <w:highlight w:val="none"/>
          <w:u w:val="single"/>
        </w:rPr>
        <w:t>（15）投标人认为应提供的其他资料。</w:t>
      </w:r>
    </w:p>
    <w:p>
      <w:pPr>
        <w:spacing w:line="360" w:lineRule="auto"/>
        <w:ind w:firstLine="409" w:firstLineChars="195"/>
        <w:rPr>
          <w:rFonts w:ascii="宋体" w:hAnsi="宋体" w:cs="宋体"/>
          <w:color w:val="auto"/>
          <w:szCs w:val="21"/>
          <w:highlight w:val="none"/>
          <w:u w:val="single"/>
        </w:rPr>
      </w:pPr>
      <w:r>
        <w:rPr>
          <w:rFonts w:hint="eastAsia" w:ascii="宋体" w:hAnsi="宋体" w:cs="宋体"/>
          <w:color w:val="auto"/>
          <w:szCs w:val="21"/>
          <w:highlight w:val="none"/>
          <w:u w:val="single"/>
        </w:rPr>
        <w:t>注：</w:t>
      </w:r>
    </w:p>
    <w:p>
      <w:pPr>
        <w:numPr>
          <w:ilvl w:val="0"/>
          <w:numId w:val="4"/>
        </w:numPr>
        <w:spacing w:line="360" w:lineRule="auto"/>
        <w:ind w:firstLine="409" w:firstLineChars="195"/>
        <w:rPr>
          <w:rFonts w:ascii="宋体" w:hAnsi="宋体" w:cs="宋体"/>
          <w:color w:val="auto"/>
          <w:szCs w:val="21"/>
          <w:highlight w:val="none"/>
          <w:u w:val="single"/>
        </w:rPr>
      </w:pPr>
      <w:r>
        <w:rPr>
          <w:rFonts w:hint="eastAsia" w:ascii="宋体" w:hAnsi="宋体" w:cs="宋体"/>
          <w:color w:val="auto"/>
          <w:szCs w:val="21"/>
          <w:highlight w:val="none"/>
          <w:u w:val="single"/>
        </w:rPr>
        <w:t>上述第</w:t>
      </w:r>
      <w:r>
        <w:rPr>
          <w:rFonts w:hint="eastAsia" w:ascii="宋体" w:hAnsi="宋体"/>
          <w:color w:val="auto"/>
          <w:szCs w:val="21"/>
          <w:highlight w:val="none"/>
          <w:u w:val="single"/>
          <w:shd w:val="clear" w:color="auto" w:fill="FFFFFF"/>
        </w:rPr>
        <w:t xml:space="preserve"> 11.2.2（1）—（13）条没有要求提交的资料，不作为资格审查不合格的依据</w:t>
      </w:r>
    </w:p>
    <w:p>
      <w:pPr>
        <w:spacing w:line="400" w:lineRule="exact"/>
        <w:ind w:firstLine="420" w:firstLineChars="200"/>
        <w:rPr>
          <w:rFonts w:ascii="宋体" w:hAnsi="宋体"/>
          <w:color w:val="auto"/>
          <w:szCs w:val="21"/>
          <w:highlight w:val="none"/>
          <w:u w:val="single"/>
          <w:shd w:val="clear" w:color="auto" w:fill="FFFFFF"/>
        </w:rPr>
      </w:pPr>
      <w:r>
        <w:rPr>
          <w:rFonts w:hint="eastAsia" w:hAnsi="宋体"/>
          <w:color w:val="auto"/>
          <w:szCs w:val="21"/>
          <w:highlight w:val="none"/>
          <w:u w:val="single"/>
          <w:shd w:val="clear" w:color="auto" w:fill="FFFFFF"/>
        </w:rPr>
        <w:t>2、</w:t>
      </w:r>
      <w:r>
        <w:rPr>
          <w:rFonts w:hint="eastAsia" w:ascii="宋体" w:hAnsi="宋体"/>
          <w:color w:val="auto"/>
          <w:szCs w:val="21"/>
          <w:highlight w:val="none"/>
          <w:u w:val="single"/>
          <w:shd w:val="clear" w:color="auto" w:fill="FFFFFF"/>
        </w:rPr>
        <w:t>上述第（</w:t>
      </w:r>
      <w:r>
        <w:rPr>
          <w:rFonts w:ascii="宋体" w:hAnsi="宋体"/>
          <w:color w:val="auto"/>
          <w:szCs w:val="21"/>
          <w:highlight w:val="none"/>
          <w:u w:val="single"/>
          <w:shd w:val="clear" w:color="auto" w:fill="FFFFFF"/>
        </w:rPr>
        <w:t>1</w:t>
      </w:r>
      <w:r>
        <w:rPr>
          <w:rFonts w:hint="eastAsia" w:ascii="宋体" w:hAnsi="宋体"/>
          <w:color w:val="auto"/>
          <w:szCs w:val="21"/>
          <w:highlight w:val="none"/>
          <w:u w:val="single"/>
          <w:shd w:val="clear" w:color="auto" w:fill="FFFFFF"/>
        </w:rPr>
        <w:t>4</w:t>
      </w:r>
      <w:r>
        <w:rPr>
          <w:rFonts w:ascii="宋体" w:hAnsi="宋体"/>
          <w:color w:val="auto"/>
          <w:szCs w:val="21"/>
          <w:highlight w:val="none"/>
          <w:u w:val="single"/>
          <w:shd w:val="clear" w:color="auto" w:fill="FFFFFF"/>
        </w:rPr>
        <w:t>）项的</w:t>
      </w:r>
      <w:r>
        <w:rPr>
          <w:rFonts w:hint="eastAsia" w:ascii="宋体" w:hAnsi="宋体"/>
          <w:color w:val="auto"/>
          <w:szCs w:val="21"/>
          <w:highlight w:val="none"/>
          <w:u w:val="single"/>
          <w:shd w:val="clear" w:color="auto" w:fill="FFFFFF"/>
        </w:rPr>
        <w:t>失信联合惩戒</w:t>
      </w:r>
      <w:r>
        <w:rPr>
          <w:rFonts w:hint="eastAsia" w:ascii="宋体" w:hAnsi="宋体"/>
          <w:color w:val="auto"/>
          <w:szCs w:val="21"/>
          <w:highlight w:val="none"/>
          <w:u w:val="single"/>
          <w:shd w:val="clear" w:color="auto" w:fill="FFFFFF"/>
          <w:lang w:val="en-US" w:eastAsia="zh-CN"/>
        </w:rPr>
        <w:t>对象</w:t>
      </w:r>
      <w:r>
        <w:rPr>
          <w:rFonts w:hint="eastAsia" w:ascii="宋体" w:hAnsi="宋体"/>
          <w:color w:val="auto"/>
          <w:szCs w:val="21"/>
          <w:highlight w:val="none"/>
          <w:u w:val="single"/>
          <w:shd w:val="clear" w:color="auto" w:fill="FFFFFF"/>
        </w:rPr>
        <w:t>名单，按交易系统比对的结果进行评审。投标人无需提供资料。</w:t>
      </w:r>
    </w:p>
    <w:p>
      <w:pPr>
        <w:pStyle w:val="20"/>
        <w:rPr>
          <w:color w:val="auto"/>
          <w:highlight w:val="none"/>
        </w:rPr>
      </w:pPr>
    </w:p>
    <w:p>
      <w:pPr>
        <w:spacing w:line="360" w:lineRule="auto"/>
        <w:ind w:firstLine="409" w:firstLineChars="195"/>
        <w:rPr>
          <w:rFonts w:ascii="宋体" w:hAnsi="宋体"/>
          <w:bCs/>
          <w:color w:val="auto"/>
          <w:szCs w:val="21"/>
          <w:highlight w:val="none"/>
          <w:u w:val="single"/>
        </w:rPr>
      </w:pPr>
      <w:r>
        <w:rPr>
          <w:rFonts w:hint="eastAsia" w:ascii="宋体" w:hAnsi="宋体" w:cs="宋体"/>
          <w:color w:val="auto"/>
          <w:szCs w:val="21"/>
          <w:highlight w:val="none"/>
          <w:u w:val="single"/>
        </w:rPr>
        <w:t>11.2.3《投标函》、《标函承诺书》、《项目负责人驻场承诺书》（格式见第四章）。</w:t>
      </w:r>
    </w:p>
    <w:p>
      <w:pPr>
        <w:pBdr>
          <w:bottom w:val="single" w:color="auto" w:sz="6" w:space="1"/>
        </w:pBdr>
        <w:spacing w:line="360" w:lineRule="auto"/>
        <w:ind w:firstLine="409" w:firstLineChars="195"/>
        <w:rPr>
          <w:rFonts w:ascii="宋体" w:hAnsi="宋体" w:cs="宋体"/>
          <w:color w:val="auto"/>
          <w:szCs w:val="21"/>
          <w:highlight w:val="none"/>
          <w:u w:val="single"/>
        </w:rPr>
      </w:pPr>
      <w:r>
        <w:rPr>
          <w:rFonts w:hint="eastAsia" w:ascii="宋体" w:hAnsi="宋体" w:cs="宋体"/>
          <w:color w:val="auto"/>
          <w:szCs w:val="21"/>
          <w:highlight w:val="none"/>
          <w:u w:val="single"/>
        </w:rPr>
        <w:t>11.2.4《</w:t>
      </w:r>
      <w:r>
        <w:rPr>
          <w:rFonts w:hint="eastAsia" w:ascii="宋体" w:hAnsi="宋体"/>
          <w:color w:val="auto"/>
          <w:highlight w:val="none"/>
        </w:rPr>
        <w:t>施工项目管理团队人员信息表</w:t>
      </w:r>
      <w:r>
        <w:rPr>
          <w:rFonts w:hint="eastAsia" w:ascii="宋体" w:hAnsi="宋体" w:cs="宋体"/>
          <w:color w:val="auto"/>
          <w:szCs w:val="21"/>
          <w:highlight w:val="none"/>
          <w:u w:val="single"/>
        </w:rPr>
        <w:t>》、《主要人员简历表》（投标人需按相应表格备注及《技术标详细审查评分表》要求提供相关资料）（格式见第四章）。</w:t>
      </w:r>
    </w:p>
    <w:p>
      <w:pPr>
        <w:pBdr>
          <w:bottom w:val="single" w:color="auto" w:sz="6" w:space="1"/>
        </w:pBdr>
        <w:spacing w:line="360" w:lineRule="auto"/>
        <w:ind w:firstLine="409" w:firstLineChars="195"/>
        <w:rPr>
          <w:rFonts w:ascii="宋体" w:hAnsi="宋体"/>
          <w:color w:val="auto"/>
          <w:szCs w:val="21"/>
          <w:highlight w:val="none"/>
        </w:rPr>
      </w:pPr>
      <w:r>
        <w:rPr>
          <w:rFonts w:hint="eastAsia" w:ascii="宋体" w:hAnsi="宋体" w:cs="宋体"/>
          <w:color w:val="auto"/>
          <w:szCs w:val="21"/>
          <w:highlight w:val="none"/>
          <w:u w:val="single"/>
        </w:rPr>
        <w:t>11.2.5企业资信的证明材料（按要求提交，招标文件有规定格式的，需按招标文件格式提供，无格式要求的，格式自拟）。</w:t>
      </w:r>
    </w:p>
    <w:p>
      <w:pPr>
        <w:pBdr>
          <w:bottom w:val="single" w:color="auto" w:sz="6" w:space="1"/>
        </w:pBdr>
        <w:spacing w:line="360" w:lineRule="auto"/>
        <w:ind w:firstLine="409" w:firstLineChars="195"/>
        <w:rPr>
          <w:rFonts w:ascii="宋体" w:hAnsi="宋体" w:cs="宋体"/>
          <w:color w:val="auto"/>
          <w:szCs w:val="21"/>
          <w:highlight w:val="none"/>
          <w:u w:val="single"/>
        </w:rPr>
      </w:pPr>
      <w:r>
        <w:rPr>
          <w:rFonts w:hint="eastAsia" w:ascii="宋体" w:hAnsi="宋体" w:cs="宋体"/>
          <w:color w:val="auto"/>
          <w:szCs w:val="21"/>
          <w:highlight w:val="none"/>
          <w:u w:val="single"/>
        </w:rPr>
        <w:t>11.2.6《施工组织设计方案》（</w:t>
      </w:r>
      <w:r>
        <w:rPr>
          <w:rFonts w:hint="eastAsia" w:ascii="宋体" w:hAnsi="宋体" w:cs="宋体"/>
          <w:color w:val="auto"/>
          <w:szCs w:val="21"/>
          <w:highlight w:val="none"/>
          <w:u w:val="single"/>
          <w:lang w:val="en-US" w:eastAsia="zh-CN"/>
        </w:rPr>
        <w:t>包含</w:t>
      </w:r>
      <w:r>
        <w:rPr>
          <w:rFonts w:hint="eastAsia" w:ascii="宋体" w:hAnsi="宋体" w:cs="宋体"/>
          <w:color w:val="auto"/>
          <w:szCs w:val="21"/>
          <w:highlight w:val="none"/>
          <w:u w:val="single"/>
        </w:rPr>
        <w:t>按照招标人提出的施工现场建筑垃圾源头减量的具体要求以及建筑垃圾综合利用产品的使用要求提供相应措施）、《拟投入本工程施工的主要机械设备配备表》（格式见第四章）。</w:t>
      </w:r>
    </w:p>
    <w:p>
      <w:pPr>
        <w:pBdr>
          <w:bottom w:val="single" w:color="auto" w:sz="6" w:space="1"/>
        </w:pBdr>
        <w:spacing w:line="360" w:lineRule="auto"/>
        <w:ind w:firstLine="409" w:firstLineChars="195"/>
        <w:rPr>
          <w:rFonts w:ascii="宋体" w:hAnsi="宋体"/>
          <w:color w:val="auto"/>
          <w:szCs w:val="21"/>
          <w:highlight w:val="none"/>
        </w:rPr>
      </w:pPr>
      <w:r>
        <w:rPr>
          <w:rFonts w:hint="eastAsia" w:ascii="宋体" w:hAnsi="宋体" w:cs="宋体"/>
          <w:color w:val="auto"/>
          <w:szCs w:val="21"/>
          <w:highlight w:val="none"/>
          <w:u w:val="single"/>
        </w:rPr>
        <w:t>11.2.7《危险性较大的分部分项工程安全管理措施》（格式见第四章）。</w:t>
      </w:r>
    </w:p>
    <w:p>
      <w:pPr>
        <w:pBdr>
          <w:bottom w:val="single" w:color="auto" w:sz="6" w:space="1"/>
        </w:pBdr>
        <w:spacing w:line="360" w:lineRule="auto"/>
        <w:ind w:firstLine="409" w:firstLineChars="195"/>
        <w:rPr>
          <w:rFonts w:ascii="宋体" w:hAnsi="宋体"/>
          <w:color w:val="auto"/>
          <w:szCs w:val="21"/>
          <w:highlight w:val="none"/>
        </w:rPr>
      </w:pPr>
      <w:r>
        <w:rPr>
          <w:rFonts w:hint="eastAsia" w:ascii="宋体" w:hAnsi="宋体" w:cs="宋体"/>
          <w:color w:val="auto"/>
          <w:szCs w:val="21"/>
          <w:highlight w:val="none"/>
          <w:u w:val="single"/>
        </w:rPr>
        <w:t>11.2.8《参与编制技术标投标文件人员名单》（格式见第四章）</w:t>
      </w:r>
      <w:r>
        <w:rPr>
          <w:rFonts w:hint="eastAsia" w:ascii="宋体" w:hAnsi="宋体" w:cs="宋体"/>
          <w:color w:val="auto"/>
          <w:szCs w:val="21"/>
          <w:highlight w:val="none"/>
        </w:rPr>
        <w:t>。</w:t>
      </w:r>
    </w:p>
    <w:p>
      <w:pPr>
        <w:pBdr>
          <w:bottom w:val="single" w:color="auto" w:sz="6" w:space="1"/>
        </w:pBdr>
        <w:spacing w:line="360" w:lineRule="auto"/>
        <w:ind w:firstLine="409" w:firstLineChars="195"/>
        <w:rPr>
          <w:rFonts w:ascii="宋体" w:hAnsi="宋体" w:cs="宋体"/>
          <w:color w:val="auto"/>
          <w:szCs w:val="21"/>
          <w:highlight w:val="none"/>
          <w:u w:val="single"/>
        </w:rPr>
      </w:pPr>
      <w:r>
        <w:rPr>
          <w:rFonts w:hint="eastAsia" w:ascii="宋体" w:hAnsi="宋体" w:cs="宋体"/>
          <w:color w:val="auto"/>
          <w:szCs w:val="21"/>
          <w:highlight w:val="none"/>
          <w:u w:val="single"/>
        </w:rPr>
        <w:t>11.2.9投标保证金缴纳证明资料（如采用投标保函或投标保证保险形式，且未在开标前提交纸质原件，也未以交易系统支持的电子保函或电子投标保证保险递交的，须提供该项资料）。</w:t>
      </w:r>
    </w:p>
    <w:p>
      <w:pPr>
        <w:pBdr>
          <w:bottom w:val="single" w:color="auto" w:sz="6" w:space="1"/>
        </w:pBdr>
        <w:spacing w:line="360" w:lineRule="auto"/>
        <w:ind w:firstLine="409" w:firstLineChars="195"/>
        <w:rPr>
          <w:rFonts w:ascii="宋体" w:hAnsi="宋体"/>
          <w:color w:val="auto"/>
          <w:szCs w:val="21"/>
          <w:highlight w:val="none"/>
        </w:rPr>
      </w:pPr>
      <w:r>
        <w:rPr>
          <w:rFonts w:hint="eastAsia" w:ascii="宋体" w:hAnsi="宋体" w:cs="宋体"/>
          <w:color w:val="auto"/>
          <w:szCs w:val="21"/>
          <w:highlight w:val="none"/>
          <w:u w:val="single"/>
        </w:rPr>
        <w:t>11.2.10投标人认为应提供的其他资料。</w:t>
      </w:r>
    </w:p>
    <w:p>
      <w:pP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条款号：11.3                      修改类型：修改</w:t>
      </w:r>
    </w:p>
    <w:p>
      <w:pPr>
        <w:spacing w:line="360" w:lineRule="auto"/>
        <w:ind w:firstLine="411" w:firstLineChars="195"/>
        <w:rPr>
          <w:rFonts w:ascii="宋体" w:hAnsi="宋体" w:cs="宋体"/>
          <w:bCs/>
          <w:color w:val="auto"/>
          <w:szCs w:val="21"/>
          <w:highlight w:val="none"/>
        </w:rPr>
      </w:pPr>
      <w:r>
        <w:rPr>
          <w:rFonts w:hint="eastAsia" w:ascii="宋体" w:hAnsi="宋体" w:cs="宋体"/>
          <w:b/>
          <w:bCs/>
          <w:color w:val="auto"/>
          <w:szCs w:val="21"/>
          <w:highlight w:val="none"/>
        </w:rPr>
        <w:t>原文：</w:t>
      </w:r>
    </w:p>
    <w:p>
      <w:pPr>
        <w:spacing w:line="360" w:lineRule="auto"/>
        <w:ind w:firstLine="409" w:firstLineChars="195"/>
        <w:rPr>
          <w:rFonts w:ascii="宋体" w:hAnsi="宋体" w:cs="宋体"/>
          <w:bCs/>
          <w:color w:val="auto"/>
          <w:szCs w:val="21"/>
          <w:highlight w:val="none"/>
        </w:rPr>
      </w:pPr>
      <w:r>
        <w:rPr>
          <w:rFonts w:hint="eastAsia" w:ascii="宋体" w:hAnsi="宋体" w:cs="宋体"/>
          <w:bCs/>
          <w:color w:val="auto"/>
          <w:szCs w:val="21"/>
          <w:highlight w:val="none"/>
        </w:rPr>
        <w:t>11.3</w:t>
      </w:r>
      <w:r>
        <w:rPr>
          <w:rFonts w:ascii="宋体" w:hAnsi="宋体" w:cs="宋体"/>
          <w:bCs/>
          <w:color w:val="auto"/>
          <w:szCs w:val="21"/>
          <w:highlight w:val="none"/>
        </w:rPr>
        <w:t xml:space="preserve"> </w:t>
      </w:r>
      <w:r>
        <w:rPr>
          <w:rFonts w:hint="eastAsia" w:ascii="宋体" w:hAnsi="宋体" w:cs="宋体"/>
          <w:bCs/>
          <w:color w:val="auto"/>
          <w:szCs w:val="21"/>
          <w:highlight w:val="none"/>
        </w:rPr>
        <w:t>经济部分投标文件主要包括下列内容：</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（1）投标总价封面、扉页；</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（2）总说明</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（9）综合单价分析表；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（11）暂列金额明细表；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（14）计日工表；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（15）总承包服务计价表；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pPr>
        <w:tabs>
          <w:tab w:val="left" w:pos="1125"/>
        </w:tabs>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pPr>
        <w:tabs>
          <w:tab w:val="left" w:pos="1125"/>
        </w:tabs>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现文：</w:t>
      </w:r>
    </w:p>
    <w:p>
      <w:pPr>
        <w:pBdr>
          <w:bottom w:val="single" w:color="auto" w:sz="6" w:space="1"/>
        </w:pBdr>
        <w:adjustRightInd w:val="0"/>
        <w:spacing w:line="360" w:lineRule="auto"/>
        <w:ind w:firstLine="409" w:firstLineChars="195"/>
        <w:textAlignment w:val="baseline"/>
        <w:rPr>
          <w:rFonts w:ascii="宋体" w:hAnsi="宋体" w:cs="宋体"/>
          <w:b/>
          <w:color w:val="auto"/>
          <w:szCs w:val="21"/>
          <w:highlight w:val="none"/>
        </w:rPr>
      </w:pPr>
      <w:r>
        <w:rPr>
          <w:rFonts w:hint="eastAsia" w:ascii="宋体" w:hAnsi="宋体" w:cs="宋体"/>
          <w:bCs/>
          <w:color w:val="auto"/>
          <w:szCs w:val="21"/>
          <w:highlight w:val="none"/>
        </w:rPr>
        <w:t>11.3</w:t>
      </w:r>
      <w:r>
        <w:rPr>
          <w:rFonts w:ascii="宋体" w:hAnsi="宋体" w:cs="宋体"/>
          <w:bCs/>
          <w:color w:val="auto"/>
          <w:szCs w:val="21"/>
          <w:highlight w:val="none"/>
        </w:rPr>
        <w:t xml:space="preserve"> </w:t>
      </w:r>
      <w:r>
        <w:rPr>
          <w:rFonts w:hint="eastAsia" w:ascii="宋体" w:hAnsi="宋体" w:cs="宋体"/>
          <w:bCs/>
          <w:color w:val="auto"/>
          <w:szCs w:val="21"/>
          <w:highlight w:val="none"/>
        </w:rPr>
        <w:t>经济部分投标文件主要包括下列内容：</w:t>
      </w:r>
    </w:p>
    <w:p>
      <w:pPr>
        <w:pBdr>
          <w:bottom w:val="single" w:color="auto" w:sz="6" w:space="1"/>
        </w:pBdr>
        <w:adjustRightInd w:val="0"/>
        <w:spacing w:line="360" w:lineRule="auto"/>
        <w:ind w:firstLine="409" w:firstLineChars="195"/>
        <w:textAlignment w:val="baseline"/>
        <w:rPr>
          <w:rFonts w:ascii="宋体" w:hAnsi="宋体" w:cs="宋体"/>
          <w:color w:val="auto"/>
          <w:szCs w:val="21"/>
          <w:highlight w:val="none"/>
          <w:u w:val="single"/>
        </w:rPr>
      </w:pPr>
      <w:r>
        <w:rPr>
          <w:rFonts w:hint="eastAsia" w:ascii="宋体" w:hAnsi="宋体" w:cs="宋体"/>
          <w:color w:val="auto"/>
          <w:szCs w:val="21"/>
          <w:highlight w:val="none"/>
        </w:rPr>
        <w:t>11.3.1</w:t>
      </w:r>
      <w:r>
        <w:rPr>
          <w:rFonts w:hint="eastAsia" w:ascii="宋体" w:hAnsi="宋体" w:cs="宋体"/>
          <w:color w:val="auto"/>
          <w:szCs w:val="21"/>
          <w:highlight w:val="none"/>
          <w:u w:val="single"/>
        </w:rPr>
        <w:t>广州建设工程施工招标投标书（经济标）</w:t>
      </w:r>
      <w:r>
        <w:rPr>
          <w:rFonts w:ascii="宋体" w:hAnsi="宋体" w:cs="宋体"/>
          <w:color w:val="auto"/>
          <w:szCs w:val="21"/>
          <w:highlight w:val="none"/>
          <w:u w:val="single"/>
        </w:rPr>
        <w:t>（格式见</w:t>
      </w:r>
      <w:r>
        <w:rPr>
          <w:rFonts w:hint="eastAsia" w:ascii="宋体" w:hAnsi="宋体" w:cs="宋体"/>
          <w:color w:val="auto"/>
          <w:szCs w:val="21"/>
          <w:highlight w:val="none"/>
          <w:u w:val="single"/>
        </w:rPr>
        <w:t>第四章，电子投标管理软件编制的“广州建设工程施工招标投标书”不作为否决投标的条件；</w:t>
      </w:r>
      <w:r>
        <w:rPr>
          <w:rFonts w:ascii="宋体" w:hAnsi="宋体" w:cs="宋体"/>
          <w:color w:val="auto"/>
          <w:szCs w:val="21"/>
          <w:highlight w:val="none"/>
          <w:u w:val="single"/>
        </w:rPr>
        <w:t>）</w:t>
      </w:r>
    </w:p>
    <w:p>
      <w:pPr>
        <w:pBdr>
          <w:bottom w:val="single" w:color="auto" w:sz="6" w:space="1"/>
        </w:pBdr>
        <w:adjustRightInd w:val="0"/>
        <w:spacing w:line="360" w:lineRule="auto"/>
        <w:ind w:firstLine="409" w:firstLineChars="195"/>
        <w:textAlignment w:val="baseline"/>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pBdr>
          <w:bottom w:val="single" w:color="auto" w:sz="6" w:space="1"/>
        </w:pBdr>
        <w:adjustRightInd w:val="0"/>
        <w:spacing w:line="360" w:lineRule="auto"/>
        <w:ind w:firstLine="409" w:firstLineChars="195"/>
        <w:textAlignment w:val="baseline"/>
        <w:rPr>
          <w:rFonts w:ascii="宋体" w:hAnsi="宋体" w:cs="宋体"/>
          <w:color w:val="auto"/>
          <w:szCs w:val="21"/>
          <w:highlight w:val="none"/>
        </w:rPr>
      </w:pPr>
      <w:r>
        <w:rPr>
          <w:rFonts w:hint="eastAsia" w:ascii="宋体" w:hAnsi="宋体" w:cs="宋体"/>
          <w:color w:val="auto"/>
          <w:szCs w:val="21"/>
          <w:highlight w:val="none"/>
        </w:rPr>
        <w:t>（1）投标总价封面、扉页；</w:t>
      </w:r>
    </w:p>
    <w:p>
      <w:pPr>
        <w:pBdr>
          <w:bottom w:val="single" w:color="auto" w:sz="6" w:space="1"/>
        </w:pBdr>
        <w:adjustRightInd w:val="0"/>
        <w:spacing w:line="360" w:lineRule="auto"/>
        <w:ind w:firstLine="409" w:firstLineChars="195"/>
        <w:textAlignment w:val="baseline"/>
        <w:rPr>
          <w:rFonts w:ascii="宋体" w:hAnsi="宋体" w:cs="宋体"/>
          <w:color w:val="auto"/>
          <w:szCs w:val="21"/>
          <w:highlight w:val="none"/>
        </w:rPr>
      </w:pPr>
      <w:r>
        <w:rPr>
          <w:rFonts w:hint="eastAsia" w:ascii="宋体" w:hAnsi="宋体" w:cs="宋体"/>
          <w:color w:val="auto"/>
          <w:szCs w:val="21"/>
          <w:highlight w:val="none"/>
        </w:rPr>
        <w:t>（2）总说明；</w:t>
      </w:r>
    </w:p>
    <w:p>
      <w:pPr>
        <w:pBdr>
          <w:bottom w:val="single" w:color="auto" w:sz="6" w:space="1"/>
        </w:pBdr>
        <w:adjustRightInd w:val="0"/>
        <w:spacing w:line="360" w:lineRule="auto"/>
        <w:ind w:firstLine="409" w:firstLineChars="195"/>
        <w:textAlignment w:val="baseline"/>
        <w:rPr>
          <w:rFonts w:ascii="宋体" w:hAnsi="宋体" w:cs="宋体"/>
          <w:b/>
          <w:color w:val="auto"/>
          <w:szCs w:val="21"/>
          <w:highlight w:val="none"/>
        </w:rPr>
      </w:pPr>
      <w:r>
        <w:rPr>
          <w:rFonts w:hint="eastAsia" w:ascii="宋体" w:hAnsi="宋体" w:cs="宋体"/>
          <w:color w:val="auto"/>
          <w:szCs w:val="21"/>
          <w:highlight w:val="none"/>
          <w:u w:val="single"/>
        </w:rPr>
        <w:t>（3）工程量清单报价表及综合单价分析表（相关表格的内容及格式要求以招标人发出的最新版电子招标文件中的相应内容及格式为准）；</w:t>
      </w:r>
    </w:p>
    <w:p>
      <w:pPr>
        <w:pBdr>
          <w:bottom w:val="single" w:color="auto" w:sz="6" w:space="1"/>
        </w:pBdr>
        <w:adjustRightInd w:val="0"/>
        <w:spacing w:line="360" w:lineRule="auto"/>
        <w:ind w:firstLine="409" w:firstLineChars="195"/>
        <w:textAlignment w:val="baseline"/>
        <w:rPr>
          <w:rFonts w:ascii="宋体" w:hAnsi="宋体" w:cs="宋体"/>
          <w:color w:val="auto"/>
          <w:szCs w:val="21"/>
          <w:highlight w:val="none"/>
        </w:rPr>
      </w:pPr>
      <w:r>
        <w:rPr>
          <w:rFonts w:hint="eastAsia" w:ascii="宋体" w:hAnsi="宋体" w:cs="宋体"/>
          <w:color w:val="auto"/>
          <w:szCs w:val="21"/>
          <w:highlight w:val="none"/>
          <w:u w:val="single"/>
        </w:rPr>
        <w:t>（4）其它辅助说明资料（包括但不限于招标文件要求填写的《对投标文件编制的承诺》（格式见第四章））</w:t>
      </w:r>
      <w:r>
        <w:rPr>
          <w:rFonts w:hint="eastAsia" w:ascii="宋体" w:hAnsi="宋体" w:cs="宋体"/>
          <w:color w:val="auto"/>
          <w:szCs w:val="21"/>
          <w:highlight w:val="none"/>
        </w:rPr>
        <w:t>。</w:t>
      </w:r>
    </w:p>
    <w:p>
      <w:pPr>
        <w:pBdr>
          <w:bottom w:val="single" w:color="auto" w:sz="6" w:space="1"/>
        </w:pBdr>
        <w:adjustRightInd w:val="0"/>
        <w:spacing w:line="360" w:lineRule="auto"/>
        <w:ind w:firstLine="409" w:firstLineChars="195"/>
        <w:textAlignment w:val="baseline"/>
        <w:rPr>
          <w:rFonts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r>
        <w:rPr>
          <w:rFonts w:hint="eastAsia" w:ascii="宋体" w:hAnsi="宋体" w:cs="宋体"/>
          <w:color w:val="auto"/>
          <w:szCs w:val="21"/>
          <w:highlight w:val="none"/>
          <w:u w:val="single"/>
        </w:rPr>
        <w:t>（格式见第四章）</w:t>
      </w:r>
      <w:r>
        <w:rPr>
          <w:rFonts w:hint="eastAsia" w:ascii="宋体" w:hAnsi="宋体" w:cs="宋体"/>
          <w:color w:val="auto"/>
          <w:szCs w:val="21"/>
          <w:highlight w:val="none"/>
        </w:rPr>
        <w:t>。</w:t>
      </w:r>
    </w:p>
    <w:p>
      <w:pPr>
        <w:pBdr>
          <w:bottom w:val="single" w:color="auto" w:sz="6" w:space="1"/>
        </w:pBdr>
        <w:adjustRightInd w:val="0"/>
        <w:spacing w:line="360" w:lineRule="auto"/>
        <w:ind w:firstLine="409" w:firstLineChars="195"/>
        <w:textAlignment w:val="baseline"/>
        <w:rPr>
          <w:rFonts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09" w:firstLineChars="195"/>
        <w:textAlignment w:val="baseline"/>
        <w:rPr>
          <w:rFonts w:ascii="宋体" w:hAnsi="宋体" w:cs="宋体"/>
          <w:color w:val="auto"/>
          <w:szCs w:val="21"/>
          <w:highlight w:val="none"/>
          <w:u w:val="single"/>
        </w:rPr>
      </w:pPr>
      <w:r>
        <w:rPr>
          <w:rFonts w:hint="eastAsia" w:ascii="宋体" w:hAnsi="宋体" w:cs="宋体"/>
          <w:color w:val="auto"/>
          <w:szCs w:val="21"/>
          <w:highlight w:val="none"/>
          <w:u w:val="single"/>
        </w:rPr>
        <w:t>11.3.5</w:t>
      </w:r>
      <w:r>
        <w:rPr>
          <w:rFonts w:hint="eastAsia" w:ascii="宋体" w:hAnsi="宋体" w:cs="宋体"/>
          <w:bCs/>
          <w:color w:val="auto"/>
          <w:szCs w:val="21"/>
          <w:highlight w:val="none"/>
          <w:u w:val="single"/>
        </w:rPr>
        <w:t>《对投标文件编制的承诺》（格式见第四章）</w:t>
      </w:r>
    </w:p>
    <w:p>
      <w:pPr>
        <w:pBdr>
          <w:bottom w:val="single" w:color="auto" w:sz="6" w:space="1"/>
        </w:pBdr>
        <w:adjustRightInd w:val="0"/>
        <w:spacing w:line="360" w:lineRule="auto"/>
        <w:ind w:firstLine="409" w:firstLineChars="195"/>
        <w:textAlignment w:val="baseline"/>
        <w:rPr>
          <w:rFonts w:ascii="宋体" w:hAnsi="宋体" w:cs="宋体"/>
          <w:color w:val="auto"/>
          <w:szCs w:val="21"/>
          <w:highlight w:val="none"/>
          <w:u w:val="single"/>
        </w:rPr>
      </w:pPr>
      <w:r>
        <w:rPr>
          <w:rFonts w:hint="eastAsia" w:ascii="宋体" w:hAnsi="宋体" w:cs="宋体"/>
          <w:color w:val="auto"/>
          <w:szCs w:val="21"/>
          <w:highlight w:val="none"/>
          <w:u w:val="single"/>
        </w:rPr>
        <w:t>11.3.6投标人认为应提供的其他资料。</w:t>
      </w:r>
    </w:p>
    <w:p>
      <w:pPr>
        <w:adjustRightInd w:val="0"/>
        <w:spacing w:line="360" w:lineRule="auto"/>
        <w:ind w:firstLine="411" w:firstLineChars="195"/>
        <w:textAlignment w:val="baseline"/>
        <w:rPr>
          <w:rFonts w:ascii="宋体" w:hAnsi="宋体" w:cs="宋体"/>
          <w:b/>
          <w:color w:val="auto"/>
          <w:szCs w:val="21"/>
          <w:highlight w:val="none"/>
        </w:rPr>
      </w:pPr>
    </w:p>
    <w:p>
      <w:pPr>
        <w:pStyle w:val="20"/>
        <w:rPr>
          <w:color w:val="auto"/>
          <w:highlight w:val="none"/>
        </w:rPr>
      </w:pPr>
    </w:p>
    <w:p>
      <w:pP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pP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Bdr>
          <w:bottom w:val="single" w:color="auto" w:sz="6" w:space="1"/>
        </w:pBdr>
        <w:adjustRightInd w:val="0"/>
        <w:spacing w:line="360" w:lineRule="auto"/>
        <w:ind w:firstLine="411" w:firstLineChars="195"/>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12.2投标文件全部采用电子文档，投标文件所附证书证件均为原件</w:t>
      </w:r>
      <w:r>
        <w:rPr>
          <w:rFonts w:hint="eastAsia" w:ascii="宋体" w:hAnsi="宋体" w:cs="宋体"/>
          <w:color w:val="auto"/>
          <w:szCs w:val="21"/>
          <w:highlight w:val="none"/>
          <w:u w:val="single"/>
        </w:rPr>
        <w:t>清晰</w:t>
      </w:r>
      <w:r>
        <w:rPr>
          <w:rFonts w:hint="eastAsia" w:ascii="宋体" w:hAnsi="宋体" w:cs="宋体"/>
          <w:color w:val="auto"/>
          <w:szCs w:val="21"/>
          <w:highlight w:val="none"/>
        </w:rPr>
        <w:t>扫描件，并采用单位数字证书，按招标文件要求在相应位置加盖电子印章。投标文件中需个人签字或盖章的，应在线下完成后扫描上传。按照</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广州公共资源交易中心网站最新指引</w:t>
      </w:r>
      <w:r>
        <w:rPr>
          <w:rFonts w:hint="eastAsia" w:ascii="宋体" w:hAnsi="宋体" w:cs="宋体"/>
          <w:color w:val="auto"/>
          <w:szCs w:val="21"/>
          <w:highlight w:val="none"/>
        </w:rPr>
        <w:t>。</w:t>
      </w:r>
    </w:p>
    <w:p>
      <w:pPr>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pPr>
        <w:spacing w:line="360" w:lineRule="auto"/>
        <w:ind w:firstLine="411" w:firstLineChars="195"/>
        <w:textAlignment w:val="baseline"/>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12.3投标文件应按照交易平台关于全流程电子化项目的相关指南进行编制，详见：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09" w:firstLineChars="195"/>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p>
    <w:p>
      <w:pPr>
        <w:pBdr>
          <w:bottom w:val="single" w:color="auto" w:sz="6" w:space="1"/>
        </w:pBdr>
        <w:spacing w:line="360" w:lineRule="auto"/>
        <w:ind w:firstLine="411" w:firstLineChars="195"/>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color w:val="auto"/>
          <w:szCs w:val="21"/>
          <w:highlight w:val="none"/>
          <w:u w:val="single"/>
        </w:rPr>
        <w:t>广州公共资源交易中心网站最新指引</w:t>
      </w:r>
      <w:r>
        <w:rPr>
          <w:rFonts w:hint="eastAsia" w:ascii="宋体" w:hAnsi="宋体" w:cs="宋体"/>
          <w:color w:val="auto"/>
          <w:szCs w:val="21"/>
          <w:highlight w:val="none"/>
        </w:rPr>
        <w:t>。</w:t>
      </w:r>
    </w:p>
    <w:p>
      <w:pPr>
        <w:pBdr>
          <w:bottom w:val="single" w:color="auto" w:sz="6" w:space="1"/>
        </w:pBdr>
        <w:spacing w:line="360" w:lineRule="auto"/>
        <w:ind w:firstLine="409" w:firstLineChars="195"/>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pPr>
        <w:pBdr>
          <w:bottom w:val="single" w:color="auto" w:sz="6" w:space="1"/>
        </w:pBdr>
        <w:spacing w:line="360" w:lineRule="auto"/>
        <w:ind w:firstLine="411" w:firstLineChars="195"/>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pPr>
        <w:pStyle w:val="2"/>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411" w:firstLineChars="195"/>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措施费合同另有约定的，按合同约定）。</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条款号：13.5                        修改类型：修改</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auto" w:sz="6" w:space="1"/>
        </w:pBd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13.5.1中标的投标文件工程量清单中已有相同项目的适用综合单价，则沿用；</w:t>
      </w:r>
    </w:p>
    <w:p>
      <w:pPr>
        <w:pBdr>
          <w:bottom w:val="single" w:color="auto" w:sz="6" w:space="1"/>
        </w:pBd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auto" w:sz="6" w:space="1"/>
        </w:pBd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pPr>
        <w:pBdr>
          <w:bottom w:val="single" w:color="auto" w:sz="6" w:space="1"/>
        </w:pBdr>
        <w:spacing w:line="360" w:lineRule="auto"/>
        <w:ind w:firstLine="409" w:firstLineChars="195"/>
        <w:rPr>
          <w:rFonts w:ascii="宋体" w:hAnsi="宋体" w:cs="宋体"/>
          <w:color w:val="auto"/>
          <w:szCs w:val="21"/>
          <w:highlight w:val="none"/>
          <w:u w:val="singl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条款号：13.6.2                      修改类型：修改</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cs="宋体"/>
          <w:color w:val="auto"/>
          <w:szCs w:val="21"/>
          <w:highlight w:val="none"/>
          <w:u w:val="single"/>
        </w:rPr>
        <w:t>应由招标人招标确定承包人和承包价格。</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条款号：13.6.4                      修改类型：修改</w:t>
      </w:r>
    </w:p>
    <w:p>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2"/>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auto"/>
          <w:sz w:val="21"/>
          <w:szCs w:val="21"/>
          <w:highlight w:val="none"/>
          <w:u w:val="single"/>
        </w:rPr>
        <w:t>经发包人同意，</w:t>
      </w:r>
      <w:r>
        <w:rPr>
          <w:rFonts w:hint="eastAsia" w:ascii="宋体" w:hAnsi="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条款号：13.9                         修改类型：修改</w:t>
      </w:r>
    </w:p>
    <w:p>
      <w:pPr>
        <w:pStyle w:val="2"/>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Bdr>
          <w:bottom w:val="single" w:color="auto" w:sz="6" w:space="1"/>
        </w:pBdr>
        <w:spacing w:line="360" w:lineRule="auto"/>
        <w:ind w:firstLine="413" w:firstLineChars="196"/>
        <w:rPr>
          <w:rFonts w:ascii="宋体" w:hAnsi="宋体" w:cs="宋体"/>
          <w:color w:val="auto"/>
          <w:kern w:val="0"/>
          <w:szCs w:val="21"/>
          <w:highlight w:val="none"/>
        </w:rPr>
      </w:pPr>
      <w:r>
        <w:rPr>
          <w:rFonts w:hint="eastAsia" w:ascii="宋体" w:hAnsi="宋体" w:cs="宋体"/>
          <w:b/>
          <w:color w:val="auto"/>
          <w:szCs w:val="21"/>
          <w:highlight w:val="none"/>
        </w:rPr>
        <w:t>现文：</w:t>
      </w:r>
      <w:r>
        <w:rPr>
          <w:rFonts w:hint="eastAsia" w:ascii="宋体" w:hAnsi="宋体" w:cs="宋体"/>
          <w:color w:val="auto"/>
          <w:kern w:val="0"/>
          <w:szCs w:val="21"/>
          <w:highlight w:val="none"/>
        </w:rPr>
        <w:t>13.9招标人与中标人应本着实事求是、风险共担的原则，充分考虑施工合同履行期间人工、建筑材料、机械设备价格因素的影响。应结合合同工期、各价格因素对工程总造价的影响等，合理约定调价机制。调价机制</w:t>
      </w:r>
      <w:r>
        <w:rPr>
          <w:rFonts w:hint="eastAsia" w:ascii="宋体" w:hAnsi="宋体" w:cs="宋体"/>
          <w:color w:val="auto"/>
          <w:kern w:val="0"/>
          <w:szCs w:val="21"/>
          <w:highlight w:val="none"/>
          <w:u w:val="single"/>
        </w:rPr>
        <w:t>按照《施工合同》相应条款调整。</w:t>
      </w:r>
    </w:p>
    <w:p>
      <w:pPr>
        <w:pStyle w:val="2"/>
        <w:spacing w:after="0" w:line="360" w:lineRule="auto"/>
        <w:ind w:firstLine="388" w:firstLineChars="193"/>
        <w:rPr>
          <w:rFonts w:ascii="宋体" w:hAnsi="宋体"/>
          <w:color w:val="auto"/>
          <w:szCs w:val="21"/>
          <w:highlight w:val="none"/>
        </w:rPr>
      </w:pPr>
      <w:r>
        <w:rPr>
          <w:rFonts w:hint="eastAsia" w:ascii="宋体" w:hAnsi="宋体" w:cs="宋体"/>
          <w:b/>
          <w:color w:val="auto"/>
          <w:szCs w:val="21"/>
          <w:highlight w:val="none"/>
        </w:rPr>
        <w:t>条款号：13.10                         修改类型：增加</w:t>
      </w:r>
    </w:p>
    <w:p>
      <w:pPr>
        <w:spacing w:line="360" w:lineRule="auto"/>
        <w:ind w:firstLine="407" w:firstLineChars="193"/>
        <w:rPr>
          <w:rFonts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13.10工程量清单报价中有关问题的说明：</w:t>
      </w:r>
    </w:p>
    <w:p>
      <w:pPr>
        <w:spacing w:line="360" w:lineRule="auto"/>
        <w:ind w:firstLine="405" w:firstLineChars="193"/>
        <w:rPr>
          <w:rFonts w:ascii="宋体" w:hAnsi="宋体" w:cs="宋体"/>
          <w:bCs/>
          <w:color w:val="auto"/>
          <w:szCs w:val="21"/>
          <w:highlight w:val="none"/>
          <w:u w:val="single"/>
        </w:rPr>
      </w:pPr>
      <w:r>
        <w:rPr>
          <w:rFonts w:hint="eastAsia" w:ascii="宋体" w:hAnsi="宋体" w:cs="宋体"/>
          <w:bCs/>
          <w:color w:val="auto"/>
          <w:szCs w:val="21"/>
          <w:highlight w:val="none"/>
          <w:u w:val="single"/>
        </w:rPr>
        <w:t>①投标人自行踏勘现场，投标时,土方的弃运距离自行考虑，实行综合单价包干。实际施工过程中施工单位需自行考虑建筑垃圾等外运距离，无论实际外运距离为多少，结算时均不做调整；</w:t>
      </w:r>
    </w:p>
    <w:p>
      <w:pPr>
        <w:pBdr>
          <w:bottom w:val="single" w:color="auto" w:sz="4" w:space="0"/>
        </w:pBdr>
        <w:spacing w:line="360" w:lineRule="auto"/>
        <w:ind w:firstLine="405" w:firstLineChars="193"/>
        <w:rPr>
          <w:rFonts w:ascii="宋体" w:hAnsi="宋体"/>
          <w:color w:val="auto"/>
          <w:szCs w:val="21"/>
          <w:highlight w:val="none"/>
        </w:rPr>
      </w:pPr>
      <w:r>
        <w:rPr>
          <w:rFonts w:hint="eastAsia" w:ascii="宋体" w:hAnsi="宋体" w:cs="宋体"/>
          <w:bCs/>
          <w:color w:val="auto"/>
          <w:szCs w:val="21"/>
          <w:highlight w:val="none"/>
          <w:u w:val="single"/>
        </w:rPr>
        <w:t>②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最高投标限价）中的绿色施工安全防护措施费计取，作为非竞争费用，在投标报价中单列，不参与投标竞价，该费用从工程施工中标价中提取，专款专用。</w:t>
      </w:r>
    </w:p>
    <w:p>
      <w:pPr>
        <w:pStyle w:val="2"/>
        <w:spacing w:after="0" w:line="360" w:lineRule="auto"/>
        <w:ind w:firstLine="424" w:firstLineChars="201"/>
        <w:rPr>
          <w:rFonts w:ascii="宋体" w:hAnsi="宋体"/>
          <w:b/>
          <w:color w:val="auto"/>
          <w:sz w:val="21"/>
          <w:szCs w:val="21"/>
          <w:highlight w:val="none"/>
        </w:rPr>
      </w:pPr>
      <w:r>
        <w:rPr>
          <w:rFonts w:hint="eastAsia" w:ascii="宋体" w:hAnsi="宋体"/>
          <w:b/>
          <w:color w:val="auto"/>
          <w:sz w:val="21"/>
          <w:szCs w:val="21"/>
          <w:highlight w:val="none"/>
        </w:rPr>
        <w:t>条款号：13.11                          修改类型：增加</w:t>
      </w:r>
    </w:p>
    <w:p>
      <w:pPr>
        <w:pStyle w:val="2"/>
        <w:pBdr>
          <w:bottom w:val="single" w:color="auto" w:sz="6" w:space="1"/>
        </w:pBdr>
        <w:spacing w:after="0" w:line="360" w:lineRule="auto"/>
        <w:ind w:firstLine="424" w:firstLineChars="201"/>
        <w:rPr>
          <w:rFonts w:ascii="宋体" w:hAnsi="宋体"/>
          <w:color w:val="auto"/>
          <w:szCs w:val="21"/>
          <w:highlight w:val="none"/>
        </w:rPr>
      </w:pPr>
      <w:r>
        <w:rPr>
          <w:rFonts w:hint="eastAsia" w:ascii="宋体" w:hAnsi="宋体"/>
          <w:b/>
          <w:color w:val="auto"/>
          <w:sz w:val="21"/>
          <w:szCs w:val="21"/>
          <w:highlight w:val="none"/>
        </w:rPr>
        <w:t>现文：</w:t>
      </w:r>
      <w:r>
        <w:rPr>
          <w:rFonts w:hint="eastAsia" w:ascii="宋体" w:hAnsi="宋体"/>
          <w:color w:val="auto"/>
          <w:sz w:val="21"/>
          <w:szCs w:val="21"/>
          <w:highlight w:val="none"/>
          <w:u w:val="single"/>
        </w:rPr>
        <w:t>13.11中标人应对当地现有的交通道路状况进行充分调查，充分考虑该路段的交通疏导问题和文明施工，制定可行的交通疏导（包括场内和场外）方案，确保原有道路的交通畅通和施工临时排水的通畅，并符合施工环保要求。中标人应与交警及公路管理部门协商，取得同意和协助，并负责承担道路改线或改善和其他费用。相关费用计入措施项目费中，结算时按发包人批准的实施方案，按合同约定结算。如果中标人不及时按要求设置，发包人可以另行委托实施。发包人按实际发生的费用在工程款中扣除，中标人不得有任何异议。</w:t>
      </w:r>
    </w:p>
    <w:p>
      <w:pPr>
        <w:pStyle w:val="2"/>
        <w:spacing w:after="0" w:line="360" w:lineRule="auto"/>
        <w:ind w:firstLine="424" w:firstLineChars="201"/>
        <w:rPr>
          <w:rFonts w:ascii="宋体" w:hAnsi="宋体"/>
          <w:b/>
          <w:color w:val="auto"/>
          <w:sz w:val="21"/>
          <w:szCs w:val="21"/>
          <w:highlight w:val="none"/>
        </w:rPr>
      </w:pPr>
      <w:r>
        <w:rPr>
          <w:rFonts w:hint="eastAsia" w:ascii="宋体" w:hAnsi="宋体"/>
          <w:b/>
          <w:color w:val="auto"/>
          <w:sz w:val="21"/>
          <w:szCs w:val="21"/>
          <w:highlight w:val="none"/>
        </w:rPr>
        <w:t>条款号：13.12                          修改类型：增加</w:t>
      </w:r>
    </w:p>
    <w:p>
      <w:pPr>
        <w:pStyle w:val="2"/>
        <w:pBdr>
          <w:bottom w:val="single" w:color="auto" w:sz="6" w:space="1"/>
        </w:pBdr>
        <w:spacing w:after="0" w:line="360" w:lineRule="auto"/>
        <w:ind w:firstLine="424" w:firstLineChars="201"/>
        <w:rPr>
          <w:rFonts w:ascii="宋体" w:hAnsi="宋体"/>
          <w:color w:val="auto"/>
          <w:szCs w:val="21"/>
          <w:highlight w:val="none"/>
        </w:rPr>
      </w:pPr>
      <w:r>
        <w:rPr>
          <w:rFonts w:hint="eastAsia" w:ascii="宋体" w:hAnsi="宋体"/>
          <w:b/>
          <w:color w:val="auto"/>
          <w:sz w:val="21"/>
          <w:szCs w:val="21"/>
          <w:highlight w:val="none"/>
        </w:rPr>
        <w:t>现文：</w:t>
      </w:r>
      <w:r>
        <w:rPr>
          <w:rFonts w:hint="eastAsia" w:ascii="宋体" w:hAnsi="宋体"/>
          <w:color w:val="auto"/>
          <w:sz w:val="21"/>
          <w:szCs w:val="21"/>
          <w:highlight w:val="none"/>
          <w:u w:val="single"/>
        </w:rPr>
        <w:t>13.12中标人应加强周边学校、居民住宅的环境保护，制定绿色施工安全防护措施（包括防尘、防噪音、施工围蔽等），施工现场严格按照《广州市建设工程文明施工管理规定》（广州市人民政府令第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2018〕1008号）、《广州市建设工程绿色施工围蔽指导图集（V2.0版）的通知》(穂建质〔2020〕1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文件规定的，按新规定执行。如中标人未及时按要求做好围蔽、落实工地扬尘防治等绿色施工安全防护措施，业主可另行委托单位实施，业主在工程款中扣减相应措施费用。中标人应当在项目施工前编制扬尘污染防治专项方案和扬尘污染防治费用使用计划，明确扬尘控制目标、防治部位、控制措施，并将扬尘污染防治费用专项使用。</w:t>
      </w:r>
    </w:p>
    <w:p>
      <w:pPr>
        <w:pStyle w:val="2"/>
        <w:spacing w:after="0" w:line="360" w:lineRule="auto"/>
        <w:ind w:firstLine="424" w:firstLineChars="201"/>
        <w:rPr>
          <w:rFonts w:ascii="宋体" w:hAnsi="宋体"/>
          <w:b/>
          <w:color w:val="auto"/>
          <w:sz w:val="21"/>
          <w:szCs w:val="21"/>
          <w:highlight w:val="none"/>
        </w:rPr>
      </w:pPr>
      <w:r>
        <w:rPr>
          <w:rFonts w:hint="eastAsia" w:ascii="宋体" w:hAnsi="宋体"/>
          <w:b/>
          <w:color w:val="auto"/>
          <w:sz w:val="21"/>
          <w:szCs w:val="21"/>
          <w:highlight w:val="none"/>
        </w:rPr>
        <w:t>条款号：13.13                            修改类型：增加</w:t>
      </w:r>
    </w:p>
    <w:p>
      <w:pPr>
        <w:pStyle w:val="2"/>
        <w:pBdr>
          <w:bottom w:val="single" w:color="auto" w:sz="6" w:space="1"/>
        </w:pBdr>
        <w:spacing w:after="0" w:line="360" w:lineRule="auto"/>
        <w:ind w:firstLine="424" w:firstLineChars="201"/>
        <w:rPr>
          <w:rFonts w:ascii="宋体" w:hAnsi="宋体"/>
          <w:color w:val="auto"/>
          <w:sz w:val="21"/>
          <w:szCs w:val="21"/>
          <w:highlight w:val="none"/>
        </w:rPr>
      </w:pPr>
      <w:r>
        <w:rPr>
          <w:rFonts w:hint="eastAsia" w:ascii="宋体" w:hAnsi="宋体"/>
          <w:b/>
          <w:color w:val="auto"/>
          <w:sz w:val="21"/>
          <w:szCs w:val="21"/>
          <w:highlight w:val="none"/>
        </w:rPr>
        <w:t>现文：</w:t>
      </w:r>
      <w:r>
        <w:rPr>
          <w:rFonts w:hint="eastAsia" w:ascii="宋体" w:hAnsi="宋体"/>
          <w:color w:val="auto"/>
          <w:sz w:val="21"/>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在措施项目费中设有独立单项项目，该费用包干使用，且中标人不得以任何理由要求发包人另行增加该部分费用（中标人要充分考虑最不利因素影响而采用的施工方案所需的费用）。</w:t>
      </w:r>
    </w:p>
    <w:p>
      <w:pPr>
        <w:pStyle w:val="2"/>
        <w:spacing w:after="0" w:line="360" w:lineRule="auto"/>
        <w:ind w:firstLine="424" w:firstLineChars="201"/>
        <w:rPr>
          <w:rFonts w:ascii="宋体" w:hAnsi="宋体"/>
          <w:b/>
          <w:color w:val="auto"/>
          <w:sz w:val="21"/>
          <w:szCs w:val="21"/>
          <w:highlight w:val="none"/>
        </w:rPr>
      </w:pPr>
      <w:r>
        <w:rPr>
          <w:rFonts w:hint="eastAsia" w:ascii="宋体" w:hAnsi="宋体"/>
          <w:b/>
          <w:color w:val="auto"/>
          <w:sz w:val="21"/>
          <w:szCs w:val="21"/>
          <w:highlight w:val="none"/>
        </w:rPr>
        <w:t>条款号：13.14                             修改类型：增加</w:t>
      </w:r>
    </w:p>
    <w:p>
      <w:pPr>
        <w:pStyle w:val="2"/>
        <w:pBdr>
          <w:bottom w:val="single" w:color="auto" w:sz="6" w:space="1"/>
        </w:pBdr>
        <w:spacing w:after="0" w:line="360" w:lineRule="auto"/>
        <w:ind w:firstLine="424" w:firstLineChars="201"/>
        <w:rPr>
          <w:rFonts w:ascii="宋体" w:hAnsi="宋体"/>
          <w:color w:val="auto"/>
          <w:sz w:val="21"/>
          <w:szCs w:val="21"/>
          <w:highlight w:val="none"/>
        </w:rPr>
      </w:pPr>
      <w:r>
        <w:rPr>
          <w:rFonts w:hint="eastAsia" w:ascii="宋体" w:hAnsi="宋体"/>
          <w:b/>
          <w:color w:val="auto"/>
          <w:sz w:val="21"/>
          <w:szCs w:val="21"/>
          <w:highlight w:val="none"/>
        </w:rPr>
        <w:t>现文：</w:t>
      </w:r>
      <w:r>
        <w:rPr>
          <w:rFonts w:hint="eastAsia" w:ascii="宋体" w:hAnsi="宋体"/>
          <w:color w:val="auto"/>
          <w:sz w:val="21"/>
          <w:szCs w:val="21"/>
          <w:highlight w:val="none"/>
          <w:u w:val="single"/>
        </w:rPr>
        <w:t>13.14中标人应结合本工程招标内容对现场进行充分的调查，充分考虑工程招标内容及施工组织方案，中标人应与相关管理部门（如铁路管理部门）协商，取得同意协调，按要求完成工程招标内容，工程及相关费用包含在合同价中，不另行计费。如果中标人不及时按要求完成，发包人可以另行委托实施，发包人按实际发生的费用在工程款中扣除，中标人不得有任何异议。</w:t>
      </w:r>
    </w:p>
    <w:p>
      <w:pPr>
        <w:pStyle w:val="2"/>
        <w:spacing w:after="0" w:line="360" w:lineRule="auto"/>
        <w:ind w:firstLine="424" w:firstLineChars="201"/>
        <w:rPr>
          <w:rFonts w:ascii="宋体" w:hAnsi="宋体"/>
          <w:b/>
          <w:color w:val="auto"/>
          <w:sz w:val="21"/>
          <w:szCs w:val="21"/>
          <w:highlight w:val="none"/>
        </w:rPr>
      </w:pPr>
      <w:r>
        <w:rPr>
          <w:rFonts w:hint="eastAsia" w:ascii="宋体" w:hAnsi="宋体"/>
          <w:b/>
          <w:color w:val="auto"/>
          <w:sz w:val="21"/>
          <w:szCs w:val="21"/>
          <w:highlight w:val="none"/>
        </w:rPr>
        <w:t>条款号：13.15                             修改类型：增加</w:t>
      </w:r>
    </w:p>
    <w:p>
      <w:pPr>
        <w:pStyle w:val="2"/>
        <w:pBdr>
          <w:bottom w:val="single" w:color="auto" w:sz="6" w:space="1"/>
        </w:pBdr>
        <w:spacing w:after="0" w:line="360" w:lineRule="auto"/>
        <w:ind w:firstLine="424" w:firstLineChars="201"/>
        <w:rPr>
          <w:rFonts w:ascii="宋体" w:hAnsi="宋体"/>
          <w:color w:val="auto"/>
          <w:sz w:val="21"/>
          <w:szCs w:val="21"/>
          <w:highlight w:val="none"/>
          <w:u w:val="single"/>
        </w:rPr>
      </w:pPr>
      <w:r>
        <w:rPr>
          <w:rFonts w:hint="eastAsia" w:ascii="宋体" w:hAnsi="宋体"/>
          <w:b/>
          <w:color w:val="auto"/>
          <w:sz w:val="21"/>
          <w:szCs w:val="21"/>
          <w:highlight w:val="none"/>
        </w:rPr>
        <w:t>现文：</w:t>
      </w:r>
      <w:r>
        <w:rPr>
          <w:rFonts w:hint="eastAsia" w:ascii="宋体" w:hAnsi="宋体"/>
          <w:color w:val="auto"/>
          <w:sz w:val="21"/>
          <w:szCs w:val="21"/>
          <w:highlight w:val="none"/>
          <w:u w:val="single"/>
        </w:rPr>
        <w:t>13.15中标人应根据区相关主管部门批复的水土保持实施方案及相关规定完成本工程的水土保持工作，承担防止水土流失职责，相关费用包含在合同价中，不另行计费。如果中标人不及时按要求完成上述工作，发包人可以另行委托实施，发包人按实际发生的费用在工程款中扣除，中标人不得有任何异议。</w:t>
      </w:r>
    </w:p>
    <w:p>
      <w:pPr>
        <w:pStyle w:val="2"/>
        <w:spacing w:after="0" w:line="360" w:lineRule="auto"/>
        <w:ind w:firstLine="424" w:firstLineChars="201"/>
        <w:rPr>
          <w:rFonts w:ascii="宋体" w:hAnsi="宋体"/>
          <w:b/>
          <w:color w:val="auto"/>
          <w:sz w:val="21"/>
          <w:szCs w:val="21"/>
          <w:highlight w:val="none"/>
        </w:rPr>
      </w:pPr>
      <w:r>
        <w:rPr>
          <w:rFonts w:hint="eastAsia" w:ascii="宋体" w:hAnsi="宋体"/>
          <w:b/>
          <w:color w:val="auto"/>
          <w:sz w:val="21"/>
          <w:szCs w:val="21"/>
          <w:highlight w:val="none"/>
        </w:rPr>
        <w:t>条款号：13.16                              修改类型：增加</w:t>
      </w:r>
    </w:p>
    <w:p>
      <w:pPr>
        <w:pStyle w:val="2"/>
        <w:pBdr>
          <w:bottom w:val="single" w:color="auto" w:sz="6" w:space="1"/>
        </w:pBdr>
        <w:spacing w:after="0" w:line="360" w:lineRule="auto"/>
        <w:ind w:firstLine="424" w:firstLineChars="201"/>
        <w:rPr>
          <w:rFonts w:ascii="宋体" w:hAnsi="宋体"/>
          <w:color w:val="auto"/>
          <w:sz w:val="21"/>
          <w:szCs w:val="21"/>
          <w:highlight w:val="none"/>
          <w:u w:val="single"/>
        </w:rPr>
      </w:pPr>
      <w:r>
        <w:rPr>
          <w:rFonts w:hint="eastAsia" w:ascii="宋体" w:hAnsi="宋体"/>
          <w:b/>
          <w:color w:val="auto"/>
          <w:sz w:val="21"/>
          <w:szCs w:val="21"/>
          <w:highlight w:val="none"/>
        </w:rPr>
        <w:t>现文：</w:t>
      </w:r>
      <w:r>
        <w:rPr>
          <w:rFonts w:hint="eastAsia" w:ascii="宋体" w:hAnsi="宋体"/>
          <w:color w:val="auto"/>
          <w:sz w:val="21"/>
          <w:szCs w:val="21"/>
          <w:highlight w:val="none"/>
          <w:u w:val="single"/>
        </w:rPr>
        <w:t>13.16中标人应使用绿色生产达标企业生产的混凝土，若不遵守承诺，自愿按不履行合同约定处理。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条款号：13.17                              修改类型：增加</w:t>
      </w:r>
    </w:p>
    <w:p>
      <w:pPr>
        <w:pBdr>
          <w:bottom w:val="single" w:color="auto" w:sz="6" w:space="1"/>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13.17中标人应按有关规定协助发包人完成公共排水设施竣工图纸备案工作。</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条款号：13.18                              修改类型：增加</w:t>
      </w:r>
    </w:p>
    <w:p>
      <w:pPr>
        <w:pStyle w:val="2"/>
        <w:pBdr>
          <w:bottom w:val="single" w:color="auto" w:sz="6" w:space="1"/>
        </w:pBdr>
        <w:spacing w:after="0" w:line="360" w:lineRule="auto"/>
        <w:ind w:firstLine="424" w:firstLineChars="201"/>
        <w:rPr>
          <w:rFonts w:ascii="宋体" w:hAnsi="宋体"/>
          <w:b/>
          <w:color w:val="auto"/>
          <w:sz w:val="21"/>
          <w:szCs w:val="21"/>
          <w:highlight w:val="none"/>
        </w:rPr>
      </w:pPr>
      <w:r>
        <w:rPr>
          <w:rFonts w:hint="eastAsia" w:ascii="宋体" w:hAnsi="宋体" w:cs="宋体"/>
          <w:b/>
          <w:color w:val="auto"/>
          <w:sz w:val="21"/>
          <w:szCs w:val="21"/>
          <w:highlight w:val="none"/>
        </w:rPr>
        <w:t>现文：</w:t>
      </w:r>
      <w:r>
        <w:rPr>
          <w:rFonts w:ascii="宋体" w:hAnsi="宋体" w:cs="宋体"/>
          <w:color w:val="auto"/>
          <w:sz w:val="21"/>
          <w:szCs w:val="21"/>
          <w:highlight w:val="none"/>
          <w:u w:val="single"/>
        </w:rPr>
        <w:t>13.18为保证工程款专款专用和合理使用，本项目建安工程预付款（扣除工人工资款项，以下简称“工程预付款”）采用共管方式支出，在经由招标人、中标人</w:t>
      </w:r>
      <w:r>
        <w:rPr>
          <w:rFonts w:hint="eastAsia" w:ascii="宋体" w:hAnsi="宋体" w:cs="宋体"/>
          <w:color w:val="auto"/>
          <w:sz w:val="21"/>
          <w:szCs w:val="21"/>
          <w:highlight w:val="none"/>
          <w:u w:val="single"/>
        </w:rPr>
        <w:t>双</w:t>
      </w:r>
      <w:r>
        <w:rPr>
          <w:rFonts w:ascii="宋体" w:hAnsi="宋体" w:cs="宋体"/>
          <w:color w:val="auto"/>
          <w:sz w:val="21"/>
          <w:szCs w:val="21"/>
          <w:highlight w:val="none"/>
          <w:u w:val="single"/>
        </w:rPr>
        <w:t>方协商一致后选择的银行设立招标人、中标人、银行三方共管银行账户，专用于本项目工程预付款的收支。招标人按施工合同约定支付的工程预付款应直接支付至该账户并专款专用。具体实施方式按</w:t>
      </w:r>
      <w:r>
        <w:rPr>
          <w:rFonts w:hint="eastAsia" w:ascii="宋体" w:hAnsi="宋体" w:cs="宋体"/>
          <w:color w:val="auto"/>
          <w:sz w:val="21"/>
          <w:szCs w:val="21"/>
          <w:highlight w:val="none"/>
          <w:u w:val="single"/>
        </w:rPr>
        <w:t>招标人的</w:t>
      </w:r>
      <w:r>
        <w:rPr>
          <w:rFonts w:ascii="宋体" w:hAnsi="宋体" w:cs="宋体"/>
          <w:color w:val="auto"/>
          <w:sz w:val="21"/>
          <w:szCs w:val="21"/>
          <w:highlight w:val="none"/>
          <w:u w:val="single"/>
        </w:rPr>
        <w:t>《共管工程款使用监管办法》及各方另行签订的《工程资金共管协议》执行。工程预付款中的工人工资部分，仍按施工合同关于工人工资支付及管理的约定执行。</w:t>
      </w:r>
    </w:p>
    <w:p>
      <w:pPr>
        <w:pStyle w:val="2"/>
        <w:spacing w:after="0" w:line="360" w:lineRule="auto"/>
        <w:ind w:firstLine="424" w:firstLineChars="201"/>
        <w:rPr>
          <w:rFonts w:ascii="宋体" w:hAnsi="宋体"/>
          <w:b/>
          <w:color w:val="auto"/>
          <w:sz w:val="21"/>
          <w:szCs w:val="21"/>
          <w:highlight w:val="none"/>
        </w:rPr>
      </w:pPr>
    </w:p>
    <w:p>
      <w:pPr>
        <w:spacing w:line="360" w:lineRule="auto"/>
        <w:ind w:firstLine="422" w:firstLineChars="200"/>
        <w:rPr>
          <w:rFonts w:ascii="Times New Roman" w:hAnsi="Times New Roman"/>
          <w:color w:val="auto"/>
          <w:highlight w:val="none"/>
        </w:rPr>
      </w:pPr>
      <w:r>
        <w:rPr>
          <w:rFonts w:ascii="宋体" w:hAnsi="宋体"/>
          <w:b/>
          <w:color w:val="auto"/>
          <w:szCs w:val="21"/>
          <w:highlight w:val="none"/>
        </w:rPr>
        <w:t>条款号：16.1</w:t>
      </w:r>
      <w:r>
        <w:rPr>
          <w:rFonts w:hint="eastAsia" w:ascii="宋体" w:hAnsi="宋体" w:cs="宋体"/>
          <w:b/>
          <w:color w:val="auto"/>
          <w:szCs w:val="21"/>
          <w:highlight w:val="none"/>
        </w:rPr>
        <w:t xml:space="preserve">                        </w:t>
      </w:r>
      <w:r>
        <w:rPr>
          <w:rFonts w:ascii="宋体" w:hAnsi="宋体"/>
          <w:b/>
          <w:color w:val="auto"/>
          <w:szCs w:val="21"/>
          <w:highlight w:val="none"/>
        </w:rPr>
        <w:t>修改类型：修改</w:t>
      </w:r>
    </w:p>
    <w:p>
      <w:pPr>
        <w:pBdr>
          <w:bottom w:val="single" w:color="auto" w:sz="6" w:space="1"/>
        </w:pBdr>
        <w:spacing w:line="360" w:lineRule="auto"/>
        <w:ind w:firstLine="422" w:firstLineChars="200"/>
        <w:rPr>
          <w:rFonts w:ascii="宋体" w:hAnsi="宋体" w:cs="宋体"/>
          <w:b/>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pBdr>
          <w:bottom w:val="single" w:color="auto" w:sz="6" w:space="1"/>
        </w:pBdr>
        <w:spacing w:line="360" w:lineRule="auto"/>
        <w:ind w:firstLine="424" w:firstLineChars="201"/>
        <w:rPr>
          <w:rFonts w:ascii="宋体" w:hAnsi="宋体"/>
          <w:color w:val="auto"/>
          <w:szCs w:val="21"/>
          <w:highlight w:val="none"/>
        </w:rPr>
      </w:pPr>
      <w:r>
        <w:rPr>
          <w:rFonts w:hint="eastAsia" w:ascii="宋体" w:hAnsi="宋体" w:cs="宋体"/>
          <w:b/>
          <w:color w:val="auto"/>
          <w:szCs w:val="21"/>
          <w:highlight w:val="none"/>
        </w:rPr>
        <w:t xml:space="preserve"> 现文：</w:t>
      </w:r>
      <w:r>
        <w:rPr>
          <w:rFonts w:ascii="宋体" w:hAnsi="宋体" w:cs="宋体"/>
          <w:color w:val="auto"/>
          <w:szCs w:val="21"/>
          <w:highlight w:val="none"/>
        </w:rPr>
        <w:t>16.1</w:t>
      </w:r>
      <w:r>
        <w:rPr>
          <w:rFonts w:hint="eastAsia" w:ascii="宋体" w:hAnsi="宋体"/>
          <w:color w:val="auto"/>
          <w:szCs w:val="21"/>
          <w:highlight w:val="none"/>
          <w:u w:val="single"/>
        </w:rPr>
        <w:t>投标人应按投标须知前附表第14项所述，向广州公共资源交易中心递交投标保证金或开具投标保函、投标保证保险，其他有关递交事宜，请自行咨询广州公共资源交易中心或招标代理</w:t>
      </w:r>
      <w:r>
        <w:rPr>
          <w:rFonts w:hint="eastAsia" w:ascii="宋体" w:hAnsi="宋体"/>
          <w:color w:val="auto"/>
          <w:szCs w:val="21"/>
          <w:highlight w:val="none"/>
        </w:rPr>
        <w:t>。</w:t>
      </w:r>
    </w:p>
    <w:p>
      <w:pPr>
        <w:pBdr>
          <w:top w:val="single" w:color="auto" w:sz="4" w:space="0"/>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 16.4                      修改类型：修改</w:t>
      </w:r>
    </w:p>
    <w:p>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16.4 如有下列情况之一的，招标人可以不予退还投标保证金（是否退还投标保证金由招标人在招标文件中规定）：</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16.4.1因投标人原因造成投标文件未解密的；</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16.4.2投标人在投标有效期内撤销投标文件；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16.4.3中标人未能在规定期限内按要求提交履约担保；</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16.4.4中标人未能在规定期限内签署合同协议。</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16.4如有下列情况之一的，招标人可以不予退还投标保证金：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r>
        <w:rPr>
          <w:rFonts w:hint="eastAsia" w:ascii="宋体" w:hAnsi="宋体" w:cs="宋体"/>
          <w:color w:val="auto"/>
          <w:szCs w:val="21"/>
          <w:highlight w:val="none"/>
          <w:u w:val="single"/>
        </w:rPr>
        <w:t>或放弃中标资格的；</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16.4.3中标人未能在规定期限内签署合同协议；</w:t>
      </w:r>
    </w:p>
    <w:p>
      <w:pPr>
        <w:pBdr>
          <w:bottom w:val="single" w:color="auto" w:sz="6"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16.4.4</w:t>
      </w:r>
      <w:r>
        <w:rPr>
          <w:rFonts w:hint="eastAsia" w:ascii="宋体" w:hAnsi="宋体" w:cs="宋体"/>
          <w:color w:val="auto"/>
          <w:szCs w:val="21"/>
          <w:highlight w:val="none"/>
          <w:u w:val="single"/>
        </w:rPr>
        <w:t>投标人弄虚作假骗取中标的</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 16.5                   　　修改类型：修改</w:t>
      </w:r>
    </w:p>
    <w:p>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16.5.1投标人存在16.4条款所列情形且投标人提交的保函、担保或保证保险无法兑付的；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16.5.3按招标文件要求免于提供投标保证金的投标人存在16.4条款所列情形的。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注：16.5.3款由招标人二选一，需在招标文件中明确。</w:t>
      </w:r>
    </w:p>
    <w:p>
      <w:pPr>
        <w:pBdr>
          <w:bottom w:val="single" w:color="auto" w:sz="6" w:space="1"/>
        </w:pBd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16.5</w:t>
      </w:r>
      <w:r>
        <w:rPr>
          <w:rFonts w:hint="eastAsia" w:ascii="宋体" w:hAnsi="宋体" w:cs="宋体"/>
          <w:color w:val="auto"/>
          <w:kern w:val="0"/>
          <w:szCs w:val="21"/>
          <w:highlight w:val="none"/>
        </w:rPr>
        <w:t>投标人如存在下列情况之一的，</w:t>
      </w:r>
      <w:r>
        <w:rPr>
          <w:rFonts w:hint="eastAsia" w:ascii="宋体" w:hAnsi="宋体" w:cs="宋体"/>
          <w:color w:val="auto"/>
          <w:kern w:val="0"/>
          <w:szCs w:val="21"/>
          <w:highlight w:val="none"/>
          <w:u w:val="single"/>
        </w:rPr>
        <w:t>将被拒绝在3个月内参与招标人后续工程投标：</w:t>
      </w:r>
    </w:p>
    <w:p>
      <w:pPr>
        <w:pBdr>
          <w:bottom w:val="single" w:color="auto" w:sz="6" w:space="1"/>
        </w:pBd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pBdr>
          <w:bottom w:val="single" w:color="auto" w:sz="6" w:space="1"/>
        </w:pBd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315" w:firstLineChars="150"/>
        <w:rPr>
          <w:rFonts w:ascii="宋体" w:hAnsi="宋体" w:cs="宋体"/>
          <w:color w:val="auto"/>
          <w:kern w:val="0"/>
          <w:szCs w:val="21"/>
          <w:highlight w:val="none"/>
          <w:u w:val="single"/>
        </w:rPr>
      </w:pPr>
      <w:r>
        <w:rPr>
          <w:rFonts w:hint="eastAsia" w:ascii="宋体" w:hAnsi="宋体" w:cs="宋体"/>
          <w:bCs/>
          <w:color w:val="auto"/>
          <w:szCs w:val="21"/>
          <w:highlight w:val="none"/>
        </w:rPr>
        <w:t>16.5.3</w:t>
      </w:r>
      <w:r>
        <w:rPr>
          <w:rFonts w:hint="eastAsia" w:ascii="宋体" w:hAnsi="宋体" w:cs="宋体"/>
          <w:bCs/>
          <w:color w:val="auto"/>
          <w:szCs w:val="21"/>
          <w:highlight w:val="none"/>
          <w:u w:val="single"/>
        </w:rPr>
        <w:t>按招标文件要求免于提供投标保证金的投标人存在16.4条款所列情形，且未按招标人要求补交投标保证金的</w:t>
      </w:r>
      <w:r>
        <w:rPr>
          <w:rFonts w:hint="eastAsia" w:ascii="宋体" w:hAnsi="宋体" w:cs="宋体"/>
          <w:color w:val="auto"/>
          <w:szCs w:val="21"/>
          <w:highlight w:val="none"/>
          <w:u w:val="single"/>
        </w:rPr>
        <w:t>。</w:t>
      </w:r>
    </w:p>
    <w:p>
      <w:pPr>
        <w:pStyle w:val="20"/>
        <w:rPr>
          <w:color w:val="auto"/>
          <w:highlight w:val="none"/>
        </w:rPr>
      </w:pP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szCs w:val="21"/>
          <w:highlight w:val="none"/>
          <w:lang w:val="en-US" w:eastAsia="zh-CN"/>
        </w:rPr>
        <w:t>17</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Cs w:val="21"/>
          <w:highlight w:val="none"/>
          <w:lang w:val="en-US" w:eastAsia="zh-CN"/>
        </w:rPr>
        <w:t>原文：</w:t>
      </w:r>
      <w:r>
        <w:rPr>
          <w:rFonts w:ascii="宋体" w:hAnsi="宋体"/>
          <w:color w:val="000000"/>
          <w:sz w:val="21"/>
          <w:szCs w:val="21"/>
        </w:rPr>
        <w:t>17.1</w:t>
      </w:r>
      <w:r>
        <w:rPr>
          <w:rFonts w:hint="eastAsia" w:ascii="宋体" w:hAnsi="宋体"/>
          <w:color w:val="000000"/>
          <w:sz w:val="21"/>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pBdr>
          <w:bottom w:val="single" w:color="auto" w:sz="6" w:space="1"/>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17．</w:t>
      </w:r>
      <w:r>
        <w:rPr>
          <w:rFonts w:hint="eastAsia" w:ascii="宋体" w:hAnsi="宋体" w:cs="宋体"/>
          <w:b/>
          <w:color w:val="auto"/>
          <w:szCs w:val="21"/>
          <w:highlight w:val="none"/>
        </w:rPr>
        <w:t>投标文件的签署</w:t>
      </w:r>
      <w:r>
        <w:rPr>
          <w:rFonts w:hint="eastAsia" w:ascii="宋体" w:hAnsi="宋体" w:cs="宋体"/>
          <w:b/>
          <w:color w:val="auto"/>
          <w:szCs w:val="21"/>
          <w:highlight w:val="none"/>
          <w:u w:val="single"/>
        </w:rPr>
        <w:t>及份数</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w:t>
      </w:r>
      <w:r>
        <w:rPr>
          <w:rFonts w:ascii="宋体" w:hAnsi="宋体" w:cs="宋体"/>
          <w:bCs/>
          <w:color w:val="auto"/>
          <w:kern w:val="0"/>
          <w:szCs w:val="21"/>
          <w:highlight w:val="none"/>
        </w:rPr>
        <w:t>投标人应采用单位数字证书，按招标文件要求在相应位置加盖电子印章。投标文件中需个人签字或盖章的，</w:t>
      </w:r>
      <w:r>
        <w:rPr>
          <w:rFonts w:hint="eastAsia" w:ascii="宋体" w:hAnsi="宋体" w:cs="宋体"/>
          <w:b/>
          <w:bCs/>
          <w:color w:val="auto"/>
          <w:kern w:val="0"/>
          <w:szCs w:val="21"/>
          <w:highlight w:val="none"/>
        </w:rPr>
        <w:t>应加盖个人电子印章或在线下完成后扫描上传。</w:t>
      </w:r>
      <w:r>
        <w:rPr>
          <w:rFonts w:hint="eastAsia" w:ascii="宋体" w:hAnsi="宋体" w:cs="宋体"/>
          <w:bCs/>
          <w:color w:val="auto"/>
          <w:kern w:val="0"/>
          <w:szCs w:val="21"/>
          <w:highlight w:val="none"/>
        </w:rPr>
        <w:t>按照</w:t>
      </w:r>
      <w:r>
        <w:rPr>
          <w:rFonts w:hint="eastAsia" w:ascii="宋体" w:hAnsi="宋体" w:cs="宋体"/>
          <w:bCs/>
          <w:color w:val="auto"/>
          <w:kern w:val="0"/>
          <w:szCs w:val="21"/>
          <w:highlight w:val="none"/>
          <w:u w:val="single"/>
        </w:rPr>
        <w:t>广州公共资源交易中心</w:t>
      </w:r>
      <w:r>
        <w:rPr>
          <w:rFonts w:hint="eastAsia" w:ascii="宋体" w:hAnsi="宋体" w:cs="宋体"/>
          <w:bCs/>
          <w:color w:val="auto"/>
          <w:kern w:val="0"/>
          <w:szCs w:val="21"/>
          <w:highlight w:val="none"/>
        </w:rPr>
        <w:t>交易平台关于全流程电子化项目的相关指南进行操作。详见</w:t>
      </w:r>
      <w:r>
        <w:rPr>
          <w:rFonts w:hint="eastAsia" w:ascii="宋体" w:hAnsi="宋体" w:cs="宋体"/>
          <w:color w:val="auto"/>
          <w:szCs w:val="21"/>
          <w:highlight w:val="none"/>
        </w:rPr>
        <w:t>：</w:t>
      </w:r>
      <w:r>
        <w:rPr>
          <w:rFonts w:hint="eastAsia" w:ascii="宋体" w:hAnsi="宋体" w:cs="宋体"/>
          <w:color w:val="auto"/>
          <w:szCs w:val="21"/>
          <w:highlight w:val="none"/>
          <w:u w:val="single"/>
        </w:rPr>
        <w:t>广州公共资源交易中心网站最新指引</w:t>
      </w:r>
      <w:r>
        <w:rPr>
          <w:rFonts w:hint="eastAsia" w:ascii="宋体" w:hAnsi="宋体" w:cs="宋体"/>
          <w:color w:val="auto"/>
          <w:szCs w:val="21"/>
          <w:highlight w:val="none"/>
        </w:rPr>
        <w:t>。</w:t>
      </w:r>
    </w:p>
    <w:p>
      <w:pPr>
        <w:pBdr>
          <w:bottom w:val="single" w:color="auto" w:sz="6" w:space="1"/>
        </w:pBdr>
        <w:spacing w:line="360" w:lineRule="auto"/>
        <w:ind w:firstLine="409" w:firstLineChars="195"/>
        <w:rPr>
          <w:rFonts w:ascii="宋体" w:hAnsi="宋体" w:cs="宋体"/>
          <w:b/>
          <w:color w:val="auto"/>
          <w:szCs w:val="21"/>
          <w:highlight w:val="none"/>
          <w:u w:val="single"/>
        </w:rPr>
      </w:pPr>
      <w:r>
        <w:rPr>
          <w:rFonts w:hint="eastAsia" w:ascii="宋体" w:hAnsi="宋体" w:cs="宋体"/>
          <w:color w:val="auto"/>
          <w:szCs w:val="21"/>
          <w:highlight w:val="none"/>
          <w:u w:val="single"/>
        </w:rPr>
        <w:t>17.2</w:t>
      </w:r>
      <w:r>
        <w:rPr>
          <w:rFonts w:hint="eastAsia" w:ascii="宋体" w:hAnsi="宋体" w:cs="仿宋_GB2312"/>
          <w:color w:val="auto"/>
          <w:szCs w:val="21"/>
          <w:highlight w:val="none"/>
          <w:u w:val="single"/>
        </w:rPr>
        <w:t>投标文件份数为含电子印章的加密电子投标文件</w:t>
      </w:r>
      <w:r>
        <w:rPr>
          <w:rFonts w:ascii="宋体" w:hAnsi="宋体" w:cs="仿宋_GB2312"/>
          <w:color w:val="auto"/>
          <w:szCs w:val="21"/>
          <w:highlight w:val="none"/>
          <w:u w:val="single"/>
        </w:rPr>
        <w:t>1</w:t>
      </w:r>
      <w:r>
        <w:rPr>
          <w:rFonts w:hint="eastAsia" w:ascii="宋体" w:hAnsi="宋体" w:cs="仿宋_GB2312"/>
          <w:color w:val="auto"/>
          <w:szCs w:val="21"/>
          <w:highlight w:val="none"/>
          <w:u w:val="single"/>
        </w:rPr>
        <w:t>套。中标人在签订合同前需向招标人另行提供与投标递交的电子标书一致且加盖单位公章的纸质投标文件（含投标人须知</w:t>
      </w:r>
      <w:r>
        <w:rPr>
          <w:rFonts w:ascii="宋体" w:hAnsi="宋体" w:cs="仿宋_GB2312"/>
          <w:color w:val="auto"/>
          <w:szCs w:val="21"/>
          <w:highlight w:val="none"/>
          <w:u w:val="single"/>
        </w:rPr>
        <w:t>11.3列表明细包含的所有工程量清单报价表）4份及电子文件1份（不用生成投标书；包括用Microsoft Excel 软件或广州公共资源交易中心提供的投标书制作软件制作的工程量清单报价表和单价分析表，用 Microsoft Word 软件或广州公共资源交易中心提供的投标书制作软件制作的经济投标文件其他部分。电子文件介质使用CD-R光盘，所有电子文件不能采用压缩处理）</w:t>
      </w:r>
      <w:r>
        <w:rPr>
          <w:rFonts w:hint="eastAsia" w:ascii="宋体" w:hAnsi="宋体" w:cs="宋体"/>
          <w:color w:val="auto"/>
          <w:szCs w:val="21"/>
          <w:highlight w:val="none"/>
          <w:u w:val="single"/>
        </w:rPr>
        <w:t>。</w:t>
      </w:r>
    </w:p>
    <w:p>
      <w:pPr>
        <w:spacing w:line="360" w:lineRule="auto"/>
        <w:ind w:firstLine="411" w:firstLineChars="195"/>
        <w:rPr>
          <w:rFonts w:ascii="宋体" w:hAnsi="宋体" w:cs="宋体"/>
          <w:b/>
          <w:color w:val="auto"/>
          <w:szCs w:val="21"/>
        </w:rPr>
      </w:pPr>
      <w:r>
        <w:rPr>
          <w:rFonts w:hint="eastAsia" w:ascii="宋体" w:hAnsi="宋体" w:cs="宋体"/>
          <w:b/>
          <w:color w:val="auto"/>
          <w:szCs w:val="21"/>
        </w:rPr>
        <w:t>条款号：18                         修改类型：修改</w:t>
      </w:r>
    </w:p>
    <w:p>
      <w:pPr>
        <w:spacing w:line="360" w:lineRule="auto"/>
        <w:ind w:firstLine="411" w:firstLineChars="195"/>
        <w:rPr>
          <w:rFonts w:ascii="宋体" w:hAnsi="宋体" w:cs="宋体"/>
          <w:b/>
          <w:color w:val="auto"/>
          <w:szCs w:val="21"/>
        </w:rPr>
      </w:pPr>
      <w:r>
        <w:rPr>
          <w:rFonts w:hint="eastAsia" w:ascii="宋体" w:hAnsi="宋体" w:cs="宋体"/>
          <w:b/>
          <w:color w:val="auto"/>
          <w:szCs w:val="21"/>
        </w:rPr>
        <w:t>原文：</w:t>
      </w:r>
      <w:r>
        <w:rPr>
          <w:rFonts w:hint="eastAsia" w:ascii="宋体" w:hAnsi="宋体" w:cs="宋体"/>
          <w:bCs/>
          <w:color w:val="auto"/>
          <w:szCs w:val="21"/>
        </w:rPr>
        <w:t>18.投标文件的密封和标记</w:t>
      </w:r>
    </w:p>
    <w:p>
      <w:pPr>
        <w:spacing w:line="360" w:lineRule="auto"/>
        <w:ind w:firstLine="409" w:firstLineChars="195"/>
        <w:rPr>
          <w:rFonts w:ascii="宋体" w:hAnsi="宋体" w:cs="宋体"/>
          <w:color w:val="auto"/>
          <w:szCs w:val="21"/>
        </w:rPr>
      </w:pPr>
      <w:r>
        <w:rPr>
          <w:rFonts w:hint="eastAsia" w:ascii="宋体" w:hAnsi="宋体" w:cs="宋体"/>
          <w:color w:val="auto"/>
          <w:szCs w:val="21"/>
        </w:rPr>
        <w:t>18.1</w:t>
      </w:r>
      <w:r>
        <w:rPr>
          <w:rFonts w:hint="eastAsia" w:ascii="宋体" w:hAnsi="宋体" w:cs="宋体"/>
          <w:bCs/>
          <w:color w:val="auto"/>
          <w:szCs w:val="21"/>
        </w:rPr>
        <w:t>递交的电子投标文件（不含备用光盘）必须进行加密。按照交易平台关于</w:t>
      </w:r>
      <w:r>
        <w:rPr>
          <w:rFonts w:hint="eastAsia" w:ascii="宋体" w:hAnsi="宋体" w:cs="宋体"/>
          <w:color w:val="auto"/>
          <w:szCs w:val="21"/>
        </w:rPr>
        <w:t>全流程电子化项目的相关指南进行操作。详见：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ind w:firstLine="409" w:firstLineChars="195"/>
        <w:rPr>
          <w:color w:val="auto"/>
        </w:rPr>
      </w:pPr>
      <w:r>
        <w:rPr>
          <w:rFonts w:hint="eastAsia" w:ascii="宋体" w:hAnsi="宋体" w:cs="宋体"/>
          <w:color w:val="auto"/>
          <w:szCs w:val="21"/>
        </w:rPr>
        <w:t>18.2</w:t>
      </w:r>
      <w:r>
        <w:rPr>
          <w:rFonts w:hint="eastAsia" w:ascii="宋体" w:hAnsi="宋体" w:cs="宋体"/>
          <w:bCs/>
          <w:color w:val="auto"/>
          <w:szCs w:val="21"/>
        </w:rPr>
        <w:t>未按要求加密的投标文件，</w:t>
      </w:r>
      <w:r>
        <w:rPr>
          <w:rFonts w:hint="eastAsia" w:ascii="宋体" w:hAnsi="宋体" w:cs="宋体"/>
          <w:color w:val="auto"/>
          <w:szCs w:val="21"/>
          <w:u w:val="single"/>
        </w:rPr>
        <w:t xml:space="preserve">        </w:t>
      </w:r>
      <w:r>
        <w:rPr>
          <w:rFonts w:hint="eastAsia" w:ascii="宋体" w:hAnsi="宋体" w:cs="宋体"/>
          <w:color w:val="auto"/>
          <w:szCs w:val="21"/>
        </w:rPr>
        <w:t>交易平台</w:t>
      </w:r>
      <w:r>
        <w:rPr>
          <w:rFonts w:hint="eastAsia" w:ascii="宋体" w:hAnsi="宋体" w:cs="宋体"/>
          <w:bCs/>
          <w:color w:val="auto"/>
          <w:szCs w:val="21"/>
        </w:rPr>
        <w:t>将予以拒收。</w:t>
      </w:r>
    </w:p>
    <w:p>
      <w:pPr>
        <w:pBdr>
          <w:bottom w:val="none" w:color="auto" w:sz="0" w:space="1"/>
        </w:pBdr>
        <w:spacing w:line="360" w:lineRule="auto"/>
        <w:ind w:firstLine="411" w:firstLineChars="195"/>
        <w:rPr>
          <w:rFonts w:ascii="宋体" w:hAnsi="宋体" w:cs="宋体"/>
          <w:b/>
          <w:color w:val="auto"/>
          <w:szCs w:val="21"/>
        </w:rPr>
      </w:pPr>
      <w:r>
        <w:rPr>
          <w:rFonts w:hint="eastAsia" w:ascii="宋体" w:hAnsi="宋体" w:cs="宋体"/>
          <w:b/>
          <w:color w:val="auto"/>
          <w:szCs w:val="21"/>
        </w:rPr>
        <w:t>现文：</w:t>
      </w:r>
      <w:r>
        <w:rPr>
          <w:rFonts w:hint="eastAsia" w:ascii="宋体" w:hAnsi="宋体" w:cs="宋体"/>
          <w:bCs/>
          <w:color w:val="auto"/>
          <w:szCs w:val="21"/>
        </w:rPr>
        <w:t>18.电子投标文件的密封和标记</w:t>
      </w:r>
    </w:p>
    <w:p>
      <w:pPr>
        <w:pBdr>
          <w:bottom w:val="none" w:color="auto" w:sz="0" w:space="1"/>
        </w:pBdr>
        <w:spacing w:line="360" w:lineRule="auto"/>
        <w:ind w:firstLine="409" w:firstLineChars="195"/>
        <w:rPr>
          <w:rFonts w:ascii="宋体" w:hAnsi="宋体" w:cs="宋体"/>
          <w:color w:val="auto"/>
          <w:szCs w:val="21"/>
        </w:rPr>
      </w:pPr>
      <w:r>
        <w:rPr>
          <w:rFonts w:hint="eastAsia" w:ascii="宋体" w:hAnsi="宋体" w:cs="宋体"/>
          <w:color w:val="auto"/>
          <w:szCs w:val="21"/>
        </w:rPr>
        <w:t>18.1</w:t>
      </w:r>
      <w:r>
        <w:rPr>
          <w:rFonts w:hint="eastAsia" w:ascii="宋体" w:hAnsi="宋体" w:cs="宋体"/>
          <w:bCs/>
          <w:color w:val="auto"/>
          <w:szCs w:val="21"/>
        </w:rPr>
        <w:t>递交的电子投标文件（不含备用光盘）必须进行加密。按照</w:t>
      </w:r>
      <w:r>
        <w:rPr>
          <w:rFonts w:hint="eastAsia" w:ascii="宋体" w:hAnsi="宋体" w:cs="宋体"/>
          <w:color w:val="auto"/>
          <w:szCs w:val="21"/>
          <w:u w:val="single"/>
        </w:rPr>
        <w:t>广州公共资源交易中心</w:t>
      </w:r>
      <w:r>
        <w:rPr>
          <w:rFonts w:hint="eastAsia" w:ascii="宋体" w:hAnsi="宋体" w:cs="宋体"/>
          <w:bCs/>
          <w:color w:val="auto"/>
          <w:szCs w:val="21"/>
        </w:rPr>
        <w:t>交易平台关于</w:t>
      </w:r>
      <w:r>
        <w:rPr>
          <w:rFonts w:hint="eastAsia" w:ascii="宋体" w:hAnsi="宋体" w:cs="宋体"/>
          <w:color w:val="auto"/>
          <w:szCs w:val="21"/>
        </w:rPr>
        <w:t>全流程电子化项目的相关指南进行操作。详见：</w:t>
      </w:r>
      <w:r>
        <w:rPr>
          <w:rFonts w:hint="eastAsia" w:ascii="宋体" w:hAnsi="宋体" w:cs="宋体"/>
          <w:color w:val="auto"/>
          <w:szCs w:val="21"/>
          <w:u w:val="single"/>
        </w:rPr>
        <w:t>广州公共资源交易中心网站最新指引</w:t>
      </w:r>
      <w:r>
        <w:rPr>
          <w:rFonts w:hint="eastAsia" w:ascii="宋体" w:hAnsi="宋体" w:cs="宋体"/>
          <w:color w:val="auto"/>
          <w:szCs w:val="21"/>
        </w:rPr>
        <w:t>。</w:t>
      </w:r>
    </w:p>
    <w:p>
      <w:pPr>
        <w:pBdr>
          <w:bottom w:val="single" w:color="auto" w:sz="6" w:space="1"/>
        </w:pBdr>
        <w:spacing w:line="360" w:lineRule="auto"/>
        <w:ind w:firstLine="409" w:firstLineChars="195"/>
        <w:textAlignment w:val="baseline"/>
        <w:rPr>
          <w:rFonts w:ascii="宋体" w:hAnsi="宋体" w:cs="宋体"/>
          <w:bCs/>
          <w:color w:val="auto"/>
          <w:szCs w:val="21"/>
        </w:rPr>
      </w:pPr>
      <w:r>
        <w:rPr>
          <w:rFonts w:hint="eastAsia" w:ascii="宋体" w:hAnsi="宋体" w:cs="宋体"/>
          <w:color w:val="auto"/>
          <w:szCs w:val="21"/>
        </w:rPr>
        <w:t>18.2</w:t>
      </w:r>
      <w:r>
        <w:rPr>
          <w:rFonts w:hint="eastAsia" w:ascii="宋体" w:hAnsi="宋体" w:cs="宋体"/>
          <w:bCs/>
          <w:color w:val="auto"/>
          <w:szCs w:val="21"/>
        </w:rPr>
        <w:t>未按要求加密的投标文件，</w:t>
      </w:r>
      <w:r>
        <w:rPr>
          <w:rFonts w:hint="eastAsia" w:ascii="宋体" w:hAnsi="宋体" w:cs="宋体"/>
          <w:color w:val="auto"/>
          <w:szCs w:val="21"/>
          <w:u w:val="single"/>
        </w:rPr>
        <w:t>广州公共资源交易中心</w:t>
      </w:r>
      <w:r>
        <w:rPr>
          <w:rFonts w:hint="eastAsia" w:ascii="宋体" w:hAnsi="宋体" w:cs="宋体"/>
          <w:color w:val="auto"/>
          <w:szCs w:val="21"/>
        </w:rPr>
        <w:t>交易平台</w:t>
      </w:r>
      <w:r>
        <w:rPr>
          <w:rFonts w:hint="eastAsia" w:ascii="宋体" w:hAnsi="宋体" w:cs="宋体"/>
          <w:bCs/>
          <w:color w:val="auto"/>
          <w:szCs w:val="21"/>
        </w:rPr>
        <w:t>将予以拒收。</w:t>
      </w:r>
    </w:p>
    <w:p>
      <w:pPr>
        <w:pBdr>
          <w:bottom w:val="single" w:color="auto" w:sz="6" w:space="1"/>
        </w:pBdr>
        <w:spacing w:line="360" w:lineRule="auto"/>
        <w:ind w:firstLine="409" w:firstLineChars="195"/>
        <w:textAlignment w:val="baseline"/>
        <w:rPr>
          <w:rFonts w:ascii="宋体" w:hAnsi="宋体" w:cs="宋体"/>
          <w:color w:val="auto"/>
        </w:rPr>
      </w:pPr>
      <w:r>
        <w:rPr>
          <w:rFonts w:hint="eastAsia" w:ascii="宋体" w:hAnsi="宋体" w:cs="宋体"/>
          <w:bCs/>
          <w:color w:val="auto"/>
          <w:szCs w:val="21"/>
        </w:rPr>
        <w:t xml:space="preserve">18.3 </w:t>
      </w:r>
      <w:r>
        <w:rPr>
          <w:rFonts w:hint="eastAsia" w:ascii="宋体" w:hAnsi="宋体" w:cs="宋体"/>
          <w:color w:val="auto"/>
          <w:szCs w:val="21"/>
          <w:u w:val="single"/>
        </w:rPr>
        <w:t>投标人可制作非加密的电子投标文件（PDF格式）存入光盘（1份），投标文件光盘密封在密封袋中，并在封口处加盖投标人单位公章。密封袋上应写明项目名称和招标人名称。</w:t>
      </w:r>
    </w:p>
    <w:p>
      <w:pPr>
        <w:pStyle w:val="20"/>
        <w:rPr>
          <w:color w:val="auto"/>
          <w:highlight w:val="none"/>
        </w:rPr>
      </w:pP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条款号：19.1         修改类型：修改</w:t>
      </w:r>
    </w:p>
    <w:p>
      <w:pPr>
        <w:pStyle w:val="2"/>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19.1投标人通过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交易平台递交电子投标文件。 </w:t>
      </w:r>
    </w:p>
    <w:p>
      <w:pPr>
        <w:pBdr>
          <w:bottom w:val="single" w:color="auto" w:sz="6" w:space="1"/>
        </w:pBdr>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交易平台递交电子投标文件。</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条款号：19.2         修改类型：修改</w:t>
      </w:r>
    </w:p>
    <w:p>
      <w:pPr>
        <w:pStyle w:val="2"/>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kern w:val="2"/>
          <w:sz w:val="21"/>
          <w:szCs w:val="21"/>
          <w:highlight w:val="none"/>
        </w:rPr>
        <w:t>19.2投标人完成电子投标文件上传后，</w:t>
      </w:r>
      <w:r>
        <w:rPr>
          <w:rFonts w:hint="eastAsia" w:ascii="宋体" w:hAnsi="宋体" w:cs="宋体"/>
          <w:bCs/>
          <w:color w:val="auto"/>
          <w:kern w:val="2"/>
          <w:sz w:val="21"/>
          <w:szCs w:val="21"/>
          <w:highlight w:val="none"/>
          <w:u w:val="single"/>
        </w:rPr>
        <w:t xml:space="preserve">        </w:t>
      </w:r>
      <w:r>
        <w:rPr>
          <w:rFonts w:hint="eastAsia" w:ascii="宋体" w:hAnsi="宋体" w:cs="宋体"/>
          <w:bCs/>
          <w:color w:val="auto"/>
          <w:kern w:val="2"/>
          <w:sz w:val="21"/>
          <w:szCs w:val="21"/>
          <w:highlight w:val="none"/>
        </w:rPr>
        <w:t xml:space="preserve">交易平台即时向投标人发出递交回执通知。递交时间以递交回执通知载明的传输完成时间为准。 </w:t>
      </w:r>
    </w:p>
    <w:p>
      <w:pPr>
        <w:pBdr>
          <w:bottom w:val="single" w:color="auto" w:sz="6" w:space="1"/>
        </w:pBdr>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条款号：19.3         修改类型：修改</w:t>
      </w:r>
    </w:p>
    <w:p>
      <w:pPr>
        <w:pStyle w:val="2"/>
        <w:spacing w:after="0" w:line="360" w:lineRule="auto"/>
        <w:ind w:firstLine="441" w:firstLineChars="209"/>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19.3逾期送达的电子投标文件，</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交易平台将予以拒收。 </w:t>
      </w:r>
    </w:p>
    <w:p>
      <w:pPr>
        <w:pBdr>
          <w:bottom w:val="single" w:color="auto" w:sz="6" w:space="1"/>
        </w:pBdr>
        <w:spacing w:line="360" w:lineRule="auto"/>
        <w:ind w:firstLine="441" w:firstLineChars="209"/>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交易平台将予以拒收。</w:t>
      </w:r>
    </w:p>
    <w:p>
      <w:pPr>
        <w:adjustRightIn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条款号：19.5                                   修改类型：修改</w:t>
      </w:r>
    </w:p>
    <w:p>
      <w:pPr>
        <w:adjustRightIn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pPr>
        <w:pBdr>
          <w:bottom w:val="single" w:color="auto" w:sz="6" w:space="1"/>
        </w:pBdr>
        <w:adjustRightIn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如技术标和经济标先后分别开启，</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交易平台将按招标文件规定的时间分别开启技术标和经济标。</w:t>
      </w:r>
    </w:p>
    <w:p>
      <w:pPr>
        <w:pStyle w:val="2"/>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b/>
          <w:bCs/>
          <w:color w:val="auto"/>
          <w:sz w:val="21"/>
          <w:szCs w:val="21"/>
          <w:highlight w:val="none"/>
        </w:rPr>
        <w:t xml:space="preserve">19.6 </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修改类型：删除</w:t>
      </w:r>
    </w:p>
    <w:p>
      <w:pPr>
        <w:pBdr>
          <w:bottom w:val="single" w:color="auto" w:sz="6" w:space="1"/>
        </w:pBdr>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19.6在规定的时间内，项目负责人须到自助签到。按照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交易平台有关项目负责人自助签到流程进行操作。项目负责人凡未凭身份证按时到达指定地点签到的，该投标文件将不能参与资格审查和评标（选择性条款）。</w:t>
      </w:r>
    </w:p>
    <w:p>
      <w:pP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条款号：20.3                       修改类型：修改</w:t>
      </w:r>
    </w:p>
    <w:p>
      <w:pP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20.3 到投标截止时间止，招标人收到的投标文件少于3家的，招标人将重新组织招标（当N个标段同时招标且不允许兼中时，若有效投标人不足N+2家，则重新组织招标）。</w:t>
      </w:r>
    </w:p>
    <w:p>
      <w:pPr>
        <w:pBdr>
          <w:bottom w:val="single" w:color="auto" w:sz="6" w:space="1"/>
        </w:pBd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20.3 到投标截止时间止，招标人收到的投标文件少于3家的，招标人将重新组织招标。</w:t>
      </w:r>
    </w:p>
    <w:p>
      <w:pP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条款号：21.1                       修改类型：修改</w:t>
      </w:r>
    </w:p>
    <w:p>
      <w:pP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adjustRightInd w:val="0"/>
        <w:spacing w:line="360" w:lineRule="auto"/>
        <w:ind w:firstLine="411" w:firstLineChars="195"/>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交易平台将予以拒收。</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中标通知书</w:t>
      </w:r>
    </w:p>
    <w:p>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Style w:val="2"/>
        <w:pBdr>
          <w:top w:val="none" w:color="auto" w:sz="0" w:space="1"/>
          <w:left w:val="none" w:color="auto" w:sz="0" w:space="4"/>
          <w:bottom w:val="single" w:color="auto" w:sz="4" w:space="1"/>
          <w:right w:val="none" w:color="auto" w:sz="0" w:space="4"/>
        </w:pBdr>
        <w:spacing w:after="0" w:line="360" w:lineRule="auto"/>
        <w:ind w:firstLine="402" w:firstLineChars="200"/>
        <w:rPr>
          <w:rFonts w:cs="宋体"/>
          <w:color w:val="auto"/>
          <w:sz w:val="21"/>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 w:val="21"/>
          <w:szCs w:val="21"/>
          <w:highlight w:val="none"/>
        </w:rPr>
        <w:t>27.1招标人将在</w:t>
      </w:r>
      <w:r>
        <w:rPr>
          <w:rFonts w:hint="eastAsia" w:ascii="宋体" w:hAnsi="宋体" w:cs="宋体"/>
          <w:color w:val="auto"/>
          <w:sz w:val="21"/>
          <w:szCs w:val="21"/>
          <w:highlight w:val="none"/>
          <w:u w:val="single"/>
        </w:rPr>
        <w:t>广州公共资源交易中心</w:t>
      </w:r>
      <w:r>
        <w:rPr>
          <w:rFonts w:hint="eastAsia" w:ascii="宋体" w:hAnsi="宋体" w:cs="宋体"/>
          <w:color w:val="auto"/>
          <w:sz w:val="21"/>
          <w:szCs w:val="21"/>
          <w:highlight w:val="none"/>
        </w:rPr>
        <w:t>交易平台、中国招标投标公共服务平台和广东省招标投标监管网公示中标候选人，公示期为三天。</w:t>
      </w:r>
      <w:r>
        <w:rPr>
          <w:rFonts w:hint="eastAsia" w:ascii="宋体" w:hAnsi="宋体" w:cs="宋体"/>
          <w:color w:val="auto"/>
          <w:sz w:val="21"/>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条款号：27.4                        修改类型：修改</w:t>
      </w:r>
    </w:p>
    <w:p>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交易平台和广东省招标投标监管网公开。</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交易平台和广东省招标投标监管网公开。</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条款号：28.3                        修改类型：修改</w:t>
      </w:r>
    </w:p>
    <w:p>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28.3非经招标人同意，中标人在投标过程中使用的银行名称及</w:t>
      </w:r>
      <w:r>
        <w:rPr>
          <w:rFonts w:hint="eastAsia" w:ascii="宋体" w:hAnsi="宋体" w:cs="宋体"/>
          <w:color w:val="auto"/>
          <w:szCs w:val="21"/>
          <w:highlight w:val="none"/>
          <w:lang w:val="en-US" w:eastAsia="zh-CN"/>
        </w:rPr>
        <w:t>账</w:t>
      </w:r>
      <w:r>
        <w:rPr>
          <w:rFonts w:hint="eastAsia" w:ascii="宋体" w:hAnsi="宋体" w:cs="宋体"/>
          <w:color w:val="auto"/>
          <w:szCs w:val="21"/>
          <w:highlight w:val="none"/>
        </w:rPr>
        <w:t>号至完成竣工结算不得变更，否则招标人有权停止工程款项的拔付及至解除合同，由此造成的一切责任由中标人承担。</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28.3非经招标人同意，中标人在投标过程中使用的银行名称及</w:t>
      </w:r>
      <w:r>
        <w:rPr>
          <w:rFonts w:hint="eastAsia" w:ascii="宋体" w:hAnsi="宋体" w:cs="宋体"/>
          <w:color w:val="auto"/>
          <w:szCs w:val="21"/>
          <w:highlight w:val="none"/>
          <w:u w:val="single"/>
        </w:rPr>
        <w:t>账号</w:t>
      </w:r>
      <w:r>
        <w:rPr>
          <w:rFonts w:hint="eastAsia" w:ascii="宋体" w:hAnsi="宋体" w:cs="宋体"/>
          <w:color w:val="auto"/>
          <w:szCs w:val="21"/>
          <w:highlight w:val="none"/>
        </w:rPr>
        <w:t>至完成竣工结算不得变更，否则招标人有权停止工程款项的</w:t>
      </w:r>
      <w:r>
        <w:rPr>
          <w:rFonts w:hint="eastAsia" w:ascii="宋体" w:hAnsi="宋体" w:cs="宋体"/>
          <w:color w:val="auto"/>
          <w:szCs w:val="21"/>
          <w:highlight w:val="none"/>
          <w:u w:val="single"/>
        </w:rPr>
        <w:t>拨付</w:t>
      </w:r>
      <w:r>
        <w:rPr>
          <w:rFonts w:hint="eastAsia" w:ascii="宋体" w:hAnsi="宋体" w:cs="宋体"/>
          <w:color w:val="auto"/>
          <w:szCs w:val="21"/>
          <w:highlight w:val="none"/>
        </w:rPr>
        <w:t>及至解除合同，由此造成的一切责任由中标人承担。</w:t>
      </w:r>
    </w:p>
    <w:p>
      <w:pPr>
        <w:spacing w:line="360" w:lineRule="auto"/>
        <w:ind w:firstLine="411" w:firstLineChars="195"/>
        <w:contextualSpacing/>
        <w:rPr>
          <w:rFonts w:ascii="宋体" w:hAnsi="宋体" w:cs="宋体"/>
          <w:b/>
          <w:color w:val="auto"/>
          <w:szCs w:val="21"/>
          <w:highlight w:val="none"/>
        </w:rPr>
      </w:pPr>
      <w:r>
        <w:rPr>
          <w:rFonts w:hint="eastAsia" w:ascii="宋体" w:hAnsi="宋体" w:cs="宋体"/>
          <w:b/>
          <w:color w:val="auto"/>
          <w:szCs w:val="21"/>
          <w:highlight w:val="none"/>
        </w:rPr>
        <w:t>条款号：28.5                        修改类型：增加</w:t>
      </w:r>
    </w:p>
    <w:p>
      <w:pPr>
        <w:pBdr>
          <w:bottom w:val="single" w:color="auto" w:sz="6" w:space="1"/>
        </w:pBdr>
        <w:spacing w:line="360" w:lineRule="auto"/>
        <w:ind w:firstLine="411" w:firstLineChars="195"/>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28.5本工程委托项目建设管理单位，由招标单位、项目建设管理单位与中标人签订三方合同。</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条款号：29.1                        修改类型：修改</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合同正式签订之日后的15日内</w:t>
      </w:r>
      <w:r>
        <w:rPr>
          <w:rFonts w:hint="eastAsia" w:ascii="宋体" w:hAnsi="宋体" w:cs="宋体"/>
          <w:color w:val="auto"/>
          <w:szCs w:val="21"/>
          <w:highlight w:val="none"/>
        </w:rPr>
        <w:t>，中标人应按本须知前附表第20项的规定向招标人提交履约担保。</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条款号：29.2                        修改类型：修改</w:t>
      </w:r>
    </w:p>
    <w:p>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w:t>
      </w:r>
      <w:r>
        <w:rPr>
          <w:rFonts w:hint="eastAsia" w:ascii="宋体" w:hAnsi="宋体" w:cs="宋体"/>
          <w:color w:val="auto"/>
          <w:szCs w:val="21"/>
          <w:highlight w:val="none"/>
          <w:u w:val="single"/>
        </w:rPr>
        <w:t>合同正式签订之日后的15日内</w:t>
      </w:r>
      <w:r>
        <w:rPr>
          <w:rFonts w:hint="eastAsia" w:ascii="宋体" w:hAnsi="宋体" w:cs="宋体"/>
          <w:color w:val="auto"/>
          <w:szCs w:val="21"/>
          <w:highlight w:val="none"/>
        </w:rPr>
        <w:t>，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条款号：30.1                        修改类型：修改</w:t>
      </w:r>
    </w:p>
    <w:p>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30.1在合同</w:t>
      </w:r>
      <w:r>
        <w:rPr>
          <w:rFonts w:hint="eastAsia" w:ascii="宋体" w:hAnsi="宋体"/>
          <w:color w:val="auto"/>
          <w:szCs w:val="21"/>
          <w:highlight w:val="none"/>
        </w:rPr>
        <w:t>双</w:t>
      </w:r>
      <w:r>
        <w:rPr>
          <w:rFonts w:hint="eastAsia" w:ascii="宋体" w:hAnsi="宋体" w:cs="宋体"/>
          <w:color w:val="auto"/>
          <w:szCs w:val="21"/>
          <w:highlight w:val="none"/>
        </w:rPr>
        <w:t>方全权代表在合同协议书上签字，并分别加盖双方单位的公章后，合同正式生效。</w:t>
      </w:r>
    </w:p>
    <w:p>
      <w:pPr>
        <w:pBdr>
          <w:bottom w:val="single" w:color="auto" w:sz="6" w:space="1"/>
        </w:pBd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30.1在合同</w:t>
      </w:r>
      <w:r>
        <w:rPr>
          <w:rFonts w:hint="eastAsia" w:ascii="宋体" w:hAnsi="宋体"/>
          <w:color w:val="auto"/>
          <w:szCs w:val="21"/>
          <w:highlight w:val="none"/>
          <w:u w:val="single"/>
        </w:rPr>
        <w:t>三</w:t>
      </w:r>
      <w:r>
        <w:rPr>
          <w:rFonts w:hint="eastAsia" w:ascii="宋体" w:hAnsi="宋体" w:cs="宋体"/>
          <w:color w:val="auto"/>
          <w:szCs w:val="21"/>
          <w:highlight w:val="none"/>
        </w:rPr>
        <w:t>方全权代表在合同协议书上签字，并分别加盖</w:t>
      </w:r>
      <w:r>
        <w:rPr>
          <w:rFonts w:hint="eastAsia" w:ascii="宋体" w:hAnsi="宋体"/>
          <w:color w:val="auto"/>
          <w:szCs w:val="21"/>
          <w:highlight w:val="none"/>
          <w:u w:val="single"/>
        </w:rPr>
        <w:t>三</w:t>
      </w:r>
      <w:r>
        <w:rPr>
          <w:rFonts w:hint="eastAsia" w:ascii="宋体" w:hAnsi="宋体" w:cs="宋体"/>
          <w:color w:val="auto"/>
          <w:szCs w:val="21"/>
          <w:highlight w:val="none"/>
        </w:rPr>
        <w:t>方单位的公章</w:t>
      </w:r>
      <w:r>
        <w:rPr>
          <w:rFonts w:hint="eastAsia" w:ascii="宋体" w:hAnsi="宋体" w:cs="宋体"/>
          <w:color w:val="auto"/>
          <w:szCs w:val="21"/>
          <w:highlight w:val="none"/>
          <w:u w:val="single"/>
        </w:rPr>
        <w:t>且承包人提交履约担保后，合同正式生效。</w:t>
      </w:r>
    </w:p>
    <w:p>
      <w:pPr>
        <w:spacing w:line="360" w:lineRule="auto"/>
        <w:ind w:firstLine="411" w:firstLineChars="195"/>
        <w:rPr>
          <w:rFonts w:ascii="宋体" w:hAnsi="宋体" w:cs="宋体"/>
          <w:b/>
          <w:bCs/>
          <w:color w:val="auto"/>
          <w:szCs w:val="21"/>
          <w:highlight w:val="none"/>
        </w:rPr>
      </w:pPr>
      <w:r>
        <w:rPr>
          <w:rFonts w:hint="eastAsia" w:ascii="宋体" w:hAnsi="宋体" w:cs="宋体"/>
          <w:b/>
          <w:bCs/>
          <w:color w:val="auto"/>
          <w:szCs w:val="21"/>
          <w:highlight w:val="none"/>
        </w:rPr>
        <w:t>条款号：31                          修改类型：修改</w:t>
      </w:r>
    </w:p>
    <w:p>
      <w:pPr>
        <w:spacing w:line="360" w:lineRule="auto"/>
        <w:ind w:firstLine="411" w:firstLineChars="195"/>
        <w:rPr>
          <w:rFonts w:ascii="宋体" w:hAnsi="宋体" w:cs="宋体"/>
          <w:b/>
          <w:bCs/>
          <w:color w:val="auto"/>
          <w:szCs w:val="21"/>
          <w:highlight w:val="none"/>
        </w:rPr>
      </w:pPr>
      <w:r>
        <w:rPr>
          <w:rFonts w:hint="eastAsia" w:ascii="宋体" w:hAnsi="宋体" w:cs="宋体"/>
          <w:b/>
          <w:bCs/>
          <w:color w:val="auto"/>
          <w:szCs w:val="21"/>
          <w:highlight w:val="none"/>
        </w:rPr>
        <w:t>原文：31.其它费用</w:t>
      </w:r>
    </w:p>
    <w:p>
      <w:pPr>
        <w:spacing w:line="360" w:lineRule="auto"/>
        <w:ind w:firstLine="411" w:firstLineChars="195"/>
        <w:rPr>
          <w:rFonts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pPr>
        <w:spacing w:line="360" w:lineRule="auto"/>
        <w:ind w:firstLine="420" w:firstLineChars="200"/>
        <w:rPr>
          <w:color w:val="auto"/>
          <w:szCs w:val="21"/>
          <w:highlight w:val="none"/>
        </w:rPr>
      </w:pPr>
      <w:r>
        <w:rPr>
          <w:rFonts w:hint="eastAsia"/>
          <w:color w:val="auto"/>
          <w:szCs w:val="21"/>
          <w:highlight w:val="none"/>
          <w:u w:val="single"/>
        </w:rPr>
        <w:t>3</w:t>
      </w:r>
      <w:r>
        <w:rPr>
          <w:color w:val="auto"/>
          <w:szCs w:val="21"/>
          <w:highlight w:val="none"/>
          <w:u w:val="single"/>
        </w:rPr>
        <w:t>1.1</w:t>
      </w:r>
      <w:r>
        <w:rPr>
          <w:rFonts w:hint="eastAsia"/>
          <w:color w:val="auto"/>
          <w:szCs w:val="21"/>
          <w:highlight w:val="none"/>
          <w:u w:val="single"/>
        </w:rPr>
        <w:t>中标人应根据政府有关规定，向广州公共资源交易中心交纳交易服务费，交易中心向中标人开具增值税发票；</w:t>
      </w:r>
    </w:p>
    <w:p>
      <w:pPr>
        <w:pBdr>
          <w:bottom w:val="single" w:color="auto" w:sz="4" w:space="1"/>
        </w:pBdr>
        <w:spacing w:line="360" w:lineRule="auto"/>
        <w:ind w:firstLine="420" w:firstLineChars="200"/>
        <w:rPr>
          <w:color w:val="auto"/>
          <w:highlight w:val="none"/>
        </w:rPr>
      </w:pPr>
      <w:r>
        <w:rPr>
          <w:rFonts w:hAnsi="宋体" w:cs="宋体"/>
          <w:color w:val="auto"/>
          <w:szCs w:val="21"/>
          <w:highlight w:val="none"/>
          <w:u w:val="single"/>
        </w:rPr>
        <w:t>31.2</w:t>
      </w:r>
      <w:r>
        <w:rPr>
          <w:rFonts w:hint="eastAsia" w:hAnsi="宋体" w:cs="宋体"/>
          <w:color w:val="auto"/>
          <w:szCs w:val="21"/>
          <w:highlight w:val="none"/>
          <w:u w:val="single"/>
        </w:rPr>
        <w:t>招标代理费由中标单位缴纳，计算方法按招标人与招标代理签订的招标代理合同约定执行。</w:t>
      </w:r>
    </w:p>
    <w:p>
      <w:pPr>
        <w:pStyle w:val="20"/>
        <w:rPr>
          <w:color w:val="auto"/>
          <w:highlight w:val="none"/>
        </w:rPr>
      </w:pP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条款号：32.3                    修改类型：修改</w:t>
      </w:r>
    </w:p>
    <w:p>
      <w:pPr>
        <w:pStyle w:val="2"/>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投标人如在本项目中存在串通投标、弄虚作假、行贿情形的，中标无效，行政监督部门将对其违法行为进行处罚并通报。该投标人将被招标人列入黑名单并限制其参与招标人后续项目的投标。</w:t>
      </w:r>
    </w:p>
    <w:p>
      <w:pPr>
        <w:pBdr>
          <w:bottom w:val="single" w:color="auto" w:sz="4" w:space="0"/>
        </w:pBdr>
        <w:spacing w:line="360" w:lineRule="auto"/>
        <w:ind w:firstLine="424" w:firstLineChars="201"/>
        <w:rPr>
          <w:rFonts w:ascii="宋体" w:hAnsi="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投标人如在本项目中存在串通投标、弄虚作假</w:t>
      </w:r>
      <w:r>
        <w:rPr>
          <w:rFonts w:hint="eastAsia" w:ascii="宋体" w:hAnsi="宋体" w:cs="宋体"/>
          <w:b/>
          <w:bCs/>
          <w:color w:val="auto"/>
          <w:szCs w:val="21"/>
          <w:highlight w:val="none"/>
          <w:u w:val="single"/>
        </w:rPr>
        <w:t>骗取中标</w:t>
      </w:r>
      <w:r>
        <w:rPr>
          <w:rFonts w:hint="eastAsia" w:ascii="宋体" w:hAnsi="宋体" w:cs="宋体"/>
          <w:color w:val="auto"/>
          <w:szCs w:val="21"/>
          <w:highlight w:val="none"/>
          <w:u w:val="single"/>
        </w:rPr>
        <w:t>、行贿情形的，中标无效，行政监督部门将对其违法行为进行处罚。</w:t>
      </w:r>
      <w:r>
        <w:rPr>
          <w:rFonts w:hint="eastAsia" w:ascii="宋体" w:hAnsi="宋体" w:cs="宋体"/>
          <w:b/>
          <w:bCs/>
          <w:color w:val="auto"/>
          <w:szCs w:val="21"/>
          <w:highlight w:val="none"/>
          <w:u w:val="single"/>
        </w:rPr>
        <w:t>该投标人将被招标人列入黑名单并限制其参与招标人后续项目的投标。</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 33                          修改类型：增加</w:t>
      </w:r>
    </w:p>
    <w:p>
      <w:pPr>
        <w:pBdr>
          <w:bottom w:val="single" w:color="auto" w:sz="4" w:space="0"/>
        </w:pBdr>
        <w:spacing w:line="360" w:lineRule="auto"/>
        <w:ind w:firstLine="424" w:firstLineChars="201"/>
        <w:rPr>
          <w:rFonts w:ascii="宋体" w:hAnsi="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snapToGrid w:val="0"/>
          <w:color w:val="auto"/>
          <w:kern w:val="0"/>
          <w:szCs w:val="21"/>
          <w:highlight w:val="none"/>
          <w:u w:val="single"/>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w:t>
      </w:r>
    </w:p>
    <w:p>
      <w:pPr>
        <w:spacing w:line="360" w:lineRule="auto"/>
        <w:ind w:firstLine="424" w:firstLineChars="201"/>
        <w:rPr>
          <w:rFonts w:ascii="宋体" w:hAnsi="宋体"/>
          <w:b/>
          <w:color w:val="auto"/>
          <w:szCs w:val="21"/>
          <w:highlight w:val="none"/>
        </w:rPr>
      </w:pPr>
      <w:r>
        <w:rPr>
          <w:rFonts w:hint="eastAsia" w:ascii="宋体" w:hAnsi="宋体"/>
          <w:b/>
          <w:color w:val="auto"/>
          <w:szCs w:val="21"/>
          <w:highlight w:val="none"/>
        </w:rPr>
        <w:t>注：以上修改，仅限于本范本中有可供选择条款的情形。</w:t>
      </w:r>
    </w:p>
    <w:p>
      <w:pPr>
        <w:spacing w:line="360" w:lineRule="auto"/>
        <w:ind w:firstLine="424" w:firstLineChars="201"/>
        <w:rPr>
          <w:rFonts w:hint="eastAsia" w:ascii="宋体" w:hAnsi="宋体"/>
          <w:b/>
          <w:color w:val="auto"/>
          <w:szCs w:val="21"/>
          <w:highlight w:val="none"/>
        </w:rPr>
      </w:pPr>
      <w:r>
        <w:rPr>
          <w:rFonts w:hint="eastAsia" w:ascii="宋体" w:hAnsi="宋体"/>
          <w:b/>
          <w:color w:val="auto"/>
          <w:szCs w:val="21"/>
          <w:highlight w:val="none"/>
        </w:rPr>
        <w:t>（以下无正文）</w:t>
      </w:r>
    </w:p>
    <w:p>
      <w:pPr>
        <w:rPr>
          <w:rFonts w:hint="eastAsia" w:ascii="宋体" w:hAnsi="宋体"/>
          <w:b/>
          <w:color w:val="auto"/>
          <w:szCs w:val="21"/>
          <w:highlight w:val="none"/>
        </w:rPr>
      </w:pPr>
      <w:r>
        <w:rPr>
          <w:rFonts w:hint="eastAsia" w:ascii="宋体" w:hAnsi="宋体"/>
          <w:b/>
          <w:color w:val="auto"/>
          <w:szCs w:val="21"/>
          <w:highlight w:val="none"/>
        </w:rPr>
        <w:br w:type="page"/>
      </w:r>
    </w:p>
    <w:p>
      <w:pPr>
        <w:pStyle w:val="2"/>
        <w:rPr>
          <w:color w:val="auto"/>
        </w:rPr>
      </w:pPr>
    </w:p>
    <w:p>
      <w:pPr>
        <w:pStyle w:val="5"/>
        <w:numPr>
          <w:ilvl w:val="0"/>
          <w:numId w:val="5"/>
        </w:numPr>
        <w:rPr>
          <w:rFonts w:hint="eastAsia"/>
          <w:color w:val="auto"/>
          <w:highlight w:val="none"/>
        </w:rPr>
      </w:pPr>
      <w:bookmarkStart w:id="7" w:name="_Toc31317"/>
      <w:bookmarkStart w:id="8" w:name="_Toc2272548"/>
      <w:r>
        <w:rPr>
          <w:rFonts w:hint="eastAsia"/>
          <w:color w:val="auto"/>
          <w:highlight w:val="none"/>
        </w:rPr>
        <w:t>投标须知通用条款</w:t>
      </w:r>
      <w:bookmarkEnd w:id="7"/>
      <w:bookmarkEnd w:id="8"/>
    </w:p>
    <w:p>
      <w:pPr>
        <w:pStyle w:val="6"/>
        <w:spacing w:before="156" w:after="156"/>
        <w:ind w:firstLine="540" w:firstLineChars="200"/>
        <w:jc w:val="center"/>
        <w:rPr>
          <w:rFonts w:hint="eastAsia" w:ascii="宋体" w:hAnsi="宋体" w:eastAsia="宋体" w:cs="宋体"/>
          <w:color w:val="auto"/>
          <w:u w:val="single"/>
        </w:rPr>
      </w:pPr>
      <w:r>
        <w:rPr>
          <w:rFonts w:hint="eastAsia" w:ascii="宋体" w:hAnsi="宋体" w:eastAsia="宋体" w:cs="宋体"/>
          <w:color w:val="auto"/>
          <w:u w:val="single"/>
        </w:rPr>
        <w:t>（详见范本）</w:t>
      </w:r>
    </w:p>
    <w:p>
      <w:pPr>
        <w:numPr>
          <w:ilvl w:val="0"/>
          <w:numId w:val="0"/>
        </w:numPr>
        <w:rPr>
          <w:color w:val="auto"/>
        </w:rPr>
      </w:pPr>
    </w:p>
    <w:p>
      <w:pPr>
        <w:pStyle w:val="2"/>
        <w:spacing w:after="0" w:line="360" w:lineRule="auto"/>
        <w:ind w:firstLine="480" w:firstLineChars="200"/>
        <w:rPr>
          <w:rFonts w:ascii="宋体" w:hAnsi="宋体"/>
          <w:color w:val="auto"/>
          <w:sz w:val="24"/>
          <w:highlight w:val="none"/>
        </w:rPr>
      </w:pPr>
    </w:p>
    <w:p>
      <w:pPr>
        <w:pStyle w:val="4"/>
        <w:rPr>
          <w:rFonts w:ascii="宋体" w:hAnsi="宋体"/>
          <w:color w:val="auto"/>
          <w:highlight w:val="none"/>
        </w:rPr>
      </w:pPr>
      <w:r>
        <w:rPr>
          <w:rFonts w:ascii="宋体" w:hAnsi="宋体"/>
          <w:color w:val="auto"/>
          <w:sz w:val="24"/>
          <w:highlight w:val="none"/>
        </w:rPr>
        <w:br w:type="page"/>
      </w:r>
      <w:bookmarkStart w:id="9" w:name="_Toc2272554"/>
      <w:bookmarkStart w:id="10" w:name="_Toc24039"/>
      <w:r>
        <w:rPr>
          <w:rFonts w:hint="eastAsia" w:ascii="宋体" w:hAnsi="宋体"/>
          <w:color w:val="auto"/>
          <w:highlight w:val="none"/>
        </w:rPr>
        <w:t>第二章</w:t>
      </w:r>
      <w:r>
        <w:rPr>
          <w:rFonts w:ascii="宋体" w:hAnsi="宋体"/>
          <w:color w:val="auto"/>
          <w:highlight w:val="none"/>
        </w:rPr>
        <w:t xml:space="preserve">  </w:t>
      </w:r>
      <w:r>
        <w:rPr>
          <w:rFonts w:hint="eastAsia" w:ascii="宋体" w:hAnsi="宋体"/>
          <w:color w:val="auto"/>
          <w:highlight w:val="none"/>
        </w:rPr>
        <w:t>开标、评标及定标办法</w:t>
      </w:r>
      <w:bookmarkEnd w:id="9"/>
      <w:bookmarkEnd w:id="10"/>
    </w:p>
    <w:p>
      <w:pPr>
        <w:pStyle w:val="5"/>
        <w:rPr>
          <w:color w:val="auto"/>
          <w:highlight w:val="none"/>
        </w:rPr>
      </w:pPr>
      <w:bookmarkStart w:id="11" w:name="_Toc10051"/>
      <w:bookmarkStart w:id="12" w:name="_Toc2272555"/>
      <w:r>
        <w:rPr>
          <w:rFonts w:hint="eastAsia"/>
          <w:color w:val="auto"/>
          <w:sz w:val="28"/>
          <w:szCs w:val="28"/>
          <w:highlight w:val="none"/>
        </w:rPr>
        <w:t>一、</w:t>
      </w:r>
      <w:r>
        <w:rPr>
          <w:rFonts w:hint="eastAsia"/>
          <w:color w:val="auto"/>
          <w:highlight w:val="none"/>
        </w:rPr>
        <w:t>开标、评标及定标办法修改表</w:t>
      </w:r>
      <w:bookmarkEnd w:id="11"/>
      <w:bookmarkEnd w:id="12"/>
    </w:p>
    <w:p>
      <w:pPr>
        <w:pStyle w:val="2"/>
        <w:pBdr>
          <w:bottom w:val="single" w:color="auto" w:sz="6" w:space="1"/>
        </w:pBdr>
        <w:spacing w:after="0" w:line="360" w:lineRule="auto"/>
        <w:rPr>
          <w:rFonts w:ascii="宋体" w:hAnsi="宋体"/>
          <w:b/>
          <w:color w:val="auto"/>
          <w:sz w:val="21"/>
          <w:szCs w:val="21"/>
          <w:highlight w:val="none"/>
        </w:rPr>
      </w:pPr>
      <w:r>
        <w:rPr>
          <w:rFonts w:hint="eastAsia" w:ascii="宋体" w:hAnsi="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ascii="宋体" w:hAnsi="宋体"/>
          <w:color w:val="auto"/>
          <w:sz w:val="21"/>
          <w:szCs w:val="21"/>
          <w:highlight w:val="none"/>
        </w:rPr>
        <w:t xml:space="preserve"> </w:t>
      </w:r>
      <w:r>
        <w:rPr>
          <w:rStyle w:val="45"/>
          <w:rFonts w:ascii="宋体" w:hAnsi="宋体"/>
          <w:b/>
          <w:color w:val="auto"/>
          <w:sz w:val="21"/>
          <w:szCs w:val="21"/>
          <w:highlight w:val="none"/>
        </w:rPr>
        <w:t>http://zfcj.gz.gov.cn/</w:t>
      </w:r>
      <w:r>
        <w:rPr>
          <w:rStyle w:val="45"/>
          <w:rFonts w:hint="eastAsia" w:ascii="宋体" w:hAnsi="宋体"/>
          <w:b/>
          <w:color w:val="auto"/>
          <w:sz w:val="21"/>
          <w:szCs w:val="21"/>
          <w:highlight w:val="none"/>
        </w:rPr>
        <w:t>）下载GZZB2018-3</w:t>
      </w:r>
      <w:r>
        <w:rPr>
          <w:rStyle w:val="45"/>
          <w:rFonts w:hint="eastAsia" w:ascii="宋体" w:hAnsi="宋体"/>
          <w:b/>
          <w:color w:val="auto"/>
          <w:sz w:val="21"/>
          <w:szCs w:val="21"/>
          <w:highlight w:val="none"/>
        </w:rPr>
        <w:fldChar w:fldCharType="end"/>
      </w:r>
      <w:r>
        <w:rPr>
          <w:rFonts w:hint="eastAsia" w:ascii="宋体" w:hAnsi="宋体"/>
          <w:b/>
          <w:color w:val="auto"/>
          <w:sz w:val="21"/>
          <w:szCs w:val="21"/>
          <w:highlight w:val="none"/>
        </w:rPr>
        <w:t>范本查阅。</w:t>
      </w:r>
    </w:p>
    <w:p>
      <w:pPr>
        <w:spacing w:line="360" w:lineRule="auto"/>
        <w:ind w:firstLine="495" w:firstLineChars="235"/>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
          <w:color w:val="auto"/>
          <w:szCs w:val="21"/>
          <w:highlight w:val="none"/>
          <w:lang w:val="en-US" w:eastAsia="zh-CN"/>
        </w:rPr>
        <w:t>35</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 xml:space="preserve">                      修改类型：修改</w:t>
      </w:r>
    </w:p>
    <w:p>
      <w:pPr>
        <w:spacing w:line="360" w:lineRule="auto"/>
        <w:ind w:firstLine="495" w:firstLineChars="235"/>
        <w:jc w:val="left"/>
        <w:rPr>
          <w:rFonts w:hint="eastAsia" w:ascii="宋体" w:hAnsi="宋体" w:eastAsia="宋体" w:cs="宋体"/>
          <w:b w:val="0"/>
          <w:bCs/>
          <w:color w:val="auto"/>
          <w:kern w:val="0"/>
          <w:sz w:val="21"/>
          <w:szCs w:val="21"/>
        </w:rPr>
      </w:pPr>
      <w:r>
        <w:rPr>
          <w:rFonts w:hint="eastAsia" w:ascii="宋体" w:hAnsi="宋体" w:eastAsia="宋体" w:cs="宋体"/>
          <w:b/>
          <w:color w:val="auto"/>
          <w:kern w:val="0"/>
          <w:sz w:val="21"/>
          <w:szCs w:val="21"/>
          <w:lang w:val="en-US" w:eastAsia="zh-CN"/>
        </w:rPr>
        <w:t>原文：</w:t>
      </w:r>
      <w:r>
        <w:rPr>
          <w:rFonts w:hint="eastAsia" w:ascii="宋体" w:hAnsi="宋体" w:cs="宋体"/>
          <w:b w:val="0"/>
          <w:bCs/>
          <w:color w:val="auto"/>
          <w:kern w:val="0"/>
          <w:sz w:val="21"/>
          <w:szCs w:val="21"/>
          <w:lang w:val="en-US" w:eastAsia="zh-CN"/>
        </w:rPr>
        <w:t>35.8</w:t>
      </w:r>
      <w:r>
        <w:rPr>
          <w:rFonts w:hint="eastAsia" w:ascii="宋体" w:hAnsi="宋体" w:eastAsia="宋体" w:cs="宋体"/>
          <w:b w:val="0"/>
          <w:bCs/>
          <w:color w:val="auto"/>
          <w:kern w:val="0"/>
          <w:sz w:val="21"/>
          <w:szCs w:val="21"/>
        </w:rPr>
        <w:t>《广州市工程建设项目招标投标管理办法》（穗府办规〔2017〕5号）；</w:t>
      </w:r>
    </w:p>
    <w:p>
      <w:pPr>
        <w:pBdr>
          <w:bottom w:val="single" w:color="auto" w:sz="4" w:space="0"/>
        </w:pBdr>
        <w:spacing w:line="360" w:lineRule="auto"/>
        <w:ind w:firstLine="495" w:firstLineChars="235"/>
        <w:rPr>
          <w:rFonts w:hint="eastAsia" w:ascii="宋体" w:hAnsi="宋体" w:cs="宋体"/>
          <w:b/>
          <w:color w:val="auto"/>
          <w:sz w:val="21"/>
          <w:szCs w:val="21"/>
          <w:highlight w:val="none"/>
        </w:rPr>
      </w:pPr>
      <w:r>
        <w:rPr>
          <w:rFonts w:hint="eastAsia" w:ascii="宋体" w:hAnsi="宋体" w:eastAsia="宋体" w:cs="宋体"/>
          <w:b/>
          <w:bCs/>
          <w:color w:val="auto"/>
          <w:sz w:val="21"/>
          <w:szCs w:val="21"/>
          <w:lang w:val="en-US" w:eastAsia="zh-CN"/>
        </w:rPr>
        <w:t>现文：</w:t>
      </w:r>
      <w:r>
        <w:rPr>
          <w:rFonts w:hint="eastAsia" w:ascii="宋体" w:hAnsi="宋体" w:eastAsia="宋体" w:cs="宋体"/>
          <w:b w:val="0"/>
          <w:bCs/>
          <w:color w:val="auto"/>
          <w:kern w:val="0"/>
          <w:sz w:val="21"/>
          <w:szCs w:val="21"/>
        </w:rPr>
        <w:t>35.8《广州市工程建设项目招标投标管理办法》（穗建规字〔2023〕12号）；</w:t>
      </w:r>
    </w:p>
    <w:p>
      <w:pPr>
        <w:spacing w:line="360" w:lineRule="auto"/>
        <w:ind w:firstLine="495" w:firstLineChars="235"/>
        <w:rPr>
          <w:rFonts w:ascii="宋体" w:hAnsi="宋体" w:cs="宋体"/>
          <w:b/>
          <w:color w:val="auto"/>
          <w:szCs w:val="21"/>
          <w:highlight w:val="none"/>
        </w:rPr>
      </w:pPr>
      <w:r>
        <w:rPr>
          <w:rFonts w:hint="eastAsia" w:ascii="宋体" w:hAnsi="宋体" w:cs="宋体"/>
          <w:b/>
          <w:color w:val="auto"/>
          <w:szCs w:val="21"/>
          <w:highlight w:val="none"/>
        </w:rPr>
        <w:t>条款号： 36.1                      修改类型：修改</w:t>
      </w:r>
    </w:p>
    <w:p>
      <w:pPr>
        <w:spacing w:line="360" w:lineRule="auto"/>
        <w:ind w:firstLine="495" w:firstLineChars="23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cs="宋体"/>
          <w:color w:val="auto"/>
          <w:szCs w:val="21"/>
          <w:highlight w:val="none"/>
        </w:rPr>
        <w:t>。</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条款号：36.3                        修改类型：删除</w:t>
      </w:r>
    </w:p>
    <w:p>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36.4若递交投标文件的投标人不足3家，则重新组织招标。</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条款号：36.5.1  36.5.2    36.5.3                 修改类型：修改</w:t>
      </w:r>
    </w:p>
    <w:p>
      <w:pP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36.5.2备用光盘的读取按投标须知前附表第36项的规定执行；</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36.5.3投标人代表、招标人代表、监标人、记录人等有关人员在开标记录上签字确认；若有关人员不签字的，不影响开标程序；</w:t>
      </w:r>
    </w:p>
    <w:p>
      <w:pPr>
        <w:pStyle w:val="36"/>
        <w:rPr>
          <w:color w:val="auto"/>
          <w:highlight w:val="none"/>
        </w:rPr>
      </w:pPr>
    </w:p>
    <w:p>
      <w:pPr>
        <w:pBdr>
          <w:bottom w:val="none" w:color="auto" w:sz="0"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进行解密。解密完成后，公布招标项目名称、投标人名称、投标保证金的递交情况、投标报价、工期及其他内容；</w:t>
      </w:r>
    </w:p>
    <w:p>
      <w:pPr>
        <w:pStyle w:val="27"/>
        <w:pBdr>
          <w:bottom w:val="single" w:color="auto" w:sz="4" w:space="0"/>
        </w:pBdr>
        <w:ind w:firstLine="420" w:firstLineChars="200"/>
        <w:rPr>
          <w:rFonts w:cs="宋体"/>
          <w:caps w:val="0"/>
          <w:color w:val="auto"/>
          <w:kern w:val="2"/>
          <w:sz w:val="21"/>
          <w:szCs w:val="21"/>
          <w:highlight w:val="none"/>
        </w:rPr>
      </w:pPr>
      <w:r>
        <w:rPr>
          <w:rFonts w:hint="eastAsia" w:cs="宋体"/>
          <w:caps w:val="0"/>
          <w:color w:val="auto"/>
          <w:kern w:val="2"/>
          <w:sz w:val="21"/>
          <w:szCs w:val="21"/>
          <w:highlight w:val="none"/>
        </w:rPr>
        <w:t>36.5.2备用光盘的读取按投标须知前附表第</w:t>
      </w:r>
      <w:r>
        <w:rPr>
          <w:rFonts w:hint="eastAsia" w:cs="宋体"/>
          <w:caps w:val="0"/>
          <w:color w:val="auto"/>
          <w:kern w:val="2"/>
          <w:sz w:val="21"/>
          <w:szCs w:val="21"/>
          <w:highlight w:val="none"/>
          <w:u w:val="single"/>
        </w:rPr>
        <w:t>38</w:t>
      </w:r>
      <w:r>
        <w:rPr>
          <w:rFonts w:hint="eastAsia" w:cs="宋体"/>
          <w:caps w:val="0"/>
          <w:color w:val="auto"/>
          <w:kern w:val="2"/>
          <w:sz w:val="21"/>
          <w:szCs w:val="21"/>
          <w:highlight w:val="none"/>
        </w:rPr>
        <w:t>项的规定执行；</w:t>
      </w:r>
    </w:p>
    <w:p>
      <w:pPr>
        <w:pStyle w:val="27"/>
        <w:pBdr>
          <w:bottom w:val="single" w:color="auto" w:sz="4" w:space="0"/>
        </w:pBdr>
        <w:ind w:firstLine="420" w:firstLineChars="200"/>
        <w:rPr>
          <w:rFonts w:cs="宋体"/>
          <w:caps w:val="0"/>
          <w:color w:val="auto"/>
          <w:kern w:val="2"/>
          <w:sz w:val="21"/>
          <w:szCs w:val="21"/>
          <w:highlight w:val="none"/>
        </w:rPr>
      </w:pPr>
      <w:r>
        <w:rPr>
          <w:rFonts w:hint="eastAsia" w:cs="宋体"/>
          <w:caps w:val="0"/>
          <w:color w:val="auto"/>
          <w:kern w:val="2"/>
          <w:sz w:val="21"/>
          <w:szCs w:val="21"/>
          <w:highlight w:val="none"/>
        </w:rPr>
        <w:t>36.5.3投标人代表、招标人代表、监标人、记录人等有关人员在开标记录上签字确认；若有关人员不签字的，不影响开标程序；若</w:t>
      </w:r>
      <w:r>
        <w:rPr>
          <w:rFonts w:hint="eastAsia" w:cs="宋体"/>
          <w:caps w:val="0"/>
          <w:color w:val="auto"/>
          <w:kern w:val="2"/>
          <w:sz w:val="21"/>
          <w:szCs w:val="21"/>
          <w:highlight w:val="none"/>
          <w:u w:val="single"/>
        </w:rPr>
        <w:t>投标人不参加开标会的，或不签字确认的，视同该投标人认可开标结果</w:t>
      </w:r>
      <w:r>
        <w:rPr>
          <w:rFonts w:hint="eastAsia" w:cs="宋体"/>
          <w:caps w:val="0"/>
          <w:color w:val="auto"/>
          <w:kern w:val="2"/>
          <w:sz w:val="21"/>
          <w:szCs w:val="21"/>
          <w:highlight w:val="none"/>
        </w:rPr>
        <w:t>。</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条款号：3</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                         修改类型：修改</w:t>
      </w:r>
    </w:p>
    <w:p>
      <w:pP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kern w:val="0"/>
          <w:sz w:val="21"/>
          <w:szCs w:val="21"/>
        </w:rPr>
        <w:t>37.3 评标结束后，评标委员会递交评标报告并依法推荐中标候选人。</w:t>
      </w:r>
    </w:p>
    <w:p>
      <w:pPr>
        <w:pBdr>
          <w:bottom w:val="single" w:color="auto" w:sz="4" w:space="0"/>
        </w:pBdr>
        <w:spacing w:line="360" w:lineRule="auto"/>
        <w:ind w:firstLine="424" w:firstLineChars="201"/>
        <w:rPr>
          <w:rFonts w:hint="eastAsia" w:ascii="宋体" w:hAnsi="宋体" w:eastAsia="宋体" w:cs="宋体"/>
          <w:b/>
          <w:color w:val="auto"/>
          <w:kern w:val="0"/>
          <w:sz w:val="21"/>
          <w:szCs w:val="21"/>
          <w:u w:val="single"/>
        </w:rPr>
      </w:pPr>
      <w:r>
        <w:rPr>
          <w:rFonts w:hint="eastAsia" w:ascii="宋体" w:hAnsi="宋体" w:eastAsia="宋体" w:cs="宋体"/>
          <w:b/>
          <w:color w:val="auto"/>
          <w:sz w:val="21"/>
          <w:szCs w:val="21"/>
          <w:highlight w:val="none"/>
        </w:rPr>
        <w:t>现文：</w:t>
      </w:r>
      <w:r>
        <w:rPr>
          <w:rFonts w:hint="eastAsia" w:ascii="宋体" w:hAnsi="宋体" w:eastAsia="宋体" w:cs="宋体"/>
          <w:b w:val="0"/>
          <w:bCs/>
          <w:color w:val="auto"/>
          <w:kern w:val="0"/>
          <w:sz w:val="21"/>
          <w:szCs w:val="21"/>
        </w:rPr>
        <w:t>37.3</w:t>
      </w:r>
      <w:r>
        <w:rPr>
          <w:rFonts w:hint="eastAsia" w:ascii="宋体" w:hAnsi="宋体" w:eastAsia="宋体" w:cs="宋体"/>
          <w:b/>
          <w:color w:val="auto"/>
          <w:kern w:val="0"/>
          <w:sz w:val="21"/>
          <w:szCs w:val="21"/>
        </w:rPr>
        <w:t xml:space="preserve"> </w:t>
      </w:r>
      <w:r>
        <w:rPr>
          <w:rFonts w:hint="eastAsia" w:ascii="宋体" w:hAnsi="宋体" w:eastAsia="宋体" w:cs="宋体"/>
          <w:b w:val="0"/>
          <w:bCs/>
          <w:color w:val="auto"/>
          <w:kern w:val="0"/>
          <w:sz w:val="21"/>
          <w:szCs w:val="21"/>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条款号：3</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                        修改类型：修改</w:t>
      </w:r>
    </w:p>
    <w:p>
      <w:pP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kern w:val="0"/>
          <w:sz w:val="21"/>
          <w:szCs w:val="21"/>
        </w:rPr>
        <w:t>37.</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rPr>
        <w:t xml:space="preserve"> 评标结束后，评标委员会递交评标报告并依法推荐中标候选人。</w:t>
      </w:r>
    </w:p>
    <w:p>
      <w:pPr>
        <w:pBdr>
          <w:bottom w:val="single" w:color="auto" w:sz="4" w:space="0"/>
        </w:pBdr>
        <w:spacing w:line="360" w:lineRule="auto"/>
        <w:ind w:firstLine="424" w:firstLineChars="201"/>
        <w:rPr>
          <w:rFonts w:hint="eastAsia" w:ascii="宋体" w:hAnsi="宋体" w:eastAsia="宋体" w:cs="宋体"/>
          <w:b/>
          <w:color w:val="auto"/>
          <w:kern w:val="0"/>
          <w:sz w:val="21"/>
          <w:szCs w:val="21"/>
        </w:rPr>
      </w:pPr>
      <w:r>
        <w:rPr>
          <w:rFonts w:hint="eastAsia" w:ascii="宋体" w:hAnsi="宋体" w:eastAsia="宋体" w:cs="宋体"/>
          <w:b/>
          <w:color w:val="auto"/>
          <w:sz w:val="21"/>
          <w:szCs w:val="21"/>
          <w:highlight w:val="none"/>
        </w:rPr>
        <w:t>现文：</w:t>
      </w:r>
      <w:r>
        <w:rPr>
          <w:rFonts w:hint="eastAsia" w:ascii="宋体" w:hAnsi="宋体" w:eastAsia="宋体" w:cs="宋体"/>
          <w:b/>
          <w:color w:val="auto"/>
          <w:kern w:val="0"/>
          <w:sz w:val="21"/>
          <w:szCs w:val="21"/>
          <w:u w:val="single"/>
        </w:rPr>
        <w:t>37.</w:t>
      </w:r>
      <w:r>
        <w:rPr>
          <w:rFonts w:hint="eastAsia" w:ascii="宋体" w:hAnsi="宋体" w:cs="宋体"/>
          <w:b/>
          <w:color w:val="auto"/>
          <w:kern w:val="0"/>
          <w:sz w:val="21"/>
          <w:szCs w:val="21"/>
          <w:u w:val="single"/>
          <w:lang w:val="en-US" w:eastAsia="zh-CN"/>
        </w:rPr>
        <w:t>4</w:t>
      </w:r>
      <w:r>
        <w:rPr>
          <w:rFonts w:hint="eastAsia" w:ascii="宋体" w:hAnsi="宋体" w:eastAsia="宋体" w:cs="宋体"/>
          <w:bCs/>
          <w:color w:val="auto"/>
          <w:kern w:val="0"/>
          <w:sz w:val="21"/>
          <w:szCs w:val="21"/>
        </w:rPr>
        <w:t>评标结束后，评标委员会递交评标报告并依法推荐中标候选人</w:t>
      </w:r>
      <w:r>
        <w:rPr>
          <w:rFonts w:hint="eastAsia" w:ascii="宋体" w:hAnsi="宋体" w:eastAsia="宋体" w:cs="宋体"/>
          <w:b w:val="0"/>
          <w:bCs/>
          <w:color w:val="auto"/>
          <w:kern w:val="0"/>
          <w:sz w:val="21"/>
          <w:szCs w:val="21"/>
        </w:rPr>
        <w:t>。</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条款号：38.1                         修改类型：修改</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ascii="宋体" w:hAnsi="宋体" w:cs="宋体"/>
          <w:b/>
          <w:color w:val="auto"/>
          <w:szCs w:val="21"/>
          <w:highlight w:val="none"/>
        </w:rPr>
        <w:t xml:space="preserve">39.2 </w:t>
      </w:r>
      <w:r>
        <w:rPr>
          <w:rFonts w:hint="eastAsia"/>
          <w:b/>
          <w:color w:val="auto"/>
          <w:szCs w:val="21"/>
          <w:highlight w:val="none"/>
        </w:rPr>
        <w:t xml:space="preserve">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b/>
          <w:bCs/>
          <w:color w:val="auto"/>
          <w:szCs w:val="21"/>
          <w:highlight w:val="none"/>
        </w:rPr>
        <w:t>原文：</w:t>
      </w:r>
      <w:r>
        <w:rPr>
          <w:rFonts w:hint="eastAsia" w:ascii="宋体" w:hAnsi="宋体" w:cs="宋体"/>
          <w:color w:val="auto"/>
          <w:szCs w:val="21"/>
          <w:highlight w:val="none"/>
        </w:rPr>
        <w:t>39.2依法必须进行公开招标的项目，招标人应当确定排名第一的中标候选人为中标人；</w:t>
      </w:r>
    </w:p>
    <w:p>
      <w:pPr>
        <w:pBdr>
          <w:bottom w:val="single" w:color="auto" w:sz="6" w:space="1"/>
        </w:pBdr>
        <w:spacing w:line="360" w:lineRule="auto"/>
        <w:ind w:firstLine="424" w:firstLineChars="201"/>
        <w:rPr>
          <w:rFonts w:ascii="宋体" w:hAnsi="宋体" w:cs="宋体"/>
          <w:color w:val="auto"/>
          <w:szCs w:val="21"/>
          <w:highlight w:val="none"/>
          <w:u w:val="single"/>
        </w:rPr>
      </w:pPr>
      <w:r>
        <w:rPr>
          <w:rFonts w:hint="eastAsia" w:ascii="宋体" w:hAnsi="宋体" w:cs="宋体"/>
          <w:b/>
          <w:bCs/>
          <w:color w:val="auto"/>
          <w:szCs w:val="21"/>
          <w:highlight w:val="none"/>
        </w:rPr>
        <w:t>现文：</w:t>
      </w:r>
      <w:r>
        <w:rPr>
          <w:rFonts w:hint="eastAsia" w:ascii="宋体" w:hAnsi="宋体" w:cs="宋体"/>
          <w:color w:val="auto"/>
          <w:szCs w:val="21"/>
          <w:highlight w:val="none"/>
        </w:rPr>
        <w:t>39.2依法必须进行公开招标的项目，招标人应当确定排名第一的中标候选人为中标人，</w:t>
      </w:r>
      <w:r>
        <w:rPr>
          <w:rFonts w:hint="eastAsia" w:ascii="宋体" w:hAnsi="宋体" w:cs="宋体"/>
          <w:color w:val="auto"/>
          <w:szCs w:val="21"/>
          <w:highlight w:val="none"/>
          <w:u w:val="single"/>
        </w:rPr>
        <w:t>若在填报中标候选人公示信息时被发现委派的项目负责人已在其他在建项目中任职、不符合任职数量规定时，则不能进行中标候选人公示，招标人可以确定排名第二的中标候选人为中标人。</w:t>
      </w:r>
    </w:p>
    <w:p>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b/>
          <w:color w:val="auto"/>
          <w:szCs w:val="21"/>
          <w:highlight w:val="none"/>
        </w:rPr>
        <w:t xml:space="preserve">39.3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b/>
          <w:bCs/>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rPr>
        <w:t>现文：39.3排名第一的中标候选人放弃中标、或因不可抗力不能履行合同，</w:t>
      </w:r>
      <w:r>
        <w:rPr>
          <w:rFonts w:hint="eastAsia" w:ascii="宋体" w:hAnsi="宋体" w:cs="宋体"/>
          <w:color w:val="auto"/>
          <w:szCs w:val="21"/>
          <w:highlight w:val="none"/>
          <w:u w:val="single"/>
        </w:rPr>
        <w:t>或不按照招标文件要求提交履约担保，或经核查发现委派的项目负责人已在其他在建项目中任职的，或者被查实存在影响中标结果的违法行为等情形，不符合中标条件的，招标人可以确定排名第二的中标候选人为中标人。</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可选办法六（适合综合评分法三，技术标与经济标同时开启）</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可选办法八（适合经评审的最低投标价法，技术标与经济标同时开启）</w:t>
      </w:r>
      <w:r>
        <w:rPr>
          <w:rFonts w:hint="eastAsia" w:ascii="宋体" w:hAnsi="宋体" w:cs="宋体"/>
          <w:color w:val="auto"/>
          <w:sz w:val="18"/>
          <w:szCs w:val="18"/>
          <w:highlight w:val="none"/>
        </w:rPr>
        <w:t xml:space="preserve">     </w:t>
      </w:r>
      <w:r>
        <w:rPr>
          <w:rFonts w:hint="eastAsia" w:ascii="宋体" w:hAnsi="宋体" w:cs="宋体"/>
          <w:b/>
          <w:color w:val="auto"/>
          <w:szCs w:val="21"/>
          <w:highlight w:val="none"/>
        </w:rPr>
        <w:t>修改类型：删除</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480" w:lineRule="auto"/>
        <w:ind w:firstLine="470" w:firstLineChars="224"/>
        <w:rPr>
          <w:rFonts w:ascii="宋体" w:hAnsi="宋体" w:cs="宋体"/>
          <w:b/>
          <w:color w:val="auto"/>
          <w:szCs w:val="21"/>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-376555</wp:posOffset>
                </wp:positionH>
                <wp:positionV relativeFrom="paragraph">
                  <wp:posOffset>19685</wp:posOffset>
                </wp:positionV>
                <wp:extent cx="6162675" cy="0"/>
                <wp:effectExtent l="0" t="0" r="0" b="0"/>
                <wp:wrapNone/>
                <wp:docPr id="31" name="直接箭头连接符 31"/>
                <wp:cNvGraphicFramePr/>
                <a:graphic xmlns:a="http://schemas.openxmlformats.org/drawingml/2006/main">
                  <a:graphicData uri="http://schemas.microsoft.com/office/word/2010/wordprocessingShape">
                    <wps:wsp>
                      <wps:cNvCnPr/>
                      <wps:spPr>
                        <a:xfrm>
                          <a:off x="0" y="0"/>
                          <a:ext cx="61626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9.65pt;margin-top:1.55pt;height:0pt;width:485.25pt;z-index:251660288;mso-width-relative:page;mso-height-relative:page;" filled="f" stroked="t" coordsize="21600,21600" o:gfxdata="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fRdOzUAAAABwEAAA8AAAAAAAAAAQAgAAAAIgAAAGRycy9kb3du&#10;cmV2LnhtbFBLAQIUABQAAAAIAIdO4kCqwcOPAwIAAPwDAAAOAAAAAAAAAAEAIAAAACMBAABkcnMv&#10;ZTJvRG9jLnhtbFBLBQYAAAAABgAGAFkBAACYBQAAAAA=&#10;">
                <v:fill on="f" focussize="0,0"/>
                <v:stroke color="#000000" joinstyle="round"/>
                <v:imagedata o:title=""/>
                <o:lock v:ext="edit" aspectratio="f"/>
              </v:shape>
            </w:pict>
          </mc:Fallback>
        </mc:AlternateContent>
      </w:r>
      <w:r>
        <w:rPr>
          <w:rFonts w:hint="eastAsia" w:ascii="宋体" w:hAnsi="宋体" w:cs="宋体"/>
          <w:b/>
          <w:color w:val="auto"/>
          <w:szCs w:val="21"/>
          <w:highlight w:val="none"/>
        </w:rPr>
        <w:t>条款号：40            修改类型：修改</w:t>
      </w:r>
    </w:p>
    <w:p>
      <w:pPr>
        <w:pStyle w:val="2"/>
        <w:spacing w:line="360" w:lineRule="auto"/>
        <w:ind w:firstLine="402" w:firstLineChars="200"/>
        <w:rPr>
          <w:rFonts w:ascii="宋体" w:hAnsi="宋体"/>
          <w:color w:val="auto"/>
          <w:sz w:val="21"/>
          <w:szCs w:val="21"/>
          <w:highlight w:val="none"/>
        </w:rPr>
      </w:pPr>
      <w:r>
        <w:rPr>
          <w:rFonts w:hint="eastAsia" w:ascii="宋体" w:hAnsi="宋体" w:cs="宋体"/>
          <w:b/>
          <w:color w:val="auto"/>
          <w:szCs w:val="21"/>
          <w:highlight w:val="none"/>
        </w:rPr>
        <w:t>原文：</w:t>
      </w:r>
      <w:r>
        <w:rPr>
          <w:rFonts w:hint="eastAsia" w:ascii="宋体" w:hAnsi="宋体"/>
          <w:color w:val="auto"/>
          <w:sz w:val="21"/>
          <w:szCs w:val="21"/>
          <w:highlight w:val="none"/>
        </w:rPr>
        <w:t>40．开标和评标程序：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40.1投标人递交技术标、经济标投标文件；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40.2技术标与经济标投标文件同时公开开标；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40.3由评标委员会对所有已公开开标的投标人进行资格审查；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40.4技术标投标文件有效性审查；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40.5技术标详细审查评分；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40.6计算第一阶段得分，并按照总分从高到低排列先后次序，编写第一阶段评审报告；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40.7按投标须知前附表第25项规定，确定进入第二阶段评审的投标人；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40.8将进入第二阶段评审的投标人进行排序；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40.9按排序对经济标投标文件进行有效性审查（含投标报价算术校核），直至评出所有中标候选人；</w:t>
      </w:r>
    </w:p>
    <w:p>
      <w:pPr>
        <w:pBdr>
          <w:bottom w:val="single" w:color="auto" w:sz="6" w:space="1"/>
        </w:pBdr>
        <w:ind w:firstLine="420" w:firstLineChars="200"/>
        <w:rPr>
          <w:rFonts w:ascii="宋体" w:hAnsi="宋体" w:cs="宋体"/>
          <w:color w:val="auto"/>
          <w:szCs w:val="21"/>
          <w:highlight w:val="none"/>
        </w:rPr>
      </w:pPr>
      <w:r>
        <w:rPr>
          <w:rFonts w:hint="eastAsia" w:ascii="宋体" w:hAnsi="宋体"/>
          <w:color w:val="auto"/>
          <w:szCs w:val="21"/>
          <w:highlight w:val="none"/>
        </w:rPr>
        <w:t>40.10评标委员会编写评标报告，向招标人推荐中标候选人名单</w:t>
      </w:r>
      <w:r>
        <w:rPr>
          <w:rFonts w:hint="eastAsia" w:ascii="宋体" w:hAnsi="宋体" w:cs="宋体"/>
          <w:color w:val="auto"/>
          <w:szCs w:val="21"/>
          <w:highlight w:val="none"/>
        </w:rPr>
        <w:t>。</w:t>
      </w:r>
    </w:p>
    <w:p>
      <w:pPr>
        <w:pBdr>
          <w:bottom w:val="single" w:color="auto" w:sz="6" w:space="1"/>
        </w:pBdr>
        <w:spacing w:line="360" w:lineRule="auto"/>
        <w:ind w:firstLine="472" w:firstLineChars="224"/>
        <w:rPr>
          <w:rFonts w:ascii="宋体" w:hAnsi="宋体"/>
          <w:color w:val="auto"/>
          <w:szCs w:val="21"/>
          <w:highlight w:val="none"/>
        </w:rPr>
      </w:pPr>
      <w:r>
        <w:rPr>
          <w:rFonts w:hint="eastAsia" w:ascii="宋体" w:hAnsi="宋体" w:cs="宋体"/>
          <w:b/>
          <w:color w:val="auto"/>
          <w:szCs w:val="21"/>
          <w:highlight w:val="none"/>
        </w:rPr>
        <w:t>现文：</w:t>
      </w:r>
      <w:r>
        <w:rPr>
          <w:rFonts w:hint="eastAsia" w:ascii="宋体" w:hAnsi="宋体"/>
          <w:color w:val="auto"/>
          <w:szCs w:val="21"/>
          <w:highlight w:val="none"/>
        </w:rPr>
        <w:t>40．开标和评标程序：</w:t>
      </w:r>
    </w:p>
    <w:p>
      <w:pPr>
        <w:pBdr>
          <w:bottom w:val="single" w:color="auto" w:sz="6" w:space="1"/>
        </w:pBd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40.1投标人递交技术标</w:t>
      </w:r>
      <w:r>
        <w:rPr>
          <w:rFonts w:hint="eastAsia" w:ascii="宋体" w:hAnsi="宋体"/>
          <w:color w:val="auto"/>
          <w:szCs w:val="21"/>
          <w:highlight w:val="none"/>
          <w:u w:val="single"/>
        </w:rPr>
        <w:t>（含资格审查文件）</w:t>
      </w:r>
      <w:r>
        <w:rPr>
          <w:rFonts w:hint="eastAsia" w:ascii="宋体" w:hAnsi="宋体"/>
          <w:color w:val="auto"/>
          <w:szCs w:val="21"/>
          <w:highlight w:val="none"/>
        </w:rPr>
        <w:t>、经济标投标文件；</w:t>
      </w:r>
    </w:p>
    <w:p>
      <w:pPr>
        <w:pBdr>
          <w:bottom w:val="single" w:color="auto" w:sz="6" w:space="1"/>
        </w:pBd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rPr>
        <w:t>40.2技术标</w:t>
      </w:r>
      <w:r>
        <w:rPr>
          <w:rFonts w:hint="eastAsia" w:ascii="宋体" w:hAnsi="宋体"/>
          <w:color w:val="auto"/>
          <w:szCs w:val="21"/>
          <w:highlight w:val="none"/>
          <w:u w:val="single"/>
        </w:rPr>
        <w:t>（含资格审查文件）</w:t>
      </w:r>
      <w:r>
        <w:rPr>
          <w:rFonts w:hint="eastAsia" w:ascii="宋体" w:hAnsi="宋体"/>
          <w:color w:val="auto"/>
          <w:szCs w:val="21"/>
          <w:highlight w:val="none"/>
        </w:rPr>
        <w:t>与经济标投标文件同时公开开标。</w:t>
      </w:r>
    </w:p>
    <w:p>
      <w:pPr>
        <w:pBdr>
          <w:bottom w:val="single" w:color="auto" w:sz="6" w:space="1"/>
        </w:pBd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40.3由评标委员会对所有已公开开标的投标人进行资格审查，并编写资格审查报告；</w:t>
      </w:r>
    </w:p>
    <w:p>
      <w:pPr>
        <w:pBdr>
          <w:bottom w:val="single" w:color="auto" w:sz="6" w:space="1"/>
        </w:pBd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40.4技术标投标文件有效性审查；</w:t>
      </w:r>
    </w:p>
    <w:p>
      <w:pPr>
        <w:pBdr>
          <w:bottom w:val="single" w:color="auto" w:sz="6" w:space="1"/>
        </w:pBd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40.5技术标详细审查评分；</w:t>
      </w:r>
    </w:p>
    <w:p>
      <w:pPr>
        <w:pBdr>
          <w:bottom w:val="single" w:color="auto" w:sz="6" w:space="1"/>
        </w:pBd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40.6</w:t>
      </w:r>
      <w:r>
        <w:rPr>
          <w:rFonts w:hint="eastAsia" w:ascii="宋体" w:hAnsi="宋体"/>
          <w:color w:val="auto"/>
          <w:szCs w:val="21"/>
          <w:highlight w:val="none"/>
          <w:u w:val="single"/>
        </w:rPr>
        <w:t>汇总技术标得分，</w:t>
      </w:r>
      <w:r>
        <w:rPr>
          <w:rFonts w:hint="eastAsia" w:ascii="宋体" w:hAnsi="宋体"/>
          <w:color w:val="auto"/>
          <w:szCs w:val="21"/>
          <w:highlight w:val="none"/>
        </w:rPr>
        <w:t xml:space="preserve">计算第一阶段得分，并按照总分从高到低排列先后次序，编写第一阶段评审报告； </w:t>
      </w:r>
    </w:p>
    <w:p>
      <w:pPr>
        <w:pBdr>
          <w:bottom w:val="single" w:color="auto" w:sz="6" w:space="1"/>
        </w:pBd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40.7按投标须知前附表第</w:t>
      </w:r>
      <w:r>
        <w:rPr>
          <w:rFonts w:hint="eastAsia" w:ascii="宋体" w:hAnsi="宋体"/>
          <w:color w:val="auto"/>
          <w:szCs w:val="21"/>
          <w:highlight w:val="none"/>
          <w:u w:val="single"/>
        </w:rPr>
        <w:t>2</w:t>
      </w:r>
      <w:r>
        <w:rPr>
          <w:rFonts w:ascii="宋体" w:hAnsi="宋体"/>
          <w:color w:val="auto"/>
          <w:szCs w:val="21"/>
          <w:highlight w:val="none"/>
          <w:u w:val="single"/>
        </w:rPr>
        <w:t>6</w:t>
      </w:r>
      <w:r>
        <w:rPr>
          <w:rFonts w:hint="eastAsia" w:ascii="宋体" w:hAnsi="宋体"/>
          <w:color w:val="auto"/>
          <w:szCs w:val="21"/>
          <w:highlight w:val="none"/>
        </w:rPr>
        <w:t>项规定，确定进入第二阶段评审的投标人；</w:t>
      </w:r>
    </w:p>
    <w:p>
      <w:pPr>
        <w:pBdr>
          <w:bottom w:val="single" w:color="auto" w:sz="6" w:space="1"/>
        </w:pBd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40.</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将进入第二阶段评审的投标人的经济标进行评分，并按投标须知前附表第3</w:t>
      </w:r>
      <w:r>
        <w:rPr>
          <w:rFonts w:hint="eastAsia" w:ascii="宋体" w:hAnsi="宋体"/>
          <w:color w:val="auto"/>
          <w:szCs w:val="21"/>
          <w:highlight w:val="none"/>
          <w:u w:val="single"/>
          <w:lang w:val="en-US" w:eastAsia="zh-CN"/>
        </w:rPr>
        <w:t>3</w:t>
      </w:r>
      <w:r>
        <w:rPr>
          <w:rFonts w:ascii="宋体" w:hAnsi="宋体"/>
          <w:color w:val="auto"/>
          <w:szCs w:val="21"/>
          <w:highlight w:val="none"/>
          <w:u w:val="single"/>
        </w:rPr>
        <w:t>项规定</w:t>
      </w:r>
      <w:r>
        <w:rPr>
          <w:rFonts w:hint="eastAsia" w:ascii="宋体" w:hAnsi="宋体"/>
          <w:color w:val="auto"/>
          <w:szCs w:val="21"/>
          <w:highlight w:val="none"/>
          <w:u w:val="single"/>
        </w:rPr>
        <w:t>汇总技术标得分、经济分，按第二阶段总得分进行排序；</w:t>
      </w:r>
    </w:p>
    <w:p>
      <w:pPr>
        <w:pBdr>
          <w:bottom w:val="single" w:color="auto" w:sz="6" w:space="1"/>
        </w:pBd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40.</w:t>
      </w:r>
      <w:r>
        <w:rPr>
          <w:rFonts w:hint="eastAsia" w:ascii="宋体" w:hAnsi="宋体"/>
          <w:color w:val="auto"/>
          <w:szCs w:val="21"/>
          <w:highlight w:val="none"/>
          <w:u w:val="single"/>
          <w:lang w:val="en-US" w:eastAsia="zh-CN"/>
        </w:rPr>
        <w:t>9</w:t>
      </w:r>
      <w:r>
        <w:rPr>
          <w:rFonts w:hint="eastAsia" w:ascii="宋体" w:hAnsi="宋体"/>
          <w:color w:val="auto"/>
          <w:szCs w:val="21"/>
          <w:highlight w:val="none"/>
        </w:rPr>
        <w:t>按排序对经济标投标文件进行有效性审查（含投标报价算术校核），直至评出所有中标候选人；</w:t>
      </w:r>
    </w:p>
    <w:p>
      <w:pPr>
        <w:pBdr>
          <w:bottom w:val="single" w:color="auto" w:sz="6" w:space="1"/>
        </w:pBdr>
        <w:spacing w:line="360" w:lineRule="auto"/>
        <w:ind w:firstLine="525" w:firstLineChars="250"/>
        <w:rPr>
          <w:rFonts w:ascii="宋体" w:hAnsi="宋体" w:cs="宋体"/>
          <w:color w:val="auto"/>
          <w:highlight w:val="none"/>
        </w:rPr>
      </w:pPr>
      <w:r>
        <w:rPr>
          <w:rFonts w:hint="eastAsia" w:ascii="宋体" w:hAnsi="宋体"/>
          <w:color w:val="auto"/>
          <w:szCs w:val="21"/>
          <w:highlight w:val="none"/>
          <w:u w:val="single"/>
        </w:rPr>
        <w:t>40.1</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评标委员会编写评标报告，向招标人推荐中标候选人名单</w:t>
      </w:r>
      <w:r>
        <w:rPr>
          <w:rFonts w:hint="eastAsia" w:ascii="宋体" w:hAnsi="宋体" w:cs="宋体"/>
          <w:color w:val="auto"/>
          <w:szCs w:val="21"/>
          <w:highlight w:val="none"/>
        </w:rPr>
        <w:t>。</w:t>
      </w:r>
    </w:p>
    <w:p>
      <w:pPr>
        <w:pStyle w:val="27"/>
        <w:rPr>
          <w:color w:val="auto"/>
          <w:highlight w:val="none"/>
        </w:rPr>
      </w:pP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条款号：41.1                        修改类型：修改</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条款号：41.2.1                      修改类型：修改</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        交易平台。有关投标文件提交的事项详见第一章投标须知。</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41.2.1投标截止期前，各投标人递交投标文件（包括</w:t>
      </w:r>
      <w:r>
        <w:rPr>
          <w:rFonts w:hint="eastAsia" w:ascii="宋体" w:hAnsi="宋体" w:cs="宋体"/>
          <w:color w:val="auto"/>
          <w:szCs w:val="21"/>
          <w:highlight w:val="none"/>
          <w:u w:val="single"/>
        </w:rPr>
        <w:t>技术标投标文件（含资格审查文件）</w:t>
      </w:r>
      <w:r>
        <w:rPr>
          <w:rFonts w:hint="eastAsia" w:ascii="宋体" w:hAnsi="宋体" w:cs="宋体"/>
          <w:color w:val="auto"/>
          <w:szCs w:val="21"/>
          <w:highlight w:val="none"/>
        </w:rPr>
        <w:t>、经济标投标文件）至</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交易平台。有关投标文件提交的事项详见第一章投标须知。</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4 </w:t>
      </w:r>
      <w:r>
        <w:rPr>
          <w:rFonts w:hint="eastAsia" w:ascii="宋体" w:hAnsi="宋体" w:cs="宋体"/>
          <w:b/>
          <w:color w:val="auto"/>
          <w:szCs w:val="21"/>
          <w:highlight w:val="none"/>
        </w:rPr>
        <w:t xml:space="preserve">                 </w:t>
      </w:r>
      <w:r>
        <w:rPr>
          <w:rFonts w:ascii="宋体" w:hAnsi="宋体" w:cs="宋体"/>
          <w:b/>
          <w:color w:val="auto"/>
          <w:szCs w:val="21"/>
          <w:highlight w:val="none"/>
        </w:rPr>
        <w:t xml:space="preserve">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41.4招标人对开标过程进行记录，并存档备查，投标人在开标记录上签字。</w:t>
      </w:r>
    </w:p>
    <w:p>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w:t>
      </w:r>
      <w:r>
        <w:rPr>
          <w:rFonts w:ascii="宋体" w:hAnsi="宋体" w:cs="宋体"/>
          <w:color w:val="auto"/>
          <w:szCs w:val="21"/>
          <w:highlight w:val="none"/>
        </w:rPr>
        <w:t>4</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参加现场开标会的</w:t>
      </w:r>
      <w:r>
        <w:rPr>
          <w:rFonts w:hint="eastAsia" w:ascii="宋体" w:hAnsi="宋体" w:cs="宋体"/>
          <w:color w:val="auto"/>
          <w:szCs w:val="21"/>
          <w:highlight w:val="none"/>
        </w:rPr>
        <w:t>投标人在开标记录上签字。</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条款号：42.1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42.1评标委员会的组成：方式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方式一：评标委员会为综合评标委员会，负责评标工作。</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方式二：评标委员会由技术评审组和经济评审组组成。其中：资格审查、技术评审由技术评标组负责，经济评审由经济评审组负责</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42.1评标委员会的组成：</w:t>
      </w:r>
      <w:r>
        <w:rPr>
          <w:rFonts w:hint="eastAsia" w:ascii="宋体" w:hAnsi="宋体" w:cs="宋体"/>
          <w:color w:val="auto"/>
          <w:szCs w:val="21"/>
          <w:highlight w:val="none"/>
          <w:u w:val="single"/>
        </w:rPr>
        <w:t>方式一：评标委员会为综合评标委员会，负责资格审查及评标工作。</w:t>
      </w:r>
      <w:r>
        <w:rPr>
          <w:rFonts w:hint="eastAsia" w:ascii="宋体" w:hAnsi="宋体"/>
          <w:color w:val="auto"/>
          <w:szCs w:val="21"/>
          <w:highlight w:val="none"/>
          <w:u w:val="single"/>
        </w:rPr>
        <w:t>由技术及经济专业专家组成，由招标人依法组建。</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条款号：42.2.6                     修改类型：修改</w:t>
      </w:r>
    </w:p>
    <w:p>
      <w:pPr>
        <w:widowControl/>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42.2.6资格审查合格的投标人少于3名的（当N个标段同时招标且不允许兼中时，资格审查合格的投标人少于N+2名），则本项目招标失败。</w:t>
      </w:r>
    </w:p>
    <w:p>
      <w:pPr>
        <w:pBdr>
          <w:bottom w:val="single" w:color="auto" w:sz="6" w:space="1"/>
        </w:pBdr>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42.2.6</w:t>
      </w:r>
      <w:r>
        <w:rPr>
          <w:rFonts w:hint="eastAsia" w:ascii="宋体" w:hAnsi="宋体" w:cs="宋体"/>
          <w:color w:val="auto"/>
          <w:szCs w:val="21"/>
          <w:highlight w:val="none"/>
          <w:u w:val="single"/>
        </w:rPr>
        <w:t>若满足资格审查合格条件（投标人合格条件）的投标申请人不足3名，则重新招标。</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条款号：42.3.2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42.3.2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详细审查评分：评标委员会按照本办法附表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详细审查评分表》对通过技术标有效性审查的投标文件进行详细审查，评出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得分。</w:t>
      </w:r>
    </w:p>
    <w:p>
      <w:pPr>
        <w:pBdr>
          <w:bottom w:val="single" w:color="auto" w:sz="6" w:space="1"/>
        </w:pBdr>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42.3.2</w:t>
      </w:r>
      <w:r>
        <w:rPr>
          <w:rFonts w:hint="eastAsia" w:ascii="宋体" w:hAnsi="宋体" w:cs="宋体"/>
          <w:color w:val="auto"/>
          <w:szCs w:val="21"/>
          <w:highlight w:val="none"/>
          <w:u w:val="single"/>
        </w:rPr>
        <w:t>技术标</w:t>
      </w:r>
      <w:r>
        <w:rPr>
          <w:rFonts w:hint="eastAsia" w:ascii="宋体" w:hAnsi="宋体" w:cs="宋体"/>
          <w:color w:val="auto"/>
          <w:szCs w:val="21"/>
          <w:highlight w:val="none"/>
        </w:rPr>
        <w:t>详细审查评分：评标委员会按照本办法附表</w:t>
      </w:r>
      <w:r>
        <w:rPr>
          <w:rFonts w:hint="eastAsia" w:ascii="宋体" w:hAnsi="宋体" w:cs="宋体"/>
          <w:color w:val="auto"/>
          <w:szCs w:val="21"/>
          <w:highlight w:val="none"/>
          <w:u w:val="single"/>
        </w:rPr>
        <w:t>四</w:t>
      </w:r>
      <w:r>
        <w:rPr>
          <w:rFonts w:hint="eastAsia" w:ascii="宋体" w:hAnsi="宋体" w:cs="宋体"/>
          <w:color w:val="auto"/>
          <w:szCs w:val="21"/>
          <w:highlight w:val="none"/>
        </w:rPr>
        <w:t>《</w:t>
      </w:r>
      <w:r>
        <w:rPr>
          <w:rFonts w:hint="eastAsia" w:ascii="宋体" w:hAnsi="宋体" w:cs="宋体"/>
          <w:color w:val="auto"/>
          <w:szCs w:val="21"/>
          <w:highlight w:val="none"/>
          <w:u w:val="single"/>
        </w:rPr>
        <w:t>技术标</w:t>
      </w:r>
      <w:r>
        <w:rPr>
          <w:rFonts w:hint="eastAsia" w:ascii="宋体" w:hAnsi="宋体" w:cs="宋体"/>
          <w:color w:val="auto"/>
          <w:szCs w:val="21"/>
          <w:highlight w:val="none"/>
        </w:rPr>
        <w:t>详细审查评分表》对通过技术标有效性审查的投标文件进行详细审查，评出</w:t>
      </w:r>
      <w:r>
        <w:rPr>
          <w:rFonts w:hint="eastAsia" w:ascii="宋体" w:hAnsi="宋体" w:cs="宋体"/>
          <w:color w:val="auto"/>
          <w:szCs w:val="21"/>
          <w:highlight w:val="none"/>
          <w:u w:val="single"/>
        </w:rPr>
        <w:t>技术标</w:t>
      </w:r>
      <w:r>
        <w:rPr>
          <w:rFonts w:hint="eastAsia" w:ascii="宋体" w:hAnsi="宋体" w:cs="宋体"/>
          <w:color w:val="auto"/>
          <w:szCs w:val="21"/>
          <w:highlight w:val="none"/>
        </w:rPr>
        <w:t>得分。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条款号：42.3.4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42.3.4评标委员会按照“第一阶段得分=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技术标评分的）</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42.3.4评标委员会技术标评审组按照“第一阶段得分=</w:t>
      </w:r>
      <w:r>
        <w:rPr>
          <w:rFonts w:hint="eastAsia" w:ascii="宋体" w:hAnsi="宋体" w:cs="宋体"/>
          <w:color w:val="auto"/>
          <w:szCs w:val="21"/>
          <w:highlight w:val="none"/>
          <w:u w:val="single"/>
        </w:rPr>
        <w:t>技术分（满分为100分）×权重（100%）</w:t>
      </w:r>
      <w:r>
        <w:rPr>
          <w:rFonts w:hint="eastAsia" w:ascii="宋体" w:hAnsi="宋体" w:cs="宋体"/>
          <w:color w:val="auto"/>
          <w:szCs w:val="21"/>
          <w:highlight w:val="none"/>
        </w:rPr>
        <w:t>”的公式及投标须知前附表第</w:t>
      </w:r>
      <w:r>
        <w:rPr>
          <w:rFonts w:hint="eastAsia" w:ascii="宋体" w:hAnsi="宋体" w:cs="宋体"/>
          <w:color w:val="auto"/>
          <w:szCs w:val="21"/>
          <w:highlight w:val="none"/>
          <w:u w:val="single"/>
        </w:rPr>
        <w:t>28</w:t>
      </w:r>
      <w:r>
        <w:rPr>
          <w:rFonts w:hint="eastAsia" w:ascii="宋体" w:hAnsi="宋体" w:cs="宋体"/>
          <w:color w:val="auto"/>
          <w:szCs w:val="21"/>
          <w:highlight w:val="none"/>
        </w:rPr>
        <w:t>项的规定，计算各投标人第一阶段得分（按四舍五入的原则保留两位小数），并按照得分从高到低排列先后次序，若投标人得分相同的，</w:t>
      </w:r>
      <w:r>
        <w:rPr>
          <w:rFonts w:hint="eastAsia" w:ascii="宋体" w:hAnsi="宋体"/>
          <w:color w:val="auto"/>
          <w:szCs w:val="21"/>
          <w:highlight w:val="none"/>
          <w:u w:val="single"/>
        </w:rPr>
        <w:t>则以投标总报价较低的排前；如仍存在相同情况，则对具有相同情况的投标人，由评标委员会采用记名投票方式，确定投标人第一阶段名次的排序。</w:t>
      </w:r>
      <w:r>
        <w:rPr>
          <w:rFonts w:hint="eastAsia" w:ascii="宋体" w:hAnsi="宋体" w:cs="宋体"/>
          <w:color w:val="auto"/>
          <w:szCs w:val="21"/>
          <w:highlight w:val="none"/>
        </w:rPr>
        <w:t>编写第一阶段评审报告。</w:t>
      </w:r>
    </w:p>
    <w:p>
      <w:pPr>
        <w:pBdr>
          <w:bottom w:val="single" w:color="auto" w:sz="6" w:space="1"/>
        </w:pBdr>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注：记名投票方式确定排序的具体操作步骤为：由评标委员会对出现该情况的投标人采取记名投票的方式确定，按得票数从高到低排列先后次序，以得票数高的排前，根据得票数高低确定排序。</w:t>
      </w:r>
    </w:p>
    <w:p>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条款号：42.4.2                      修改类型：</w:t>
      </w:r>
      <w:r>
        <w:rPr>
          <w:rFonts w:hint="eastAsia" w:ascii="宋体" w:hAnsi="宋体" w:cs="宋体"/>
          <w:b/>
          <w:color w:val="auto"/>
          <w:szCs w:val="21"/>
          <w:highlight w:val="none"/>
          <w:lang w:val="en-US" w:eastAsia="zh-CN"/>
        </w:rPr>
        <w:t>修改</w:t>
      </w:r>
    </w:p>
    <w:p>
      <w:pPr>
        <w:pBdr>
          <w:bottom w:val="single" w:color="auto" w:sz="4" w:space="0"/>
        </w:pBd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原文：</w:t>
      </w:r>
      <w:r>
        <w:rPr>
          <w:rFonts w:ascii="宋体" w:hAnsi="宋体" w:cs="宋体"/>
          <w:color w:val="auto"/>
          <w:szCs w:val="21"/>
          <w:highlight w:val="none"/>
        </w:rPr>
        <w:t>42.4.2</w:t>
      </w:r>
      <w:r>
        <w:rPr>
          <w:rFonts w:ascii="宋体" w:hAnsi="宋体" w:cs="宋体"/>
          <w:szCs w:val="21"/>
          <w:highlight w:val="none"/>
        </w:rPr>
        <w:t>若进入第二阶段投标人中所有投标报价均大于等于最高投标限价*D%（D的取值范围为[94,100],由招标人自主确定）的（具体金额为：</w:t>
      </w:r>
      <w:r>
        <w:rPr>
          <w:rFonts w:ascii="宋体" w:hAnsi="宋体" w:cs="宋体"/>
          <w:szCs w:val="21"/>
          <w:highlight w:val="none"/>
          <w:u w:val="single"/>
        </w:rPr>
        <w:t xml:space="preserve">      </w:t>
      </w:r>
      <w:r>
        <w:rPr>
          <w:rFonts w:ascii="宋体" w:hAnsi="宋体" w:cs="宋体"/>
          <w:szCs w:val="21"/>
          <w:highlight w:val="none"/>
        </w:rPr>
        <w:t>元），则本项目招标失败，由招标人依法重新招标</w:t>
      </w:r>
      <w:r>
        <w:rPr>
          <w:rFonts w:hint="eastAsia" w:ascii="宋体" w:hAnsi="宋体" w:cs="宋体"/>
          <w:szCs w:val="21"/>
          <w:highlight w:val="none"/>
          <w:lang w:eastAsia="zh-CN"/>
        </w:rPr>
        <w:t>。</w:t>
      </w:r>
    </w:p>
    <w:p>
      <w:pPr>
        <w:pBdr>
          <w:bottom w:val="single" w:color="auto" w:sz="4" w:space="0"/>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现文：</w:t>
      </w:r>
      <w:r>
        <w:rPr>
          <w:rFonts w:ascii="宋体" w:hAnsi="宋体" w:cs="宋体"/>
          <w:color w:val="auto"/>
          <w:szCs w:val="21"/>
          <w:highlight w:val="none"/>
        </w:rPr>
        <w:t>42.4.2</w:t>
      </w:r>
      <w:r>
        <w:rPr>
          <w:rFonts w:hint="eastAsia" w:ascii="宋体" w:hAnsi="宋体"/>
          <w:color w:val="auto"/>
          <w:szCs w:val="21"/>
          <w:highlight w:val="none"/>
        </w:rPr>
        <w:t>若通过技术标有效性审查的投标人中所有投标报价均大于等于最高投标限价，则本项目招标失败，由招标人依法重新招标</w:t>
      </w:r>
      <w:r>
        <w:rPr>
          <w:rFonts w:ascii="宋体" w:hAnsi="宋体" w:cs="宋体"/>
          <w:color w:val="auto"/>
          <w:szCs w:val="21"/>
          <w:highlight w:val="none"/>
        </w:rPr>
        <w:t>。</w:t>
      </w:r>
    </w:p>
    <w:p>
      <w:pPr>
        <w:spacing w:line="360" w:lineRule="auto"/>
        <w:ind w:firstLine="42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42.4.3.1</w:t>
      </w:r>
      <w:r>
        <w:rPr>
          <w:rFonts w:hint="eastAsia" w:ascii="宋体" w:hAnsi="宋体" w:cs="宋体"/>
          <w:b/>
          <w:color w:val="auto"/>
          <w:szCs w:val="21"/>
          <w:highlight w:val="none"/>
        </w:rPr>
        <w:t xml:space="preserve">                    修改类型：修改</w:t>
      </w:r>
    </w:p>
    <w:p>
      <w:pPr>
        <w:widowControl/>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 xml:space="preserve">42.4.3.1按方法 </w:t>
      </w:r>
      <w:r>
        <w:rPr>
          <w:rFonts w:ascii="宋体" w:hAnsi="宋体" w:cs="宋体"/>
          <w:color w:val="auto"/>
          <w:szCs w:val="21"/>
          <w:highlight w:val="none"/>
          <w:u w:val="single"/>
        </w:rPr>
        <w:t xml:space="preserve">     </w:t>
      </w:r>
      <w:r>
        <w:rPr>
          <w:rFonts w:ascii="宋体" w:hAnsi="宋体" w:cs="宋体"/>
          <w:color w:val="auto"/>
          <w:szCs w:val="21"/>
          <w:highlight w:val="none"/>
        </w:rPr>
        <w:t>计算评标参考价：</w:t>
      </w:r>
    </w:p>
    <w:p>
      <w:pPr>
        <w:widowControl/>
        <w:spacing w:line="360" w:lineRule="auto"/>
        <w:rPr>
          <w:rFonts w:ascii="宋体" w:hAnsi="宋体" w:cs="宋体"/>
          <w:b/>
          <w:bCs/>
          <w:color w:val="auto"/>
          <w:kern w:val="0"/>
          <w:szCs w:val="21"/>
          <w:highlight w:val="none"/>
        </w:rPr>
      </w:pPr>
      <w:r>
        <w:rPr>
          <w:rFonts w:hint="eastAsia" w:ascii="宋体" w:hAnsi="宋体" w:cs="宋体"/>
          <w:b/>
          <w:color w:val="auto"/>
          <w:szCs w:val="21"/>
          <w:highlight w:val="none"/>
        </w:rPr>
        <w:t>　　</w:t>
      </w:r>
      <w:r>
        <w:rPr>
          <w:rFonts w:hint="eastAsia" w:ascii="宋体" w:hAnsi="宋体" w:cs="宋体"/>
          <w:b/>
          <w:bCs/>
          <w:color w:val="auto"/>
          <w:kern w:val="0"/>
          <w:szCs w:val="21"/>
          <w:highlight w:val="none"/>
        </w:rPr>
        <w:t>方法一：加权平均法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9525"/>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16"/>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szCs w:val="21"/>
          <w:highlight w:val="none"/>
        </w:rPr>
        <w:instrText xml:space="preserve"> \* MERGEFORMAT </w:instrText>
      </w:r>
      <w:r>
        <w:rPr>
          <w:rFonts w:hint="eastAsia" w:ascii="宋体" w:hAnsi="宋体" w:cs="宋体"/>
          <w:color w:val="auto"/>
          <w:szCs w:val="21"/>
          <w:highlight w:val="none"/>
        </w:rPr>
        <w:fldChar w:fldCharType="separate"/>
      </w:r>
      <w:r>
        <w:rPr>
          <w:rFonts w:ascii="宋体" w:hAnsi="宋体"/>
          <w:color w:val="auto"/>
          <w:sz w:val="24"/>
          <w:szCs w:val="24"/>
          <w:highlight w:val="none"/>
        </w:rPr>
        <w:drawing>
          <wp:inline distT="0" distB="0" distL="0" distR="0">
            <wp:extent cx="381000" cy="447675"/>
            <wp:effectExtent l="0" t="0" r="0" b="8890"/>
            <wp:docPr id="5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1"/>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pic:cNvPicPr>
                      <a:picLocks noChangeAspect="1"/>
                    </pic:cNvPicPr>
                  </pic:nvPicPr>
                  <pic:blipFill>
                    <a:blip r:embed="rId17"/>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ascii="宋体" w:hAnsi="宋体"/>
          <w:color w:val="auto"/>
          <w:position w:val="-23"/>
          <w:sz w:val="24"/>
          <w:szCs w:val="24"/>
          <w:highlight w:val="none"/>
        </w:rPr>
        <w:drawing>
          <wp:inline distT="0" distB="0" distL="0" distR="0">
            <wp:extent cx="323850" cy="400050"/>
            <wp:effectExtent l="0" t="0" r="0" b="0"/>
            <wp:docPr id="5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pic:cNvPicPr>
                      <a:picLocks noChangeAspect="1"/>
                    </pic:cNvPicPr>
                  </pic:nvPicPr>
                  <pic:blipFill>
                    <a:blip r:embed="rId18"/>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ascii="宋体" w:hAnsi="宋体"/>
          <w:color w:val="auto"/>
          <w:position w:val="-23"/>
          <w:sz w:val="24"/>
          <w:szCs w:val="24"/>
          <w:highlight w:val="none"/>
        </w:rPr>
        <w:drawing>
          <wp:inline distT="0" distB="0" distL="0" distR="0">
            <wp:extent cx="323850" cy="400050"/>
            <wp:effectExtent l="0" t="0" r="0" b="0"/>
            <wp:docPr id="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w:t>
      </w:r>
    </w:p>
    <w:p>
      <w:pPr>
        <w:widowControl/>
        <w:spacing w:line="360" w:lineRule="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方法二：区间抽取法</w:t>
      </w:r>
    </w:p>
    <w:p>
      <w:pPr>
        <w:widowControl/>
        <w:spacing w:line="360" w:lineRule="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60" w:lineRule="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评标参考价=（Q高-Q低）/100*Ｘ+Q低</w:t>
      </w:r>
    </w:p>
    <w:p>
      <w:pPr>
        <w:widowControl/>
        <w:spacing w:line="360" w:lineRule="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Q低：为达到或超过技术标及格分数线的投标人最低报价与工程成本警示价两者中的较高值；</w:t>
      </w:r>
    </w:p>
    <w:p>
      <w:pPr>
        <w:widowControl/>
        <w:spacing w:line="360" w:lineRule="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Q高：为最高投标限价</w:t>
      </w:r>
    </w:p>
    <w:p>
      <w:pPr>
        <w:widowControl/>
        <w:spacing w:line="360" w:lineRule="auto"/>
        <w:rPr>
          <w:rFonts w:ascii="宋体" w:hAnsi="宋体" w:cs="宋体"/>
          <w:b w:val="0"/>
          <w:bCs w:val="0"/>
          <w:color w:val="auto"/>
          <w:szCs w:val="21"/>
          <w:highlight w:val="none"/>
          <w:u w:val="single"/>
        </w:rPr>
      </w:pPr>
      <w:r>
        <w:rPr>
          <w:rFonts w:hint="eastAsia" w:ascii="宋体" w:hAnsi="宋体" w:cs="宋体"/>
          <w:b w:val="0"/>
          <w:bCs w:val="0"/>
          <w:color w:val="auto"/>
          <w:kern w:val="0"/>
          <w:szCs w:val="21"/>
          <w:highlight w:val="none"/>
        </w:rPr>
        <w:t xml:space="preserve"> X:为等分点值，在开标前从[0,100]整数中随机抽取</w:t>
      </w:r>
      <w:r>
        <w:rPr>
          <w:rFonts w:ascii="宋体" w:hAnsi="宋体" w:cs="宋体"/>
          <w:b w:val="0"/>
          <w:bCs w:val="0"/>
          <w:color w:val="auto"/>
          <w:szCs w:val="21"/>
          <w:highlight w:val="none"/>
          <w:u w:val="single"/>
        </w:rPr>
        <w:t>。</w:t>
      </w:r>
    </w:p>
    <w:p>
      <w:pPr>
        <w:widowControl/>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ascii="宋体" w:hAnsi="宋体" w:cs="宋体"/>
          <w:color w:val="auto"/>
          <w:szCs w:val="21"/>
          <w:highlight w:val="none"/>
        </w:rPr>
        <w:t>42.4.3.1按方法</w:t>
      </w:r>
      <w:r>
        <w:rPr>
          <w:rFonts w:hint="eastAsia" w:ascii="宋体" w:hAnsi="宋体" w:cs="宋体"/>
          <w:color w:val="auto"/>
          <w:szCs w:val="21"/>
          <w:highlight w:val="none"/>
        </w:rPr>
        <w:t>一</w:t>
      </w:r>
      <w:r>
        <w:rPr>
          <w:rFonts w:ascii="宋体" w:hAnsi="宋体" w:cs="宋体"/>
          <w:color w:val="auto"/>
          <w:szCs w:val="21"/>
          <w:highlight w:val="none"/>
        </w:rPr>
        <w:t>计算评标参考价：</w:t>
      </w:r>
    </w:p>
    <w:p>
      <w:pPr>
        <w:widowControl/>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进入第二阶段且投标总报价在[工程成本警戒价，最高投标限价]区间中的投标人按技术标得分由高至低排序后，得出的前N名（当满足前述条件的投标人家数大于或等于</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家时，</w:t>
      </w:r>
      <w:r>
        <w:rPr>
          <w:rFonts w:ascii="宋体" w:hAnsi="宋体" w:cs="宋体"/>
          <w:color w:val="auto"/>
          <w:szCs w:val="21"/>
          <w:highlight w:val="none"/>
          <w:u w:val="single"/>
        </w:rPr>
        <w:t>N=</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；当满足前述条件的投标人家数</w:t>
      </w:r>
      <w:r>
        <w:rPr>
          <w:rFonts w:hint="eastAsia" w:ascii="宋体" w:hAnsi="宋体" w:cs="宋体"/>
          <w:color w:val="auto"/>
          <w:szCs w:val="21"/>
          <w:highlight w:val="none"/>
          <w:u w:val="single"/>
          <w:lang w:val="en-US" w:eastAsia="zh-CN"/>
        </w:rPr>
        <w:t>大于等于3家且</w:t>
      </w:r>
      <w:r>
        <w:rPr>
          <w:rFonts w:hint="eastAsia" w:ascii="宋体" w:hAnsi="宋体" w:cs="宋体"/>
          <w:color w:val="auto"/>
          <w:szCs w:val="21"/>
          <w:highlight w:val="none"/>
          <w:u w:val="single"/>
        </w:rPr>
        <w:t>小于</w:t>
      </w:r>
      <w:r>
        <w:rPr>
          <w:rFonts w:hint="eastAsia" w:ascii="宋体" w:hAnsi="宋体" w:cs="宋体"/>
          <w:color w:val="auto"/>
          <w:szCs w:val="21"/>
          <w:highlight w:val="none"/>
          <w:u w:val="single"/>
          <w:lang w:val="en-US" w:eastAsia="zh-CN"/>
        </w:rPr>
        <w:t>5</w:t>
      </w:r>
      <w:r>
        <w:rPr>
          <w:rFonts w:ascii="宋体" w:hAnsi="宋体" w:cs="宋体"/>
          <w:color w:val="auto"/>
          <w:szCs w:val="21"/>
          <w:highlight w:val="none"/>
          <w:u w:val="single"/>
        </w:rPr>
        <w:t>家时</w:t>
      </w:r>
      <w:r>
        <w:rPr>
          <w:rFonts w:hint="eastAsia" w:ascii="宋体" w:hAnsi="宋体" w:cs="宋体"/>
          <w:color w:val="auto"/>
          <w:szCs w:val="21"/>
          <w:highlight w:val="none"/>
          <w:u w:val="single"/>
        </w:rPr>
        <w:t>，N</w:t>
      </w:r>
      <w:r>
        <w:rPr>
          <w:rFonts w:ascii="宋体" w:hAnsi="宋体" w:cs="宋体"/>
          <w:color w:val="auto"/>
          <w:szCs w:val="21"/>
          <w:highlight w:val="none"/>
          <w:u w:val="single"/>
        </w:rPr>
        <w:t>=满足前述条件的投标人</w:t>
      </w:r>
      <w:r>
        <w:rPr>
          <w:rFonts w:hint="eastAsia" w:ascii="宋体" w:hAnsi="宋体" w:cs="宋体"/>
          <w:color w:val="auto"/>
          <w:szCs w:val="21"/>
          <w:highlight w:val="none"/>
          <w:u w:val="single"/>
        </w:rPr>
        <w:t>家</w:t>
      </w:r>
      <w:r>
        <w:rPr>
          <w:rFonts w:ascii="宋体" w:hAnsi="宋体" w:cs="宋体"/>
          <w:color w:val="auto"/>
          <w:szCs w:val="21"/>
          <w:highlight w:val="none"/>
          <w:u w:val="single"/>
        </w:rPr>
        <w:t>数</w:t>
      </w:r>
      <w:r>
        <w:rPr>
          <w:rFonts w:hint="eastAsia" w:ascii="宋体" w:hAnsi="宋体" w:cs="宋体"/>
          <w:color w:val="auto"/>
          <w:szCs w:val="21"/>
          <w:highlight w:val="none"/>
          <w:u w:val="single"/>
        </w:rPr>
        <w:t>）的投标总报价加权平均，</w:t>
      </w:r>
      <w:r>
        <w:rPr>
          <w:rFonts w:hint="eastAsia" w:ascii="宋体" w:hAnsi="宋体" w:cs="宋体"/>
          <w:color w:val="auto"/>
          <w:szCs w:val="21"/>
          <w:highlight w:val="none"/>
        </w:rPr>
        <w:t>计算评标参考价。公式如下：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评标参考价=Σ（投标人的</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*报价权重）。</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其中：报价权重的计算方法为：将N名投标人按</w:t>
      </w:r>
      <w:r>
        <w:rPr>
          <w:rFonts w:hint="eastAsia" w:ascii="宋体" w:hAnsi="宋体" w:cs="宋体"/>
          <w:color w:val="auto"/>
          <w:szCs w:val="21"/>
          <w:highlight w:val="none"/>
          <w:u w:val="single"/>
        </w:rPr>
        <w:t>技术标得分</w:t>
      </w:r>
      <w:r>
        <w:rPr>
          <w:rFonts w:hint="eastAsia" w:ascii="宋体" w:hAnsi="宋体" w:cs="宋体"/>
          <w:color w:val="auto"/>
          <w:szCs w:val="21"/>
          <w:highlight w:val="none"/>
        </w:rPr>
        <w:t>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9525"/>
            <wp:docPr id="5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
                    <pic:cNvPicPr>
                      <a:picLocks noChangeAspect="1"/>
                    </pic:cNvPicPr>
                  </pic:nvPicPr>
                  <pic:blipFill>
                    <a:blip r:embed="rId16"/>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9525"/>
            <wp:docPr id="5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
                    <pic:cNvPicPr>
                      <a:picLocks noChangeAspect="1"/>
                    </pic:cNvPicPr>
                  </pic:nvPicPr>
                  <pic:blipFill>
                    <a:blip r:embed="rId16"/>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5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
                    <pic:cNvPicPr>
                      <a:picLocks noChangeAspect="1"/>
                    </pic:cNvPicPr>
                  </pic:nvPicPr>
                  <pic:blipFill>
                    <a:blip r:embed="rId17"/>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5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
                    <pic:cNvPicPr>
                      <a:picLocks noChangeAspect="1"/>
                    </pic:cNvPicPr>
                  </pic:nvPicPr>
                  <pic:blipFill>
                    <a:blip r:embed="rId17"/>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5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1"/>
                    <pic:cNvPicPr>
                      <a:picLocks noChangeAspect="1"/>
                    </pic:cNvPicPr>
                  </pic:nvPicPr>
                  <pic:blipFill>
                    <a:blip r:embed="rId18"/>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2"/>
                    <pic:cNvPicPr>
                      <a:picLocks noChangeAspect="1"/>
                    </pic:cNvPicPr>
                  </pic:nvPicPr>
                  <pic:blipFill>
                    <a:blip r:embed="rId18"/>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w:t>
      </w:r>
    </w:p>
    <w:p>
      <w:pPr>
        <w:pBdr>
          <w:bottom w:val="single" w:color="auto" w:sz="6" w:space="1"/>
        </w:pBdr>
        <w:spacing w:line="360" w:lineRule="auto"/>
        <w:ind w:firstLine="420" w:firstLineChars="200"/>
        <w:rPr>
          <w:rFonts w:ascii="宋体" w:hAnsi="宋体" w:cs="宋体"/>
          <w:color w:val="auto"/>
          <w:szCs w:val="21"/>
          <w:highlight w:val="none"/>
        </w:rPr>
      </w:pPr>
      <w:r>
        <w:rPr>
          <w:color w:val="auto"/>
          <w:highlight w:val="none"/>
          <w:u w:val="single"/>
        </w:rPr>
        <w:t>注：</w:t>
      </w:r>
      <w:r>
        <w:rPr>
          <w:rFonts w:hint="eastAsia"/>
          <w:color w:val="auto"/>
          <w:highlight w:val="none"/>
          <w:u w:val="single"/>
        </w:rPr>
        <w:t>若投标人技术分相同的，则以投标总报价较低的排前；如仍存在相同情况，则对具有相同情况的投标人，由评标委员会采用记名投票方式，确定投标人技术分名次的排序。记名投票方式确定排序的具体操作步骤为：由评标委员会对出现该情况的投标人采取记名投票的方式确定，按得票数从高到低排列先后次序，以得票数高的排前，根据得票数高低确定排序。</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rPr>
        <w:t>42.4.3.2</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42.4.3.2</w:t>
      </w:r>
      <w:r>
        <w:rPr>
          <w:rFonts w:hint="eastAsia" w:ascii="宋体" w:hAnsi="宋体" w:cs="宋体"/>
          <w:color w:val="auto"/>
          <w:szCs w:val="21"/>
          <w:highlight w:val="none"/>
        </w:rPr>
        <w:t>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527" w:firstLineChars="250"/>
        <w:rPr>
          <w:rFonts w:ascii="宋体"/>
          <w:color w:val="auto"/>
          <w:szCs w:val="21"/>
          <w:highlight w:val="none"/>
        </w:rPr>
      </w:pPr>
      <w:r>
        <w:rPr>
          <w:rFonts w:hint="eastAsia" w:hAnsi="宋体" w:cs="宋体"/>
          <w:b/>
          <w:color w:val="auto"/>
          <w:szCs w:val="21"/>
          <w:highlight w:val="none"/>
        </w:rPr>
        <w:t>现文</w:t>
      </w:r>
      <w:r>
        <w:rPr>
          <w:rFonts w:hint="eastAsia" w:hAnsi="宋体" w:cs="宋体"/>
          <w:color w:val="auto"/>
          <w:szCs w:val="21"/>
          <w:highlight w:val="none"/>
        </w:rPr>
        <w:t>：</w:t>
      </w:r>
      <w:r>
        <w:rPr>
          <w:rFonts w:hint="eastAsia" w:ascii="宋体" w:hAnsi="宋体" w:cs="宋体"/>
          <w:color w:val="auto"/>
          <w:kern w:val="0"/>
          <w:szCs w:val="21"/>
          <w:highlight w:val="none"/>
        </w:rPr>
        <w:t>42.4.3.2</w:t>
      </w:r>
      <w:r>
        <w:rPr>
          <w:rFonts w:hint="eastAsia" w:hAnsi="宋体" w:cs="宋体"/>
          <w:color w:val="auto"/>
          <w:szCs w:val="21"/>
          <w:highlight w:val="none"/>
        </w:rPr>
        <w:t>当</w:t>
      </w:r>
      <w:r>
        <w:rPr>
          <w:rFonts w:hint="eastAsia" w:hAnsi="宋体" w:cs="宋体"/>
          <w:color w:val="auto"/>
          <w:szCs w:val="21"/>
          <w:highlight w:val="none"/>
          <w:u w:val="single"/>
        </w:rPr>
        <w:t>投标总报价</w:t>
      </w:r>
      <w:r>
        <w:rPr>
          <w:rFonts w:hint="eastAsia" w:hAnsi="宋体" w:cs="宋体"/>
          <w:color w:val="auto"/>
          <w:szCs w:val="21"/>
          <w:highlight w:val="none"/>
        </w:rPr>
        <w:t>等于评标参考价时得100分，</w:t>
      </w:r>
      <w:r>
        <w:rPr>
          <w:rFonts w:hint="eastAsia" w:hAnsi="宋体" w:cs="宋体"/>
          <w:color w:val="auto"/>
          <w:szCs w:val="21"/>
          <w:highlight w:val="none"/>
          <w:u w:val="single"/>
        </w:rPr>
        <w:t>投标总报价</w:t>
      </w:r>
      <w:r>
        <w:rPr>
          <w:rFonts w:hint="eastAsia" w:hAnsi="宋体" w:cs="宋体"/>
          <w:color w:val="auto"/>
          <w:szCs w:val="21"/>
          <w:highlight w:val="none"/>
        </w:rPr>
        <w:t>每高于评标参考价1%，扣0.</w:t>
      </w:r>
      <w:r>
        <w:rPr>
          <w:rFonts w:hint="eastAsia" w:hAnsi="宋体" w:cs="宋体"/>
          <w:color w:val="auto"/>
          <w:szCs w:val="21"/>
          <w:highlight w:val="none"/>
          <w:lang w:val="en-US" w:eastAsia="zh-CN"/>
        </w:rPr>
        <w:t>5</w:t>
      </w:r>
      <w:r>
        <w:rPr>
          <w:rFonts w:hint="eastAsia" w:hAnsi="宋体" w:cs="宋体"/>
          <w:color w:val="auto"/>
          <w:szCs w:val="21"/>
          <w:highlight w:val="none"/>
        </w:rPr>
        <w:t>分，每低于评标参考价1%，扣0.</w:t>
      </w:r>
      <w:r>
        <w:rPr>
          <w:rFonts w:hint="eastAsia" w:hAnsi="宋体" w:cs="宋体"/>
          <w:color w:val="auto"/>
          <w:szCs w:val="21"/>
          <w:highlight w:val="none"/>
          <w:lang w:val="en-US" w:eastAsia="zh-CN"/>
        </w:rPr>
        <w:t>3</w:t>
      </w:r>
      <w:r>
        <w:rPr>
          <w:rFonts w:hint="eastAsia" w:hAnsi="宋体" w:cs="宋体"/>
          <w:color w:val="auto"/>
          <w:szCs w:val="21"/>
          <w:highlight w:val="none"/>
        </w:rPr>
        <w:t>分，扣至0分为止，得出经济分，精确到小数点后两位</w:t>
      </w:r>
      <w:r>
        <w:rPr>
          <w:rFonts w:hint="eastAsia" w:ascii="宋体"/>
          <w:color w:val="auto"/>
          <w:szCs w:val="21"/>
          <w:highlight w:val="none"/>
        </w:rPr>
        <w:t>。</w:t>
      </w:r>
    </w:p>
    <w:p>
      <w:pPr>
        <w:pBdr>
          <w:top w:val="single" w:color="auto" w:sz="4" w:space="1"/>
        </w:pBd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         修改类型：修改</w:t>
      </w:r>
    </w:p>
    <w:p>
      <w:pPr>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详见GZZB2018-3招标文件范本</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见后附：附表一《资格审查表》</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条款号：附表二 《技术标有效性审查表》             修改类型：修改</w:t>
      </w:r>
    </w:p>
    <w:p>
      <w:pPr>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详见GZZB2018-3招标文件范本</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见后附：附表二《技术标有效性审查表》</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              修改类型：修改</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详见GZZB2018-3招标文件范本</w:t>
      </w:r>
    </w:p>
    <w:p>
      <w:pPr>
        <w:pBdr>
          <w:bottom w:val="single" w:color="auto" w:sz="6" w:space="1"/>
        </w:pBd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见后附：附表三《经济标有效性审查表》</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条款号：附表四《技术标详细审查评分表》            修改类型：修改  </w:t>
      </w:r>
    </w:p>
    <w:p>
      <w:pPr>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详见GZZB2018-3招标文件范本</w:t>
      </w:r>
    </w:p>
    <w:p>
      <w:pPr>
        <w:pBdr>
          <w:bottom w:val="single" w:color="auto" w:sz="6" w:space="1"/>
        </w:pBd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w:t>
      </w:r>
      <w:r>
        <w:rPr>
          <w:rFonts w:hint="eastAsia" w:ascii="宋体" w:hAnsi="宋体" w:cs="宋体"/>
          <w:color w:val="auto"/>
          <w:szCs w:val="21"/>
          <w:highlight w:val="none"/>
          <w:u w:val="single"/>
        </w:rPr>
        <w:t>附表四《技术标详细审查评分表》</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条款号：附表五（适用于区间抽取法）《经济标评分表》                 修改类型：删除</w:t>
      </w:r>
    </w:p>
    <w:p>
      <w:pPr>
        <w:pBdr>
          <w:bottom w:val="single" w:color="auto" w:sz="6" w:space="1"/>
        </w:pBd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ascii="宋体" w:hAnsi="宋体" w:cs="宋体"/>
          <w:color w:val="auto"/>
          <w:szCs w:val="21"/>
          <w:highlight w:val="none"/>
        </w:rPr>
        <w:t>GZZB2018-3招标文件范本</w:t>
      </w:r>
    </w:p>
    <w:p>
      <w:pPr>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pPr>
        <w:pStyle w:val="8"/>
        <w:spacing w:line="360" w:lineRule="auto"/>
        <w:rPr>
          <w:rFonts w:ascii="宋体" w:hAnsi="宋体"/>
          <w:color w:val="auto"/>
          <w:highlight w:val="none"/>
        </w:rPr>
      </w:pPr>
      <w:r>
        <w:rPr>
          <w:rFonts w:ascii="宋体" w:hAnsi="宋体"/>
          <w:color w:val="auto"/>
          <w:highlight w:val="none"/>
        </w:rPr>
        <w:br w:type="page"/>
      </w:r>
    </w:p>
    <w:p>
      <w:pPr>
        <w:pStyle w:val="5"/>
        <w:rPr>
          <w:color w:val="auto"/>
          <w:highlight w:val="none"/>
        </w:rPr>
      </w:pPr>
      <w:bookmarkStart w:id="13" w:name="_Toc2272556"/>
      <w:bookmarkStart w:id="14" w:name="_Toc17325"/>
      <w:r>
        <w:rPr>
          <w:rFonts w:hint="eastAsia"/>
          <w:color w:val="auto"/>
          <w:highlight w:val="none"/>
        </w:rPr>
        <w:t>二、开标、评标及定标办法</w:t>
      </w:r>
      <w:r>
        <w:rPr>
          <w:rFonts w:hint="eastAsia"/>
          <w:color w:val="auto"/>
          <w:szCs w:val="30"/>
          <w:highlight w:val="none"/>
        </w:rPr>
        <w:t>通用条款</w:t>
      </w:r>
      <w:bookmarkEnd w:id="13"/>
      <w:bookmarkEnd w:id="14"/>
    </w:p>
    <w:p>
      <w:pPr>
        <w:pStyle w:val="6"/>
        <w:spacing w:before="156" w:after="156"/>
        <w:ind w:left="0" w:leftChars="0" w:firstLine="0" w:firstLineChars="0"/>
        <w:jc w:val="center"/>
        <w:rPr>
          <w:color w:val="auto"/>
          <w:highlight w:val="none"/>
        </w:rPr>
      </w:pPr>
      <w:r>
        <w:rPr>
          <w:rFonts w:hint="eastAsia" w:ascii="宋体" w:hAnsi="宋体" w:cs="宋体"/>
          <w:color w:val="auto"/>
          <w:u w:val="single"/>
        </w:rPr>
        <w:t>（详见范本）</w:t>
      </w:r>
    </w:p>
    <w:p>
      <w:pPr>
        <w:spacing w:line="360" w:lineRule="auto"/>
        <w:ind w:firstLine="480" w:firstLineChars="200"/>
        <w:rPr>
          <w:rFonts w:ascii="宋体" w:hAnsi="宋体"/>
          <w:color w:val="auto"/>
          <w:sz w:val="24"/>
          <w:szCs w:val="24"/>
          <w:highlight w:val="none"/>
        </w:rPr>
      </w:pPr>
    </w:p>
    <w:p>
      <w:pPr>
        <w:pStyle w:val="7"/>
        <w:rPr>
          <w:color w:val="auto"/>
          <w:sz w:val="24"/>
          <w:szCs w:val="24"/>
          <w:highlight w:val="none"/>
        </w:rPr>
        <w:sectPr>
          <w:footerReference r:id="rId7" w:type="default"/>
          <w:endnotePr>
            <w:numFmt w:val="decimal"/>
          </w:endnotePr>
          <w:pgSz w:w="11906" w:h="16838"/>
          <w:pgMar w:top="1134" w:right="1418" w:bottom="1247" w:left="1418" w:header="851" w:footer="907" w:gutter="0"/>
          <w:pgNumType w:start="1"/>
          <w:cols w:space="720" w:num="1"/>
          <w:docGrid w:type="lines" w:linePitch="312" w:charSpace="0"/>
        </w:sectPr>
      </w:pPr>
    </w:p>
    <w:p>
      <w:pPr>
        <w:pStyle w:val="7"/>
        <w:rPr>
          <w:rFonts w:ascii="宋体" w:hAnsi="宋体" w:cs="宋体"/>
          <w:b/>
          <w:color w:val="auto"/>
          <w:sz w:val="24"/>
          <w:szCs w:val="24"/>
          <w:highlight w:val="none"/>
        </w:rPr>
      </w:pPr>
      <w:r>
        <w:rPr>
          <w:rFonts w:hint="eastAsia" w:ascii="宋体" w:hAnsi="宋体" w:cs="宋体"/>
          <w:b/>
          <w:color w:val="auto"/>
          <w:sz w:val="24"/>
          <w:szCs w:val="24"/>
          <w:highlight w:val="none"/>
        </w:rPr>
        <w:t>附表一：</w:t>
      </w:r>
    </w:p>
    <w:p>
      <w:pPr>
        <w:spacing w:line="360" w:lineRule="auto"/>
        <w:jc w:val="center"/>
        <w:rPr>
          <w:b/>
          <w:color w:val="auto"/>
          <w:sz w:val="36"/>
          <w:szCs w:val="36"/>
          <w:highlight w:val="none"/>
        </w:rPr>
      </w:pPr>
      <w:r>
        <w:rPr>
          <w:rFonts w:hint="eastAsia"/>
          <w:b/>
          <w:color w:val="auto"/>
          <w:sz w:val="36"/>
          <w:szCs w:val="36"/>
          <w:highlight w:val="none"/>
        </w:rPr>
        <w:t>资格审查表</w:t>
      </w:r>
    </w:p>
    <w:p>
      <w:pPr>
        <w:rPr>
          <w:color w:val="auto"/>
          <w:szCs w:val="21"/>
          <w:highlight w:val="none"/>
        </w:rPr>
      </w:pPr>
      <w:r>
        <w:rPr>
          <w:rFonts w:hint="eastAsia"/>
          <w:color w:val="auto"/>
          <w:szCs w:val="21"/>
          <w:highlight w:val="none"/>
        </w:rPr>
        <w:t>工程名称：</w:t>
      </w:r>
    </w:p>
    <w:tbl>
      <w:tblPr>
        <w:tblStyle w:val="37"/>
        <w:tblW w:w="14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095"/>
        <w:gridCol w:w="723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 w:val="21"/>
                <w:szCs w:val="21"/>
                <w:highlight w:val="none"/>
              </w:rPr>
            </w:pPr>
            <w:r>
              <w:rPr>
                <w:rFonts w:hint="eastAsia" w:ascii="宋体" w:hAnsi="宋体"/>
                <w:b/>
                <w:color w:val="auto"/>
                <w:sz w:val="21"/>
                <w:szCs w:val="21"/>
                <w:highlight w:val="none"/>
              </w:rPr>
              <w:t>审查项目</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 w:val="21"/>
                <w:szCs w:val="21"/>
                <w:highlight w:val="none"/>
              </w:rPr>
            </w:pPr>
            <w:r>
              <w:rPr>
                <w:rFonts w:hint="eastAsia" w:ascii="宋体" w:hAnsi="宋体"/>
                <w:b/>
                <w:color w:val="auto"/>
                <w:sz w:val="21"/>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 w:val="21"/>
                <w:szCs w:val="21"/>
                <w:highlight w:val="none"/>
              </w:rPr>
            </w:pPr>
            <w:r>
              <w:rPr>
                <w:rFonts w:hint="eastAsia" w:ascii="宋体" w:hAnsi="宋体"/>
                <w:b/>
                <w:color w:val="auto"/>
                <w:sz w:val="21"/>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ascii="宋体" w:hAnsi="宋体"/>
                <w:color w:val="auto"/>
                <w:szCs w:val="21"/>
              </w:rPr>
              <w:t>1</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投标人参加投标的意思表达清楚，投标人代表被授权有效</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投标人声明、法定代表人证明书；委托投标的还应提供法人授权委托证明书</w:t>
            </w:r>
            <w:r>
              <w:rPr>
                <w:rFonts w:hint="eastAsia" w:ascii="宋体" w:hAnsi="宋体" w:cs="宋体"/>
                <w:bCs/>
                <w:color w:val="auto"/>
                <w:szCs w:val="21"/>
                <w:u w:val="single"/>
              </w:rPr>
              <w:t>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ascii="宋体" w:hAnsi="宋体"/>
                <w:color w:val="auto"/>
                <w:szCs w:val="21"/>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投标人均具有独立法人资格，按国家法律经营</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营业执照在广州市住建行业信用管理平台内传件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ascii="宋体" w:hAnsi="宋体"/>
                <w:color w:val="auto"/>
                <w:szCs w:val="21"/>
              </w:rPr>
              <w:t>3</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投标人均持有建设行政主管部门颁发的</w:t>
            </w:r>
            <w:r>
              <w:rPr>
                <w:rFonts w:hint="eastAsia" w:ascii="宋体" w:hAnsi="宋体"/>
                <w:color w:val="auto"/>
                <w:szCs w:val="21"/>
                <w:highlight w:val="none"/>
                <w:lang w:val="en-US" w:eastAsia="zh-CN"/>
              </w:rPr>
              <w:t>有效期内的</w:t>
            </w:r>
            <w:r>
              <w:rPr>
                <w:rFonts w:hint="eastAsia" w:ascii="宋体" w:hAnsi="宋体"/>
                <w:color w:val="auto"/>
                <w:szCs w:val="21"/>
              </w:rPr>
              <w:t>企业资质证书及安全生产许可证；投标人资质符合公告要求</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ascii="宋体" w:hAnsi="宋体"/>
                <w:color w:val="auto"/>
                <w:szCs w:val="21"/>
              </w:rPr>
              <w:t>4</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投标人拟担任本工程项目负责人符合公告要求</w:t>
            </w:r>
          </w:p>
        </w:tc>
        <w:tc>
          <w:tcPr>
            <w:tcW w:w="72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使用有效期内的注册建造师注册证书在广州市住建行业信用平台内上传件。</w:t>
            </w:r>
          </w:p>
          <w:p>
            <w:pPr>
              <w:jc w:val="left"/>
              <w:rPr>
                <w:rFonts w:ascii="宋体" w:hAnsi="宋体"/>
                <w:color w:val="auto"/>
                <w:sz w:val="21"/>
                <w:szCs w:val="21"/>
                <w:highlight w:val="none"/>
              </w:rPr>
            </w:pPr>
            <w:r>
              <w:rPr>
                <w:rFonts w:hint="eastAsia" w:ascii="宋体" w:hAnsi="宋体"/>
                <w:color w:val="auto"/>
                <w:szCs w:val="21"/>
              </w:rPr>
              <w:t>（注：打印建造师电子证书后，应在个人签名处手写本人签名再上传广州市住建行业信用平台，上传件未手写签名或与签名图像笔迹不一致的，该电子证书无效。）</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ascii="宋体" w:hAnsi="宋体"/>
                <w:color w:val="auto"/>
                <w:szCs w:val="21"/>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持有项目负责人安全生产考核合格证（B类）或建筑施工企业项目负责人安全生产考核合格证</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项目负责人安全生产考核合格证（B类）或建筑施工企业项目负责人安全生产考核合格证在广州市住建行业信用管理平台内上传件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hint="eastAsia" w:ascii="宋体" w:hAnsi="宋体"/>
                <w:color w:val="auto"/>
                <w:szCs w:val="21"/>
              </w:rPr>
              <w:t>6</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投标人拟担任本工程技术负责人符合公告要求</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s="宋体"/>
                <w:bCs/>
                <w:color w:val="auto"/>
                <w:szCs w:val="21"/>
                <w:u w:val="single"/>
              </w:rPr>
              <w:t>拟委派技术负责人的职称证书扫描件或在</w:t>
            </w:r>
            <w:r>
              <w:rPr>
                <w:rFonts w:hint="eastAsia" w:ascii="宋体" w:hAnsi="宋体" w:cs="宋体"/>
                <w:color w:val="auto"/>
                <w:szCs w:val="21"/>
                <w:u w:val="single"/>
              </w:rPr>
              <w:t>广州市住建行业信用管理平台</w:t>
            </w:r>
            <w:r>
              <w:rPr>
                <w:rFonts w:hint="eastAsia" w:ascii="宋体" w:hAnsi="宋体" w:cs="宋体"/>
                <w:bCs/>
                <w:color w:val="auto"/>
                <w:szCs w:val="21"/>
                <w:u w:val="single"/>
              </w:rPr>
              <w:t>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hint="eastAsia" w:ascii="宋体" w:hAnsi="宋体"/>
                <w:color w:val="auto"/>
                <w:szCs w:val="21"/>
              </w:rPr>
              <w:t>7</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专职安全员须具有安全生产考核合格证（C类）或建筑施工企业专职安全生产管理人员安全生产考核合格证书</w:t>
            </w:r>
            <w:r>
              <w:rPr>
                <w:rFonts w:hint="eastAsia" w:ascii="宋体" w:hAnsi="宋体"/>
                <w:color w:val="auto"/>
                <w:szCs w:val="21"/>
                <w:lang w:eastAsia="zh-CN"/>
              </w:rPr>
              <w:t>（</w:t>
            </w:r>
            <w:r>
              <w:rPr>
                <w:rFonts w:hint="eastAsia" w:ascii="宋体" w:hAnsi="宋体" w:cs="宋体"/>
                <w:color w:val="auto"/>
                <w:szCs w:val="21"/>
                <w:u w:val="single"/>
              </w:rPr>
              <w:t>C3类）</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专职安全员的安全生产考核合格证（C类）或建筑施工企业专职安全生产管理人员安全生产考核合格证书</w:t>
            </w:r>
            <w:r>
              <w:rPr>
                <w:rFonts w:hint="eastAsia" w:ascii="宋体" w:hAnsi="宋体"/>
                <w:color w:val="auto"/>
                <w:szCs w:val="21"/>
                <w:u w:val="single"/>
              </w:rPr>
              <w:t>（</w:t>
            </w:r>
            <w:r>
              <w:rPr>
                <w:rFonts w:hint="eastAsia" w:ascii="宋体" w:hAnsi="宋体" w:cs="宋体"/>
                <w:color w:val="auto"/>
                <w:szCs w:val="21"/>
                <w:u w:val="single"/>
              </w:rPr>
              <w:t>C3类</w:t>
            </w:r>
            <w:r>
              <w:rPr>
                <w:rFonts w:hint="eastAsia" w:ascii="宋体" w:hAnsi="宋体"/>
                <w:color w:val="auto"/>
                <w:szCs w:val="21"/>
                <w:u w:val="single"/>
              </w:rPr>
              <w:t>）</w:t>
            </w:r>
            <w:r>
              <w:rPr>
                <w:rFonts w:hint="eastAsia" w:ascii="宋体" w:hAnsi="宋体"/>
                <w:color w:val="auto"/>
                <w:szCs w:val="21"/>
              </w:rPr>
              <w:t>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hint="eastAsia" w:ascii="宋体" w:hAnsi="宋体"/>
                <w:color w:val="auto"/>
                <w:szCs w:val="21"/>
              </w:rPr>
              <w:t>8</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投标人完成过的类似工程业绩符合公告要求</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color w:val="auto"/>
                <w:sz w:val="21"/>
                <w:szCs w:val="21"/>
                <w:highlight w:val="none"/>
                <w:lang w:eastAsia="zh-CN"/>
              </w:rPr>
            </w:pPr>
            <w:r>
              <w:rPr>
                <w:rFonts w:hint="eastAsia" w:ascii="宋体" w:hAnsi="宋体"/>
                <w:bCs/>
                <w:color w:val="auto"/>
                <w:sz w:val="21"/>
                <w:szCs w:val="21"/>
                <w:highlight w:val="none"/>
              </w:rPr>
              <w:t>业绩</w:t>
            </w:r>
            <w:r>
              <w:rPr>
                <w:rFonts w:hint="default" w:ascii="宋体" w:hAnsi="宋体"/>
                <w:bCs/>
                <w:color w:val="auto"/>
                <w:sz w:val="21"/>
                <w:szCs w:val="21"/>
                <w:highlight w:val="none"/>
              </w:rPr>
              <w:t>取自</w:t>
            </w:r>
            <w:r>
              <w:rPr>
                <w:rFonts w:hint="eastAsia" w:ascii="宋体" w:hAnsi="宋体"/>
                <w:bCs/>
                <w:color w:val="auto"/>
                <w:sz w:val="21"/>
                <w:szCs w:val="21"/>
                <w:highlight w:val="none"/>
              </w:rPr>
              <w:t>广州市住建行业信用管理平台或在投标文件中提供证明材料扫描件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hint="eastAsia" w:ascii="宋体" w:hAnsi="宋体"/>
                <w:color w:val="auto"/>
                <w:szCs w:val="21"/>
              </w:rPr>
              <w:t>9</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投标人提供的投标人声明符合公告要求</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投标人声明</w:t>
            </w:r>
            <w:r>
              <w:rPr>
                <w:rFonts w:hint="eastAsia" w:ascii="宋体" w:hAnsi="宋体" w:cs="宋体"/>
                <w:color w:val="auto"/>
                <w:szCs w:val="21"/>
                <w:u w:val="single"/>
              </w:rPr>
              <w:t>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hint="eastAsia" w:ascii="宋体" w:hAnsi="宋体"/>
                <w:color w:val="auto"/>
                <w:szCs w:val="21"/>
              </w:rPr>
              <w:t>10</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投标人声明中签字的项目负责人和技术负责人与本项目拟派的项目负责人和技术负责人一致</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hint="eastAsia" w:ascii="宋体" w:hAnsi="宋体"/>
                <w:color w:val="auto"/>
                <w:szCs w:val="21"/>
              </w:rPr>
              <w:t>11</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Style w:val="120"/>
                <w:rFonts w:hint="default" w:cs="宋体"/>
                <w:color w:val="auto"/>
                <w:sz w:val="21"/>
                <w:szCs w:val="21"/>
              </w:rPr>
              <w:t>关于联合体投标：本项目</w:t>
            </w:r>
            <w:r>
              <w:rPr>
                <w:rStyle w:val="120"/>
                <w:rFonts w:hint="default" w:cs="宋体"/>
                <w:b/>
                <w:color w:val="auto"/>
                <w:sz w:val="21"/>
                <w:szCs w:val="21"/>
              </w:rPr>
              <w:t>不接受</w:t>
            </w:r>
            <w:r>
              <w:rPr>
                <w:rStyle w:val="120"/>
                <w:rFonts w:hint="default" w:cs="宋体"/>
                <w:color w:val="auto"/>
                <w:sz w:val="21"/>
                <w:szCs w:val="21"/>
              </w:rPr>
              <w:t>联合体投标。</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s="宋体"/>
                <w:color w:val="auto"/>
                <w:szCs w:val="21"/>
                <w:u w:val="single"/>
              </w:rPr>
              <w:t>投标人没有以联合体投标登记。</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ascii="宋体" w:hAnsi="宋体"/>
                <w:color w:val="auto"/>
                <w:szCs w:val="21"/>
              </w:rPr>
              <w:t>1</w:t>
            </w:r>
            <w:r>
              <w:rPr>
                <w:rFonts w:hint="eastAsia" w:ascii="宋体" w:hAnsi="宋体"/>
                <w:color w:val="auto"/>
                <w:szCs w:val="21"/>
              </w:rPr>
              <w:t>2</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资格审查前，投标人须在广州市住房和城乡建设局建立企业信用档案及拟担任本工程项目负责人、专职安全员须是本企业中的在册人员</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hint="eastAsia" w:ascii="宋体" w:hAnsi="宋体"/>
                <w:color w:val="auto"/>
                <w:szCs w:val="21"/>
              </w:rPr>
              <w:t>13</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投标人未出现以下情形：与其它投标人的单位负责人为同一人或者存在控股、管理关系的（按投标人提供的《投标人声明》第八条内容进行评审）。</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olor w:val="auto"/>
                <w:szCs w:val="21"/>
              </w:rPr>
              <w:t>投标人声明</w:t>
            </w:r>
            <w:r>
              <w:rPr>
                <w:rFonts w:hint="eastAsia" w:ascii="宋体" w:hAnsi="宋体" w:cs="宋体"/>
                <w:color w:val="auto"/>
                <w:szCs w:val="21"/>
                <w:u w:val="single"/>
              </w:rPr>
              <w:t>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r>
              <w:rPr>
                <w:rFonts w:hint="eastAsia" w:ascii="宋体" w:hAnsi="宋体"/>
                <w:color w:val="auto"/>
                <w:szCs w:val="21"/>
              </w:rPr>
              <w:t>14</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eastAsia="宋体" w:cs="宋体"/>
                <w:b w:val="0"/>
                <w:bCs w:val="0"/>
                <w:i w:val="0"/>
                <w:iCs w:val="0"/>
                <w:color w:val="auto"/>
                <w:kern w:val="2"/>
                <w:sz w:val="21"/>
                <w:szCs w:val="21"/>
              </w:rPr>
              <w:t>未被列入拖欠农民工工资失信联合惩戒对象名单</w:t>
            </w:r>
          </w:p>
        </w:tc>
        <w:tc>
          <w:tcPr>
            <w:tcW w:w="723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 w:val="21"/>
                <w:szCs w:val="21"/>
                <w:highlight w:val="none"/>
              </w:rPr>
            </w:pPr>
            <w:r>
              <w:rPr>
                <w:rFonts w:hint="eastAsia" w:ascii="宋体" w:hAnsi="宋体" w:cs="宋体"/>
                <w:color w:val="auto"/>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 w:val="21"/>
                <w:szCs w:val="21"/>
                <w:highlight w:val="none"/>
              </w:rPr>
            </w:pPr>
          </w:p>
        </w:tc>
      </w:tr>
    </w:tbl>
    <w:p>
      <w:pPr>
        <w:widowControl/>
        <w:jc w:val="left"/>
        <w:rPr>
          <w:rFonts w:ascii="宋体" w:hAnsi="宋体"/>
          <w:color w:val="auto"/>
          <w:szCs w:val="21"/>
          <w:highlight w:val="none"/>
        </w:rPr>
      </w:pPr>
      <w:r>
        <w:rPr>
          <w:rFonts w:hint="eastAsia" w:ascii="宋体" w:hAnsi="宋体"/>
          <w:color w:val="auto"/>
          <w:szCs w:val="21"/>
          <w:highlight w:val="none"/>
        </w:rPr>
        <w:t>备注：</w:t>
      </w:r>
    </w:p>
    <w:p>
      <w:pPr>
        <w:widowControl/>
        <w:ind w:firstLine="424" w:firstLineChars="202"/>
        <w:jc w:val="left"/>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pPr>
        <w:widowControl/>
        <w:ind w:firstLine="424" w:firstLineChars="202"/>
        <w:jc w:val="left"/>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pPr>
        <w:ind w:firstLine="424" w:firstLineChars="202"/>
        <w:rPr>
          <w:rFonts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pStyle w:val="20"/>
        <w:rPr>
          <w:color w:val="auto"/>
          <w:highlight w:val="none"/>
        </w:rPr>
        <w:sectPr>
          <w:endnotePr>
            <w:numFmt w:val="decimal"/>
          </w:endnotePr>
          <w:type w:val="continuous"/>
          <w:pgSz w:w="16838" w:h="11906" w:orient="landscape"/>
          <w:pgMar w:top="1304" w:right="1134" w:bottom="1304" w:left="1247" w:header="851" w:footer="907" w:gutter="0"/>
          <w:cols w:space="720" w:num="1"/>
          <w:titlePg/>
          <w:docGrid w:type="linesAndChars" w:linePitch="312" w:charSpace="0"/>
        </w:sectPr>
      </w:pPr>
    </w:p>
    <w:p>
      <w:pPr>
        <w:pStyle w:val="7"/>
        <w:keepNext/>
        <w:keepLines/>
        <w:pageBreakBefore w:val="0"/>
        <w:widowControl w:val="0"/>
        <w:kinsoku/>
        <w:wordWrap/>
        <w:overflowPunct/>
        <w:topLinePunct w:val="0"/>
        <w:autoSpaceDE/>
        <w:autoSpaceDN/>
        <w:bidi w:val="0"/>
        <w:adjustRightInd/>
        <w:snapToGrid/>
        <w:spacing w:before="0" w:beforeLines="0" w:line="240" w:lineRule="auto"/>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附表二：</w:t>
      </w:r>
    </w:p>
    <w:p>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809"/>
        <w:gridCol w:w="1056"/>
        <w:gridCol w:w="1057"/>
        <w:gridCol w:w="1057"/>
        <w:gridCol w:w="1057"/>
        <w:gridCol w:w="1057"/>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序号</w:t>
            </w:r>
          </w:p>
        </w:tc>
        <w:tc>
          <w:tcPr>
            <w:tcW w:w="7809" w:type="dxa"/>
            <w:tcBorders>
              <w:top w:val="single" w:color="auto" w:sz="4" w:space="0"/>
              <w:left w:val="single" w:color="auto" w:sz="4" w:space="0"/>
              <w:bottom w:val="single" w:color="auto" w:sz="4" w:space="0"/>
              <w:right w:val="single" w:color="auto" w:sz="4" w:space="0"/>
              <w:tl2br w:val="single" w:color="auto" w:sz="4" w:space="0"/>
            </w:tcBorders>
          </w:tcPr>
          <w:p>
            <w:pPr>
              <w:adjustRightInd w:val="0"/>
              <w:ind w:firstLine="3570" w:firstLineChars="1700"/>
              <w:rPr>
                <w:rFonts w:ascii="宋体" w:hAnsi="宋体"/>
                <w:color w:val="auto"/>
                <w:szCs w:val="21"/>
                <w:highlight w:val="none"/>
              </w:rPr>
            </w:pPr>
            <w:r>
              <w:rPr>
                <w:rFonts w:hint="eastAsia" w:ascii="宋体" w:hAnsi="宋体"/>
                <w:color w:val="auto"/>
                <w:szCs w:val="21"/>
                <w:highlight w:val="none"/>
              </w:rPr>
              <w:t>投标人</w:t>
            </w:r>
          </w:p>
          <w:p>
            <w:pPr>
              <w:adjustRightInd w:val="0"/>
              <w:rPr>
                <w:rFonts w:ascii="宋体" w:hAnsi="宋体"/>
                <w:color w:val="auto"/>
                <w:szCs w:val="21"/>
                <w:highlight w:val="none"/>
              </w:rPr>
            </w:pPr>
          </w:p>
          <w:p>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05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1</w:t>
            </w:r>
          </w:p>
        </w:tc>
        <w:tc>
          <w:tcPr>
            <w:tcW w:w="780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《广州建设工程施工招标投标书（技术标）》中的总工期不符合招标文件要求的；</w:t>
            </w:r>
          </w:p>
        </w:tc>
        <w:tc>
          <w:tcPr>
            <w:tcW w:w="105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2</w:t>
            </w:r>
          </w:p>
        </w:tc>
        <w:tc>
          <w:tcPr>
            <w:tcW w:w="780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《广州建设工程施工招标投标书（技术标）》中的工程质量标准不符合招标文件要求的；</w:t>
            </w:r>
          </w:p>
        </w:tc>
        <w:tc>
          <w:tcPr>
            <w:tcW w:w="105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3</w:t>
            </w:r>
          </w:p>
        </w:tc>
        <w:tc>
          <w:tcPr>
            <w:tcW w:w="780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w:t>
            </w:r>
            <w:r>
              <w:rPr>
                <w:rFonts w:hint="eastAsia" w:ascii="宋体" w:hAnsi="宋体"/>
                <w:color w:val="auto"/>
                <w:szCs w:val="21"/>
                <w:highlight w:val="none"/>
                <w:u w:val="single"/>
              </w:rPr>
              <w:t>盖章或签字</w:t>
            </w:r>
            <w:r>
              <w:rPr>
                <w:rFonts w:hint="eastAsia" w:ascii="宋体" w:hAnsi="宋体"/>
                <w:color w:val="auto"/>
                <w:szCs w:val="21"/>
                <w:highlight w:val="none"/>
              </w:rPr>
              <w:t>的投标文件中没有法定代表人授权书；</w:t>
            </w:r>
          </w:p>
        </w:tc>
        <w:tc>
          <w:tcPr>
            <w:tcW w:w="105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4</w:t>
            </w:r>
          </w:p>
        </w:tc>
        <w:tc>
          <w:tcPr>
            <w:tcW w:w="780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u w:val="singl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（指招标文件第一章第</w:t>
            </w:r>
            <w:r>
              <w:rPr>
                <w:rFonts w:ascii="宋体" w:hAnsi="宋体" w:cs="宋体"/>
                <w:color w:val="auto"/>
                <w:szCs w:val="21"/>
                <w:highlight w:val="none"/>
                <w:u w:val="single"/>
              </w:rPr>
              <w:t>11条投标文件的组成规定内容中有关</w:t>
            </w:r>
            <w:r>
              <w:rPr>
                <w:rFonts w:hint="eastAsia" w:ascii="宋体" w:hAnsi="宋体" w:cs="宋体"/>
                <w:color w:val="auto"/>
                <w:szCs w:val="21"/>
                <w:highlight w:val="none"/>
                <w:u w:val="single"/>
              </w:rPr>
              <w:t>技术标的</w:t>
            </w:r>
            <w:r>
              <w:rPr>
                <w:rFonts w:ascii="宋体" w:hAnsi="宋体" w:cs="宋体"/>
                <w:color w:val="auto"/>
                <w:szCs w:val="21"/>
                <w:highlight w:val="none"/>
                <w:u w:val="single"/>
              </w:rPr>
              <w:t>规定内容）</w:t>
            </w:r>
            <w:r>
              <w:rPr>
                <w:rFonts w:hint="eastAsia" w:ascii="宋体" w:hAnsi="宋体" w:cs="宋体"/>
                <w:color w:val="auto"/>
                <w:szCs w:val="21"/>
                <w:highlight w:val="none"/>
              </w:rPr>
              <w:t>填写，或主要内容（指投标文件组成内容）不全，或关键字迹模糊、无法辨认的；</w:t>
            </w:r>
          </w:p>
        </w:tc>
        <w:tc>
          <w:tcPr>
            <w:tcW w:w="105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5</w:t>
            </w:r>
          </w:p>
        </w:tc>
        <w:tc>
          <w:tcPr>
            <w:tcW w:w="780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投标人之间存在《广东省实施&lt;中华人民共和国招标投标法&gt;办法》第十六条所禁止的情形的；</w:t>
            </w:r>
          </w:p>
        </w:tc>
        <w:tc>
          <w:tcPr>
            <w:tcW w:w="105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6</w:t>
            </w:r>
          </w:p>
        </w:tc>
        <w:tc>
          <w:tcPr>
            <w:tcW w:w="780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05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7</w:t>
            </w:r>
          </w:p>
        </w:tc>
        <w:tc>
          <w:tcPr>
            <w:tcW w:w="780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投标人未按要求提交投标保证金的；</w:t>
            </w:r>
          </w:p>
        </w:tc>
        <w:tc>
          <w:tcPr>
            <w:tcW w:w="105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8</w:t>
            </w:r>
          </w:p>
        </w:tc>
        <w:tc>
          <w:tcPr>
            <w:tcW w:w="780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05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bl>
    <w:p>
      <w:pPr>
        <w:widowControl/>
        <w:jc w:val="left"/>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widowControl/>
        <w:jc w:val="left"/>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widowControl/>
        <w:jc w:val="left"/>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pPr>
        <w:rPr>
          <w:rFonts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评委签名：</w:t>
      </w:r>
    </w:p>
    <w:p>
      <w:pPr>
        <w:pStyle w:val="7"/>
        <w:rPr>
          <w:color w:val="auto"/>
          <w:highlight w:val="none"/>
        </w:rPr>
      </w:pPr>
      <w:r>
        <w:rPr>
          <w:color w:val="auto"/>
          <w:highlight w:val="none"/>
        </w:rPr>
        <w:br w:type="page"/>
      </w:r>
      <w:r>
        <w:rPr>
          <w:rFonts w:hint="eastAsia" w:ascii="宋体" w:hAnsi="宋体" w:cs="宋体"/>
          <w:b/>
          <w:color w:val="auto"/>
          <w:sz w:val="24"/>
          <w:szCs w:val="24"/>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596"/>
        <w:gridCol w:w="1314"/>
        <w:gridCol w:w="1315"/>
        <w:gridCol w:w="1314"/>
        <w:gridCol w:w="1315"/>
        <w:gridCol w:w="131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6596" w:type="dxa"/>
            <w:tcBorders>
              <w:top w:val="single" w:color="auto" w:sz="4" w:space="0"/>
              <w:left w:val="single" w:color="auto" w:sz="4" w:space="0"/>
              <w:bottom w:val="single" w:color="auto" w:sz="4" w:space="0"/>
              <w:right w:val="single" w:color="auto" w:sz="4" w:space="0"/>
              <w:tl2br w:val="single" w:color="auto" w:sz="4" w:space="0"/>
            </w:tcBorders>
          </w:tcPr>
          <w:p>
            <w:pPr>
              <w:ind w:firstLine="2940" w:firstLineChars="1400"/>
              <w:rPr>
                <w:rFonts w:ascii="宋体" w:hAnsi="宋体"/>
                <w:color w:val="auto"/>
                <w:szCs w:val="21"/>
                <w:highlight w:val="none"/>
              </w:rPr>
            </w:pPr>
            <w:r>
              <w:rPr>
                <w:rFonts w:hint="eastAsia" w:ascii="宋体" w:hAnsi="宋体"/>
                <w:color w:val="auto"/>
                <w:szCs w:val="21"/>
                <w:highlight w:val="none"/>
              </w:rPr>
              <w:t>投标人</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评审内容</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65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65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w:t>
            </w:r>
            <w:r>
              <w:rPr>
                <w:rFonts w:hint="eastAsia" w:ascii="宋体" w:hAnsi="宋体"/>
                <w:color w:val="auto"/>
                <w:szCs w:val="21"/>
                <w:highlight w:val="none"/>
                <w:u w:val="single"/>
              </w:rPr>
              <w:t>总价</w:t>
            </w:r>
            <w:r>
              <w:rPr>
                <w:rFonts w:hint="eastAsia" w:ascii="宋体" w:hAnsi="宋体"/>
                <w:color w:val="auto"/>
                <w:szCs w:val="21"/>
                <w:highlight w:val="none"/>
              </w:rPr>
              <w:t>高于最高投标限价的；</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w:t>
            </w:r>
          </w:p>
        </w:tc>
        <w:tc>
          <w:tcPr>
            <w:tcW w:w="65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65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5</w:t>
            </w:r>
          </w:p>
        </w:tc>
        <w:tc>
          <w:tcPr>
            <w:tcW w:w="6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bCs/>
                <w:color w:val="auto"/>
                <w:szCs w:val="21"/>
                <w:highlight w:val="none"/>
              </w:rPr>
              <w:t>投标文件未按规定的格式填写，或主要内容</w:t>
            </w:r>
            <w:r>
              <w:rPr>
                <w:rFonts w:hint="eastAsia" w:ascii="宋体" w:hAnsi="宋体"/>
                <w:bCs/>
                <w:color w:val="auto"/>
                <w:szCs w:val="21"/>
                <w:highlight w:val="none"/>
                <w:u w:val="single"/>
              </w:rPr>
              <w:t>（指招标文件第一章第11条投标文件的组成规定内容中有关经济标的规定内容）</w:t>
            </w:r>
            <w:r>
              <w:rPr>
                <w:rFonts w:hint="eastAsia" w:ascii="宋体" w:hAnsi="宋体"/>
                <w:bCs/>
                <w:color w:val="auto"/>
                <w:szCs w:val="21"/>
                <w:highlight w:val="none"/>
              </w:rPr>
              <w:t>不全，或关键字迹模糊、无法辨认；</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65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65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投标人之间存在《广东省实施&lt;中华人民共和国招标投标法&gt;办法》第十六条所禁止的情形的；</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65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65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p>
        </w:tc>
        <w:tc>
          <w:tcPr>
            <w:tcW w:w="65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1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widowControl/>
        <w:jc w:val="left"/>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pPr>
        <w:widowControl/>
        <w:jc w:val="left"/>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pPr>
        <w:widowControl/>
        <w:jc w:val="left"/>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2"/>
        <w:ind w:firstLine="458"/>
        <w:rPr>
          <w:rFonts w:ascii="宋体" w:hAnsi="宋体"/>
          <w:color w:val="auto"/>
          <w:szCs w:val="21"/>
          <w:highlight w:val="none"/>
        </w:rPr>
      </w:pPr>
    </w:p>
    <w:p>
      <w:pPr>
        <w:pStyle w:val="2"/>
        <w:ind w:firstLine="458"/>
        <w:rPr>
          <w:rFonts w:ascii="宋体" w:hAnsi="宋体"/>
          <w:color w:val="auto"/>
          <w:szCs w:val="21"/>
          <w:highlight w:val="none"/>
        </w:rPr>
      </w:pPr>
      <w:r>
        <w:rPr>
          <w:rFonts w:hint="eastAsia" w:ascii="宋体" w:hAnsi="宋体"/>
          <w:color w:val="auto"/>
          <w:szCs w:val="21"/>
          <w:highlight w:val="none"/>
        </w:rPr>
        <w:t>评委签名：</w:t>
      </w:r>
    </w:p>
    <w:p>
      <w:pPr>
        <w:pStyle w:val="7"/>
        <w:spacing w:line="240" w:lineRule="auto"/>
        <w:rPr>
          <w:rFonts w:ascii="宋体" w:hAnsi="宋体" w:cs="宋体"/>
          <w:b/>
          <w:color w:val="auto"/>
          <w:sz w:val="24"/>
          <w:szCs w:val="24"/>
          <w:highlight w:val="none"/>
        </w:rPr>
      </w:pPr>
      <w:r>
        <w:rPr>
          <w:rFonts w:hint="eastAsia" w:ascii="宋体" w:hAnsi="宋体"/>
          <w:color w:val="auto"/>
          <w:highlight w:val="none"/>
        </w:rPr>
        <w:br w:type="column"/>
      </w:r>
      <w:r>
        <w:rPr>
          <w:rFonts w:hint="eastAsia" w:ascii="宋体" w:hAnsi="宋体" w:cs="宋体"/>
          <w:b/>
          <w:color w:val="auto"/>
          <w:sz w:val="24"/>
          <w:szCs w:val="24"/>
          <w:highlight w:val="none"/>
        </w:rPr>
        <w:t>附表四</w:t>
      </w:r>
    </w:p>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sz w:val="32"/>
          <w:szCs w:val="32"/>
          <w:highlight w:val="none"/>
        </w:rPr>
      </w:pPr>
      <w:r>
        <w:rPr>
          <w:rFonts w:hint="eastAsia"/>
          <w:b/>
          <w:bCs/>
          <w:color w:val="auto"/>
          <w:sz w:val="32"/>
          <w:szCs w:val="32"/>
          <w:highlight w:val="none"/>
        </w:rPr>
        <w:t>技术标详细审查评分表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7"/>
        <w:tblpPr w:leftFromText="180" w:rightFromText="180" w:vertAnchor="text" w:horzAnchor="page" w:tblpX="733" w:tblpY="313"/>
        <w:tblOverlap w:val="never"/>
        <w:tblW w:w="15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80"/>
        <w:gridCol w:w="1987"/>
        <w:gridCol w:w="743"/>
        <w:gridCol w:w="1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atLeast"/>
        </w:trPr>
        <w:tc>
          <w:tcPr>
            <w:tcW w:w="1080" w:type="dxa"/>
            <w:shd w:val="clear" w:color="auto" w:fill="FFFFFF"/>
            <w:vAlign w:val="center"/>
          </w:tcPr>
          <w:p>
            <w:pPr>
              <w:pStyle w:val="209"/>
              <w:snapToGrid w:val="0"/>
              <w:spacing w:line="240" w:lineRule="auto"/>
              <w:jc w:val="center"/>
              <w:rPr>
                <w:rFonts w:cs="宋体"/>
                <w:color w:val="auto"/>
                <w:sz w:val="21"/>
                <w:szCs w:val="21"/>
                <w:highlight w:val="none"/>
              </w:rPr>
            </w:pPr>
            <w:r>
              <w:rPr>
                <w:rFonts w:hint="eastAsia"/>
                <w:b/>
                <w:color w:val="auto"/>
                <w:spacing w:val="-10"/>
                <w:sz w:val="21"/>
                <w:szCs w:val="21"/>
                <w:highlight w:val="none"/>
              </w:rPr>
              <w:t>评分</w:t>
            </w:r>
            <w:r>
              <w:rPr>
                <w:b/>
                <w:color w:val="auto"/>
                <w:spacing w:val="-10"/>
                <w:sz w:val="21"/>
                <w:szCs w:val="21"/>
                <w:highlight w:val="none"/>
              </w:rPr>
              <w:t>项目</w:t>
            </w:r>
          </w:p>
        </w:tc>
        <w:tc>
          <w:tcPr>
            <w:tcW w:w="1987" w:type="dxa"/>
            <w:shd w:val="clear" w:color="auto" w:fill="FFFFFF"/>
            <w:vAlign w:val="center"/>
          </w:tcPr>
          <w:p>
            <w:pPr>
              <w:pStyle w:val="209"/>
              <w:shd w:val="clear" w:color="auto" w:fill="auto"/>
              <w:snapToGrid w:val="0"/>
              <w:spacing w:line="240" w:lineRule="auto"/>
              <w:jc w:val="center"/>
              <w:rPr>
                <w:rFonts w:cs="宋体"/>
                <w:color w:val="auto"/>
                <w:sz w:val="21"/>
                <w:szCs w:val="21"/>
                <w:highlight w:val="none"/>
              </w:rPr>
            </w:pPr>
            <w:r>
              <w:rPr>
                <w:b/>
                <w:color w:val="auto"/>
                <w:spacing w:val="-10"/>
                <w:sz w:val="21"/>
                <w:szCs w:val="21"/>
                <w:highlight w:val="none"/>
              </w:rPr>
              <w:t>评分内容</w:t>
            </w:r>
          </w:p>
        </w:tc>
        <w:tc>
          <w:tcPr>
            <w:tcW w:w="743" w:type="dxa"/>
            <w:shd w:val="clear" w:color="auto" w:fill="FFFFFF"/>
            <w:vAlign w:val="center"/>
          </w:tcPr>
          <w:p>
            <w:pPr>
              <w:pStyle w:val="209"/>
              <w:shd w:val="clear" w:color="auto" w:fill="auto"/>
              <w:snapToGrid w:val="0"/>
              <w:spacing w:line="240" w:lineRule="auto"/>
              <w:jc w:val="center"/>
              <w:rPr>
                <w:rFonts w:cs="宋体"/>
                <w:color w:val="auto"/>
                <w:sz w:val="21"/>
                <w:szCs w:val="21"/>
                <w:highlight w:val="none"/>
              </w:rPr>
            </w:pPr>
            <w:r>
              <w:rPr>
                <w:b/>
                <w:color w:val="auto"/>
                <w:spacing w:val="-10"/>
                <w:sz w:val="21"/>
                <w:szCs w:val="21"/>
                <w:highlight w:val="none"/>
              </w:rPr>
              <w:t>分值</w:t>
            </w:r>
          </w:p>
        </w:tc>
        <w:tc>
          <w:tcPr>
            <w:tcW w:w="11515" w:type="dxa"/>
            <w:shd w:val="clear" w:color="auto" w:fill="FFFFFF"/>
            <w:vAlign w:val="center"/>
          </w:tcPr>
          <w:p>
            <w:pPr>
              <w:pStyle w:val="209"/>
              <w:shd w:val="clear" w:color="auto" w:fill="auto"/>
              <w:snapToGrid w:val="0"/>
              <w:spacing w:line="240" w:lineRule="auto"/>
              <w:jc w:val="center"/>
              <w:rPr>
                <w:color w:val="auto"/>
                <w:sz w:val="21"/>
                <w:szCs w:val="21"/>
                <w:highlight w:val="none"/>
              </w:rPr>
            </w:pPr>
            <w:r>
              <w:rPr>
                <w:b/>
                <w:color w:val="auto"/>
                <w:spacing w:val="-1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3" w:hRule="atLeast"/>
        </w:trPr>
        <w:tc>
          <w:tcPr>
            <w:tcW w:w="1080" w:type="dxa"/>
            <w:vMerge w:val="restart"/>
            <w:shd w:val="clear" w:color="auto" w:fill="FFFFFF"/>
            <w:vAlign w:val="center"/>
          </w:tcPr>
          <w:p>
            <w:pPr>
              <w:snapToGrid w:val="0"/>
              <w:spacing w:line="360" w:lineRule="auto"/>
              <w:jc w:val="center"/>
              <w:rPr>
                <w:rFonts w:ascii="宋体" w:hAnsi="宋体"/>
                <w:color w:val="auto"/>
                <w:sz w:val="21"/>
                <w:szCs w:val="21"/>
                <w:highlight w:val="none"/>
              </w:rPr>
            </w:pPr>
            <w:r>
              <w:rPr>
                <w:rFonts w:ascii="宋体" w:hAnsi="宋体"/>
                <w:color w:val="auto"/>
                <w:kern w:val="0"/>
                <w:sz w:val="21"/>
                <w:szCs w:val="21"/>
                <w:highlight w:val="none"/>
              </w:rPr>
              <w:t>施工组织设计</w:t>
            </w:r>
            <w:r>
              <w:rPr>
                <w:rFonts w:hint="eastAsia" w:ascii="宋体" w:hAnsi="宋体"/>
                <w:b/>
                <w:color w:val="auto"/>
                <w:kern w:val="0"/>
                <w:sz w:val="21"/>
                <w:szCs w:val="21"/>
                <w:highlight w:val="none"/>
              </w:rPr>
              <w:t>（</w:t>
            </w:r>
            <w:r>
              <w:rPr>
                <w:rFonts w:hint="eastAsia" w:ascii="宋体" w:hAnsi="宋体"/>
                <w:b/>
                <w:color w:val="auto"/>
                <w:kern w:val="0"/>
                <w:sz w:val="21"/>
                <w:szCs w:val="21"/>
                <w:highlight w:val="none"/>
                <w:lang w:val="en-US" w:eastAsia="zh-CN"/>
              </w:rPr>
              <w:t>6</w:t>
            </w:r>
            <w:r>
              <w:rPr>
                <w:rFonts w:ascii="宋体" w:hAnsi="宋体"/>
                <w:b/>
                <w:color w:val="auto"/>
                <w:kern w:val="0"/>
                <w:sz w:val="21"/>
                <w:szCs w:val="21"/>
                <w:highlight w:val="none"/>
              </w:rPr>
              <w:t>0</w:t>
            </w:r>
            <w:r>
              <w:rPr>
                <w:rFonts w:hint="eastAsia" w:ascii="宋体" w:hAnsi="宋体"/>
                <w:b/>
                <w:color w:val="auto"/>
                <w:kern w:val="0"/>
                <w:sz w:val="21"/>
                <w:szCs w:val="21"/>
                <w:highlight w:val="none"/>
              </w:rPr>
              <w:t>）</w:t>
            </w:r>
          </w:p>
        </w:tc>
        <w:tc>
          <w:tcPr>
            <w:tcW w:w="1987" w:type="dxa"/>
            <w:shd w:val="clear" w:color="auto" w:fill="FFFFFF"/>
            <w:vAlign w:val="center"/>
          </w:tcPr>
          <w:p>
            <w:pPr>
              <w:pStyle w:val="209"/>
              <w:shd w:val="clear" w:color="auto" w:fill="auto"/>
              <w:snapToGrid w:val="0"/>
              <w:spacing w:line="240" w:lineRule="auto"/>
              <w:jc w:val="center"/>
              <w:rPr>
                <w:rFonts w:hint="eastAsia" w:ascii="宋体" w:hAnsi="宋体" w:eastAsia="宋体" w:cs="宋体"/>
                <w:color w:val="auto"/>
                <w:kern w:val="0"/>
                <w:sz w:val="21"/>
                <w:szCs w:val="21"/>
                <w:lang w:val="en-US" w:eastAsia="zh-CN" w:bidi="ar-SA"/>
              </w:rPr>
            </w:pPr>
            <w:r>
              <w:rPr>
                <w:rFonts w:hint="eastAsia"/>
                <w:color w:val="auto"/>
                <w:sz w:val="21"/>
                <w:szCs w:val="21"/>
                <w:highlight w:val="none"/>
                <w:lang w:bidi="ar"/>
              </w:rPr>
              <w:t>施工组织方案与技术措施</w:t>
            </w:r>
          </w:p>
        </w:tc>
        <w:tc>
          <w:tcPr>
            <w:tcW w:w="743" w:type="dxa"/>
            <w:shd w:val="clear" w:color="auto" w:fill="FFFFFF"/>
            <w:vAlign w:val="center"/>
          </w:tcPr>
          <w:p>
            <w:pPr>
              <w:pStyle w:val="209"/>
              <w:shd w:val="clear" w:color="auto" w:fill="auto"/>
              <w:snapToGrid w:val="0"/>
              <w:spacing w:line="240" w:lineRule="auto"/>
              <w:jc w:val="center"/>
              <w:rPr>
                <w:rStyle w:val="210"/>
                <w:rFonts w:hint="eastAsia" w:ascii="宋体" w:hAnsi="宋体" w:eastAsia="宋体"/>
                <w:color w:val="auto"/>
              </w:rPr>
            </w:pPr>
            <w:r>
              <w:rPr>
                <w:rStyle w:val="210"/>
                <w:rFonts w:hint="eastAsia" w:ascii="宋体" w:hAnsi="宋体" w:eastAsia="宋体"/>
                <w:b w:val="0"/>
                <w:color w:val="auto"/>
                <w:sz w:val="21"/>
                <w:szCs w:val="21"/>
                <w:lang w:val="en-US" w:eastAsia="zh-CN"/>
              </w:rPr>
              <w:t>10</w:t>
            </w:r>
          </w:p>
        </w:tc>
        <w:tc>
          <w:tcPr>
            <w:tcW w:w="11515" w:type="dxa"/>
            <w:shd w:val="clear" w:color="auto" w:fill="FFFFFF"/>
            <w:vAlign w:val="center"/>
          </w:tcPr>
          <w:p>
            <w:pPr>
              <w:ind w:left="210" w:leftChars="100"/>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highlight w:val="none"/>
                <w:lang w:bidi="ar"/>
              </w:rPr>
              <w:t>有施工总体部署和平面布置方案、施工组织方案及施工方法、保障工程质量、工期和施工安全生产的技术措施。</w:t>
            </w:r>
            <w:r>
              <w:rPr>
                <w:rFonts w:ascii="宋体" w:hAnsi="宋体" w:cs="宋体"/>
                <w:color w:val="auto"/>
                <w:szCs w:val="21"/>
                <w:highlight w:val="none"/>
              </w:rPr>
              <w:t>措施</w:t>
            </w:r>
            <w:r>
              <w:rPr>
                <w:rFonts w:hint="eastAsia" w:ascii="宋体" w:hAnsi="宋体" w:cs="宋体"/>
                <w:color w:val="auto"/>
                <w:szCs w:val="21"/>
                <w:highlight w:val="none"/>
              </w:rPr>
              <w:t>全面</w:t>
            </w:r>
            <w:r>
              <w:rPr>
                <w:rFonts w:hint="eastAsia" w:ascii="宋体" w:hAnsi="宋体" w:cs="宋体"/>
                <w:color w:val="auto"/>
                <w:szCs w:val="21"/>
                <w:highlight w:val="none"/>
                <w:lang w:eastAsia="zh-CN"/>
              </w:rPr>
              <w:t>、</w:t>
            </w:r>
            <w:r>
              <w:rPr>
                <w:rFonts w:hint="eastAsia" w:ascii="宋体" w:hAnsi="宋体"/>
                <w:color w:val="auto"/>
                <w:szCs w:val="21"/>
                <w:highlight w:val="none"/>
              </w:rPr>
              <w:t>到位，方法合理，切实可行</w:t>
            </w:r>
            <w:r>
              <w:rPr>
                <w:rFonts w:hint="eastAsia" w:ascii="宋体" w:hAnsi="宋体"/>
                <w:color w:val="auto"/>
                <w:szCs w:val="21"/>
                <w:highlight w:val="none"/>
                <w:lang w:eastAsia="zh-CN"/>
              </w:rPr>
              <w:t>，</w:t>
            </w:r>
            <w:r>
              <w:rPr>
                <w:rFonts w:hint="eastAsia" w:ascii="宋体" w:hAnsi="宋体" w:eastAsia="宋体" w:cs="宋体"/>
                <w:color w:val="auto"/>
                <w:kern w:val="0"/>
                <w:szCs w:val="21"/>
                <w:highlight w:val="none"/>
                <w:lang w:bidi="ar"/>
              </w:rPr>
              <w:t>得</w:t>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分。</w:t>
            </w:r>
          </w:p>
          <w:p>
            <w:pPr>
              <w:ind w:left="210" w:leftChars="100"/>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highlight w:val="none"/>
                <w:lang w:bidi="ar"/>
              </w:rPr>
              <w:t>有施工总体部署和平面布置方案/施工组织方案及施工方法/保障工程质量、工期和施工安全生产的技术措施当中两项</w:t>
            </w:r>
            <w:r>
              <w:rPr>
                <w:rFonts w:hint="eastAsia" w:ascii="宋体" w:hAnsi="宋体" w:cs="宋体"/>
                <w:color w:val="auto"/>
                <w:kern w:val="0"/>
                <w:szCs w:val="21"/>
                <w:highlight w:val="none"/>
                <w:lang w:eastAsia="zh-CN" w:bidi="ar"/>
              </w:rPr>
              <w:t>，</w:t>
            </w:r>
            <w:r>
              <w:rPr>
                <w:rFonts w:ascii="宋体" w:hAnsi="宋体" w:cs="宋体"/>
                <w:color w:val="auto"/>
                <w:szCs w:val="21"/>
                <w:highlight w:val="none"/>
              </w:rPr>
              <w:t>措施</w:t>
            </w:r>
            <w:r>
              <w:rPr>
                <w:rFonts w:hint="eastAsia" w:ascii="宋体" w:hAnsi="宋体" w:cs="宋体"/>
                <w:color w:val="auto"/>
                <w:szCs w:val="21"/>
                <w:highlight w:val="none"/>
              </w:rPr>
              <w:t>比较全面</w:t>
            </w:r>
            <w:r>
              <w:rPr>
                <w:rFonts w:hint="eastAsia" w:ascii="宋体" w:hAnsi="宋体" w:cs="宋体"/>
                <w:color w:val="auto"/>
                <w:szCs w:val="21"/>
                <w:highlight w:val="none"/>
                <w:lang w:eastAsia="zh-CN"/>
              </w:rPr>
              <w:t>、</w:t>
            </w:r>
            <w:r>
              <w:rPr>
                <w:rFonts w:hint="eastAsia" w:ascii="宋体" w:hAnsi="宋体"/>
                <w:color w:val="auto"/>
                <w:szCs w:val="21"/>
                <w:highlight w:val="none"/>
              </w:rPr>
              <w:t>基本到位</w:t>
            </w:r>
            <w:r>
              <w:rPr>
                <w:rFonts w:hint="eastAsia" w:ascii="宋体" w:hAnsi="宋体" w:cs="宋体"/>
                <w:color w:val="auto"/>
                <w:szCs w:val="21"/>
                <w:highlight w:val="none"/>
              </w:rPr>
              <w:t>，</w:t>
            </w:r>
            <w:r>
              <w:rPr>
                <w:rFonts w:hint="eastAsia" w:ascii="宋体" w:hAnsi="宋体"/>
                <w:color w:val="auto"/>
                <w:szCs w:val="21"/>
                <w:highlight w:val="none"/>
              </w:rPr>
              <w:t>方法比较合理可行</w:t>
            </w:r>
            <w:r>
              <w:rPr>
                <w:rFonts w:hint="eastAsia" w:ascii="宋体" w:hAnsi="宋体"/>
                <w:color w:val="auto"/>
                <w:szCs w:val="21"/>
                <w:highlight w:val="none"/>
                <w:lang w:eastAsia="zh-CN"/>
              </w:rPr>
              <w:t>，</w:t>
            </w:r>
            <w:r>
              <w:rPr>
                <w:rFonts w:hint="eastAsia" w:ascii="宋体" w:hAnsi="宋体" w:eastAsia="宋体" w:cs="宋体"/>
                <w:color w:val="auto"/>
                <w:kern w:val="0"/>
                <w:szCs w:val="21"/>
                <w:highlight w:val="none"/>
                <w:lang w:bidi="ar"/>
              </w:rPr>
              <w:t>得</w:t>
            </w:r>
            <w:r>
              <w:rPr>
                <w:rFonts w:hint="eastAsia" w:ascii="宋体" w:hAnsi="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eastAsia="zh-CN" w:bidi="ar"/>
              </w:rPr>
              <w:t>。</w:t>
            </w:r>
          </w:p>
          <w:p>
            <w:pPr>
              <w:ind w:left="210" w:leftChars="100"/>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highlight w:val="none"/>
                <w:lang w:bidi="ar"/>
              </w:rPr>
              <w:t>仅有施工总体部署和平面布置方案/施工组织方案及施工方法/保障工程质量、工期和施工安全生产的技术措施当中一项</w:t>
            </w:r>
            <w:r>
              <w:rPr>
                <w:rFonts w:hint="eastAsia" w:ascii="宋体" w:hAnsi="宋体" w:cs="宋体"/>
                <w:color w:val="auto"/>
                <w:kern w:val="0"/>
                <w:szCs w:val="21"/>
                <w:highlight w:val="none"/>
                <w:lang w:eastAsia="zh-CN" w:bidi="ar"/>
              </w:rPr>
              <w:t>，</w:t>
            </w:r>
            <w:r>
              <w:rPr>
                <w:rFonts w:hint="eastAsia" w:ascii="宋体" w:hAnsi="宋体"/>
                <w:color w:val="auto"/>
                <w:szCs w:val="21"/>
                <w:highlight w:val="none"/>
              </w:rPr>
              <w:t>措施一般,基本可行</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分。</w:t>
            </w:r>
          </w:p>
          <w:p>
            <w:pPr>
              <w:ind w:left="210" w:leftChars="100"/>
              <w:rPr>
                <w:rFonts w:hint="default" w:ascii="Calibri" w:hAnsi="Calibri" w:eastAsia="宋体" w:cs="Times New Roman"/>
                <w:color w:val="auto"/>
                <w:kern w:val="2"/>
                <w:sz w:val="21"/>
                <w:szCs w:val="22"/>
                <w:lang w:val="en-US" w:eastAsia="zh-CN" w:bidi="ar-SA"/>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lang w:eastAsia="zh-CN"/>
              </w:rPr>
              <w:t>）</w:t>
            </w:r>
            <w:r>
              <w:rPr>
                <w:rFonts w:hint="eastAsia"/>
                <w:color w:val="auto"/>
                <w:sz w:val="21"/>
                <w:szCs w:val="21"/>
                <w:highlight w:val="none"/>
                <w:lang w:bidi="ar"/>
              </w:rPr>
              <w:t>不满足前述要求者，得0分。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93" w:hRule="atLeast"/>
        </w:trPr>
        <w:tc>
          <w:tcPr>
            <w:tcW w:w="1080" w:type="dxa"/>
            <w:vMerge w:val="continue"/>
            <w:shd w:val="clear" w:color="auto" w:fill="FFFFFF"/>
            <w:vAlign w:val="center"/>
          </w:tcPr>
          <w:p>
            <w:pPr>
              <w:snapToGrid w:val="0"/>
              <w:spacing w:line="360" w:lineRule="auto"/>
              <w:jc w:val="center"/>
              <w:rPr>
                <w:rFonts w:ascii="宋体" w:hAnsi="宋体"/>
                <w:color w:val="auto"/>
                <w:kern w:val="0"/>
                <w:sz w:val="21"/>
                <w:szCs w:val="21"/>
                <w:highlight w:val="none"/>
              </w:rPr>
            </w:pPr>
          </w:p>
        </w:tc>
        <w:tc>
          <w:tcPr>
            <w:tcW w:w="1987" w:type="dxa"/>
            <w:shd w:val="clear" w:color="auto" w:fill="FFFFFF"/>
            <w:vAlign w:val="center"/>
          </w:tcPr>
          <w:p>
            <w:pPr>
              <w:pStyle w:val="209"/>
              <w:shd w:val="clear" w:color="auto" w:fill="auto"/>
              <w:snapToGri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cs="宋体"/>
                <w:color w:val="auto"/>
                <w:sz w:val="21"/>
                <w:szCs w:val="21"/>
              </w:rPr>
              <w:t>工期计划</w:t>
            </w:r>
          </w:p>
        </w:tc>
        <w:tc>
          <w:tcPr>
            <w:tcW w:w="743" w:type="dxa"/>
            <w:shd w:val="clear" w:color="auto" w:fill="FFFFFF"/>
            <w:vAlign w:val="center"/>
          </w:tcPr>
          <w:p>
            <w:pPr>
              <w:pStyle w:val="209"/>
              <w:shd w:val="clear" w:color="auto" w:fill="auto"/>
              <w:snapToGrid w:val="0"/>
              <w:spacing w:line="240" w:lineRule="auto"/>
              <w:jc w:val="center"/>
              <w:rPr>
                <w:rStyle w:val="210"/>
                <w:rFonts w:ascii="宋体" w:hAnsi="宋体" w:eastAsia="宋体"/>
                <w:b w:val="0"/>
                <w:color w:val="auto"/>
              </w:rPr>
            </w:pPr>
            <w:r>
              <w:rPr>
                <w:rStyle w:val="210"/>
                <w:rFonts w:hint="eastAsia"/>
                <w:b w:val="0"/>
                <w:color w:val="auto"/>
                <w:sz w:val="21"/>
                <w:szCs w:val="21"/>
                <w:lang w:val="en-US" w:eastAsia="zh-CN"/>
              </w:rPr>
              <w:t>5</w:t>
            </w:r>
          </w:p>
        </w:tc>
        <w:tc>
          <w:tcPr>
            <w:tcW w:w="1151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rPr>
              <w:t>1）制定了施工进度计划并有进度计划保证措施，施工工期计划目标对比招标文件要求提前</w:t>
            </w:r>
            <w:r>
              <w:rPr>
                <w:rFonts w:hint="eastAsia" w:ascii="宋体" w:hAnsi="宋体" w:cs="宋体"/>
                <w:color w:val="auto"/>
                <w:kern w:val="0"/>
                <w:szCs w:val="21"/>
                <w:lang w:val="en-US" w:eastAsia="zh-CN"/>
              </w:rPr>
              <w:t>1</w:t>
            </w:r>
            <w:r>
              <w:rPr>
                <w:rFonts w:hint="eastAsia" w:ascii="宋体" w:hAnsi="宋体" w:cs="宋体"/>
                <w:color w:val="auto"/>
                <w:kern w:val="0"/>
                <w:szCs w:val="21"/>
              </w:rPr>
              <w:t>5天或以上完工的，得</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rPr>
              <w:t>2）制定了施工进度计划并有进度计划保证措施，施工工期计划目标对比招标文件要求提前1至</w:t>
            </w:r>
            <w:r>
              <w:rPr>
                <w:rFonts w:hint="eastAsia" w:ascii="宋体" w:hAnsi="宋体" w:cs="宋体"/>
                <w:color w:val="auto"/>
                <w:kern w:val="0"/>
                <w:szCs w:val="21"/>
                <w:lang w:val="en-US" w:eastAsia="zh-CN"/>
              </w:rPr>
              <w:t>1</w:t>
            </w:r>
            <w:r>
              <w:rPr>
                <w:rFonts w:hint="eastAsia" w:ascii="宋体" w:hAnsi="宋体" w:cs="宋体"/>
                <w:color w:val="auto"/>
                <w:kern w:val="0"/>
                <w:szCs w:val="21"/>
              </w:rPr>
              <w:t>4天完工的，得</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rPr>
              <w:t>3）制定了施工进度计划并有进度计划保证措施，施工工期计划目标符合招标文件要求的，得</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Calibri" w:hAnsi="Calibri" w:eastAsia="宋体" w:cs="Times New Roman"/>
                <w:color w:val="auto"/>
                <w:kern w:val="2"/>
                <w:sz w:val="21"/>
                <w:szCs w:val="21"/>
                <w:lang w:val="en-US" w:eastAsia="zh-CN" w:bidi="ar-SA"/>
              </w:rPr>
            </w:pPr>
            <w:r>
              <w:rPr>
                <w:rFonts w:hint="eastAsia" w:ascii="宋体" w:hAnsi="宋体" w:cs="宋体"/>
                <w:color w:val="auto"/>
                <w:kern w:val="0"/>
                <w:szCs w:val="21"/>
                <w:lang w:eastAsia="zh-CN"/>
              </w:rPr>
              <w:t>（</w:t>
            </w:r>
            <w:r>
              <w:rPr>
                <w:rFonts w:hint="eastAsia" w:ascii="宋体" w:hAnsi="宋体" w:cs="宋体"/>
                <w:color w:val="auto"/>
                <w:kern w:val="0"/>
                <w:szCs w:val="21"/>
              </w:rPr>
              <w:t>4）无施工进度计划和进度计划保证措施，得0分。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3" w:hRule="atLeast"/>
        </w:trPr>
        <w:tc>
          <w:tcPr>
            <w:tcW w:w="1080" w:type="dxa"/>
            <w:vMerge w:val="continue"/>
            <w:shd w:val="clear" w:color="auto" w:fill="FFFFFF"/>
            <w:vAlign w:val="center"/>
          </w:tcPr>
          <w:p>
            <w:pPr>
              <w:snapToGrid w:val="0"/>
              <w:spacing w:line="360" w:lineRule="auto"/>
              <w:jc w:val="center"/>
              <w:rPr>
                <w:rFonts w:ascii="宋体" w:hAnsi="宋体"/>
                <w:color w:val="auto"/>
                <w:kern w:val="0"/>
                <w:sz w:val="21"/>
                <w:szCs w:val="21"/>
                <w:highlight w:val="none"/>
              </w:rPr>
            </w:pPr>
          </w:p>
        </w:tc>
        <w:tc>
          <w:tcPr>
            <w:tcW w:w="1987" w:type="dxa"/>
            <w:shd w:val="clear" w:color="auto" w:fill="FFFFFF"/>
            <w:vAlign w:val="center"/>
          </w:tcPr>
          <w:p>
            <w:pPr>
              <w:spacing w:line="400" w:lineRule="exact"/>
              <w:jc w:val="center"/>
              <w:rPr>
                <w:rFonts w:hint="eastAsia" w:ascii="Calibri" w:hAnsi="Calibri" w:eastAsia="宋体" w:cs="宋体"/>
                <w:color w:val="auto"/>
                <w:kern w:val="2"/>
                <w:sz w:val="21"/>
                <w:szCs w:val="21"/>
                <w:lang w:val="en-US" w:eastAsia="zh-CN" w:bidi="ar-SA"/>
              </w:rPr>
            </w:pPr>
            <w:r>
              <w:rPr>
                <w:rFonts w:hint="eastAsia" w:ascii="宋体" w:hAnsi="宋体" w:cs="宋体"/>
                <w:color w:val="auto"/>
              </w:rPr>
              <w:t>施工机械设备投入</w:t>
            </w:r>
          </w:p>
        </w:tc>
        <w:tc>
          <w:tcPr>
            <w:tcW w:w="743" w:type="dxa"/>
            <w:shd w:val="clear" w:color="auto" w:fill="FFFFFF"/>
            <w:vAlign w:val="center"/>
          </w:tcPr>
          <w:p>
            <w:pPr>
              <w:pStyle w:val="209"/>
              <w:shd w:val="clear" w:color="auto" w:fill="auto"/>
              <w:snapToGrid w:val="0"/>
              <w:spacing w:line="360" w:lineRule="auto"/>
              <w:jc w:val="center"/>
              <w:rPr>
                <w:rFonts w:hint="default" w:ascii="宋体" w:hAnsi="宋体" w:eastAsia="宋体" w:cs="Century Schoolbook"/>
                <w:b w:val="0"/>
                <w:bCs/>
                <w:color w:val="auto"/>
                <w:spacing w:val="10"/>
                <w:w w:val="100"/>
                <w:kern w:val="0"/>
                <w:position w:val="0"/>
                <w:sz w:val="21"/>
                <w:szCs w:val="21"/>
                <w:shd w:val="clear" w:color="auto" w:fill="FFFFFF"/>
                <w:lang w:val="en-US" w:eastAsia="zh-CN" w:bidi="ar-SA"/>
              </w:rPr>
            </w:pPr>
            <w:r>
              <w:rPr>
                <w:rStyle w:val="210"/>
                <w:rFonts w:hint="eastAsia" w:ascii="宋体" w:hAnsi="宋体" w:eastAsia="宋体"/>
                <w:b w:val="0"/>
                <w:color w:val="auto"/>
                <w:sz w:val="21"/>
                <w:szCs w:val="21"/>
              </w:rPr>
              <w:t>5</w:t>
            </w:r>
          </w:p>
        </w:tc>
        <w:tc>
          <w:tcPr>
            <w:tcW w:w="11515" w:type="dxa"/>
            <w:shd w:val="clear" w:color="auto" w:fill="FFFFFF"/>
            <w:vAlign w:val="center"/>
          </w:tcPr>
          <w:p>
            <w:pPr>
              <w:ind w:left="210" w:leftChars="100"/>
              <w:rPr>
                <w:rFonts w:ascii="宋体" w:hAnsi="宋体" w:cs="宋体"/>
                <w:color w:val="auto"/>
                <w:kern w:val="0"/>
                <w:szCs w:val="21"/>
              </w:rPr>
            </w:pPr>
            <w:r>
              <w:rPr>
                <w:rFonts w:hint="eastAsia" w:ascii="宋体" w:hAnsi="宋体" w:cs="宋体"/>
                <w:color w:val="auto"/>
                <w:kern w:val="0"/>
                <w:szCs w:val="21"/>
              </w:rPr>
              <w:t>（1）投标人机械设备数量充足，配置种类齐全，投入计划与进度计划呼应，很好地满足施工需要，采用先进机械设备；得5分。</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ascii="宋体" w:hAnsi="宋体" w:cs="宋体"/>
                <w:color w:val="auto"/>
                <w:kern w:val="0"/>
                <w:szCs w:val="21"/>
              </w:rPr>
            </w:pPr>
            <w:r>
              <w:rPr>
                <w:rFonts w:hint="eastAsia" w:ascii="宋体" w:hAnsi="宋体" w:cs="宋体"/>
                <w:color w:val="auto"/>
                <w:kern w:val="0"/>
                <w:szCs w:val="21"/>
              </w:rPr>
              <w:t>（2）投标人机械设备数量比较充足，配置种类比较齐全，投入计划与进度计划比较呼应，比较满足施工需要；得2分。</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）投标人机械设备数量基本符合要求，配置种类基本齐全，投入计划与进度计划基本呼应，基本满足施工需要；得1分。</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（4）不满足上述条件者，得0分。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atLeast"/>
        </w:trPr>
        <w:tc>
          <w:tcPr>
            <w:tcW w:w="1080" w:type="dxa"/>
            <w:vMerge w:val="continue"/>
            <w:shd w:val="clear" w:color="auto" w:fill="FFFFFF"/>
            <w:vAlign w:val="center"/>
          </w:tcPr>
          <w:p>
            <w:pPr>
              <w:snapToGrid w:val="0"/>
              <w:spacing w:line="360" w:lineRule="auto"/>
              <w:jc w:val="center"/>
              <w:rPr>
                <w:rFonts w:ascii="宋体" w:hAnsi="宋体"/>
                <w:color w:val="auto"/>
                <w:sz w:val="21"/>
                <w:szCs w:val="21"/>
                <w:highlight w:val="none"/>
              </w:rPr>
            </w:pPr>
          </w:p>
        </w:tc>
        <w:tc>
          <w:tcPr>
            <w:tcW w:w="1987" w:type="dxa"/>
            <w:shd w:val="clear" w:color="auto" w:fill="FFFFFF"/>
            <w:vAlign w:val="center"/>
          </w:tcPr>
          <w:p>
            <w:pPr>
              <w:pStyle w:val="209"/>
              <w:shd w:val="clear" w:color="auto" w:fill="auto"/>
              <w:snapToGrid w:val="0"/>
              <w:spacing w:line="240" w:lineRule="auto"/>
              <w:jc w:val="center"/>
              <w:rPr>
                <w:rFonts w:cs="宋体"/>
                <w:color w:val="auto"/>
                <w:sz w:val="21"/>
                <w:szCs w:val="21"/>
                <w:highlight w:val="none"/>
              </w:rPr>
            </w:pPr>
            <w:r>
              <w:rPr>
                <w:rFonts w:hint="eastAsia" w:cs="宋体"/>
                <w:color w:val="auto"/>
                <w:sz w:val="21"/>
                <w:szCs w:val="21"/>
              </w:rPr>
              <w:t>劳动力投入措施</w:t>
            </w:r>
          </w:p>
        </w:tc>
        <w:tc>
          <w:tcPr>
            <w:tcW w:w="743" w:type="dxa"/>
            <w:shd w:val="clear" w:color="auto" w:fill="FFFFFF"/>
            <w:vAlign w:val="center"/>
          </w:tcPr>
          <w:p>
            <w:pPr>
              <w:pStyle w:val="209"/>
              <w:shd w:val="clear" w:color="auto" w:fill="auto"/>
              <w:snapToGrid w:val="0"/>
              <w:spacing w:line="240" w:lineRule="auto"/>
              <w:jc w:val="center"/>
              <w:rPr>
                <w:rStyle w:val="210"/>
                <w:rFonts w:hint="default" w:ascii="宋体" w:hAnsi="宋体" w:eastAsia="宋体"/>
                <w:b w:val="0"/>
                <w:color w:val="auto"/>
                <w:sz w:val="21"/>
                <w:szCs w:val="21"/>
                <w:highlight w:val="none"/>
                <w:lang w:val="en-US" w:eastAsia="zh-CN"/>
              </w:rPr>
            </w:pPr>
            <w:r>
              <w:rPr>
                <w:rStyle w:val="210"/>
                <w:rFonts w:hint="eastAsia" w:ascii="宋体" w:hAnsi="宋体" w:eastAsia="宋体"/>
                <w:b w:val="0"/>
                <w:color w:val="auto"/>
                <w:sz w:val="21"/>
                <w:szCs w:val="21"/>
                <w:lang w:val="en-US" w:eastAsia="zh-CN"/>
              </w:rPr>
              <w:t>5</w:t>
            </w:r>
          </w:p>
        </w:tc>
        <w:tc>
          <w:tcPr>
            <w:tcW w:w="11515" w:type="dxa"/>
            <w:shd w:val="clear" w:color="auto" w:fill="FFFFFF"/>
            <w:vAlign w:val="center"/>
          </w:tcPr>
          <w:p>
            <w:pPr>
              <w:ind w:left="210" w:leftChars="1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rPr>
              <w:t>1）有劳动力保证措施，施工高峰期拟投入的劳动力数量大于或等于</w:t>
            </w:r>
            <w:r>
              <w:rPr>
                <w:rFonts w:hint="eastAsia" w:ascii="宋体" w:hAnsi="宋体" w:cs="宋体"/>
                <w:color w:val="auto"/>
                <w:kern w:val="0"/>
                <w:szCs w:val="21"/>
                <w:lang w:val="en-US" w:eastAsia="zh-CN"/>
              </w:rPr>
              <w:t>500</w:t>
            </w:r>
            <w:r>
              <w:rPr>
                <w:rFonts w:hint="eastAsia" w:ascii="宋体" w:hAnsi="宋体" w:cs="宋体"/>
                <w:color w:val="auto"/>
                <w:kern w:val="0"/>
                <w:szCs w:val="21"/>
              </w:rPr>
              <w:t>人，得</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p>
            <w:pPr>
              <w:ind w:left="210" w:leftChars="1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rPr>
              <w:t>2）有劳动力保证措施，施工高峰期拟投入的劳动力数量为[</w:t>
            </w:r>
            <w:r>
              <w:rPr>
                <w:rFonts w:hint="eastAsia" w:ascii="宋体" w:hAnsi="宋体" w:cs="宋体"/>
                <w:color w:val="auto"/>
                <w:kern w:val="0"/>
                <w:szCs w:val="21"/>
                <w:lang w:val="en-US" w:eastAsia="zh-CN"/>
              </w:rPr>
              <w:t>3</w:t>
            </w:r>
            <w:r>
              <w:rPr>
                <w:rFonts w:hint="eastAsia" w:ascii="宋体" w:hAnsi="宋体" w:cs="宋体"/>
                <w:color w:val="auto"/>
                <w:kern w:val="0"/>
                <w:szCs w:val="21"/>
              </w:rPr>
              <w:t>00,</w:t>
            </w:r>
            <w:r>
              <w:rPr>
                <w:rFonts w:hint="eastAsia" w:ascii="宋体" w:hAnsi="宋体" w:cs="宋体"/>
                <w:color w:val="auto"/>
                <w:kern w:val="0"/>
                <w:szCs w:val="21"/>
                <w:lang w:val="en-US" w:eastAsia="zh-CN"/>
              </w:rPr>
              <w:t>50</w:t>
            </w:r>
            <w:r>
              <w:rPr>
                <w:rFonts w:hint="eastAsia" w:ascii="宋体" w:hAnsi="宋体" w:cs="宋体"/>
                <w:color w:val="auto"/>
                <w:kern w:val="0"/>
                <w:szCs w:val="21"/>
              </w:rPr>
              <w:t>0），得</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p>
            <w:pPr>
              <w:ind w:left="210" w:leftChars="1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rPr>
              <w:t>3）有劳动力保证措施，但施工高峰期拟投入的劳动力数量为[</w:t>
            </w:r>
            <w:r>
              <w:rPr>
                <w:rFonts w:hint="eastAsia" w:ascii="宋体" w:hAnsi="宋体" w:cs="宋体"/>
                <w:color w:val="auto"/>
                <w:kern w:val="0"/>
                <w:szCs w:val="21"/>
                <w:lang w:val="en-US" w:eastAsia="zh-CN"/>
              </w:rPr>
              <w:t>10</w:t>
            </w:r>
            <w:r>
              <w:rPr>
                <w:rFonts w:hint="eastAsia" w:ascii="宋体" w:hAnsi="宋体" w:cs="宋体"/>
                <w:color w:val="auto"/>
                <w:kern w:val="0"/>
                <w:szCs w:val="21"/>
              </w:rPr>
              <w:t>0,</w:t>
            </w:r>
            <w:r>
              <w:rPr>
                <w:rFonts w:hint="eastAsia" w:ascii="宋体" w:hAnsi="宋体" w:cs="宋体"/>
                <w:color w:val="auto"/>
                <w:kern w:val="0"/>
                <w:szCs w:val="21"/>
                <w:lang w:val="en-US" w:eastAsia="zh-CN"/>
              </w:rPr>
              <w:t>3</w:t>
            </w:r>
            <w:r>
              <w:rPr>
                <w:rFonts w:hint="eastAsia" w:ascii="宋体" w:hAnsi="宋体" w:cs="宋体"/>
                <w:color w:val="auto"/>
                <w:kern w:val="0"/>
                <w:szCs w:val="21"/>
              </w:rPr>
              <w:t>00），得</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p>
            <w:pPr>
              <w:ind w:left="210" w:leftChars="100"/>
              <w:rPr>
                <w:rFonts w:ascii="宋体" w:hAnsi="宋体" w:cs="宋体"/>
                <w:color w:val="auto"/>
                <w:kern w:val="0"/>
                <w:sz w:val="21"/>
                <w:szCs w:val="21"/>
                <w:highlight w:val="none"/>
              </w:rPr>
            </w:pPr>
            <w:r>
              <w:rPr>
                <w:rFonts w:hint="eastAsia" w:ascii="宋体" w:hAnsi="宋体" w:cs="宋体"/>
                <w:color w:val="auto"/>
                <w:kern w:val="0"/>
                <w:szCs w:val="21"/>
                <w:lang w:eastAsia="zh-CN"/>
              </w:rPr>
              <w:t>（</w:t>
            </w:r>
            <w:r>
              <w:rPr>
                <w:rFonts w:hint="eastAsia" w:ascii="宋体" w:hAnsi="宋体" w:cs="宋体"/>
                <w:color w:val="auto"/>
                <w:kern w:val="0"/>
                <w:szCs w:val="21"/>
              </w:rPr>
              <w:t>4）无劳动力保证措施或劳动力数量小于</w:t>
            </w:r>
            <w:r>
              <w:rPr>
                <w:rFonts w:hint="eastAsia" w:ascii="宋体" w:hAnsi="宋体" w:cs="宋体"/>
                <w:color w:val="auto"/>
                <w:kern w:val="0"/>
                <w:szCs w:val="21"/>
                <w:lang w:val="en-US" w:eastAsia="zh-CN"/>
              </w:rPr>
              <w:t>10</w:t>
            </w:r>
            <w:r>
              <w:rPr>
                <w:rFonts w:hint="eastAsia" w:ascii="宋体" w:hAnsi="宋体" w:cs="宋体"/>
                <w:color w:val="auto"/>
                <w:kern w:val="0"/>
                <w:szCs w:val="21"/>
              </w:rPr>
              <w:t>0人，得0分。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atLeast"/>
        </w:trPr>
        <w:tc>
          <w:tcPr>
            <w:tcW w:w="1080" w:type="dxa"/>
            <w:vMerge w:val="continue"/>
            <w:shd w:val="clear" w:color="auto" w:fill="FFFFFF"/>
            <w:vAlign w:val="center"/>
          </w:tcPr>
          <w:p>
            <w:pPr>
              <w:snapToGrid w:val="0"/>
              <w:spacing w:line="360" w:lineRule="auto"/>
              <w:jc w:val="center"/>
              <w:rPr>
                <w:rFonts w:ascii="宋体" w:hAnsi="宋体"/>
                <w:color w:val="auto"/>
                <w:sz w:val="21"/>
                <w:szCs w:val="21"/>
                <w:highlight w:val="none"/>
              </w:rPr>
            </w:pPr>
          </w:p>
        </w:tc>
        <w:tc>
          <w:tcPr>
            <w:tcW w:w="1987" w:type="dxa"/>
            <w:shd w:val="clear" w:color="auto" w:fill="FFFFFF"/>
            <w:vAlign w:val="center"/>
          </w:tcPr>
          <w:p>
            <w:pPr>
              <w:pStyle w:val="209"/>
              <w:shd w:val="clear" w:color="auto" w:fill="auto"/>
              <w:snapToGrid w:val="0"/>
              <w:spacing w:line="240" w:lineRule="auto"/>
              <w:jc w:val="center"/>
              <w:rPr>
                <w:rFonts w:cs="宋体"/>
                <w:color w:val="auto"/>
                <w:sz w:val="21"/>
                <w:szCs w:val="21"/>
                <w:highlight w:val="none"/>
              </w:rPr>
            </w:pPr>
            <w:r>
              <w:rPr>
                <w:rFonts w:hint="eastAsia" w:cs="宋体"/>
                <w:color w:val="auto"/>
                <w:sz w:val="21"/>
                <w:szCs w:val="21"/>
              </w:rPr>
              <w:t>质量控制措施</w:t>
            </w:r>
          </w:p>
        </w:tc>
        <w:tc>
          <w:tcPr>
            <w:tcW w:w="743" w:type="dxa"/>
            <w:shd w:val="clear" w:color="auto" w:fill="FFFFFF"/>
            <w:vAlign w:val="center"/>
          </w:tcPr>
          <w:p>
            <w:pPr>
              <w:pStyle w:val="209"/>
              <w:shd w:val="clear" w:color="auto" w:fill="auto"/>
              <w:snapToGrid w:val="0"/>
              <w:spacing w:line="240" w:lineRule="auto"/>
              <w:jc w:val="center"/>
              <w:rPr>
                <w:rStyle w:val="210"/>
                <w:rFonts w:ascii="宋体" w:hAnsi="宋体" w:eastAsia="宋体"/>
                <w:b w:val="0"/>
                <w:color w:val="auto"/>
                <w:sz w:val="21"/>
                <w:szCs w:val="21"/>
                <w:highlight w:val="none"/>
              </w:rPr>
            </w:pPr>
            <w:r>
              <w:rPr>
                <w:rStyle w:val="210"/>
                <w:rFonts w:hint="eastAsia" w:ascii="宋体" w:hAnsi="宋体" w:eastAsia="宋体"/>
                <w:b w:val="0"/>
                <w:color w:val="auto"/>
                <w:sz w:val="21"/>
                <w:szCs w:val="21"/>
              </w:rPr>
              <w:t>10</w:t>
            </w:r>
          </w:p>
        </w:tc>
        <w:tc>
          <w:tcPr>
            <w:tcW w:w="11515" w:type="dxa"/>
            <w:shd w:val="clear" w:color="auto" w:fill="FFFFFF"/>
            <w:vAlign w:val="center"/>
          </w:tcPr>
          <w:p>
            <w:pPr>
              <w:ind w:left="210" w:leftChars="100"/>
              <w:rPr>
                <w:rFonts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1）有质量控制措施，内容有质量目标、质量保证体系、质量保证措施、质量通病预防措施、材料进场检验措施、成品保护措施、质量事故应急预案</w:t>
            </w:r>
            <w:r>
              <w:rPr>
                <w:rFonts w:hint="eastAsia" w:ascii="宋体" w:hAnsi="宋体" w:cs="宋体"/>
                <w:color w:val="auto"/>
                <w:szCs w:val="21"/>
                <w:highlight w:val="none"/>
                <w:lang w:eastAsia="zh-CN"/>
              </w:rPr>
              <w:t>。</w:t>
            </w:r>
            <w:r>
              <w:rPr>
                <w:rFonts w:ascii="宋体" w:hAnsi="宋体" w:cs="宋体"/>
                <w:color w:val="auto"/>
                <w:szCs w:val="21"/>
                <w:highlight w:val="none"/>
              </w:rPr>
              <w:t>质量保证措施</w:t>
            </w:r>
            <w:r>
              <w:rPr>
                <w:rFonts w:hint="eastAsia" w:ascii="宋体" w:hAnsi="宋体" w:cs="宋体"/>
                <w:color w:val="auto"/>
                <w:szCs w:val="21"/>
                <w:highlight w:val="none"/>
              </w:rPr>
              <w:t>全面</w:t>
            </w:r>
            <w:r>
              <w:rPr>
                <w:rFonts w:hint="eastAsia" w:ascii="宋体" w:hAnsi="宋体" w:cs="宋体"/>
                <w:color w:val="auto"/>
                <w:kern w:val="0"/>
                <w:szCs w:val="21"/>
                <w:highlight w:val="none"/>
              </w:rPr>
              <w:t>，</w:t>
            </w:r>
            <w:r>
              <w:rPr>
                <w:rFonts w:hint="eastAsia" w:ascii="宋体" w:hAnsi="宋体"/>
                <w:color w:val="auto"/>
                <w:szCs w:val="21"/>
                <w:highlight w:val="none"/>
              </w:rPr>
              <w:t>保障措施到位，方法合理，切实可行</w:t>
            </w:r>
            <w:r>
              <w:rPr>
                <w:rFonts w:hint="eastAsia" w:ascii="宋体" w:hAnsi="宋体"/>
                <w:color w:val="auto"/>
                <w:szCs w:val="21"/>
                <w:highlight w:val="none"/>
                <w:lang w:eastAsia="zh-CN"/>
              </w:rPr>
              <w:t>，</w:t>
            </w:r>
            <w:r>
              <w:rPr>
                <w:rFonts w:hint="eastAsia" w:ascii="宋体" w:hAnsi="宋体" w:cs="宋体"/>
                <w:color w:val="auto"/>
                <w:kern w:val="0"/>
                <w:szCs w:val="21"/>
                <w:highlight w:val="none"/>
              </w:rPr>
              <w:t>得10分。</w:t>
            </w:r>
          </w:p>
          <w:p>
            <w:pPr>
              <w:ind w:left="210" w:leftChars="1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2）有质量控制措施，内容有质量目标、质量保证体系、质量保证措施、质量通病预防措施、材料进场检验措施</w:t>
            </w:r>
            <w:r>
              <w:rPr>
                <w:rFonts w:hint="eastAsia" w:ascii="宋体" w:hAnsi="宋体" w:cs="宋体"/>
                <w:color w:val="auto"/>
                <w:kern w:val="0"/>
                <w:szCs w:val="21"/>
                <w:highlight w:val="none"/>
                <w:lang w:eastAsia="zh-CN"/>
              </w:rPr>
              <w:t>。</w:t>
            </w:r>
            <w:r>
              <w:rPr>
                <w:rFonts w:ascii="宋体" w:hAnsi="宋体" w:cs="宋体"/>
                <w:color w:val="auto"/>
                <w:szCs w:val="21"/>
                <w:highlight w:val="none"/>
              </w:rPr>
              <w:t>质量保证措施</w:t>
            </w:r>
            <w:r>
              <w:rPr>
                <w:rFonts w:hint="eastAsia" w:ascii="宋体" w:hAnsi="宋体" w:cs="宋体"/>
                <w:color w:val="auto"/>
                <w:szCs w:val="21"/>
                <w:highlight w:val="none"/>
              </w:rPr>
              <w:t>比较全面，</w:t>
            </w:r>
            <w:r>
              <w:rPr>
                <w:rFonts w:hint="eastAsia" w:ascii="宋体" w:hAnsi="宋体"/>
                <w:color w:val="auto"/>
                <w:szCs w:val="21"/>
                <w:highlight w:val="none"/>
              </w:rPr>
              <w:t>保障措施基本到位</w:t>
            </w:r>
            <w:r>
              <w:rPr>
                <w:rFonts w:hint="eastAsia" w:ascii="宋体" w:hAnsi="宋体" w:cs="宋体"/>
                <w:color w:val="auto"/>
                <w:szCs w:val="21"/>
                <w:highlight w:val="none"/>
              </w:rPr>
              <w:t>，</w:t>
            </w:r>
            <w:r>
              <w:rPr>
                <w:rFonts w:hint="eastAsia" w:ascii="宋体" w:hAnsi="宋体"/>
                <w:color w:val="auto"/>
                <w:szCs w:val="21"/>
                <w:highlight w:val="none"/>
              </w:rPr>
              <w:t>方法比较合理可行</w:t>
            </w:r>
            <w:r>
              <w:rPr>
                <w:rFonts w:hint="eastAsia" w:ascii="宋体" w:hAnsi="宋体"/>
                <w:color w:val="auto"/>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p>
            <w:pPr>
              <w:ind w:left="210" w:leftChars="100"/>
              <w:rPr>
                <w:rFonts w:hint="eastAsia" w:eastAsia="宋体"/>
                <w:color w:val="auto"/>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3）有质量控制措施，内容有质量目标、质量保证体系、质量保证措施、质量通病预防措施</w:t>
            </w:r>
            <w:r>
              <w:rPr>
                <w:rFonts w:hint="eastAsia" w:ascii="宋体" w:hAnsi="宋体" w:cs="宋体"/>
                <w:color w:val="auto"/>
                <w:kern w:val="0"/>
                <w:szCs w:val="21"/>
                <w:highlight w:val="none"/>
                <w:lang w:eastAsia="zh-CN"/>
              </w:rPr>
              <w:t>。</w:t>
            </w:r>
            <w:r>
              <w:rPr>
                <w:rFonts w:ascii="宋体" w:hAnsi="宋体" w:cs="宋体"/>
                <w:color w:val="auto"/>
                <w:szCs w:val="21"/>
                <w:highlight w:val="none"/>
              </w:rPr>
              <w:t>质量保证措施</w:t>
            </w:r>
            <w:r>
              <w:rPr>
                <w:rFonts w:hint="eastAsia" w:ascii="宋体" w:hAnsi="宋体" w:cs="宋体"/>
                <w:color w:val="auto"/>
                <w:szCs w:val="21"/>
                <w:highlight w:val="none"/>
              </w:rPr>
              <w:t>基本全面，</w:t>
            </w:r>
            <w:r>
              <w:rPr>
                <w:rFonts w:hint="eastAsia" w:ascii="宋体" w:hAnsi="宋体"/>
                <w:color w:val="auto"/>
                <w:szCs w:val="21"/>
                <w:highlight w:val="none"/>
              </w:rPr>
              <w:t>保障措施一般,基本可行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得6分</w:t>
            </w:r>
            <w:r>
              <w:rPr>
                <w:rFonts w:hint="eastAsia" w:ascii="宋体" w:hAnsi="宋体"/>
                <w:color w:val="auto"/>
                <w:szCs w:val="21"/>
                <w:highlight w:val="none"/>
                <w:lang w:eastAsia="zh-CN"/>
              </w:rPr>
              <w:t>。</w:t>
            </w:r>
          </w:p>
          <w:p>
            <w:pPr>
              <w:ind w:left="210" w:leftChars="100"/>
              <w:rPr>
                <w:rFonts w:ascii="宋体" w:hAnsi="宋体" w:cs="宋体"/>
                <w:color w:val="auto"/>
                <w:kern w:val="0"/>
                <w:sz w:val="21"/>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）无质量控制措施的，得0分。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5" w:hRule="atLeast"/>
        </w:trPr>
        <w:tc>
          <w:tcPr>
            <w:tcW w:w="1080" w:type="dxa"/>
            <w:vMerge w:val="continue"/>
            <w:shd w:val="clear" w:color="auto" w:fill="FFFFFF"/>
            <w:vAlign w:val="center"/>
          </w:tcPr>
          <w:p>
            <w:pPr>
              <w:snapToGrid w:val="0"/>
              <w:spacing w:line="360" w:lineRule="auto"/>
              <w:jc w:val="center"/>
              <w:rPr>
                <w:rFonts w:ascii="宋体" w:hAnsi="宋体"/>
                <w:color w:val="auto"/>
                <w:sz w:val="21"/>
                <w:szCs w:val="21"/>
                <w:highlight w:val="none"/>
              </w:rPr>
            </w:pPr>
          </w:p>
        </w:tc>
        <w:tc>
          <w:tcPr>
            <w:tcW w:w="1987" w:type="dxa"/>
            <w:shd w:val="clear" w:color="auto" w:fill="FFFFFF"/>
            <w:vAlign w:val="center"/>
          </w:tcPr>
          <w:p>
            <w:pPr>
              <w:pStyle w:val="209"/>
              <w:shd w:val="clear" w:color="auto" w:fill="auto"/>
              <w:snapToGrid w:val="0"/>
              <w:spacing w:line="240" w:lineRule="auto"/>
              <w:jc w:val="center"/>
              <w:rPr>
                <w:rFonts w:hint="eastAsia" w:cs="宋体"/>
                <w:color w:val="auto"/>
                <w:sz w:val="21"/>
                <w:szCs w:val="21"/>
                <w:highlight w:val="none"/>
              </w:rPr>
            </w:pPr>
            <w:r>
              <w:rPr>
                <w:rFonts w:hint="eastAsia" w:cs="宋体"/>
                <w:color w:val="auto"/>
                <w:sz w:val="21"/>
                <w:szCs w:val="21"/>
              </w:rPr>
              <w:t>安全文明施工措施</w:t>
            </w:r>
          </w:p>
        </w:tc>
        <w:tc>
          <w:tcPr>
            <w:tcW w:w="743" w:type="dxa"/>
            <w:shd w:val="clear" w:color="auto" w:fill="FFFFFF"/>
            <w:vAlign w:val="center"/>
          </w:tcPr>
          <w:p>
            <w:pPr>
              <w:pStyle w:val="209"/>
              <w:shd w:val="clear" w:color="auto" w:fill="auto"/>
              <w:snapToGrid w:val="0"/>
              <w:spacing w:line="240" w:lineRule="auto"/>
              <w:jc w:val="center"/>
              <w:rPr>
                <w:rStyle w:val="210"/>
                <w:rFonts w:hint="default" w:ascii="宋体" w:hAnsi="宋体" w:eastAsia="宋体"/>
                <w:b w:val="0"/>
                <w:color w:val="auto"/>
                <w:sz w:val="21"/>
                <w:szCs w:val="21"/>
                <w:highlight w:val="none"/>
                <w:lang w:val="en-US" w:eastAsia="zh-CN"/>
              </w:rPr>
            </w:pPr>
            <w:r>
              <w:rPr>
                <w:rStyle w:val="210"/>
                <w:rFonts w:hint="eastAsia" w:ascii="宋体" w:hAnsi="宋体" w:eastAsia="宋体"/>
                <w:b w:val="0"/>
                <w:color w:val="auto"/>
                <w:sz w:val="21"/>
                <w:szCs w:val="21"/>
              </w:rPr>
              <w:t>10</w:t>
            </w:r>
          </w:p>
        </w:tc>
        <w:tc>
          <w:tcPr>
            <w:tcW w:w="1151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left="210" w:leftChars="1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（1）针对本项目编制</w:t>
            </w:r>
            <w:r>
              <w:rPr>
                <w:rFonts w:hint="eastAsia" w:cs="宋体"/>
                <w:color w:val="auto"/>
                <w:sz w:val="21"/>
                <w:szCs w:val="21"/>
                <w:highlight w:val="none"/>
              </w:rPr>
              <w:t>安全文明施工措施</w:t>
            </w:r>
            <w:r>
              <w:rPr>
                <w:rFonts w:hint="eastAsia" w:ascii="宋体" w:hAnsi="宋体" w:cs="宋体"/>
                <w:color w:val="auto"/>
                <w:kern w:val="0"/>
                <w:szCs w:val="21"/>
                <w:highlight w:val="none"/>
              </w:rPr>
              <w:t>，内容有安全文明施工管理目标及管理重点、安全、文明施工管理体系</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有相应安全生产措施、现场消防保证措施、雷电及台风应对措施、文明施工措施、环境保护及绿色施工措施、应急预案</w:t>
            </w:r>
            <w:r>
              <w:rPr>
                <w:rFonts w:hint="eastAsia" w:ascii="宋体" w:hAnsi="宋体" w:cs="宋体"/>
                <w:color w:val="auto"/>
                <w:kern w:val="0"/>
                <w:szCs w:val="21"/>
                <w:highlight w:val="none"/>
                <w:lang w:eastAsia="zh-CN"/>
              </w:rPr>
              <w:t>。</w:t>
            </w:r>
            <w:r>
              <w:rPr>
                <w:rFonts w:hint="eastAsia" w:ascii="宋体" w:hAnsi="宋体"/>
                <w:color w:val="auto"/>
                <w:szCs w:val="21"/>
                <w:highlight w:val="none"/>
              </w:rPr>
              <w:t>安全</w:t>
            </w:r>
            <w:r>
              <w:rPr>
                <w:rFonts w:hint="eastAsia" w:ascii="宋体" w:hAnsi="宋体"/>
                <w:color w:val="auto"/>
                <w:szCs w:val="21"/>
                <w:highlight w:val="none"/>
                <w:lang w:val="en-US" w:eastAsia="zh-CN"/>
              </w:rPr>
              <w:t>文明</w:t>
            </w:r>
            <w:r>
              <w:rPr>
                <w:rFonts w:hint="eastAsia" w:ascii="宋体" w:hAnsi="宋体" w:cs="宋体"/>
                <w:color w:val="auto"/>
                <w:szCs w:val="21"/>
                <w:highlight w:val="none"/>
                <w:lang w:val="en-US" w:eastAsia="zh-CN"/>
              </w:rPr>
              <w:t>保证</w:t>
            </w:r>
            <w:r>
              <w:rPr>
                <w:rFonts w:ascii="宋体" w:hAnsi="宋体" w:cs="宋体"/>
                <w:color w:val="auto"/>
                <w:szCs w:val="21"/>
                <w:highlight w:val="none"/>
              </w:rPr>
              <w:t>措施</w:t>
            </w:r>
            <w:r>
              <w:rPr>
                <w:rFonts w:hint="eastAsia" w:ascii="宋体" w:hAnsi="宋体" w:cs="宋体"/>
                <w:color w:val="auto"/>
                <w:szCs w:val="21"/>
                <w:highlight w:val="none"/>
              </w:rPr>
              <w:t>全面，</w:t>
            </w:r>
            <w:r>
              <w:rPr>
                <w:rFonts w:hint="eastAsia" w:ascii="宋体" w:hAnsi="宋体"/>
                <w:color w:val="auto"/>
                <w:szCs w:val="21"/>
                <w:highlight w:val="none"/>
              </w:rPr>
              <w:t>保障措施到位，方法合理，切实可行</w:t>
            </w:r>
            <w:r>
              <w:rPr>
                <w:rFonts w:hint="eastAsia" w:ascii="宋体" w:hAnsi="宋体"/>
                <w:color w:val="auto"/>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p>
            <w:pPr>
              <w:keepNext w:val="0"/>
              <w:keepLines w:val="0"/>
              <w:pageBreakBefore w:val="0"/>
              <w:widowControl w:val="0"/>
              <w:kinsoku/>
              <w:wordWrap/>
              <w:overflowPunct/>
              <w:topLinePunct w:val="0"/>
              <w:autoSpaceDE/>
              <w:autoSpaceDN/>
              <w:bidi w:val="0"/>
              <w:adjustRightInd w:val="0"/>
              <w:snapToGrid w:val="0"/>
              <w:ind w:left="210" w:leftChars="1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（2）针对本项目编制</w:t>
            </w:r>
            <w:r>
              <w:rPr>
                <w:rFonts w:hint="eastAsia" w:cs="宋体"/>
                <w:color w:val="auto"/>
                <w:sz w:val="21"/>
                <w:szCs w:val="21"/>
                <w:highlight w:val="none"/>
              </w:rPr>
              <w:t>安全文明施工措施</w:t>
            </w:r>
            <w:r>
              <w:rPr>
                <w:rFonts w:hint="eastAsia" w:ascii="宋体" w:hAnsi="宋体" w:cs="宋体"/>
                <w:color w:val="auto"/>
                <w:kern w:val="0"/>
                <w:szCs w:val="21"/>
                <w:highlight w:val="none"/>
              </w:rPr>
              <w:t>，内容有安全文明施工管理目标及管理重点、安全、文明施工管理体系</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有相应安全生产措施、现场消防保证措施、雷电及台风应对措施、文明施工措施、环境保护及绿色施工措施</w:t>
            </w:r>
            <w:r>
              <w:rPr>
                <w:rFonts w:hint="eastAsia" w:ascii="宋体" w:hAnsi="宋体" w:cs="宋体"/>
                <w:color w:val="auto"/>
                <w:kern w:val="0"/>
                <w:szCs w:val="21"/>
                <w:highlight w:val="none"/>
                <w:lang w:eastAsia="zh-CN"/>
              </w:rPr>
              <w:t>。</w:t>
            </w:r>
            <w:r>
              <w:rPr>
                <w:rFonts w:hint="eastAsia" w:ascii="宋体" w:hAnsi="宋体"/>
                <w:color w:val="auto"/>
                <w:szCs w:val="21"/>
                <w:highlight w:val="none"/>
              </w:rPr>
              <w:t>安全</w:t>
            </w:r>
            <w:r>
              <w:rPr>
                <w:rFonts w:hint="eastAsia" w:ascii="宋体" w:hAnsi="宋体"/>
                <w:color w:val="auto"/>
                <w:szCs w:val="21"/>
                <w:highlight w:val="none"/>
                <w:lang w:val="en-US" w:eastAsia="zh-CN"/>
              </w:rPr>
              <w:t>文明</w:t>
            </w:r>
            <w:r>
              <w:rPr>
                <w:rFonts w:ascii="宋体" w:hAnsi="宋体" w:cs="宋体"/>
                <w:color w:val="auto"/>
                <w:szCs w:val="21"/>
                <w:highlight w:val="none"/>
              </w:rPr>
              <w:t>保证措施</w:t>
            </w:r>
            <w:r>
              <w:rPr>
                <w:rFonts w:hint="eastAsia" w:ascii="宋体" w:hAnsi="宋体" w:cs="宋体"/>
                <w:color w:val="auto"/>
                <w:szCs w:val="21"/>
                <w:highlight w:val="none"/>
              </w:rPr>
              <w:t>比较全面，</w:t>
            </w:r>
            <w:r>
              <w:rPr>
                <w:rFonts w:hint="eastAsia" w:ascii="宋体" w:hAnsi="宋体"/>
                <w:color w:val="auto"/>
                <w:szCs w:val="21"/>
                <w:highlight w:val="none"/>
              </w:rPr>
              <w:t>保障措施基本到位</w:t>
            </w:r>
            <w:r>
              <w:rPr>
                <w:rFonts w:hint="eastAsia" w:ascii="宋体" w:hAnsi="宋体" w:cs="宋体"/>
                <w:color w:val="auto"/>
                <w:szCs w:val="21"/>
                <w:highlight w:val="none"/>
              </w:rPr>
              <w:t>，</w:t>
            </w:r>
            <w:r>
              <w:rPr>
                <w:rFonts w:hint="eastAsia" w:ascii="宋体" w:hAnsi="宋体"/>
                <w:color w:val="auto"/>
                <w:szCs w:val="21"/>
                <w:highlight w:val="none"/>
              </w:rPr>
              <w:t>方法比较合理可行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得8分</w:t>
            </w:r>
            <w:r>
              <w:rPr>
                <w:rFonts w:hint="eastAsia" w:ascii="宋体" w:hAnsi="宋体" w:cs="宋体"/>
                <w:color w:val="auto"/>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ind w:left="210" w:leftChars="100"/>
              <w:textAlignment w:val="auto"/>
              <w:rPr>
                <w:rFonts w:hint="eastAsia" w:ascii="宋体" w:hAnsi="宋体"/>
                <w:color w:val="auto"/>
                <w:szCs w:val="21"/>
                <w:highlight w:val="none"/>
                <w:lang w:val="en-US" w:eastAsia="zh-CN"/>
              </w:rPr>
            </w:pPr>
            <w:r>
              <w:rPr>
                <w:rFonts w:hint="eastAsia" w:ascii="宋体" w:hAnsi="宋体" w:cs="宋体"/>
                <w:color w:val="auto"/>
                <w:kern w:val="0"/>
                <w:szCs w:val="21"/>
                <w:highlight w:val="none"/>
                <w:lang w:val="en-US" w:eastAsia="zh-CN"/>
              </w:rPr>
              <w:t>（3）针对本项目编制</w:t>
            </w:r>
            <w:r>
              <w:rPr>
                <w:rFonts w:hint="eastAsia" w:cs="宋体"/>
                <w:color w:val="auto"/>
                <w:sz w:val="21"/>
                <w:szCs w:val="21"/>
                <w:highlight w:val="none"/>
              </w:rPr>
              <w:t>安全文明施工措施</w:t>
            </w:r>
            <w:r>
              <w:rPr>
                <w:rFonts w:hint="eastAsia" w:ascii="宋体" w:hAnsi="宋体" w:cs="宋体"/>
                <w:color w:val="auto"/>
                <w:kern w:val="0"/>
                <w:szCs w:val="21"/>
                <w:highlight w:val="none"/>
              </w:rPr>
              <w:t>，内容有安全文明施工管理目标及管理重点、安全、文明施工管理体系</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有相应安全生产措施、现场消防保证措施、雷电及台风应对措施、文明施工措施</w:t>
            </w:r>
            <w:r>
              <w:rPr>
                <w:rFonts w:hint="eastAsia" w:ascii="宋体" w:hAnsi="宋体" w:cs="宋体"/>
                <w:color w:val="auto"/>
                <w:kern w:val="0"/>
                <w:szCs w:val="21"/>
                <w:highlight w:val="none"/>
                <w:lang w:eastAsia="zh-CN"/>
              </w:rPr>
              <w:t>。</w:t>
            </w:r>
            <w:r>
              <w:rPr>
                <w:rFonts w:hint="eastAsia" w:ascii="宋体" w:hAnsi="宋体"/>
                <w:color w:val="auto"/>
                <w:szCs w:val="21"/>
                <w:highlight w:val="none"/>
              </w:rPr>
              <w:t>安全</w:t>
            </w:r>
            <w:r>
              <w:rPr>
                <w:rFonts w:hint="eastAsia" w:ascii="宋体" w:hAnsi="宋体"/>
                <w:color w:val="auto"/>
                <w:szCs w:val="21"/>
                <w:highlight w:val="none"/>
                <w:lang w:val="en-US" w:eastAsia="zh-CN"/>
              </w:rPr>
              <w:t>保证</w:t>
            </w:r>
            <w:r>
              <w:rPr>
                <w:rFonts w:ascii="宋体" w:hAnsi="宋体" w:cs="宋体"/>
                <w:color w:val="auto"/>
                <w:szCs w:val="21"/>
                <w:highlight w:val="none"/>
              </w:rPr>
              <w:t>措施</w:t>
            </w:r>
            <w:r>
              <w:rPr>
                <w:rFonts w:hint="eastAsia" w:ascii="宋体" w:hAnsi="宋体" w:cs="宋体"/>
                <w:color w:val="auto"/>
                <w:szCs w:val="21"/>
                <w:highlight w:val="none"/>
              </w:rPr>
              <w:t>基本全面，</w:t>
            </w:r>
            <w:r>
              <w:rPr>
                <w:rFonts w:hint="eastAsia" w:ascii="宋体" w:hAnsi="宋体"/>
                <w:color w:val="auto"/>
                <w:szCs w:val="21"/>
                <w:highlight w:val="none"/>
              </w:rPr>
              <w:t>保障措施一般,基本可行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得6分。</w:t>
            </w:r>
          </w:p>
          <w:p>
            <w:pPr>
              <w:pStyle w:val="51"/>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color w:val="auto"/>
              </w:rPr>
            </w:pPr>
            <w:r>
              <w:rPr>
                <w:rFonts w:hint="eastAsia" w:ascii="宋体" w:hAnsi="宋体"/>
                <w:color w:val="auto"/>
                <w:szCs w:val="21"/>
                <w:highlight w:val="none"/>
                <w:lang w:val="en-US" w:eastAsia="zh-CN"/>
              </w:rPr>
              <w:t>（4）无安全文明施工措施的，得0分。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54" w:hRule="atLeast"/>
        </w:trPr>
        <w:tc>
          <w:tcPr>
            <w:tcW w:w="1080" w:type="dxa"/>
            <w:vMerge w:val="continue"/>
            <w:shd w:val="clear" w:color="auto" w:fill="FFFFFF"/>
            <w:vAlign w:val="center"/>
          </w:tcPr>
          <w:p>
            <w:pPr>
              <w:snapToGrid w:val="0"/>
              <w:spacing w:line="360" w:lineRule="auto"/>
              <w:jc w:val="center"/>
              <w:rPr>
                <w:rFonts w:ascii="宋体" w:hAnsi="宋体"/>
                <w:color w:val="auto"/>
                <w:sz w:val="21"/>
                <w:szCs w:val="21"/>
                <w:highlight w:val="none"/>
              </w:rPr>
            </w:pPr>
          </w:p>
        </w:tc>
        <w:tc>
          <w:tcPr>
            <w:tcW w:w="1987" w:type="dxa"/>
            <w:shd w:val="clear" w:color="auto" w:fill="FFFFFF"/>
            <w:vAlign w:val="center"/>
          </w:tcPr>
          <w:p>
            <w:pPr>
              <w:pStyle w:val="209"/>
              <w:shd w:val="clear" w:color="auto" w:fill="auto"/>
              <w:snapToGrid w:val="0"/>
              <w:spacing w:line="240" w:lineRule="auto"/>
              <w:jc w:val="center"/>
              <w:rPr>
                <w:rFonts w:hint="eastAsia" w:cs="宋体"/>
                <w:color w:val="auto"/>
                <w:sz w:val="21"/>
                <w:szCs w:val="21"/>
              </w:rPr>
            </w:pPr>
            <w:r>
              <w:rPr>
                <w:rFonts w:hint="eastAsia" w:ascii="宋体" w:hAnsi="宋体" w:eastAsia="宋体" w:cs="宋体"/>
                <w:i w:val="0"/>
                <w:iCs w:val="0"/>
                <w:caps w:val="0"/>
                <w:color w:val="auto"/>
                <w:spacing w:val="0"/>
                <w:sz w:val="21"/>
                <w:szCs w:val="21"/>
                <w:shd w:val="clear" w:fill="FFFFFF"/>
              </w:rPr>
              <w:t>绿色施工状况</w:t>
            </w:r>
          </w:p>
        </w:tc>
        <w:tc>
          <w:tcPr>
            <w:tcW w:w="743" w:type="dxa"/>
            <w:shd w:val="clear" w:color="auto" w:fill="FFFFFF"/>
            <w:vAlign w:val="center"/>
          </w:tcPr>
          <w:p>
            <w:pPr>
              <w:pStyle w:val="209"/>
              <w:shd w:val="clear" w:color="auto" w:fill="auto"/>
              <w:snapToGrid w:val="0"/>
              <w:spacing w:line="240" w:lineRule="auto"/>
              <w:jc w:val="center"/>
              <w:rPr>
                <w:rStyle w:val="210"/>
                <w:rFonts w:hint="default" w:ascii="宋体" w:hAnsi="宋体" w:eastAsia="宋体"/>
                <w:b w:val="0"/>
                <w:color w:val="auto"/>
                <w:sz w:val="21"/>
                <w:szCs w:val="21"/>
                <w:lang w:val="en-US" w:eastAsia="zh-CN"/>
              </w:rPr>
            </w:pPr>
            <w:r>
              <w:rPr>
                <w:rStyle w:val="210"/>
                <w:rFonts w:hint="eastAsia" w:ascii="宋体" w:hAnsi="宋体" w:eastAsia="宋体"/>
                <w:b w:val="0"/>
                <w:color w:val="auto"/>
                <w:sz w:val="21"/>
                <w:szCs w:val="21"/>
                <w:lang w:val="en-US" w:eastAsia="zh-CN"/>
              </w:rPr>
              <w:t>10</w:t>
            </w:r>
          </w:p>
        </w:tc>
        <w:tc>
          <w:tcPr>
            <w:tcW w:w="11515" w:type="dxa"/>
            <w:shd w:val="clear" w:color="auto" w:fill="FFFFFF"/>
            <w:vAlign w:val="center"/>
          </w:tcPr>
          <w:p>
            <w:pPr>
              <w:pStyle w:val="32"/>
              <w:widowControl/>
              <w:pBdr>
                <w:top w:val="none" w:color="auto" w:sz="0" w:space="0"/>
                <w:left w:val="none" w:color="auto" w:sz="0" w:space="0"/>
                <w:bottom w:val="none" w:color="auto" w:sz="0" w:space="0"/>
                <w:right w:val="none" w:color="auto" w:sz="0" w:space="0"/>
              </w:pBdr>
              <w:shd w:val="clear" w:fill="FFFFFF"/>
              <w:adjustRightInd w:val="0"/>
              <w:snapToGrid w:val="0"/>
              <w:spacing w:beforeAutospacing="0" w:afterAutospacing="0" w:line="240" w:lineRule="auto"/>
              <w:ind w:left="0"/>
              <w:rPr>
                <w:rFonts w:hint="eastAsia" w:ascii="宋体" w:hAnsi="宋体" w:eastAsia="宋体" w:cs="宋体"/>
                <w:i w:val="0"/>
                <w:iCs w:val="0"/>
                <w:caps w:val="0"/>
                <w:color w:val="auto"/>
                <w:spacing w:val="0"/>
                <w:sz w:val="21"/>
                <w:szCs w:val="21"/>
                <w:u w:val="none"/>
                <w:shd w:val="clear" w:fill="FFFFFF"/>
              </w:rPr>
            </w:pPr>
            <w:r>
              <w:rPr>
                <w:rFonts w:hint="eastAsia" w:ascii="宋体" w:hAnsi="宋体" w:eastAsia="宋体" w:cs="宋体"/>
                <w:i w:val="0"/>
                <w:iCs w:val="0"/>
                <w:caps w:val="0"/>
                <w:color w:val="auto"/>
                <w:spacing w:val="0"/>
                <w:sz w:val="21"/>
                <w:szCs w:val="21"/>
                <w:u w:val="none"/>
                <w:shd w:val="clear" w:fill="FFFFFF"/>
                <w:lang w:val="en-US" w:eastAsia="zh-CN"/>
              </w:rPr>
              <w:t>（1）</w:t>
            </w:r>
            <w:r>
              <w:rPr>
                <w:rFonts w:hint="eastAsia" w:ascii="宋体" w:hAnsi="宋体" w:eastAsia="宋体" w:cs="宋体"/>
                <w:i w:val="0"/>
                <w:iCs w:val="0"/>
                <w:caps w:val="0"/>
                <w:color w:val="auto"/>
                <w:spacing w:val="0"/>
                <w:sz w:val="21"/>
                <w:szCs w:val="21"/>
                <w:u w:val="none"/>
                <w:shd w:val="clear" w:fill="FFFFFF"/>
              </w:rPr>
              <w:t>根据本项目的特点建立了绿色施工管理体系和管理制度，编制了绿色施工方案、制定了环境保护和人员安全与健康等突发事件的应急预案，</w:t>
            </w:r>
            <w:r>
              <w:rPr>
                <w:rFonts w:hint="eastAsia" w:ascii="宋体" w:hAnsi="宋体" w:eastAsia="宋体" w:cs="宋体"/>
                <w:i w:val="0"/>
                <w:iCs w:val="0"/>
                <w:caps w:val="0"/>
                <w:color w:val="auto"/>
                <w:spacing w:val="0"/>
                <w:sz w:val="21"/>
                <w:szCs w:val="21"/>
                <w:u w:val="none"/>
                <w:shd w:val="clear" w:fill="FFFFFF"/>
                <w:lang w:val="en-US" w:eastAsia="zh-CN"/>
              </w:rPr>
              <w:t>且</w:t>
            </w:r>
            <w:r>
              <w:rPr>
                <w:rFonts w:hint="eastAsia" w:ascii="宋体" w:hAnsi="宋体" w:eastAsia="宋体" w:cs="宋体"/>
                <w:i w:val="0"/>
                <w:iCs w:val="0"/>
                <w:caps w:val="0"/>
                <w:color w:val="auto"/>
                <w:spacing w:val="0"/>
                <w:sz w:val="21"/>
                <w:szCs w:val="21"/>
                <w:u w:val="none"/>
                <w:shd w:val="clear" w:fill="FFFFFF"/>
              </w:rPr>
              <w:t>措施针对性强，切实合理可行，得1</w:t>
            </w:r>
            <w:r>
              <w:rPr>
                <w:rFonts w:hint="eastAsia" w:ascii="宋体" w:hAnsi="宋体" w:eastAsia="宋体" w:cs="宋体"/>
                <w:i w:val="0"/>
                <w:iCs w:val="0"/>
                <w:caps w:val="0"/>
                <w:color w:val="auto"/>
                <w:spacing w:val="0"/>
                <w:sz w:val="21"/>
                <w:szCs w:val="21"/>
                <w:u w:val="none"/>
                <w:shd w:val="clear" w:fill="FFFFFF"/>
                <w:lang w:val="en-US" w:eastAsia="zh-CN"/>
              </w:rPr>
              <w:t>0</w:t>
            </w:r>
            <w:r>
              <w:rPr>
                <w:rFonts w:hint="eastAsia" w:ascii="宋体" w:hAnsi="宋体" w:eastAsia="宋体" w:cs="宋体"/>
                <w:i w:val="0"/>
                <w:iCs w:val="0"/>
                <w:caps w:val="0"/>
                <w:color w:val="auto"/>
                <w:spacing w:val="0"/>
                <w:sz w:val="21"/>
                <w:szCs w:val="21"/>
                <w:u w:val="none"/>
                <w:shd w:val="clear" w:fill="FFFFFF"/>
              </w:rPr>
              <w:t>分；</w:t>
            </w:r>
          </w:p>
          <w:p>
            <w:pPr>
              <w:pStyle w:val="32"/>
              <w:widowControl/>
              <w:pBdr>
                <w:top w:val="none" w:color="auto" w:sz="0" w:space="0"/>
                <w:left w:val="none" w:color="auto" w:sz="0" w:space="0"/>
                <w:bottom w:val="none" w:color="auto" w:sz="0" w:space="0"/>
                <w:right w:val="none" w:color="auto" w:sz="0" w:space="0"/>
              </w:pBdr>
              <w:shd w:val="clear" w:fill="FFFFFF"/>
              <w:adjustRightInd w:val="0"/>
              <w:snapToGrid w:val="0"/>
              <w:spacing w:beforeAutospacing="0" w:afterAutospacing="0" w:line="240" w:lineRule="auto"/>
              <w:ind w:left="0"/>
              <w:rPr>
                <w:rFonts w:hint="eastAsia" w:ascii="宋体" w:hAnsi="宋体" w:eastAsia="宋体" w:cs="宋体"/>
                <w:i w:val="0"/>
                <w:iCs w:val="0"/>
                <w:caps w:val="0"/>
                <w:color w:val="auto"/>
                <w:spacing w:val="0"/>
                <w:sz w:val="21"/>
                <w:szCs w:val="21"/>
                <w:u w:val="none"/>
                <w:shd w:val="clear" w:fill="FFFFFF"/>
              </w:rPr>
            </w:pPr>
            <w:r>
              <w:rPr>
                <w:rFonts w:hint="eastAsia" w:ascii="宋体" w:hAnsi="宋体" w:eastAsia="宋体" w:cs="宋体"/>
                <w:i w:val="0"/>
                <w:iCs w:val="0"/>
                <w:caps w:val="0"/>
                <w:color w:val="auto"/>
                <w:spacing w:val="0"/>
                <w:sz w:val="21"/>
                <w:szCs w:val="21"/>
                <w:u w:val="none"/>
                <w:shd w:val="clear" w:fill="FFFFFF"/>
                <w:lang w:val="en-US" w:eastAsia="zh-CN"/>
              </w:rPr>
              <w:t>（2）</w:t>
            </w:r>
            <w:r>
              <w:rPr>
                <w:rFonts w:hint="eastAsia" w:ascii="宋体" w:hAnsi="宋体" w:eastAsia="宋体" w:cs="宋体"/>
                <w:i w:val="0"/>
                <w:iCs w:val="0"/>
                <w:caps w:val="0"/>
                <w:color w:val="auto"/>
                <w:spacing w:val="0"/>
                <w:sz w:val="21"/>
                <w:szCs w:val="21"/>
                <w:u w:val="none"/>
                <w:shd w:val="clear" w:fill="FFFFFF"/>
              </w:rPr>
              <w:t>根据本项目的特点建立了绿色施工管理体系和管理制度，编制了绿色施工方案、制定了环境保护和人员安全与健康等突发事件的应急预案，且措施</w:t>
            </w:r>
            <w:r>
              <w:rPr>
                <w:rFonts w:hint="eastAsia" w:ascii="宋体" w:hAnsi="宋体" w:eastAsia="宋体" w:cs="宋体"/>
                <w:i w:val="0"/>
                <w:iCs w:val="0"/>
                <w:caps w:val="0"/>
                <w:color w:val="auto"/>
                <w:spacing w:val="0"/>
                <w:sz w:val="21"/>
                <w:szCs w:val="21"/>
                <w:u w:val="none"/>
                <w:shd w:val="clear" w:fill="FFFFFF"/>
                <w:lang w:val="en-US" w:eastAsia="zh-CN"/>
              </w:rPr>
              <w:t>针对性较强，</w:t>
            </w:r>
            <w:r>
              <w:rPr>
                <w:rFonts w:hint="eastAsia" w:ascii="宋体" w:hAnsi="宋体" w:eastAsia="宋体" w:cs="宋体"/>
                <w:i w:val="0"/>
                <w:iCs w:val="0"/>
                <w:caps w:val="0"/>
                <w:color w:val="auto"/>
                <w:spacing w:val="0"/>
                <w:sz w:val="21"/>
                <w:szCs w:val="21"/>
                <w:u w:val="none"/>
                <w:shd w:val="clear" w:fill="FFFFFF"/>
              </w:rPr>
              <w:t>基本合理，得</w:t>
            </w:r>
            <w:r>
              <w:rPr>
                <w:rFonts w:hint="eastAsia" w:ascii="宋体" w:hAnsi="宋体" w:cs="宋体"/>
                <w:i w:val="0"/>
                <w:iCs w:val="0"/>
                <w:caps w:val="0"/>
                <w:color w:val="auto"/>
                <w:spacing w:val="0"/>
                <w:sz w:val="21"/>
                <w:szCs w:val="21"/>
                <w:u w:val="none"/>
                <w:shd w:val="clear" w:fill="FFFFFF"/>
                <w:lang w:val="en-US" w:eastAsia="zh-CN"/>
              </w:rPr>
              <w:t>8</w:t>
            </w:r>
            <w:r>
              <w:rPr>
                <w:rFonts w:hint="eastAsia" w:ascii="宋体" w:hAnsi="宋体" w:eastAsia="宋体" w:cs="宋体"/>
                <w:i w:val="0"/>
                <w:iCs w:val="0"/>
                <w:caps w:val="0"/>
                <w:color w:val="auto"/>
                <w:spacing w:val="0"/>
                <w:sz w:val="21"/>
                <w:szCs w:val="21"/>
                <w:u w:val="none"/>
                <w:shd w:val="clear" w:fill="FFFFFF"/>
              </w:rPr>
              <w:t>分；</w:t>
            </w:r>
          </w:p>
          <w:p>
            <w:pPr>
              <w:pStyle w:val="32"/>
              <w:widowControl/>
              <w:pBdr>
                <w:top w:val="none" w:color="auto" w:sz="0" w:space="0"/>
                <w:left w:val="none" w:color="auto" w:sz="0" w:space="0"/>
                <w:bottom w:val="none" w:color="auto" w:sz="0" w:space="0"/>
                <w:right w:val="none" w:color="auto" w:sz="0" w:space="0"/>
              </w:pBdr>
              <w:shd w:val="clear" w:fill="FFFFFF"/>
              <w:adjustRightInd w:val="0"/>
              <w:snapToGrid w:val="0"/>
              <w:spacing w:beforeAutospacing="0" w:afterAutospacing="0" w:line="240" w:lineRule="auto"/>
              <w:ind w:left="0"/>
              <w:rPr>
                <w:rFonts w:hint="eastAsia" w:ascii="宋体" w:hAnsi="宋体" w:eastAsia="宋体" w:cs="宋体"/>
                <w:i w:val="0"/>
                <w:iCs w:val="0"/>
                <w:caps w:val="0"/>
                <w:color w:val="auto"/>
                <w:spacing w:val="0"/>
                <w:sz w:val="21"/>
                <w:szCs w:val="21"/>
                <w:u w:val="none"/>
                <w:shd w:val="clear" w:fill="FFFFFF"/>
              </w:rPr>
            </w:pPr>
            <w:r>
              <w:rPr>
                <w:rFonts w:hint="eastAsia" w:ascii="宋体" w:hAnsi="宋体" w:eastAsia="宋体" w:cs="宋体"/>
                <w:i w:val="0"/>
                <w:iCs w:val="0"/>
                <w:caps w:val="0"/>
                <w:color w:val="auto"/>
                <w:spacing w:val="0"/>
                <w:sz w:val="21"/>
                <w:szCs w:val="21"/>
                <w:u w:val="none"/>
                <w:shd w:val="clear" w:fill="FFFFFF"/>
                <w:lang w:val="en-US" w:eastAsia="zh-CN"/>
              </w:rPr>
              <w:t>（3）</w:t>
            </w:r>
            <w:r>
              <w:rPr>
                <w:rFonts w:hint="eastAsia" w:ascii="宋体" w:hAnsi="宋体" w:eastAsia="宋体" w:cs="宋体"/>
                <w:i w:val="0"/>
                <w:iCs w:val="0"/>
                <w:caps w:val="0"/>
                <w:color w:val="auto"/>
                <w:spacing w:val="0"/>
                <w:sz w:val="21"/>
                <w:szCs w:val="21"/>
                <w:u w:val="none"/>
                <w:shd w:val="clear" w:fill="FFFFFF"/>
              </w:rPr>
              <w:t>根据本项目的特点建立了绿色施工管理体系和管理制度，编制了绿色施工方案、制定了环境保护和人员安全与健康等突发事件的应急预案，措施</w:t>
            </w:r>
            <w:r>
              <w:rPr>
                <w:rFonts w:hint="eastAsia" w:ascii="宋体" w:hAnsi="宋体" w:eastAsia="宋体" w:cs="宋体"/>
                <w:i w:val="0"/>
                <w:iCs w:val="0"/>
                <w:caps w:val="0"/>
                <w:color w:val="auto"/>
                <w:spacing w:val="0"/>
                <w:sz w:val="21"/>
                <w:szCs w:val="21"/>
                <w:u w:val="none"/>
                <w:shd w:val="clear" w:fill="FFFFFF"/>
                <w:lang w:val="en-US" w:eastAsia="zh-CN"/>
              </w:rPr>
              <w:t>针对性不强，</w:t>
            </w:r>
            <w:r>
              <w:rPr>
                <w:rFonts w:hint="eastAsia" w:ascii="宋体" w:hAnsi="宋体" w:eastAsia="宋体" w:cs="宋体"/>
                <w:i w:val="0"/>
                <w:iCs w:val="0"/>
                <w:caps w:val="0"/>
                <w:color w:val="auto"/>
                <w:spacing w:val="0"/>
                <w:sz w:val="21"/>
                <w:szCs w:val="21"/>
                <w:u w:val="none"/>
                <w:shd w:val="clear" w:fill="FFFFFF"/>
              </w:rPr>
              <w:t>不够合理，得</w:t>
            </w:r>
            <w:r>
              <w:rPr>
                <w:rFonts w:hint="eastAsia" w:ascii="宋体" w:hAnsi="宋体" w:cs="宋体"/>
                <w:i w:val="0"/>
                <w:iCs w:val="0"/>
                <w:caps w:val="0"/>
                <w:color w:val="auto"/>
                <w:spacing w:val="0"/>
                <w:sz w:val="21"/>
                <w:szCs w:val="21"/>
                <w:u w:val="none"/>
                <w:shd w:val="clear" w:fill="FFFFFF"/>
                <w:lang w:val="en-US" w:eastAsia="zh-CN"/>
              </w:rPr>
              <w:t>6</w:t>
            </w:r>
            <w:r>
              <w:rPr>
                <w:rFonts w:hint="eastAsia" w:ascii="宋体" w:hAnsi="宋体" w:eastAsia="宋体" w:cs="宋体"/>
                <w:i w:val="0"/>
                <w:iCs w:val="0"/>
                <w:caps w:val="0"/>
                <w:color w:val="auto"/>
                <w:spacing w:val="0"/>
                <w:sz w:val="21"/>
                <w:szCs w:val="21"/>
                <w:u w:val="none"/>
                <w:shd w:val="clear" w:fill="FFFFFF"/>
              </w:rPr>
              <w:t>分。</w:t>
            </w:r>
          </w:p>
          <w:p>
            <w:pPr>
              <w:pStyle w:val="32"/>
              <w:widowControl/>
              <w:pBdr>
                <w:top w:val="none" w:color="auto" w:sz="0" w:space="0"/>
                <w:left w:val="none" w:color="auto" w:sz="0" w:space="0"/>
                <w:bottom w:val="none" w:color="auto" w:sz="0" w:space="0"/>
                <w:right w:val="none" w:color="auto" w:sz="0" w:space="0"/>
              </w:pBdr>
              <w:shd w:val="clear" w:fill="FFFFFF"/>
              <w:adjustRightInd w:val="0"/>
              <w:snapToGrid w:val="0"/>
              <w:spacing w:beforeAutospacing="0" w:afterAutospacing="0" w:line="240" w:lineRule="auto"/>
              <w:ind w:left="0"/>
              <w:rPr>
                <w:rFonts w:hint="eastAsia" w:ascii="宋体" w:hAnsi="宋体" w:cs="宋体"/>
                <w:color w:val="auto"/>
                <w:kern w:val="0"/>
                <w:szCs w:val="21"/>
                <w:lang w:eastAsia="zh-CN"/>
              </w:rPr>
            </w:pPr>
            <w:r>
              <w:rPr>
                <w:rFonts w:hint="eastAsia" w:ascii="宋体" w:hAnsi="宋体" w:eastAsia="宋体" w:cs="宋体"/>
                <w:i w:val="0"/>
                <w:iCs w:val="0"/>
                <w:caps w:val="0"/>
                <w:color w:val="auto"/>
                <w:spacing w:val="0"/>
                <w:sz w:val="21"/>
                <w:szCs w:val="21"/>
                <w:u w:val="none"/>
                <w:shd w:val="clear" w:fill="FFFFFF"/>
                <w:lang w:val="en-US" w:eastAsia="zh-CN"/>
              </w:rPr>
              <w:t>（4）</w:t>
            </w:r>
            <w:r>
              <w:rPr>
                <w:rFonts w:hint="eastAsia" w:ascii="宋体" w:hAnsi="宋体" w:eastAsia="宋体" w:cs="宋体"/>
                <w:i w:val="0"/>
                <w:iCs w:val="0"/>
                <w:caps w:val="0"/>
                <w:color w:val="auto"/>
                <w:spacing w:val="0"/>
                <w:sz w:val="21"/>
                <w:szCs w:val="21"/>
                <w:u w:val="none"/>
                <w:shd w:val="clear" w:fill="FFFFFF"/>
              </w:rPr>
              <w:t>不满足上述要求的不得分。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6" w:hRule="atLeast"/>
        </w:trPr>
        <w:tc>
          <w:tcPr>
            <w:tcW w:w="1080" w:type="dxa"/>
            <w:vMerge w:val="continue"/>
            <w:shd w:val="clear" w:color="auto" w:fill="FFFFFF"/>
            <w:vAlign w:val="center"/>
          </w:tcPr>
          <w:p>
            <w:pPr>
              <w:snapToGrid w:val="0"/>
              <w:spacing w:line="360" w:lineRule="auto"/>
              <w:jc w:val="center"/>
              <w:rPr>
                <w:rFonts w:ascii="宋体" w:hAnsi="宋体"/>
                <w:color w:val="auto"/>
                <w:sz w:val="21"/>
                <w:szCs w:val="21"/>
                <w:highlight w:val="none"/>
              </w:rPr>
            </w:pPr>
          </w:p>
        </w:tc>
        <w:tc>
          <w:tcPr>
            <w:tcW w:w="1987" w:type="dxa"/>
            <w:shd w:val="clear" w:color="auto" w:fill="FFFFFF"/>
            <w:vAlign w:val="center"/>
          </w:tcPr>
          <w:p>
            <w:pPr>
              <w:keepNext w:val="0"/>
              <w:keepLines w:val="0"/>
              <w:widowControl/>
              <w:suppressLineNumbers w:val="0"/>
              <w:jc w:val="center"/>
              <w:rPr>
                <w:color w:val="auto"/>
              </w:rPr>
            </w:pPr>
            <w:r>
              <w:rPr>
                <w:rFonts w:hint="eastAsia" w:ascii="宋体" w:hAnsi="宋体" w:eastAsia="宋体" w:cs="宋体"/>
                <w:color w:val="auto"/>
                <w:kern w:val="0"/>
                <w:sz w:val="21"/>
                <w:szCs w:val="21"/>
                <w:lang w:val="en-US" w:eastAsia="zh-CN" w:bidi="ar"/>
              </w:rPr>
              <w:t>BIM 技术应用</w:t>
            </w:r>
          </w:p>
          <w:p>
            <w:pPr>
              <w:pStyle w:val="209"/>
              <w:shd w:val="clear" w:color="auto" w:fill="auto"/>
              <w:snapToGrid w:val="0"/>
              <w:spacing w:line="240" w:lineRule="auto"/>
              <w:jc w:val="center"/>
              <w:rPr>
                <w:rFonts w:hint="eastAsia" w:ascii="宋体" w:hAnsi="宋体" w:eastAsia="宋体" w:cs="宋体"/>
                <w:i w:val="0"/>
                <w:iCs w:val="0"/>
                <w:caps w:val="0"/>
                <w:color w:val="auto"/>
                <w:spacing w:val="0"/>
                <w:sz w:val="21"/>
                <w:szCs w:val="21"/>
                <w:shd w:val="clear" w:fill="FFFFFF"/>
              </w:rPr>
            </w:pPr>
          </w:p>
        </w:tc>
        <w:tc>
          <w:tcPr>
            <w:tcW w:w="743" w:type="dxa"/>
            <w:shd w:val="clear" w:color="auto" w:fill="FFFFFF"/>
            <w:vAlign w:val="center"/>
          </w:tcPr>
          <w:p>
            <w:pPr>
              <w:pStyle w:val="209"/>
              <w:shd w:val="clear" w:color="auto" w:fill="auto"/>
              <w:snapToGrid w:val="0"/>
              <w:spacing w:line="240" w:lineRule="auto"/>
              <w:jc w:val="center"/>
              <w:rPr>
                <w:rStyle w:val="210"/>
                <w:rFonts w:hint="default"/>
                <w:b w:val="0"/>
                <w:color w:val="auto"/>
                <w:sz w:val="21"/>
                <w:szCs w:val="21"/>
                <w:lang w:val="en-US" w:eastAsia="zh-CN"/>
              </w:rPr>
            </w:pPr>
            <w:r>
              <w:rPr>
                <w:rFonts w:hint="eastAsia" w:ascii="宋体" w:hAnsi="宋体" w:eastAsia="宋体" w:cs="宋体"/>
                <w:b w:val="0"/>
                <w:color w:val="auto"/>
                <w:kern w:val="2"/>
                <w:sz w:val="21"/>
                <w:szCs w:val="21"/>
                <w:highlight w:val="none"/>
                <w:lang w:val="en-US" w:eastAsia="zh-CN"/>
              </w:rPr>
              <w:t>5</w:t>
            </w:r>
          </w:p>
        </w:tc>
        <w:tc>
          <w:tcPr>
            <w:tcW w:w="11515" w:type="dxa"/>
            <w:shd w:val="clear" w:color="auto" w:fill="FFFFFF"/>
            <w:vAlign w:val="center"/>
          </w:tcPr>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（1）提出的 BIM 技术相关施工工艺及重难点技术方案明确、具体、可行，得 5 分；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（2）提出的 BIM 技术相关施工工艺及重难点技术方案较为明确、具体、可行，得 </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 xml:space="preserve"> 分；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（3）提出的 BIM 技术相关施工工艺及重难点技术方案可行性一般，得 </w:t>
            </w: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 xml:space="preserve">分； </w:t>
            </w:r>
          </w:p>
          <w:p>
            <w:pPr>
              <w:rPr>
                <w:rFonts w:hint="eastAsia" w:ascii="宋体" w:hAnsi="宋体" w:eastAsia="宋体" w:cs="宋体"/>
                <w:i w:val="0"/>
                <w:iCs w:val="0"/>
                <w:caps w:val="0"/>
                <w:color w:val="auto"/>
                <w:spacing w:val="0"/>
                <w:sz w:val="21"/>
                <w:szCs w:val="21"/>
                <w:u w:val="none"/>
                <w:shd w:val="clear" w:fill="FFFFFF"/>
                <w:lang w:val="en-US" w:eastAsia="zh-CN"/>
              </w:rPr>
            </w:pPr>
            <w:r>
              <w:rPr>
                <w:rFonts w:hint="eastAsia" w:ascii="宋体" w:hAnsi="宋体" w:eastAsia="宋体" w:cs="宋体"/>
                <w:color w:val="auto"/>
                <w:kern w:val="0"/>
                <w:sz w:val="21"/>
                <w:szCs w:val="21"/>
                <w:lang w:val="en-US" w:eastAsia="zh-CN" w:bidi="ar"/>
              </w:rPr>
              <w:t>（4）无此项内容</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得 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38" w:hRule="atLeast"/>
        </w:trPr>
        <w:tc>
          <w:tcPr>
            <w:tcW w:w="1080" w:type="dxa"/>
            <w:vMerge w:val="restart"/>
            <w:shd w:val="clear" w:color="auto" w:fill="FFFFFF"/>
            <w:vAlign w:val="center"/>
          </w:tcPr>
          <w:p>
            <w:pPr>
              <w:pStyle w:val="209"/>
              <w:shd w:val="clear" w:color="auto" w:fill="auto"/>
              <w:snapToGrid w:val="0"/>
              <w:spacing w:line="360" w:lineRule="auto"/>
              <w:jc w:val="center"/>
              <w:rPr>
                <w:rFonts w:cs="宋体"/>
                <w:color w:val="auto"/>
                <w:sz w:val="21"/>
                <w:szCs w:val="21"/>
                <w:highlight w:val="none"/>
              </w:rPr>
            </w:pPr>
            <w:r>
              <w:rPr>
                <w:color w:val="auto"/>
                <w:sz w:val="21"/>
                <w:szCs w:val="21"/>
                <w:highlight w:val="none"/>
              </w:rPr>
              <w:t>项目管理机构能力</w:t>
            </w:r>
            <w:r>
              <w:rPr>
                <w:rFonts w:hint="eastAsia"/>
                <w:b/>
                <w:color w:val="auto"/>
                <w:sz w:val="21"/>
                <w:szCs w:val="21"/>
                <w:highlight w:val="none"/>
              </w:rPr>
              <w:t>（</w:t>
            </w:r>
            <w:r>
              <w:rPr>
                <w:rFonts w:hint="eastAsia"/>
                <w:b/>
                <w:color w:val="auto"/>
                <w:sz w:val="21"/>
                <w:szCs w:val="21"/>
                <w:highlight w:val="none"/>
                <w:lang w:val="en-US" w:eastAsia="zh-CN"/>
              </w:rPr>
              <w:t>5</w:t>
            </w:r>
            <w:r>
              <w:rPr>
                <w:rFonts w:hint="eastAsia"/>
                <w:b/>
                <w:color w:val="auto"/>
                <w:sz w:val="21"/>
                <w:szCs w:val="21"/>
                <w:highlight w:val="none"/>
              </w:rPr>
              <w:t>）</w:t>
            </w:r>
          </w:p>
        </w:tc>
        <w:tc>
          <w:tcPr>
            <w:tcW w:w="1987" w:type="dxa"/>
            <w:shd w:val="clear" w:color="auto" w:fill="FFFFFF"/>
            <w:vAlign w:val="center"/>
          </w:tcPr>
          <w:p>
            <w:pPr>
              <w:snapToGrid w:val="0"/>
              <w:spacing w:line="360" w:lineRule="auto"/>
              <w:jc w:val="center"/>
              <w:rPr>
                <w:rFonts w:hint="eastAsia" w:ascii="宋体" w:hAnsi="宋体" w:cs="宋体"/>
                <w:color w:val="auto"/>
                <w:sz w:val="21"/>
                <w:szCs w:val="21"/>
              </w:rPr>
            </w:pPr>
          </w:p>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人员配置情况</w:t>
            </w:r>
          </w:p>
        </w:tc>
        <w:tc>
          <w:tcPr>
            <w:tcW w:w="743" w:type="dxa"/>
            <w:shd w:val="clear" w:color="auto" w:fill="FFFFFF"/>
            <w:vAlign w:val="center"/>
          </w:tcPr>
          <w:p>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515" w:type="dxa"/>
            <w:shd w:val="clear" w:color="auto" w:fill="FFFFFF"/>
            <w:vAlign w:val="center"/>
          </w:tcPr>
          <w:p>
            <w:pPr>
              <w:pStyle w:val="211"/>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210" w:firstLineChars="100"/>
              <w:jc w:val="both"/>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rPr>
              <w:t>投标人</w:t>
            </w:r>
            <w:r>
              <w:rPr>
                <w:rFonts w:hint="eastAsia" w:ascii="宋体" w:hAnsi="宋体"/>
                <w:color w:val="auto"/>
                <w:sz w:val="21"/>
                <w:szCs w:val="21"/>
                <w:highlight w:val="none"/>
              </w:rPr>
              <w:t>拟投入本项目的各专业人员，人员配备全部满足招标文件</w:t>
            </w:r>
            <w:r>
              <w:rPr>
                <w:rFonts w:hint="eastAsia" w:ascii="宋体" w:hAnsi="宋体"/>
                <w:b/>
                <w:bCs/>
                <w:color w:val="auto"/>
                <w:sz w:val="21"/>
                <w:szCs w:val="21"/>
                <w:highlight w:val="none"/>
              </w:rPr>
              <w:t>《项目管理机构人员</w:t>
            </w:r>
            <w:r>
              <w:rPr>
                <w:rFonts w:hint="eastAsia" w:ascii="宋体" w:hAnsi="宋体"/>
                <w:b/>
                <w:bCs/>
                <w:color w:val="auto"/>
                <w:sz w:val="21"/>
                <w:szCs w:val="21"/>
                <w:highlight w:val="none"/>
                <w:lang w:val="en-US" w:eastAsia="zh-CN"/>
              </w:rPr>
              <w:t>配置要求</w:t>
            </w:r>
            <w:r>
              <w:rPr>
                <w:rFonts w:hint="eastAsia" w:ascii="宋体" w:hAnsi="宋体"/>
                <w:b/>
                <w:bCs/>
                <w:color w:val="auto"/>
                <w:sz w:val="21"/>
                <w:szCs w:val="21"/>
                <w:highlight w:val="none"/>
              </w:rPr>
              <w:t>表》</w:t>
            </w:r>
            <w:r>
              <w:rPr>
                <w:rFonts w:hint="eastAsia" w:ascii="宋体" w:hAnsi="宋体"/>
                <w:color w:val="auto"/>
                <w:sz w:val="21"/>
                <w:szCs w:val="21"/>
                <w:highlight w:val="none"/>
              </w:rPr>
              <w:t>要求的</w:t>
            </w:r>
            <w:r>
              <w:rPr>
                <w:rFonts w:hint="eastAsia" w:ascii="宋体" w:hAnsi="宋体"/>
                <w:color w:val="auto"/>
                <w:sz w:val="21"/>
                <w:szCs w:val="21"/>
                <w:highlight w:val="none"/>
                <w:lang w:val="en-US" w:eastAsia="zh-CN"/>
              </w:rPr>
              <w:t>情况下：</w:t>
            </w:r>
          </w:p>
          <w:p>
            <w:pPr>
              <w:pStyle w:val="211"/>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cs="宋体"/>
                <w:b w:val="0"/>
                <w:color w:val="auto"/>
                <w:sz w:val="21"/>
                <w:szCs w:val="21"/>
                <w:highlight w:val="none"/>
                <w:lang w:eastAsia="zh-CN"/>
              </w:rPr>
            </w:pP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1</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rPr>
              <w:t>投标人拟派的</w:t>
            </w:r>
            <w:r>
              <w:rPr>
                <w:rFonts w:hint="eastAsia" w:ascii="宋体" w:hAnsi="宋体" w:cs="宋体"/>
                <w:b w:val="0"/>
                <w:color w:val="auto"/>
                <w:sz w:val="21"/>
                <w:szCs w:val="21"/>
                <w:highlight w:val="none"/>
                <w:lang w:val="en-US" w:eastAsia="zh-CN"/>
              </w:rPr>
              <w:t>项目</w:t>
            </w:r>
            <w:r>
              <w:rPr>
                <w:rFonts w:hint="eastAsia" w:ascii="宋体" w:hAnsi="宋体" w:cs="宋体"/>
                <w:b w:val="0"/>
                <w:color w:val="auto"/>
                <w:sz w:val="21"/>
                <w:szCs w:val="21"/>
                <w:highlight w:val="none"/>
              </w:rPr>
              <w:t>负责人：</w:t>
            </w:r>
            <w:r>
              <w:rPr>
                <w:rFonts w:hint="eastAsia" w:ascii="宋体" w:hAnsi="宋体" w:cs="宋体"/>
                <w:b w:val="0"/>
                <w:color w:val="auto"/>
                <w:sz w:val="21"/>
                <w:szCs w:val="21"/>
                <w:highlight w:val="none"/>
                <w:lang w:val="en-US" w:eastAsia="zh-CN"/>
              </w:rPr>
              <w:t>工作年限10</w:t>
            </w:r>
            <w:r>
              <w:rPr>
                <w:rFonts w:hint="eastAsia" w:ascii="宋体" w:hAnsi="宋体" w:cs="宋体"/>
                <w:b w:val="0"/>
                <w:color w:val="auto"/>
                <w:sz w:val="21"/>
                <w:szCs w:val="21"/>
                <w:highlight w:val="none"/>
              </w:rPr>
              <w:t>年或以上，得</w:t>
            </w:r>
            <w:r>
              <w:rPr>
                <w:rFonts w:hint="eastAsia" w:ascii="宋体" w:hAnsi="宋体" w:cs="宋体"/>
                <w:b w:val="0"/>
                <w:color w:val="auto"/>
                <w:sz w:val="21"/>
                <w:szCs w:val="21"/>
                <w:highlight w:val="none"/>
                <w:lang w:val="en-US" w:eastAsia="zh-CN"/>
              </w:rPr>
              <w:t>2</w:t>
            </w:r>
            <w:r>
              <w:rPr>
                <w:rFonts w:hint="eastAsia" w:ascii="宋体" w:hAnsi="宋体" w:cs="宋体"/>
                <w:b w:val="0"/>
                <w:color w:val="auto"/>
                <w:sz w:val="21"/>
                <w:szCs w:val="21"/>
                <w:highlight w:val="none"/>
              </w:rPr>
              <w:t>分；</w:t>
            </w:r>
            <w:r>
              <w:rPr>
                <w:rFonts w:hint="eastAsia" w:ascii="宋体" w:hAnsi="宋体" w:cs="宋体"/>
                <w:b w:val="0"/>
                <w:color w:val="auto"/>
                <w:sz w:val="21"/>
                <w:szCs w:val="21"/>
                <w:highlight w:val="none"/>
                <w:lang w:val="en-US" w:eastAsia="zh-CN"/>
              </w:rPr>
              <w:t>5</w:t>
            </w:r>
            <w:r>
              <w:rPr>
                <w:rFonts w:hint="eastAsia" w:ascii="宋体" w:hAnsi="宋体" w:cs="宋体"/>
                <w:b w:val="0"/>
                <w:color w:val="auto"/>
                <w:sz w:val="21"/>
                <w:szCs w:val="21"/>
                <w:highlight w:val="none"/>
              </w:rPr>
              <w:t>年</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含）</w:t>
            </w:r>
            <w:r>
              <w:rPr>
                <w:rFonts w:hint="eastAsia" w:ascii="宋体" w:hAnsi="宋体" w:cs="宋体"/>
                <w:b w:val="0"/>
                <w:color w:val="auto"/>
                <w:sz w:val="21"/>
                <w:szCs w:val="21"/>
                <w:highlight w:val="none"/>
              </w:rPr>
              <w:t>至</w:t>
            </w:r>
            <w:r>
              <w:rPr>
                <w:rFonts w:hint="eastAsia" w:ascii="宋体" w:hAnsi="宋体" w:cs="宋体"/>
                <w:b w:val="0"/>
                <w:color w:val="auto"/>
                <w:sz w:val="21"/>
                <w:szCs w:val="21"/>
                <w:highlight w:val="none"/>
                <w:lang w:val="en-US" w:eastAsia="zh-CN"/>
              </w:rPr>
              <w:t>10</w:t>
            </w:r>
            <w:r>
              <w:rPr>
                <w:rFonts w:hint="eastAsia" w:ascii="宋体" w:hAnsi="宋体" w:cs="宋体"/>
                <w:b w:val="0"/>
                <w:color w:val="auto"/>
                <w:sz w:val="21"/>
                <w:szCs w:val="21"/>
                <w:highlight w:val="none"/>
              </w:rPr>
              <w:t>年</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不含）</w:t>
            </w:r>
            <w:r>
              <w:rPr>
                <w:rFonts w:hint="eastAsia" w:ascii="宋体" w:hAnsi="宋体" w:cs="宋体"/>
                <w:b w:val="0"/>
                <w:color w:val="auto"/>
                <w:sz w:val="21"/>
                <w:szCs w:val="21"/>
                <w:highlight w:val="none"/>
              </w:rPr>
              <w:t>，得</w:t>
            </w:r>
            <w:r>
              <w:rPr>
                <w:rFonts w:hint="eastAsia" w:ascii="宋体" w:hAnsi="宋体" w:cs="宋体"/>
                <w:b w:val="0"/>
                <w:color w:val="auto"/>
                <w:sz w:val="21"/>
                <w:szCs w:val="21"/>
                <w:highlight w:val="none"/>
                <w:lang w:val="en-US" w:eastAsia="zh-CN"/>
              </w:rPr>
              <w:t>1</w:t>
            </w:r>
            <w:r>
              <w:rPr>
                <w:rFonts w:hint="eastAsia" w:ascii="宋体" w:hAnsi="宋体" w:cs="宋体"/>
                <w:b w:val="0"/>
                <w:color w:val="auto"/>
                <w:sz w:val="21"/>
                <w:szCs w:val="21"/>
                <w:highlight w:val="none"/>
              </w:rPr>
              <w:t>分；</w:t>
            </w:r>
            <w:r>
              <w:rPr>
                <w:rFonts w:hint="eastAsia" w:ascii="宋体" w:hAnsi="宋体" w:cs="宋体"/>
                <w:b w:val="0"/>
                <w:color w:val="auto"/>
                <w:sz w:val="21"/>
                <w:szCs w:val="21"/>
                <w:highlight w:val="none"/>
                <w:lang w:val="en-US" w:eastAsia="zh-CN"/>
              </w:rPr>
              <w:t>5</w:t>
            </w:r>
            <w:r>
              <w:rPr>
                <w:rFonts w:hint="eastAsia" w:ascii="宋体" w:hAnsi="宋体" w:cs="宋体"/>
                <w:b w:val="0"/>
                <w:color w:val="auto"/>
                <w:sz w:val="21"/>
                <w:szCs w:val="21"/>
                <w:highlight w:val="none"/>
              </w:rPr>
              <w:t>年</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不含）</w:t>
            </w:r>
            <w:r>
              <w:rPr>
                <w:rFonts w:hint="eastAsia" w:ascii="宋体" w:hAnsi="宋体" w:cs="宋体"/>
                <w:b w:val="0"/>
                <w:color w:val="auto"/>
                <w:sz w:val="21"/>
                <w:szCs w:val="21"/>
                <w:highlight w:val="none"/>
                <w:lang w:eastAsia="zh-CN"/>
              </w:rPr>
              <w:t>以下，</w:t>
            </w:r>
            <w:r>
              <w:rPr>
                <w:rFonts w:hint="eastAsia" w:ascii="宋体" w:hAnsi="宋体" w:cs="宋体"/>
                <w:b w:val="0"/>
                <w:color w:val="auto"/>
                <w:sz w:val="21"/>
                <w:szCs w:val="21"/>
                <w:highlight w:val="none"/>
                <w:lang w:val="en-US" w:eastAsia="zh-CN"/>
              </w:rPr>
              <w:t>得0.5</w:t>
            </w:r>
            <w:r>
              <w:rPr>
                <w:rFonts w:hint="eastAsia" w:ascii="宋体" w:hAnsi="宋体" w:cs="宋体"/>
                <w:b w:val="0"/>
                <w:color w:val="auto"/>
                <w:sz w:val="21"/>
                <w:szCs w:val="21"/>
                <w:highlight w:val="none"/>
              </w:rPr>
              <w:t>分</w:t>
            </w:r>
            <w:r>
              <w:rPr>
                <w:rFonts w:hint="eastAsia" w:ascii="宋体" w:hAnsi="宋体" w:cs="宋体"/>
                <w:b w:val="0"/>
                <w:color w:val="auto"/>
                <w:sz w:val="21"/>
                <w:szCs w:val="21"/>
                <w:highlight w:val="none"/>
                <w:lang w:val="en-US" w:eastAsia="zh-CN"/>
              </w:rPr>
              <w:t>；</w:t>
            </w:r>
            <w:r>
              <w:rPr>
                <w:rFonts w:hint="eastAsia" w:ascii="宋体" w:hAnsi="宋体" w:cs="宋体"/>
                <w:b w:val="0"/>
                <w:color w:val="auto"/>
                <w:sz w:val="21"/>
                <w:szCs w:val="21"/>
                <w:highlight w:val="none"/>
              </w:rPr>
              <w:t>本小项最高得</w:t>
            </w:r>
            <w:r>
              <w:rPr>
                <w:rFonts w:hint="eastAsia" w:ascii="宋体" w:hAnsi="宋体" w:cs="宋体"/>
                <w:b w:val="0"/>
                <w:color w:val="auto"/>
                <w:sz w:val="21"/>
                <w:szCs w:val="21"/>
                <w:highlight w:val="none"/>
                <w:lang w:val="en-US" w:eastAsia="zh-CN"/>
              </w:rPr>
              <w:t>2</w:t>
            </w:r>
            <w:r>
              <w:rPr>
                <w:rFonts w:hint="eastAsia" w:ascii="宋体" w:hAnsi="宋体" w:cs="宋体"/>
                <w:b w:val="0"/>
                <w:color w:val="auto"/>
                <w:sz w:val="21"/>
                <w:szCs w:val="21"/>
                <w:highlight w:val="none"/>
              </w:rPr>
              <w:t>分。</w:t>
            </w:r>
          </w:p>
          <w:p>
            <w:pPr>
              <w:pStyle w:val="211"/>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ascii="宋体" w:hAnsi="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hint="eastAsia" w:ascii="宋体" w:hAnsi="宋体" w:cs="宋体"/>
                <w:b w:val="0"/>
                <w:color w:val="auto"/>
                <w:sz w:val="21"/>
                <w:szCs w:val="21"/>
                <w:highlight w:val="none"/>
              </w:rPr>
              <w:t>投标人拟派的技术负责人</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工作年限10</w:t>
            </w:r>
            <w:r>
              <w:rPr>
                <w:rFonts w:hint="eastAsia" w:ascii="宋体" w:hAnsi="宋体" w:cs="宋体"/>
                <w:b w:val="0"/>
                <w:color w:val="auto"/>
                <w:sz w:val="21"/>
                <w:szCs w:val="21"/>
                <w:highlight w:val="none"/>
              </w:rPr>
              <w:t>年或以上，得</w:t>
            </w:r>
            <w:r>
              <w:rPr>
                <w:rFonts w:hint="eastAsia" w:ascii="宋体" w:hAnsi="宋体" w:cs="宋体"/>
                <w:b w:val="0"/>
                <w:color w:val="auto"/>
                <w:sz w:val="21"/>
                <w:szCs w:val="21"/>
                <w:highlight w:val="none"/>
                <w:lang w:val="en-US" w:eastAsia="zh-CN"/>
              </w:rPr>
              <w:t>2</w:t>
            </w:r>
            <w:r>
              <w:rPr>
                <w:rFonts w:hint="eastAsia" w:ascii="宋体" w:hAnsi="宋体" w:cs="宋体"/>
                <w:b w:val="0"/>
                <w:color w:val="auto"/>
                <w:sz w:val="21"/>
                <w:szCs w:val="21"/>
                <w:highlight w:val="none"/>
              </w:rPr>
              <w:t>分；</w:t>
            </w:r>
            <w:r>
              <w:rPr>
                <w:rFonts w:hint="eastAsia" w:ascii="宋体" w:hAnsi="宋体" w:cs="宋体"/>
                <w:b w:val="0"/>
                <w:color w:val="auto"/>
                <w:sz w:val="21"/>
                <w:szCs w:val="21"/>
                <w:highlight w:val="none"/>
                <w:lang w:val="en-US" w:eastAsia="zh-CN"/>
              </w:rPr>
              <w:t>5</w:t>
            </w:r>
            <w:r>
              <w:rPr>
                <w:rFonts w:hint="eastAsia" w:ascii="宋体" w:hAnsi="宋体" w:cs="宋体"/>
                <w:b w:val="0"/>
                <w:color w:val="auto"/>
                <w:sz w:val="21"/>
                <w:szCs w:val="21"/>
                <w:highlight w:val="none"/>
              </w:rPr>
              <w:t>年</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含）</w:t>
            </w:r>
            <w:r>
              <w:rPr>
                <w:rFonts w:hint="eastAsia" w:ascii="宋体" w:hAnsi="宋体" w:cs="宋体"/>
                <w:b w:val="0"/>
                <w:color w:val="auto"/>
                <w:sz w:val="21"/>
                <w:szCs w:val="21"/>
                <w:highlight w:val="none"/>
              </w:rPr>
              <w:t>至</w:t>
            </w:r>
            <w:r>
              <w:rPr>
                <w:rFonts w:hint="eastAsia" w:ascii="宋体" w:hAnsi="宋体" w:cs="宋体"/>
                <w:b w:val="0"/>
                <w:color w:val="auto"/>
                <w:sz w:val="21"/>
                <w:szCs w:val="21"/>
                <w:highlight w:val="none"/>
                <w:lang w:val="en-US" w:eastAsia="zh-CN"/>
              </w:rPr>
              <w:t>10</w:t>
            </w:r>
            <w:r>
              <w:rPr>
                <w:rFonts w:hint="eastAsia" w:ascii="宋体" w:hAnsi="宋体" w:cs="宋体"/>
                <w:b w:val="0"/>
                <w:color w:val="auto"/>
                <w:sz w:val="21"/>
                <w:szCs w:val="21"/>
                <w:highlight w:val="none"/>
              </w:rPr>
              <w:t>年</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不含）</w:t>
            </w:r>
            <w:r>
              <w:rPr>
                <w:rFonts w:hint="eastAsia" w:ascii="宋体" w:hAnsi="宋体" w:cs="宋体"/>
                <w:b w:val="0"/>
                <w:color w:val="auto"/>
                <w:sz w:val="21"/>
                <w:szCs w:val="21"/>
                <w:highlight w:val="none"/>
              </w:rPr>
              <w:t>，得</w:t>
            </w:r>
            <w:r>
              <w:rPr>
                <w:rFonts w:hint="default" w:ascii="宋体" w:hAnsi="宋体" w:cs="宋体"/>
                <w:b w:val="0"/>
                <w:color w:val="auto"/>
                <w:sz w:val="21"/>
                <w:szCs w:val="21"/>
                <w:highlight w:val="none"/>
                <w:lang w:val="en-US" w:eastAsia="zh-CN"/>
              </w:rPr>
              <w:t>1</w:t>
            </w:r>
            <w:r>
              <w:rPr>
                <w:rFonts w:hint="eastAsia" w:ascii="宋体" w:hAnsi="宋体" w:cs="宋体"/>
                <w:b w:val="0"/>
                <w:color w:val="auto"/>
                <w:sz w:val="21"/>
                <w:szCs w:val="21"/>
                <w:highlight w:val="none"/>
              </w:rPr>
              <w:t>分；</w:t>
            </w:r>
            <w:r>
              <w:rPr>
                <w:rFonts w:hint="eastAsia" w:ascii="宋体" w:hAnsi="宋体" w:cs="宋体"/>
                <w:b w:val="0"/>
                <w:color w:val="auto"/>
                <w:sz w:val="21"/>
                <w:szCs w:val="21"/>
                <w:highlight w:val="none"/>
                <w:lang w:val="en-US" w:eastAsia="zh-CN"/>
              </w:rPr>
              <w:t>5</w:t>
            </w:r>
            <w:r>
              <w:rPr>
                <w:rFonts w:hint="eastAsia" w:ascii="宋体" w:hAnsi="宋体" w:cs="宋体"/>
                <w:b w:val="0"/>
                <w:color w:val="auto"/>
                <w:sz w:val="21"/>
                <w:szCs w:val="21"/>
                <w:highlight w:val="none"/>
              </w:rPr>
              <w:t>年</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不含）</w:t>
            </w:r>
            <w:r>
              <w:rPr>
                <w:rFonts w:hint="eastAsia" w:ascii="宋体" w:hAnsi="宋体" w:cs="宋体"/>
                <w:b w:val="0"/>
                <w:color w:val="auto"/>
                <w:sz w:val="21"/>
                <w:szCs w:val="21"/>
                <w:highlight w:val="none"/>
                <w:lang w:eastAsia="zh-CN"/>
              </w:rPr>
              <w:t>以下，</w:t>
            </w:r>
            <w:r>
              <w:rPr>
                <w:rFonts w:hint="eastAsia" w:ascii="宋体" w:hAnsi="宋体" w:cs="宋体"/>
                <w:b w:val="0"/>
                <w:color w:val="auto"/>
                <w:sz w:val="21"/>
                <w:szCs w:val="21"/>
                <w:highlight w:val="none"/>
                <w:lang w:val="en-US" w:eastAsia="zh-CN"/>
              </w:rPr>
              <w:t>得</w:t>
            </w:r>
            <w:r>
              <w:rPr>
                <w:rFonts w:hint="default" w:ascii="宋体" w:hAnsi="宋体" w:cs="宋体"/>
                <w:b w:val="0"/>
                <w:color w:val="auto"/>
                <w:sz w:val="21"/>
                <w:szCs w:val="21"/>
                <w:highlight w:val="none"/>
                <w:lang w:val="en-US" w:eastAsia="zh-CN"/>
              </w:rPr>
              <w:t>0.5</w:t>
            </w:r>
            <w:r>
              <w:rPr>
                <w:rFonts w:hint="eastAsia" w:ascii="宋体" w:hAnsi="宋体" w:cs="宋体"/>
                <w:b w:val="0"/>
                <w:color w:val="auto"/>
                <w:sz w:val="21"/>
                <w:szCs w:val="21"/>
                <w:highlight w:val="none"/>
              </w:rPr>
              <w:t>分</w:t>
            </w:r>
            <w:r>
              <w:rPr>
                <w:rFonts w:hint="eastAsia" w:ascii="宋体" w:hAnsi="宋体" w:cs="宋体"/>
                <w:b w:val="0"/>
                <w:color w:val="auto"/>
                <w:sz w:val="21"/>
                <w:szCs w:val="21"/>
                <w:highlight w:val="none"/>
                <w:lang w:val="en-US" w:eastAsia="zh-CN"/>
              </w:rPr>
              <w:t>；</w:t>
            </w:r>
            <w:r>
              <w:rPr>
                <w:rFonts w:hint="eastAsia" w:ascii="宋体" w:hAnsi="宋体" w:cs="宋体"/>
                <w:b w:val="0"/>
                <w:color w:val="auto"/>
                <w:sz w:val="21"/>
                <w:szCs w:val="21"/>
                <w:highlight w:val="none"/>
              </w:rPr>
              <w:t>本小项最高得</w:t>
            </w:r>
            <w:r>
              <w:rPr>
                <w:rFonts w:hint="eastAsia" w:ascii="宋体" w:hAnsi="宋体" w:cs="宋体"/>
                <w:b w:val="0"/>
                <w:color w:val="auto"/>
                <w:sz w:val="21"/>
                <w:szCs w:val="21"/>
                <w:highlight w:val="none"/>
                <w:lang w:val="en-US" w:eastAsia="zh-CN"/>
              </w:rPr>
              <w:t>2</w:t>
            </w:r>
            <w:r>
              <w:rPr>
                <w:rFonts w:hint="eastAsia" w:ascii="宋体" w:hAnsi="宋体" w:cs="宋体"/>
                <w:b w:val="0"/>
                <w:color w:val="auto"/>
                <w:sz w:val="21"/>
                <w:szCs w:val="21"/>
                <w:highlight w:val="none"/>
              </w:rPr>
              <w:t>分。</w:t>
            </w:r>
          </w:p>
          <w:p>
            <w:pPr>
              <w:pStyle w:val="211"/>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ascii="宋体" w:hAnsi="宋体" w:cs="宋体"/>
                <w:color w:val="auto"/>
                <w:kern w:val="0"/>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cs="宋体"/>
                <w:b w:val="0"/>
                <w:color w:val="auto"/>
                <w:sz w:val="21"/>
                <w:szCs w:val="21"/>
                <w:highlight w:val="none"/>
              </w:rPr>
              <w:t>投标人拟派的质量负责人：具有</w:t>
            </w:r>
            <w:r>
              <w:rPr>
                <w:rFonts w:hint="eastAsia" w:ascii="宋体" w:hAnsi="宋体" w:cs="宋体"/>
                <w:b w:val="0"/>
                <w:color w:val="auto"/>
                <w:sz w:val="21"/>
                <w:szCs w:val="21"/>
                <w:highlight w:val="none"/>
                <w:lang w:val="en-US" w:eastAsia="zh-CN"/>
              </w:rPr>
              <w:t>机电</w:t>
            </w:r>
            <w:r>
              <w:rPr>
                <w:rFonts w:hint="eastAsia" w:ascii="宋体" w:hAnsi="宋体" w:cs="宋体"/>
                <w:b w:val="0"/>
                <w:color w:val="auto"/>
                <w:sz w:val="21"/>
                <w:szCs w:val="21"/>
                <w:highlight w:val="none"/>
              </w:rPr>
              <w:t>工程类相关专业高级工程师</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或以上）</w:t>
            </w:r>
            <w:r>
              <w:rPr>
                <w:rFonts w:hint="eastAsia" w:ascii="宋体" w:hAnsi="宋体" w:cs="宋体"/>
                <w:b w:val="0"/>
                <w:color w:val="auto"/>
                <w:sz w:val="21"/>
                <w:szCs w:val="21"/>
                <w:highlight w:val="none"/>
              </w:rPr>
              <w:t>职称的，得</w:t>
            </w:r>
            <w:r>
              <w:rPr>
                <w:rFonts w:hint="eastAsia" w:ascii="宋体" w:hAnsi="宋体" w:cs="宋体"/>
                <w:b w:val="0"/>
                <w:color w:val="auto"/>
                <w:sz w:val="21"/>
                <w:szCs w:val="21"/>
                <w:highlight w:val="none"/>
                <w:lang w:val="en-US" w:eastAsia="zh-CN"/>
              </w:rPr>
              <w:t>1</w:t>
            </w:r>
            <w:r>
              <w:rPr>
                <w:rFonts w:hint="eastAsia" w:ascii="宋体" w:hAnsi="宋体" w:cs="宋体"/>
                <w:b w:val="0"/>
                <w:color w:val="auto"/>
                <w:sz w:val="21"/>
                <w:szCs w:val="21"/>
                <w:highlight w:val="none"/>
              </w:rPr>
              <w:t>分；具有</w:t>
            </w:r>
            <w:r>
              <w:rPr>
                <w:rFonts w:hint="eastAsia" w:ascii="宋体" w:hAnsi="宋体" w:cs="宋体"/>
                <w:b w:val="0"/>
                <w:color w:val="auto"/>
                <w:sz w:val="21"/>
                <w:szCs w:val="21"/>
                <w:highlight w:val="none"/>
                <w:lang w:val="en-US" w:eastAsia="zh-CN"/>
              </w:rPr>
              <w:t>机电</w:t>
            </w:r>
            <w:r>
              <w:rPr>
                <w:rFonts w:hint="eastAsia" w:ascii="宋体" w:hAnsi="宋体" w:cs="宋体"/>
                <w:b w:val="0"/>
                <w:color w:val="auto"/>
                <w:sz w:val="21"/>
                <w:szCs w:val="21"/>
                <w:highlight w:val="none"/>
              </w:rPr>
              <w:t>工程相关专业</w:t>
            </w:r>
            <w:r>
              <w:rPr>
                <w:rFonts w:hint="eastAsia" w:ascii="宋体" w:hAnsi="宋体" w:cs="宋体"/>
                <w:b w:val="0"/>
                <w:color w:val="auto"/>
                <w:sz w:val="21"/>
                <w:szCs w:val="21"/>
                <w:highlight w:val="none"/>
                <w:lang w:val="en-US" w:eastAsia="zh-CN"/>
              </w:rPr>
              <w:t>中</w:t>
            </w:r>
            <w:r>
              <w:rPr>
                <w:rFonts w:hint="eastAsia" w:ascii="宋体" w:hAnsi="宋体" w:cs="宋体"/>
                <w:b w:val="0"/>
                <w:color w:val="auto"/>
                <w:sz w:val="21"/>
                <w:szCs w:val="21"/>
                <w:highlight w:val="none"/>
              </w:rPr>
              <w:t>级工程师职称的，得</w:t>
            </w:r>
            <w:r>
              <w:rPr>
                <w:rFonts w:hint="eastAsia" w:ascii="宋体" w:hAnsi="宋体" w:cs="宋体"/>
                <w:b w:val="0"/>
                <w:color w:val="auto"/>
                <w:sz w:val="21"/>
                <w:szCs w:val="21"/>
                <w:highlight w:val="none"/>
                <w:lang w:val="en-US" w:eastAsia="zh-CN"/>
              </w:rPr>
              <w:t>0.5</w:t>
            </w:r>
            <w:r>
              <w:rPr>
                <w:rFonts w:hint="eastAsia" w:ascii="宋体" w:hAnsi="宋体" w:cs="宋体"/>
                <w:b w:val="0"/>
                <w:color w:val="auto"/>
                <w:sz w:val="21"/>
                <w:szCs w:val="21"/>
                <w:highlight w:val="none"/>
              </w:rPr>
              <w:t>分</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rPr>
              <w:t>本小项最高得</w:t>
            </w:r>
            <w:r>
              <w:rPr>
                <w:rFonts w:hint="eastAsia" w:ascii="宋体" w:hAnsi="宋体" w:cs="宋体"/>
                <w:b w:val="0"/>
                <w:color w:val="auto"/>
                <w:sz w:val="21"/>
                <w:szCs w:val="21"/>
                <w:highlight w:val="none"/>
                <w:lang w:val="en-US" w:eastAsia="zh-CN"/>
              </w:rPr>
              <w:t>1</w:t>
            </w:r>
            <w:r>
              <w:rPr>
                <w:rFonts w:hint="eastAsia" w:ascii="宋体" w:hAnsi="宋体" w:cs="宋体"/>
                <w:b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2" w:hRule="atLeast"/>
        </w:trPr>
        <w:tc>
          <w:tcPr>
            <w:tcW w:w="1080" w:type="dxa"/>
            <w:vMerge w:val="restart"/>
            <w:shd w:val="clear" w:color="auto" w:fill="FFFFFF"/>
            <w:vAlign w:val="center"/>
          </w:tcPr>
          <w:p>
            <w:pPr>
              <w:pStyle w:val="209"/>
              <w:shd w:val="clear" w:color="auto" w:fill="auto"/>
              <w:snapToGrid w:val="0"/>
              <w:spacing w:line="360" w:lineRule="auto"/>
              <w:jc w:val="center"/>
              <w:rPr>
                <w:rFonts w:cs="宋体"/>
                <w:strike w:val="0"/>
                <w:color w:val="auto"/>
                <w:sz w:val="21"/>
                <w:szCs w:val="21"/>
                <w:highlight w:val="none"/>
              </w:rPr>
            </w:pPr>
            <w:r>
              <w:rPr>
                <w:strike w:val="0"/>
                <w:color w:val="auto"/>
                <w:sz w:val="21"/>
                <w:szCs w:val="21"/>
                <w:highlight w:val="none"/>
              </w:rPr>
              <w:t>企业资信</w:t>
            </w:r>
            <w:r>
              <w:rPr>
                <w:rFonts w:hint="eastAsia"/>
                <w:b/>
                <w:strike w:val="0"/>
                <w:color w:val="auto"/>
                <w:sz w:val="21"/>
                <w:szCs w:val="21"/>
                <w:highlight w:val="none"/>
              </w:rPr>
              <w:t>（3</w:t>
            </w:r>
            <w:r>
              <w:rPr>
                <w:rFonts w:hint="eastAsia"/>
                <w:b/>
                <w:strike w:val="0"/>
                <w:color w:val="auto"/>
                <w:sz w:val="21"/>
                <w:szCs w:val="21"/>
                <w:highlight w:val="none"/>
                <w:lang w:val="en-US" w:eastAsia="zh-CN"/>
              </w:rPr>
              <w:t>5</w:t>
            </w:r>
            <w:r>
              <w:rPr>
                <w:rFonts w:hint="eastAsia"/>
                <w:b/>
                <w:strike w:val="0"/>
                <w:color w:val="auto"/>
                <w:sz w:val="21"/>
                <w:szCs w:val="21"/>
                <w:highlight w:val="none"/>
              </w:rPr>
              <w:t>）</w:t>
            </w:r>
          </w:p>
        </w:tc>
        <w:tc>
          <w:tcPr>
            <w:tcW w:w="1987" w:type="dxa"/>
            <w:shd w:val="clear" w:color="auto" w:fill="FFFFFF"/>
            <w:vAlign w:val="center"/>
          </w:tcPr>
          <w:p>
            <w:pPr>
              <w:tabs>
                <w:tab w:val="left" w:pos="360"/>
              </w:tabs>
              <w:wordWrap w:val="0"/>
              <w:spacing w:line="360" w:lineRule="auto"/>
              <w:jc w:val="center"/>
              <w:rPr>
                <w:rStyle w:val="204"/>
                <w:rFonts w:ascii="宋体" w:hAnsi="宋体" w:cs="宋体"/>
                <w:strike w:val="0"/>
                <w:color w:val="auto"/>
                <w:sz w:val="21"/>
                <w:szCs w:val="21"/>
                <w:highlight w:val="none"/>
              </w:rPr>
            </w:pPr>
            <w:r>
              <w:rPr>
                <w:rFonts w:hint="eastAsia" w:ascii="宋体" w:hAnsi="宋体" w:cs="宋体"/>
                <w:strike w:val="0"/>
                <w:color w:val="auto"/>
                <w:kern w:val="0"/>
                <w:sz w:val="21"/>
                <w:szCs w:val="21"/>
                <w:highlight w:val="none"/>
              </w:rPr>
              <w:t>企业类似工程业绩</w:t>
            </w:r>
          </w:p>
        </w:tc>
        <w:tc>
          <w:tcPr>
            <w:tcW w:w="743" w:type="dxa"/>
            <w:shd w:val="clear" w:color="auto" w:fill="FFFFFF"/>
            <w:vAlign w:val="center"/>
          </w:tcPr>
          <w:p>
            <w:pPr>
              <w:tabs>
                <w:tab w:val="left" w:pos="360"/>
              </w:tabs>
              <w:snapToGrid w:val="0"/>
              <w:spacing w:line="360" w:lineRule="auto"/>
              <w:jc w:val="center"/>
              <w:rPr>
                <w:rStyle w:val="204"/>
                <w:rFonts w:hint="default" w:ascii="宋体" w:hAnsi="宋体" w:eastAsia="宋体" w:cs="宋体"/>
                <w:strike w:val="0"/>
                <w:color w:val="auto"/>
                <w:sz w:val="21"/>
                <w:szCs w:val="21"/>
                <w:highlight w:val="none"/>
                <w:lang w:eastAsia="zh-CN"/>
              </w:rPr>
            </w:pPr>
            <w:r>
              <w:rPr>
                <w:rFonts w:hint="eastAsia" w:ascii="宋体" w:hAnsi="宋体" w:cs="宋体"/>
                <w:bCs/>
                <w:strike w:val="0"/>
                <w:color w:val="auto"/>
                <w:kern w:val="0"/>
                <w:sz w:val="21"/>
                <w:szCs w:val="21"/>
                <w:highlight w:val="none"/>
                <w:lang w:eastAsia="zh-CN"/>
              </w:rPr>
              <w:t>1</w:t>
            </w:r>
            <w:r>
              <w:rPr>
                <w:rFonts w:hint="eastAsia" w:ascii="宋体" w:hAnsi="宋体" w:cs="宋体"/>
                <w:bCs/>
                <w:strike w:val="0"/>
                <w:color w:val="auto"/>
                <w:kern w:val="0"/>
                <w:sz w:val="21"/>
                <w:szCs w:val="21"/>
                <w:highlight w:val="none"/>
                <w:lang w:val="en-US" w:eastAsia="zh-CN"/>
              </w:rPr>
              <w:t>5</w:t>
            </w:r>
          </w:p>
        </w:tc>
        <w:tc>
          <w:tcPr>
            <w:tcW w:w="1151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left="210" w:leftChars="100"/>
              <w:textAlignment w:val="auto"/>
              <w:rPr>
                <w:rFonts w:hint="eastAsia" w:ascii="宋体" w:hAnsi="宋体" w:eastAsia="宋体" w:cs="宋体"/>
                <w:strike w:val="0"/>
                <w:color w:val="auto"/>
                <w:kern w:val="0"/>
                <w:sz w:val="21"/>
                <w:szCs w:val="21"/>
                <w:highlight w:val="none"/>
                <w:lang w:val="en-US" w:eastAsia="zh-CN"/>
              </w:rPr>
            </w:pPr>
            <w:r>
              <w:rPr>
                <w:rFonts w:hint="eastAsia" w:ascii="宋体" w:hAnsi="宋体" w:eastAsia="宋体" w:cs="宋体"/>
                <w:strike w:val="0"/>
                <w:color w:val="auto"/>
                <w:kern w:val="0"/>
                <w:sz w:val="21"/>
                <w:szCs w:val="21"/>
                <w:highlight w:val="none"/>
                <w:lang w:val="en-US" w:eastAsia="zh-CN"/>
              </w:rPr>
              <w:t>投标人自</w:t>
            </w:r>
            <w:r>
              <w:rPr>
                <w:rFonts w:hint="eastAsia" w:ascii="宋体" w:hAnsi="宋体" w:cs="宋体"/>
                <w:strike w:val="0"/>
                <w:color w:val="auto"/>
                <w:kern w:val="0"/>
                <w:sz w:val="21"/>
                <w:szCs w:val="21"/>
                <w:highlight w:val="none"/>
                <w:lang w:val="en-US" w:eastAsia="zh-CN"/>
              </w:rPr>
              <w:t>2019</w:t>
            </w:r>
            <w:r>
              <w:rPr>
                <w:rFonts w:hint="eastAsia" w:ascii="宋体" w:hAnsi="宋体" w:eastAsia="宋体" w:cs="宋体"/>
                <w:strike w:val="0"/>
                <w:color w:val="auto"/>
                <w:kern w:val="0"/>
                <w:sz w:val="21"/>
                <w:szCs w:val="21"/>
                <w:highlight w:val="none"/>
                <w:lang w:val="en-US" w:eastAsia="zh-CN"/>
              </w:rPr>
              <w:t>年1月1日至</w:t>
            </w:r>
            <w:r>
              <w:rPr>
                <w:rFonts w:hint="eastAsia" w:ascii="宋体" w:hAnsi="宋体" w:eastAsia="宋体" w:cs="宋体"/>
                <w:strike w:val="0"/>
                <w:color w:val="auto"/>
                <w:kern w:val="2"/>
                <w:sz w:val="21"/>
                <w:szCs w:val="21"/>
              </w:rPr>
              <w:t>投标截止日</w:t>
            </w:r>
            <w:r>
              <w:rPr>
                <w:rFonts w:hint="eastAsia" w:ascii="宋体" w:hAnsi="宋体" w:cs="宋体"/>
                <w:strike w:val="0"/>
                <w:color w:val="auto"/>
                <w:kern w:val="2"/>
                <w:sz w:val="21"/>
                <w:szCs w:val="21"/>
                <w:lang w:eastAsia="zh-CN"/>
              </w:rPr>
              <w:t>，</w:t>
            </w:r>
            <w:r>
              <w:rPr>
                <w:rFonts w:hint="eastAsia" w:ascii="宋体" w:hAnsi="宋体" w:cs="宋体"/>
                <w:strike w:val="0"/>
                <w:color w:val="auto"/>
                <w:kern w:val="0"/>
                <w:sz w:val="21"/>
                <w:szCs w:val="21"/>
                <w:highlight w:val="none"/>
                <w:lang w:val="en-US" w:eastAsia="zh-CN"/>
              </w:rPr>
              <w:t>完成</w:t>
            </w:r>
            <w:r>
              <w:rPr>
                <w:rFonts w:hint="eastAsia" w:ascii="宋体" w:hAnsi="宋体" w:eastAsia="宋体" w:cs="宋体"/>
                <w:strike w:val="0"/>
                <w:color w:val="auto"/>
                <w:kern w:val="0"/>
                <w:sz w:val="21"/>
                <w:szCs w:val="21"/>
                <w:highlight w:val="none"/>
                <w:lang w:val="en-US" w:eastAsia="zh-CN"/>
              </w:rPr>
              <w:t>过质量合格的</w:t>
            </w:r>
            <w:r>
              <w:rPr>
                <w:rFonts w:hint="eastAsia" w:ascii="宋体" w:hAnsi="宋体" w:cs="宋体"/>
                <w:strike w:val="0"/>
                <w:color w:val="auto"/>
                <w:kern w:val="0"/>
                <w:sz w:val="21"/>
                <w:szCs w:val="21"/>
                <w:highlight w:val="none"/>
                <w:lang w:val="en-US" w:eastAsia="zh-CN"/>
              </w:rPr>
              <w:t>工</w:t>
            </w:r>
            <w:r>
              <w:rPr>
                <w:rFonts w:hint="eastAsia" w:ascii="宋体" w:hAnsi="宋体" w:cs="宋体"/>
                <w:color w:val="auto"/>
                <w:kern w:val="0"/>
                <w:szCs w:val="21"/>
                <w:lang w:bidi="ar"/>
              </w:rPr>
              <w:t>程造价大于或等于</w:t>
            </w:r>
            <w:r>
              <w:rPr>
                <w:rFonts w:hint="eastAsia" w:ascii="宋体" w:hAnsi="宋体" w:cs="宋体"/>
                <w:color w:val="auto"/>
                <w:kern w:val="0"/>
                <w:szCs w:val="21"/>
                <w:lang w:val="en-US" w:eastAsia="zh-CN" w:bidi="ar"/>
              </w:rPr>
              <w:t>2.5</w:t>
            </w:r>
            <w:r>
              <w:rPr>
                <w:rFonts w:hint="eastAsia" w:ascii="宋体" w:hAnsi="宋体" w:cs="宋体"/>
                <w:color w:val="auto"/>
                <w:kern w:val="0"/>
                <w:szCs w:val="21"/>
                <w:lang w:bidi="ar"/>
              </w:rPr>
              <w:t>亿元的机电工程</w:t>
            </w:r>
            <w:r>
              <w:rPr>
                <w:rFonts w:hint="eastAsia" w:ascii="宋体" w:hAnsi="宋体" w:cs="宋体"/>
                <w:color w:val="auto"/>
                <w:kern w:val="0"/>
                <w:szCs w:val="21"/>
                <w:lang w:val="en-US" w:eastAsia="zh-CN" w:bidi="ar"/>
              </w:rPr>
              <w:t>施工总承包</w:t>
            </w:r>
            <w:r>
              <w:rPr>
                <w:rFonts w:hint="eastAsia" w:ascii="宋体" w:hAnsi="宋体" w:cs="宋体"/>
                <w:color w:val="auto"/>
                <w:kern w:val="0"/>
                <w:szCs w:val="21"/>
                <w:lang w:bidi="ar"/>
              </w:rPr>
              <w:t>业绩，每项得</w:t>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分，满分15分</w:t>
            </w:r>
            <w:r>
              <w:rPr>
                <w:rFonts w:hint="eastAsia" w:ascii="宋体" w:hAnsi="宋体" w:cs="宋体"/>
                <w:strike w:val="0"/>
                <w:color w:val="auto"/>
                <w:kern w:val="0"/>
                <w:szCs w:val="21"/>
                <w:lang w:eastAsia="zh-CN"/>
              </w:rPr>
              <w:t>（</w:t>
            </w:r>
            <w:r>
              <w:rPr>
                <w:rFonts w:hint="eastAsia" w:ascii="宋体" w:hAnsi="宋体" w:eastAsia="宋体" w:cs="宋体"/>
                <w:strike w:val="0"/>
                <w:color w:val="auto"/>
                <w:kern w:val="0"/>
                <w:sz w:val="21"/>
                <w:szCs w:val="21"/>
                <w:highlight w:val="none"/>
                <w:lang w:val="en-US" w:eastAsia="zh-CN"/>
              </w:rPr>
              <w:t>不符合上述条件的，不视为有效业绩，不参与评审。</w:t>
            </w:r>
            <w:r>
              <w:rPr>
                <w:rFonts w:hint="eastAsia" w:ascii="宋体" w:hAnsi="宋体" w:cs="宋体"/>
                <w:strike w:val="0"/>
                <w:color w:val="auto"/>
                <w:kern w:val="0"/>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textAlignment w:val="auto"/>
              <w:rPr>
                <w:rFonts w:hint="eastAsia" w:ascii="宋体" w:hAnsi="宋体" w:eastAsia="宋体" w:cs="宋体"/>
                <w:strike w:val="0"/>
                <w:color w:val="auto"/>
                <w:kern w:val="0"/>
                <w:sz w:val="21"/>
                <w:szCs w:val="21"/>
                <w:highlight w:val="none"/>
                <w:lang w:val="en-US" w:eastAsia="zh-CN"/>
              </w:rPr>
            </w:pPr>
            <w:r>
              <w:rPr>
                <w:rFonts w:hint="eastAsia" w:ascii="宋体" w:hAnsi="宋体" w:eastAsia="宋体" w:cs="宋体"/>
                <w:strike w:val="0"/>
                <w:color w:val="auto"/>
                <w:kern w:val="0"/>
                <w:sz w:val="21"/>
                <w:szCs w:val="21"/>
                <w:highlight w:val="none"/>
                <w:lang w:val="en-US" w:eastAsia="zh-CN"/>
              </w:rPr>
              <w:t>注：</w:t>
            </w:r>
            <w:r>
              <w:rPr>
                <w:rFonts w:hint="eastAsia" w:ascii="宋体" w:hAnsi="宋体" w:cs="宋体"/>
                <w:strike w:val="0"/>
                <w:color w:val="auto"/>
                <w:kern w:val="0"/>
                <w:sz w:val="21"/>
                <w:szCs w:val="21"/>
                <w:highlight w:val="none"/>
                <w:lang w:val="en-US" w:eastAsia="zh-CN"/>
              </w:rPr>
              <w:t>本项累计最高得15分</w:t>
            </w:r>
            <w:r>
              <w:rPr>
                <w:rFonts w:hint="eastAsia" w:ascii="宋体" w:hAnsi="宋体" w:eastAsia="宋体" w:cs="宋体"/>
                <w:strike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0" w:hRule="atLeast"/>
        </w:trPr>
        <w:tc>
          <w:tcPr>
            <w:tcW w:w="1080" w:type="dxa"/>
            <w:vMerge w:val="continue"/>
            <w:shd w:val="clear" w:color="auto" w:fill="FFFFFF"/>
            <w:vAlign w:val="center"/>
          </w:tcPr>
          <w:p>
            <w:pPr>
              <w:pStyle w:val="209"/>
              <w:shd w:val="clear" w:color="auto" w:fill="auto"/>
              <w:snapToGrid w:val="0"/>
              <w:spacing w:line="360" w:lineRule="auto"/>
              <w:jc w:val="center"/>
              <w:rPr>
                <w:color w:val="auto"/>
                <w:sz w:val="21"/>
                <w:szCs w:val="21"/>
                <w:highlight w:val="none"/>
              </w:rPr>
            </w:pPr>
          </w:p>
        </w:tc>
        <w:tc>
          <w:tcPr>
            <w:tcW w:w="1987" w:type="dxa"/>
            <w:shd w:val="clear" w:color="auto" w:fill="auto"/>
            <w:vAlign w:val="center"/>
          </w:tcPr>
          <w:p>
            <w:pPr>
              <w:tabs>
                <w:tab w:val="left" w:pos="360"/>
              </w:tabs>
              <w:wordWrap w:val="0"/>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Cs w:val="21"/>
              </w:rPr>
              <w:t>工程奖项</w:t>
            </w:r>
          </w:p>
        </w:tc>
        <w:tc>
          <w:tcPr>
            <w:tcW w:w="743" w:type="dxa"/>
            <w:shd w:val="clear" w:color="auto" w:fill="auto"/>
            <w:vAlign w:val="center"/>
          </w:tcPr>
          <w:p>
            <w:pPr>
              <w:tabs>
                <w:tab w:val="left" w:pos="360"/>
              </w:tabs>
              <w:snapToGrid w:val="0"/>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w:t>
            </w:r>
          </w:p>
        </w:tc>
        <w:tc>
          <w:tcPr>
            <w:tcW w:w="11515" w:type="dxa"/>
            <w:shd w:val="clear" w:color="auto" w:fill="auto"/>
            <w:vAlign w:val="center"/>
          </w:tcPr>
          <w:p>
            <w:pPr>
              <w:pStyle w:val="20"/>
              <w:ind w:firstLine="210" w:firstLineChars="100"/>
              <w:rPr>
                <w:rFonts w:hint="eastAsia"/>
                <w:color w:val="auto"/>
                <w:sz w:val="21"/>
                <w:szCs w:val="21"/>
              </w:rPr>
            </w:pPr>
            <w:r>
              <w:rPr>
                <w:rFonts w:hint="eastAsia"/>
                <w:color w:val="auto"/>
                <w:sz w:val="21"/>
                <w:szCs w:val="21"/>
              </w:rPr>
              <w:t>投标人自201</w:t>
            </w:r>
            <w:r>
              <w:rPr>
                <w:rFonts w:hint="eastAsia"/>
                <w:color w:val="auto"/>
                <w:sz w:val="21"/>
                <w:szCs w:val="21"/>
                <w:lang w:val="en-US" w:eastAsia="zh-CN"/>
              </w:rPr>
              <w:t>9</w:t>
            </w:r>
            <w:r>
              <w:rPr>
                <w:rFonts w:hint="eastAsia"/>
                <w:color w:val="auto"/>
                <w:sz w:val="21"/>
                <w:szCs w:val="21"/>
              </w:rPr>
              <w:t>年1月1日至</w:t>
            </w:r>
            <w:r>
              <w:rPr>
                <w:rFonts w:hint="eastAsia" w:ascii="宋体" w:hAnsi="宋体" w:eastAsia="宋体" w:cs="宋体"/>
                <w:color w:val="auto"/>
                <w:kern w:val="2"/>
                <w:sz w:val="21"/>
                <w:szCs w:val="21"/>
              </w:rPr>
              <w:t>投标截止日</w:t>
            </w:r>
            <w:r>
              <w:rPr>
                <w:rFonts w:hint="eastAsia" w:hAnsi="宋体" w:cs="宋体"/>
                <w:color w:val="auto"/>
                <w:kern w:val="2"/>
                <w:sz w:val="21"/>
                <w:szCs w:val="21"/>
                <w:lang w:eastAsia="zh-CN"/>
              </w:rPr>
              <w:t>，</w:t>
            </w:r>
            <w:r>
              <w:rPr>
                <w:rFonts w:hint="eastAsia"/>
                <w:color w:val="auto"/>
                <w:sz w:val="21"/>
                <w:szCs w:val="21"/>
                <w:lang w:val="en-US" w:eastAsia="zh-CN"/>
              </w:rPr>
              <w:t>完成过</w:t>
            </w:r>
            <w:r>
              <w:rPr>
                <w:rFonts w:hint="eastAsia"/>
                <w:color w:val="auto"/>
                <w:sz w:val="21"/>
                <w:szCs w:val="21"/>
              </w:rPr>
              <w:t>的</w:t>
            </w:r>
            <w:r>
              <w:rPr>
                <w:rFonts w:hint="eastAsia"/>
                <w:color w:val="auto"/>
                <w:sz w:val="21"/>
                <w:szCs w:val="21"/>
                <w:lang w:val="en-US" w:eastAsia="zh-CN"/>
              </w:rPr>
              <w:t>建筑机电工程</w:t>
            </w:r>
            <w:r>
              <w:rPr>
                <w:rFonts w:hint="eastAsia"/>
                <w:color w:val="auto"/>
                <w:sz w:val="21"/>
                <w:szCs w:val="21"/>
              </w:rPr>
              <w:t>项目：</w:t>
            </w:r>
          </w:p>
          <w:p>
            <w:pPr>
              <w:pStyle w:val="20"/>
              <w:rPr>
                <w:rFonts w:hint="eastAsia"/>
                <w:color w:val="auto"/>
                <w:sz w:val="21"/>
                <w:szCs w:val="21"/>
              </w:rPr>
            </w:pPr>
            <w:r>
              <w:rPr>
                <w:rFonts w:hint="eastAsia"/>
                <w:color w:val="auto"/>
                <w:sz w:val="21"/>
                <w:szCs w:val="21"/>
              </w:rPr>
              <w:t>（1）获得过国家级工程质量奖，每项得</w:t>
            </w:r>
            <w:r>
              <w:rPr>
                <w:rFonts w:hint="eastAsia"/>
                <w:color w:val="auto"/>
                <w:sz w:val="21"/>
                <w:szCs w:val="21"/>
                <w:lang w:val="en-US" w:eastAsia="zh-CN"/>
              </w:rPr>
              <w:t>0.5</w:t>
            </w:r>
            <w:r>
              <w:rPr>
                <w:rFonts w:hint="eastAsia"/>
                <w:color w:val="auto"/>
                <w:sz w:val="21"/>
                <w:szCs w:val="21"/>
              </w:rPr>
              <w:t>分</w:t>
            </w:r>
            <w:r>
              <w:rPr>
                <w:rFonts w:hint="eastAsia"/>
                <w:color w:val="auto"/>
                <w:sz w:val="21"/>
                <w:szCs w:val="21"/>
                <w:lang w:eastAsia="zh-CN"/>
              </w:rPr>
              <w:t>，</w:t>
            </w:r>
            <w:r>
              <w:rPr>
                <w:rFonts w:hint="eastAsia"/>
                <w:color w:val="auto"/>
                <w:sz w:val="21"/>
                <w:szCs w:val="21"/>
                <w:lang w:val="en-US" w:eastAsia="zh-CN"/>
              </w:rPr>
              <w:t>最多得10分</w:t>
            </w:r>
            <w:r>
              <w:rPr>
                <w:rFonts w:hint="eastAsia"/>
                <w:color w:val="auto"/>
                <w:sz w:val="21"/>
                <w:szCs w:val="21"/>
              </w:rPr>
              <w:t>；</w:t>
            </w:r>
          </w:p>
          <w:p>
            <w:pPr>
              <w:pStyle w:val="20"/>
              <w:rPr>
                <w:rFonts w:hint="eastAsia"/>
                <w:color w:val="auto"/>
                <w:sz w:val="21"/>
                <w:szCs w:val="21"/>
              </w:rPr>
            </w:pPr>
            <w:r>
              <w:rPr>
                <w:rFonts w:hint="eastAsia"/>
                <w:color w:val="auto"/>
                <w:sz w:val="21"/>
                <w:szCs w:val="21"/>
              </w:rPr>
              <w:t>（2）获得省级（含直辖市、自治区）工程质量奖，每项得0.</w:t>
            </w:r>
            <w:r>
              <w:rPr>
                <w:rFonts w:hint="eastAsia"/>
                <w:color w:val="auto"/>
                <w:sz w:val="21"/>
                <w:szCs w:val="21"/>
                <w:lang w:val="en-US" w:eastAsia="zh-CN"/>
              </w:rPr>
              <w:t>2</w:t>
            </w:r>
            <w:r>
              <w:rPr>
                <w:rFonts w:hint="eastAsia"/>
                <w:color w:val="auto"/>
                <w:sz w:val="21"/>
                <w:szCs w:val="21"/>
              </w:rPr>
              <w:t>分</w:t>
            </w:r>
            <w:r>
              <w:rPr>
                <w:rFonts w:hint="eastAsia"/>
                <w:color w:val="auto"/>
                <w:sz w:val="21"/>
                <w:szCs w:val="21"/>
                <w:lang w:eastAsia="zh-CN"/>
              </w:rPr>
              <w:t>，</w:t>
            </w:r>
            <w:r>
              <w:rPr>
                <w:rFonts w:hint="eastAsia"/>
                <w:color w:val="auto"/>
                <w:sz w:val="21"/>
                <w:szCs w:val="21"/>
                <w:lang w:val="en-US" w:eastAsia="zh-CN"/>
              </w:rPr>
              <w:t>最多得6分</w:t>
            </w:r>
            <w:r>
              <w:rPr>
                <w:rFonts w:hint="eastAsia"/>
                <w:color w:val="auto"/>
                <w:sz w:val="21"/>
                <w:szCs w:val="21"/>
              </w:rPr>
              <w:t>；</w:t>
            </w:r>
          </w:p>
          <w:p>
            <w:pPr>
              <w:pStyle w:val="20"/>
              <w:rPr>
                <w:rFonts w:hint="eastAsia"/>
                <w:color w:val="auto"/>
                <w:sz w:val="21"/>
                <w:szCs w:val="21"/>
              </w:rPr>
            </w:pPr>
            <w:r>
              <w:rPr>
                <w:rFonts w:hint="eastAsia"/>
                <w:color w:val="auto"/>
                <w:sz w:val="21"/>
                <w:szCs w:val="21"/>
              </w:rPr>
              <w:t>（3）获得地市级工程质量奖的，每项得0.</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w:t>
            </w:r>
            <w:r>
              <w:rPr>
                <w:rFonts w:hint="eastAsia"/>
                <w:color w:val="auto"/>
                <w:sz w:val="21"/>
                <w:szCs w:val="21"/>
                <w:lang w:val="en-US" w:eastAsia="zh-CN"/>
              </w:rPr>
              <w:t>最多得2分</w:t>
            </w:r>
            <w:r>
              <w:rPr>
                <w:rFonts w:hint="eastAsia"/>
                <w:color w:val="auto"/>
                <w:sz w:val="21"/>
                <w:szCs w:val="21"/>
              </w:rPr>
              <w:t>；</w:t>
            </w:r>
          </w:p>
          <w:p>
            <w:pPr>
              <w:pStyle w:val="20"/>
              <w:rPr>
                <w:color w:val="auto"/>
                <w:sz w:val="21"/>
                <w:szCs w:val="21"/>
              </w:rPr>
            </w:pPr>
            <w:r>
              <w:rPr>
                <w:rFonts w:hint="eastAsia" w:hAnsi="宋体" w:cs="宋体"/>
                <w:color w:val="auto"/>
                <w:kern w:val="2"/>
                <w:sz w:val="21"/>
                <w:szCs w:val="21"/>
                <w:lang w:val="en-US" w:eastAsia="zh-CN"/>
              </w:rPr>
              <w:t>注：</w:t>
            </w:r>
            <w:r>
              <w:rPr>
                <w:rFonts w:hint="eastAsia" w:ascii="宋体" w:hAnsi="宋体" w:eastAsia="宋体" w:cs="宋体"/>
                <w:color w:val="auto"/>
                <w:kern w:val="2"/>
                <w:sz w:val="21"/>
                <w:szCs w:val="21"/>
              </w:rPr>
              <w:t>同一工程项目的奖项只按最高级别计算一次，不重复计算</w:t>
            </w:r>
            <w:r>
              <w:rPr>
                <w:rFonts w:hint="eastAsia"/>
                <w:color w:val="auto"/>
                <w:sz w:val="21"/>
                <w:szCs w:val="21"/>
              </w:rPr>
              <w:t>，</w:t>
            </w:r>
            <w:r>
              <w:rPr>
                <w:rFonts w:hint="eastAsia" w:ascii="宋体" w:hAnsi="宋体" w:eastAsia="宋体" w:cs="宋体"/>
                <w:color w:val="auto"/>
                <w:kern w:val="2"/>
                <w:sz w:val="21"/>
                <w:szCs w:val="21"/>
              </w:rPr>
              <w:t>本项最多得1</w:t>
            </w:r>
            <w:r>
              <w:rPr>
                <w:rFonts w:hint="eastAsia" w:ascii="宋体" w:hAnsi="宋体" w:eastAsia="宋体" w:cs="宋体"/>
                <w:color w:val="auto"/>
                <w:kern w:val="2"/>
                <w:sz w:val="21"/>
                <w:szCs w:val="21"/>
                <w:lang w:val="en-US" w:eastAsia="zh-CN"/>
              </w:rPr>
              <w:t>0</w:t>
            </w:r>
            <w:r>
              <w:rPr>
                <w:rFonts w:hint="eastAsia" w:ascii="宋体" w:hAnsi="宋体" w:eastAsia="宋体" w:cs="宋体"/>
                <w:color w:val="auto"/>
                <w:kern w:val="2"/>
                <w:sz w:val="21"/>
                <w:szCs w:val="21"/>
              </w:rPr>
              <w:t>分；不符合上述条件的不得分</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1080" w:type="dxa"/>
            <w:vMerge w:val="continue"/>
            <w:shd w:val="clear" w:color="auto" w:fill="FFFFFF"/>
            <w:vAlign w:val="center"/>
          </w:tcPr>
          <w:p>
            <w:pPr>
              <w:pStyle w:val="209"/>
              <w:shd w:val="clear" w:color="auto" w:fill="auto"/>
              <w:snapToGrid w:val="0"/>
              <w:spacing w:line="360" w:lineRule="auto"/>
              <w:jc w:val="center"/>
              <w:rPr>
                <w:color w:val="auto"/>
                <w:sz w:val="21"/>
                <w:szCs w:val="21"/>
                <w:highlight w:val="none"/>
              </w:rPr>
            </w:pPr>
          </w:p>
        </w:tc>
        <w:tc>
          <w:tcPr>
            <w:tcW w:w="1987" w:type="dxa"/>
            <w:shd w:val="clear" w:color="auto" w:fill="auto"/>
            <w:vAlign w:val="center"/>
          </w:tcPr>
          <w:p>
            <w:pPr>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Cs w:val="21"/>
              </w:rPr>
              <w:t>B</w:t>
            </w:r>
            <w:r>
              <w:rPr>
                <w:rFonts w:ascii="宋体" w:hAnsi="宋体" w:cs="宋体"/>
                <w:color w:val="auto"/>
                <w:szCs w:val="21"/>
              </w:rPr>
              <w:t>IM</w:t>
            </w:r>
            <w:r>
              <w:rPr>
                <w:rFonts w:hint="eastAsia" w:ascii="宋体" w:hAnsi="宋体" w:cs="宋体"/>
                <w:color w:val="auto"/>
                <w:szCs w:val="21"/>
                <w:lang w:val="en-US" w:eastAsia="zh-CN"/>
              </w:rPr>
              <w:t>奖项</w:t>
            </w:r>
          </w:p>
        </w:tc>
        <w:tc>
          <w:tcPr>
            <w:tcW w:w="743" w:type="dxa"/>
            <w:shd w:val="clear" w:color="auto" w:fill="auto"/>
            <w:vAlign w:val="center"/>
          </w:tcPr>
          <w:p>
            <w:pPr>
              <w:snapToGrid w:val="0"/>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cs="宋体"/>
                <w:color w:val="auto"/>
                <w:szCs w:val="21"/>
              </w:rPr>
              <w:t>1</w:t>
            </w:r>
            <w:r>
              <w:rPr>
                <w:rFonts w:ascii="宋体" w:hAnsi="宋体" w:cs="宋体"/>
                <w:color w:val="auto"/>
                <w:szCs w:val="21"/>
              </w:rPr>
              <w:t>0</w:t>
            </w:r>
          </w:p>
        </w:tc>
        <w:tc>
          <w:tcPr>
            <w:tcW w:w="11515" w:type="dxa"/>
            <w:shd w:val="clear" w:color="auto" w:fill="auto"/>
            <w:vAlign w:val="center"/>
          </w:tcPr>
          <w:p>
            <w:pPr>
              <w:pStyle w:val="20"/>
              <w:ind w:firstLine="200" w:firstLineChars="100"/>
              <w:rPr>
                <w:rFonts w:ascii="宋体" w:hAnsi="宋体" w:cs="宋体"/>
                <w:color w:val="auto"/>
                <w:kern w:val="0"/>
                <w:szCs w:val="21"/>
                <w:lang w:bidi="ar"/>
              </w:rPr>
            </w:pPr>
            <w:r>
              <w:rPr>
                <w:rFonts w:hint="eastAsia" w:ascii="宋体" w:hAnsi="宋体" w:cs="宋体"/>
                <w:color w:val="auto"/>
                <w:kern w:val="0"/>
                <w:szCs w:val="21"/>
                <w:lang w:bidi="ar"/>
              </w:rPr>
              <w:t>投标人自2</w:t>
            </w:r>
            <w:r>
              <w:rPr>
                <w:rFonts w:ascii="宋体" w:hAnsi="宋体" w:cs="宋体"/>
                <w:color w:val="auto"/>
                <w:kern w:val="0"/>
                <w:szCs w:val="21"/>
                <w:lang w:bidi="ar"/>
              </w:rPr>
              <w:t>019</w:t>
            </w:r>
            <w:r>
              <w:rPr>
                <w:rFonts w:hint="eastAsia" w:ascii="宋体" w:hAnsi="宋体" w:cs="宋体"/>
                <w:color w:val="auto"/>
                <w:kern w:val="0"/>
                <w:szCs w:val="21"/>
                <w:lang w:bidi="ar"/>
              </w:rPr>
              <w:t>年1月1日至今参加国内行业协会组织的B</w:t>
            </w:r>
            <w:r>
              <w:rPr>
                <w:rFonts w:ascii="宋体" w:hAnsi="宋体" w:cs="宋体"/>
                <w:color w:val="auto"/>
                <w:kern w:val="0"/>
                <w:szCs w:val="21"/>
                <w:lang w:bidi="ar"/>
              </w:rPr>
              <w:t>IM</w:t>
            </w:r>
            <w:r>
              <w:rPr>
                <w:rFonts w:hint="eastAsia" w:ascii="宋体" w:hAnsi="宋体" w:cs="宋体"/>
                <w:color w:val="auto"/>
                <w:kern w:val="0"/>
                <w:szCs w:val="21"/>
                <w:lang w:bidi="ar"/>
              </w:rPr>
              <w:t>大赛：</w:t>
            </w:r>
          </w:p>
          <w:p>
            <w:pPr>
              <w:pStyle w:val="51"/>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auto"/>
                <w:lang w:bidi="ar"/>
              </w:rPr>
            </w:pPr>
            <w:r>
              <w:rPr>
                <w:rFonts w:hint="eastAsia"/>
                <w:color w:val="auto"/>
                <w:lang w:bidi="ar"/>
              </w:rPr>
              <w:t>（1）每获得一项国家级B</w:t>
            </w:r>
            <w:r>
              <w:rPr>
                <w:color w:val="auto"/>
                <w:lang w:bidi="ar"/>
              </w:rPr>
              <w:t>IM</w:t>
            </w:r>
            <w:r>
              <w:rPr>
                <w:rFonts w:hint="eastAsia"/>
                <w:color w:val="auto"/>
                <w:lang w:bidi="ar"/>
              </w:rPr>
              <w:t>大赛一等奖（或同级别奖项）及以上得</w:t>
            </w:r>
            <w:r>
              <w:rPr>
                <w:color w:val="auto"/>
                <w:lang w:bidi="ar"/>
              </w:rPr>
              <w:t>0.5</w:t>
            </w:r>
            <w:r>
              <w:rPr>
                <w:rFonts w:hint="eastAsia"/>
                <w:color w:val="auto"/>
                <w:lang w:bidi="ar"/>
              </w:rPr>
              <w:t>分，每获得一项国家级BIM大赛二等奖（或同级别奖项）及以上得</w:t>
            </w:r>
            <w:r>
              <w:rPr>
                <w:color w:val="auto"/>
                <w:lang w:bidi="ar"/>
              </w:rPr>
              <w:t>0.4</w:t>
            </w:r>
            <w:r>
              <w:rPr>
                <w:rFonts w:hint="eastAsia"/>
                <w:color w:val="auto"/>
                <w:lang w:bidi="ar"/>
              </w:rPr>
              <w:t>分；</w:t>
            </w:r>
          </w:p>
          <w:p>
            <w:pPr>
              <w:pStyle w:val="51"/>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auto"/>
                <w:lang w:bidi="ar"/>
              </w:rPr>
            </w:pPr>
            <w:r>
              <w:rPr>
                <w:rFonts w:hint="eastAsia"/>
                <w:color w:val="auto"/>
                <w:lang w:bidi="ar"/>
              </w:rPr>
              <w:t>（2）每获得一项省级B</w:t>
            </w:r>
            <w:r>
              <w:rPr>
                <w:color w:val="auto"/>
                <w:lang w:bidi="ar"/>
              </w:rPr>
              <w:t>IM</w:t>
            </w:r>
            <w:r>
              <w:rPr>
                <w:rFonts w:hint="eastAsia"/>
                <w:color w:val="auto"/>
                <w:lang w:bidi="ar"/>
              </w:rPr>
              <w:t>大赛一等奖（或同级别奖项）及以上得</w:t>
            </w:r>
            <w:r>
              <w:rPr>
                <w:color w:val="auto"/>
                <w:lang w:bidi="ar"/>
              </w:rPr>
              <w:t>0.3</w:t>
            </w:r>
            <w:r>
              <w:rPr>
                <w:rFonts w:hint="eastAsia"/>
                <w:color w:val="auto"/>
                <w:lang w:bidi="ar"/>
              </w:rPr>
              <w:t>分，每获得一项省级BIM大赛二等奖（或同级别奖项）及以上得</w:t>
            </w:r>
            <w:r>
              <w:rPr>
                <w:color w:val="auto"/>
                <w:lang w:bidi="ar"/>
              </w:rPr>
              <w:t>0.2</w:t>
            </w:r>
            <w:r>
              <w:rPr>
                <w:rFonts w:hint="eastAsia"/>
                <w:color w:val="auto"/>
                <w:lang w:bidi="ar"/>
              </w:rPr>
              <w:t>分；</w:t>
            </w:r>
          </w:p>
          <w:p>
            <w:pPr>
              <w:pStyle w:val="51"/>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auto"/>
                <w:lang w:bidi="ar"/>
              </w:rPr>
            </w:pPr>
            <w:r>
              <w:rPr>
                <w:rFonts w:hint="eastAsia"/>
                <w:color w:val="auto"/>
                <w:lang w:bidi="ar"/>
              </w:rPr>
              <w:t>（3）每获得一项市级B</w:t>
            </w:r>
            <w:r>
              <w:rPr>
                <w:color w:val="auto"/>
                <w:lang w:bidi="ar"/>
              </w:rPr>
              <w:t>IM</w:t>
            </w:r>
            <w:r>
              <w:rPr>
                <w:rFonts w:hint="eastAsia"/>
                <w:color w:val="auto"/>
                <w:lang w:bidi="ar"/>
              </w:rPr>
              <w:t>大赛一等奖（或同级别奖项）及以上得</w:t>
            </w:r>
            <w:r>
              <w:rPr>
                <w:color w:val="auto"/>
                <w:lang w:bidi="ar"/>
              </w:rPr>
              <w:t>0.1</w:t>
            </w:r>
            <w:r>
              <w:rPr>
                <w:rFonts w:hint="eastAsia"/>
                <w:color w:val="auto"/>
                <w:lang w:bidi="ar"/>
              </w:rPr>
              <w:t>分。</w:t>
            </w:r>
          </w:p>
          <w:p>
            <w:pPr>
              <w:pStyle w:val="51"/>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auto"/>
                <w:sz w:val="21"/>
                <w:szCs w:val="21"/>
              </w:rPr>
            </w:pPr>
            <w:r>
              <w:rPr>
                <w:rFonts w:hint="eastAsia"/>
                <w:color w:val="auto"/>
                <w:lang w:bidi="ar"/>
              </w:rPr>
              <w:t>本项累计最高得分为</w:t>
            </w:r>
            <w:r>
              <w:rPr>
                <w:color w:val="auto"/>
                <w:lang w:bidi="ar"/>
              </w:rPr>
              <w:t>10</w:t>
            </w:r>
            <w:r>
              <w:rPr>
                <w:rFonts w:hint="eastAsia"/>
                <w:color w:val="auto"/>
                <w:lang w:bidi="ar"/>
              </w:rPr>
              <w:t>分，不符合或不提供不得分。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7" w:hRule="atLeast"/>
        </w:trPr>
        <w:tc>
          <w:tcPr>
            <w:tcW w:w="3067" w:type="dxa"/>
            <w:gridSpan w:val="2"/>
            <w:shd w:val="clear" w:color="auto" w:fill="FFFFFF"/>
            <w:vAlign w:val="center"/>
          </w:tcPr>
          <w:p>
            <w:pPr>
              <w:pStyle w:val="209"/>
              <w:shd w:val="clear" w:color="auto" w:fill="auto"/>
              <w:snapToGrid w:val="0"/>
              <w:spacing w:line="240" w:lineRule="auto"/>
              <w:jc w:val="center"/>
              <w:rPr>
                <w:rFonts w:cs="宋体"/>
                <w:color w:val="auto"/>
                <w:sz w:val="21"/>
                <w:szCs w:val="21"/>
                <w:highlight w:val="none"/>
                <w:shd w:val="clear" w:color="auto" w:fill="FFFFFF"/>
                <w:lang w:val="zh-TW"/>
              </w:rPr>
            </w:pPr>
            <w:r>
              <w:rPr>
                <w:rFonts w:hint="eastAsia" w:cs="宋体"/>
                <w:color w:val="auto"/>
                <w:sz w:val="21"/>
                <w:szCs w:val="21"/>
                <w:highlight w:val="none"/>
                <w:shd w:val="clear" w:color="auto" w:fill="FFFFFF"/>
                <w:lang w:val="zh-TW"/>
              </w:rPr>
              <w:t>合计</w:t>
            </w:r>
          </w:p>
        </w:tc>
        <w:tc>
          <w:tcPr>
            <w:tcW w:w="743" w:type="dxa"/>
            <w:shd w:val="clear" w:color="auto" w:fill="FFFFFF"/>
            <w:vAlign w:val="center"/>
          </w:tcPr>
          <w:p>
            <w:pPr>
              <w:pStyle w:val="209"/>
              <w:shd w:val="clear" w:color="auto" w:fill="auto"/>
              <w:snapToGrid w:val="0"/>
              <w:spacing w:line="240" w:lineRule="auto"/>
              <w:jc w:val="center"/>
              <w:rPr>
                <w:rStyle w:val="210"/>
                <w:rFonts w:ascii="宋体" w:hAnsi="宋体" w:eastAsia="宋体"/>
                <w:color w:val="auto"/>
                <w:sz w:val="21"/>
                <w:szCs w:val="21"/>
                <w:highlight w:val="none"/>
              </w:rPr>
            </w:pPr>
            <w:r>
              <w:rPr>
                <w:rStyle w:val="210"/>
                <w:rFonts w:ascii="宋体" w:hAnsi="宋体" w:eastAsia="宋体"/>
                <w:color w:val="auto"/>
                <w:sz w:val="21"/>
                <w:szCs w:val="21"/>
                <w:highlight w:val="none"/>
              </w:rPr>
              <w:t>100</w:t>
            </w:r>
          </w:p>
        </w:tc>
        <w:tc>
          <w:tcPr>
            <w:tcW w:w="11515" w:type="dxa"/>
            <w:shd w:val="clear" w:color="auto" w:fill="FFFFFF"/>
            <w:vAlign w:val="center"/>
          </w:tcPr>
          <w:p>
            <w:pPr>
              <w:pStyle w:val="209"/>
              <w:shd w:val="clear" w:color="auto" w:fill="auto"/>
              <w:snapToGrid w:val="0"/>
              <w:spacing w:line="240" w:lineRule="auto"/>
              <w:rPr>
                <w:color w:val="auto"/>
                <w:spacing w:val="10"/>
                <w:sz w:val="21"/>
                <w:szCs w:val="21"/>
                <w:highlight w:val="none"/>
              </w:rPr>
            </w:pPr>
          </w:p>
        </w:tc>
      </w:tr>
    </w:tbl>
    <w:p>
      <w:pPr>
        <w:snapToGrid w:val="0"/>
        <w:spacing w:line="360" w:lineRule="auto"/>
        <w:ind w:firstLine="422" w:firstLineChars="201"/>
        <w:rPr>
          <w:rFonts w:hint="eastAsia" w:ascii="宋体" w:hAnsi="宋体" w:cs="宋体"/>
          <w:b w:val="0"/>
          <w:bCs/>
          <w:color w:val="auto"/>
          <w:kern w:val="0"/>
          <w:szCs w:val="21"/>
          <w:highlight w:val="none"/>
        </w:rPr>
      </w:pPr>
    </w:p>
    <w:p>
      <w:pPr>
        <w:snapToGrid w:val="0"/>
        <w:spacing w:line="360" w:lineRule="auto"/>
        <w:ind w:firstLine="422" w:firstLineChars="201"/>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1、评委对业绩认定意见不一致时，则由招标人解释招标文件后，评委讨论业绩认定标准；经讨论后标准仍不一致时，则按少数服从多数处理。按少数服从多数仍不能形成一致意见时，对定标结果有不同意见的评标委员会成员应当以书面形式说明其不同意见和理由，定标报告应当注明该不同意见。评标委员会成员拒绝在定标报告上签字又不书面说明其不同意见和理由的，视为同意定标结果。</w:t>
      </w:r>
    </w:p>
    <w:p>
      <w:pPr>
        <w:snapToGrid w:val="0"/>
        <w:spacing w:line="360" w:lineRule="auto"/>
        <w:ind w:firstLine="424" w:firstLineChars="201"/>
        <w:rPr>
          <w:rFonts w:ascii="宋体" w:hAnsi="宋体" w:cs="宋体"/>
          <w:color w:val="auto"/>
          <w:szCs w:val="21"/>
          <w:highlight w:val="none"/>
        </w:rPr>
      </w:pPr>
      <w:r>
        <w:rPr>
          <w:rFonts w:hint="eastAsia" w:ascii="宋体" w:hAnsi="宋体" w:cs="宋体"/>
          <w:b/>
          <w:color w:val="auto"/>
          <w:kern w:val="0"/>
          <w:szCs w:val="21"/>
          <w:highlight w:val="none"/>
        </w:rPr>
        <w:t>2、项目管理机构能力</w:t>
      </w:r>
    </w:p>
    <w:p>
      <w:pPr>
        <w:snapToGrid w:val="0"/>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（1）上述人员需提供</w:t>
      </w:r>
      <w:r>
        <w:rPr>
          <w:rFonts w:hint="eastAsia" w:ascii="宋体" w:hAnsi="宋体" w:cs="宋体"/>
          <w:color w:val="auto"/>
          <w:szCs w:val="21"/>
          <w:highlight w:val="none"/>
          <w:lang w:val="en-US" w:eastAsia="zh-CN"/>
        </w:rPr>
        <w:t>注册证书（如有）、</w:t>
      </w:r>
      <w:r>
        <w:rPr>
          <w:rFonts w:hint="eastAsia" w:ascii="宋体" w:hAnsi="宋体" w:cs="宋体"/>
          <w:color w:val="auto"/>
          <w:szCs w:val="21"/>
          <w:highlight w:val="none"/>
        </w:rPr>
        <w:t>职称证书或执业资格证书（如有）扫描件并加盖投标人电子印章；</w:t>
      </w:r>
      <w:r>
        <w:rPr>
          <w:rFonts w:hint="eastAsia" w:ascii="宋体" w:hAnsi="宋体"/>
          <w:color w:val="auto"/>
          <w:szCs w:val="21"/>
          <w:highlight w:val="none"/>
        </w:rPr>
        <w:t>工作年限以毕业证书的毕业时间为准</w:t>
      </w:r>
      <w:r>
        <w:rPr>
          <w:rFonts w:hint="eastAsia" w:ascii="宋体" w:hAnsi="宋体"/>
          <w:color w:val="auto"/>
          <w:highlight w:val="none"/>
        </w:rPr>
        <w:t>。</w:t>
      </w:r>
      <w:r>
        <w:rPr>
          <w:rFonts w:hint="eastAsia" w:ascii="宋体" w:hAnsi="宋体" w:cs="宋体"/>
          <w:color w:val="auto"/>
          <w:szCs w:val="21"/>
          <w:highlight w:val="none"/>
        </w:rPr>
        <w:t>各岗位人员不得相互兼职，上述材料不提供或提供不齐全的不得分。</w:t>
      </w:r>
    </w:p>
    <w:p>
      <w:pPr>
        <w:snapToGrid w:val="0"/>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上述人员除须提供相关证明资料外，还须提供近一个月（</w:t>
      </w:r>
      <w:r>
        <w:rPr>
          <w:rFonts w:hint="eastAsia" w:ascii="宋体" w:hAnsi="宋体" w:cs="宋体"/>
          <w:color w:val="auto"/>
          <w:szCs w:val="21"/>
          <w:highlight w:val="none"/>
          <w:u w:val="single"/>
        </w:rPr>
        <w:t>本项目招标公告发布第一天所在月的前一个月</w:t>
      </w:r>
      <w:r>
        <w:rPr>
          <w:rFonts w:hint="eastAsia" w:ascii="宋体" w:hAnsi="宋体" w:cs="宋体"/>
          <w:color w:val="auto"/>
          <w:szCs w:val="21"/>
          <w:highlight w:val="none"/>
        </w:rPr>
        <w:t>）在投标人单位参保的社保证明扫描件（若当地政府部门允许企业在疫情期间缓缴社会保险费且投标人未缴纳的，投标人可提供当地政府部门允许缓缴社保的相关文件作为缴纳社保的证明，确定中标人后，招标人将核实中标人拟派人员的社保补缴情况），未提供或提供资料不全的不得分。</w:t>
      </w:r>
    </w:p>
    <w:p>
      <w:pPr>
        <w:snapToGrid w:val="0"/>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pPr>
        <w:snapToGrid w:val="0"/>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olor w:val="auto"/>
          <w:highlight w:val="none"/>
        </w:rPr>
        <w:t>如相同岗位投入人员姓名与投标人提供的《施工项目管理团队人员信息表》不一致的，以《施工项目管理团队人员信息表》中姓名为准；投标人提供的团队人员职称或资格（含证书编号）情况与《施工项目管理团队人员信息表》不一致的，以投标人提供的相关证明材料为准</w:t>
      </w:r>
      <w:r>
        <w:rPr>
          <w:rFonts w:hint="eastAsia" w:ascii="宋体" w:hAnsi="宋体" w:cs="宋体"/>
          <w:color w:val="auto"/>
          <w:szCs w:val="21"/>
          <w:highlight w:val="none"/>
        </w:rPr>
        <w:t>。</w:t>
      </w:r>
    </w:p>
    <w:p>
      <w:pPr>
        <w:tabs>
          <w:tab w:val="left" w:pos="360"/>
        </w:tabs>
        <w:wordWrap w:val="0"/>
        <w:snapToGrid w:val="0"/>
        <w:spacing w:line="360" w:lineRule="auto"/>
        <w:ind w:firstLine="424" w:firstLineChars="201"/>
        <w:rPr>
          <w:rFonts w:ascii="宋体" w:hAnsi="宋体" w:cs="宋体"/>
          <w:bCs/>
          <w:color w:val="auto"/>
          <w:kern w:val="0"/>
          <w:szCs w:val="21"/>
          <w:highlight w:val="none"/>
        </w:rPr>
      </w:pPr>
      <w:r>
        <w:rPr>
          <w:rFonts w:hint="eastAsia" w:ascii="宋体" w:hAnsi="宋体" w:cs="宋体"/>
          <w:b/>
          <w:color w:val="auto"/>
          <w:kern w:val="0"/>
          <w:szCs w:val="21"/>
          <w:highlight w:val="none"/>
        </w:rPr>
        <w:t>3、企业类似工程业绩：</w:t>
      </w:r>
    </w:p>
    <w:p>
      <w:pPr>
        <w:pStyle w:val="2"/>
        <w:spacing w:after="0" w:line="360" w:lineRule="auto"/>
        <w:rPr>
          <w:rFonts w:ascii="宋体" w:hAnsi="宋体"/>
          <w:bCs/>
          <w:color w:val="auto"/>
          <w:sz w:val="21"/>
          <w:szCs w:val="21"/>
          <w:highlight w:val="none"/>
        </w:rPr>
      </w:pPr>
      <w:bookmarkStart w:id="15" w:name="_Hlk124772575"/>
      <w:r>
        <w:rPr>
          <w:rFonts w:hint="eastAsia" w:ascii="宋体" w:hAnsi="宋体"/>
          <w:bCs/>
          <w:color w:val="auto"/>
          <w:sz w:val="21"/>
          <w:szCs w:val="21"/>
          <w:highlight w:val="none"/>
        </w:rPr>
        <w:t>业绩</w:t>
      </w:r>
      <w:r>
        <w:rPr>
          <w:rFonts w:hint="default" w:ascii="宋体" w:hAnsi="宋体"/>
          <w:bCs/>
          <w:color w:val="auto"/>
          <w:sz w:val="21"/>
          <w:szCs w:val="21"/>
          <w:highlight w:val="none"/>
        </w:rPr>
        <w:t>取自</w:t>
      </w:r>
      <w:r>
        <w:rPr>
          <w:rFonts w:hint="eastAsia" w:ascii="宋体" w:hAnsi="宋体"/>
          <w:bCs/>
          <w:color w:val="auto"/>
          <w:sz w:val="21"/>
          <w:szCs w:val="21"/>
          <w:highlight w:val="none"/>
        </w:rPr>
        <w:t>广州市住建行业信用管理平台</w:t>
      </w:r>
      <w:bookmarkEnd w:id="15"/>
      <w:r>
        <w:rPr>
          <w:rFonts w:hint="eastAsia" w:ascii="宋体" w:hAnsi="宋体"/>
          <w:bCs/>
          <w:color w:val="auto"/>
          <w:sz w:val="21"/>
          <w:szCs w:val="21"/>
          <w:highlight w:val="none"/>
        </w:rPr>
        <w:t>或在投标文件中</w:t>
      </w:r>
      <w:bookmarkStart w:id="16" w:name="_Hlk124772932"/>
      <w:r>
        <w:rPr>
          <w:rFonts w:hint="eastAsia" w:ascii="宋体" w:hAnsi="宋体"/>
          <w:bCs/>
          <w:color w:val="auto"/>
          <w:sz w:val="21"/>
          <w:szCs w:val="21"/>
          <w:highlight w:val="none"/>
        </w:rPr>
        <w:t>提供证明材料扫描件</w:t>
      </w:r>
      <w:bookmarkEnd w:id="16"/>
      <w:r>
        <w:rPr>
          <w:rFonts w:hint="eastAsia" w:ascii="宋体" w:hAnsi="宋体"/>
          <w:bCs/>
          <w:color w:val="auto"/>
          <w:sz w:val="21"/>
          <w:szCs w:val="21"/>
          <w:highlight w:val="none"/>
        </w:rPr>
        <w:t>。</w:t>
      </w:r>
    </w:p>
    <w:p>
      <w:pPr>
        <w:pStyle w:val="2"/>
        <w:spacing w:after="0" w:line="360" w:lineRule="auto"/>
        <w:rPr>
          <w:rFonts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如业绩取自广州市住建行业信用管理平台：投标人须同时提供类似工程业绩的项目名称及业绩在广州市住建行业信用管理平台中项目编号及项目相关信息打印页。不提供项目名称、项目编号及项目相关信息打印页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pStyle w:val="2"/>
        <w:adjustRightInd w:val="0"/>
        <w:snapToGrid w:val="0"/>
        <w:spacing w:after="0" w:line="360" w:lineRule="auto"/>
        <w:rPr>
          <w:rFonts w:ascii="宋体" w:hAnsi="宋体"/>
          <w:bCs/>
          <w:color w:val="auto"/>
          <w:sz w:val="21"/>
          <w:szCs w:val="21"/>
          <w:highlight w:val="none"/>
        </w:rPr>
      </w:pPr>
      <w:r>
        <w:rPr>
          <w:rFonts w:hint="eastAsia" w:ascii="微软雅黑" w:hAnsi="微软雅黑" w:eastAsia="微软雅黑" w:cs="微软雅黑"/>
          <w:bCs/>
          <w:color w:val="auto"/>
          <w:sz w:val="21"/>
          <w:szCs w:val="21"/>
          <w:highlight w:val="none"/>
        </w:rPr>
        <w:t>①</w:t>
      </w:r>
      <w:r>
        <w:rPr>
          <w:rFonts w:hint="eastAsia" w:ascii="宋体" w:hAnsi="宋体"/>
          <w:bCs/>
          <w:color w:val="auto"/>
          <w:sz w:val="21"/>
          <w:szCs w:val="21"/>
          <w:highlight w:val="none"/>
        </w:rPr>
        <w:t>金额以中标通知书为准，中标通知书上没有金额的，以施工合同（不含补充合同）为准。</w:t>
      </w:r>
    </w:p>
    <w:p>
      <w:pPr>
        <w:pStyle w:val="2"/>
        <w:adjustRightInd w:val="0"/>
        <w:snapToGrid w:val="0"/>
        <w:spacing w:after="0" w:line="360" w:lineRule="auto"/>
        <w:rPr>
          <w:rFonts w:hint="eastAsia" w:ascii="宋体" w:hAnsi="宋体"/>
          <w:bCs/>
          <w:color w:val="auto"/>
          <w:sz w:val="21"/>
          <w:szCs w:val="21"/>
          <w:highlight w:val="none"/>
        </w:rPr>
      </w:pPr>
      <w:r>
        <w:rPr>
          <w:rFonts w:hint="eastAsia" w:ascii="微软雅黑" w:hAnsi="微软雅黑" w:eastAsia="微软雅黑" w:cs="微软雅黑"/>
          <w:bCs/>
          <w:color w:val="auto"/>
          <w:sz w:val="21"/>
          <w:szCs w:val="21"/>
          <w:highlight w:val="none"/>
        </w:rPr>
        <w:t>②</w:t>
      </w:r>
      <w:r>
        <w:rPr>
          <w:rFonts w:hint="eastAsia" w:ascii="宋体" w:hAnsi="宋体"/>
          <w:bCs/>
          <w:color w:val="auto"/>
          <w:sz w:val="21"/>
          <w:szCs w:val="21"/>
          <w:highlight w:val="none"/>
        </w:rPr>
        <w:t>完成时间以竣工验收文件为准。</w:t>
      </w:r>
    </w:p>
    <w:p>
      <w:pPr>
        <w:pStyle w:val="2"/>
        <w:adjustRightInd w:val="0"/>
        <w:snapToGrid w:val="0"/>
        <w:spacing w:after="0" w:line="360" w:lineRule="auto"/>
        <w:rPr>
          <w:rFonts w:hint="eastAsia" w:ascii="宋体" w:hAnsi="宋体"/>
          <w:bCs/>
          <w:color w:val="auto"/>
          <w:sz w:val="21"/>
          <w:szCs w:val="21"/>
          <w:highlight w:val="none"/>
        </w:rPr>
      </w:pPr>
      <w:r>
        <w:rPr>
          <w:rFonts w:hint="eastAsia" w:ascii="微软雅黑" w:hAnsi="微软雅黑" w:eastAsia="微软雅黑" w:cs="微软雅黑"/>
          <w:bCs/>
          <w:color w:val="auto"/>
          <w:sz w:val="21"/>
          <w:szCs w:val="21"/>
          <w:highlight w:val="none"/>
        </w:rPr>
        <w:t>③</w:t>
      </w:r>
      <w:r>
        <w:rPr>
          <w:rFonts w:hint="eastAsia" w:ascii="宋体" w:hAnsi="宋体"/>
          <w:bCs/>
          <w:color w:val="auto"/>
          <w:sz w:val="21"/>
          <w:szCs w:val="21"/>
          <w:highlight w:val="none"/>
          <w:lang w:val="en-US" w:eastAsia="zh-CN"/>
        </w:rPr>
        <w:t>上述业绩须为机电工程施工总承包资质承接的业绩，含有机电安装工程的建筑工程施工总承包或工程总承包合同不作为类似工程业绩。</w:t>
      </w:r>
    </w:p>
    <w:p>
      <w:pPr>
        <w:pStyle w:val="2"/>
        <w:adjustRightInd w:val="0"/>
        <w:snapToGrid w:val="0"/>
        <w:spacing w:after="0" w:line="360" w:lineRule="auto"/>
        <w:rPr>
          <w:rFonts w:hint="eastAsia" w:ascii="宋体" w:hAnsi="宋体"/>
          <w:bCs/>
          <w:color w:val="auto"/>
          <w:sz w:val="21"/>
          <w:szCs w:val="21"/>
          <w:highlight w:val="none"/>
        </w:rPr>
      </w:pPr>
      <w:r>
        <w:rPr>
          <w:rFonts w:hint="eastAsia" w:ascii="微软雅黑" w:hAnsi="微软雅黑" w:eastAsia="微软雅黑" w:cs="微软雅黑"/>
          <w:bCs/>
          <w:color w:val="auto"/>
          <w:sz w:val="21"/>
          <w:szCs w:val="21"/>
          <w:highlight w:val="none"/>
        </w:rPr>
        <w:t>④</w:t>
      </w:r>
      <w:r>
        <w:rPr>
          <w:rFonts w:hint="eastAsia" w:ascii="宋体" w:hAnsi="宋体"/>
          <w:bCs/>
          <w:color w:val="auto"/>
          <w:sz w:val="21"/>
          <w:szCs w:val="21"/>
          <w:highlight w:val="none"/>
        </w:rPr>
        <w:t>如业绩取自广州市住建行业信用管理平台</w:t>
      </w:r>
      <w:r>
        <w:rPr>
          <w:rFonts w:hint="eastAsia" w:ascii="宋体" w:hAnsi="宋体"/>
          <w:bCs/>
          <w:color w:val="auto"/>
          <w:sz w:val="21"/>
          <w:szCs w:val="21"/>
          <w:highlight w:val="none"/>
          <w:lang w:val="en-US" w:eastAsia="zh-CN"/>
        </w:rPr>
        <w:t>的，</w:t>
      </w:r>
      <w:r>
        <w:rPr>
          <w:rFonts w:hint="eastAsia" w:ascii="宋体" w:hAnsi="宋体"/>
          <w:bCs/>
          <w:color w:val="auto"/>
          <w:sz w:val="21"/>
          <w:szCs w:val="21"/>
          <w:highlight w:val="none"/>
        </w:rPr>
        <w:t>平台内业绩上传件不符合上述要求的或登记的工程资质内容与施工合同等业绩证明资料不相符的，该项业绩不予认定。</w:t>
      </w:r>
    </w:p>
    <w:p>
      <w:pPr>
        <w:pStyle w:val="2"/>
        <w:spacing w:after="0" w:line="360" w:lineRule="auto"/>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如在投标文件中提供证明材料扫描件：</w:t>
      </w:r>
      <w:r>
        <w:rPr>
          <w:rFonts w:hint="eastAsia" w:ascii="宋体" w:hAnsi="宋体" w:eastAsia="宋体" w:cs="Times New Roman"/>
          <w:bCs/>
          <w:color w:val="auto"/>
          <w:kern w:val="0"/>
          <w:sz w:val="21"/>
          <w:szCs w:val="21"/>
          <w:highlight w:val="none"/>
          <w:lang w:val="en-US" w:eastAsia="zh-CN" w:bidi="ar-SA"/>
        </w:rPr>
        <w:t>投标人须提供建设单位（业主）颁发的中标通知书、施工合同（不含补充合同）、竣工验收证明文件（验收文件至少具有建设单位、设计、施工和监理单位盖章）。完成时间以竣工验收证明材料为准。业绩金额以业绩中标通知书为准，若中标通知书没有显示中标金额的，以施工合同（不含补充合同）为准。上述工程业绩须为机电工程施工总承包资质承接的业绩，不符合上述条件或提供的资料不齐全的业绩不予评审。含有机电安装工程的建筑工程施工总承包或工程总承包合同不作为类似工程业绩。评标委员会对业绩的评审以投标人提供的完整的证明资料原件扫描件为依据</w:t>
      </w:r>
      <w:r>
        <w:rPr>
          <w:rFonts w:hint="eastAsia" w:ascii="宋体" w:hAnsi="宋体"/>
          <w:bCs/>
          <w:color w:val="auto"/>
          <w:sz w:val="21"/>
          <w:szCs w:val="21"/>
          <w:highlight w:val="none"/>
        </w:rPr>
        <w:t>（提供相关证明材料的，中标单位须准备相关证明材料的原件待查，如原件不齐或与投标文件不符的，招标人有权取消其中标人资格，并上报建设行政主管部门）。</w:t>
      </w:r>
    </w:p>
    <w:p>
      <w:pPr>
        <w:tabs>
          <w:tab w:val="left" w:pos="360"/>
        </w:tabs>
        <w:wordWrap w:val="0"/>
        <w:snapToGrid w:val="0"/>
        <w:spacing w:line="360" w:lineRule="auto"/>
        <w:ind w:firstLine="424" w:firstLineChars="201"/>
        <w:rPr>
          <w:rFonts w:ascii="宋体" w:hAnsi="宋体" w:cs="宋体"/>
          <w:b/>
          <w:strike w:val="0"/>
          <w:color w:val="auto"/>
          <w:kern w:val="0"/>
          <w:szCs w:val="21"/>
        </w:rPr>
      </w:pPr>
      <w:r>
        <w:rPr>
          <w:rFonts w:hint="eastAsia" w:ascii="宋体" w:hAnsi="宋体" w:eastAsia="宋体" w:cs="宋体"/>
          <w:b/>
          <w:strike w:val="0"/>
          <w:color w:val="auto"/>
          <w:kern w:val="0"/>
          <w:sz w:val="21"/>
          <w:szCs w:val="21"/>
          <w:highlight w:val="none"/>
          <w:lang w:val="en-US" w:eastAsia="zh-CN" w:bidi="ar-SA"/>
        </w:rPr>
        <w:t>4、</w:t>
      </w:r>
      <w:r>
        <w:rPr>
          <w:rFonts w:hint="eastAsia" w:ascii="宋体" w:hAnsi="宋体" w:cs="宋体"/>
          <w:b/>
          <w:strike w:val="0"/>
          <w:color w:val="auto"/>
          <w:kern w:val="0"/>
          <w:szCs w:val="21"/>
        </w:rPr>
        <w:t>工程奖项：</w:t>
      </w:r>
    </w:p>
    <w:p>
      <w:pPr>
        <w:pStyle w:val="2"/>
        <w:spacing w:after="0" w:line="360" w:lineRule="auto"/>
        <w:rPr>
          <w:rFonts w:ascii="宋体" w:hAnsi="宋体"/>
          <w:bCs/>
          <w:strike w:val="0"/>
          <w:color w:val="auto"/>
          <w:sz w:val="21"/>
          <w:szCs w:val="21"/>
        </w:rPr>
      </w:pPr>
      <w:r>
        <w:rPr>
          <w:rFonts w:hint="eastAsia" w:ascii="宋体" w:hAnsi="宋体"/>
          <w:bCs/>
          <w:strike w:val="0"/>
          <w:color w:val="auto"/>
          <w:sz w:val="21"/>
          <w:szCs w:val="21"/>
        </w:rPr>
        <w:t>工程质量奖：</w:t>
      </w:r>
    </w:p>
    <w:p>
      <w:pPr>
        <w:pStyle w:val="2"/>
        <w:spacing w:after="0" w:line="360" w:lineRule="auto"/>
        <w:rPr>
          <w:rFonts w:ascii="宋体" w:hAnsi="宋体"/>
          <w:bCs/>
          <w:strike w:val="0"/>
          <w:color w:val="auto"/>
          <w:sz w:val="21"/>
          <w:szCs w:val="21"/>
        </w:rPr>
      </w:pPr>
      <w:r>
        <w:rPr>
          <w:rFonts w:hint="eastAsia" w:ascii="宋体" w:hAnsi="宋体"/>
          <w:bCs/>
          <w:strike w:val="0"/>
          <w:color w:val="auto"/>
          <w:sz w:val="21"/>
          <w:szCs w:val="21"/>
        </w:rPr>
        <w:t>（</w:t>
      </w:r>
      <w:r>
        <w:rPr>
          <w:rFonts w:hint="eastAsia" w:ascii="宋体" w:hAnsi="宋体"/>
          <w:bCs/>
          <w:strike w:val="0"/>
          <w:color w:val="auto"/>
          <w:sz w:val="21"/>
          <w:szCs w:val="21"/>
          <w:lang w:val="en-US" w:eastAsia="zh-CN"/>
        </w:rPr>
        <w:t>1</w:t>
      </w:r>
      <w:r>
        <w:rPr>
          <w:rFonts w:hint="eastAsia" w:ascii="宋体" w:hAnsi="宋体"/>
          <w:bCs/>
          <w:strike w:val="0"/>
          <w:color w:val="auto"/>
          <w:sz w:val="21"/>
          <w:szCs w:val="21"/>
        </w:rPr>
        <w:t>）其中国家级奖项包括：中国建设工程鲁班奖、国家优质工程奖、</w:t>
      </w:r>
      <w:r>
        <w:rPr>
          <w:rFonts w:hint="eastAsia"/>
          <w:color w:val="auto"/>
          <w:sz w:val="21"/>
          <w:szCs w:val="21"/>
        </w:rPr>
        <w:t>中国安装</w:t>
      </w:r>
      <w:r>
        <w:rPr>
          <w:rFonts w:hint="eastAsia"/>
          <w:color w:val="auto"/>
          <w:sz w:val="21"/>
          <w:szCs w:val="21"/>
          <w:lang w:val="en-US" w:eastAsia="zh-CN"/>
        </w:rPr>
        <w:t>工程优质奖</w:t>
      </w:r>
      <w:r>
        <w:rPr>
          <w:rFonts w:hint="eastAsia" w:ascii="宋体" w:hAnsi="宋体"/>
          <w:bCs/>
          <w:strike w:val="0"/>
          <w:color w:val="auto"/>
          <w:sz w:val="21"/>
          <w:szCs w:val="21"/>
        </w:rPr>
        <w:t>等；省或市级奖项包括：由省、市级建设行政主管部门或行业协会</w:t>
      </w:r>
      <w:r>
        <w:rPr>
          <w:rFonts w:hint="eastAsia"/>
          <w:color w:val="auto"/>
          <w:sz w:val="21"/>
          <w:szCs w:val="21"/>
        </w:rPr>
        <w:t>(或其所属专业分会)</w:t>
      </w:r>
      <w:r>
        <w:rPr>
          <w:rFonts w:hint="eastAsia" w:ascii="宋体" w:hAnsi="宋体"/>
          <w:bCs/>
          <w:strike w:val="0"/>
          <w:color w:val="auto"/>
          <w:sz w:val="21"/>
          <w:szCs w:val="21"/>
        </w:rPr>
        <w:t>颁发的质量类工程奖项。</w:t>
      </w:r>
      <w:r>
        <w:rPr>
          <w:rFonts w:hint="eastAsia"/>
          <w:color w:val="auto"/>
          <w:sz w:val="21"/>
          <w:szCs w:val="21"/>
        </w:rPr>
        <w:t>结构类奖项、安全文明、绿色施工、科学技术创新、QC 成果、科技进步及技术应用类奖项不参与计分</w:t>
      </w:r>
      <w:r>
        <w:rPr>
          <w:rFonts w:hint="eastAsia" w:ascii="宋体" w:hAnsi="宋体"/>
          <w:bCs/>
          <w:strike w:val="0"/>
          <w:color w:val="auto"/>
          <w:sz w:val="21"/>
          <w:szCs w:val="21"/>
        </w:rPr>
        <w:t>；工程获奖时间以发证时间为准；</w:t>
      </w:r>
    </w:p>
    <w:p>
      <w:pPr>
        <w:pStyle w:val="2"/>
        <w:spacing w:after="0" w:line="360" w:lineRule="auto"/>
        <w:rPr>
          <w:rFonts w:ascii="宋体" w:hAnsi="宋体"/>
          <w:bCs/>
          <w:strike w:val="0"/>
          <w:color w:val="auto"/>
          <w:sz w:val="21"/>
          <w:szCs w:val="21"/>
        </w:rPr>
      </w:pPr>
      <w:r>
        <w:rPr>
          <w:rFonts w:hint="eastAsia" w:ascii="宋体" w:hAnsi="宋体"/>
          <w:bCs/>
          <w:strike w:val="0"/>
          <w:color w:val="auto"/>
          <w:sz w:val="21"/>
          <w:szCs w:val="21"/>
        </w:rPr>
        <w:t>（</w:t>
      </w:r>
      <w:r>
        <w:rPr>
          <w:rFonts w:hint="eastAsia" w:ascii="宋体" w:hAnsi="宋体"/>
          <w:bCs/>
          <w:strike w:val="0"/>
          <w:color w:val="auto"/>
          <w:sz w:val="21"/>
          <w:szCs w:val="21"/>
          <w:lang w:val="en-US" w:eastAsia="zh-CN"/>
        </w:rPr>
        <w:t>2</w:t>
      </w:r>
      <w:r>
        <w:rPr>
          <w:rFonts w:hint="eastAsia" w:ascii="宋体" w:hAnsi="宋体"/>
          <w:bCs/>
          <w:strike w:val="0"/>
          <w:color w:val="auto"/>
          <w:sz w:val="21"/>
          <w:szCs w:val="21"/>
        </w:rPr>
        <w:t>）只计算</w:t>
      </w:r>
      <w:r>
        <w:rPr>
          <w:rFonts w:hint="eastAsia" w:ascii="宋体" w:hAnsi="宋体"/>
          <w:bCs/>
          <w:strike w:val="0"/>
          <w:color w:val="auto"/>
          <w:sz w:val="21"/>
          <w:szCs w:val="21"/>
          <w:lang w:val="en-US" w:eastAsia="zh-CN"/>
        </w:rPr>
        <w:t>房建</w:t>
      </w:r>
      <w:r>
        <w:rPr>
          <w:rFonts w:hint="eastAsia" w:ascii="宋体" w:hAnsi="宋体"/>
          <w:bCs/>
          <w:strike w:val="0"/>
          <w:color w:val="auto"/>
          <w:sz w:val="21"/>
          <w:szCs w:val="21"/>
        </w:rPr>
        <w:t>工程类的质量类奖项，</w:t>
      </w:r>
      <w:r>
        <w:rPr>
          <w:rFonts w:hint="eastAsia" w:ascii="宋体" w:hAnsi="宋体"/>
          <w:bCs/>
          <w:strike w:val="0"/>
          <w:color w:val="auto"/>
          <w:sz w:val="21"/>
          <w:szCs w:val="21"/>
          <w:lang w:val="en-US" w:eastAsia="zh-CN"/>
        </w:rPr>
        <w:t>其他非房建工程项目，如</w:t>
      </w:r>
      <w:r>
        <w:rPr>
          <w:rFonts w:hint="eastAsia" w:ascii="宋体" w:hAnsi="宋体"/>
          <w:bCs/>
          <w:strike w:val="0"/>
          <w:color w:val="auto"/>
          <w:sz w:val="21"/>
          <w:szCs w:val="21"/>
        </w:rPr>
        <w:t>路桥、铁路、水利、电力、化工、冶金、市政等的获奖不参与计分；</w:t>
      </w:r>
    </w:p>
    <w:p>
      <w:pPr>
        <w:pStyle w:val="2"/>
        <w:spacing w:after="0" w:line="360" w:lineRule="auto"/>
        <w:rPr>
          <w:rFonts w:hint="eastAsia" w:ascii="宋体" w:hAnsi="宋体"/>
          <w:bCs/>
          <w:strike w:val="0"/>
          <w:color w:val="auto"/>
          <w:sz w:val="21"/>
          <w:szCs w:val="21"/>
        </w:rPr>
      </w:pPr>
      <w:r>
        <w:rPr>
          <w:rFonts w:hint="eastAsia" w:ascii="宋体" w:hAnsi="宋体"/>
          <w:bCs/>
          <w:strike w:val="0"/>
          <w:color w:val="auto"/>
          <w:sz w:val="21"/>
          <w:szCs w:val="21"/>
        </w:rPr>
        <w:t>（</w:t>
      </w:r>
      <w:r>
        <w:rPr>
          <w:rFonts w:hint="eastAsia" w:ascii="宋体" w:hAnsi="宋体"/>
          <w:bCs/>
          <w:strike w:val="0"/>
          <w:color w:val="auto"/>
          <w:sz w:val="21"/>
          <w:szCs w:val="21"/>
          <w:lang w:val="en-US" w:eastAsia="zh-CN"/>
        </w:rPr>
        <w:t>3</w:t>
      </w:r>
      <w:r>
        <w:rPr>
          <w:rFonts w:hint="eastAsia" w:ascii="宋体" w:hAnsi="宋体"/>
          <w:bCs/>
          <w:strike w:val="0"/>
          <w:color w:val="auto"/>
          <w:sz w:val="21"/>
          <w:szCs w:val="21"/>
        </w:rPr>
        <w:t>）获奖可取自广州市住建行业信用管理平台或在投标文件中提供证明材料扫描件，须提供</w:t>
      </w:r>
      <w:r>
        <w:rPr>
          <w:rFonts w:hint="eastAsia" w:ascii="宋体" w:hAnsi="宋体" w:cs="宋体"/>
          <w:bCs/>
          <w:color w:val="auto"/>
          <w:kern w:val="0"/>
          <w:sz w:val="21"/>
          <w:szCs w:val="21"/>
        </w:rPr>
        <w:t>获奖业绩的施工合同关键页</w:t>
      </w:r>
      <w:r>
        <w:rPr>
          <w:rFonts w:hint="eastAsia" w:ascii="宋体" w:hAnsi="宋体" w:cs="宋体"/>
          <w:bCs/>
          <w:color w:val="auto"/>
          <w:kern w:val="0"/>
          <w:sz w:val="21"/>
          <w:szCs w:val="21"/>
          <w:lang w:eastAsia="zh-CN"/>
        </w:rPr>
        <w:t>（</w:t>
      </w:r>
      <w:r>
        <w:rPr>
          <w:rFonts w:hint="eastAsia" w:ascii="宋体" w:hAnsi="宋体" w:cs="宋体"/>
          <w:bCs/>
          <w:color w:val="auto"/>
          <w:kern w:val="0"/>
          <w:sz w:val="21"/>
          <w:szCs w:val="21"/>
        </w:rPr>
        <w:t>项目类型以提供的合同为准</w:t>
      </w:r>
      <w:r>
        <w:rPr>
          <w:rFonts w:hint="eastAsia" w:ascii="宋体" w:hAnsi="宋体" w:cs="宋体"/>
          <w:bCs/>
          <w:color w:val="auto"/>
          <w:kern w:val="0"/>
          <w:sz w:val="21"/>
          <w:szCs w:val="21"/>
          <w:lang w:eastAsia="zh-CN"/>
        </w:rPr>
        <w:t>）、</w:t>
      </w:r>
      <w:r>
        <w:rPr>
          <w:rFonts w:hint="eastAsia" w:ascii="宋体" w:hAnsi="宋体"/>
          <w:bCs/>
          <w:strike w:val="0"/>
          <w:color w:val="auto"/>
          <w:sz w:val="21"/>
          <w:szCs w:val="21"/>
        </w:rPr>
        <w:t>获奖证书或获奖名单等证明扫描件或网上公示获奖页面截图加盖电子印章；</w:t>
      </w:r>
    </w:p>
    <w:p>
      <w:pPr>
        <w:widowControl/>
        <w:spacing w:line="360" w:lineRule="auto"/>
        <w:ind w:right="-2" w:firstLine="420" w:firstLineChars="200"/>
        <w:rPr>
          <w:rFonts w:ascii="宋体" w:hAnsi="宋体" w:cs="宋体"/>
          <w:bCs/>
          <w:color w:val="auto"/>
          <w:kern w:val="0"/>
          <w:sz w:val="21"/>
          <w:szCs w:val="21"/>
        </w:rPr>
      </w:pPr>
      <w:r>
        <w:rPr>
          <w:rFonts w:hint="eastAsia" w:ascii="宋体" w:hAnsi="宋体"/>
          <w:bCs/>
          <w:strike w:val="0"/>
          <w:color w:val="auto"/>
          <w:sz w:val="21"/>
          <w:szCs w:val="21"/>
        </w:rPr>
        <w:t>（</w:t>
      </w:r>
      <w:r>
        <w:rPr>
          <w:rFonts w:hint="eastAsia" w:ascii="宋体" w:hAnsi="宋体"/>
          <w:bCs/>
          <w:strike w:val="0"/>
          <w:color w:val="auto"/>
          <w:sz w:val="21"/>
          <w:szCs w:val="21"/>
          <w:lang w:val="en-US" w:eastAsia="zh-CN"/>
        </w:rPr>
        <w:t>4</w:t>
      </w:r>
      <w:r>
        <w:rPr>
          <w:rFonts w:hint="eastAsia" w:ascii="宋体" w:hAnsi="宋体"/>
          <w:bCs/>
          <w:strike w:val="0"/>
          <w:color w:val="auto"/>
          <w:sz w:val="21"/>
          <w:szCs w:val="21"/>
        </w:rPr>
        <w:t>）</w:t>
      </w:r>
      <w:r>
        <w:rPr>
          <w:rFonts w:hint="eastAsia" w:ascii="宋体" w:hAnsi="宋体" w:cs="宋体"/>
          <w:bCs/>
          <w:color w:val="auto"/>
          <w:kern w:val="0"/>
          <w:sz w:val="21"/>
          <w:szCs w:val="21"/>
        </w:rPr>
        <w:t>投标人的子、分公司获奖不参与计分，中标候选人公示时一并公示获奖证书。</w:t>
      </w:r>
    </w:p>
    <w:p>
      <w:pPr>
        <w:pStyle w:val="2"/>
        <w:spacing w:after="0" w:line="360" w:lineRule="auto"/>
        <w:rPr>
          <w:rFonts w:ascii="宋体" w:hAnsi="宋体"/>
          <w:bCs/>
          <w:strike w:val="0"/>
          <w:color w:val="auto"/>
          <w:sz w:val="21"/>
          <w:szCs w:val="21"/>
        </w:rPr>
      </w:pPr>
      <w:r>
        <w:rPr>
          <w:rFonts w:hint="eastAsia" w:ascii="宋体" w:hAnsi="宋体"/>
          <w:bCs/>
          <w:strike w:val="0"/>
          <w:color w:val="auto"/>
          <w:sz w:val="21"/>
          <w:szCs w:val="21"/>
        </w:rPr>
        <w:t>（</w:t>
      </w:r>
      <w:r>
        <w:rPr>
          <w:rFonts w:hint="eastAsia" w:ascii="宋体" w:hAnsi="宋体"/>
          <w:bCs/>
          <w:strike w:val="0"/>
          <w:color w:val="auto"/>
          <w:sz w:val="21"/>
          <w:szCs w:val="21"/>
          <w:lang w:val="en-US" w:eastAsia="zh-CN"/>
        </w:rPr>
        <w:t>5</w:t>
      </w:r>
      <w:r>
        <w:rPr>
          <w:rFonts w:hint="eastAsia" w:ascii="宋体" w:hAnsi="宋体"/>
          <w:bCs/>
          <w:strike w:val="0"/>
          <w:color w:val="auto"/>
          <w:sz w:val="21"/>
          <w:szCs w:val="21"/>
        </w:rPr>
        <w:t>）同一项目获得多个奖项的，该项目获奖只按其中一个奖项所在最高级别计算一次分数，不得重复计算。</w:t>
      </w:r>
    </w:p>
    <w:p>
      <w:pPr>
        <w:tabs>
          <w:tab w:val="left" w:pos="360"/>
        </w:tabs>
        <w:wordWrap w:val="0"/>
        <w:snapToGrid w:val="0"/>
        <w:spacing w:line="360" w:lineRule="auto"/>
        <w:ind w:firstLine="424" w:firstLineChars="201"/>
        <w:rPr>
          <w:rFonts w:hint="default" w:ascii="宋体" w:hAnsi="宋体" w:cs="宋体"/>
          <w:b/>
          <w:strike w:val="0"/>
          <w:color w:val="auto"/>
          <w:kern w:val="0"/>
          <w:szCs w:val="21"/>
          <w:highlight w:val="none"/>
        </w:rPr>
      </w:pPr>
      <w:r>
        <w:rPr>
          <w:rFonts w:hint="eastAsia" w:ascii="宋体" w:hAnsi="宋体" w:cs="宋体"/>
          <w:b/>
          <w:strike w:val="0"/>
          <w:color w:val="auto"/>
          <w:kern w:val="0"/>
          <w:szCs w:val="21"/>
          <w:highlight w:val="none"/>
        </w:rPr>
        <w:t>5、</w:t>
      </w:r>
      <w:r>
        <w:rPr>
          <w:rFonts w:hint="eastAsia" w:ascii="宋体" w:hAnsi="宋体"/>
          <w:b/>
          <w:bCs/>
          <w:strike w:val="0"/>
          <w:color w:val="auto"/>
          <w:lang w:eastAsia="zh-CN"/>
        </w:rPr>
        <w:t>B</w:t>
      </w:r>
      <w:r>
        <w:rPr>
          <w:rFonts w:hint="eastAsia" w:ascii="宋体" w:hAnsi="宋体"/>
          <w:b/>
          <w:bCs/>
          <w:strike w:val="0"/>
          <w:color w:val="auto"/>
          <w:lang w:val="en-US" w:eastAsia="zh-CN"/>
        </w:rPr>
        <w:t>IM奖项</w:t>
      </w:r>
    </w:p>
    <w:p>
      <w:pPr>
        <w:spacing w:line="360" w:lineRule="auto"/>
        <w:ind w:right="-2" w:firstLine="420" w:firstLineChars="200"/>
        <w:rPr>
          <w:rFonts w:ascii="宋体" w:hAnsi="宋体" w:cs="宋体"/>
          <w:bCs/>
          <w:color w:val="auto"/>
          <w:kern w:val="0"/>
          <w:szCs w:val="21"/>
        </w:rPr>
      </w:pPr>
      <w:r>
        <w:rPr>
          <w:rFonts w:hint="eastAsia" w:ascii="宋体" w:hAnsi="宋体" w:cs="宋体"/>
          <w:bCs/>
          <w:color w:val="auto"/>
          <w:kern w:val="0"/>
          <w:szCs w:val="21"/>
        </w:rPr>
        <w:t>（</w:t>
      </w:r>
      <w:r>
        <w:rPr>
          <w:rFonts w:ascii="宋体" w:hAnsi="宋体" w:cs="宋体"/>
          <w:bCs/>
          <w:color w:val="auto"/>
          <w:kern w:val="0"/>
          <w:szCs w:val="21"/>
        </w:rPr>
        <w:t>1</w:t>
      </w:r>
      <w:r>
        <w:rPr>
          <w:rFonts w:hint="eastAsia" w:ascii="宋体" w:hAnsi="宋体" w:cs="宋体"/>
          <w:bCs/>
          <w:color w:val="auto"/>
          <w:kern w:val="0"/>
          <w:szCs w:val="21"/>
        </w:rPr>
        <w:t>）国家级B</w:t>
      </w:r>
      <w:r>
        <w:rPr>
          <w:rFonts w:ascii="宋体" w:hAnsi="宋体" w:cs="宋体"/>
          <w:bCs/>
          <w:color w:val="auto"/>
          <w:kern w:val="0"/>
          <w:szCs w:val="21"/>
        </w:rPr>
        <w:t>IM</w:t>
      </w:r>
      <w:r>
        <w:rPr>
          <w:rFonts w:hint="eastAsia" w:ascii="宋体" w:hAnsi="宋体" w:cs="宋体"/>
          <w:bCs/>
          <w:color w:val="auto"/>
          <w:kern w:val="0"/>
          <w:szCs w:val="21"/>
        </w:rPr>
        <w:t>大赛是指如：中国建筑业协会中国建设工程B</w:t>
      </w:r>
      <w:r>
        <w:rPr>
          <w:rFonts w:ascii="宋体" w:hAnsi="宋体" w:cs="宋体"/>
          <w:bCs/>
          <w:color w:val="auto"/>
          <w:kern w:val="0"/>
          <w:szCs w:val="21"/>
        </w:rPr>
        <w:t>IM</w:t>
      </w:r>
      <w:r>
        <w:rPr>
          <w:rFonts w:hint="eastAsia" w:ascii="宋体" w:hAnsi="宋体" w:cs="宋体"/>
          <w:bCs/>
          <w:color w:val="auto"/>
          <w:kern w:val="0"/>
          <w:szCs w:val="21"/>
        </w:rPr>
        <w:t>大赛、中国施工企业管理协会工程建设行业B</w:t>
      </w:r>
      <w:r>
        <w:rPr>
          <w:rFonts w:ascii="宋体" w:hAnsi="宋体" w:cs="宋体"/>
          <w:bCs/>
          <w:color w:val="auto"/>
          <w:kern w:val="0"/>
          <w:szCs w:val="21"/>
        </w:rPr>
        <w:t>IM</w:t>
      </w:r>
      <w:r>
        <w:rPr>
          <w:rFonts w:hint="eastAsia" w:ascii="宋体" w:hAnsi="宋体" w:cs="宋体"/>
          <w:bCs/>
          <w:color w:val="auto"/>
          <w:kern w:val="0"/>
          <w:szCs w:val="21"/>
        </w:rPr>
        <w:t>大赛、中国市政协会“市政杯”B</w:t>
      </w:r>
      <w:r>
        <w:rPr>
          <w:rFonts w:ascii="宋体" w:hAnsi="宋体" w:cs="宋体"/>
          <w:bCs/>
          <w:color w:val="auto"/>
          <w:kern w:val="0"/>
          <w:szCs w:val="21"/>
        </w:rPr>
        <w:t>IM</w:t>
      </w:r>
      <w:r>
        <w:rPr>
          <w:rFonts w:hint="eastAsia" w:ascii="宋体" w:hAnsi="宋体" w:cs="宋体"/>
          <w:bCs/>
          <w:color w:val="auto"/>
          <w:kern w:val="0"/>
          <w:szCs w:val="21"/>
        </w:rPr>
        <w:t>应用技能大赛、中国图学会“龙图杯”全国BIM大赛等。</w:t>
      </w:r>
      <w:r>
        <w:rPr>
          <w:rFonts w:hint="eastAsia"/>
          <w:color w:val="auto"/>
        </w:rPr>
        <w:t>省市级B</w:t>
      </w:r>
      <w:r>
        <w:rPr>
          <w:color w:val="auto"/>
        </w:rPr>
        <w:t>IM</w:t>
      </w:r>
      <w:r>
        <w:rPr>
          <w:rFonts w:hint="eastAsia"/>
          <w:color w:val="auto"/>
        </w:rPr>
        <w:t>大赛获奖是指由省或市级行业行政主管部门或经民政部批准成立的行业协会（或其专业分会）颁发的B</w:t>
      </w:r>
      <w:r>
        <w:rPr>
          <w:color w:val="auto"/>
        </w:rPr>
        <w:t>IM</w:t>
      </w:r>
      <w:r>
        <w:rPr>
          <w:rFonts w:hint="eastAsia"/>
          <w:color w:val="auto"/>
        </w:rPr>
        <w:t>大赛奖项。</w:t>
      </w:r>
    </w:p>
    <w:p>
      <w:pPr>
        <w:spacing w:line="360" w:lineRule="auto"/>
        <w:ind w:right="-2" w:firstLine="420" w:firstLineChars="200"/>
        <w:rPr>
          <w:rFonts w:ascii="宋体" w:hAnsi="宋体" w:cs="宋体"/>
          <w:bCs/>
          <w:color w:val="auto"/>
          <w:kern w:val="0"/>
          <w:szCs w:val="21"/>
        </w:rPr>
      </w:pPr>
      <w:r>
        <w:rPr>
          <w:rFonts w:hint="eastAsia"/>
          <w:color w:val="auto"/>
        </w:rPr>
        <w:t>（</w:t>
      </w:r>
      <w:r>
        <w:rPr>
          <w:color w:val="auto"/>
        </w:rPr>
        <w:t>2</w:t>
      </w:r>
      <w:r>
        <w:rPr>
          <w:rFonts w:hint="eastAsia"/>
          <w:color w:val="auto"/>
        </w:rPr>
        <w:t>）</w:t>
      </w:r>
      <w:r>
        <w:rPr>
          <w:rFonts w:ascii="宋体" w:hAnsi="宋体" w:cs="宋体"/>
          <w:bCs/>
          <w:color w:val="auto"/>
          <w:kern w:val="0"/>
          <w:szCs w:val="21"/>
        </w:rPr>
        <w:t>投标人</w:t>
      </w:r>
      <w:r>
        <w:rPr>
          <w:rFonts w:hint="eastAsia" w:ascii="宋体" w:hAnsi="宋体" w:cs="宋体"/>
          <w:bCs/>
          <w:color w:val="auto"/>
          <w:kern w:val="0"/>
          <w:szCs w:val="21"/>
        </w:rPr>
        <w:t>参加国家级、省级、市级</w:t>
      </w:r>
      <w:r>
        <w:rPr>
          <w:rFonts w:ascii="宋体" w:hAnsi="宋体" w:cs="宋体"/>
          <w:bCs/>
          <w:color w:val="auto"/>
          <w:kern w:val="0"/>
          <w:szCs w:val="21"/>
        </w:rPr>
        <w:t>BIM大赛，完成单位必须</w:t>
      </w:r>
      <w:r>
        <w:rPr>
          <w:rFonts w:hint="eastAsia" w:ascii="宋体" w:hAnsi="宋体" w:cs="宋体"/>
          <w:bCs/>
          <w:color w:val="auto"/>
          <w:kern w:val="0"/>
          <w:szCs w:val="21"/>
        </w:rPr>
        <w:t>是</w:t>
      </w:r>
      <w:r>
        <w:rPr>
          <w:rFonts w:ascii="宋体" w:hAnsi="宋体" w:cs="宋体"/>
          <w:bCs/>
          <w:color w:val="auto"/>
          <w:kern w:val="0"/>
          <w:szCs w:val="21"/>
        </w:rPr>
        <w:t>投标人独立完成，不接受投标人和其他单位共同</w:t>
      </w:r>
      <w:r>
        <w:rPr>
          <w:rFonts w:hint="eastAsia" w:ascii="宋体" w:hAnsi="宋体" w:cs="宋体"/>
          <w:bCs/>
          <w:color w:val="auto"/>
          <w:kern w:val="0"/>
          <w:szCs w:val="21"/>
        </w:rPr>
        <w:t>完成获奖</w:t>
      </w:r>
      <w:r>
        <w:rPr>
          <w:rFonts w:ascii="宋体" w:hAnsi="宋体" w:cs="宋体"/>
          <w:bCs/>
          <w:color w:val="auto"/>
          <w:kern w:val="0"/>
          <w:szCs w:val="21"/>
        </w:rPr>
        <w:t>的情形。</w:t>
      </w:r>
      <w:bookmarkStart w:id="17" w:name="_Hlk151744066"/>
      <w:r>
        <w:rPr>
          <w:rFonts w:ascii="宋体" w:hAnsi="宋体" w:cs="宋体"/>
          <w:bCs/>
          <w:color w:val="auto"/>
          <w:kern w:val="0"/>
          <w:szCs w:val="21"/>
        </w:rPr>
        <w:t>不接受投标人分、子公司完成的情形。</w:t>
      </w:r>
      <w:bookmarkEnd w:id="17"/>
    </w:p>
    <w:p>
      <w:pPr>
        <w:spacing w:line="360" w:lineRule="auto"/>
        <w:ind w:right="-2" w:firstLine="420" w:firstLineChars="200"/>
        <w:rPr>
          <w:rFonts w:ascii="宋体" w:hAnsi="宋体" w:cs="宋体"/>
          <w:bCs/>
          <w:color w:val="auto"/>
          <w:kern w:val="0"/>
          <w:szCs w:val="21"/>
        </w:rPr>
      </w:pPr>
      <w:r>
        <w:rPr>
          <w:rFonts w:hint="eastAsia" w:ascii="宋体" w:hAnsi="宋体" w:cs="宋体"/>
          <w:bCs/>
          <w:color w:val="auto"/>
          <w:kern w:val="0"/>
          <w:szCs w:val="21"/>
        </w:rPr>
        <w:t>（</w:t>
      </w:r>
      <w:r>
        <w:rPr>
          <w:rFonts w:ascii="宋体" w:hAnsi="宋体" w:cs="宋体"/>
          <w:bCs/>
          <w:color w:val="auto"/>
          <w:kern w:val="0"/>
          <w:szCs w:val="21"/>
        </w:rPr>
        <w:t>3</w:t>
      </w:r>
      <w:r>
        <w:rPr>
          <w:rFonts w:hint="eastAsia" w:ascii="宋体" w:hAnsi="宋体" w:cs="宋体"/>
          <w:bCs/>
          <w:color w:val="auto"/>
          <w:kern w:val="0"/>
          <w:szCs w:val="21"/>
        </w:rPr>
        <w:t>）提供获奖证书</w:t>
      </w:r>
      <w:r>
        <w:rPr>
          <w:rFonts w:hint="eastAsia" w:ascii="宋体" w:hAnsi="宋体" w:cs="宋体"/>
          <w:bCs/>
          <w:color w:val="auto"/>
          <w:kern w:val="0"/>
          <w:szCs w:val="21"/>
          <w:lang w:val="en-US" w:eastAsia="zh-CN"/>
        </w:rPr>
        <w:t>扫描</w:t>
      </w:r>
      <w:r>
        <w:rPr>
          <w:rFonts w:hint="eastAsia" w:ascii="宋体" w:hAnsi="宋体" w:cs="宋体"/>
          <w:bCs/>
          <w:color w:val="auto"/>
          <w:kern w:val="0"/>
          <w:szCs w:val="21"/>
        </w:rPr>
        <w:t>件，时间以获奖证书颁发的时间为准。</w:t>
      </w:r>
    </w:p>
    <w:p>
      <w:pPr>
        <w:spacing w:line="360" w:lineRule="auto"/>
        <w:ind w:right="-2" w:firstLine="420" w:firstLineChars="200"/>
        <w:rPr>
          <w:rFonts w:ascii="宋体" w:hAnsi="宋体" w:cs="宋体"/>
          <w:bCs/>
          <w:color w:val="auto"/>
          <w:kern w:val="0"/>
          <w:szCs w:val="21"/>
        </w:rPr>
      </w:pPr>
      <w:r>
        <w:rPr>
          <w:rFonts w:hint="eastAsia" w:ascii="宋体" w:hAnsi="宋体" w:cs="宋体"/>
          <w:bCs/>
          <w:color w:val="auto"/>
          <w:kern w:val="0"/>
          <w:szCs w:val="21"/>
        </w:rPr>
        <w:t>（</w:t>
      </w:r>
      <w:r>
        <w:rPr>
          <w:rFonts w:ascii="宋体" w:hAnsi="宋体" w:cs="宋体"/>
          <w:bCs/>
          <w:color w:val="auto"/>
          <w:kern w:val="0"/>
          <w:szCs w:val="21"/>
        </w:rPr>
        <w:t>4</w:t>
      </w:r>
      <w:r>
        <w:rPr>
          <w:rFonts w:hint="eastAsia" w:ascii="宋体" w:hAnsi="宋体" w:cs="宋体"/>
          <w:bCs/>
          <w:color w:val="auto"/>
          <w:kern w:val="0"/>
          <w:szCs w:val="21"/>
        </w:rPr>
        <w:t>）提供B</w:t>
      </w:r>
      <w:r>
        <w:rPr>
          <w:rFonts w:ascii="宋体" w:hAnsi="宋体" w:cs="宋体"/>
          <w:bCs/>
          <w:color w:val="auto"/>
          <w:kern w:val="0"/>
          <w:szCs w:val="21"/>
        </w:rPr>
        <w:t>IM</w:t>
      </w:r>
      <w:r>
        <w:rPr>
          <w:rFonts w:hint="eastAsia" w:ascii="宋体" w:hAnsi="宋体" w:cs="宋体"/>
          <w:bCs/>
          <w:color w:val="auto"/>
          <w:kern w:val="0"/>
          <w:szCs w:val="21"/>
        </w:rPr>
        <w:t>业绩在相应的行业协会公示的该业绩获奖的页面截图。</w:t>
      </w:r>
    </w:p>
    <w:p>
      <w:pPr>
        <w:pStyle w:val="51"/>
        <w:spacing w:after="0" w:line="360" w:lineRule="auto"/>
        <w:ind w:firstLineChars="200"/>
        <w:rPr>
          <w:rFonts w:ascii="宋体" w:hAnsi="宋体"/>
          <w:bCs/>
          <w:strike w:val="0"/>
          <w:color w:val="auto"/>
          <w:sz w:val="21"/>
          <w:szCs w:val="21"/>
          <w:highlight w:val="none"/>
        </w:rPr>
      </w:pPr>
      <w:r>
        <w:rPr>
          <w:rFonts w:hint="eastAsia" w:ascii="宋体" w:hAnsi="宋体" w:cs="宋体"/>
          <w:bCs/>
          <w:color w:val="auto"/>
          <w:kern w:val="0"/>
          <w:szCs w:val="21"/>
        </w:rPr>
        <w:t>（5）若行业协会组织的2</w:t>
      </w:r>
      <w:r>
        <w:rPr>
          <w:rFonts w:ascii="宋体" w:hAnsi="宋体" w:cs="宋体"/>
          <w:bCs/>
          <w:color w:val="auto"/>
          <w:kern w:val="0"/>
          <w:szCs w:val="21"/>
        </w:rPr>
        <w:t>023</w:t>
      </w:r>
      <w:r>
        <w:rPr>
          <w:rFonts w:hint="eastAsia" w:ascii="宋体" w:hAnsi="宋体" w:cs="宋体"/>
          <w:bCs/>
          <w:color w:val="auto"/>
          <w:kern w:val="0"/>
          <w:szCs w:val="21"/>
        </w:rPr>
        <w:t>年B</w:t>
      </w:r>
      <w:r>
        <w:rPr>
          <w:rFonts w:ascii="宋体" w:hAnsi="宋体" w:cs="宋体"/>
          <w:bCs/>
          <w:color w:val="auto"/>
          <w:kern w:val="0"/>
          <w:szCs w:val="21"/>
        </w:rPr>
        <w:t>IM</w:t>
      </w:r>
      <w:r>
        <w:rPr>
          <w:rFonts w:hint="eastAsia" w:ascii="宋体" w:hAnsi="宋体" w:cs="宋体"/>
          <w:bCs/>
          <w:color w:val="auto"/>
          <w:kern w:val="0"/>
          <w:szCs w:val="21"/>
        </w:rPr>
        <w:t>大赛还未颁发证书的，以该B</w:t>
      </w:r>
      <w:r>
        <w:rPr>
          <w:rFonts w:ascii="宋体" w:hAnsi="宋体" w:cs="宋体"/>
          <w:bCs/>
          <w:color w:val="auto"/>
          <w:kern w:val="0"/>
          <w:szCs w:val="21"/>
        </w:rPr>
        <w:t>IM</w:t>
      </w:r>
      <w:r>
        <w:rPr>
          <w:rFonts w:hint="eastAsia" w:ascii="宋体" w:hAnsi="宋体" w:cs="宋体"/>
          <w:bCs/>
          <w:color w:val="auto"/>
          <w:kern w:val="0"/>
          <w:szCs w:val="21"/>
        </w:rPr>
        <w:t>业绩在相应的行业协会公示的获奖结果的页面截图为准。</w:t>
      </w:r>
    </w:p>
    <w:p>
      <w:pPr>
        <w:tabs>
          <w:tab w:val="left" w:pos="360"/>
        </w:tabs>
        <w:wordWrap w:val="0"/>
        <w:snapToGrid w:val="0"/>
        <w:spacing w:line="360" w:lineRule="auto"/>
        <w:ind w:firstLine="422" w:firstLineChars="201"/>
        <w:rPr>
          <w:rFonts w:ascii="宋体" w:hAnsi="宋体" w:cs="宋体"/>
          <w:bCs/>
          <w:strike/>
          <w:color w:val="auto"/>
          <w:kern w:val="0"/>
          <w:szCs w:val="21"/>
          <w:highlight w:val="none"/>
        </w:rPr>
      </w:pPr>
      <w:r>
        <w:rPr>
          <w:rFonts w:hint="eastAsia" w:ascii="宋体" w:hAnsi="宋体" w:cs="宋体"/>
          <w:bCs/>
          <w:strike w:val="0"/>
          <w:color w:val="auto"/>
          <w:kern w:val="0"/>
          <w:szCs w:val="21"/>
          <w:highlight w:val="none"/>
        </w:rPr>
        <w:t>6、以上所附证书证明文件均须提供原件彩色扫描件，投标人提供的网页截图或原件彩色扫描件必须加盖投标人电子印章且内容必须清晰可辨，如因网页截图或原件彩色扫描件内容模糊导致评标时无法判断的，后果由投标人自负。上述资料不提供或提供不完整或提供不符合要求的不得分。</w:t>
      </w:r>
    </w:p>
    <w:p>
      <w:pPr>
        <w:tabs>
          <w:tab w:val="left" w:pos="360"/>
        </w:tabs>
        <w:wordWrap w:val="0"/>
        <w:snapToGrid w:val="0"/>
        <w:spacing w:line="360" w:lineRule="auto"/>
        <w:ind w:firstLine="422" w:firstLineChars="201"/>
        <w:rPr>
          <w:rFonts w:ascii="宋体" w:hAnsi="宋体" w:cs="宋体"/>
          <w:bCs/>
          <w:color w:val="auto"/>
          <w:kern w:val="0"/>
          <w:szCs w:val="21"/>
          <w:highlight w:val="none"/>
        </w:rPr>
      </w:pPr>
      <w:r>
        <w:rPr>
          <w:rFonts w:hint="default"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、本表按百分制评分，</w:t>
      </w:r>
      <w:r>
        <w:rPr>
          <w:rFonts w:hint="eastAsia" w:ascii="宋体" w:hAnsi="宋体" w:cs="宋体"/>
          <w:color w:val="auto"/>
          <w:highlight w:val="none"/>
        </w:rPr>
        <w:t>所有评委的分数的算术平均值为投标人的最终得分</w:t>
      </w:r>
      <w:r>
        <w:rPr>
          <w:rFonts w:hint="eastAsia" w:ascii="宋体" w:hAnsi="宋体" w:cs="宋体"/>
          <w:bCs/>
          <w:color w:val="auto"/>
          <w:kern w:val="0"/>
          <w:szCs w:val="21"/>
          <w:highlight w:val="none"/>
        </w:rPr>
        <w:t>。分数出现小数点，保留小数点后二位小数，第三位小数四舍五入。</w:t>
      </w:r>
    </w:p>
    <w:p>
      <w:pPr>
        <w:tabs>
          <w:tab w:val="left" w:pos="360"/>
        </w:tabs>
        <w:wordWrap w:val="0"/>
        <w:snapToGrid w:val="0"/>
        <w:spacing w:line="360" w:lineRule="auto"/>
        <w:ind w:firstLine="422" w:firstLineChars="201"/>
        <w:rPr>
          <w:rFonts w:hint="eastAsia" w:ascii="宋体" w:hAnsi="宋体" w:eastAsia="宋体" w:cs="宋体"/>
          <w:color w:val="auto"/>
          <w:sz w:val="24"/>
          <w:szCs w:val="24"/>
          <w:highlight w:val="none"/>
          <w:lang w:eastAsia="zh-CN"/>
        </w:rPr>
      </w:pPr>
      <w:r>
        <w:rPr>
          <w:rFonts w:hint="default"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w:t>
      </w:r>
      <w:r>
        <w:rPr>
          <w:rFonts w:hint="eastAsia" w:ascii="宋体" w:hAnsi="宋体" w:cs="宋体"/>
          <w:color w:val="auto"/>
          <w:highlight w:val="none"/>
        </w:rPr>
        <w:t>投标人</w:t>
      </w:r>
      <w:r>
        <w:rPr>
          <w:rFonts w:hint="eastAsia" w:ascii="宋体" w:hAnsi="宋体" w:cs="宋体"/>
          <w:bCs/>
          <w:color w:val="auto"/>
          <w:kern w:val="0"/>
          <w:szCs w:val="21"/>
          <w:highlight w:val="none"/>
        </w:rPr>
        <w:t>所提供资料同时满足多个档次的，按满足的最高档次得分</w:t>
      </w:r>
      <w:r>
        <w:rPr>
          <w:rFonts w:hint="eastAsia" w:ascii="宋体" w:hAnsi="宋体" w:cs="宋体"/>
          <w:bCs/>
          <w:color w:val="auto"/>
          <w:kern w:val="0"/>
          <w:szCs w:val="21"/>
          <w:highlight w:val="none"/>
          <w:lang w:eastAsia="zh-CN"/>
        </w:rPr>
        <w:t>。</w:t>
      </w:r>
    </w:p>
    <w:p>
      <w:pPr>
        <w:spacing w:line="360" w:lineRule="auto"/>
        <w:jc w:val="center"/>
        <w:rPr>
          <w:rFonts w:ascii="宋体" w:hAnsi="宋体" w:cs="宋体"/>
          <w:b/>
          <w:color w:val="auto"/>
          <w:kern w:val="0"/>
          <w:sz w:val="32"/>
          <w:szCs w:val="32"/>
          <w:highlight w:val="none"/>
        </w:rPr>
      </w:pPr>
      <w:r>
        <w:rPr>
          <w:rFonts w:hint="eastAsia" w:ascii="宋体" w:hAnsi="宋体" w:cs="宋体"/>
          <w:color w:val="auto"/>
          <w:sz w:val="24"/>
          <w:szCs w:val="24"/>
          <w:highlight w:val="none"/>
        </w:rPr>
        <w:br w:type="page"/>
      </w:r>
      <w:r>
        <w:rPr>
          <w:rFonts w:hint="eastAsia" w:ascii="宋体" w:hAnsi="宋体" w:cs="宋体"/>
          <w:b/>
          <w:color w:val="auto"/>
          <w:kern w:val="0"/>
          <w:sz w:val="32"/>
          <w:szCs w:val="32"/>
          <w:highlight w:val="none"/>
        </w:rPr>
        <w:t>项目管理机构人员配置要求表</w:t>
      </w:r>
    </w:p>
    <w:tbl>
      <w:tblPr>
        <w:tblStyle w:val="37"/>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616"/>
        <w:gridCol w:w="1401"/>
        <w:gridCol w:w="5119"/>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blHeader/>
          <w:jc w:val="center"/>
        </w:trPr>
        <w:tc>
          <w:tcPr>
            <w:tcW w:w="473" w:type="pct"/>
            <w:noWrap/>
            <w:vAlign w:val="center"/>
          </w:tcPr>
          <w:p>
            <w:pPr>
              <w:tabs>
                <w:tab w:val="left" w:pos="4645"/>
              </w:tabs>
              <w:jc w:val="center"/>
              <w:rPr>
                <w:rFonts w:ascii="宋体" w:hAnsi="宋体" w:cs="宋体"/>
                <w:b/>
                <w:bCs/>
                <w:color w:val="auto"/>
                <w:szCs w:val="21"/>
                <w:highlight w:val="none"/>
              </w:rPr>
            </w:pPr>
            <w:r>
              <w:rPr>
                <w:rFonts w:hint="eastAsia"/>
                <w:color w:val="auto"/>
                <w:highlight w:val="none"/>
              </w:rPr>
              <w:t>序号</w:t>
            </w:r>
            <w:r>
              <w:rPr>
                <w:rFonts w:hint="eastAsia"/>
                <w:color w:val="auto"/>
                <w:highlight w:val="none"/>
              </w:rPr>
              <w:tab/>
            </w:r>
            <w:r>
              <w:rPr>
                <w:rFonts w:hint="eastAsia" w:ascii="宋体" w:hAnsi="宋体" w:cs="宋体"/>
                <w:b/>
                <w:bCs/>
                <w:color w:val="auto"/>
                <w:szCs w:val="21"/>
                <w:highlight w:val="none"/>
              </w:rPr>
              <w:t>序号</w:t>
            </w:r>
          </w:p>
        </w:tc>
        <w:tc>
          <w:tcPr>
            <w:tcW w:w="853" w:type="pct"/>
            <w:noWrap/>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类别</w:t>
            </w:r>
          </w:p>
        </w:tc>
        <w:tc>
          <w:tcPr>
            <w:tcW w:w="457" w:type="pct"/>
            <w:noWrap/>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671" w:type="pct"/>
            <w:noWrap/>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基本任职条件</w:t>
            </w:r>
          </w:p>
        </w:tc>
        <w:tc>
          <w:tcPr>
            <w:tcW w:w="1543" w:type="pct"/>
            <w:noWrap/>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ascii="宋体" w:hAnsi="宋体" w:cs="宋体"/>
                <w:color w:val="auto"/>
                <w:szCs w:val="21"/>
                <w:highlight w:val="none"/>
              </w:rPr>
            </w:pPr>
          </w:p>
        </w:tc>
        <w:tc>
          <w:tcPr>
            <w:tcW w:w="853"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457"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71" w:type="pct"/>
            <w:noWrap/>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按招标公告要求</w:t>
            </w:r>
          </w:p>
        </w:tc>
        <w:tc>
          <w:tcPr>
            <w:tcW w:w="1543" w:type="pct"/>
            <w:noWrap/>
            <w:vAlign w:val="center"/>
          </w:tcPr>
          <w:p>
            <w:pPr>
              <w:jc w:val="center"/>
              <w:rPr>
                <w:rFonts w:ascii="宋体" w:hAnsi="宋体" w:cs="宋体"/>
                <w:color w:val="auto"/>
                <w:szCs w:val="21"/>
                <w:highlight w:val="none"/>
              </w:rPr>
            </w:pPr>
            <w:r>
              <w:rPr>
                <w:rFonts w:hint="eastAsia"/>
                <w:color w:val="auto"/>
                <w:highlight w:val="none"/>
              </w:rPr>
              <w:t>须按招标公告要求提供资料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ascii="宋体" w:hAnsi="宋体" w:cs="宋体"/>
                <w:color w:val="auto"/>
                <w:szCs w:val="21"/>
                <w:highlight w:val="none"/>
              </w:rPr>
            </w:pPr>
          </w:p>
        </w:tc>
        <w:tc>
          <w:tcPr>
            <w:tcW w:w="853"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457"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71" w:type="pct"/>
            <w:noWrap/>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按招标公告要求</w:t>
            </w:r>
          </w:p>
        </w:tc>
        <w:tc>
          <w:tcPr>
            <w:tcW w:w="1543"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ascii="宋体" w:hAnsi="宋体" w:cs="宋体"/>
                <w:color w:val="auto"/>
                <w:szCs w:val="21"/>
                <w:highlight w:val="none"/>
              </w:rPr>
            </w:pPr>
          </w:p>
        </w:tc>
        <w:tc>
          <w:tcPr>
            <w:tcW w:w="853"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质量负责人</w:t>
            </w:r>
          </w:p>
        </w:tc>
        <w:tc>
          <w:tcPr>
            <w:tcW w:w="457"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71" w:type="pct"/>
            <w:noWrap/>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具有</w:t>
            </w:r>
            <w:r>
              <w:rPr>
                <w:rFonts w:hint="eastAsia" w:ascii="宋体" w:hAnsi="宋体" w:cs="宋体"/>
                <w:color w:val="auto"/>
                <w:kern w:val="0"/>
                <w:szCs w:val="21"/>
                <w:lang w:val="en-US" w:eastAsia="zh-CN"/>
              </w:rPr>
              <w:t>机电</w:t>
            </w:r>
            <w:r>
              <w:rPr>
                <w:rFonts w:hint="eastAsia" w:ascii="宋体" w:hAnsi="宋体" w:cs="宋体"/>
                <w:color w:val="auto"/>
                <w:kern w:val="0"/>
                <w:szCs w:val="21"/>
              </w:rPr>
              <w:t>工程类</w:t>
            </w:r>
            <w:r>
              <w:rPr>
                <w:rFonts w:hint="eastAsia" w:ascii="宋体" w:hAnsi="宋体" w:cs="宋体"/>
                <w:color w:val="auto"/>
                <w:szCs w:val="21"/>
                <w:highlight w:val="none"/>
              </w:rPr>
              <w:t>工程师或以上技术职称</w:t>
            </w:r>
          </w:p>
        </w:tc>
        <w:tc>
          <w:tcPr>
            <w:tcW w:w="1543"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提供质量（检）员上岗证或（培训合格证）、</w:t>
            </w:r>
            <w:r>
              <w:rPr>
                <w:rFonts w:hint="eastAsia" w:ascii="宋体" w:hAnsi="宋体" w:cs="宋体"/>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473" w:type="pct"/>
            <w:noWrap/>
            <w:vAlign w:val="center"/>
          </w:tcPr>
          <w:p>
            <w:pPr>
              <w:numPr>
                <w:ilvl w:val="0"/>
                <w:numId w:val="6"/>
              </w:numPr>
              <w:ind w:left="425" w:leftChars="0" w:hanging="425" w:firstLineChars="0"/>
              <w:jc w:val="center"/>
              <w:rPr>
                <w:rFonts w:ascii="宋体" w:hAnsi="宋体" w:cs="宋体"/>
                <w:color w:val="auto"/>
                <w:szCs w:val="21"/>
                <w:highlight w:val="none"/>
              </w:rPr>
            </w:pPr>
          </w:p>
        </w:tc>
        <w:tc>
          <w:tcPr>
            <w:tcW w:w="853"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安全负责人</w:t>
            </w:r>
          </w:p>
        </w:tc>
        <w:tc>
          <w:tcPr>
            <w:tcW w:w="457"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71" w:type="pct"/>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具有注册安全工程师证书</w:t>
            </w:r>
            <w:r>
              <w:rPr>
                <w:rFonts w:hint="eastAsia" w:ascii="宋体" w:hAnsi="宋体" w:cs="宋体"/>
                <w:color w:val="auto"/>
                <w:szCs w:val="21"/>
                <w:highlight w:val="none"/>
                <w:lang w:val="en-US" w:eastAsia="zh-CN"/>
              </w:rPr>
              <w:t>且在有效期内</w:t>
            </w:r>
          </w:p>
        </w:tc>
        <w:tc>
          <w:tcPr>
            <w:tcW w:w="1543" w:type="pct"/>
            <w:noWrap/>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rPr>
              <w:t>提供注册安全工程师执业证书、注册安全工程师查询系统（http://rmocse.chinasafety.ac.cn/Query.aspx）查询网页截图、</w:t>
            </w:r>
            <w:r>
              <w:rPr>
                <w:rFonts w:hint="eastAsia" w:ascii="宋体" w:hAnsi="宋体" w:cs="宋体"/>
                <w:color w:val="auto"/>
                <w:kern w:val="0"/>
                <w:szCs w:val="21"/>
                <w:highlight w:val="none"/>
                <w:lang w:bidi="ar"/>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ascii="宋体" w:hAnsi="宋体" w:cs="宋体"/>
                <w:color w:val="auto"/>
                <w:szCs w:val="21"/>
                <w:highlight w:val="none"/>
              </w:rPr>
            </w:pPr>
          </w:p>
        </w:tc>
        <w:tc>
          <w:tcPr>
            <w:tcW w:w="853"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造价负责人</w:t>
            </w:r>
          </w:p>
        </w:tc>
        <w:tc>
          <w:tcPr>
            <w:tcW w:w="457"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71" w:type="pct"/>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具有一级注册造价工程师</w:t>
            </w:r>
            <w:r>
              <w:rPr>
                <w:rFonts w:hint="eastAsia" w:ascii="宋体" w:hAnsi="宋体" w:cs="宋体"/>
                <w:color w:val="auto"/>
                <w:szCs w:val="21"/>
                <w:highlight w:val="none"/>
                <w:lang w:val="en-US" w:eastAsia="zh-CN"/>
              </w:rPr>
              <w:t>资格且在有效期内</w:t>
            </w:r>
          </w:p>
        </w:tc>
        <w:tc>
          <w:tcPr>
            <w:tcW w:w="1543" w:type="pct"/>
            <w:noWrap/>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提供注册造价工程师注册证书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hint="eastAsia" w:ascii="宋体" w:hAnsi="宋体" w:eastAsia="宋体" w:cs="宋体"/>
                <w:color w:val="auto"/>
                <w:kern w:val="2"/>
                <w:sz w:val="21"/>
                <w:szCs w:val="21"/>
                <w:highlight w:val="none"/>
                <w:lang w:val="en-US" w:eastAsia="zh-CN" w:bidi="ar-SA"/>
              </w:rPr>
            </w:pPr>
          </w:p>
        </w:tc>
        <w:tc>
          <w:tcPr>
            <w:tcW w:w="853" w:type="pct"/>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专职安全员</w:t>
            </w:r>
          </w:p>
        </w:tc>
        <w:tc>
          <w:tcPr>
            <w:tcW w:w="457" w:type="pct"/>
            <w:noWrap/>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671" w:type="pct"/>
            <w:noWrap/>
            <w:vAlign w:val="center"/>
          </w:tcPr>
          <w:p>
            <w:pPr>
              <w:jc w:val="center"/>
              <w:rPr>
                <w:rFonts w:hint="eastAsia" w:ascii="宋体" w:hAnsi="宋体" w:cs="宋体"/>
                <w:color w:val="auto"/>
                <w:szCs w:val="21"/>
                <w:highlight w:val="none"/>
              </w:rPr>
            </w:pPr>
            <w:r>
              <w:rPr>
                <w:rFonts w:hint="eastAsia"/>
                <w:color w:val="auto"/>
                <w:highlight w:val="none"/>
              </w:rPr>
              <w:t>按招标公告要求</w:t>
            </w:r>
          </w:p>
        </w:tc>
        <w:tc>
          <w:tcPr>
            <w:tcW w:w="1543" w:type="pct"/>
            <w:noWrap/>
            <w:vAlign w:val="center"/>
          </w:tcPr>
          <w:p>
            <w:pPr>
              <w:jc w:val="center"/>
              <w:rPr>
                <w:rFonts w:hint="eastAsia" w:ascii="宋体" w:hAnsi="宋体" w:cs="宋体"/>
                <w:color w:val="auto"/>
                <w:szCs w:val="21"/>
                <w:highlight w:val="none"/>
              </w:rPr>
            </w:pPr>
            <w:r>
              <w:rPr>
                <w:rFonts w:hint="eastAsia"/>
                <w:color w:val="auto"/>
                <w:highlight w:val="none"/>
              </w:rPr>
              <w:t>须按招标公告要求提供资料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ascii="宋体" w:hAnsi="宋体" w:eastAsia="宋体" w:cs="宋体"/>
                <w:color w:val="auto"/>
                <w:kern w:val="2"/>
                <w:sz w:val="21"/>
                <w:szCs w:val="21"/>
                <w:highlight w:val="none"/>
                <w:lang w:val="en-US" w:eastAsia="zh-CN" w:bidi="ar-SA"/>
              </w:rPr>
            </w:pPr>
          </w:p>
        </w:tc>
        <w:tc>
          <w:tcPr>
            <w:tcW w:w="853"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电气类</w:t>
            </w:r>
            <w:r>
              <w:rPr>
                <w:rFonts w:hint="eastAsia" w:ascii="宋体" w:hAnsi="宋体" w:cs="宋体"/>
                <w:color w:val="auto"/>
                <w:szCs w:val="21"/>
                <w:highlight w:val="none"/>
              </w:rPr>
              <w:t>专业</w:t>
            </w:r>
          </w:p>
          <w:p>
            <w:pPr>
              <w:jc w:val="center"/>
              <w:rPr>
                <w:rFonts w:ascii="宋体" w:hAnsi="宋体" w:cs="宋体"/>
                <w:color w:val="auto"/>
                <w:szCs w:val="21"/>
                <w:highlight w:val="none"/>
              </w:rPr>
            </w:pPr>
            <w:r>
              <w:rPr>
                <w:rFonts w:hint="eastAsia" w:ascii="宋体" w:hAnsi="宋体" w:cs="宋体"/>
                <w:color w:val="auto"/>
                <w:szCs w:val="21"/>
                <w:highlight w:val="none"/>
              </w:rPr>
              <w:t>负责人</w:t>
            </w:r>
          </w:p>
        </w:tc>
        <w:tc>
          <w:tcPr>
            <w:tcW w:w="457"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71" w:type="pct"/>
            <w:noWrap/>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具有</w:t>
            </w:r>
            <w:r>
              <w:rPr>
                <w:rFonts w:hint="eastAsia" w:ascii="宋体" w:hAnsi="宋体" w:cs="宋体"/>
                <w:color w:val="auto"/>
                <w:szCs w:val="21"/>
                <w:highlight w:val="none"/>
                <w:lang w:val="en-US" w:eastAsia="zh-CN"/>
              </w:rPr>
              <w:t>电气类</w:t>
            </w:r>
            <w:r>
              <w:rPr>
                <w:rFonts w:hint="eastAsia" w:ascii="宋体" w:hAnsi="宋体" w:cs="宋体"/>
                <w:color w:val="auto"/>
                <w:szCs w:val="21"/>
                <w:highlight w:val="none"/>
              </w:rPr>
              <w:t>工程专业工程师或以上技术职称</w:t>
            </w:r>
          </w:p>
        </w:tc>
        <w:tc>
          <w:tcPr>
            <w:tcW w:w="1543"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ascii="宋体" w:hAnsi="宋体" w:cs="宋体"/>
                <w:color w:val="auto"/>
                <w:szCs w:val="21"/>
                <w:highlight w:val="none"/>
              </w:rPr>
            </w:pPr>
          </w:p>
        </w:tc>
        <w:tc>
          <w:tcPr>
            <w:tcW w:w="853" w:type="pct"/>
            <w:noWrap/>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rPr>
              <w:t>暖通</w:t>
            </w:r>
            <w:r>
              <w:rPr>
                <w:rFonts w:hint="eastAsia" w:ascii="宋体" w:hAnsi="宋体" w:cs="宋体"/>
                <w:color w:val="auto"/>
                <w:szCs w:val="21"/>
                <w:lang w:eastAsia="zh-CN"/>
              </w:rPr>
              <w:t>类专业负责人</w:t>
            </w:r>
          </w:p>
        </w:tc>
        <w:tc>
          <w:tcPr>
            <w:tcW w:w="457" w:type="pct"/>
            <w:noWrap/>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671" w:type="pct"/>
            <w:noWrap/>
            <w:vAlign w:val="center"/>
          </w:tcPr>
          <w:p>
            <w:pPr>
              <w:jc w:val="center"/>
              <w:rPr>
                <w:rFonts w:hint="eastAsia"/>
                <w:color w:val="auto"/>
                <w:highlight w:val="none"/>
              </w:rPr>
            </w:pPr>
            <w:r>
              <w:rPr>
                <w:rFonts w:hint="eastAsia" w:ascii="宋体" w:hAnsi="宋体" w:cs="宋体"/>
                <w:color w:val="auto"/>
                <w:szCs w:val="21"/>
                <w:highlight w:val="none"/>
              </w:rPr>
              <w:t>具有</w:t>
            </w:r>
            <w:r>
              <w:rPr>
                <w:rFonts w:hint="eastAsia" w:ascii="宋体" w:hAnsi="宋体" w:cs="宋体"/>
                <w:color w:val="auto"/>
                <w:szCs w:val="21"/>
              </w:rPr>
              <w:t>暖通</w:t>
            </w:r>
            <w:r>
              <w:rPr>
                <w:rFonts w:hint="eastAsia" w:ascii="宋体" w:hAnsi="宋体" w:cs="宋体"/>
                <w:color w:val="auto"/>
                <w:szCs w:val="21"/>
                <w:highlight w:val="none"/>
                <w:lang w:val="en-US" w:eastAsia="zh-CN"/>
              </w:rPr>
              <w:t>类</w:t>
            </w:r>
            <w:r>
              <w:rPr>
                <w:rFonts w:hint="eastAsia" w:ascii="宋体" w:hAnsi="宋体" w:cs="宋体"/>
                <w:color w:val="auto"/>
                <w:szCs w:val="21"/>
                <w:highlight w:val="none"/>
              </w:rPr>
              <w:t>工程专业工程师或以上技术职称</w:t>
            </w:r>
          </w:p>
        </w:tc>
        <w:tc>
          <w:tcPr>
            <w:tcW w:w="1543" w:type="pct"/>
            <w:noWrap/>
            <w:vAlign w:val="center"/>
          </w:tcPr>
          <w:p>
            <w:pPr>
              <w:jc w:val="center"/>
              <w:rPr>
                <w:rFonts w:hint="eastAsia"/>
                <w:color w:val="auto"/>
                <w:highlight w:val="none"/>
              </w:rPr>
            </w:pP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ascii="宋体" w:hAnsi="宋体" w:cs="宋体"/>
                <w:color w:val="auto"/>
                <w:szCs w:val="21"/>
                <w:highlight w:val="none"/>
              </w:rPr>
            </w:pPr>
          </w:p>
        </w:tc>
        <w:tc>
          <w:tcPr>
            <w:tcW w:w="853" w:type="pct"/>
            <w:noWrap/>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rPr>
              <w:t>给排水</w:t>
            </w:r>
            <w:r>
              <w:rPr>
                <w:rFonts w:hint="eastAsia" w:ascii="宋体" w:hAnsi="宋体" w:cs="宋体"/>
                <w:color w:val="auto"/>
                <w:szCs w:val="21"/>
                <w:lang w:eastAsia="zh-CN"/>
              </w:rPr>
              <w:t>类专业负责人</w:t>
            </w:r>
          </w:p>
        </w:tc>
        <w:tc>
          <w:tcPr>
            <w:tcW w:w="457" w:type="pct"/>
            <w:noWrap/>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671" w:type="pct"/>
            <w:noWrap/>
            <w:vAlign w:val="center"/>
          </w:tcPr>
          <w:p>
            <w:pPr>
              <w:jc w:val="center"/>
              <w:rPr>
                <w:rFonts w:hint="eastAsia"/>
                <w:color w:val="auto"/>
                <w:highlight w:val="none"/>
              </w:rPr>
            </w:pPr>
            <w:r>
              <w:rPr>
                <w:rFonts w:hint="eastAsia" w:ascii="宋体" w:hAnsi="宋体" w:cs="宋体"/>
                <w:color w:val="auto"/>
                <w:szCs w:val="21"/>
                <w:highlight w:val="none"/>
              </w:rPr>
              <w:t>具有</w:t>
            </w:r>
            <w:r>
              <w:rPr>
                <w:rFonts w:hint="eastAsia" w:ascii="宋体" w:hAnsi="宋体" w:cs="宋体"/>
                <w:color w:val="auto"/>
                <w:szCs w:val="21"/>
              </w:rPr>
              <w:t>给排水</w:t>
            </w:r>
            <w:r>
              <w:rPr>
                <w:rFonts w:hint="eastAsia" w:ascii="宋体" w:hAnsi="宋体" w:cs="宋体"/>
                <w:color w:val="auto"/>
                <w:szCs w:val="21"/>
                <w:highlight w:val="none"/>
                <w:lang w:val="en-US" w:eastAsia="zh-CN"/>
              </w:rPr>
              <w:t>类</w:t>
            </w:r>
            <w:r>
              <w:rPr>
                <w:rFonts w:hint="eastAsia" w:ascii="宋体" w:hAnsi="宋体" w:cs="宋体"/>
                <w:color w:val="auto"/>
                <w:szCs w:val="21"/>
                <w:highlight w:val="none"/>
              </w:rPr>
              <w:t>工程专业工程师或以上技术职称</w:t>
            </w:r>
          </w:p>
        </w:tc>
        <w:tc>
          <w:tcPr>
            <w:tcW w:w="1543" w:type="pct"/>
            <w:noWrap/>
            <w:vAlign w:val="center"/>
          </w:tcPr>
          <w:p>
            <w:pPr>
              <w:jc w:val="center"/>
              <w:rPr>
                <w:rFonts w:hint="eastAsia"/>
                <w:color w:val="auto"/>
                <w:highlight w:val="none"/>
              </w:rPr>
            </w:pP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ascii="宋体" w:hAnsi="宋体" w:eastAsia="宋体" w:cs="宋体"/>
                <w:color w:val="auto"/>
                <w:kern w:val="2"/>
                <w:sz w:val="21"/>
                <w:szCs w:val="21"/>
                <w:highlight w:val="none"/>
                <w:lang w:val="en-US" w:eastAsia="zh-CN" w:bidi="ar-SA"/>
              </w:rPr>
            </w:pPr>
          </w:p>
        </w:tc>
        <w:tc>
          <w:tcPr>
            <w:tcW w:w="853"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档案员</w:t>
            </w:r>
          </w:p>
        </w:tc>
        <w:tc>
          <w:tcPr>
            <w:tcW w:w="457"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71" w:type="pct"/>
            <w:noWrap/>
            <w:vAlign w:val="center"/>
          </w:tcPr>
          <w:p>
            <w:pPr>
              <w:jc w:val="center"/>
              <w:rPr>
                <w:rFonts w:hint="eastAsia" w:ascii="宋体" w:hAnsi="宋体" w:eastAsia="宋体" w:cs="宋体"/>
                <w:color w:val="auto"/>
                <w:szCs w:val="21"/>
                <w:highlight w:val="none"/>
                <w:lang w:eastAsia="zh-CN"/>
              </w:rPr>
            </w:pPr>
            <w:r>
              <w:rPr>
                <w:rFonts w:hint="eastAsia"/>
                <w:color w:val="auto"/>
                <w:highlight w:val="none"/>
              </w:rPr>
              <w:t>具有</w:t>
            </w:r>
            <w:r>
              <w:rPr>
                <w:rFonts w:hint="eastAsia"/>
                <w:color w:val="auto"/>
                <w:highlight w:val="none"/>
                <w:lang w:eastAsia="zh-CN"/>
              </w:rPr>
              <w:t>档案</w:t>
            </w:r>
            <w:r>
              <w:rPr>
                <w:rFonts w:hint="eastAsia"/>
                <w:color w:val="auto"/>
                <w:highlight w:val="none"/>
              </w:rPr>
              <w:t>员的</w:t>
            </w:r>
            <w:r>
              <w:rPr>
                <w:rFonts w:hint="eastAsia" w:ascii="宋体" w:hAnsi="宋体" w:cs="宋体"/>
                <w:color w:val="auto"/>
                <w:kern w:val="0"/>
                <w:szCs w:val="21"/>
                <w:highlight w:val="none"/>
                <w:lang w:bidi="ar"/>
              </w:rPr>
              <w:t>上岗证（或培训合格证）</w:t>
            </w:r>
          </w:p>
        </w:tc>
        <w:tc>
          <w:tcPr>
            <w:tcW w:w="1543" w:type="pct"/>
            <w:noWrap/>
            <w:vAlign w:val="center"/>
          </w:tcPr>
          <w:p>
            <w:pPr>
              <w:jc w:val="center"/>
              <w:rPr>
                <w:rFonts w:ascii="宋体" w:hAnsi="宋体" w:cs="宋体"/>
                <w:color w:val="auto"/>
                <w:szCs w:val="21"/>
                <w:highlight w:val="none"/>
              </w:rPr>
            </w:pPr>
            <w:r>
              <w:rPr>
                <w:rFonts w:hint="eastAsia"/>
                <w:color w:val="auto"/>
                <w:highlight w:val="none"/>
              </w:rPr>
              <w:t>提供</w:t>
            </w:r>
            <w:r>
              <w:rPr>
                <w:rFonts w:hint="eastAsia"/>
                <w:color w:val="auto"/>
                <w:highlight w:val="none"/>
                <w:lang w:eastAsia="zh-CN"/>
              </w:rPr>
              <w:t>档案</w:t>
            </w:r>
            <w:r>
              <w:rPr>
                <w:rFonts w:hint="eastAsia"/>
                <w:color w:val="auto"/>
                <w:highlight w:val="none"/>
              </w:rPr>
              <w:t>员的</w:t>
            </w:r>
            <w:r>
              <w:rPr>
                <w:rFonts w:hint="eastAsia" w:ascii="宋体" w:hAnsi="宋体" w:cs="宋体"/>
                <w:color w:val="auto"/>
                <w:kern w:val="0"/>
                <w:szCs w:val="21"/>
                <w:highlight w:val="none"/>
                <w:lang w:bidi="ar"/>
              </w:rPr>
              <w:t>上岗证（或培训合格证）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hint="eastAsia" w:ascii="宋体" w:hAnsi="宋体" w:eastAsia="宋体" w:cs="宋体"/>
                <w:color w:val="auto"/>
                <w:kern w:val="2"/>
                <w:sz w:val="21"/>
                <w:szCs w:val="21"/>
                <w:highlight w:val="none"/>
                <w:lang w:val="en-US" w:eastAsia="zh-CN" w:bidi="ar-SA"/>
              </w:rPr>
            </w:pPr>
          </w:p>
        </w:tc>
        <w:tc>
          <w:tcPr>
            <w:tcW w:w="853" w:type="pct"/>
            <w:noWrap/>
            <w:vAlign w:val="center"/>
          </w:tcPr>
          <w:p>
            <w:pPr>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施工员</w:t>
            </w:r>
          </w:p>
        </w:tc>
        <w:tc>
          <w:tcPr>
            <w:tcW w:w="457" w:type="pct"/>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71" w:type="pct"/>
            <w:noWrap/>
            <w:vAlign w:val="center"/>
          </w:tcPr>
          <w:p>
            <w:pPr>
              <w:spacing w:line="276" w:lineRule="auto"/>
              <w:jc w:val="center"/>
              <w:rPr>
                <w:rFonts w:ascii="宋体" w:hAnsi="宋体" w:cs="宋体"/>
                <w:color w:val="auto"/>
                <w:szCs w:val="21"/>
                <w:highlight w:val="none"/>
              </w:rPr>
            </w:pPr>
            <w:r>
              <w:rPr>
                <w:rFonts w:hint="eastAsia"/>
                <w:color w:val="auto"/>
                <w:highlight w:val="none"/>
              </w:rPr>
              <w:t>具有施工员的</w:t>
            </w:r>
            <w:r>
              <w:rPr>
                <w:rFonts w:hint="eastAsia" w:ascii="宋体" w:hAnsi="宋体" w:cs="宋体"/>
                <w:color w:val="auto"/>
                <w:kern w:val="0"/>
                <w:szCs w:val="21"/>
                <w:highlight w:val="none"/>
                <w:lang w:bidi="ar"/>
              </w:rPr>
              <w:t>上岗证（或培训合格证）</w:t>
            </w:r>
          </w:p>
        </w:tc>
        <w:tc>
          <w:tcPr>
            <w:tcW w:w="1543" w:type="pct"/>
            <w:noWrap/>
            <w:vAlign w:val="center"/>
          </w:tcPr>
          <w:p>
            <w:pPr>
              <w:spacing w:line="276" w:lineRule="auto"/>
              <w:jc w:val="center"/>
              <w:rPr>
                <w:rFonts w:ascii="宋体" w:hAnsi="宋体" w:cs="宋体"/>
                <w:color w:val="auto"/>
                <w:szCs w:val="21"/>
                <w:highlight w:val="none"/>
              </w:rPr>
            </w:pPr>
            <w:r>
              <w:rPr>
                <w:rFonts w:hint="eastAsia"/>
                <w:color w:val="auto"/>
                <w:highlight w:val="none"/>
              </w:rPr>
              <w:t>提供施工员的</w:t>
            </w:r>
            <w:r>
              <w:rPr>
                <w:rFonts w:hint="eastAsia" w:ascii="宋体" w:hAnsi="宋体" w:cs="宋体"/>
                <w:color w:val="auto"/>
                <w:kern w:val="0"/>
                <w:szCs w:val="21"/>
                <w:highlight w:val="none"/>
                <w:lang w:bidi="ar"/>
              </w:rPr>
              <w:t>上岗证（或培训合格证）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3" w:type="pct"/>
            <w:noWrap/>
            <w:vAlign w:val="center"/>
          </w:tcPr>
          <w:p>
            <w:pPr>
              <w:numPr>
                <w:ilvl w:val="0"/>
                <w:numId w:val="6"/>
              </w:numPr>
              <w:ind w:left="425" w:leftChars="0" w:hanging="425" w:firstLineChars="0"/>
              <w:jc w:val="center"/>
              <w:rPr>
                <w:rFonts w:hint="default" w:ascii="宋体" w:hAnsi="宋体" w:eastAsia="宋体" w:cs="宋体"/>
                <w:color w:val="auto"/>
                <w:kern w:val="2"/>
                <w:sz w:val="21"/>
                <w:szCs w:val="21"/>
                <w:highlight w:val="none"/>
                <w:lang w:val="en-US" w:eastAsia="zh-CN" w:bidi="ar-SA"/>
              </w:rPr>
            </w:pPr>
          </w:p>
        </w:tc>
        <w:tc>
          <w:tcPr>
            <w:tcW w:w="853" w:type="pct"/>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质量员</w:t>
            </w:r>
          </w:p>
        </w:tc>
        <w:tc>
          <w:tcPr>
            <w:tcW w:w="457" w:type="pct"/>
            <w:noWrap/>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671" w:type="pct"/>
            <w:noWrap/>
            <w:vAlign w:val="center"/>
          </w:tcPr>
          <w:p>
            <w:pPr>
              <w:spacing w:line="276" w:lineRule="auto"/>
              <w:jc w:val="center"/>
              <w:rPr>
                <w:rFonts w:hint="eastAsia" w:ascii="宋体" w:hAnsi="宋体" w:cs="宋体"/>
                <w:color w:val="auto"/>
                <w:szCs w:val="21"/>
                <w:highlight w:val="none"/>
              </w:rPr>
            </w:pPr>
            <w:r>
              <w:rPr>
                <w:rFonts w:hint="eastAsia"/>
                <w:color w:val="auto"/>
                <w:highlight w:val="none"/>
              </w:rPr>
              <w:t>具有质量</w:t>
            </w:r>
            <w:r>
              <w:rPr>
                <w:rFonts w:hint="eastAsia" w:ascii="宋体" w:hAnsi="宋体" w:cs="宋体"/>
                <w:color w:val="auto"/>
                <w:szCs w:val="21"/>
                <w:highlight w:val="none"/>
                <w:lang w:bidi="ar"/>
              </w:rPr>
              <w:t>（检）</w:t>
            </w:r>
            <w:r>
              <w:rPr>
                <w:rFonts w:hint="eastAsia"/>
                <w:color w:val="auto"/>
                <w:highlight w:val="none"/>
              </w:rPr>
              <w:t>员的</w:t>
            </w:r>
            <w:r>
              <w:rPr>
                <w:rFonts w:hint="eastAsia" w:ascii="宋体" w:hAnsi="宋体" w:cs="宋体"/>
                <w:color w:val="auto"/>
                <w:kern w:val="0"/>
                <w:szCs w:val="21"/>
                <w:highlight w:val="none"/>
                <w:lang w:bidi="ar"/>
              </w:rPr>
              <w:t>上岗证（或培训合格证）</w:t>
            </w:r>
          </w:p>
        </w:tc>
        <w:tc>
          <w:tcPr>
            <w:tcW w:w="1543" w:type="pct"/>
            <w:noWrap/>
            <w:vAlign w:val="center"/>
          </w:tcPr>
          <w:p>
            <w:pPr>
              <w:spacing w:line="276" w:lineRule="auto"/>
              <w:jc w:val="center"/>
              <w:rPr>
                <w:rFonts w:hint="eastAsia" w:ascii="宋体" w:hAnsi="宋体" w:cs="宋体"/>
                <w:color w:val="auto"/>
                <w:szCs w:val="21"/>
                <w:highlight w:val="none"/>
              </w:rPr>
            </w:pPr>
            <w:r>
              <w:rPr>
                <w:rFonts w:hint="eastAsia"/>
                <w:color w:val="auto"/>
                <w:highlight w:val="none"/>
              </w:rPr>
              <w:t>提供</w:t>
            </w:r>
            <w:r>
              <w:rPr>
                <w:rFonts w:hint="eastAsia" w:ascii="宋体" w:hAnsi="宋体" w:cs="宋体"/>
                <w:color w:val="auto"/>
                <w:szCs w:val="21"/>
                <w:highlight w:val="none"/>
                <w:lang w:bidi="ar"/>
              </w:rPr>
              <w:t>质量（检）员的</w:t>
            </w:r>
            <w:r>
              <w:rPr>
                <w:rFonts w:hint="eastAsia" w:ascii="宋体" w:hAnsi="宋体" w:cs="宋体"/>
                <w:color w:val="auto"/>
                <w:kern w:val="0"/>
                <w:szCs w:val="21"/>
                <w:highlight w:val="none"/>
                <w:lang w:bidi="ar"/>
              </w:rPr>
              <w:t>上岗证（或培训合格证）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73" w:type="pct"/>
            <w:noWrap/>
            <w:vAlign w:val="center"/>
          </w:tcPr>
          <w:p>
            <w:pPr>
              <w:numPr>
                <w:ilvl w:val="0"/>
                <w:numId w:val="6"/>
              </w:numPr>
              <w:ind w:left="425" w:leftChars="0" w:hanging="425" w:firstLineChars="0"/>
              <w:jc w:val="center"/>
              <w:rPr>
                <w:rFonts w:hint="default" w:ascii="宋体" w:hAnsi="宋体" w:eastAsia="宋体" w:cs="宋体"/>
                <w:color w:val="auto"/>
                <w:szCs w:val="21"/>
                <w:highlight w:val="none"/>
                <w:lang w:val="en-US" w:eastAsia="zh-CN"/>
              </w:rPr>
            </w:pPr>
          </w:p>
        </w:tc>
        <w:tc>
          <w:tcPr>
            <w:tcW w:w="853" w:type="pct"/>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资料员</w:t>
            </w:r>
          </w:p>
        </w:tc>
        <w:tc>
          <w:tcPr>
            <w:tcW w:w="457" w:type="pct"/>
            <w:noWrap/>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671" w:type="pct"/>
            <w:noWrap/>
            <w:vAlign w:val="center"/>
          </w:tcPr>
          <w:p>
            <w:pPr>
              <w:spacing w:line="276" w:lineRule="auto"/>
              <w:jc w:val="center"/>
              <w:rPr>
                <w:rFonts w:hint="eastAsia" w:ascii="宋体" w:hAnsi="宋体" w:cs="宋体"/>
                <w:color w:val="auto"/>
                <w:szCs w:val="21"/>
                <w:highlight w:val="none"/>
              </w:rPr>
            </w:pPr>
            <w:r>
              <w:rPr>
                <w:rFonts w:hint="eastAsia"/>
                <w:color w:val="auto"/>
                <w:highlight w:val="none"/>
              </w:rPr>
              <w:t>具有资料员的</w:t>
            </w:r>
            <w:r>
              <w:rPr>
                <w:rFonts w:hint="eastAsia" w:ascii="宋体" w:hAnsi="宋体" w:cs="宋体"/>
                <w:color w:val="auto"/>
                <w:kern w:val="0"/>
                <w:szCs w:val="21"/>
                <w:highlight w:val="none"/>
                <w:lang w:bidi="ar"/>
              </w:rPr>
              <w:t>上岗证（或培训合格证）</w:t>
            </w:r>
          </w:p>
        </w:tc>
        <w:tc>
          <w:tcPr>
            <w:tcW w:w="1543" w:type="pct"/>
            <w:noWrap/>
            <w:vAlign w:val="center"/>
          </w:tcPr>
          <w:p>
            <w:pPr>
              <w:spacing w:line="276" w:lineRule="auto"/>
              <w:jc w:val="center"/>
              <w:rPr>
                <w:rFonts w:hint="eastAsia" w:ascii="宋体" w:hAnsi="宋体" w:cs="宋体"/>
                <w:color w:val="auto"/>
                <w:szCs w:val="21"/>
                <w:highlight w:val="none"/>
              </w:rPr>
            </w:pPr>
            <w:r>
              <w:rPr>
                <w:rFonts w:hint="eastAsia"/>
                <w:color w:val="auto"/>
                <w:highlight w:val="none"/>
              </w:rPr>
              <w:t>提供资料员的</w:t>
            </w:r>
            <w:r>
              <w:rPr>
                <w:rFonts w:hint="eastAsia" w:ascii="宋体" w:hAnsi="宋体" w:cs="宋体"/>
                <w:color w:val="auto"/>
                <w:kern w:val="0"/>
                <w:szCs w:val="21"/>
                <w:highlight w:val="none"/>
                <w:lang w:bidi="ar"/>
              </w:rPr>
              <w:t>上岗证（或培训合格证）</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Cs/>
          <w:color w:val="auto"/>
          <w:kern w:val="0"/>
          <w:highlight w:val="none"/>
        </w:rPr>
      </w:pPr>
      <w:r>
        <w:rPr>
          <w:rFonts w:hint="eastAsia" w:ascii="宋体" w:hAnsi="宋体" w:cs="宋体"/>
          <w:b/>
          <w:bCs/>
          <w:color w:val="auto"/>
          <w:szCs w:val="21"/>
          <w:highlight w:val="none"/>
        </w:rPr>
        <w:t>注：</w:t>
      </w:r>
      <w:r>
        <w:rPr>
          <w:rFonts w:hint="eastAsia" w:ascii="宋体" w:hAnsi="宋体"/>
          <w:bCs/>
          <w:color w:val="auto"/>
          <w:kern w:val="0"/>
          <w:highlight w:val="none"/>
        </w:rPr>
        <w:t>（1）各岗位人员不得相互兼职，否则兼任岗位均不参与计分。项目管理机构主要人员须按评审内容提供相应的证书彩色扫描件；职称证书以地市级以上人社部门核发为准，若非人社部门核发的职称证书，投标人应同时提供地市级以上人社部门委托核发机构开展职称评审工作的证明文件或其他可由该机构核发的政策文件依据，或在人社部门专业技术人才职称管理系统登记的信息记录网页截图，否则，对该职称证书不予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kern w:val="0"/>
          <w:highlight w:val="none"/>
        </w:rPr>
      </w:pPr>
      <w:r>
        <w:rPr>
          <w:rFonts w:hint="eastAsia" w:ascii="宋体" w:hAnsi="宋体"/>
          <w:bCs/>
          <w:color w:val="auto"/>
          <w:kern w:val="0"/>
          <w:highlight w:val="none"/>
        </w:rPr>
        <w:t>（2）按照《造价工程师职业资格制度规定》的规定，根据原人事部、原建设部发布的《造价工程师执业资格制度暂行规定》（人发〔1996〕77号）取得的造价工程师执业资格，并经注册且在有效期内的，等同于一级注册造价工程师。</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Times New Roman"/>
          <w:bCs/>
          <w:color w:val="auto"/>
          <w:kern w:val="0"/>
          <w:sz w:val="21"/>
          <w:szCs w:val="22"/>
          <w:highlight w:val="none"/>
          <w:lang w:val="en-US" w:eastAsia="zh-CN" w:bidi="ar-SA"/>
        </w:rPr>
      </w:pPr>
      <w:r>
        <w:rPr>
          <w:rFonts w:hint="eastAsia" w:ascii="宋体" w:hAnsi="宋体" w:eastAsia="宋体" w:cs="Times New Roman"/>
          <w:bCs/>
          <w:color w:val="auto"/>
          <w:kern w:val="0"/>
          <w:sz w:val="21"/>
          <w:szCs w:val="22"/>
          <w:highlight w:val="none"/>
          <w:lang w:val="en-US" w:eastAsia="zh-CN" w:bidi="ar-SA"/>
        </w:rPr>
        <w:t>（3）上述人员须提供近一个月（</w:t>
      </w:r>
      <w:r>
        <w:rPr>
          <w:rFonts w:hint="eastAsia" w:ascii="宋体" w:hAnsi="宋体" w:cs="宋体"/>
          <w:color w:val="auto"/>
          <w:szCs w:val="21"/>
          <w:highlight w:val="none"/>
          <w:u w:val="single"/>
        </w:rPr>
        <w:t>本项目招标公告发布第一天所在月的前一个月</w:t>
      </w:r>
      <w:r>
        <w:rPr>
          <w:rFonts w:hint="eastAsia" w:ascii="宋体" w:hAnsi="宋体" w:eastAsia="宋体" w:cs="Times New Roman"/>
          <w:bCs/>
          <w:color w:val="auto"/>
          <w:kern w:val="0"/>
          <w:sz w:val="21"/>
          <w:szCs w:val="22"/>
          <w:highlight w:val="none"/>
          <w:lang w:val="en-US" w:eastAsia="zh-CN" w:bidi="ar-SA"/>
        </w:rPr>
        <w:t>）在投标单位(不含投标人的子母公司)参保的社保缴纳记录证明扫描件并加盖投标人企业电子印章。社保缴纳期限包含疫情期的，若当地政府部门允许企业在疫情期间缓缴社会保险费且投标人未缴纳的，投标人可提供当地政府部门允许缓缴社保的相关文件作为缴纳社保的证明。中标后需提供投标文件中人员的社保补缴情况相关证明报招标人核实（若发现弄虚作假的，则将其行为纳入不诚信名单，招标人保留上报给行政主管部门的权利）。</w:t>
      </w:r>
    </w:p>
    <w:p>
      <w:pPr>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pStyle w:val="211"/>
        <w:rPr>
          <w:rFonts w:ascii="宋体" w:hAnsi="宋体" w:cs="宋体"/>
          <w:color w:val="auto"/>
          <w:sz w:val="24"/>
          <w:szCs w:val="24"/>
          <w:highlight w:val="none"/>
        </w:rPr>
      </w:pPr>
    </w:p>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7"/>
        <w:rPr>
          <w:rFonts w:ascii="宋体" w:hAnsi="宋体" w:cs="宋体"/>
          <w:b/>
          <w:color w:val="auto"/>
          <w:sz w:val="24"/>
          <w:szCs w:val="24"/>
          <w:highlight w:val="none"/>
        </w:rPr>
      </w:pPr>
      <w:r>
        <w:rPr>
          <w:rFonts w:hint="eastAsia" w:ascii="宋体" w:hAnsi="宋体" w:cs="宋体"/>
          <w:b/>
          <w:color w:val="auto"/>
          <w:sz w:val="24"/>
          <w:szCs w:val="24"/>
          <w:highlight w:val="none"/>
        </w:rPr>
        <w:t>附表五（适用于加权平均法）</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经济标评分表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1025"/>
        <w:gridCol w:w="12"/>
        <w:gridCol w:w="1051"/>
        <w:gridCol w:w="1050"/>
        <w:gridCol w:w="1050"/>
        <w:gridCol w:w="1050"/>
        <w:gridCol w:w="1050"/>
        <w:gridCol w:w="1050"/>
        <w:gridCol w:w="1050"/>
        <w:gridCol w:w="1050"/>
        <w:gridCol w:w="1050"/>
        <w:gridCol w:w="105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投标人名称</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报价权重</w:t>
            </w:r>
          </w:p>
        </w:tc>
        <w:tc>
          <w:tcPr>
            <w:tcW w:w="102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评标参考价PC（元）</w:t>
            </w:r>
          </w:p>
        </w:tc>
        <w:tc>
          <w:tcPr>
            <w:tcW w:w="12586"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得分排名次序</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rPr>
          <w:rFonts w:ascii="宋体" w:hAnsi="宋体" w:cs="宋体"/>
          <w:color w:val="auto"/>
          <w:szCs w:val="21"/>
          <w:highlight w:val="none"/>
        </w:rPr>
      </w:pPr>
    </w:p>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7"/>
        <w:rPr>
          <w:rFonts w:ascii="宋体" w:hAnsi="宋体" w:cs="宋体"/>
          <w:b/>
          <w:color w:val="auto"/>
          <w:sz w:val="24"/>
          <w:szCs w:val="24"/>
          <w:highlight w:val="none"/>
        </w:rPr>
      </w:pPr>
      <w:r>
        <w:rPr>
          <w:rFonts w:hint="eastAsia" w:ascii="宋体" w:hAnsi="宋体" w:cs="宋体"/>
          <w:b/>
          <w:color w:val="auto"/>
          <w:sz w:val="24"/>
          <w:szCs w:val="24"/>
          <w:highlight w:val="none"/>
        </w:rPr>
        <w:t>附表六</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算术复核表</w:t>
      </w:r>
    </w:p>
    <w:p>
      <w:pPr>
        <w:rPr>
          <w:rFonts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37"/>
        <w:tblW w:w="13853" w:type="dxa"/>
        <w:jc w:val="center"/>
        <w:tblLayout w:type="fixed"/>
        <w:tblCellMar>
          <w:top w:w="0" w:type="dxa"/>
          <w:left w:w="108" w:type="dxa"/>
          <w:bottom w:w="0" w:type="dxa"/>
          <w:right w:w="108" w:type="dxa"/>
        </w:tblCellMar>
      </w:tblPr>
      <w:tblGrid>
        <w:gridCol w:w="992"/>
        <w:gridCol w:w="3174"/>
        <w:gridCol w:w="1602"/>
        <w:gridCol w:w="1575"/>
        <w:gridCol w:w="1575"/>
        <w:gridCol w:w="1470"/>
        <w:gridCol w:w="3465"/>
      </w:tblGrid>
      <w:tr>
        <w:tblPrEx>
          <w:tblCellMar>
            <w:top w:w="0" w:type="dxa"/>
            <w:left w:w="108" w:type="dxa"/>
            <w:bottom w:w="0" w:type="dxa"/>
            <w:right w:w="108" w:type="dxa"/>
          </w:tblCellMar>
        </w:tblPrEx>
        <w:trPr>
          <w:trHeight w:val="70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3174"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修正前投标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修正后投标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修正率</w:t>
            </w:r>
          </w:p>
          <w:p>
            <w:pPr>
              <w:rPr>
                <w:rFonts w:ascii="宋体" w:hAnsi="宋体" w:cs="宋体"/>
                <w:color w:val="auto"/>
                <w:kern w:val="0"/>
                <w:szCs w:val="21"/>
                <w:highlight w:val="none"/>
              </w:rPr>
            </w:pP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tblPrEx>
          <w:tblCellMar>
            <w:top w:w="0" w:type="dxa"/>
            <w:left w:w="108" w:type="dxa"/>
            <w:bottom w:w="0" w:type="dxa"/>
            <w:right w:w="108" w:type="dxa"/>
          </w:tblCellMar>
        </w:tblPrEx>
        <w:trPr>
          <w:trHeight w:val="600" w:hRule="atLeast"/>
          <w:jc w:val="center"/>
        </w:trPr>
        <w:tc>
          <w:tcPr>
            <w:tcW w:w="992"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74"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992"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174"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992"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174"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992"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174"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992"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174"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992"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3174"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992"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174"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pPr>
        <w:rPr>
          <w:rFonts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pPr>
        <w:rPr>
          <w:rFonts w:ascii="宋体" w:hAnsi="宋体" w:cs="宋体"/>
          <w:color w:val="auto"/>
          <w:szCs w:val="21"/>
          <w:highlight w:val="none"/>
        </w:rPr>
      </w:pPr>
    </w:p>
    <w:p>
      <w:pPr>
        <w:pStyle w:val="211"/>
        <w:rPr>
          <w:rFonts w:ascii="宋体" w:hAnsi="宋体" w:cs="宋体"/>
          <w:color w:val="auto"/>
          <w:szCs w:val="21"/>
          <w:highlight w:val="none"/>
        </w:rPr>
      </w:pPr>
    </w:p>
    <w:p>
      <w:pPr>
        <w:pStyle w:val="211"/>
        <w:rPr>
          <w:rFonts w:ascii="宋体" w:hAnsi="宋体" w:cs="宋体"/>
          <w:color w:val="auto"/>
          <w:szCs w:val="21"/>
          <w:highlight w:val="none"/>
        </w:rPr>
      </w:pPr>
    </w:p>
    <w:p>
      <w:pPr>
        <w:spacing w:line="360" w:lineRule="auto"/>
        <w:jc w:val="center"/>
        <w:rPr>
          <w:rFonts w:ascii="宋体" w:hAnsi="宋体" w:cs="宋体"/>
          <w:b/>
          <w:color w:val="auto"/>
          <w:sz w:val="24"/>
          <w:szCs w:val="24"/>
          <w:highlight w:val="none"/>
        </w:rPr>
      </w:pPr>
    </w:p>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算术复核表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编号</w:t>
            </w:r>
          </w:p>
        </w:tc>
        <w:tc>
          <w:tcPr>
            <w:tcW w:w="4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原投标报价（A）</w:t>
            </w:r>
          </w:p>
        </w:tc>
        <w:tc>
          <w:tcPr>
            <w:tcW w:w="3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算数复核后投标报价（B）</w: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3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3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3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3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3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3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3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313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rPr>
          <w:rFonts w:ascii="宋体" w:hAnsi="宋体"/>
          <w:color w:val="auto"/>
          <w:szCs w:val="21"/>
          <w:highlight w:val="none"/>
        </w:rPr>
        <w:sectPr>
          <w:endnotePr>
            <w:numFmt w:val="decimal"/>
          </w:endnotePr>
          <w:pgSz w:w="16838" w:h="11906" w:orient="landscape"/>
          <w:pgMar w:top="1191" w:right="1247" w:bottom="1191" w:left="1134" w:header="851" w:footer="907" w:gutter="0"/>
          <w:cols w:space="720" w:num="1"/>
          <w:titlePg/>
          <w:docGrid w:type="lines" w:linePitch="312" w:charSpace="0"/>
        </w:sectPr>
      </w:pPr>
    </w:p>
    <w:p>
      <w:pPr>
        <w:pStyle w:val="4"/>
        <w:numPr>
          <w:ilvl w:val="0"/>
          <w:numId w:val="7"/>
        </w:numPr>
        <w:jc w:val="center"/>
        <w:rPr>
          <w:rFonts w:ascii="宋体" w:hAnsi="宋体"/>
          <w:b/>
          <w:bCs/>
          <w:color w:val="auto"/>
          <w:sz w:val="44"/>
          <w:szCs w:val="44"/>
          <w:highlight w:val="none"/>
        </w:rPr>
      </w:pPr>
      <w:bookmarkStart w:id="18" w:name="_Toc20376"/>
      <w:bookmarkStart w:id="19" w:name="_Toc2272566"/>
      <w:r>
        <w:rPr>
          <w:rFonts w:hint="eastAsia" w:ascii="宋体" w:hAnsi="宋体"/>
          <w:b/>
          <w:bCs/>
          <w:color w:val="auto"/>
          <w:sz w:val="44"/>
          <w:szCs w:val="44"/>
          <w:highlight w:val="none"/>
        </w:rPr>
        <w:t>合同条款</w:t>
      </w:r>
      <w:bookmarkEnd w:id="18"/>
      <w:bookmarkEnd w:id="19"/>
    </w:p>
    <w:p>
      <w:pPr>
        <w:rPr>
          <w:color w:val="auto"/>
          <w:highlight w:val="none"/>
        </w:rPr>
      </w:pPr>
    </w:p>
    <w:p>
      <w:pPr>
        <w:bidi w:val="0"/>
        <w:rPr>
          <w:color w:val="auto"/>
        </w:rPr>
      </w:pPr>
    </w:p>
    <w:p>
      <w:pPr>
        <w:ind w:firstLine="420" w:firstLineChars="200"/>
        <w:rPr>
          <w:color w:val="auto"/>
        </w:rPr>
      </w:pPr>
    </w:p>
    <w:p>
      <w:pPr>
        <w:rPr>
          <w:color w:val="auto"/>
        </w:rPr>
      </w:pPr>
    </w:p>
    <w:p>
      <w:pPr>
        <w:ind w:firstLine="420" w:firstLineChars="200"/>
        <w:rPr>
          <w:color w:val="auto"/>
        </w:rPr>
      </w:pPr>
    </w:p>
    <w:p>
      <w:pPr>
        <w:ind w:firstLine="525" w:firstLineChars="250"/>
        <w:rPr>
          <w:color w:val="auto"/>
        </w:rPr>
      </w:pPr>
    </w:p>
    <w:p>
      <w:pPr>
        <w:ind w:firstLine="8400" w:firstLineChars="3500"/>
        <w:rPr>
          <w:color w:val="auto"/>
          <w:sz w:val="24"/>
        </w:rPr>
      </w:pPr>
      <w:r>
        <w:rPr>
          <w:rFonts w:hint="eastAsia"/>
          <w:color w:val="auto"/>
          <w:sz w:val="24"/>
        </w:rPr>
        <w:t xml:space="preserve">                          </w:t>
      </w:r>
    </w:p>
    <w:p>
      <w:pPr>
        <w:ind w:firstLine="840" w:firstLineChars="400"/>
        <w:rPr>
          <w:color w:val="auto"/>
        </w:rPr>
      </w:pPr>
    </w:p>
    <w:p>
      <w:pPr>
        <w:ind w:firstLine="840" w:firstLineChars="400"/>
        <w:rPr>
          <w:color w:val="auto"/>
        </w:rPr>
      </w:pPr>
      <w:r>
        <w:rPr>
          <w:rFonts w:hint="eastAsia"/>
          <w:color w:val="auto"/>
        </w:rPr>
        <w:t xml:space="preserve">                                                              </w:t>
      </w:r>
    </w:p>
    <w:p>
      <w:pPr>
        <w:ind w:firstLine="840" w:firstLineChars="400"/>
        <w:rPr>
          <w:rFonts w:ascii="宋体" w:hAnsi="宋体"/>
          <w:color w:val="auto"/>
        </w:rPr>
      </w:pPr>
      <w:r>
        <w:rPr>
          <w:rFonts w:hint="eastAsia"/>
          <w:color w:val="auto"/>
        </w:rPr>
        <w:t xml:space="preserve">                     </w:t>
      </w:r>
      <w:r>
        <w:rPr>
          <w:rFonts w:hint="eastAsia"/>
          <w:color w:val="auto"/>
        </w:rPr>
        <w:drawing>
          <wp:anchor distT="0" distB="0" distL="114300" distR="114300" simplePos="0" relativeHeight="251662336" behindDoc="0" locked="0" layoutInCell="1" allowOverlap="1">
            <wp:simplePos x="0" y="0"/>
            <wp:positionH relativeFrom="column">
              <wp:posOffset>895350</wp:posOffset>
            </wp:positionH>
            <wp:positionV relativeFrom="paragraph">
              <wp:posOffset>163195</wp:posOffset>
            </wp:positionV>
            <wp:extent cx="5295900" cy="5905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95900" cy="590550"/>
                    </a:xfrm>
                    <a:prstGeom prst="rect">
                      <a:avLst/>
                    </a:prstGeom>
                    <a:noFill/>
                    <a:ln>
                      <a:noFill/>
                    </a:ln>
                  </pic:spPr>
                </pic:pic>
              </a:graphicData>
            </a:graphic>
          </wp:anchor>
        </w:drawing>
      </w:r>
    </w:p>
    <w:p>
      <w:pPr>
        <w:snapToGrid w:val="0"/>
        <w:spacing w:line="440" w:lineRule="exact"/>
        <w:ind w:left="-197" w:leftChars="-94"/>
        <w:jc w:val="center"/>
        <w:rPr>
          <w:rFonts w:ascii="宋体" w:hAnsi="宋体"/>
          <w:color w:val="auto"/>
        </w:rPr>
      </w:pPr>
    </w:p>
    <w:p>
      <w:pPr>
        <w:spacing w:line="480" w:lineRule="exact"/>
        <w:jc w:val="center"/>
        <w:rPr>
          <w:rFonts w:ascii="宋体" w:hAnsi="宋体"/>
          <w:color w:val="auto"/>
        </w:rPr>
      </w:pPr>
    </w:p>
    <w:p>
      <w:pPr>
        <w:spacing w:line="480" w:lineRule="exact"/>
        <w:rPr>
          <w:rFonts w:ascii="仿宋_GB2312" w:hAnsi="仿宋" w:eastAsia="仿宋_GB2312"/>
          <w:color w:val="auto"/>
          <w:sz w:val="28"/>
          <w:szCs w:val="28"/>
        </w:rPr>
      </w:pPr>
      <w:r>
        <w:rPr>
          <w:rFonts w:hint="eastAsia" w:ascii="仿宋_GB2312" w:hAnsi="仿宋" w:eastAsia="仿宋_GB2312"/>
          <w:color w:val="auto"/>
          <w:sz w:val="28"/>
          <w:szCs w:val="28"/>
        </w:rPr>
        <w:t xml:space="preserve">    </w:t>
      </w:r>
    </w:p>
    <w:p>
      <w:pPr>
        <w:spacing w:line="480" w:lineRule="exact"/>
        <w:jc w:val="center"/>
        <w:rPr>
          <w:rFonts w:ascii="仿宋_GB2312" w:hAnsi="仿宋" w:eastAsia="仿宋_GB2312"/>
          <w:color w:val="auto"/>
          <w:sz w:val="28"/>
          <w:szCs w:val="28"/>
        </w:rPr>
      </w:pPr>
    </w:p>
    <w:p>
      <w:pPr>
        <w:spacing w:line="480" w:lineRule="exact"/>
        <w:jc w:val="center"/>
        <w:rPr>
          <w:rFonts w:ascii="仿宋_GB2312" w:hAnsi="仿宋" w:eastAsia="仿宋_GB2312"/>
          <w:color w:val="auto"/>
          <w:sz w:val="28"/>
          <w:szCs w:val="28"/>
        </w:rPr>
      </w:pPr>
    </w:p>
    <w:p>
      <w:pPr>
        <w:spacing w:line="360" w:lineRule="auto"/>
        <w:ind w:left="0" w:leftChars="0" w:firstLine="840" w:firstLineChars="300"/>
        <w:jc w:val="both"/>
        <w:rPr>
          <w:rFonts w:ascii="宋体" w:hAnsi="宋体"/>
          <w:color w:val="auto"/>
          <w:sz w:val="28"/>
          <w:szCs w:val="28"/>
          <w:u w:val="single"/>
        </w:rPr>
      </w:pPr>
      <w:r>
        <w:rPr>
          <w:rFonts w:hint="eastAsia" w:ascii="宋体" w:hAnsi="宋体"/>
          <w:color w:val="auto"/>
          <w:sz w:val="28"/>
          <w:szCs w:val="28"/>
        </w:rPr>
        <w:t>项 目 名 称：</w:t>
      </w:r>
      <w:r>
        <w:rPr>
          <w:rFonts w:hint="eastAsia" w:ascii="宋体" w:hAnsi="宋体"/>
          <w:color w:val="auto"/>
          <w:sz w:val="28"/>
          <w:szCs w:val="28"/>
          <w:u w:val="single"/>
        </w:rPr>
        <w:t>孚能科技年产30GWh动力电池生产基地电芯车间1、</w:t>
      </w:r>
    </w:p>
    <w:p>
      <w:pPr>
        <w:spacing w:line="360" w:lineRule="auto"/>
        <w:ind w:left="0" w:leftChars="0" w:firstLine="840" w:firstLineChars="300"/>
        <w:jc w:val="both"/>
        <w:rPr>
          <w:rFonts w:ascii="宋体" w:hAnsi="宋体"/>
          <w:color w:val="auto"/>
          <w:sz w:val="28"/>
          <w:szCs w:val="28"/>
          <w:u w:val="single"/>
        </w:rPr>
      </w:pPr>
      <w:r>
        <w:rPr>
          <w:rFonts w:hint="eastAsia" w:ascii="宋体" w:hAnsi="宋体"/>
          <w:color w:val="auto"/>
          <w:sz w:val="28"/>
          <w:szCs w:val="28"/>
          <w:u w:val="single"/>
        </w:rPr>
        <w:t>化成车间1、PACK车间、动力站房及其他单体洁净机电工程施工总承包</w:t>
      </w:r>
    </w:p>
    <w:p>
      <w:pPr>
        <w:spacing w:line="360" w:lineRule="auto"/>
        <w:ind w:left="0" w:leftChars="0" w:firstLine="840" w:firstLineChars="300"/>
        <w:jc w:val="both"/>
        <w:rPr>
          <w:rFonts w:ascii="宋体" w:hAnsi="宋体"/>
          <w:color w:val="auto"/>
          <w:sz w:val="28"/>
          <w:szCs w:val="28"/>
          <w:u w:val="single"/>
        </w:rPr>
      </w:pPr>
      <w:r>
        <w:rPr>
          <w:rFonts w:hint="eastAsia" w:ascii="宋体" w:hAnsi="宋体"/>
          <w:color w:val="auto"/>
          <w:sz w:val="28"/>
          <w:szCs w:val="28"/>
        </w:rPr>
        <w:t>发包人（甲方）：</w:t>
      </w:r>
      <w:r>
        <w:rPr>
          <w:rFonts w:hint="eastAsia" w:ascii="宋体" w:hAnsi="宋体"/>
          <w:color w:val="auto"/>
          <w:sz w:val="28"/>
          <w:szCs w:val="28"/>
          <w:u w:val="single"/>
        </w:rPr>
        <w:t>广州开投智慧能源投资有限公司</w:t>
      </w:r>
    </w:p>
    <w:p>
      <w:pPr>
        <w:spacing w:line="360" w:lineRule="auto"/>
        <w:ind w:left="0" w:leftChars="0" w:firstLine="840" w:firstLineChars="300"/>
        <w:jc w:val="both"/>
        <w:rPr>
          <w:color w:val="auto"/>
        </w:rPr>
      </w:pPr>
      <w:r>
        <w:rPr>
          <w:rFonts w:hint="eastAsia" w:ascii="宋体" w:hAnsi="宋体"/>
          <w:color w:val="auto"/>
          <w:sz w:val="28"/>
          <w:szCs w:val="28"/>
        </w:rPr>
        <w:t>项目建设管理单位</w:t>
      </w:r>
      <w:r>
        <w:rPr>
          <w:rFonts w:hint="eastAsia" w:ascii="宋体" w:hAnsi="宋体"/>
          <w:color w:val="auto"/>
          <w:sz w:val="24"/>
          <w:szCs w:val="24"/>
        </w:rPr>
        <w:t>：</w:t>
      </w:r>
      <w:r>
        <w:rPr>
          <w:rFonts w:hint="eastAsia" w:ascii="宋体" w:hAnsi="宋体"/>
          <w:color w:val="auto"/>
          <w:sz w:val="28"/>
          <w:szCs w:val="28"/>
          <w:u w:val="single"/>
        </w:rPr>
        <w:t>广州市金鼎广铝装饰工程有限公司</w:t>
      </w:r>
    </w:p>
    <w:p>
      <w:pPr>
        <w:spacing w:line="360" w:lineRule="auto"/>
        <w:ind w:left="0" w:leftChars="0" w:firstLine="840" w:firstLineChars="300"/>
        <w:jc w:val="both"/>
        <w:rPr>
          <w:rFonts w:hint="eastAsia" w:ascii="方正大标宋简体" w:hAnsi="宋体" w:eastAsia="方正大标宋简体"/>
          <w:color w:val="auto"/>
          <w:sz w:val="28"/>
          <w:szCs w:val="28"/>
          <w:u w:val="single"/>
          <w:lang w:val="en-US" w:eastAsia="zh-CN"/>
        </w:rPr>
      </w:pPr>
      <w:r>
        <w:rPr>
          <w:rFonts w:hint="eastAsia" w:ascii="宋体" w:hAnsi="宋体"/>
          <w:color w:val="auto"/>
          <w:sz w:val="28"/>
          <w:szCs w:val="28"/>
        </w:rPr>
        <w:t>承包人（乙方）：</w:t>
      </w:r>
      <w:r>
        <w:rPr>
          <w:rFonts w:hint="eastAsia" w:ascii="方正大标宋简体" w:hAnsi="宋体" w:eastAsia="方正大标宋简体"/>
          <w:color w:val="auto"/>
          <w:sz w:val="28"/>
          <w:szCs w:val="28"/>
          <w:u w:val="single"/>
          <w:lang w:val="en-US" w:eastAsia="zh-CN"/>
        </w:rPr>
        <w:t xml:space="preserve">                 </w:t>
      </w:r>
    </w:p>
    <w:p>
      <w:pPr>
        <w:spacing w:line="360" w:lineRule="auto"/>
        <w:ind w:left="0" w:leftChars="0" w:firstLine="840" w:firstLineChars="300"/>
        <w:jc w:val="both"/>
        <w:rPr>
          <w:rFonts w:ascii="宋体" w:hAnsi="宋体"/>
          <w:color w:val="auto"/>
          <w:sz w:val="28"/>
          <w:szCs w:val="28"/>
          <w:u w:val="single"/>
        </w:rPr>
      </w:pPr>
      <w:r>
        <w:rPr>
          <w:rFonts w:hint="eastAsia" w:ascii="宋体" w:hAnsi="宋体"/>
          <w:color w:val="auto"/>
          <w:sz w:val="28"/>
          <w:szCs w:val="28"/>
        </w:rPr>
        <w:t>签 订  地  点：</w:t>
      </w:r>
      <w:r>
        <w:rPr>
          <w:rFonts w:hint="eastAsia" w:ascii="宋体" w:hAnsi="宋体"/>
          <w:color w:val="auto"/>
          <w:sz w:val="28"/>
          <w:szCs w:val="28"/>
          <w:u w:val="single"/>
        </w:rPr>
        <w:t xml:space="preserve">        广州市黄埔区</w:t>
      </w:r>
    </w:p>
    <w:p>
      <w:pPr>
        <w:ind w:firstLine="8400" w:firstLineChars="3500"/>
        <w:rPr>
          <w:color w:val="auto"/>
          <w:sz w:val="24"/>
          <w:highlight w:val="none"/>
        </w:rPr>
        <w:sectPr>
          <w:footerReference r:id="rId8" w:type="default"/>
          <w:footerReference r:id="rId9" w:type="even"/>
          <w:endnotePr>
            <w:numFmt w:val="decimal"/>
          </w:endnotePr>
          <w:pgSz w:w="11906" w:h="16838"/>
          <w:pgMar w:top="1440" w:right="1077" w:bottom="1440" w:left="1077" w:header="851" w:footer="992" w:gutter="0"/>
          <w:pgNumType w:fmt="decimal"/>
          <w:cols w:space="720" w:num="1"/>
          <w:docGrid w:linePitch="312" w:charSpace="0"/>
        </w:sectPr>
      </w:pPr>
    </w:p>
    <w:p>
      <w:pPr>
        <w:pStyle w:val="5"/>
        <w:bidi w:val="0"/>
        <w:rPr>
          <w:color w:val="auto"/>
        </w:rPr>
      </w:pPr>
      <w:r>
        <w:rPr>
          <w:rFonts w:hint="eastAsia"/>
          <w:color w:val="auto"/>
        </w:rPr>
        <w:t>第一部分   协议书</w:t>
      </w:r>
    </w:p>
    <w:p>
      <w:pPr>
        <w:snapToGrid w:val="0"/>
        <w:spacing w:line="520" w:lineRule="exact"/>
        <w:rPr>
          <w:rFonts w:ascii="宋体" w:hAnsi="宋体"/>
          <w:b/>
          <w:bCs/>
          <w:color w:val="auto"/>
          <w:sz w:val="28"/>
          <w:szCs w:val="28"/>
        </w:rPr>
      </w:pPr>
    </w:p>
    <w:p>
      <w:pPr>
        <w:snapToGrid w:val="0"/>
        <w:spacing w:line="440" w:lineRule="exact"/>
        <w:ind w:firstLine="480"/>
        <w:rPr>
          <w:rFonts w:ascii="宋体" w:hAnsi="宋体"/>
          <w:color w:val="auto"/>
          <w:sz w:val="24"/>
          <w:szCs w:val="24"/>
          <w:u w:val="single"/>
        </w:rPr>
      </w:pPr>
      <w:r>
        <w:rPr>
          <w:rFonts w:hint="eastAsia" w:ascii="宋体" w:hAnsi="宋体"/>
          <w:color w:val="auto"/>
          <w:sz w:val="24"/>
        </w:rPr>
        <w:t>发包人（甲方）：</w:t>
      </w:r>
      <w:r>
        <w:rPr>
          <w:rFonts w:hint="eastAsia" w:ascii="宋体" w:hAnsi="宋体"/>
          <w:color w:val="auto"/>
          <w:sz w:val="24"/>
          <w:szCs w:val="24"/>
          <w:u w:val="single"/>
        </w:rPr>
        <w:t>广州开投智慧能源投资有限公司</w:t>
      </w:r>
    </w:p>
    <w:p>
      <w:pPr>
        <w:snapToGrid w:val="0"/>
        <w:spacing w:line="440" w:lineRule="exact"/>
        <w:ind w:firstLine="480"/>
        <w:rPr>
          <w:color w:val="auto"/>
        </w:rPr>
      </w:pPr>
      <w:r>
        <w:rPr>
          <w:rFonts w:hint="eastAsia" w:ascii="宋体" w:hAnsi="宋体"/>
          <w:color w:val="auto"/>
          <w:sz w:val="24"/>
        </w:rPr>
        <w:t>项目建设管理单位：</w:t>
      </w:r>
      <w:r>
        <w:rPr>
          <w:rFonts w:hint="eastAsia" w:ascii="宋体" w:hAnsi="宋体"/>
          <w:color w:val="auto"/>
          <w:sz w:val="24"/>
          <w:szCs w:val="24"/>
          <w:u w:val="single"/>
        </w:rPr>
        <w:t>广州市金鼎广铝装饰工程有限公司</w:t>
      </w:r>
    </w:p>
    <w:p>
      <w:pPr>
        <w:snapToGrid w:val="0"/>
        <w:spacing w:line="440" w:lineRule="exact"/>
        <w:ind w:firstLine="480"/>
        <w:rPr>
          <w:rFonts w:ascii="宋体" w:hAnsi="宋体"/>
          <w:color w:val="auto"/>
          <w:sz w:val="24"/>
          <w:u w:val="single"/>
        </w:rPr>
      </w:pPr>
      <w:r>
        <w:rPr>
          <w:rFonts w:hint="eastAsia" w:ascii="宋体" w:hAnsi="宋体"/>
          <w:color w:val="auto"/>
          <w:sz w:val="24"/>
        </w:rPr>
        <w:t xml:space="preserve">承包人（乙方）： </w:t>
      </w:r>
      <w:r>
        <w:rPr>
          <w:rFonts w:hint="eastAsia" w:ascii="宋体" w:hAnsi="宋体"/>
          <w:color w:val="auto"/>
          <w:sz w:val="24"/>
          <w:u w:val="single"/>
        </w:rPr>
        <w:t xml:space="preserve">                             </w:t>
      </w:r>
    </w:p>
    <w:p>
      <w:pPr>
        <w:pStyle w:val="17"/>
        <w:snapToGrid w:val="0"/>
        <w:spacing w:line="360" w:lineRule="auto"/>
        <w:rPr>
          <w:rFonts w:ascii="宋体" w:hAnsi="宋体"/>
          <w:color w:val="auto"/>
          <w:sz w:val="24"/>
        </w:rPr>
      </w:pPr>
      <w:r>
        <w:rPr>
          <w:rFonts w:hint="eastAsia" w:ascii="宋体" w:hAnsi="宋体"/>
          <w:color w:val="auto"/>
          <w:sz w:val="24"/>
        </w:rPr>
        <w:t xml:space="preserve">   依照《中华人民共和国民法典》、《中华人民共和国建筑法》及其他有关法律、行政法规，遵循平等、自愿、公平和诚实信用的原则，三方就本建设工程施工事项协商一致，订立本合同。</w:t>
      </w:r>
    </w:p>
    <w:p>
      <w:pPr>
        <w:pStyle w:val="18"/>
        <w:spacing w:line="360" w:lineRule="auto"/>
        <w:ind w:firstLine="480" w:firstLineChars="200"/>
        <w:rPr>
          <w:rFonts w:ascii="宋体" w:hAnsi="宋体"/>
          <w:color w:val="auto"/>
          <w:kern w:val="0"/>
          <w:sz w:val="24"/>
          <w:szCs w:val="20"/>
        </w:rPr>
      </w:pPr>
      <w:r>
        <w:rPr>
          <w:rFonts w:hint="eastAsia" w:ascii="宋体" w:hAnsi="宋体"/>
          <w:color w:val="auto"/>
          <w:kern w:val="0"/>
          <w:sz w:val="24"/>
          <w:szCs w:val="20"/>
        </w:rPr>
        <w:t>本项目的项目建设管理单位为</w:t>
      </w:r>
      <w:r>
        <w:rPr>
          <w:rFonts w:hint="eastAsia" w:ascii="宋体" w:hAnsi="宋体"/>
          <w:color w:val="auto"/>
          <w:sz w:val="24"/>
        </w:rPr>
        <w:t>广州市金鼎广铝装饰工程有限公司</w:t>
      </w:r>
      <w:r>
        <w:rPr>
          <w:rFonts w:hint="eastAsia" w:ascii="宋体" w:hAnsi="宋体"/>
          <w:color w:val="auto"/>
          <w:kern w:val="0"/>
          <w:sz w:val="24"/>
          <w:szCs w:val="20"/>
        </w:rPr>
        <w:t>，在本合同中受建设单位（广州开投智慧能源投资有限公司）委托履行相应职责和权利，建设单位、项目建设管理单位的委托关系按双方建设管理合同执行。</w:t>
      </w:r>
    </w:p>
    <w:p>
      <w:pPr>
        <w:snapToGrid w:val="0"/>
        <w:spacing w:line="440" w:lineRule="exact"/>
        <w:ind w:firstLine="472" w:firstLineChars="196"/>
        <w:rPr>
          <w:rFonts w:ascii="宋体" w:hAnsi="宋体"/>
          <w:b/>
          <w:bCs/>
          <w:color w:val="auto"/>
          <w:sz w:val="24"/>
        </w:rPr>
      </w:pPr>
      <w:r>
        <w:rPr>
          <w:rFonts w:hint="eastAsia" w:ascii="宋体" w:hAnsi="宋体"/>
          <w:b/>
          <w:bCs/>
          <w:color w:val="auto"/>
          <w:sz w:val="24"/>
        </w:rPr>
        <w:t>一、工程概况</w:t>
      </w:r>
    </w:p>
    <w:p>
      <w:pPr>
        <w:snapToGrid w:val="0"/>
        <w:spacing w:line="440" w:lineRule="exact"/>
        <w:ind w:left="1679" w:leftChars="228" w:hanging="1200" w:hangingChars="500"/>
        <w:rPr>
          <w:rFonts w:ascii="宋体" w:hAnsi="宋体"/>
          <w:color w:val="auto"/>
          <w:sz w:val="24"/>
          <w:u w:val="single"/>
        </w:rPr>
      </w:pPr>
      <w:r>
        <w:rPr>
          <w:rFonts w:hint="eastAsia" w:ascii="宋体" w:hAnsi="宋体"/>
          <w:color w:val="auto"/>
          <w:sz w:val="24"/>
        </w:rPr>
        <w:t>工程名称：</w:t>
      </w:r>
      <w:r>
        <w:rPr>
          <w:rFonts w:hint="eastAsia" w:ascii="宋体" w:hAnsi="宋体"/>
          <w:color w:val="auto"/>
          <w:sz w:val="24"/>
          <w:szCs w:val="24"/>
          <w:u w:val="single"/>
          <w:lang w:eastAsia="zh-CN"/>
        </w:rPr>
        <w:t>孚能科技年产30GWh动力电池生产基地电芯车间1、化成车间1、PACK车间、动力站房及其他单体洁净机电工程施工总承包</w:t>
      </w:r>
      <w:r>
        <w:rPr>
          <w:rFonts w:hint="eastAsia" w:ascii="宋体" w:hAnsi="宋体"/>
          <w:color w:val="auto"/>
          <w:sz w:val="24"/>
          <w:szCs w:val="24"/>
          <w:u w:val="single"/>
        </w:rPr>
        <w:t>。</w:t>
      </w:r>
    </w:p>
    <w:p>
      <w:pPr>
        <w:snapToGrid w:val="0"/>
        <w:spacing w:line="440" w:lineRule="exact"/>
        <w:ind w:left="1679" w:leftChars="228" w:hanging="1200" w:hangingChars="500"/>
        <w:rPr>
          <w:rFonts w:ascii="宋体" w:hAnsi="宋体"/>
          <w:color w:val="auto"/>
          <w:sz w:val="24"/>
        </w:rPr>
      </w:pPr>
      <w:r>
        <w:rPr>
          <w:rFonts w:hint="eastAsia" w:ascii="宋体" w:hAnsi="宋体"/>
          <w:color w:val="auto"/>
          <w:sz w:val="24"/>
        </w:rPr>
        <w:t>工程地点：</w:t>
      </w:r>
      <w:r>
        <w:rPr>
          <w:rFonts w:hint="eastAsia" w:ascii="宋体" w:hAnsi="宋体"/>
          <w:bCs/>
          <w:color w:val="auto"/>
          <w:sz w:val="24"/>
          <w:u w:val="single"/>
        </w:rPr>
        <w:t xml:space="preserve"> </w:t>
      </w:r>
      <w:r>
        <w:rPr>
          <w:rFonts w:hint="eastAsia" w:ascii="宋体" w:hAnsi="宋体" w:cs="宋体"/>
          <w:bCs/>
          <w:color w:val="auto"/>
          <w:sz w:val="24"/>
          <w:szCs w:val="24"/>
          <w:u w:val="single"/>
        </w:rPr>
        <w:t>广州市黄埔区知识城改革大道以东，人才大道以北，创维智能产业创新基地东北侧。</w:t>
      </w:r>
      <w:r>
        <w:rPr>
          <w:rFonts w:hint="eastAsia" w:ascii="宋体" w:hAnsi="宋体"/>
          <w:bCs/>
          <w:color w:val="auto"/>
          <w:sz w:val="24"/>
          <w:u w:val="single"/>
        </w:rPr>
        <w:t xml:space="preserve"> </w:t>
      </w:r>
    </w:p>
    <w:p>
      <w:pPr>
        <w:snapToGrid w:val="0"/>
        <w:spacing w:line="440" w:lineRule="exact"/>
        <w:ind w:firstLine="480" w:firstLineChars="200"/>
        <w:rPr>
          <w:rFonts w:ascii="宋体" w:hAnsi="宋体"/>
          <w:color w:val="auto"/>
          <w:sz w:val="24"/>
        </w:rPr>
      </w:pPr>
      <w:r>
        <w:rPr>
          <w:rFonts w:hint="eastAsia" w:ascii="宋体" w:hAnsi="宋体"/>
          <w:color w:val="auto"/>
          <w:sz w:val="24"/>
        </w:rPr>
        <w:t>工程内容：</w:t>
      </w:r>
      <w:r>
        <w:rPr>
          <w:rFonts w:hint="eastAsia" w:ascii="宋体" w:hAnsi="宋体"/>
          <w:color w:val="auto"/>
          <w:sz w:val="24"/>
          <w:u w:val="single"/>
        </w:rPr>
        <w:t xml:space="preserve"> </w:t>
      </w:r>
      <w:r>
        <w:rPr>
          <w:rFonts w:hint="eastAsia" w:ascii="宋体" w:hAnsi="宋体" w:cs="宋体"/>
          <w:bCs/>
          <w:color w:val="auto"/>
          <w:sz w:val="24"/>
          <w:szCs w:val="24"/>
          <w:u w:val="single"/>
        </w:rPr>
        <w:t>孚能科技年产30GWh动力电池生产基地电芯车间1、化成车间1、PACK车间、拆解房及极片回收危废库、电解液及化学品仓库、动力站房、固废库、计量中心、食堂1、食堂2、NMP罐区洁净机电工程，建筑面积约203275㎡，其中电芯车间1约61000㎡，化成车间1约25000㎡，PACK车间约99532㎡、拆解房及极片回收危废库732㎡、电解液及化学品仓库732㎡、动力站房6128㎡、固废库513㎡、计量中心3253㎡、食堂1约2989㎡、食堂2约2976㎡、NMP罐区420㎡。本次招标包含净化工程</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rPr>
        <w:t>洁净室工程、内装工程、净化空调、净化设备安装、净化工艺管道）、电气工程、暖通工程、管道工程、消防工程、建筑装修工程、外线电力系统、动力站房内设备系统等具体内容以发布的图纸和招标工程量清单为准。</w:t>
      </w:r>
    </w:p>
    <w:p>
      <w:pPr>
        <w:snapToGrid w:val="0"/>
        <w:spacing w:line="440" w:lineRule="exact"/>
        <w:ind w:firstLine="480" w:firstLineChars="200"/>
        <w:rPr>
          <w:rFonts w:ascii="宋体" w:hAnsi="宋体"/>
          <w:color w:val="auto"/>
          <w:sz w:val="24"/>
        </w:rPr>
      </w:pPr>
      <w:r>
        <w:rPr>
          <w:rFonts w:hint="eastAsia" w:ascii="宋体" w:hAnsi="宋体"/>
          <w:color w:val="auto"/>
          <w:sz w:val="24"/>
        </w:rPr>
        <w:t>建设业主有权根据工程实施情况，对承包人的承包范围和承包工程量进行适当调整。</w:t>
      </w:r>
    </w:p>
    <w:p>
      <w:pPr>
        <w:snapToGrid w:val="0"/>
        <w:spacing w:line="440" w:lineRule="exact"/>
        <w:ind w:firstLine="480"/>
        <w:rPr>
          <w:rFonts w:ascii="宋体" w:hAnsi="宋体"/>
          <w:color w:val="auto"/>
          <w:sz w:val="24"/>
          <w:u w:val="single"/>
        </w:rPr>
      </w:pPr>
      <w:r>
        <w:rPr>
          <w:rFonts w:hint="eastAsia" w:ascii="宋体" w:hAnsi="宋体"/>
          <w:color w:val="auto"/>
          <w:sz w:val="24"/>
        </w:rPr>
        <w:t>工程立项批准文号：</w:t>
      </w:r>
      <w:r>
        <w:rPr>
          <w:rFonts w:hint="eastAsia" w:ascii="宋体" w:hAnsi="宋体"/>
          <w:color w:val="auto"/>
          <w:sz w:val="24"/>
          <w:u w:val="single"/>
        </w:rPr>
        <w:t xml:space="preserve">             </w:t>
      </w:r>
    </w:p>
    <w:p>
      <w:pPr>
        <w:snapToGrid w:val="0"/>
        <w:spacing w:line="440" w:lineRule="exact"/>
        <w:ind w:firstLine="480"/>
        <w:rPr>
          <w:rFonts w:ascii="宋体" w:hAnsi="宋体"/>
          <w:color w:val="auto"/>
          <w:sz w:val="24"/>
          <w:u w:val="single"/>
        </w:rPr>
      </w:pPr>
      <w:r>
        <w:rPr>
          <w:rFonts w:hint="eastAsia" w:ascii="宋体" w:hAnsi="宋体"/>
          <w:color w:val="auto"/>
          <w:sz w:val="24"/>
        </w:rPr>
        <w:t>资金来源：</w:t>
      </w:r>
      <w:r>
        <w:rPr>
          <w:rFonts w:hint="eastAsia" w:ascii="宋体" w:hAnsi="宋体" w:cs="宋体"/>
          <w:color w:val="auto"/>
          <w:sz w:val="24"/>
          <w:szCs w:val="24"/>
          <w:u w:val="single"/>
        </w:rPr>
        <w:t>自有资金</w:t>
      </w:r>
    </w:p>
    <w:p>
      <w:pPr>
        <w:snapToGrid w:val="0"/>
        <w:spacing w:line="440" w:lineRule="exact"/>
        <w:ind w:left="480"/>
        <w:rPr>
          <w:rFonts w:ascii="宋体" w:hAnsi="宋体"/>
          <w:b/>
          <w:bCs/>
          <w:color w:val="auto"/>
          <w:sz w:val="24"/>
        </w:rPr>
      </w:pPr>
      <w:r>
        <w:rPr>
          <w:rFonts w:hint="eastAsia" w:ascii="宋体" w:hAnsi="宋体"/>
          <w:b/>
          <w:bCs/>
          <w:color w:val="auto"/>
          <w:sz w:val="24"/>
        </w:rPr>
        <w:t>二、工程承包范围及承包方式</w:t>
      </w:r>
    </w:p>
    <w:p>
      <w:pPr>
        <w:snapToGrid w:val="0"/>
        <w:spacing w:line="440" w:lineRule="exact"/>
        <w:ind w:left="480" w:firstLine="472" w:firstLineChars="196"/>
        <w:rPr>
          <w:rFonts w:ascii="宋体" w:hAnsi="宋体"/>
          <w:color w:val="auto"/>
          <w:sz w:val="24"/>
          <w:u w:val="single"/>
        </w:rPr>
      </w:pPr>
      <w:r>
        <w:rPr>
          <w:rFonts w:hint="eastAsia" w:ascii="宋体" w:hAnsi="宋体"/>
          <w:b/>
          <w:bCs/>
          <w:color w:val="auto"/>
          <w:sz w:val="24"/>
        </w:rPr>
        <w:t>（一）承包范围：</w:t>
      </w:r>
      <w:r>
        <w:rPr>
          <w:rFonts w:hint="eastAsia" w:ascii="宋体" w:hAnsi="宋体"/>
          <w:color w:val="auto"/>
          <w:sz w:val="24"/>
          <w:u w:val="single"/>
        </w:rPr>
        <w:t>按发包人确认的施工图纸、图纸会审纪录和有关变更文件、资料 、招标文件、承包人投标文件以及三方签订的有关协议所包含的内容。</w:t>
      </w:r>
    </w:p>
    <w:p>
      <w:pPr>
        <w:snapToGrid w:val="0"/>
        <w:spacing w:line="440" w:lineRule="exact"/>
        <w:rPr>
          <w:rFonts w:ascii="宋体" w:hAnsi="宋体"/>
          <w:color w:val="FF0000"/>
          <w:sz w:val="24"/>
          <w:u w:val="single"/>
        </w:rPr>
      </w:pPr>
      <w:r>
        <w:rPr>
          <w:rFonts w:hint="eastAsia" w:ascii="宋体" w:hAnsi="宋体"/>
          <w:color w:val="auto"/>
          <w:sz w:val="24"/>
        </w:rPr>
        <w:t xml:space="preserve">    </w:t>
      </w:r>
      <w:r>
        <w:rPr>
          <w:rFonts w:hint="eastAsia" w:ascii="宋体" w:hAnsi="宋体"/>
          <w:b/>
          <w:color w:val="auto"/>
          <w:sz w:val="24"/>
        </w:rPr>
        <w:t>（二）承包方式：</w:t>
      </w:r>
      <w:r>
        <w:rPr>
          <w:rFonts w:hint="eastAsia" w:ascii="宋体" w:hAnsi="宋体"/>
          <w:color w:val="auto"/>
          <w:sz w:val="24"/>
          <w:szCs w:val="24"/>
          <w:u w:val="single"/>
        </w:rPr>
        <w:t>包工、包料、包工期、包质量、包安全、包文明施工、包验收、包办理项目相关的报建及验收手续。</w:t>
      </w:r>
      <w:r>
        <w:rPr>
          <w:rFonts w:hint="eastAsia" w:ascii="宋体" w:hAnsi="宋体"/>
          <w:color w:val="auto"/>
          <w:sz w:val="24"/>
          <w:u w:val="single"/>
        </w:rPr>
        <w:t>分部分项工程量清单费：综合单价固定不变，工程量按实计量</w:t>
      </w:r>
      <w:r>
        <w:rPr>
          <w:rFonts w:hint="eastAsia" w:ascii="宋体" w:hAnsi="宋体"/>
          <w:color w:val="auto"/>
          <w:sz w:val="24"/>
          <w:u w:val="single"/>
          <w:lang w:eastAsia="zh-CN"/>
        </w:rPr>
        <w:t>，具体参照专用条款“</w:t>
      </w:r>
      <w:r>
        <w:rPr>
          <w:rFonts w:hint="eastAsia" w:ascii="宋体" w:hAnsi="宋体"/>
          <w:b/>
          <w:color w:val="auto"/>
          <w:sz w:val="24"/>
          <w:u w:val="single"/>
        </w:rPr>
        <w:t>六、合同价款与支付</w:t>
      </w:r>
      <w:r>
        <w:rPr>
          <w:rFonts w:hint="eastAsia" w:ascii="宋体" w:hAnsi="宋体"/>
          <w:color w:val="auto"/>
          <w:sz w:val="24"/>
          <w:u w:val="single"/>
          <w:lang w:eastAsia="zh-CN"/>
        </w:rPr>
        <w:t>”</w:t>
      </w:r>
      <w:r>
        <w:rPr>
          <w:rFonts w:hint="eastAsia" w:ascii="宋体" w:hAnsi="宋体"/>
          <w:color w:val="auto"/>
          <w:sz w:val="24"/>
          <w:u w:val="single"/>
          <w:lang w:val="en-US" w:eastAsia="zh-CN"/>
        </w:rPr>
        <w:t>执行</w:t>
      </w:r>
      <w:r>
        <w:rPr>
          <w:rFonts w:hint="eastAsia" w:ascii="宋体" w:hAnsi="宋体"/>
          <w:color w:val="auto"/>
          <w:sz w:val="24"/>
          <w:u w:val="single"/>
        </w:rPr>
        <w:t>。措施项目费：</w:t>
      </w:r>
      <w:r>
        <w:rPr>
          <w:rFonts w:hint="eastAsia" w:ascii="宋体" w:hAnsi="宋体"/>
          <w:bCs/>
          <w:snapToGrid w:val="0"/>
          <w:color w:val="auto"/>
          <w:kern w:val="0"/>
          <w:sz w:val="24"/>
          <w:u w:val="single"/>
        </w:rPr>
        <w:t>绿色施工安全防护措施费包干，</w:t>
      </w:r>
      <w:r>
        <w:rPr>
          <w:rFonts w:hint="eastAsia" w:ascii="宋体" w:hAnsi="宋体"/>
          <w:bCs/>
          <w:snapToGrid w:val="0"/>
          <w:color w:val="auto"/>
          <w:kern w:val="0"/>
          <w:sz w:val="24"/>
        </w:rPr>
        <w:t>其余</w:t>
      </w:r>
      <w:r>
        <w:rPr>
          <w:rFonts w:hint="eastAsia" w:ascii="宋体" w:hAnsi="宋体"/>
          <w:color w:val="auto"/>
          <w:sz w:val="24"/>
          <w:u w:val="single"/>
        </w:rPr>
        <w:t>措施项目费按“综合单价固定不变，工程量按实计量。总承包服务费费率按0.5%，固定不变</w:t>
      </w:r>
      <w:r>
        <w:rPr>
          <w:rFonts w:hint="eastAsia" w:ascii="宋体" w:hAnsi="宋体"/>
          <w:color w:val="auto"/>
          <w:sz w:val="24"/>
          <w:szCs w:val="24"/>
          <w:u w:val="single"/>
        </w:rPr>
        <w:t>。</w:t>
      </w:r>
    </w:p>
    <w:p>
      <w:pPr>
        <w:snapToGrid w:val="0"/>
        <w:spacing w:line="440" w:lineRule="exact"/>
        <w:ind w:left="480"/>
        <w:rPr>
          <w:rFonts w:ascii="宋体" w:hAnsi="宋体"/>
          <w:b/>
          <w:bCs/>
          <w:color w:val="auto"/>
          <w:sz w:val="24"/>
          <w:u w:val="single"/>
        </w:rPr>
      </w:pPr>
      <w:r>
        <w:rPr>
          <w:rFonts w:hint="eastAsia" w:ascii="宋体" w:hAnsi="宋体"/>
          <w:b/>
          <w:bCs/>
          <w:color w:val="auto"/>
          <w:sz w:val="24"/>
        </w:rPr>
        <w:t>三、合同工期</w:t>
      </w:r>
    </w:p>
    <w:p>
      <w:pPr>
        <w:snapToGrid w:val="0"/>
        <w:spacing w:line="440" w:lineRule="exact"/>
        <w:ind w:left="480"/>
        <w:rPr>
          <w:rFonts w:ascii="宋体" w:hAnsi="宋体"/>
          <w:color w:val="auto"/>
          <w:sz w:val="24"/>
          <w:u w:val="single"/>
        </w:rPr>
      </w:pPr>
      <w:r>
        <w:rPr>
          <w:rFonts w:hint="eastAsia" w:ascii="宋体" w:hAnsi="宋体"/>
          <w:color w:val="auto"/>
          <w:sz w:val="24"/>
        </w:rPr>
        <w:t>暂定开工日期：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p>
    <w:p>
      <w:pPr>
        <w:snapToGrid w:val="0"/>
        <w:spacing w:line="440" w:lineRule="exact"/>
        <w:ind w:left="480"/>
        <w:rPr>
          <w:rFonts w:ascii="宋体" w:hAnsi="宋体"/>
          <w:color w:val="auto"/>
          <w:sz w:val="24"/>
          <w:u w:val="single"/>
        </w:rPr>
      </w:pPr>
      <w:r>
        <w:rPr>
          <w:rFonts w:hint="eastAsia" w:ascii="宋体" w:hAnsi="宋体"/>
          <w:color w:val="auto"/>
          <w:sz w:val="24"/>
        </w:rPr>
        <w:t>暂定竣工日期：</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napToGrid w:val="0"/>
        <w:spacing w:line="440" w:lineRule="exact"/>
        <w:ind w:left="480"/>
        <w:rPr>
          <w:rFonts w:ascii="宋体" w:hAnsi="宋体"/>
          <w:color w:val="auto"/>
          <w:sz w:val="24"/>
        </w:rPr>
      </w:pPr>
      <w:r>
        <w:rPr>
          <w:rFonts w:hint="eastAsia" w:ascii="宋体" w:hAnsi="宋体"/>
          <w:color w:val="auto"/>
          <w:sz w:val="24"/>
          <w:lang w:val="en-US" w:eastAsia="zh-CN"/>
        </w:rPr>
        <w:t>施工总</w:t>
      </w:r>
      <w:r>
        <w:rPr>
          <w:rFonts w:hint="eastAsia" w:ascii="宋体" w:hAnsi="宋体"/>
          <w:color w:val="auto"/>
          <w:sz w:val="24"/>
        </w:rPr>
        <w:t>工期为</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日历天</w:t>
      </w:r>
      <w:r>
        <w:rPr>
          <w:rFonts w:hint="eastAsia" w:ascii="宋体" w:hAnsi="宋体"/>
          <w:color w:val="auto"/>
          <w:sz w:val="24"/>
          <w:lang w:eastAsia="zh-CN"/>
        </w:rPr>
        <w:t>（</w:t>
      </w:r>
      <w:r>
        <w:rPr>
          <w:rFonts w:hint="eastAsia" w:asciiTheme="minorEastAsia" w:hAnsiTheme="minorEastAsia" w:eastAsiaTheme="minorEastAsia"/>
          <w:color w:val="auto"/>
          <w:sz w:val="24"/>
          <w:szCs w:val="24"/>
          <w:u w:val="single"/>
        </w:rPr>
        <w:t>具体开工日期以</w:t>
      </w:r>
      <w:r>
        <w:rPr>
          <w:rFonts w:hint="eastAsia" w:asciiTheme="minorEastAsia" w:hAnsiTheme="minorEastAsia" w:eastAsiaTheme="minorEastAsia"/>
          <w:color w:val="auto"/>
          <w:sz w:val="24"/>
          <w:szCs w:val="24"/>
          <w:u w:val="single"/>
          <w:lang w:val="en-US" w:eastAsia="zh-CN"/>
        </w:rPr>
        <w:t>监理方发出的开工令或发包人发出的书面进场通知为准）</w:t>
      </w:r>
      <w:r>
        <w:rPr>
          <w:rFonts w:hint="eastAsia" w:ascii="宋体" w:hAnsi="宋体"/>
          <w:color w:val="auto"/>
          <w:sz w:val="24"/>
          <w:szCs w:val="24"/>
        </w:rPr>
        <w:t>。</w:t>
      </w:r>
    </w:p>
    <w:p>
      <w:pPr>
        <w:snapToGrid w:val="0"/>
        <w:spacing w:line="440" w:lineRule="exact"/>
        <w:ind w:left="480"/>
        <w:rPr>
          <w:rFonts w:ascii="宋体" w:hAnsi="宋体"/>
          <w:b/>
          <w:bCs/>
          <w:color w:val="auto"/>
          <w:sz w:val="24"/>
        </w:rPr>
      </w:pPr>
      <w:r>
        <w:rPr>
          <w:rFonts w:hint="eastAsia" w:ascii="宋体" w:hAnsi="宋体"/>
          <w:b/>
          <w:bCs/>
          <w:color w:val="auto"/>
          <w:sz w:val="24"/>
        </w:rPr>
        <w:t>四、质量标准</w:t>
      </w:r>
    </w:p>
    <w:p>
      <w:pPr>
        <w:pStyle w:val="119"/>
        <w:snapToGrid w:val="0"/>
        <w:spacing w:line="440" w:lineRule="exact"/>
        <w:ind w:firstLine="495"/>
        <w:rPr>
          <w:rFonts w:ascii="宋体" w:hAnsi="宋体"/>
          <w:color w:val="auto"/>
          <w:sz w:val="24"/>
        </w:rPr>
      </w:pPr>
      <w:r>
        <w:rPr>
          <w:rFonts w:hint="eastAsia" w:ascii="宋体" w:hAnsi="宋体"/>
          <w:color w:val="auto"/>
          <w:sz w:val="24"/>
        </w:rPr>
        <w:t>工程质量标准：</w:t>
      </w:r>
    </w:p>
    <w:p>
      <w:pPr>
        <w:pStyle w:val="119"/>
        <w:snapToGrid w:val="0"/>
        <w:spacing w:line="440" w:lineRule="exact"/>
        <w:ind w:firstLine="495"/>
        <w:rPr>
          <w:rFonts w:ascii="宋体" w:hAnsi="宋体"/>
          <w:color w:val="auto"/>
          <w:sz w:val="24"/>
        </w:rPr>
      </w:pPr>
      <w:r>
        <w:rPr>
          <w:rFonts w:hint="eastAsia" w:ascii="宋体" w:hAnsi="宋体"/>
          <w:color w:val="auto"/>
          <w:sz w:val="24"/>
          <w:u w:val="single"/>
        </w:rPr>
        <w:t>工程规模符合申报“</w:t>
      </w:r>
      <w:r>
        <w:rPr>
          <w:rFonts w:hint="eastAsia" w:ascii="宋体" w:hAnsi="宋体"/>
          <w:color w:val="auto"/>
          <w:sz w:val="24"/>
          <w:u w:val="single"/>
          <w:lang w:eastAsia="zh-CN"/>
        </w:rPr>
        <w:t>广东省建设工程优质奖</w:t>
      </w:r>
      <w:r>
        <w:rPr>
          <w:rFonts w:hint="eastAsia" w:ascii="宋体" w:hAnsi="宋体"/>
          <w:color w:val="auto"/>
          <w:sz w:val="24"/>
          <w:u w:val="single"/>
        </w:rPr>
        <w:t>”的，需达到“</w:t>
      </w:r>
      <w:r>
        <w:rPr>
          <w:rFonts w:hint="eastAsia" w:ascii="宋体" w:hAnsi="宋体"/>
          <w:color w:val="auto"/>
          <w:sz w:val="24"/>
          <w:u w:val="single"/>
          <w:lang w:eastAsia="zh-CN"/>
        </w:rPr>
        <w:t>广东省建设工程优质奖</w:t>
      </w:r>
      <w:r>
        <w:rPr>
          <w:rFonts w:hint="eastAsia" w:ascii="宋体" w:hAnsi="宋体"/>
          <w:color w:val="auto"/>
          <w:sz w:val="24"/>
          <w:u w:val="single"/>
        </w:rPr>
        <w:t>”的质量标准；工程规模不符合申报“</w:t>
      </w:r>
      <w:r>
        <w:rPr>
          <w:rFonts w:hint="eastAsia" w:ascii="宋体" w:hAnsi="宋体"/>
          <w:color w:val="auto"/>
          <w:sz w:val="24"/>
          <w:u w:val="single"/>
          <w:lang w:eastAsia="zh-CN"/>
        </w:rPr>
        <w:t>广东省建设工程优质奖</w:t>
      </w:r>
      <w:r>
        <w:rPr>
          <w:rFonts w:hint="eastAsia" w:ascii="宋体" w:hAnsi="宋体"/>
          <w:color w:val="auto"/>
          <w:sz w:val="24"/>
          <w:u w:val="single"/>
        </w:rPr>
        <w:t>”但符合申报“广州市优良样板工程”的，需达到“广州市优良样板工程”的质量标准；工程规模不符合申报“</w:t>
      </w:r>
      <w:r>
        <w:rPr>
          <w:rFonts w:hint="eastAsia" w:ascii="宋体" w:hAnsi="宋体"/>
          <w:color w:val="auto"/>
          <w:sz w:val="24"/>
          <w:u w:val="single"/>
          <w:lang w:eastAsia="zh-CN"/>
        </w:rPr>
        <w:t>广东省建设工程优质奖</w:t>
      </w:r>
      <w:r>
        <w:rPr>
          <w:rFonts w:hint="eastAsia" w:ascii="宋体" w:hAnsi="宋体"/>
          <w:color w:val="auto"/>
          <w:sz w:val="24"/>
          <w:u w:val="single"/>
        </w:rPr>
        <w:t>”及“广州市优良样板工程”的，工程质量达到国家或行业质量检验评定的合格标准。</w:t>
      </w:r>
    </w:p>
    <w:p>
      <w:pPr>
        <w:snapToGrid w:val="0"/>
        <w:spacing w:line="440" w:lineRule="exact"/>
        <w:ind w:firstLine="472" w:firstLineChars="196"/>
        <w:rPr>
          <w:rFonts w:ascii="宋体" w:hAnsi="宋体"/>
          <w:b/>
          <w:bCs/>
          <w:color w:val="auto"/>
          <w:sz w:val="24"/>
        </w:rPr>
      </w:pPr>
      <w:r>
        <w:rPr>
          <w:rFonts w:hint="eastAsia" w:ascii="宋体" w:hAnsi="宋体"/>
          <w:b/>
          <w:bCs/>
          <w:color w:val="auto"/>
          <w:sz w:val="24"/>
        </w:rPr>
        <w:t>五、合同价款</w:t>
      </w:r>
    </w:p>
    <w:p>
      <w:pPr>
        <w:spacing w:line="440" w:lineRule="exact"/>
        <w:ind w:firstLine="480" w:firstLineChars="200"/>
        <w:rPr>
          <w:rFonts w:ascii="宋体" w:hAnsi="宋体"/>
          <w:bCs/>
          <w:snapToGrid w:val="0"/>
          <w:color w:val="auto"/>
          <w:kern w:val="0"/>
          <w:sz w:val="24"/>
        </w:rPr>
      </w:pPr>
      <w:r>
        <w:rPr>
          <w:rFonts w:hint="eastAsia" w:ascii="宋体" w:hAnsi="宋体"/>
          <w:bCs/>
          <w:snapToGrid w:val="0"/>
          <w:color w:val="auto"/>
          <w:kern w:val="0"/>
          <w:sz w:val="24"/>
        </w:rPr>
        <w:t>合同价款暂定为￥</w:t>
      </w:r>
      <w:r>
        <w:rPr>
          <w:rFonts w:ascii="宋体" w:hAnsi="宋体"/>
          <w:bCs/>
          <w:snapToGrid w:val="0"/>
          <w:color w:val="auto"/>
          <w:kern w:val="0"/>
          <w:sz w:val="24"/>
          <w:u w:val="single"/>
        </w:rPr>
        <w:t xml:space="preserve">             </w:t>
      </w:r>
      <w:r>
        <w:rPr>
          <w:rFonts w:hint="eastAsia" w:ascii="宋体" w:hAnsi="宋体"/>
          <w:bCs/>
          <w:snapToGrid w:val="0"/>
          <w:color w:val="auto"/>
          <w:kern w:val="0"/>
          <w:sz w:val="24"/>
        </w:rPr>
        <w:t>元（大写：人民币</w:t>
      </w:r>
      <w:r>
        <w:rPr>
          <w:rFonts w:ascii="宋体" w:hAnsi="宋体"/>
          <w:bCs/>
          <w:snapToGrid w:val="0"/>
          <w:color w:val="auto"/>
          <w:kern w:val="0"/>
          <w:sz w:val="24"/>
          <w:u w:val="single"/>
        </w:rPr>
        <w:t xml:space="preserve">             </w:t>
      </w:r>
      <w:r>
        <w:rPr>
          <w:rFonts w:hint="eastAsia" w:ascii="宋体" w:hAnsi="宋体"/>
          <w:bCs/>
          <w:snapToGrid w:val="0"/>
          <w:color w:val="auto"/>
          <w:kern w:val="0"/>
          <w:sz w:val="24"/>
        </w:rPr>
        <w:t>），其中绿色施工安全防护措施费为</w:t>
      </w:r>
      <w:r>
        <w:rPr>
          <w:rFonts w:hint="eastAsia" w:ascii="宋体" w:hAnsi="宋体"/>
          <w:bCs/>
          <w:snapToGrid w:val="0"/>
          <w:color w:val="auto"/>
          <w:kern w:val="0"/>
          <w:sz w:val="24"/>
          <w:u w:val="single"/>
        </w:rPr>
        <w:t xml:space="preserve">      </w:t>
      </w:r>
      <w:r>
        <w:rPr>
          <w:rFonts w:hint="eastAsia" w:ascii="宋体" w:hAnsi="宋体"/>
          <w:bCs/>
          <w:snapToGrid w:val="0"/>
          <w:color w:val="auto"/>
          <w:kern w:val="0"/>
          <w:sz w:val="24"/>
        </w:rPr>
        <w:t>元、总承包服务费（金额暂定，项目实施后按专用条款约定执行，中标的总承包服务费费率：按   %固定不变）：</w:t>
      </w:r>
      <w:r>
        <w:rPr>
          <w:rFonts w:hint="eastAsia" w:ascii="宋体" w:hAnsi="宋体"/>
          <w:bCs/>
          <w:snapToGrid w:val="0"/>
          <w:color w:val="auto"/>
          <w:kern w:val="0"/>
          <w:sz w:val="24"/>
          <w:u w:val="single"/>
        </w:rPr>
        <w:t xml:space="preserve">      </w:t>
      </w:r>
      <w:r>
        <w:rPr>
          <w:rFonts w:hint="eastAsia" w:ascii="宋体" w:hAnsi="宋体"/>
          <w:bCs/>
          <w:snapToGrid w:val="0"/>
          <w:color w:val="auto"/>
          <w:kern w:val="0"/>
          <w:sz w:val="24"/>
        </w:rPr>
        <w:t>元，暂列金额为</w:t>
      </w:r>
      <w:r>
        <w:rPr>
          <w:rFonts w:hint="eastAsia" w:ascii="宋体" w:hAnsi="宋体"/>
          <w:bCs/>
          <w:snapToGrid w:val="0"/>
          <w:color w:val="auto"/>
          <w:kern w:val="0"/>
          <w:sz w:val="24"/>
          <w:u w:val="single"/>
        </w:rPr>
        <w:t xml:space="preserve">       </w:t>
      </w:r>
      <w:r>
        <w:rPr>
          <w:rFonts w:hint="eastAsia" w:ascii="宋体" w:hAnsi="宋体"/>
          <w:bCs/>
          <w:snapToGrid w:val="0"/>
          <w:color w:val="auto"/>
          <w:kern w:val="0"/>
          <w:sz w:val="24"/>
        </w:rPr>
        <w:t>元，人工费</w:t>
      </w:r>
      <w:r>
        <w:rPr>
          <w:rFonts w:hint="eastAsia" w:ascii="宋体" w:hAnsi="宋体"/>
          <w:bCs/>
          <w:snapToGrid w:val="0"/>
          <w:color w:val="auto"/>
          <w:kern w:val="0"/>
          <w:sz w:val="24"/>
          <w:u w:val="single"/>
        </w:rPr>
        <w:t xml:space="preserve">     </w:t>
      </w:r>
      <w:r>
        <w:rPr>
          <w:rFonts w:hint="eastAsia" w:ascii="宋体" w:hAnsi="宋体"/>
          <w:bCs/>
          <w:snapToGrid w:val="0"/>
          <w:color w:val="auto"/>
          <w:kern w:val="0"/>
          <w:sz w:val="24"/>
        </w:rPr>
        <w:t>元，工人工资比例为</w:t>
      </w:r>
      <w:r>
        <w:rPr>
          <w:rFonts w:hint="eastAsia" w:ascii="宋体" w:hAnsi="宋体"/>
          <w:bCs/>
          <w:snapToGrid w:val="0"/>
          <w:color w:val="auto"/>
          <w:kern w:val="0"/>
          <w:sz w:val="24"/>
          <w:u w:val="single"/>
        </w:rPr>
        <w:t xml:space="preserve">      </w:t>
      </w:r>
      <w:r>
        <w:rPr>
          <w:rFonts w:hint="eastAsia" w:ascii="宋体" w:hAnsi="宋体"/>
          <w:bCs/>
          <w:snapToGrid w:val="0"/>
          <w:color w:val="auto"/>
          <w:kern w:val="0"/>
          <w:sz w:val="24"/>
        </w:rPr>
        <w:t>。</w:t>
      </w:r>
    </w:p>
    <w:p>
      <w:pPr>
        <w:spacing w:line="440" w:lineRule="exact"/>
        <w:ind w:firstLine="480" w:firstLineChars="200"/>
        <w:rPr>
          <w:rFonts w:ascii="宋体" w:hAnsi="宋体"/>
          <w:bCs/>
          <w:snapToGrid w:val="0"/>
          <w:color w:val="auto"/>
          <w:kern w:val="0"/>
          <w:sz w:val="24"/>
        </w:rPr>
      </w:pPr>
      <w:r>
        <w:rPr>
          <w:rFonts w:hint="eastAsia" w:ascii="宋体" w:hAnsi="宋体"/>
          <w:bCs/>
          <w:snapToGrid w:val="0"/>
          <w:color w:val="auto"/>
          <w:kern w:val="0"/>
          <w:sz w:val="24"/>
        </w:rPr>
        <w:t>工程结算价款以发包人审定结算为准。如遇审计部门审计发现本合同结算价款存在超付的情形，发包人有权据实要求承包人返还该部分款项。</w:t>
      </w:r>
    </w:p>
    <w:p>
      <w:pPr>
        <w:widowControl/>
        <w:adjustRightInd w:val="0"/>
        <w:snapToGrid w:val="0"/>
        <w:spacing w:line="440" w:lineRule="exact"/>
        <w:ind w:firstLine="472" w:firstLineChars="196"/>
        <w:rPr>
          <w:rFonts w:ascii="宋体" w:hAnsi="宋体"/>
          <w:b/>
          <w:bCs/>
          <w:color w:val="auto"/>
          <w:sz w:val="24"/>
        </w:rPr>
      </w:pPr>
      <w:r>
        <w:rPr>
          <w:rFonts w:hint="eastAsia" w:ascii="宋体" w:hAnsi="宋体"/>
          <w:b/>
          <w:bCs/>
          <w:color w:val="auto"/>
          <w:sz w:val="24"/>
        </w:rPr>
        <w:t>六、组成合同的文件</w:t>
      </w:r>
    </w:p>
    <w:p>
      <w:pPr>
        <w:widowControl/>
        <w:adjustRightInd w:val="0"/>
        <w:snapToGrid w:val="0"/>
        <w:spacing w:line="440" w:lineRule="exact"/>
        <w:ind w:left="336" w:leftChars="160" w:firstLine="241" w:firstLineChars="100"/>
        <w:rPr>
          <w:rFonts w:ascii="宋体" w:hAnsi="宋体"/>
          <w:color w:val="auto"/>
          <w:sz w:val="24"/>
        </w:rPr>
      </w:pPr>
      <w:r>
        <w:rPr>
          <w:rFonts w:hint="eastAsia" w:ascii="宋体" w:hAnsi="宋体"/>
          <w:b/>
          <w:bCs/>
          <w:color w:val="auto"/>
          <w:sz w:val="24"/>
        </w:rPr>
        <w:t>1、本合同履行</w:t>
      </w:r>
      <w:r>
        <w:rPr>
          <w:rFonts w:hint="eastAsia" w:ascii="宋体" w:hAnsi="宋体"/>
          <w:color w:val="auto"/>
          <w:sz w:val="24"/>
        </w:rPr>
        <w:t>期间发包人、项目建设管理单位与承包人三方签订的补充合同（协议）或修正文件；</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2、本合同协议书</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3、国家、广东省、广州市、广州开发区、黄埔区关于本工程施工的有关文件（发包人在收到后尽快通报给承包人）；</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4、建设业主针对本工程建设管理的各项制度、规定；</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5、中标通知书</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6、本合同专用条款</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7、招标文件及附件（包括补充、修改、澄清文件及答疑纪要等）</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8、本合同通用条款</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9、投标文件及附件</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10、标准、规范和其他有关技术文件</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11、图纸</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12、工程量清单</w:t>
      </w:r>
    </w:p>
    <w:p>
      <w:pPr>
        <w:widowControl/>
        <w:adjustRightInd w:val="0"/>
        <w:snapToGrid w:val="0"/>
        <w:spacing w:line="440" w:lineRule="exact"/>
        <w:ind w:left="336" w:leftChars="160" w:firstLine="240" w:firstLineChars="100"/>
        <w:rPr>
          <w:rFonts w:ascii="宋体" w:hAnsi="宋体"/>
          <w:color w:val="auto"/>
          <w:sz w:val="24"/>
        </w:rPr>
      </w:pPr>
      <w:r>
        <w:rPr>
          <w:rFonts w:hint="eastAsia" w:ascii="宋体" w:hAnsi="宋体"/>
          <w:color w:val="auto"/>
          <w:sz w:val="24"/>
        </w:rPr>
        <w:t>13、合同附件（工程质量保修责任书、标函承诺书、项目负责人驻场承诺书、工程建设廉政协议书等）</w:t>
      </w:r>
    </w:p>
    <w:p>
      <w:pPr>
        <w:pStyle w:val="29"/>
        <w:spacing w:line="440" w:lineRule="exact"/>
        <w:rPr>
          <w:rFonts w:ascii="宋体" w:hAnsi="宋体"/>
          <w:color w:val="auto"/>
          <w:szCs w:val="24"/>
        </w:rPr>
      </w:pPr>
      <w:r>
        <w:rPr>
          <w:rFonts w:hint="eastAsia" w:ascii="宋体" w:hAnsi="宋体"/>
          <w:color w:val="auto"/>
          <w:szCs w:val="24"/>
        </w:rPr>
        <w:t>三方有关工程的洽商、变更等书面协议或文件视为本合同的组成部分。</w:t>
      </w:r>
    </w:p>
    <w:p>
      <w:pPr>
        <w:pStyle w:val="22"/>
        <w:snapToGrid w:val="0"/>
        <w:spacing w:line="440" w:lineRule="exact"/>
        <w:ind w:left="0"/>
        <w:rPr>
          <w:rFonts w:ascii="宋体" w:hAnsi="宋体"/>
          <w:bCs/>
          <w:color w:val="auto"/>
        </w:rPr>
      </w:pPr>
      <w:r>
        <w:rPr>
          <w:rFonts w:hint="eastAsia" w:ascii="宋体" w:hAnsi="宋体"/>
          <w:bCs/>
          <w:color w:val="auto"/>
        </w:rPr>
        <w:t xml:space="preserve">   </w:t>
      </w:r>
      <w:r>
        <w:rPr>
          <w:rFonts w:hint="eastAsia" w:ascii="宋体" w:hAnsi="宋体"/>
          <w:b/>
          <w:bCs/>
          <w:color w:val="auto"/>
        </w:rPr>
        <w:t xml:space="preserve"> 七、</w:t>
      </w:r>
      <w:r>
        <w:rPr>
          <w:rFonts w:hint="eastAsia" w:ascii="宋体" w:hAnsi="宋体"/>
          <w:bCs/>
          <w:color w:val="auto"/>
        </w:rPr>
        <w:t>协议书中有关词语含义与本合同第二部分《通用条款》中分别赋予它们的定义相同。</w:t>
      </w:r>
    </w:p>
    <w:p>
      <w:pPr>
        <w:pStyle w:val="22"/>
        <w:snapToGrid w:val="0"/>
        <w:spacing w:line="440" w:lineRule="exact"/>
        <w:ind w:left="0"/>
        <w:rPr>
          <w:rFonts w:ascii="宋体" w:hAnsi="宋体"/>
          <w:bCs/>
          <w:color w:val="auto"/>
        </w:rPr>
      </w:pPr>
      <w:r>
        <w:rPr>
          <w:rFonts w:hint="eastAsia" w:ascii="宋体" w:hAnsi="宋体"/>
          <w:bCs/>
          <w:color w:val="auto"/>
        </w:rPr>
        <w:t xml:space="preserve">    </w:t>
      </w:r>
      <w:r>
        <w:rPr>
          <w:rFonts w:hint="eastAsia" w:ascii="宋体" w:hAnsi="宋体"/>
          <w:b/>
          <w:bCs/>
          <w:color w:val="auto"/>
        </w:rPr>
        <w:t>八、</w:t>
      </w:r>
      <w:r>
        <w:rPr>
          <w:rFonts w:hint="eastAsia" w:ascii="宋体" w:hAnsi="宋体"/>
          <w:bCs/>
          <w:color w:val="auto"/>
        </w:rPr>
        <w:t>承包人向发包人承诺按照合同约定进行施工、竣工并在质量保修期内承担工程质量保修责任。</w:t>
      </w:r>
    </w:p>
    <w:p>
      <w:pPr>
        <w:pStyle w:val="22"/>
        <w:snapToGrid w:val="0"/>
        <w:spacing w:line="440" w:lineRule="exact"/>
        <w:ind w:left="0"/>
        <w:rPr>
          <w:rFonts w:ascii="宋体" w:hAnsi="宋体"/>
          <w:bCs/>
          <w:color w:val="auto"/>
        </w:rPr>
      </w:pPr>
      <w:r>
        <w:rPr>
          <w:rFonts w:hint="eastAsia" w:ascii="宋体" w:hAnsi="宋体"/>
          <w:bCs/>
          <w:color w:val="auto"/>
        </w:rPr>
        <w:t xml:space="preserve">   </w:t>
      </w:r>
      <w:r>
        <w:rPr>
          <w:rFonts w:hint="eastAsia" w:ascii="宋体" w:hAnsi="宋体"/>
          <w:b/>
          <w:bCs/>
          <w:color w:val="auto"/>
        </w:rPr>
        <w:t xml:space="preserve"> 九、</w:t>
      </w:r>
      <w:r>
        <w:rPr>
          <w:rFonts w:hint="eastAsia" w:ascii="宋体" w:hAnsi="宋体"/>
          <w:bCs/>
          <w:color w:val="auto"/>
        </w:rPr>
        <w:t>发包人向承包人承诺按照合同约定的期限和方式支付合同价款及其他应当支付的款项。</w:t>
      </w:r>
    </w:p>
    <w:p>
      <w:pPr>
        <w:snapToGrid w:val="0"/>
        <w:spacing w:line="440" w:lineRule="exact"/>
        <w:ind w:firstLine="482"/>
        <w:rPr>
          <w:rFonts w:ascii="宋体" w:hAnsi="宋体"/>
          <w:b/>
          <w:bCs/>
          <w:color w:val="auto"/>
          <w:sz w:val="24"/>
        </w:rPr>
      </w:pPr>
      <w:r>
        <w:rPr>
          <w:rFonts w:hint="eastAsia" w:ascii="宋体" w:hAnsi="宋体"/>
          <w:b/>
          <w:bCs/>
          <w:color w:val="auto"/>
          <w:sz w:val="24"/>
        </w:rPr>
        <w:t>十、合同生效</w:t>
      </w:r>
    </w:p>
    <w:p>
      <w:pPr>
        <w:snapToGrid w:val="0"/>
        <w:spacing w:line="440" w:lineRule="exact"/>
        <w:ind w:firstLine="482"/>
        <w:rPr>
          <w:rFonts w:ascii="宋体" w:hAnsi="宋体"/>
          <w:color w:val="auto"/>
          <w:sz w:val="24"/>
        </w:rPr>
      </w:pPr>
      <w:r>
        <w:rPr>
          <w:rFonts w:hint="eastAsia" w:ascii="宋体" w:hAnsi="宋体"/>
          <w:color w:val="auto"/>
          <w:sz w:val="24"/>
        </w:rPr>
        <w:t>合同订立时间：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napToGrid w:val="0"/>
        <w:spacing w:line="440" w:lineRule="exact"/>
        <w:ind w:firstLine="480"/>
        <w:rPr>
          <w:rFonts w:ascii="宋体" w:hAnsi="宋体"/>
          <w:color w:val="auto"/>
          <w:sz w:val="24"/>
        </w:rPr>
      </w:pPr>
      <w:r>
        <w:rPr>
          <w:rFonts w:hint="eastAsia" w:ascii="宋体" w:hAnsi="宋体"/>
          <w:color w:val="auto"/>
          <w:sz w:val="24"/>
        </w:rPr>
        <w:t>合同订立地点：</w:t>
      </w:r>
      <w:r>
        <w:rPr>
          <w:rFonts w:hint="eastAsia" w:ascii="宋体" w:hAnsi="宋体"/>
          <w:color w:val="auto"/>
          <w:sz w:val="24"/>
          <w:u w:val="single"/>
        </w:rPr>
        <w:t>广州市黄埔区</w:t>
      </w:r>
    </w:p>
    <w:p>
      <w:pPr>
        <w:snapToGrid w:val="0"/>
        <w:spacing w:line="440" w:lineRule="exact"/>
        <w:ind w:firstLine="480"/>
        <w:rPr>
          <w:rFonts w:ascii="宋体" w:hAnsi="宋体"/>
          <w:color w:val="auto"/>
          <w:sz w:val="24"/>
        </w:rPr>
      </w:pPr>
      <w:r>
        <w:rPr>
          <w:rFonts w:hint="eastAsia" w:ascii="宋体" w:hAnsi="宋体"/>
          <w:color w:val="auto"/>
          <w:sz w:val="24"/>
        </w:rPr>
        <w:t>本合同三方约定：</w:t>
      </w:r>
      <w:r>
        <w:rPr>
          <w:rFonts w:hint="eastAsia" w:ascii="宋体" w:hAnsi="宋体"/>
          <w:color w:val="auto"/>
          <w:sz w:val="24"/>
          <w:u w:val="single"/>
        </w:rPr>
        <w:t>三方签名、盖章并在承包人提交履约担保</w:t>
      </w:r>
      <w:r>
        <w:rPr>
          <w:rFonts w:hint="eastAsia" w:ascii="宋体" w:hAnsi="宋体"/>
          <w:color w:val="auto"/>
          <w:sz w:val="24"/>
        </w:rPr>
        <w:t>后生效。</w:t>
      </w:r>
    </w:p>
    <w:p>
      <w:pPr>
        <w:snapToGrid w:val="0"/>
        <w:spacing w:line="460" w:lineRule="exact"/>
        <w:rPr>
          <w:rFonts w:ascii="宋体" w:hAnsi="宋体"/>
          <w:color w:val="auto"/>
          <w:sz w:val="24"/>
        </w:rPr>
      </w:pPr>
    </w:p>
    <w:p>
      <w:pPr>
        <w:snapToGrid w:val="0"/>
        <w:spacing w:line="460" w:lineRule="exact"/>
        <w:ind w:firstLine="120" w:firstLineChars="50"/>
        <w:rPr>
          <w:rFonts w:ascii="宋体" w:hAnsi="宋体"/>
          <w:color w:val="auto"/>
          <w:sz w:val="24"/>
        </w:rPr>
      </w:pPr>
      <w:r>
        <w:rPr>
          <w:rFonts w:hint="eastAsia" w:ascii="宋体" w:hAnsi="宋体"/>
          <w:color w:val="auto"/>
          <w:sz w:val="24"/>
        </w:rPr>
        <w:t xml:space="preserve"> </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发包人：（盖章）广州开投智慧能源   项目建设管理单位：（盖章）</w:t>
      </w:r>
      <w:r>
        <w:rPr>
          <w:rFonts w:hint="eastAsia" w:ascii="宋体" w:hAnsi="宋体"/>
          <w:color w:val="auto"/>
          <w:sz w:val="24"/>
          <w:szCs w:val="24"/>
          <w:u w:val="single"/>
        </w:rPr>
        <w:t>广州市金鼎广铝装饰</w:t>
      </w:r>
    </w:p>
    <w:p>
      <w:pPr>
        <w:pStyle w:val="3"/>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kern w:val="2"/>
          <w:sz w:val="24"/>
          <w:szCs w:val="24"/>
        </w:rPr>
        <w:t xml:space="preserve">投资有限公司                                 </w:t>
      </w:r>
      <w:r>
        <w:rPr>
          <w:rFonts w:hint="eastAsia" w:ascii="宋体" w:hAnsi="宋体"/>
          <w:color w:val="auto"/>
          <w:sz w:val="24"/>
          <w:szCs w:val="24"/>
          <w:u w:val="single"/>
        </w:rPr>
        <w:t>工程有限公司</w:t>
      </w:r>
    </w:p>
    <w:p>
      <w:pPr>
        <w:snapToGrid w:val="0"/>
        <w:spacing w:line="460" w:lineRule="exact"/>
        <w:rPr>
          <w:rFonts w:ascii="宋体" w:hAnsi="宋体" w:cs="宋体"/>
          <w:color w:val="auto"/>
          <w:sz w:val="24"/>
          <w:szCs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住      所：                          住      所：</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法定代表人：                          法定代表人：</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委托代理人：                         委托代理人：</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电      话：                         电      话：</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传      真：                         传      真：</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开户 银 行：                         开户 银 行：</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w:t>
      </w:r>
      <w:r>
        <w:rPr>
          <w:rFonts w:hint="eastAsia" w:ascii="宋体" w:hAnsi="宋体"/>
          <w:color w:val="auto"/>
          <w:sz w:val="24"/>
          <w:lang w:val="en-US" w:eastAsia="zh-CN"/>
        </w:rPr>
        <w:t>账</w:t>
      </w:r>
      <w:r>
        <w:rPr>
          <w:rFonts w:hint="eastAsia" w:ascii="宋体" w:hAnsi="宋体"/>
          <w:color w:val="auto"/>
          <w:sz w:val="24"/>
        </w:rPr>
        <w:t xml:space="preserve">      号：                         </w:t>
      </w:r>
      <w:r>
        <w:rPr>
          <w:rFonts w:hint="eastAsia" w:ascii="宋体" w:hAnsi="宋体"/>
          <w:color w:val="auto"/>
          <w:sz w:val="24"/>
          <w:lang w:val="en-US" w:eastAsia="zh-CN"/>
        </w:rPr>
        <w:t>账</w:t>
      </w:r>
      <w:r>
        <w:rPr>
          <w:rFonts w:hint="eastAsia" w:ascii="宋体" w:hAnsi="宋体"/>
          <w:color w:val="auto"/>
          <w:sz w:val="24"/>
        </w:rPr>
        <w:t xml:space="preserve">      号：</w:t>
      </w:r>
    </w:p>
    <w:p>
      <w:pPr>
        <w:snapToGrid w:val="0"/>
        <w:spacing w:line="460" w:lineRule="exact"/>
        <w:rPr>
          <w:rFonts w:ascii="宋体" w:hAnsi="宋体"/>
          <w:color w:val="auto"/>
          <w:sz w:val="24"/>
        </w:rPr>
      </w:pPr>
      <w:r>
        <w:rPr>
          <w:rFonts w:hint="eastAsia" w:ascii="宋体" w:hAnsi="宋体"/>
          <w:color w:val="auto"/>
          <w:sz w:val="24"/>
        </w:rPr>
        <w:t xml:space="preserve"> </w:t>
      </w:r>
    </w:p>
    <w:p>
      <w:pPr>
        <w:spacing w:line="500" w:lineRule="exact"/>
        <w:rPr>
          <w:rFonts w:ascii="宋体" w:hAnsi="宋体"/>
          <w:color w:val="auto"/>
          <w:sz w:val="32"/>
        </w:rPr>
      </w:pPr>
      <w:r>
        <w:rPr>
          <w:rFonts w:ascii="宋体" w:hAnsi="宋体"/>
          <w:color w:val="auto"/>
          <w:sz w:val="24"/>
        </w:rPr>
        <w:t xml:space="preserve"> </w:t>
      </w:r>
      <w:r>
        <w:rPr>
          <w:rFonts w:hint="eastAsia" w:ascii="宋体" w:hAnsi="宋体"/>
          <w:color w:val="auto"/>
          <w:sz w:val="24"/>
        </w:rPr>
        <w:t xml:space="preserve">   邮政 编 码：                         邮政 编 码：</w:t>
      </w:r>
    </w:p>
    <w:p>
      <w:pPr>
        <w:spacing w:line="500" w:lineRule="exact"/>
        <w:rPr>
          <w:rFonts w:ascii="宋体" w:hAnsi="宋体"/>
          <w:color w:val="auto"/>
          <w:sz w:val="32"/>
        </w:rPr>
      </w:pPr>
    </w:p>
    <w:p>
      <w:pPr>
        <w:spacing w:line="500" w:lineRule="exact"/>
        <w:rPr>
          <w:rFonts w:ascii="宋体" w:hAnsi="宋体" w:cs="宋体"/>
          <w:color w:val="auto"/>
          <w:sz w:val="24"/>
          <w:szCs w:val="24"/>
        </w:rPr>
      </w:pPr>
      <w:r>
        <w:rPr>
          <w:rFonts w:hint="eastAsia" w:ascii="宋体" w:hAnsi="宋体" w:cs="宋体"/>
          <w:color w:val="auto"/>
          <w:sz w:val="24"/>
          <w:szCs w:val="24"/>
        </w:rPr>
        <w:t xml:space="preserve">     承包人：（盖章）</w:t>
      </w:r>
    </w:p>
    <w:p>
      <w:pPr>
        <w:pStyle w:val="20"/>
        <w:rPr>
          <w:color w:val="auto"/>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住      所：</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法定代表人：</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委托代理人：</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电      话：</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传      真：</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开户 银 行：：</w:t>
      </w:r>
    </w:p>
    <w:p>
      <w:pPr>
        <w:snapToGrid w:val="0"/>
        <w:spacing w:line="460" w:lineRule="exact"/>
        <w:rPr>
          <w:rFonts w:ascii="宋体" w:hAnsi="宋体"/>
          <w:color w:val="auto"/>
          <w:sz w:val="24"/>
        </w:rPr>
      </w:pPr>
    </w:p>
    <w:p>
      <w:pPr>
        <w:snapToGrid w:val="0"/>
        <w:spacing w:line="46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w:t>
      </w:r>
      <w:r>
        <w:rPr>
          <w:rFonts w:hint="eastAsia" w:ascii="宋体" w:hAnsi="宋体"/>
          <w:color w:val="auto"/>
          <w:sz w:val="24"/>
          <w:lang w:val="en-US" w:eastAsia="zh-CN"/>
        </w:rPr>
        <w:t>账</w:t>
      </w:r>
      <w:r>
        <w:rPr>
          <w:rFonts w:hint="eastAsia" w:ascii="宋体" w:hAnsi="宋体"/>
          <w:color w:val="auto"/>
          <w:sz w:val="24"/>
        </w:rPr>
        <w:t xml:space="preserve">      号：</w:t>
      </w:r>
    </w:p>
    <w:p>
      <w:pPr>
        <w:snapToGrid w:val="0"/>
        <w:spacing w:line="460" w:lineRule="exact"/>
        <w:rPr>
          <w:rFonts w:ascii="宋体" w:hAnsi="宋体"/>
          <w:color w:val="auto"/>
          <w:sz w:val="24"/>
        </w:rPr>
      </w:pPr>
      <w:r>
        <w:rPr>
          <w:rFonts w:hint="eastAsia" w:ascii="宋体" w:hAnsi="宋体"/>
          <w:color w:val="auto"/>
          <w:sz w:val="24"/>
        </w:rPr>
        <w:t xml:space="preserve"> </w:t>
      </w:r>
    </w:p>
    <w:p>
      <w:pPr>
        <w:spacing w:line="500" w:lineRule="exact"/>
        <w:rPr>
          <w:rFonts w:ascii="宋体" w:hAnsi="宋体"/>
          <w:color w:val="auto"/>
          <w:sz w:val="32"/>
        </w:rPr>
      </w:pPr>
      <w:r>
        <w:rPr>
          <w:rFonts w:ascii="宋体" w:hAnsi="宋体"/>
          <w:color w:val="auto"/>
          <w:sz w:val="24"/>
        </w:rPr>
        <w:t xml:space="preserve"> </w:t>
      </w:r>
      <w:r>
        <w:rPr>
          <w:rFonts w:hint="eastAsia" w:ascii="宋体" w:hAnsi="宋体"/>
          <w:color w:val="auto"/>
          <w:sz w:val="24"/>
        </w:rPr>
        <w:t xml:space="preserve">   邮政 编 码：</w:t>
      </w:r>
    </w:p>
    <w:p>
      <w:pPr>
        <w:spacing w:line="500" w:lineRule="exact"/>
        <w:rPr>
          <w:rFonts w:ascii="宋体" w:hAnsi="宋体"/>
          <w:color w:val="auto"/>
          <w:sz w:val="32"/>
        </w:rPr>
      </w:pPr>
    </w:p>
    <w:p>
      <w:pPr>
        <w:pStyle w:val="5"/>
        <w:bidi w:val="0"/>
        <w:rPr>
          <w:rFonts w:ascii="宋体" w:hAnsi="宋体"/>
          <w:b/>
          <w:color w:val="auto"/>
          <w:sz w:val="28"/>
          <w:szCs w:val="28"/>
        </w:rPr>
      </w:pPr>
      <w:r>
        <w:rPr>
          <w:rFonts w:ascii="宋体" w:hAnsi="宋体"/>
          <w:color w:val="auto"/>
          <w:sz w:val="32"/>
        </w:rPr>
        <w:br w:type="page"/>
      </w:r>
      <w:r>
        <w:rPr>
          <w:rFonts w:hint="eastAsia" w:ascii="宋体" w:hAnsi="宋体"/>
          <w:b/>
          <w:color w:val="auto"/>
          <w:sz w:val="28"/>
          <w:szCs w:val="28"/>
        </w:rPr>
        <w:t>第二部分 通用条款</w:t>
      </w:r>
    </w:p>
    <w:p>
      <w:pPr>
        <w:spacing w:line="400" w:lineRule="exact"/>
        <w:ind w:firstLine="718" w:firstLineChars="342"/>
        <w:rPr>
          <w:rFonts w:ascii="宋体" w:hAnsi="宋体"/>
          <w:color w:val="auto"/>
          <w:szCs w:val="21"/>
        </w:rPr>
      </w:pPr>
    </w:p>
    <w:p>
      <w:pPr>
        <w:spacing w:line="400" w:lineRule="exact"/>
        <w:ind w:firstLine="359" w:firstLineChars="171"/>
        <w:rPr>
          <w:rFonts w:ascii="宋体" w:hAnsi="宋体"/>
          <w:color w:val="auto"/>
          <w:szCs w:val="21"/>
        </w:rPr>
      </w:pPr>
      <w:r>
        <w:rPr>
          <w:rFonts w:hint="eastAsia" w:ascii="宋体" w:hAnsi="宋体"/>
          <w:color w:val="auto"/>
          <w:szCs w:val="21"/>
        </w:rPr>
        <w:t xml:space="preserve">一、词语定义及合同文件 </w:t>
      </w:r>
    </w:p>
    <w:p>
      <w:pPr>
        <w:spacing w:line="400" w:lineRule="exact"/>
        <w:ind w:firstLine="359" w:firstLineChars="171"/>
        <w:rPr>
          <w:rFonts w:ascii="宋体" w:hAnsi="宋体"/>
          <w:color w:val="auto"/>
          <w:szCs w:val="21"/>
        </w:rPr>
      </w:pPr>
      <w:r>
        <w:rPr>
          <w:rFonts w:ascii="宋体" w:hAnsi="宋体"/>
          <w:color w:val="auto"/>
          <w:szCs w:val="21"/>
        </w:rPr>
        <w:t>1.</w:t>
      </w:r>
      <w:r>
        <w:rPr>
          <w:rFonts w:hint="eastAsia" w:ascii="宋体" w:hAnsi="宋体"/>
          <w:color w:val="auto"/>
          <w:szCs w:val="21"/>
        </w:rPr>
        <w:t xml:space="preserve">词语定义 </w:t>
      </w:r>
    </w:p>
    <w:p>
      <w:pPr>
        <w:spacing w:line="400" w:lineRule="exact"/>
        <w:ind w:firstLine="359" w:firstLineChars="171"/>
        <w:rPr>
          <w:rFonts w:ascii="宋体" w:hAnsi="宋体"/>
          <w:color w:val="auto"/>
          <w:szCs w:val="21"/>
        </w:rPr>
      </w:pPr>
      <w:r>
        <w:rPr>
          <w:rFonts w:hint="eastAsia" w:ascii="宋体" w:hAnsi="宋体"/>
          <w:color w:val="auto"/>
          <w:szCs w:val="21"/>
        </w:rPr>
        <w:t>下列词语除专用条款另有约定外，应具有本条所赋予的定义：</w:t>
      </w:r>
    </w:p>
    <w:p>
      <w:pPr>
        <w:spacing w:line="400" w:lineRule="exact"/>
        <w:ind w:firstLine="359" w:firstLineChars="171"/>
        <w:rPr>
          <w:rFonts w:ascii="宋体" w:hAnsi="宋体"/>
          <w:color w:val="auto"/>
          <w:szCs w:val="21"/>
        </w:rPr>
      </w:pPr>
      <w:r>
        <w:rPr>
          <w:rFonts w:hint="eastAsia" w:ascii="宋体" w:hAnsi="宋体"/>
          <w:color w:val="auto"/>
          <w:szCs w:val="21"/>
        </w:rPr>
        <w:t xml:space="preserve">1.1 通用条款：是根据法律、行政法规规定及建设工程施工的需要订立，通用于建设工程施工的条款。 </w:t>
      </w:r>
    </w:p>
    <w:p>
      <w:pPr>
        <w:spacing w:line="400" w:lineRule="exact"/>
        <w:ind w:firstLine="359" w:firstLineChars="171"/>
        <w:rPr>
          <w:rFonts w:ascii="宋体" w:hAnsi="宋体"/>
          <w:color w:val="auto"/>
          <w:szCs w:val="21"/>
        </w:rPr>
      </w:pPr>
      <w:r>
        <w:rPr>
          <w:rFonts w:hint="eastAsia" w:ascii="宋体" w:hAnsi="宋体"/>
          <w:color w:val="auto"/>
          <w:szCs w:val="21"/>
        </w:rPr>
        <w:t xml:space="preserve">1.2 专用条款：是指合同三方根据法律、行政法规规定，结合具体工程实际，经协商达成一致意见的条款，是对通用条款的具体化、补充或修改。 </w:t>
      </w:r>
    </w:p>
    <w:p>
      <w:pPr>
        <w:spacing w:line="400" w:lineRule="exact"/>
        <w:ind w:firstLine="359" w:firstLineChars="171"/>
        <w:rPr>
          <w:rFonts w:ascii="宋体" w:hAnsi="宋体"/>
          <w:color w:val="auto"/>
          <w:szCs w:val="21"/>
        </w:rPr>
      </w:pPr>
      <w:r>
        <w:rPr>
          <w:rFonts w:hint="eastAsia" w:ascii="宋体" w:hAnsi="宋体"/>
          <w:color w:val="auto"/>
          <w:szCs w:val="21"/>
        </w:rPr>
        <w:t xml:space="preserve">1.3 发包人：指在协议书中约定，具有工程发包主体资格和支付工程价款能力的当事人以及取得该当事人资格的合法继承人。 </w:t>
      </w:r>
    </w:p>
    <w:p>
      <w:pPr>
        <w:spacing w:line="400" w:lineRule="exact"/>
        <w:ind w:firstLine="359" w:firstLineChars="171"/>
        <w:rPr>
          <w:rFonts w:ascii="宋体" w:hAnsi="宋体"/>
          <w:color w:val="auto"/>
          <w:szCs w:val="21"/>
        </w:rPr>
      </w:pPr>
      <w:r>
        <w:rPr>
          <w:rFonts w:hint="eastAsia" w:ascii="宋体" w:hAnsi="宋体"/>
          <w:color w:val="auto"/>
          <w:szCs w:val="21"/>
        </w:rPr>
        <w:t xml:space="preserve">1.4 承包人：指在协议书中约定，被发包人接受的具有工程施工承包主体资格的当事人以及取得该当事人资格的合法继承人。 </w:t>
      </w:r>
    </w:p>
    <w:p>
      <w:pPr>
        <w:spacing w:line="400" w:lineRule="exact"/>
        <w:ind w:firstLine="359" w:firstLineChars="171"/>
        <w:rPr>
          <w:rFonts w:ascii="宋体" w:hAnsi="宋体"/>
          <w:color w:val="auto"/>
          <w:szCs w:val="21"/>
        </w:rPr>
      </w:pPr>
      <w:r>
        <w:rPr>
          <w:rFonts w:hint="eastAsia" w:ascii="宋体" w:hAnsi="宋体"/>
          <w:color w:val="auto"/>
          <w:szCs w:val="21"/>
        </w:rPr>
        <w:t xml:space="preserve">1.5 项目负责人：指承包人在专用条款中指定的负责施工管理和合同履行的代表。 </w:t>
      </w:r>
    </w:p>
    <w:p>
      <w:pPr>
        <w:spacing w:line="400" w:lineRule="exact"/>
        <w:ind w:firstLine="359" w:firstLineChars="171"/>
        <w:rPr>
          <w:rFonts w:ascii="宋体" w:hAnsi="宋体"/>
          <w:color w:val="auto"/>
          <w:szCs w:val="21"/>
        </w:rPr>
      </w:pPr>
      <w:r>
        <w:rPr>
          <w:rFonts w:hint="eastAsia" w:ascii="宋体" w:hAnsi="宋体"/>
          <w:color w:val="auto"/>
          <w:szCs w:val="21"/>
        </w:rPr>
        <w:t xml:space="preserve">1.6 设计单位：指发包人委托的负责本工程设计并取得相应工程设计资质等级证书的单位。 </w:t>
      </w:r>
    </w:p>
    <w:p>
      <w:pPr>
        <w:spacing w:line="400" w:lineRule="exact"/>
        <w:ind w:firstLine="359" w:firstLineChars="171"/>
        <w:rPr>
          <w:rFonts w:ascii="宋体" w:hAnsi="宋体"/>
          <w:color w:val="auto"/>
          <w:szCs w:val="21"/>
        </w:rPr>
      </w:pPr>
      <w:r>
        <w:rPr>
          <w:rFonts w:hint="eastAsia" w:ascii="宋体" w:hAnsi="宋体"/>
          <w:color w:val="auto"/>
          <w:szCs w:val="21"/>
        </w:rPr>
        <w:t>1.7 监理单位：指发包人委托的负责本工程监理并取得相应</w:t>
      </w:r>
      <w:r>
        <w:rPr>
          <w:rFonts w:hint="eastAsia" w:ascii="宋体" w:hAnsi="宋体"/>
          <w:color w:val="auto"/>
          <w:szCs w:val="21"/>
          <w:lang w:val="en-US" w:eastAsia="zh-CN"/>
        </w:rPr>
        <w:t>的</w:t>
      </w:r>
      <w:r>
        <w:rPr>
          <w:rFonts w:hint="eastAsia" w:ascii="宋体" w:hAnsi="宋体"/>
          <w:color w:val="auto"/>
          <w:szCs w:val="21"/>
        </w:rPr>
        <w:t xml:space="preserve">工程监理资质等级证书的单位。 </w:t>
      </w:r>
    </w:p>
    <w:p>
      <w:pPr>
        <w:spacing w:line="400" w:lineRule="exact"/>
        <w:ind w:firstLine="359" w:firstLineChars="171"/>
        <w:rPr>
          <w:rFonts w:ascii="宋体" w:hAnsi="宋体"/>
          <w:color w:val="auto"/>
          <w:szCs w:val="21"/>
        </w:rPr>
      </w:pPr>
      <w:r>
        <w:rPr>
          <w:rFonts w:hint="eastAsia" w:ascii="宋体" w:hAnsi="宋体"/>
          <w:color w:val="auto"/>
          <w:szCs w:val="21"/>
        </w:rPr>
        <w:t xml:space="preserve">1.8 工程师：指本工程监理单位委派的总监理工程师或发包人指定的履行本合同的代表，其具体身份和职权由发包人承包人在专用条款中约定。 </w:t>
      </w:r>
    </w:p>
    <w:p>
      <w:pPr>
        <w:spacing w:line="400" w:lineRule="exact"/>
        <w:ind w:firstLine="359" w:firstLineChars="171"/>
        <w:rPr>
          <w:rFonts w:ascii="宋体" w:hAnsi="宋体"/>
          <w:color w:val="auto"/>
          <w:szCs w:val="21"/>
        </w:rPr>
      </w:pPr>
      <w:r>
        <w:rPr>
          <w:rFonts w:hint="eastAsia" w:ascii="宋体" w:hAnsi="宋体"/>
          <w:color w:val="auto"/>
          <w:szCs w:val="21"/>
        </w:rPr>
        <w:t xml:space="preserve">1.9 工程造价管理部门：指国务院有关部门、县级以上人民政府建设行政主管部门或其委托的工程造价管理机构。 </w:t>
      </w:r>
    </w:p>
    <w:p>
      <w:pPr>
        <w:spacing w:line="400" w:lineRule="exact"/>
        <w:ind w:firstLine="359" w:firstLineChars="171"/>
        <w:rPr>
          <w:rFonts w:ascii="宋体" w:hAnsi="宋体"/>
          <w:color w:val="auto"/>
          <w:szCs w:val="21"/>
        </w:rPr>
      </w:pPr>
      <w:r>
        <w:rPr>
          <w:rFonts w:hint="eastAsia" w:ascii="宋体" w:hAnsi="宋体"/>
          <w:color w:val="auto"/>
          <w:szCs w:val="21"/>
        </w:rPr>
        <w:t xml:space="preserve">1.10 工程：指合同三方当事人在协议书中约定的承包范围内的工程。 </w:t>
      </w:r>
    </w:p>
    <w:p>
      <w:pPr>
        <w:spacing w:line="400" w:lineRule="exact"/>
        <w:ind w:firstLine="359" w:firstLineChars="171"/>
        <w:rPr>
          <w:rFonts w:ascii="宋体" w:hAnsi="宋体"/>
          <w:color w:val="auto"/>
          <w:szCs w:val="21"/>
        </w:rPr>
      </w:pPr>
      <w:r>
        <w:rPr>
          <w:rFonts w:hint="eastAsia" w:ascii="宋体" w:hAnsi="宋体"/>
          <w:color w:val="auto"/>
          <w:szCs w:val="21"/>
        </w:rPr>
        <w:t xml:space="preserve">1.11 合同价款：指发包人承包人在协议书中约定，发包人用以支付承包人按照合同约定完成承包范围内全部工程并承担质量保修责任的款项。 </w:t>
      </w:r>
    </w:p>
    <w:p>
      <w:pPr>
        <w:spacing w:line="400" w:lineRule="exact"/>
        <w:ind w:firstLine="359" w:firstLineChars="171"/>
        <w:rPr>
          <w:rFonts w:ascii="宋体" w:hAnsi="宋体"/>
          <w:color w:val="auto"/>
          <w:szCs w:val="21"/>
        </w:rPr>
      </w:pPr>
      <w:r>
        <w:rPr>
          <w:rFonts w:hint="eastAsia" w:ascii="宋体" w:hAnsi="宋体"/>
          <w:color w:val="auto"/>
          <w:szCs w:val="21"/>
        </w:rPr>
        <w:t>1.1</w:t>
      </w:r>
      <w:r>
        <w:rPr>
          <w:rFonts w:ascii="宋体" w:hAnsi="宋体"/>
          <w:color w:val="auto"/>
          <w:szCs w:val="21"/>
        </w:rPr>
        <w:t>2</w:t>
      </w:r>
      <w:r>
        <w:rPr>
          <w:rFonts w:hint="eastAsia" w:ascii="宋体" w:hAnsi="宋体"/>
          <w:color w:val="auto"/>
          <w:szCs w:val="21"/>
        </w:rPr>
        <w:t xml:space="preserve"> 追加合同价款：指在合同履行中发生需要增加合同价款的情况，经发包人确认后按计算合同价款的方法增加的合同价款。 </w:t>
      </w:r>
    </w:p>
    <w:p>
      <w:pPr>
        <w:spacing w:line="400" w:lineRule="exact"/>
        <w:ind w:firstLine="359" w:firstLineChars="171"/>
        <w:rPr>
          <w:rFonts w:ascii="宋体" w:hAnsi="宋体"/>
          <w:color w:val="auto"/>
          <w:szCs w:val="21"/>
        </w:rPr>
      </w:pPr>
      <w:r>
        <w:rPr>
          <w:rFonts w:hint="eastAsia" w:ascii="宋体" w:hAnsi="宋体"/>
          <w:color w:val="auto"/>
          <w:szCs w:val="21"/>
        </w:rPr>
        <w:t>1.13 费用：指不包含在合同价款之内的应当由发包人或承包人承担的经济支出。</w:t>
      </w:r>
    </w:p>
    <w:p>
      <w:pPr>
        <w:spacing w:line="400" w:lineRule="exact"/>
        <w:ind w:firstLine="359" w:firstLineChars="171"/>
        <w:rPr>
          <w:rFonts w:ascii="宋体" w:hAnsi="宋体"/>
          <w:color w:val="auto"/>
          <w:szCs w:val="21"/>
        </w:rPr>
      </w:pPr>
      <w:r>
        <w:rPr>
          <w:rFonts w:hint="eastAsia" w:ascii="宋体" w:hAnsi="宋体"/>
          <w:color w:val="auto"/>
          <w:szCs w:val="21"/>
        </w:rPr>
        <w:t xml:space="preserve">1.14 工期：指合同三方当事人在协议书中约定，按总日历天数（包括法定节假日）计算的承包天数。 </w:t>
      </w:r>
    </w:p>
    <w:p>
      <w:pPr>
        <w:spacing w:line="400" w:lineRule="exact"/>
        <w:ind w:firstLine="359" w:firstLineChars="171"/>
        <w:rPr>
          <w:rFonts w:ascii="宋体" w:hAnsi="宋体"/>
          <w:color w:val="auto"/>
          <w:szCs w:val="21"/>
        </w:rPr>
      </w:pPr>
      <w:r>
        <w:rPr>
          <w:rFonts w:hint="eastAsia" w:ascii="宋体" w:hAnsi="宋体"/>
          <w:color w:val="auto"/>
          <w:szCs w:val="21"/>
        </w:rPr>
        <w:t xml:space="preserve">1.15 开工日期：指合同三方当事人在协议书中约定，承包人开始施工的绝对或相对的日期。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1.16 竣工日期：指合同三方当事人在协议书中约定，承包人完成承包范围内工程的绝对或相对的日期。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1.17 图纸：指由发包人提供或承包人提供并经发包人批准，满足承包人施工需要的所有图纸（包括配套说明和有关资料）。 </w:t>
      </w:r>
    </w:p>
    <w:p>
      <w:pPr>
        <w:spacing w:line="400" w:lineRule="exact"/>
        <w:ind w:firstLine="359" w:firstLineChars="171"/>
        <w:rPr>
          <w:rFonts w:ascii="宋体" w:hAnsi="宋体"/>
          <w:color w:val="auto"/>
          <w:szCs w:val="21"/>
        </w:rPr>
      </w:pPr>
      <w:r>
        <w:rPr>
          <w:rFonts w:hint="eastAsia" w:ascii="宋体" w:hAnsi="宋体"/>
          <w:color w:val="auto"/>
          <w:szCs w:val="21"/>
        </w:rPr>
        <w:t xml:space="preserve">1.18 施工场地：指由发包人提供的用于工程施工的场所以及发包人在图纸中具体指定的供施工使用的任何其他场所。 </w:t>
      </w:r>
    </w:p>
    <w:p>
      <w:pPr>
        <w:spacing w:line="400" w:lineRule="exact"/>
        <w:ind w:firstLine="359" w:firstLineChars="171"/>
        <w:rPr>
          <w:rFonts w:ascii="宋体" w:hAnsi="宋体"/>
          <w:color w:val="auto"/>
          <w:szCs w:val="21"/>
        </w:rPr>
      </w:pPr>
      <w:r>
        <w:rPr>
          <w:rFonts w:hint="eastAsia" w:ascii="宋体" w:hAnsi="宋体"/>
          <w:color w:val="auto"/>
          <w:szCs w:val="21"/>
        </w:rPr>
        <w:t>1.</w:t>
      </w:r>
      <w:r>
        <w:rPr>
          <w:rFonts w:ascii="宋体" w:hAnsi="宋体"/>
          <w:color w:val="auto"/>
          <w:szCs w:val="21"/>
        </w:rPr>
        <w:t>19</w:t>
      </w:r>
      <w:r>
        <w:rPr>
          <w:rFonts w:hint="eastAsia" w:ascii="宋体" w:hAnsi="宋体"/>
          <w:color w:val="auto"/>
          <w:szCs w:val="21"/>
        </w:rPr>
        <w:t xml:space="preserve"> 书面形式：指合同书、信件和数据电文（包括电报、电传、传真、电子数据交换和电子邮件）等可以有形地表现所载内容的形式。 </w:t>
      </w:r>
    </w:p>
    <w:p>
      <w:pPr>
        <w:spacing w:line="400" w:lineRule="exact"/>
        <w:ind w:firstLine="359" w:firstLineChars="171"/>
        <w:rPr>
          <w:rFonts w:ascii="宋体" w:hAnsi="宋体"/>
          <w:color w:val="auto"/>
          <w:szCs w:val="21"/>
        </w:rPr>
      </w:pPr>
      <w:r>
        <w:rPr>
          <w:rFonts w:hint="eastAsia" w:ascii="宋体" w:hAnsi="宋体"/>
          <w:color w:val="auto"/>
          <w:szCs w:val="21"/>
        </w:rPr>
        <w:t xml:space="preserve">1.20 违约责任：指合同一方不履行合同义务或履行合同义务不符合约定所应承担的责任。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1.21 索赔：指在合同履行过程中，对于并非自己的过错，而是应由对方承担责任的情况造成的实际损失，向对方提出经济补偿和（或）工期顺延的要求。 </w:t>
      </w:r>
    </w:p>
    <w:p>
      <w:pPr>
        <w:spacing w:line="400" w:lineRule="exact"/>
        <w:ind w:firstLine="359" w:firstLineChars="171"/>
        <w:rPr>
          <w:rFonts w:ascii="宋体" w:hAnsi="宋体"/>
          <w:color w:val="auto"/>
          <w:szCs w:val="21"/>
        </w:rPr>
      </w:pPr>
      <w:r>
        <w:rPr>
          <w:rFonts w:hint="eastAsia" w:ascii="宋体" w:hAnsi="宋体"/>
          <w:color w:val="auto"/>
          <w:szCs w:val="21"/>
        </w:rPr>
        <w:t xml:space="preserve">1.22 不可抗力：指不能预见、不能避免并不能克服的客观情况。 </w:t>
      </w:r>
    </w:p>
    <w:p>
      <w:pPr>
        <w:spacing w:line="400" w:lineRule="exact"/>
        <w:ind w:firstLine="359" w:firstLineChars="171"/>
        <w:rPr>
          <w:rFonts w:ascii="宋体" w:hAnsi="宋体"/>
          <w:color w:val="auto"/>
          <w:szCs w:val="21"/>
        </w:rPr>
      </w:pPr>
      <w:r>
        <w:rPr>
          <w:rFonts w:hint="eastAsia" w:ascii="宋体" w:hAnsi="宋体"/>
          <w:color w:val="auto"/>
          <w:szCs w:val="21"/>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pPr>
        <w:spacing w:line="400" w:lineRule="exact"/>
        <w:ind w:firstLine="359" w:firstLineChars="171"/>
        <w:rPr>
          <w:rFonts w:ascii="宋体" w:hAnsi="宋体"/>
          <w:color w:val="auto"/>
          <w:szCs w:val="21"/>
        </w:rPr>
      </w:pPr>
      <w:r>
        <w:rPr>
          <w:rFonts w:hint="eastAsia" w:ascii="宋体" w:hAnsi="宋体"/>
          <w:color w:val="auto"/>
          <w:szCs w:val="21"/>
        </w:rPr>
        <w:t xml:space="preserve">2、合同文件及解释顺序 </w:t>
      </w:r>
    </w:p>
    <w:p>
      <w:pPr>
        <w:spacing w:line="400" w:lineRule="exact"/>
        <w:ind w:firstLine="359" w:firstLineChars="171"/>
        <w:rPr>
          <w:rFonts w:ascii="宋体" w:hAnsi="宋体"/>
          <w:color w:val="auto"/>
          <w:szCs w:val="21"/>
        </w:rPr>
      </w:pPr>
      <w:r>
        <w:rPr>
          <w:rFonts w:hint="eastAsia" w:ascii="宋体" w:hAnsi="宋体"/>
          <w:color w:val="auto"/>
          <w:szCs w:val="21"/>
        </w:rPr>
        <w:t xml:space="preserve">2.1 合同文件应能相互解释，互为说明。除专用条款另有约定外，组成本合同的文件及优先解释顺序如下： </w:t>
      </w:r>
    </w:p>
    <w:p>
      <w:pPr>
        <w:spacing w:line="400" w:lineRule="exact"/>
        <w:ind w:firstLine="359" w:firstLineChars="171"/>
        <w:rPr>
          <w:rFonts w:ascii="宋体" w:hAnsi="宋体"/>
          <w:color w:val="auto"/>
          <w:szCs w:val="21"/>
        </w:rPr>
      </w:pPr>
      <w:r>
        <w:rPr>
          <w:rFonts w:hint="eastAsia" w:ascii="宋体" w:hAnsi="宋体"/>
          <w:color w:val="auto"/>
          <w:szCs w:val="21"/>
        </w:rPr>
        <w:t xml:space="preserve">（1）本合同协议书 </w:t>
      </w:r>
    </w:p>
    <w:p>
      <w:pPr>
        <w:spacing w:line="400" w:lineRule="exact"/>
        <w:ind w:firstLine="359" w:firstLineChars="171"/>
        <w:rPr>
          <w:rFonts w:ascii="宋体" w:hAnsi="宋体"/>
          <w:color w:val="auto"/>
          <w:szCs w:val="21"/>
        </w:rPr>
      </w:pPr>
      <w:r>
        <w:rPr>
          <w:rFonts w:hint="eastAsia" w:ascii="宋体" w:hAnsi="宋体"/>
          <w:color w:val="auto"/>
          <w:szCs w:val="21"/>
        </w:rPr>
        <w:t xml:space="preserve">（2）中标通知书 </w:t>
      </w:r>
    </w:p>
    <w:p>
      <w:pPr>
        <w:spacing w:line="400" w:lineRule="exact"/>
        <w:ind w:firstLine="359" w:firstLineChars="171"/>
        <w:rPr>
          <w:rFonts w:ascii="宋体" w:hAnsi="宋体"/>
          <w:color w:val="auto"/>
          <w:szCs w:val="21"/>
        </w:rPr>
      </w:pPr>
      <w:r>
        <w:rPr>
          <w:rFonts w:hint="eastAsia" w:ascii="宋体" w:hAnsi="宋体"/>
          <w:color w:val="auto"/>
          <w:szCs w:val="21"/>
        </w:rPr>
        <w:t xml:space="preserve">（3）投标书及其附件 </w:t>
      </w:r>
    </w:p>
    <w:p>
      <w:pPr>
        <w:spacing w:line="400" w:lineRule="exact"/>
        <w:ind w:firstLine="359" w:firstLineChars="171"/>
        <w:rPr>
          <w:rFonts w:ascii="宋体" w:hAnsi="宋体"/>
          <w:color w:val="auto"/>
          <w:szCs w:val="21"/>
        </w:rPr>
      </w:pPr>
      <w:r>
        <w:rPr>
          <w:rFonts w:hint="eastAsia" w:ascii="宋体" w:hAnsi="宋体"/>
          <w:color w:val="auto"/>
          <w:szCs w:val="21"/>
        </w:rPr>
        <w:t xml:space="preserve">（4）本合同专用条款 </w:t>
      </w:r>
    </w:p>
    <w:p>
      <w:pPr>
        <w:spacing w:line="400" w:lineRule="exact"/>
        <w:ind w:firstLine="359" w:firstLineChars="171"/>
        <w:rPr>
          <w:rFonts w:ascii="宋体" w:hAnsi="宋体"/>
          <w:color w:val="auto"/>
          <w:szCs w:val="21"/>
        </w:rPr>
      </w:pPr>
      <w:r>
        <w:rPr>
          <w:rFonts w:hint="eastAsia" w:ascii="宋体" w:hAnsi="宋体"/>
          <w:color w:val="auto"/>
          <w:szCs w:val="21"/>
        </w:rPr>
        <w:t xml:space="preserve">（5）本合同通用条款 </w:t>
      </w:r>
    </w:p>
    <w:p>
      <w:pPr>
        <w:spacing w:line="400" w:lineRule="exact"/>
        <w:ind w:firstLine="359" w:firstLineChars="171"/>
        <w:rPr>
          <w:rFonts w:ascii="宋体" w:hAnsi="宋体"/>
          <w:color w:val="auto"/>
          <w:szCs w:val="21"/>
        </w:rPr>
      </w:pPr>
      <w:r>
        <w:rPr>
          <w:rFonts w:hint="eastAsia" w:ascii="宋体" w:hAnsi="宋体"/>
          <w:color w:val="auto"/>
          <w:szCs w:val="21"/>
        </w:rPr>
        <w:t xml:space="preserve">（6）标准、规范及有关技术文件 </w:t>
      </w:r>
    </w:p>
    <w:p>
      <w:pPr>
        <w:spacing w:line="400" w:lineRule="exact"/>
        <w:ind w:firstLine="359" w:firstLineChars="171"/>
        <w:rPr>
          <w:rFonts w:ascii="宋体" w:hAnsi="宋体"/>
          <w:color w:val="auto"/>
          <w:szCs w:val="21"/>
        </w:rPr>
      </w:pPr>
      <w:r>
        <w:rPr>
          <w:rFonts w:hint="eastAsia" w:ascii="宋体" w:hAnsi="宋体"/>
          <w:color w:val="auto"/>
          <w:szCs w:val="21"/>
        </w:rPr>
        <w:t xml:space="preserve">（7）图纸 </w:t>
      </w:r>
    </w:p>
    <w:p>
      <w:pPr>
        <w:spacing w:line="400" w:lineRule="exact"/>
        <w:ind w:firstLine="359" w:firstLineChars="171"/>
        <w:rPr>
          <w:rFonts w:ascii="宋体" w:hAnsi="宋体"/>
          <w:color w:val="auto"/>
          <w:szCs w:val="21"/>
        </w:rPr>
      </w:pPr>
      <w:r>
        <w:rPr>
          <w:rFonts w:hint="eastAsia" w:ascii="宋体" w:hAnsi="宋体"/>
          <w:color w:val="auto"/>
          <w:szCs w:val="21"/>
        </w:rPr>
        <w:t xml:space="preserve">（8）工程量清单 </w:t>
      </w:r>
    </w:p>
    <w:p>
      <w:pPr>
        <w:spacing w:line="400" w:lineRule="exact"/>
        <w:ind w:firstLine="359" w:firstLineChars="171"/>
        <w:rPr>
          <w:rFonts w:ascii="宋体" w:hAnsi="宋体"/>
          <w:color w:val="auto"/>
          <w:szCs w:val="21"/>
        </w:rPr>
      </w:pPr>
      <w:r>
        <w:rPr>
          <w:rFonts w:hint="eastAsia" w:ascii="宋体" w:hAnsi="宋体"/>
          <w:color w:val="auto"/>
          <w:szCs w:val="21"/>
        </w:rPr>
        <w:t>（9）工程报价单或预算书</w:t>
      </w:r>
    </w:p>
    <w:p>
      <w:pPr>
        <w:spacing w:line="400" w:lineRule="exact"/>
        <w:ind w:firstLine="359" w:firstLineChars="171"/>
        <w:rPr>
          <w:rFonts w:ascii="宋体" w:hAnsi="宋体"/>
          <w:color w:val="auto"/>
          <w:szCs w:val="21"/>
        </w:rPr>
      </w:pPr>
      <w:r>
        <w:rPr>
          <w:rFonts w:hint="eastAsia" w:ascii="宋体" w:hAnsi="宋体"/>
          <w:color w:val="auto"/>
          <w:szCs w:val="21"/>
        </w:rPr>
        <w:t xml:space="preserve">合同履行中，发包人、承包人有关工程的洽商、变更等书面协议或文件视为本合同的组成部分。 </w:t>
      </w:r>
    </w:p>
    <w:p>
      <w:pPr>
        <w:spacing w:line="400" w:lineRule="exact"/>
        <w:ind w:firstLine="359" w:firstLineChars="171"/>
        <w:rPr>
          <w:rFonts w:ascii="宋体" w:hAnsi="宋体"/>
          <w:color w:val="auto"/>
          <w:szCs w:val="21"/>
        </w:rPr>
      </w:pPr>
      <w:r>
        <w:rPr>
          <w:rFonts w:hint="eastAsia" w:ascii="宋体" w:hAnsi="宋体"/>
          <w:color w:val="auto"/>
          <w:szCs w:val="21"/>
        </w:rPr>
        <w:t xml:space="preserve">2.2当合同文件内容含糊不清或不相一致时，在不影响工程正常进行的情况下，由合同三方当事人协商解决。三方也可以提请负责监理的工程师做出解释。三方协商不成或不同意负责监理的工程师的解释时，按本通用条款37条关于争议的约定处理。 </w:t>
      </w:r>
    </w:p>
    <w:p>
      <w:pPr>
        <w:spacing w:line="400" w:lineRule="exact"/>
        <w:ind w:firstLine="359" w:firstLineChars="171"/>
        <w:rPr>
          <w:rFonts w:ascii="宋体" w:hAnsi="宋体"/>
          <w:color w:val="auto"/>
          <w:szCs w:val="21"/>
        </w:rPr>
      </w:pPr>
      <w:r>
        <w:rPr>
          <w:rFonts w:hint="eastAsia" w:ascii="宋体" w:hAnsi="宋体"/>
          <w:color w:val="auto"/>
          <w:szCs w:val="21"/>
        </w:rPr>
        <w:t xml:space="preserve">3、语言文字和适用法律、标准及规范 </w:t>
      </w:r>
    </w:p>
    <w:p>
      <w:pPr>
        <w:spacing w:line="400" w:lineRule="exact"/>
        <w:ind w:firstLine="359" w:firstLineChars="171"/>
        <w:rPr>
          <w:rFonts w:ascii="宋体" w:hAnsi="宋体"/>
          <w:color w:val="auto"/>
          <w:szCs w:val="21"/>
        </w:rPr>
      </w:pPr>
      <w:r>
        <w:rPr>
          <w:rFonts w:hint="eastAsia" w:ascii="宋体" w:hAnsi="宋体"/>
          <w:color w:val="auto"/>
          <w:szCs w:val="21"/>
        </w:rPr>
        <w:t xml:space="preserve">3.1 语言文字 </w:t>
      </w:r>
    </w:p>
    <w:p>
      <w:pPr>
        <w:spacing w:line="400" w:lineRule="exact"/>
        <w:ind w:firstLine="359" w:firstLineChars="171"/>
        <w:rPr>
          <w:rFonts w:ascii="宋体" w:hAnsi="宋体"/>
          <w:color w:val="auto"/>
          <w:szCs w:val="21"/>
        </w:rPr>
      </w:pPr>
      <w:r>
        <w:rPr>
          <w:rFonts w:hint="eastAsia" w:ascii="宋体" w:hAnsi="宋体"/>
          <w:color w:val="auto"/>
          <w:szCs w:val="21"/>
        </w:rPr>
        <w:t>本合同文件使用汉语语言文字书写、解释和说明。如专用条款约定使用两种以上（含两种）语言文字时，汉语应为解释和说明本合同的标准语言文字。</w:t>
      </w:r>
    </w:p>
    <w:p>
      <w:pPr>
        <w:spacing w:line="400" w:lineRule="exact"/>
        <w:ind w:firstLine="359" w:firstLineChars="171"/>
        <w:rPr>
          <w:rFonts w:ascii="宋体" w:hAnsi="宋体"/>
          <w:color w:val="auto"/>
          <w:szCs w:val="21"/>
        </w:rPr>
      </w:pPr>
      <w:r>
        <w:rPr>
          <w:rFonts w:hint="eastAsia" w:ascii="宋体" w:hAnsi="宋体"/>
          <w:color w:val="auto"/>
          <w:szCs w:val="21"/>
        </w:rPr>
        <w:t>在少数民族地区，三方可以约定使用少数民族语言文字书写和解释、说明本合同。</w:t>
      </w:r>
    </w:p>
    <w:p>
      <w:pPr>
        <w:spacing w:line="400" w:lineRule="exact"/>
        <w:ind w:firstLine="359" w:firstLineChars="171"/>
        <w:rPr>
          <w:rFonts w:ascii="宋体" w:hAnsi="宋体"/>
          <w:color w:val="auto"/>
          <w:szCs w:val="21"/>
        </w:rPr>
      </w:pPr>
      <w:r>
        <w:rPr>
          <w:rFonts w:hint="eastAsia" w:ascii="宋体" w:hAnsi="宋体"/>
          <w:color w:val="auto"/>
          <w:szCs w:val="21"/>
        </w:rPr>
        <w:t xml:space="preserve">3.2 适用法律和法规 </w:t>
      </w:r>
    </w:p>
    <w:p>
      <w:pPr>
        <w:spacing w:line="400" w:lineRule="exact"/>
        <w:ind w:firstLine="359" w:firstLineChars="171"/>
        <w:rPr>
          <w:rFonts w:ascii="宋体" w:hAnsi="宋体"/>
          <w:color w:val="auto"/>
          <w:szCs w:val="21"/>
        </w:rPr>
      </w:pPr>
      <w:r>
        <w:rPr>
          <w:rFonts w:hint="eastAsia" w:ascii="宋体" w:hAnsi="宋体"/>
          <w:color w:val="auto"/>
          <w:szCs w:val="21"/>
        </w:rPr>
        <w:t>本合同文件适用国家的法律和行政法规。需要明示的法律、行政法规，由三方在专用条款中约定。</w:t>
      </w:r>
    </w:p>
    <w:p>
      <w:pPr>
        <w:spacing w:line="400" w:lineRule="exact"/>
        <w:ind w:firstLine="359" w:firstLineChars="171"/>
        <w:rPr>
          <w:rFonts w:ascii="宋体" w:hAnsi="宋体"/>
          <w:color w:val="auto"/>
          <w:szCs w:val="21"/>
        </w:rPr>
      </w:pPr>
      <w:r>
        <w:rPr>
          <w:rFonts w:hint="eastAsia" w:ascii="宋体" w:hAnsi="宋体"/>
          <w:color w:val="auto"/>
          <w:szCs w:val="21"/>
        </w:rPr>
        <w:t xml:space="preserve">3.3 适用标准、规范 </w:t>
      </w:r>
    </w:p>
    <w:p>
      <w:pPr>
        <w:spacing w:line="400" w:lineRule="exact"/>
        <w:ind w:firstLine="359" w:firstLineChars="171"/>
        <w:rPr>
          <w:rFonts w:ascii="宋体" w:hAnsi="宋体"/>
          <w:color w:val="auto"/>
          <w:szCs w:val="21"/>
        </w:rPr>
      </w:pPr>
      <w:r>
        <w:rPr>
          <w:rFonts w:hint="eastAsia" w:ascii="宋体" w:hAnsi="宋体"/>
          <w:color w:val="auto"/>
          <w:szCs w:val="21"/>
        </w:rPr>
        <w:t>三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400" w:lineRule="exact"/>
        <w:ind w:firstLine="359" w:firstLineChars="171"/>
        <w:rPr>
          <w:rFonts w:ascii="宋体" w:hAnsi="宋体"/>
          <w:color w:val="auto"/>
          <w:szCs w:val="21"/>
        </w:rPr>
      </w:pPr>
      <w:r>
        <w:rPr>
          <w:rFonts w:hint="eastAsia" w:ascii="宋体" w:hAnsi="宋体"/>
          <w:color w:val="auto"/>
          <w:szCs w:val="21"/>
        </w:rPr>
        <w:t>国内没有相应标准、规范的，由发包人按专用条款约定的时间向承包人</w:t>
      </w:r>
      <w:r>
        <w:rPr>
          <w:rFonts w:hint="eastAsia" w:ascii="宋体" w:hAnsi="宋体"/>
          <w:color w:val="auto"/>
          <w:spacing w:val="4"/>
          <w:szCs w:val="21"/>
        </w:rPr>
        <w:t>提出施工技术要求，承包人按约定的时间和要求提出施工工艺，经发包人认</w:t>
      </w:r>
      <w:r>
        <w:rPr>
          <w:rFonts w:hint="eastAsia" w:ascii="宋体" w:hAnsi="宋体"/>
          <w:color w:val="auto"/>
          <w:szCs w:val="21"/>
        </w:rPr>
        <w:t xml:space="preserve">可后执行。发包人要求使用国外标准、规范的，应负责提供中文译本。 </w:t>
      </w:r>
    </w:p>
    <w:p>
      <w:pPr>
        <w:spacing w:line="400" w:lineRule="exact"/>
        <w:ind w:firstLine="359" w:firstLineChars="171"/>
        <w:rPr>
          <w:rFonts w:ascii="宋体" w:hAnsi="宋体"/>
          <w:color w:val="auto"/>
          <w:szCs w:val="21"/>
        </w:rPr>
      </w:pPr>
      <w:r>
        <w:rPr>
          <w:rFonts w:hint="eastAsia" w:ascii="宋体" w:hAnsi="宋体"/>
          <w:color w:val="auto"/>
          <w:szCs w:val="21"/>
        </w:rPr>
        <w:t>本条所发生的购买、翻译标准、规范或制定施工工艺的费用，由发包人承担。</w:t>
      </w:r>
    </w:p>
    <w:p>
      <w:pPr>
        <w:spacing w:line="400" w:lineRule="exact"/>
        <w:ind w:firstLine="359" w:firstLineChars="171"/>
        <w:rPr>
          <w:rFonts w:ascii="宋体" w:hAnsi="宋体"/>
          <w:color w:val="auto"/>
          <w:szCs w:val="21"/>
        </w:rPr>
      </w:pPr>
      <w:r>
        <w:rPr>
          <w:rFonts w:hint="eastAsia" w:ascii="宋体" w:hAnsi="宋体"/>
          <w:color w:val="auto"/>
          <w:szCs w:val="21"/>
        </w:rPr>
        <w:t xml:space="preserve">4、图纸 </w:t>
      </w:r>
    </w:p>
    <w:p>
      <w:pPr>
        <w:spacing w:line="400" w:lineRule="exact"/>
        <w:ind w:firstLine="359" w:firstLineChars="171"/>
        <w:rPr>
          <w:rFonts w:ascii="宋体" w:hAnsi="宋体"/>
          <w:color w:val="auto"/>
          <w:szCs w:val="21"/>
        </w:rPr>
      </w:pPr>
      <w:r>
        <w:rPr>
          <w:rFonts w:hint="eastAsia" w:ascii="宋体" w:hAnsi="宋体"/>
          <w:color w:val="auto"/>
          <w:szCs w:val="21"/>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pPr>
        <w:spacing w:line="400" w:lineRule="exact"/>
        <w:ind w:firstLine="359" w:firstLineChars="171"/>
        <w:rPr>
          <w:rFonts w:ascii="宋体" w:hAnsi="宋体"/>
          <w:color w:val="auto"/>
          <w:szCs w:val="21"/>
        </w:rPr>
      </w:pPr>
      <w:r>
        <w:rPr>
          <w:rFonts w:hint="eastAsia" w:ascii="宋体" w:hAnsi="宋体"/>
          <w:color w:val="auto"/>
          <w:szCs w:val="21"/>
        </w:rPr>
        <w:t xml:space="preserve">4.2 承包人未经发包人同意，不得将本工程图纸转给第三人。工程质量保修期满后，除承包人存档需要的图纸外，应将全部图纸退还给发包人。 </w:t>
      </w:r>
    </w:p>
    <w:p>
      <w:pPr>
        <w:spacing w:line="400" w:lineRule="exact"/>
        <w:ind w:firstLine="359" w:firstLineChars="171"/>
        <w:rPr>
          <w:rFonts w:ascii="宋体" w:hAnsi="宋体"/>
          <w:color w:val="auto"/>
          <w:szCs w:val="21"/>
        </w:rPr>
      </w:pPr>
      <w:r>
        <w:rPr>
          <w:rFonts w:hint="eastAsia" w:ascii="宋体" w:hAnsi="宋体"/>
          <w:color w:val="auto"/>
          <w:szCs w:val="21"/>
        </w:rPr>
        <w:t xml:space="preserve">4.3 承包人应在施工现场保留一套完整图纸，供工程师及有关人员进行工程检查时使用。 </w:t>
      </w:r>
    </w:p>
    <w:p>
      <w:pPr>
        <w:spacing w:line="400" w:lineRule="exact"/>
        <w:ind w:firstLine="359" w:firstLineChars="171"/>
        <w:rPr>
          <w:rFonts w:ascii="宋体" w:hAnsi="宋体"/>
          <w:color w:val="auto"/>
          <w:szCs w:val="21"/>
        </w:rPr>
      </w:pPr>
      <w:r>
        <w:rPr>
          <w:rFonts w:hint="eastAsia" w:ascii="宋体" w:hAnsi="宋体"/>
          <w:color w:val="auto"/>
          <w:szCs w:val="21"/>
        </w:rPr>
        <w:t xml:space="preserve">二、三方一般权利和义务 </w:t>
      </w:r>
    </w:p>
    <w:p>
      <w:pPr>
        <w:spacing w:line="400" w:lineRule="exact"/>
        <w:ind w:firstLine="359" w:firstLineChars="171"/>
        <w:rPr>
          <w:rFonts w:ascii="宋体" w:hAnsi="宋体"/>
          <w:color w:val="auto"/>
          <w:szCs w:val="21"/>
        </w:rPr>
      </w:pPr>
      <w:r>
        <w:rPr>
          <w:rFonts w:hint="eastAsia" w:ascii="宋体" w:hAnsi="宋体"/>
          <w:color w:val="auto"/>
          <w:szCs w:val="21"/>
        </w:rPr>
        <w:t xml:space="preserve">5、工程师 </w:t>
      </w:r>
    </w:p>
    <w:p>
      <w:pPr>
        <w:spacing w:line="400" w:lineRule="exact"/>
        <w:ind w:firstLine="359" w:firstLineChars="171"/>
        <w:rPr>
          <w:rFonts w:ascii="宋体" w:hAnsi="宋体"/>
          <w:color w:val="auto"/>
          <w:szCs w:val="21"/>
        </w:rPr>
      </w:pPr>
      <w:r>
        <w:rPr>
          <w:rFonts w:hint="eastAsia" w:ascii="宋体" w:hAnsi="宋体"/>
          <w:color w:val="auto"/>
          <w:szCs w:val="21"/>
        </w:rPr>
        <w:t xml:space="preserve">5.1实行工程监理的，发包人应在实施监理前将委托的监理单位名称、监理内容及监理权限以书面形式通知承包人。 </w:t>
      </w:r>
    </w:p>
    <w:p>
      <w:pPr>
        <w:spacing w:line="400" w:lineRule="exact"/>
        <w:ind w:firstLine="359" w:firstLineChars="171"/>
        <w:rPr>
          <w:rFonts w:ascii="宋体" w:hAnsi="宋体"/>
          <w:color w:val="auto"/>
          <w:szCs w:val="21"/>
        </w:rPr>
      </w:pPr>
      <w:r>
        <w:rPr>
          <w:rFonts w:hint="eastAsia" w:ascii="宋体" w:hAnsi="宋体"/>
          <w:color w:val="auto"/>
          <w:szCs w:val="21"/>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pPr>
        <w:spacing w:line="400" w:lineRule="exact"/>
        <w:ind w:firstLine="359" w:firstLineChars="171"/>
        <w:rPr>
          <w:rFonts w:ascii="宋体" w:hAnsi="宋体"/>
          <w:color w:val="auto"/>
          <w:szCs w:val="21"/>
        </w:rPr>
      </w:pPr>
      <w:r>
        <w:rPr>
          <w:rFonts w:hint="eastAsia" w:ascii="宋体" w:hAnsi="宋体"/>
          <w:color w:val="auto"/>
          <w:szCs w:val="21"/>
        </w:rPr>
        <w:t xml:space="preserve">5.3 发包人派驻施工场地履行合同的代表在本合同中也称工程师，其姓名、职务、职权由发包人在专用条款内写明，但职权不得与监理单位委派的总监理工程师职权相互交叉。三方职权发生交叉或不明确时，由发包人予以明确，并以书面形式通知承包人。 </w:t>
      </w:r>
    </w:p>
    <w:p>
      <w:pPr>
        <w:spacing w:line="400" w:lineRule="exact"/>
        <w:ind w:firstLine="359" w:firstLineChars="171"/>
        <w:rPr>
          <w:rFonts w:ascii="宋体" w:hAnsi="宋体"/>
          <w:color w:val="auto"/>
          <w:szCs w:val="21"/>
        </w:rPr>
      </w:pPr>
      <w:r>
        <w:rPr>
          <w:rFonts w:hint="eastAsia" w:ascii="宋体" w:hAnsi="宋体"/>
          <w:color w:val="auto"/>
          <w:szCs w:val="21"/>
        </w:rPr>
        <w:t>5.4 合同履行中，发生影响发包人、承包人</w:t>
      </w:r>
      <w:r>
        <w:rPr>
          <w:rFonts w:hint="eastAsia" w:ascii="宋体" w:hAnsi="宋体"/>
          <w:color w:val="auto"/>
          <w:szCs w:val="21"/>
          <w:lang w:val="en-US" w:eastAsia="zh-CN"/>
        </w:rPr>
        <w:t>双</w:t>
      </w:r>
      <w:r>
        <w:rPr>
          <w:rFonts w:hint="eastAsia" w:ascii="宋体" w:hAnsi="宋体"/>
          <w:color w:val="auto"/>
          <w:szCs w:val="21"/>
        </w:rPr>
        <w:t xml:space="preserve">方权利或义务的事件时，负责监理的工程师应依据合同在其职权范围内客观公正地进行处理。一方对工程师的处理有异议时，按本通用条款37条关于争议的约定处理。 </w:t>
      </w:r>
    </w:p>
    <w:p>
      <w:pPr>
        <w:spacing w:line="400" w:lineRule="exact"/>
        <w:ind w:firstLine="359" w:firstLineChars="171"/>
        <w:rPr>
          <w:rFonts w:ascii="宋体" w:hAnsi="宋体"/>
          <w:color w:val="auto"/>
          <w:szCs w:val="21"/>
        </w:rPr>
      </w:pPr>
      <w:r>
        <w:rPr>
          <w:rFonts w:hint="eastAsia" w:ascii="宋体" w:hAnsi="宋体"/>
          <w:color w:val="auto"/>
          <w:szCs w:val="21"/>
        </w:rPr>
        <w:t>5.5 除合同内有明确约定或经发包人同意外，负责监理的工程师无权解除本合同约定的承包人的任何权利与义务。</w:t>
      </w:r>
    </w:p>
    <w:p>
      <w:pPr>
        <w:spacing w:line="400" w:lineRule="exact"/>
        <w:ind w:firstLine="359" w:firstLineChars="171"/>
        <w:rPr>
          <w:rFonts w:ascii="宋体" w:hAnsi="宋体"/>
          <w:color w:val="auto"/>
          <w:szCs w:val="21"/>
        </w:rPr>
      </w:pPr>
      <w:r>
        <w:rPr>
          <w:rFonts w:hint="eastAsia" w:ascii="宋体" w:hAnsi="宋体"/>
          <w:color w:val="auto"/>
          <w:szCs w:val="21"/>
        </w:rPr>
        <w:t xml:space="preserve">5.6 不实行工程监理的，本合同中工程师专指发包人派驻施工现场履行合同的代表，其具体职权由发包人在专用条款中写明。 </w:t>
      </w:r>
    </w:p>
    <w:p>
      <w:pPr>
        <w:spacing w:line="400" w:lineRule="exact"/>
        <w:ind w:firstLine="359" w:firstLineChars="171"/>
        <w:rPr>
          <w:rFonts w:ascii="宋体" w:hAnsi="宋体"/>
          <w:color w:val="auto"/>
          <w:szCs w:val="21"/>
        </w:rPr>
      </w:pPr>
      <w:r>
        <w:rPr>
          <w:rFonts w:hint="eastAsia" w:ascii="宋体" w:hAnsi="宋体"/>
          <w:color w:val="auto"/>
          <w:szCs w:val="21"/>
        </w:rPr>
        <w:t xml:space="preserve">6、工程师的委派和指令 </w:t>
      </w:r>
    </w:p>
    <w:p>
      <w:pPr>
        <w:spacing w:line="400" w:lineRule="exact"/>
        <w:ind w:firstLine="359" w:firstLineChars="171"/>
        <w:rPr>
          <w:rFonts w:ascii="宋体" w:hAnsi="宋体"/>
          <w:color w:val="auto"/>
          <w:szCs w:val="21"/>
        </w:rPr>
      </w:pPr>
      <w:r>
        <w:rPr>
          <w:rFonts w:hint="eastAsia" w:ascii="宋体" w:hAnsi="宋体"/>
          <w:color w:val="auto"/>
          <w:szCs w:val="21"/>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pPr>
        <w:spacing w:line="400" w:lineRule="exact"/>
        <w:ind w:firstLine="359" w:firstLineChars="171"/>
        <w:rPr>
          <w:rFonts w:ascii="宋体" w:hAnsi="宋体"/>
          <w:color w:val="auto"/>
          <w:szCs w:val="21"/>
        </w:rPr>
      </w:pPr>
      <w:r>
        <w:rPr>
          <w:rFonts w:hint="eastAsia" w:ascii="宋体" w:hAnsi="宋体"/>
          <w:color w:val="auto"/>
          <w:szCs w:val="21"/>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pPr>
        <w:spacing w:line="400" w:lineRule="exact"/>
        <w:ind w:firstLine="359" w:firstLineChars="171"/>
        <w:rPr>
          <w:rFonts w:ascii="宋体" w:hAnsi="宋体"/>
          <w:color w:val="auto"/>
          <w:szCs w:val="21"/>
        </w:rPr>
      </w:pPr>
      <w:r>
        <w:rPr>
          <w:rFonts w:hint="eastAsia" w:ascii="宋体" w:hAnsi="宋体"/>
          <w:color w:val="auto"/>
          <w:szCs w:val="21"/>
        </w:rPr>
        <w:t xml:space="preserve">除工程师或工程师代表外，发包人派驻工地的其他人员均无权向承包人发出任何指令。 </w:t>
      </w:r>
    </w:p>
    <w:p>
      <w:pPr>
        <w:spacing w:line="400" w:lineRule="exact"/>
        <w:ind w:firstLine="359" w:firstLineChars="171"/>
        <w:rPr>
          <w:rFonts w:ascii="宋体" w:hAnsi="宋体"/>
          <w:color w:val="auto"/>
          <w:szCs w:val="21"/>
        </w:rPr>
      </w:pPr>
      <w:r>
        <w:rPr>
          <w:rFonts w:hint="eastAsia" w:ascii="宋体" w:hAnsi="宋体"/>
          <w:color w:val="auto"/>
          <w:szCs w:val="21"/>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pPr>
        <w:spacing w:line="400" w:lineRule="exact"/>
        <w:ind w:firstLine="359" w:firstLineChars="171"/>
        <w:rPr>
          <w:rFonts w:ascii="宋体" w:hAnsi="宋体"/>
          <w:color w:val="auto"/>
          <w:szCs w:val="21"/>
        </w:rPr>
      </w:pPr>
      <w:r>
        <w:rPr>
          <w:rFonts w:hint="eastAsia" w:ascii="宋体" w:hAnsi="宋体"/>
          <w:color w:val="auto"/>
          <w:szCs w:val="21"/>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pPr>
        <w:spacing w:line="400" w:lineRule="exact"/>
        <w:ind w:firstLine="359" w:firstLineChars="171"/>
        <w:rPr>
          <w:rFonts w:ascii="宋体" w:hAnsi="宋体"/>
          <w:color w:val="auto"/>
          <w:szCs w:val="21"/>
        </w:rPr>
      </w:pPr>
      <w:r>
        <w:rPr>
          <w:rFonts w:hint="eastAsia" w:ascii="宋体" w:hAnsi="宋体"/>
          <w:color w:val="auto"/>
          <w:szCs w:val="21"/>
        </w:rPr>
        <w:t>本款规定同样适用于由工程师代表发出的指令、通知。</w:t>
      </w:r>
    </w:p>
    <w:p>
      <w:pPr>
        <w:spacing w:line="400" w:lineRule="exact"/>
        <w:ind w:firstLine="359" w:firstLineChars="171"/>
        <w:rPr>
          <w:rFonts w:ascii="宋体" w:hAnsi="宋体"/>
          <w:color w:val="auto"/>
          <w:szCs w:val="21"/>
        </w:rPr>
      </w:pPr>
      <w:r>
        <w:rPr>
          <w:rFonts w:hint="eastAsia" w:ascii="宋体" w:hAnsi="宋体"/>
          <w:color w:val="auto"/>
          <w:szCs w:val="21"/>
        </w:rPr>
        <w:t>6.3 工程师应按合同约定，及时向承包人提供所需指令、批准并履行约定的</w:t>
      </w:r>
      <w:r>
        <w:rPr>
          <w:rFonts w:hint="eastAsia" w:ascii="宋体" w:hAnsi="宋体"/>
          <w:color w:val="auto"/>
          <w:spacing w:val="4"/>
          <w:szCs w:val="21"/>
        </w:rPr>
        <w:t>其他义务。由于工程师未能按合同约定履行义务造成工期延误，发包人应承</w:t>
      </w:r>
      <w:r>
        <w:rPr>
          <w:rFonts w:hint="eastAsia" w:ascii="宋体" w:hAnsi="宋体"/>
          <w:color w:val="auto"/>
          <w:szCs w:val="21"/>
        </w:rPr>
        <w:t xml:space="preserve">担延误造成的追加合同价款，并赔偿承包人有关损失，顺延延误的工期。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6.4 如需更换工程师，发包人应至少提前7天以书面形式通知承包人，后任继续行使合同文件约定的前任的职权，履行前任的义务。 </w:t>
      </w:r>
    </w:p>
    <w:p>
      <w:pPr>
        <w:spacing w:line="400" w:lineRule="exact"/>
        <w:ind w:firstLine="359" w:firstLineChars="171"/>
        <w:rPr>
          <w:rFonts w:ascii="宋体" w:hAnsi="宋体"/>
          <w:color w:val="auto"/>
          <w:szCs w:val="21"/>
        </w:rPr>
      </w:pPr>
      <w:r>
        <w:rPr>
          <w:rFonts w:hint="eastAsia" w:ascii="宋体" w:hAnsi="宋体"/>
          <w:color w:val="auto"/>
          <w:szCs w:val="21"/>
        </w:rPr>
        <w:t xml:space="preserve">7、项目负责人 </w:t>
      </w:r>
    </w:p>
    <w:p>
      <w:pPr>
        <w:spacing w:line="400" w:lineRule="exact"/>
        <w:ind w:firstLine="359" w:firstLineChars="171"/>
        <w:rPr>
          <w:rFonts w:ascii="宋体" w:hAnsi="宋体"/>
          <w:color w:val="auto"/>
          <w:szCs w:val="21"/>
        </w:rPr>
      </w:pPr>
      <w:r>
        <w:rPr>
          <w:rFonts w:hint="eastAsia" w:ascii="宋体" w:hAnsi="宋体"/>
          <w:color w:val="auto"/>
          <w:szCs w:val="21"/>
        </w:rPr>
        <w:t xml:space="preserve">7.1 项目负责人的姓名、职务在专用条款内写明。 </w:t>
      </w:r>
    </w:p>
    <w:p>
      <w:pPr>
        <w:spacing w:line="400" w:lineRule="exact"/>
        <w:ind w:firstLine="359" w:firstLineChars="171"/>
        <w:rPr>
          <w:rFonts w:ascii="宋体" w:hAnsi="宋体"/>
          <w:color w:val="auto"/>
          <w:szCs w:val="21"/>
        </w:rPr>
      </w:pPr>
      <w:r>
        <w:rPr>
          <w:rFonts w:hint="eastAsia" w:ascii="宋体" w:hAnsi="宋体"/>
          <w:color w:val="auto"/>
          <w:szCs w:val="21"/>
        </w:rPr>
        <w:t xml:space="preserve">7.2 承包人依据合同发出的通知，以书面形式由项目负责人签字后送交工程师，工程师在回执上签署姓名和收到时间后生效。 </w:t>
      </w:r>
    </w:p>
    <w:p>
      <w:pPr>
        <w:spacing w:line="400" w:lineRule="exact"/>
        <w:ind w:firstLine="359" w:firstLineChars="171"/>
        <w:rPr>
          <w:rFonts w:ascii="宋体" w:hAnsi="宋体"/>
          <w:color w:val="auto"/>
          <w:szCs w:val="21"/>
        </w:rPr>
      </w:pPr>
      <w:r>
        <w:rPr>
          <w:rFonts w:hint="eastAsia" w:ascii="宋体" w:hAnsi="宋体"/>
          <w:color w:val="auto"/>
          <w:szCs w:val="21"/>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7.4 承包人如需更换项目负责人，应至少提前7天以书面形式通知发包人，并征得发包人同意。后任继续行使合同文件约定的前任的职权，履行前任的义务。 </w:t>
      </w:r>
    </w:p>
    <w:p>
      <w:pPr>
        <w:spacing w:line="400" w:lineRule="exact"/>
        <w:ind w:firstLine="359" w:firstLineChars="171"/>
        <w:rPr>
          <w:rFonts w:ascii="宋体" w:hAnsi="宋体"/>
          <w:color w:val="auto"/>
          <w:szCs w:val="21"/>
        </w:rPr>
      </w:pPr>
      <w:r>
        <w:rPr>
          <w:rFonts w:hint="eastAsia" w:ascii="宋体" w:hAnsi="宋体"/>
          <w:color w:val="auto"/>
          <w:szCs w:val="21"/>
        </w:rPr>
        <w:t xml:space="preserve">7.5 发包人可以与承包人协商，建议更换其认为不称职的项目负责人。 </w:t>
      </w:r>
    </w:p>
    <w:p>
      <w:pPr>
        <w:spacing w:line="400" w:lineRule="exact"/>
        <w:ind w:firstLine="359" w:firstLineChars="171"/>
        <w:rPr>
          <w:rFonts w:ascii="宋体" w:hAnsi="宋体"/>
          <w:color w:val="auto"/>
          <w:szCs w:val="21"/>
        </w:rPr>
      </w:pPr>
      <w:r>
        <w:rPr>
          <w:rFonts w:hint="eastAsia" w:ascii="宋体" w:hAnsi="宋体"/>
          <w:color w:val="auto"/>
          <w:szCs w:val="21"/>
        </w:rPr>
        <w:t xml:space="preserve">8、发包人工作 </w:t>
      </w:r>
    </w:p>
    <w:p>
      <w:pPr>
        <w:spacing w:line="400" w:lineRule="exact"/>
        <w:ind w:firstLine="359" w:firstLineChars="171"/>
        <w:rPr>
          <w:rFonts w:ascii="宋体" w:hAnsi="宋体"/>
          <w:color w:val="auto"/>
          <w:szCs w:val="21"/>
        </w:rPr>
      </w:pPr>
      <w:r>
        <w:rPr>
          <w:rFonts w:hint="eastAsia" w:ascii="宋体" w:hAnsi="宋体"/>
          <w:color w:val="auto"/>
          <w:szCs w:val="21"/>
        </w:rPr>
        <w:t xml:space="preserve">8.1 发包人按专用条款约定的内容和时间完成以下工作: </w:t>
      </w:r>
    </w:p>
    <w:p>
      <w:pPr>
        <w:spacing w:line="400" w:lineRule="exact"/>
        <w:ind w:firstLine="359" w:firstLineChars="171"/>
        <w:rPr>
          <w:rFonts w:ascii="宋体" w:hAnsi="宋体"/>
          <w:color w:val="auto"/>
          <w:szCs w:val="21"/>
        </w:rPr>
      </w:pPr>
      <w:r>
        <w:rPr>
          <w:rFonts w:hint="eastAsia" w:ascii="宋体" w:hAnsi="宋体"/>
          <w:color w:val="auto"/>
          <w:szCs w:val="21"/>
        </w:rPr>
        <w:t xml:space="preserve">(1) 办理土地征用、拆迁补偿、平整施工场地等工作，使施工场地具备施工条件，在开工后继续负责解决以上事项遗留问题； </w:t>
      </w:r>
    </w:p>
    <w:p>
      <w:pPr>
        <w:spacing w:line="400" w:lineRule="exact"/>
        <w:ind w:firstLine="359" w:firstLineChars="171"/>
        <w:rPr>
          <w:rFonts w:ascii="宋体" w:hAnsi="宋体"/>
          <w:color w:val="auto"/>
          <w:szCs w:val="21"/>
        </w:rPr>
      </w:pPr>
      <w:r>
        <w:rPr>
          <w:rFonts w:hint="eastAsia" w:ascii="宋体" w:hAnsi="宋体"/>
          <w:color w:val="auto"/>
          <w:szCs w:val="21"/>
        </w:rPr>
        <w:t xml:space="preserve">(2) 将施工所需水、电、电讯线路从施工场地外部接至专用条款约定地点，保证施工期间的需要； </w:t>
      </w:r>
    </w:p>
    <w:p>
      <w:pPr>
        <w:spacing w:line="400" w:lineRule="exact"/>
        <w:ind w:firstLine="359" w:firstLineChars="171"/>
        <w:rPr>
          <w:rFonts w:ascii="宋体" w:hAnsi="宋体"/>
          <w:color w:val="auto"/>
          <w:szCs w:val="21"/>
        </w:rPr>
      </w:pPr>
      <w:r>
        <w:rPr>
          <w:rFonts w:hint="eastAsia" w:ascii="宋体" w:hAnsi="宋体"/>
          <w:color w:val="auto"/>
          <w:szCs w:val="21"/>
        </w:rPr>
        <w:t xml:space="preserve">(3) 开通施工场地与城乡公共道路的通道，以及专用条款约定的施工场地内的主要道路，满足施工运输的需要，保证施工期间的畅通。 </w:t>
      </w:r>
    </w:p>
    <w:p>
      <w:pPr>
        <w:spacing w:line="400" w:lineRule="exact"/>
        <w:ind w:firstLine="359" w:firstLineChars="171"/>
        <w:rPr>
          <w:rFonts w:ascii="宋体" w:hAnsi="宋体"/>
          <w:color w:val="auto"/>
          <w:szCs w:val="21"/>
        </w:rPr>
      </w:pPr>
      <w:r>
        <w:rPr>
          <w:rFonts w:hint="eastAsia" w:ascii="宋体" w:hAnsi="宋体"/>
          <w:color w:val="auto"/>
          <w:szCs w:val="21"/>
        </w:rPr>
        <w:t xml:space="preserve">(4) 向承包人提供施工场地的工程地质和地下管线资料，对资料的真实准确性负责； </w:t>
      </w:r>
    </w:p>
    <w:p>
      <w:pPr>
        <w:spacing w:line="400" w:lineRule="exact"/>
        <w:ind w:firstLine="359" w:firstLineChars="171"/>
        <w:rPr>
          <w:rFonts w:ascii="宋体" w:hAnsi="宋体"/>
          <w:color w:val="auto"/>
          <w:szCs w:val="21"/>
        </w:rPr>
      </w:pPr>
      <w:r>
        <w:rPr>
          <w:rFonts w:hint="eastAsia" w:ascii="宋体" w:hAnsi="宋体"/>
          <w:color w:val="auto"/>
          <w:szCs w:val="21"/>
        </w:rPr>
        <w:t>(5) 办理施工许可证及其他施工所需证件、批件和临时用地、停水、停电、中断道路交通、爆破作业等的申请批准文件（证明承包人自身资质的证件除外）；</w:t>
      </w:r>
    </w:p>
    <w:p>
      <w:pPr>
        <w:spacing w:line="400" w:lineRule="exact"/>
        <w:ind w:firstLine="359" w:firstLineChars="171"/>
        <w:rPr>
          <w:rFonts w:ascii="宋体" w:hAnsi="宋体"/>
          <w:color w:val="auto"/>
          <w:szCs w:val="21"/>
        </w:rPr>
      </w:pPr>
      <w:r>
        <w:rPr>
          <w:rFonts w:hint="eastAsia" w:ascii="宋体" w:hAnsi="宋体"/>
          <w:color w:val="auto"/>
          <w:szCs w:val="21"/>
        </w:rPr>
        <w:t>(6) 确定水准点与坐标控制点，以书面形式交给承包人，进行现场交验；</w:t>
      </w:r>
    </w:p>
    <w:p>
      <w:pPr>
        <w:spacing w:line="400" w:lineRule="exact"/>
        <w:ind w:firstLine="359" w:firstLineChars="171"/>
        <w:rPr>
          <w:rFonts w:ascii="宋体" w:hAnsi="宋体"/>
          <w:color w:val="auto"/>
          <w:szCs w:val="21"/>
        </w:rPr>
      </w:pPr>
      <w:r>
        <w:rPr>
          <w:rFonts w:hint="eastAsia" w:ascii="宋体" w:hAnsi="宋体"/>
          <w:color w:val="auto"/>
          <w:szCs w:val="21"/>
        </w:rPr>
        <w:t>(7) 组织承包人和设计单位进行图纸会审和设计交底；</w:t>
      </w:r>
    </w:p>
    <w:p>
      <w:pPr>
        <w:spacing w:line="400" w:lineRule="exact"/>
        <w:ind w:firstLine="359" w:firstLineChars="171"/>
        <w:rPr>
          <w:rFonts w:ascii="宋体" w:hAnsi="宋体"/>
          <w:color w:val="auto"/>
          <w:szCs w:val="21"/>
        </w:rPr>
      </w:pPr>
      <w:r>
        <w:rPr>
          <w:rFonts w:hint="eastAsia" w:ascii="宋体" w:hAnsi="宋体"/>
          <w:color w:val="auto"/>
          <w:szCs w:val="21"/>
        </w:rPr>
        <w:t xml:space="preserve">(8) 协调管理施工场地周围地下管线和邻近建筑物、构筑物（包括文物保护建筑）、古树名木的保护工作，承担有关费用； </w:t>
      </w:r>
    </w:p>
    <w:p>
      <w:pPr>
        <w:spacing w:line="400" w:lineRule="exact"/>
        <w:ind w:firstLine="359" w:firstLineChars="171"/>
        <w:rPr>
          <w:rFonts w:ascii="宋体" w:hAnsi="宋体"/>
          <w:color w:val="auto"/>
          <w:szCs w:val="21"/>
        </w:rPr>
      </w:pPr>
      <w:r>
        <w:rPr>
          <w:rFonts w:hint="eastAsia" w:ascii="宋体" w:hAnsi="宋体"/>
          <w:color w:val="auto"/>
          <w:szCs w:val="21"/>
        </w:rPr>
        <w:t xml:space="preserve">(9) 发包人应做的其他工作，三方在专用条款内约定。 </w:t>
      </w:r>
    </w:p>
    <w:p>
      <w:pPr>
        <w:spacing w:line="400" w:lineRule="exact"/>
        <w:ind w:firstLine="359" w:firstLineChars="171"/>
        <w:rPr>
          <w:rFonts w:ascii="宋体" w:hAnsi="宋体"/>
          <w:color w:val="auto"/>
          <w:szCs w:val="21"/>
        </w:rPr>
      </w:pPr>
      <w:r>
        <w:rPr>
          <w:rFonts w:hint="eastAsia" w:ascii="宋体" w:hAnsi="宋体"/>
          <w:color w:val="auto"/>
          <w:szCs w:val="21"/>
        </w:rPr>
        <w:t xml:space="preserve">8.2 发包人未履行8.1款各项义务，导致工期延误或给承包人造成损失的，发包人赔偿承包人有关损失，顺延延误的工期。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9、承包人工作 </w:t>
      </w:r>
    </w:p>
    <w:p>
      <w:pPr>
        <w:spacing w:line="400" w:lineRule="exact"/>
        <w:ind w:firstLine="359" w:firstLineChars="171"/>
        <w:rPr>
          <w:rFonts w:ascii="宋体" w:hAnsi="宋体"/>
          <w:color w:val="auto"/>
          <w:szCs w:val="21"/>
        </w:rPr>
      </w:pPr>
      <w:r>
        <w:rPr>
          <w:rFonts w:hint="eastAsia" w:ascii="宋体" w:hAnsi="宋体"/>
          <w:color w:val="auto"/>
          <w:szCs w:val="21"/>
        </w:rPr>
        <w:t xml:space="preserve">9.1 承包人按专用条款约定的内容和时间完成以下工作： </w:t>
      </w:r>
    </w:p>
    <w:p>
      <w:pPr>
        <w:spacing w:line="400" w:lineRule="exact"/>
        <w:ind w:firstLine="359" w:firstLineChars="171"/>
        <w:rPr>
          <w:rFonts w:ascii="宋体" w:hAnsi="宋体"/>
          <w:color w:val="auto"/>
          <w:szCs w:val="21"/>
        </w:rPr>
      </w:pPr>
      <w:r>
        <w:rPr>
          <w:rFonts w:hint="eastAsia" w:ascii="宋体" w:hAnsi="宋体"/>
          <w:color w:val="auto"/>
          <w:szCs w:val="21"/>
        </w:rPr>
        <w:t>(1) 根据发包人委托，在其设计资质等级和业务允许的范围内，完成施工图设计或与工程配套的设计，经工程师确认后使用，发包人承担由此发生的费用；</w:t>
      </w:r>
    </w:p>
    <w:p>
      <w:pPr>
        <w:spacing w:line="400" w:lineRule="exact"/>
        <w:ind w:firstLine="359" w:firstLineChars="171"/>
        <w:rPr>
          <w:rFonts w:ascii="宋体" w:hAnsi="宋体"/>
          <w:color w:val="auto"/>
          <w:szCs w:val="21"/>
        </w:rPr>
      </w:pPr>
      <w:r>
        <w:rPr>
          <w:rFonts w:hint="eastAsia" w:ascii="宋体" w:hAnsi="宋体"/>
          <w:color w:val="auto"/>
          <w:szCs w:val="21"/>
        </w:rPr>
        <w:t xml:space="preserve">(2) 向工程师提供年、季、月度工程进度计划及相应进度统计报表； </w:t>
      </w:r>
    </w:p>
    <w:p>
      <w:pPr>
        <w:spacing w:line="400" w:lineRule="exact"/>
        <w:ind w:firstLine="359" w:firstLineChars="171"/>
        <w:rPr>
          <w:rFonts w:ascii="宋体" w:hAnsi="宋体"/>
          <w:color w:val="auto"/>
          <w:szCs w:val="21"/>
        </w:rPr>
      </w:pPr>
      <w:r>
        <w:rPr>
          <w:rFonts w:hint="eastAsia" w:ascii="宋体" w:hAnsi="宋体"/>
          <w:color w:val="auto"/>
          <w:szCs w:val="21"/>
        </w:rPr>
        <w:t xml:space="preserve">(3) 根据工程需要，提供和维修非夜间施工使用的照明、围栏设施，并负责安全保卫； </w:t>
      </w:r>
    </w:p>
    <w:p>
      <w:pPr>
        <w:spacing w:line="400" w:lineRule="exact"/>
        <w:ind w:firstLine="359" w:firstLineChars="171"/>
        <w:rPr>
          <w:rFonts w:ascii="宋体" w:hAnsi="宋体"/>
          <w:color w:val="auto"/>
          <w:szCs w:val="21"/>
        </w:rPr>
      </w:pPr>
      <w:r>
        <w:rPr>
          <w:rFonts w:hint="eastAsia" w:ascii="宋体" w:hAnsi="宋体"/>
          <w:color w:val="auto"/>
          <w:szCs w:val="21"/>
        </w:rPr>
        <w:t xml:space="preserve">(4) 按专用条款约定的数量和要求，向发包人提供施工场地办公和生活的房屋及设施，发包人承担由此发生的费用； </w:t>
      </w:r>
    </w:p>
    <w:p>
      <w:pPr>
        <w:spacing w:line="400" w:lineRule="exact"/>
        <w:ind w:firstLine="359" w:firstLineChars="171"/>
        <w:rPr>
          <w:rFonts w:ascii="宋体" w:hAnsi="宋体"/>
          <w:color w:val="auto"/>
          <w:szCs w:val="21"/>
        </w:rPr>
      </w:pPr>
      <w:r>
        <w:rPr>
          <w:rFonts w:hint="eastAsia" w:ascii="宋体" w:hAnsi="宋体"/>
          <w:color w:val="auto"/>
          <w:szCs w:val="21"/>
        </w:rPr>
        <w:t xml:space="preserve">(5) 遵守政府有关主管部门对施工场地交通、施工噪音以及环境保护和安全生产等的管理规定，按规定办理有关手续，并以书面形式通知发包人，发包人承担由此发生的费用，因承包人责任造成的罚款除外； </w:t>
      </w:r>
    </w:p>
    <w:p>
      <w:pPr>
        <w:spacing w:line="400" w:lineRule="exact"/>
        <w:ind w:firstLine="359" w:firstLineChars="171"/>
        <w:rPr>
          <w:rFonts w:ascii="宋体" w:hAnsi="宋体"/>
          <w:color w:val="auto"/>
          <w:szCs w:val="21"/>
        </w:rPr>
      </w:pPr>
      <w:r>
        <w:rPr>
          <w:rFonts w:hint="eastAsia" w:ascii="宋体" w:hAnsi="宋体"/>
          <w:color w:val="auto"/>
          <w:szCs w:val="21"/>
        </w:rPr>
        <w:t>(6) 已竣工工程未交付发包人之前，承包人按专用条款约定负责已完工程的保护工作，保护期间发生损坏，承包人自费予以修复；发包人要求承包人采取特殊措施保护的工程部位和相应的追加合同价款，三方在专用条款内约定；</w:t>
      </w:r>
    </w:p>
    <w:p>
      <w:pPr>
        <w:spacing w:line="400" w:lineRule="exact"/>
        <w:ind w:firstLine="359" w:firstLineChars="171"/>
        <w:rPr>
          <w:rFonts w:ascii="宋体" w:hAnsi="宋体"/>
          <w:color w:val="auto"/>
          <w:szCs w:val="21"/>
        </w:rPr>
      </w:pPr>
      <w:r>
        <w:rPr>
          <w:rFonts w:hint="eastAsia" w:ascii="宋体" w:hAnsi="宋体"/>
          <w:color w:val="auto"/>
          <w:szCs w:val="21"/>
        </w:rPr>
        <w:t>(7) 按专用条款约定做好施工场地地下管线和邻近建筑物、构筑物（包括文物保护建筑）、古树名木的保护工作；</w:t>
      </w:r>
    </w:p>
    <w:p>
      <w:pPr>
        <w:spacing w:line="400" w:lineRule="exact"/>
        <w:ind w:firstLine="359" w:firstLineChars="171"/>
        <w:rPr>
          <w:rFonts w:ascii="宋体" w:hAnsi="宋体"/>
          <w:color w:val="auto"/>
          <w:szCs w:val="21"/>
        </w:rPr>
      </w:pPr>
      <w:r>
        <w:rPr>
          <w:rFonts w:hint="eastAsia" w:ascii="宋体" w:hAnsi="宋体"/>
          <w:color w:val="auto"/>
          <w:szCs w:val="21"/>
        </w:rPr>
        <w:t>(8) 保证施工场地清洁符合环境卫生管理的有关规定，交工前清理现场达到专用条款约定的要求，承担因自身原因违反有关规定造成的损失和罚款；</w:t>
      </w:r>
    </w:p>
    <w:p>
      <w:pPr>
        <w:spacing w:line="400" w:lineRule="exact"/>
        <w:ind w:firstLine="359" w:firstLineChars="171"/>
        <w:rPr>
          <w:rFonts w:ascii="宋体" w:hAnsi="宋体"/>
          <w:color w:val="auto"/>
          <w:szCs w:val="21"/>
        </w:rPr>
      </w:pPr>
      <w:r>
        <w:rPr>
          <w:rFonts w:hint="eastAsia" w:ascii="宋体" w:hAnsi="宋体"/>
          <w:color w:val="auto"/>
          <w:szCs w:val="21"/>
        </w:rPr>
        <w:t xml:space="preserve">(9) </w:t>
      </w:r>
      <w:r>
        <w:rPr>
          <w:rFonts w:hint="eastAsia" w:ascii="宋体" w:hAnsi="宋体"/>
          <w:color w:val="auto"/>
          <w:spacing w:val="-6"/>
          <w:szCs w:val="21"/>
        </w:rPr>
        <w:t>办理施工许可证及施工所需证件、批件和临时用地、停水、停电、中断</w:t>
      </w:r>
      <w:r>
        <w:rPr>
          <w:rFonts w:hint="eastAsia" w:ascii="宋体" w:hAnsi="宋体"/>
          <w:color w:val="auto"/>
          <w:szCs w:val="21"/>
        </w:rPr>
        <w:t>道路交通、爆破作业等的申请批准手续（证明承包人自身资质的证件除外）；</w:t>
      </w:r>
    </w:p>
    <w:p>
      <w:pPr>
        <w:spacing w:line="400" w:lineRule="exact"/>
        <w:ind w:firstLine="359" w:firstLineChars="171"/>
        <w:rPr>
          <w:rFonts w:ascii="宋体" w:hAnsi="宋体"/>
          <w:color w:val="auto"/>
          <w:szCs w:val="21"/>
        </w:rPr>
      </w:pPr>
      <w:r>
        <w:rPr>
          <w:rFonts w:hint="eastAsia" w:ascii="宋体" w:hAnsi="宋体"/>
          <w:color w:val="auto"/>
          <w:szCs w:val="21"/>
        </w:rPr>
        <w:t>(10)承包人应做的其他工作，三方在专用条款内约定。</w:t>
      </w:r>
    </w:p>
    <w:p>
      <w:pPr>
        <w:spacing w:line="400" w:lineRule="exact"/>
        <w:ind w:firstLine="359" w:firstLineChars="171"/>
        <w:rPr>
          <w:rFonts w:ascii="宋体" w:hAnsi="宋体"/>
          <w:color w:val="auto"/>
          <w:szCs w:val="21"/>
        </w:rPr>
      </w:pPr>
      <w:r>
        <w:rPr>
          <w:rFonts w:hint="eastAsia" w:ascii="宋体" w:hAnsi="宋体"/>
          <w:color w:val="auto"/>
          <w:szCs w:val="21"/>
        </w:rPr>
        <w:t>9.2承包人未能履行9.1款各项义务，造成发包人损失的，承包人赔偿发包人有关损失。</w:t>
      </w:r>
    </w:p>
    <w:p>
      <w:pPr>
        <w:spacing w:line="400" w:lineRule="exact"/>
        <w:ind w:firstLine="359" w:firstLineChars="171"/>
        <w:rPr>
          <w:rFonts w:ascii="宋体" w:hAnsi="宋体"/>
          <w:color w:val="auto"/>
          <w:szCs w:val="21"/>
        </w:rPr>
      </w:pPr>
      <w:r>
        <w:rPr>
          <w:rFonts w:hint="eastAsia" w:ascii="宋体" w:hAnsi="宋体"/>
          <w:color w:val="auto"/>
          <w:szCs w:val="21"/>
        </w:rPr>
        <w:t xml:space="preserve">三、施工组织设计和工期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10、进度计划 </w:t>
      </w:r>
    </w:p>
    <w:p>
      <w:pPr>
        <w:spacing w:line="400" w:lineRule="exact"/>
        <w:ind w:firstLine="359" w:firstLineChars="171"/>
        <w:rPr>
          <w:rFonts w:ascii="宋体" w:hAnsi="宋体"/>
          <w:color w:val="auto"/>
          <w:szCs w:val="21"/>
        </w:rPr>
      </w:pPr>
      <w:r>
        <w:rPr>
          <w:rFonts w:hint="eastAsia" w:ascii="宋体" w:hAnsi="宋体"/>
          <w:color w:val="auto"/>
          <w:szCs w:val="21"/>
        </w:rPr>
        <w:t xml:space="preserve">10.1 承包人应按专用条款约定的日期，将施工组织设计和工程进度计划提交工程师，工程师按专用条款约定的时间予以确认或提出修改意见，逾期不确认也不提出书面意见的，视为同意。 </w:t>
      </w:r>
    </w:p>
    <w:p>
      <w:pPr>
        <w:spacing w:line="400" w:lineRule="exact"/>
        <w:ind w:firstLine="359" w:firstLineChars="171"/>
        <w:rPr>
          <w:rFonts w:ascii="宋体" w:hAnsi="宋体"/>
          <w:color w:val="auto"/>
          <w:szCs w:val="21"/>
        </w:rPr>
      </w:pPr>
      <w:r>
        <w:rPr>
          <w:rFonts w:hint="eastAsia" w:ascii="宋体" w:hAnsi="宋体"/>
          <w:color w:val="auto"/>
          <w:szCs w:val="21"/>
        </w:rPr>
        <w:t xml:space="preserve">10.2群体工程中单位工程分期进行施工的，承包人应按照发包人提供图纸及有关资料的时间，按单位工程编制进度计划，其具体内容三方在专用条款中约定。 </w:t>
      </w:r>
    </w:p>
    <w:p>
      <w:pPr>
        <w:spacing w:line="400" w:lineRule="exact"/>
        <w:ind w:firstLine="359" w:firstLineChars="171"/>
        <w:rPr>
          <w:rFonts w:ascii="宋体" w:hAnsi="宋体"/>
          <w:color w:val="auto"/>
          <w:szCs w:val="21"/>
        </w:rPr>
      </w:pPr>
      <w:r>
        <w:rPr>
          <w:rFonts w:hint="eastAsia" w:ascii="宋体" w:hAnsi="宋体"/>
          <w:color w:val="auto"/>
          <w:szCs w:val="21"/>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spacing w:line="400" w:lineRule="exact"/>
        <w:ind w:firstLine="359" w:firstLineChars="171"/>
        <w:rPr>
          <w:rFonts w:ascii="宋体" w:hAnsi="宋体"/>
          <w:color w:val="auto"/>
          <w:szCs w:val="21"/>
        </w:rPr>
      </w:pPr>
      <w:r>
        <w:rPr>
          <w:rFonts w:hint="eastAsia" w:ascii="宋体" w:hAnsi="宋体"/>
          <w:color w:val="auto"/>
          <w:szCs w:val="21"/>
        </w:rPr>
        <w:t xml:space="preserve">11、开工及延期开工 </w:t>
      </w:r>
    </w:p>
    <w:p>
      <w:pPr>
        <w:spacing w:line="400" w:lineRule="exact"/>
        <w:ind w:firstLine="359" w:firstLineChars="171"/>
        <w:rPr>
          <w:rFonts w:ascii="宋体" w:hAnsi="宋体"/>
          <w:color w:val="auto"/>
          <w:szCs w:val="21"/>
        </w:rPr>
      </w:pPr>
      <w:r>
        <w:rPr>
          <w:rFonts w:hint="eastAsia" w:ascii="宋体" w:hAnsi="宋体"/>
          <w:color w:val="auto"/>
          <w:szCs w:val="21"/>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pPr>
        <w:spacing w:line="400" w:lineRule="exact"/>
        <w:ind w:firstLine="359" w:firstLineChars="171"/>
        <w:rPr>
          <w:rFonts w:ascii="宋体" w:hAnsi="宋体"/>
          <w:color w:val="auto"/>
          <w:szCs w:val="21"/>
        </w:rPr>
      </w:pPr>
      <w:r>
        <w:rPr>
          <w:rFonts w:hint="eastAsia" w:ascii="宋体" w:hAnsi="宋体"/>
          <w:color w:val="auto"/>
          <w:szCs w:val="21"/>
        </w:rPr>
        <w:t xml:space="preserve">11.2因发包人原因不能按照协议书约定的开工日期开工，工程师应以书面形式通知承包人，推迟开工日期。发包人赔偿承包人因延期开工造成的损失，并相应顺延工期。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12、暂停施工 </w:t>
      </w:r>
    </w:p>
    <w:p>
      <w:pPr>
        <w:spacing w:line="400" w:lineRule="exact"/>
        <w:ind w:firstLine="359" w:firstLineChars="171"/>
        <w:rPr>
          <w:rFonts w:ascii="宋体" w:hAnsi="宋体"/>
          <w:color w:val="auto"/>
          <w:szCs w:val="21"/>
        </w:rPr>
      </w:pPr>
      <w:r>
        <w:rPr>
          <w:rFonts w:hint="eastAsia" w:ascii="宋体" w:hAnsi="宋体"/>
          <w:color w:val="auto"/>
          <w:szCs w:val="21"/>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spacing w:line="400" w:lineRule="exact"/>
        <w:ind w:firstLine="359" w:firstLineChars="171"/>
        <w:rPr>
          <w:rFonts w:ascii="宋体" w:hAnsi="宋体"/>
          <w:color w:val="auto"/>
          <w:szCs w:val="21"/>
        </w:rPr>
      </w:pPr>
      <w:r>
        <w:rPr>
          <w:rFonts w:hint="eastAsia" w:ascii="宋体" w:hAnsi="宋体"/>
          <w:color w:val="auto"/>
          <w:szCs w:val="21"/>
        </w:rPr>
        <w:t xml:space="preserve">13、工期延误 </w:t>
      </w:r>
    </w:p>
    <w:p>
      <w:pPr>
        <w:spacing w:line="400" w:lineRule="exact"/>
        <w:ind w:firstLine="359" w:firstLineChars="171"/>
        <w:rPr>
          <w:rFonts w:ascii="宋体" w:hAnsi="宋体"/>
          <w:color w:val="auto"/>
          <w:szCs w:val="21"/>
        </w:rPr>
      </w:pPr>
      <w:r>
        <w:rPr>
          <w:rFonts w:hint="eastAsia" w:ascii="宋体" w:hAnsi="宋体"/>
          <w:color w:val="auto"/>
          <w:szCs w:val="21"/>
        </w:rPr>
        <w:t xml:space="preserve">13.1因以下原因造成工期延误，经工程师确认工期相应顺延； </w:t>
      </w:r>
    </w:p>
    <w:p>
      <w:pPr>
        <w:spacing w:line="400" w:lineRule="exact"/>
        <w:ind w:firstLine="359" w:firstLineChars="171"/>
        <w:rPr>
          <w:rFonts w:ascii="宋体" w:hAnsi="宋体"/>
          <w:color w:val="auto"/>
          <w:szCs w:val="21"/>
        </w:rPr>
      </w:pPr>
      <w:r>
        <w:rPr>
          <w:rFonts w:hint="eastAsia" w:ascii="宋体" w:hAnsi="宋体"/>
          <w:color w:val="auto"/>
          <w:szCs w:val="21"/>
        </w:rPr>
        <w:t xml:space="preserve">(1) 发包人未能按专用条款的约定提供图纸及开工条件； </w:t>
      </w:r>
    </w:p>
    <w:p>
      <w:pPr>
        <w:spacing w:line="400" w:lineRule="exact"/>
        <w:ind w:firstLine="359" w:firstLineChars="171"/>
        <w:rPr>
          <w:rFonts w:ascii="宋体" w:hAnsi="宋体"/>
          <w:color w:val="auto"/>
          <w:szCs w:val="21"/>
        </w:rPr>
      </w:pPr>
      <w:r>
        <w:rPr>
          <w:rFonts w:hint="eastAsia" w:ascii="宋体" w:hAnsi="宋体"/>
          <w:color w:val="auto"/>
          <w:szCs w:val="21"/>
        </w:rPr>
        <w:t>(2) 发包人未能按约定日期支付工程预付款、进度款，致使施工不能正常进行；</w:t>
      </w:r>
    </w:p>
    <w:p>
      <w:pPr>
        <w:spacing w:line="400" w:lineRule="exact"/>
        <w:ind w:firstLine="359" w:firstLineChars="171"/>
        <w:rPr>
          <w:rFonts w:ascii="宋体" w:hAnsi="宋体"/>
          <w:color w:val="auto"/>
          <w:szCs w:val="21"/>
        </w:rPr>
      </w:pPr>
      <w:r>
        <w:rPr>
          <w:rFonts w:hint="eastAsia" w:ascii="宋体" w:hAnsi="宋体"/>
          <w:color w:val="auto"/>
          <w:szCs w:val="21"/>
        </w:rPr>
        <w:t>(3) 工程师未按合同约定提供所需指令、批准等，致使施工不能正常进行；</w:t>
      </w:r>
    </w:p>
    <w:p>
      <w:pPr>
        <w:spacing w:line="400" w:lineRule="exact"/>
        <w:ind w:firstLine="359" w:firstLineChars="171"/>
        <w:rPr>
          <w:rFonts w:ascii="宋体" w:hAnsi="宋体"/>
          <w:color w:val="auto"/>
          <w:szCs w:val="21"/>
        </w:rPr>
      </w:pPr>
      <w:r>
        <w:rPr>
          <w:rFonts w:hint="eastAsia" w:ascii="宋体" w:hAnsi="宋体"/>
          <w:color w:val="auto"/>
          <w:szCs w:val="21"/>
        </w:rPr>
        <w:t xml:space="preserve">(4) 设计变更和工程量增加； </w:t>
      </w:r>
    </w:p>
    <w:p>
      <w:pPr>
        <w:spacing w:line="400" w:lineRule="exact"/>
        <w:ind w:firstLine="359" w:firstLineChars="171"/>
        <w:rPr>
          <w:rFonts w:ascii="宋体" w:hAnsi="宋体"/>
          <w:color w:val="auto"/>
          <w:szCs w:val="21"/>
        </w:rPr>
      </w:pPr>
      <w:r>
        <w:rPr>
          <w:rFonts w:hint="eastAsia" w:ascii="宋体" w:hAnsi="宋体"/>
          <w:color w:val="auto"/>
          <w:szCs w:val="21"/>
        </w:rPr>
        <w:t>(5) 一周内非承包人原因停水、停电、停气造成停工累计超过8小时；</w:t>
      </w:r>
    </w:p>
    <w:p>
      <w:pPr>
        <w:spacing w:line="400" w:lineRule="exact"/>
        <w:ind w:firstLine="359" w:firstLineChars="171"/>
        <w:rPr>
          <w:rFonts w:ascii="宋体" w:hAnsi="宋体"/>
          <w:color w:val="auto"/>
          <w:szCs w:val="21"/>
        </w:rPr>
      </w:pPr>
      <w:r>
        <w:rPr>
          <w:rFonts w:hint="eastAsia" w:ascii="宋体" w:hAnsi="宋体"/>
          <w:color w:val="auto"/>
          <w:szCs w:val="21"/>
        </w:rPr>
        <w:t>(6) 不可抗力；</w:t>
      </w:r>
    </w:p>
    <w:p>
      <w:pPr>
        <w:spacing w:line="400" w:lineRule="exact"/>
        <w:ind w:firstLine="359" w:firstLineChars="171"/>
        <w:rPr>
          <w:rFonts w:ascii="宋体" w:hAnsi="宋体"/>
          <w:color w:val="auto"/>
          <w:szCs w:val="21"/>
        </w:rPr>
      </w:pPr>
      <w:r>
        <w:rPr>
          <w:rFonts w:hint="eastAsia" w:ascii="宋体" w:hAnsi="宋体"/>
          <w:color w:val="auto"/>
          <w:szCs w:val="21"/>
        </w:rPr>
        <w:t>(7) 专用条款中约定或工程师同意工期顺延的其他情况。</w:t>
      </w:r>
    </w:p>
    <w:p>
      <w:pPr>
        <w:spacing w:line="400" w:lineRule="exact"/>
        <w:ind w:firstLine="359" w:firstLineChars="171"/>
        <w:rPr>
          <w:rFonts w:ascii="宋体" w:hAnsi="宋体"/>
          <w:color w:val="auto"/>
          <w:szCs w:val="21"/>
        </w:rPr>
      </w:pPr>
      <w:r>
        <w:rPr>
          <w:rFonts w:hint="eastAsia" w:ascii="宋体" w:hAnsi="宋体"/>
          <w:color w:val="auto"/>
          <w:szCs w:val="21"/>
        </w:rPr>
        <w:t xml:space="preserve">13.2承包人在13.1款情况发生后14天内，就延误的工期以书面形式向工程师提出报告。工程师在收到报告后14天内予以确认，逾期不予确认也不提出修改意见，视为同意顺延工期。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14、工程竣工 </w:t>
      </w:r>
    </w:p>
    <w:p>
      <w:pPr>
        <w:spacing w:line="400" w:lineRule="exact"/>
        <w:ind w:firstLine="359" w:firstLineChars="171"/>
        <w:rPr>
          <w:rFonts w:ascii="宋体" w:hAnsi="宋体"/>
          <w:color w:val="auto"/>
          <w:szCs w:val="21"/>
        </w:rPr>
      </w:pPr>
      <w:r>
        <w:rPr>
          <w:rFonts w:hint="eastAsia" w:ascii="宋体" w:hAnsi="宋体"/>
          <w:color w:val="auto"/>
          <w:szCs w:val="21"/>
        </w:rPr>
        <w:t xml:space="preserve">14.1 承包人必须按照协议书约定的竣工日期或工程师同意顺延的工期竣工。 </w:t>
      </w:r>
    </w:p>
    <w:p>
      <w:pPr>
        <w:spacing w:line="400" w:lineRule="exact"/>
        <w:ind w:firstLine="359" w:firstLineChars="171"/>
        <w:rPr>
          <w:rFonts w:ascii="宋体" w:hAnsi="宋体"/>
          <w:color w:val="auto"/>
          <w:szCs w:val="21"/>
        </w:rPr>
      </w:pPr>
      <w:r>
        <w:rPr>
          <w:rFonts w:hint="eastAsia" w:ascii="宋体" w:hAnsi="宋体"/>
          <w:color w:val="auto"/>
          <w:szCs w:val="21"/>
        </w:rPr>
        <w:t xml:space="preserve">14.2 因承包人原因不能按照协议书约定的竣工日期或工程师同意顺延的工期竣工的，承包人承担违约责任。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14.3 施工中发包人如需提前竣工，三方协商一致后就应签订提前竣工协议，作为合同文件组成部分。提前竣工协议应包括承包人为保证工程质量和安全采取的措施、发包人为提前竣工提供的条件以及提前竣工所需的追加合同价款等内容。 </w:t>
      </w:r>
    </w:p>
    <w:p>
      <w:pPr>
        <w:spacing w:line="400" w:lineRule="exact"/>
        <w:ind w:firstLine="359" w:firstLineChars="171"/>
        <w:rPr>
          <w:rFonts w:ascii="宋体" w:hAnsi="宋体"/>
          <w:color w:val="auto"/>
          <w:szCs w:val="21"/>
        </w:rPr>
      </w:pPr>
      <w:r>
        <w:rPr>
          <w:rFonts w:hint="eastAsia" w:ascii="宋体" w:hAnsi="宋体"/>
          <w:color w:val="auto"/>
          <w:szCs w:val="21"/>
        </w:rPr>
        <w:t xml:space="preserve">四、质量与检验 </w:t>
      </w:r>
    </w:p>
    <w:p>
      <w:pPr>
        <w:spacing w:line="400" w:lineRule="exact"/>
        <w:ind w:firstLine="359" w:firstLineChars="171"/>
        <w:rPr>
          <w:rFonts w:ascii="宋体" w:hAnsi="宋体"/>
          <w:color w:val="auto"/>
          <w:szCs w:val="21"/>
        </w:rPr>
      </w:pPr>
      <w:r>
        <w:rPr>
          <w:rFonts w:hint="eastAsia" w:ascii="宋体" w:hAnsi="宋体"/>
          <w:color w:val="auto"/>
          <w:szCs w:val="21"/>
        </w:rPr>
        <w:t xml:space="preserve">15、工程质量 </w:t>
      </w:r>
    </w:p>
    <w:p>
      <w:pPr>
        <w:spacing w:line="400" w:lineRule="exact"/>
        <w:ind w:firstLine="359" w:firstLineChars="171"/>
        <w:rPr>
          <w:rFonts w:ascii="宋体" w:hAnsi="宋体"/>
          <w:color w:val="auto"/>
          <w:szCs w:val="21"/>
        </w:rPr>
      </w:pPr>
      <w:r>
        <w:rPr>
          <w:rFonts w:hint="eastAsia" w:ascii="宋体" w:hAnsi="宋体"/>
          <w:color w:val="auto"/>
          <w:szCs w:val="21"/>
        </w:rPr>
        <w:t>1</w:t>
      </w:r>
      <w:r>
        <w:rPr>
          <w:rFonts w:hint="eastAsia" w:ascii="宋体" w:hAnsi="宋体"/>
          <w:color w:val="auto"/>
          <w:spacing w:val="6"/>
          <w:szCs w:val="21"/>
        </w:rPr>
        <w:t>5.1 工程质量应当达到协议书约定的质量标准，质量标准的评定以国家或</w:t>
      </w:r>
      <w:r>
        <w:rPr>
          <w:rFonts w:hint="eastAsia" w:ascii="宋体" w:hAnsi="宋体"/>
          <w:color w:val="auto"/>
          <w:szCs w:val="21"/>
        </w:rPr>
        <w:t xml:space="preserve">行业的质量检验评定标准为依据。因承包人原因工程质量达不到约定的质量标准，承包人承担违约责任。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15.2 三方对工程质量有争议，由三方同意的工程质量检测机构鉴定，所需费用及因此造成的损失，由责任方承担。三方均有责任，由三方根据其责任分别承担。 </w:t>
      </w:r>
    </w:p>
    <w:p>
      <w:pPr>
        <w:spacing w:line="400" w:lineRule="exact"/>
        <w:ind w:firstLine="359" w:firstLineChars="171"/>
        <w:rPr>
          <w:rFonts w:ascii="宋体" w:hAnsi="宋体"/>
          <w:color w:val="auto"/>
          <w:szCs w:val="21"/>
        </w:rPr>
      </w:pPr>
      <w:r>
        <w:rPr>
          <w:rFonts w:hint="eastAsia" w:ascii="宋体" w:hAnsi="宋体"/>
          <w:color w:val="auto"/>
          <w:szCs w:val="21"/>
        </w:rPr>
        <w:t xml:space="preserve">16、检查和返工 </w:t>
      </w:r>
    </w:p>
    <w:p>
      <w:pPr>
        <w:spacing w:line="400" w:lineRule="exact"/>
        <w:ind w:firstLine="359" w:firstLineChars="171"/>
        <w:rPr>
          <w:rFonts w:ascii="宋体" w:hAnsi="宋体"/>
          <w:color w:val="auto"/>
          <w:szCs w:val="21"/>
        </w:rPr>
      </w:pPr>
      <w:r>
        <w:rPr>
          <w:rFonts w:hint="eastAsia" w:ascii="宋体" w:hAnsi="宋体"/>
          <w:color w:val="auto"/>
          <w:szCs w:val="21"/>
        </w:rPr>
        <w:t xml:space="preserve">16.1 承包人应认真按照标准、规范和设计图纸要求以及工程师依据合同发出的指令施工，随时接受工程师的检查检验，为检查检验提供便利条件。 </w:t>
      </w:r>
    </w:p>
    <w:p>
      <w:pPr>
        <w:spacing w:line="400" w:lineRule="exact"/>
        <w:ind w:firstLine="359" w:firstLineChars="171"/>
        <w:rPr>
          <w:rFonts w:ascii="宋体" w:hAnsi="宋体"/>
          <w:color w:val="auto"/>
          <w:szCs w:val="21"/>
        </w:rPr>
      </w:pPr>
      <w:r>
        <w:rPr>
          <w:rFonts w:hint="eastAsia" w:ascii="宋体" w:hAnsi="宋体"/>
          <w:color w:val="auto"/>
          <w:szCs w:val="21"/>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pPr>
        <w:spacing w:line="400" w:lineRule="exact"/>
        <w:ind w:firstLine="359" w:firstLineChars="171"/>
        <w:rPr>
          <w:rFonts w:ascii="宋体" w:hAnsi="宋体"/>
          <w:color w:val="auto"/>
          <w:szCs w:val="21"/>
        </w:rPr>
      </w:pPr>
      <w:r>
        <w:rPr>
          <w:rFonts w:hint="eastAsia" w:ascii="宋体" w:hAnsi="宋体"/>
          <w:color w:val="auto"/>
          <w:szCs w:val="21"/>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16.4 因工程师指令失误或其他非承包人原因发生的追加合同价款，由发包人承担。 </w:t>
      </w:r>
    </w:p>
    <w:p>
      <w:pPr>
        <w:spacing w:line="400" w:lineRule="exact"/>
        <w:ind w:firstLine="359" w:firstLineChars="171"/>
        <w:rPr>
          <w:rFonts w:ascii="宋体" w:hAnsi="宋体"/>
          <w:color w:val="auto"/>
          <w:szCs w:val="21"/>
        </w:rPr>
      </w:pPr>
      <w:r>
        <w:rPr>
          <w:rFonts w:hint="eastAsia" w:ascii="宋体" w:hAnsi="宋体"/>
          <w:color w:val="auto"/>
          <w:szCs w:val="21"/>
        </w:rPr>
        <w:t xml:space="preserve">17、隐蔽工程和中间验收 </w:t>
      </w:r>
    </w:p>
    <w:p>
      <w:pPr>
        <w:spacing w:line="400" w:lineRule="exact"/>
        <w:ind w:firstLine="359" w:firstLineChars="171"/>
        <w:rPr>
          <w:rFonts w:ascii="宋体" w:hAnsi="宋体"/>
          <w:color w:val="auto"/>
          <w:szCs w:val="21"/>
        </w:rPr>
      </w:pPr>
      <w:r>
        <w:rPr>
          <w:rFonts w:hint="eastAsia" w:ascii="宋体" w:hAnsi="宋体"/>
          <w:color w:val="auto"/>
          <w:szCs w:val="21"/>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color w:val="auto"/>
          <w:spacing w:val="4"/>
          <w:szCs w:val="21"/>
        </w:rPr>
        <w:t>工程师在验收记录上签字后，承包人可进行隐蔽和继续施工。验收不合格</w:t>
      </w:r>
      <w:r>
        <w:rPr>
          <w:rFonts w:hint="eastAsia" w:ascii="宋体" w:hAnsi="宋体"/>
          <w:color w:val="auto"/>
          <w:szCs w:val="21"/>
        </w:rPr>
        <w:t xml:space="preserve">，承包人在工程师限定的时间内修改后重新验收。 </w:t>
      </w:r>
    </w:p>
    <w:p>
      <w:pPr>
        <w:spacing w:line="400" w:lineRule="exact"/>
        <w:ind w:firstLine="359" w:firstLineChars="171"/>
        <w:rPr>
          <w:rFonts w:ascii="宋体" w:hAnsi="宋体"/>
          <w:color w:val="auto"/>
          <w:szCs w:val="21"/>
        </w:rPr>
      </w:pPr>
      <w:r>
        <w:rPr>
          <w:rFonts w:hint="eastAsia" w:ascii="宋体" w:hAnsi="宋体"/>
          <w:color w:val="auto"/>
          <w:szCs w:val="21"/>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pPr>
        <w:spacing w:line="400" w:lineRule="exact"/>
        <w:ind w:firstLine="359" w:firstLineChars="171"/>
        <w:rPr>
          <w:rFonts w:ascii="宋体" w:hAnsi="宋体"/>
          <w:color w:val="auto"/>
          <w:szCs w:val="21"/>
        </w:rPr>
      </w:pPr>
      <w:r>
        <w:rPr>
          <w:rFonts w:hint="eastAsia" w:ascii="宋体" w:hAnsi="宋体"/>
          <w:color w:val="auto"/>
          <w:szCs w:val="21"/>
        </w:rPr>
        <w:t>17.3 经工程师验收，工程质量符合标准、规范和设计图纸等要求，验收24</w:t>
      </w:r>
      <w:r>
        <w:rPr>
          <w:rFonts w:hint="eastAsia" w:ascii="宋体" w:hAnsi="宋体"/>
          <w:color w:val="auto"/>
          <w:spacing w:val="4"/>
          <w:szCs w:val="21"/>
        </w:rPr>
        <w:t>小时后，工程师不在验收记录上签字，视为工程师已经认可验收记录，承包</w:t>
      </w:r>
      <w:r>
        <w:rPr>
          <w:rFonts w:hint="eastAsia" w:ascii="宋体" w:hAnsi="宋体"/>
          <w:color w:val="auto"/>
          <w:szCs w:val="21"/>
        </w:rPr>
        <w:t xml:space="preserve">人可进行隐蔽或继续施工。 </w:t>
      </w:r>
    </w:p>
    <w:p>
      <w:pPr>
        <w:spacing w:line="400" w:lineRule="exact"/>
        <w:ind w:firstLine="359" w:firstLineChars="171"/>
        <w:rPr>
          <w:rFonts w:ascii="宋体" w:hAnsi="宋体"/>
          <w:color w:val="auto"/>
          <w:szCs w:val="21"/>
        </w:rPr>
      </w:pPr>
      <w:r>
        <w:rPr>
          <w:rFonts w:hint="eastAsia" w:ascii="宋体" w:hAnsi="宋体"/>
          <w:color w:val="auto"/>
          <w:szCs w:val="21"/>
        </w:rPr>
        <w:t xml:space="preserve">18、重新检验 </w:t>
      </w:r>
    </w:p>
    <w:p>
      <w:pPr>
        <w:spacing w:line="400" w:lineRule="exact"/>
        <w:ind w:firstLine="359" w:firstLineChars="171"/>
        <w:rPr>
          <w:rFonts w:ascii="宋体" w:hAnsi="宋体"/>
          <w:color w:val="auto"/>
          <w:szCs w:val="21"/>
        </w:rPr>
      </w:pPr>
      <w:r>
        <w:rPr>
          <w:rFonts w:hint="eastAsia" w:ascii="宋体" w:hAnsi="宋体"/>
          <w:color w:val="auto"/>
          <w:szCs w:val="21"/>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400" w:lineRule="exact"/>
        <w:ind w:firstLine="359" w:firstLineChars="171"/>
        <w:rPr>
          <w:rFonts w:ascii="宋体" w:hAnsi="宋体"/>
          <w:color w:val="auto"/>
          <w:szCs w:val="21"/>
        </w:rPr>
      </w:pPr>
      <w:r>
        <w:rPr>
          <w:rFonts w:hint="eastAsia" w:ascii="宋体" w:hAnsi="宋体"/>
          <w:color w:val="auto"/>
          <w:szCs w:val="21"/>
        </w:rPr>
        <w:t xml:space="preserve">19、工程试车 </w:t>
      </w:r>
    </w:p>
    <w:p>
      <w:pPr>
        <w:spacing w:line="400" w:lineRule="exact"/>
        <w:ind w:firstLine="359" w:firstLineChars="171"/>
        <w:rPr>
          <w:rFonts w:ascii="宋体" w:hAnsi="宋体"/>
          <w:color w:val="auto"/>
          <w:szCs w:val="21"/>
        </w:rPr>
      </w:pPr>
      <w:r>
        <w:rPr>
          <w:rFonts w:hint="eastAsia" w:ascii="宋体" w:hAnsi="宋体"/>
          <w:color w:val="auto"/>
          <w:szCs w:val="21"/>
        </w:rPr>
        <w:t xml:space="preserve">19.1 三方约定需要试车的，试车内容应与承包人承包的安装范围相一致。 </w:t>
      </w:r>
    </w:p>
    <w:p>
      <w:pPr>
        <w:spacing w:line="400" w:lineRule="exact"/>
        <w:ind w:firstLine="359" w:firstLineChars="171"/>
        <w:rPr>
          <w:rFonts w:ascii="宋体" w:hAnsi="宋体"/>
          <w:color w:val="auto"/>
          <w:szCs w:val="21"/>
        </w:rPr>
      </w:pPr>
      <w:r>
        <w:rPr>
          <w:rFonts w:hint="eastAsia" w:ascii="宋体" w:hAnsi="宋体"/>
          <w:color w:val="auto"/>
          <w:szCs w:val="21"/>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pPr>
        <w:spacing w:line="400" w:lineRule="exact"/>
        <w:ind w:firstLine="359" w:firstLineChars="171"/>
        <w:rPr>
          <w:rFonts w:ascii="宋体" w:hAnsi="宋体"/>
          <w:color w:val="auto"/>
          <w:szCs w:val="21"/>
        </w:rPr>
      </w:pPr>
      <w:r>
        <w:rPr>
          <w:rFonts w:hint="eastAsia" w:ascii="宋体" w:hAnsi="宋体"/>
          <w:color w:val="auto"/>
          <w:szCs w:val="21"/>
        </w:rPr>
        <w:t xml:space="preserve">19.3 工程师不能按时参加试车，须在开始试车前24小时以书面形式向承包人提出延期要求，延期不能超过48小时。工程师未能按以上时间提出延期要求，不参加试车，应承认试车记录。 </w:t>
      </w:r>
    </w:p>
    <w:p>
      <w:pPr>
        <w:spacing w:line="400" w:lineRule="exact"/>
        <w:ind w:firstLine="359" w:firstLineChars="171"/>
        <w:rPr>
          <w:rFonts w:ascii="宋体" w:hAnsi="宋体"/>
          <w:color w:val="auto"/>
          <w:szCs w:val="21"/>
        </w:rPr>
      </w:pPr>
      <w:r>
        <w:rPr>
          <w:rFonts w:hint="eastAsia" w:ascii="宋体" w:hAnsi="宋体"/>
          <w:color w:val="auto"/>
          <w:szCs w:val="21"/>
        </w:rPr>
        <w:t xml:space="preserve">19.4 设备安装工程具备无负荷联动试车条件，发包人组织试车，并在试车前48小时以书面形式通知承包人。通知包括试车内容、时间、地点和对承包人的要求，承包人按要求做好准备工作。试车合格，三方在试车记录上签字。 </w:t>
      </w:r>
    </w:p>
    <w:p>
      <w:pPr>
        <w:spacing w:line="400" w:lineRule="exact"/>
        <w:ind w:firstLine="359" w:firstLineChars="171"/>
        <w:rPr>
          <w:rFonts w:ascii="宋体" w:hAnsi="宋体"/>
          <w:color w:val="auto"/>
          <w:szCs w:val="21"/>
        </w:rPr>
      </w:pPr>
      <w:r>
        <w:rPr>
          <w:rFonts w:hint="eastAsia" w:ascii="宋体" w:hAnsi="宋体"/>
          <w:color w:val="auto"/>
          <w:szCs w:val="21"/>
        </w:rPr>
        <w:t xml:space="preserve">19.5三方责任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(1) 由于设计原因试车达不到验收要求，发包人应要求设计单位修改设计，承包人按修改后的设计重新安装。发包人承担修改设计、拆除及重新安装的全部费用和追加合同价款，工期相应顺延。 </w:t>
      </w:r>
    </w:p>
    <w:p>
      <w:pPr>
        <w:spacing w:line="400" w:lineRule="exact"/>
        <w:ind w:firstLine="359" w:firstLineChars="171"/>
        <w:rPr>
          <w:rFonts w:ascii="宋体" w:hAnsi="宋体"/>
          <w:color w:val="auto"/>
          <w:szCs w:val="21"/>
        </w:rPr>
      </w:pPr>
      <w:r>
        <w:rPr>
          <w:rFonts w:hint="eastAsia" w:ascii="宋体" w:hAnsi="宋体"/>
          <w:color w:val="auto"/>
          <w:szCs w:val="21"/>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spacing w:line="400" w:lineRule="exact"/>
        <w:ind w:firstLine="359" w:firstLineChars="171"/>
        <w:rPr>
          <w:rFonts w:ascii="宋体" w:hAnsi="宋体"/>
          <w:color w:val="auto"/>
          <w:szCs w:val="21"/>
        </w:rPr>
      </w:pPr>
      <w:r>
        <w:rPr>
          <w:rFonts w:hint="eastAsia" w:ascii="宋体" w:hAnsi="宋体"/>
          <w:color w:val="auto"/>
          <w:szCs w:val="21"/>
        </w:rPr>
        <w:t xml:space="preserve">(3) 由于承包人施工原因试车达不到验收要求，承包人按工程师要求重新安装和试车，并承担重新安装和试车的费用，工期不予顺延。 </w:t>
      </w:r>
    </w:p>
    <w:p>
      <w:pPr>
        <w:spacing w:line="400" w:lineRule="exact"/>
        <w:ind w:firstLine="359" w:firstLineChars="171"/>
        <w:rPr>
          <w:rFonts w:ascii="宋体" w:hAnsi="宋体"/>
          <w:color w:val="auto"/>
          <w:szCs w:val="21"/>
        </w:rPr>
      </w:pPr>
      <w:r>
        <w:rPr>
          <w:rFonts w:hint="eastAsia" w:ascii="宋体" w:hAnsi="宋体"/>
          <w:color w:val="auto"/>
          <w:szCs w:val="21"/>
        </w:rPr>
        <w:t>(4) 试车费用除已包括在合同价款之内或专用条款另有约定外，均由发包人承担。</w:t>
      </w:r>
    </w:p>
    <w:p>
      <w:pPr>
        <w:spacing w:line="400" w:lineRule="exact"/>
        <w:ind w:firstLine="359" w:firstLineChars="171"/>
        <w:rPr>
          <w:rFonts w:ascii="宋体" w:hAnsi="宋体"/>
          <w:color w:val="auto"/>
          <w:szCs w:val="21"/>
        </w:rPr>
      </w:pPr>
      <w:r>
        <w:rPr>
          <w:rFonts w:hint="eastAsia" w:ascii="宋体" w:hAnsi="宋体"/>
          <w:color w:val="auto"/>
          <w:szCs w:val="21"/>
        </w:rPr>
        <w:t xml:space="preserve">(5) 工程师在试车合格后不在试车记录上签字，试车结束24小时后，视为工程师已经认可试车记录，承包人可继续施工或办理竣工手续。 </w:t>
      </w:r>
    </w:p>
    <w:p>
      <w:pPr>
        <w:spacing w:line="400" w:lineRule="exact"/>
        <w:ind w:firstLine="359" w:firstLineChars="171"/>
        <w:rPr>
          <w:rFonts w:ascii="宋体" w:hAnsi="宋体"/>
          <w:color w:val="auto"/>
          <w:szCs w:val="21"/>
        </w:rPr>
      </w:pPr>
      <w:r>
        <w:rPr>
          <w:rFonts w:hint="eastAsia" w:ascii="宋体" w:hAnsi="宋体"/>
          <w:color w:val="auto"/>
          <w:szCs w:val="21"/>
        </w:rPr>
        <w:t xml:space="preserve">19.6 投料试车应在工程竣工验收后由发包人负责，如发包人要求在工程竣工验收前进行或需要承包人配合时，应征得承包人同意，另行签订补充协议。 </w:t>
      </w:r>
    </w:p>
    <w:p>
      <w:pPr>
        <w:spacing w:line="400" w:lineRule="exact"/>
        <w:ind w:firstLine="359" w:firstLineChars="171"/>
        <w:rPr>
          <w:rFonts w:ascii="宋体" w:hAnsi="宋体"/>
          <w:color w:val="auto"/>
          <w:szCs w:val="21"/>
        </w:rPr>
      </w:pPr>
      <w:r>
        <w:rPr>
          <w:rFonts w:hint="eastAsia" w:ascii="宋体" w:hAnsi="宋体"/>
          <w:color w:val="auto"/>
          <w:szCs w:val="21"/>
        </w:rPr>
        <w:t xml:space="preserve">五、安全施工 </w:t>
      </w:r>
    </w:p>
    <w:p>
      <w:pPr>
        <w:spacing w:line="400" w:lineRule="exact"/>
        <w:ind w:firstLine="359" w:firstLineChars="171"/>
        <w:rPr>
          <w:rFonts w:ascii="宋体" w:hAnsi="宋体"/>
          <w:color w:val="auto"/>
          <w:szCs w:val="21"/>
        </w:rPr>
      </w:pPr>
      <w:r>
        <w:rPr>
          <w:rFonts w:hint="eastAsia" w:ascii="宋体" w:hAnsi="宋体"/>
          <w:color w:val="auto"/>
          <w:szCs w:val="21"/>
        </w:rPr>
        <w:t xml:space="preserve">20、安全施工与检查 </w:t>
      </w:r>
    </w:p>
    <w:p>
      <w:pPr>
        <w:spacing w:line="400" w:lineRule="exact"/>
        <w:ind w:firstLine="359" w:firstLineChars="171"/>
        <w:rPr>
          <w:rFonts w:ascii="宋体" w:hAnsi="宋体"/>
          <w:color w:val="auto"/>
          <w:szCs w:val="21"/>
        </w:rPr>
      </w:pPr>
      <w:r>
        <w:rPr>
          <w:rFonts w:hint="eastAsia" w:ascii="宋体" w:hAnsi="宋体"/>
          <w:color w:val="auto"/>
          <w:szCs w:val="21"/>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400" w:lineRule="exact"/>
        <w:ind w:firstLine="359" w:firstLineChars="171"/>
        <w:rPr>
          <w:rFonts w:ascii="宋体" w:hAnsi="宋体"/>
          <w:color w:val="auto"/>
          <w:szCs w:val="21"/>
        </w:rPr>
      </w:pPr>
      <w:r>
        <w:rPr>
          <w:rFonts w:hint="eastAsia" w:ascii="宋体" w:hAnsi="宋体"/>
          <w:color w:val="auto"/>
          <w:szCs w:val="21"/>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pPr>
        <w:spacing w:line="400" w:lineRule="exact"/>
        <w:ind w:firstLine="359" w:firstLineChars="171"/>
        <w:rPr>
          <w:rFonts w:ascii="宋体" w:hAnsi="宋体"/>
          <w:color w:val="auto"/>
          <w:szCs w:val="21"/>
        </w:rPr>
      </w:pPr>
      <w:r>
        <w:rPr>
          <w:rFonts w:hint="eastAsia" w:ascii="宋体" w:hAnsi="宋体"/>
          <w:color w:val="auto"/>
          <w:szCs w:val="21"/>
        </w:rPr>
        <w:t xml:space="preserve">21、安全防护 </w:t>
      </w:r>
    </w:p>
    <w:p>
      <w:pPr>
        <w:spacing w:line="400" w:lineRule="exact"/>
        <w:ind w:firstLine="359" w:firstLineChars="171"/>
        <w:rPr>
          <w:rFonts w:ascii="宋体" w:hAnsi="宋体"/>
          <w:color w:val="auto"/>
          <w:szCs w:val="21"/>
        </w:rPr>
      </w:pPr>
      <w:r>
        <w:rPr>
          <w:rFonts w:hint="eastAsia" w:ascii="宋体" w:hAnsi="宋体"/>
          <w:color w:val="auto"/>
          <w:szCs w:val="21"/>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pPr>
        <w:spacing w:line="400" w:lineRule="exact"/>
        <w:ind w:firstLine="359" w:firstLineChars="171"/>
        <w:rPr>
          <w:rFonts w:ascii="宋体" w:hAnsi="宋体"/>
          <w:color w:val="auto"/>
          <w:szCs w:val="21"/>
        </w:rPr>
      </w:pPr>
      <w:r>
        <w:rPr>
          <w:rFonts w:hint="eastAsia" w:ascii="宋体" w:hAnsi="宋体"/>
          <w:color w:val="auto"/>
          <w:szCs w:val="21"/>
        </w:rPr>
        <w:t>21.2实施爆破作业，在放射、毒害性环境中施工（含储存、运输、使用）及使用毒害性、腐蚀性物品施工时，承包人应在施工前14天以书面形式通知工</w:t>
      </w:r>
      <w:r>
        <w:rPr>
          <w:rFonts w:hint="eastAsia" w:ascii="宋体" w:hAnsi="宋体"/>
          <w:color w:val="auto"/>
          <w:spacing w:val="2"/>
          <w:szCs w:val="21"/>
        </w:rPr>
        <w:t>程师，并提出相应的安全防护措施，经工程师认可后实施,由发包人承担安全</w:t>
      </w:r>
      <w:r>
        <w:rPr>
          <w:rFonts w:hint="eastAsia" w:ascii="宋体" w:hAnsi="宋体"/>
          <w:color w:val="auto"/>
          <w:szCs w:val="21"/>
        </w:rPr>
        <w:t xml:space="preserve">防护措施费用。 </w:t>
      </w:r>
    </w:p>
    <w:p>
      <w:pPr>
        <w:spacing w:line="400" w:lineRule="exact"/>
        <w:ind w:firstLine="359" w:firstLineChars="171"/>
        <w:rPr>
          <w:rFonts w:ascii="宋体" w:hAnsi="宋体"/>
          <w:color w:val="auto"/>
          <w:szCs w:val="21"/>
        </w:rPr>
      </w:pPr>
      <w:r>
        <w:rPr>
          <w:rFonts w:hint="eastAsia" w:ascii="宋体" w:hAnsi="宋体"/>
          <w:color w:val="auto"/>
          <w:szCs w:val="21"/>
        </w:rPr>
        <w:t xml:space="preserve">22、事故处理 </w:t>
      </w:r>
    </w:p>
    <w:p>
      <w:pPr>
        <w:spacing w:line="400" w:lineRule="exact"/>
        <w:ind w:firstLine="359" w:firstLineChars="171"/>
        <w:rPr>
          <w:rFonts w:ascii="宋体" w:hAnsi="宋体"/>
          <w:color w:val="auto"/>
          <w:szCs w:val="21"/>
        </w:rPr>
      </w:pPr>
      <w:r>
        <w:rPr>
          <w:rFonts w:hint="eastAsia" w:ascii="宋体" w:hAnsi="宋体"/>
          <w:color w:val="auto"/>
          <w:szCs w:val="21"/>
        </w:rPr>
        <w:t>22.1发生重大伤亡及其他安全事故，承包人应按有关规定立即上报有关部门并通知工程师，同时按政府有关部门要求处理，由事故责任方承担发生的费用。</w:t>
      </w:r>
    </w:p>
    <w:p>
      <w:pPr>
        <w:spacing w:line="400" w:lineRule="exact"/>
        <w:ind w:firstLine="359" w:firstLineChars="171"/>
        <w:rPr>
          <w:rFonts w:ascii="宋体" w:hAnsi="宋体"/>
          <w:color w:val="auto"/>
          <w:szCs w:val="21"/>
        </w:rPr>
      </w:pPr>
      <w:r>
        <w:rPr>
          <w:rFonts w:hint="eastAsia" w:ascii="宋体" w:hAnsi="宋体"/>
          <w:color w:val="auto"/>
          <w:szCs w:val="21"/>
        </w:rPr>
        <w:t xml:space="preserve">22.2发包人承包人对事故责任有争议时，应按政府有关部门的认定处理。 </w:t>
      </w:r>
    </w:p>
    <w:p>
      <w:pPr>
        <w:spacing w:line="400" w:lineRule="exact"/>
        <w:ind w:firstLine="359" w:firstLineChars="171"/>
        <w:rPr>
          <w:rFonts w:ascii="宋体" w:hAnsi="宋体"/>
          <w:color w:val="auto"/>
          <w:szCs w:val="21"/>
        </w:rPr>
      </w:pPr>
      <w:r>
        <w:rPr>
          <w:rFonts w:hint="eastAsia" w:ascii="宋体" w:hAnsi="宋体"/>
          <w:color w:val="auto"/>
          <w:szCs w:val="21"/>
        </w:rPr>
        <w:t xml:space="preserve">六、合同价款与支付 </w:t>
      </w:r>
    </w:p>
    <w:p>
      <w:pPr>
        <w:spacing w:line="400" w:lineRule="exact"/>
        <w:ind w:firstLine="359" w:firstLineChars="171"/>
        <w:rPr>
          <w:rFonts w:ascii="宋体" w:hAnsi="宋体"/>
          <w:color w:val="auto"/>
          <w:szCs w:val="21"/>
        </w:rPr>
      </w:pPr>
      <w:r>
        <w:rPr>
          <w:rFonts w:hint="eastAsia" w:ascii="宋体" w:hAnsi="宋体"/>
          <w:color w:val="auto"/>
          <w:szCs w:val="21"/>
        </w:rPr>
        <w:t xml:space="preserve">23、合同价款及调整 </w:t>
      </w:r>
    </w:p>
    <w:p>
      <w:pPr>
        <w:spacing w:line="400" w:lineRule="exact"/>
        <w:ind w:firstLine="359" w:firstLineChars="171"/>
        <w:rPr>
          <w:rFonts w:ascii="宋体" w:hAnsi="宋体"/>
          <w:color w:val="auto"/>
          <w:szCs w:val="21"/>
        </w:rPr>
      </w:pPr>
      <w:r>
        <w:rPr>
          <w:rFonts w:hint="eastAsia" w:ascii="宋体" w:hAnsi="宋体"/>
          <w:color w:val="auto"/>
          <w:szCs w:val="21"/>
        </w:rPr>
        <w:t xml:space="preserve">23.1招标工程的合同价款由发包人承包人依据中标通知书中的中标价格在协议书内约定。非招标工程的合同价款由发包人承包人依据工程预算书在协议书内约定。 </w:t>
      </w:r>
    </w:p>
    <w:p>
      <w:pPr>
        <w:spacing w:line="400" w:lineRule="exact"/>
        <w:ind w:firstLine="359" w:firstLineChars="171"/>
        <w:rPr>
          <w:rFonts w:ascii="宋体" w:hAnsi="宋体"/>
          <w:color w:val="auto"/>
          <w:szCs w:val="21"/>
        </w:rPr>
      </w:pPr>
      <w:r>
        <w:rPr>
          <w:rFonts w:hint="eastAsia" w:ascii="宋体" w:hAnsi="宋体"/>
          <w:color w:val="auto"/>
          <w:szCs w:val="21"/>
        </w:rPr>
        <w:t xml:space="preserve">23.2合同价款在协议书内约定后，任何一方不得擅自改变。下列三种确定合同价款的方式，三方可在专用条款内约定采用其中一种： </w:t>
      </w:r>
    </w:p>
    <w:p>
      <w:pPr>
        <w:spacing w:line="400" w:lineRule="exact"/>
        <w:ind w:firstLine="359" w:firstLineChars="171"/>
        <w:rPr>
          <w:rFonts w:ascii="宋体" w:hAnsi="宋体"/>
          <w:color w:val="auto"/>
          <w:szCs w:val="21"/>
        </w:rPr>
      </w:pPr>
      <w:r>
        <w:rPr>
          <w:rFonts w:hint="eastAsia" w:ascii="宋体" w:hAnsi="宋体"/>
          <w:color w:val="auto"/>
          <w:szCs w:val="21"/>
        </w:rPr>
        <w:t xml:space="preserve">(1) 固定价格合同。三方在专用条款内约定合同价款包含的风险范围和风险费用的计算方法，在约定的风险范围内合同价款不再调整。风险范围以外的合同价款调整方法，应当在专用条款内约定。 </w:t>
      </w:r>
    </w:p>
    <w:p>
      <w:pPr>
        <w:spacing w:line="400" w:lineRule="exact"/>
        <w:ind w:firstLine="359" w:firstLineChars="171"/>
        <w:rPr>
          <w:rFonts w:ascii="宋体" w:hAnsi="宋体"/>
          <w:color w:val="auto"/>
          <w:szCs w:val="21"/>
        </w:rPr>
      </w:pPr>
      <w:r>
        <w:rPr>
          <w:rFonts w:hint="eastAsia" w:ascii="宋体" w:hAnsi="宋体"/>
          <w:color w:val="auto"/>
          <w:szCs w:val="21"/>
        </w:rPr>
        <w:t xml:space="preserve">(2) 可调价格合同。合同价款可根据三方的约定而调整，三方在专用条款内约定合同价款调整方法。 </w:t>
      </w:r>
    </w:p>
    <w:p>
      <w:pPr>
        <w:spacing w:line="400" w:lineRule="exact"/>
        <w:ind w:firstLine="359" w:firstLineChars="171"/>
        <w:rPr>
          <w:rFonts w:ascii="宋体" w:hAnsi="宋体"/>
          <w:color w:val="auto"/>
          <w:szCs w:val="21"/>
        </w:rPr>
      </w:pPr>
      <w:r>
        <w:rPr>
          <w:rFonts w:hint="eastAsia" w:ascii="宋体" w:hAnsi="宋体"/>
          <w:color w:val="auto"/>
          <w:szCs w:val="21"/>
        </w:rPr>
        <w:t xml:space="preserve">(3) 成本加酬金合同。合同价款包括成本和酬金两部分，三方在专用条款内约定成本构成和酬金的计算方法。 </w:t>
      </w:r>
    </w:p>
    <w:p>
      <w:pPr>
        <w:spacing w:line="400" w:lineRule="exact"/>
        <w:ind w:firstLine="359" w:firstLineChars="171"/>
        <w:rPr>
          <w:rFonts w:ascii="宋体" w:hAnsi="宋体"/>
          <w:color w:val="auto"/>
          <w:szCs w:val="21"/>
        </w:rPr>
      </w:pPr>
      <w:r>
        <w:rPr>
          <w:rFonts w:hint="eastAsia" w:ascii="宋体" w:hAnsi="宋体"/>
          <w:color w:val="auto"/>
          <w:szCs w:val="21"/>
        </w:rPr>
        <w:t>23.3可调价格合同中合同价款的调整因素包括：</w:t>
      </w:r>
    </w:p>
    <w:p>
      <w:pPr>
        <w:spacing w:line="400" w:lineRule="exact"/>
        <w:ind w:firstLine="359" w:firstLineChars="171"/>
        <w:rPr>
          <w:rFonts w:ascii="宋体" w:hAnsi="宋体"/>
          <w:color w:val="auto"/>
          <w:szCs w:val="21"/>
        </w:rPr>
      </w:pPr>
      <w:r>
        <w:rPr>
          <w:rFonts w:hint="eastAsia" w:ascii="宋体" w:hAnsi="宋体"/>
          <w:color w:val="auto"/>
          <w:szCs w:val="21"/>
        </w:rPr>
        <w:t xml:space="preserve">(1) 法律、行政法规和国家有关政策变化影响合同价款； </w:t>
      </w:r>
    </w:p>
    <w:p>
      <w:pPr>
        <w:spacing w:line="400" w:lineRule="exact"/>
        <w:ind w:firstLine="359" w:firstLineChars="171"/>
        <w:rPr>
          <w:rFonts w:ascii="宋体" w:hAnsi="宋体"/>
          <w:color w:val="auto"/>
          <w:szCs w:val="21"/>
        </w:rPr>
      </w:pPr>
      <w:r>
        <w:rPr>
          <w:rFonts w:hint="eastAsia" w:ascii="宋体" w:hAnsi="宋体"/>
          <w:color w:val="auto"/>
          <w:szCs w:val="21"/>
        </w:rPr>
        <w:t xml:space="preserve">(2) 工程造价管理部门公布的价格调整； </w:t>
      </w:r>
    </w:p>
    <w:p>
      <w:pPr>
        <w:spacing w:line="400" w:lineRule="exact"/>
        <w:ind w:firstLine="359" w:firstLineChars="171"/>
        <w:rPr>
          <w:rFonts w:ascii="宋体" w:hAnsi="宋体"/>
          <w:color w:val="auto"/>
          <w:szCs w:val="21"/>
        </w:rPr>
      </w:pPr>
      <w:r>
        <w:rPr>
          <w:rFonts w:hint="eastAsia" w:ascii="宋体" w:hAnsi="宋体"/>
          <w:color w:val="auto"/>
          <w:szCs w:val="21"/>
        </w:rPr>
        <w:t xml:space="preserve">(3) 一周内非承包人原因停水、停电、停气造成的停工累计超过8小时； </w:t>
      </w:r>
    </w:p>
    <w:p>
      <w:pPr>
        <w:spacing w:line="400" w:lineRule="exact"/>
        <w:ind w:firstLine="359" w:firstLineChars="171"/>
        <w:rPr>
          <w:rFonts w:ascii="宋体" w:hAnsi="宋体"/>
          <w:color w:val="auto"/>
          <w:szCs w:val="21"/>
        </w:rPr>
      </w:pPr>
      <w:r>
        <w:rPr>
          <w:rFonts w:hint="eastAsia" w:ascii="宋体" w:hAnsi="宋体"/>
          <w:color w:val="auto"/>
          <w:szCs w:val="21"/>
        </w:rPr>
        <w:t xml:space="preserve">(4) 三方约定的其他因素。 </w:t>
      </w:r>
    </w:p>
    <w:p>
      <w:pPr>
        <w:spacing w:line="400" w:lineRule="exact"/>
        <w:ind w:firstLine="359" w:firstLineChars="171"/>
        <w:rPr>
          <w:rFonts w:ascii="宋体" w:hAnsi="宋体"/>
          <w:color w:val="auto"/>
          <w:szCs w:val="21"/>
        </w:rPr>
      </w:pPr>
      <w:r>
        <w:rPr>
          <w:rFonts w:hint="eastAsia" w:ascii="宋体" w:hAnsi="宋体"/>
          <w:color w:val="auto"/>
          <w:szCs w:val="21"/>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pPr>
        <w:spacing w:line="400" w:lineRule="exact"/>
        <w:ind w:firstLine="359" w:firstLineChars="171"/>
        <w:rPr>
          <w:rFonts w:ascii="宋体" w:hAnsi="宋体"/>
          <w:color w:val="auto"/>
          <w:szCs w:val="21"/>
        </w:rPr>
      </w:pPr>
      <w:r>
        <w:rPr>
          <w:rFonts w:hint="eastAsia" w:ascii="宋体" w:hAnsi="宋体"/>
          <w:color w:val="auto"/>
          <w:szCs w:val="21"/>
        </w:rPr>
        <w:t xml:space="preserve">24、工程预付款 </w:t>
      </w:r>
    </w:p>
    <w:p>
      <w:pPr>
        <w:spacing w:line="400" w:lineRule="exact"/>
        <w:ind w:firstLine="359" w:firstLineChars="171"/>
        <w:rPr>
          <w:rFonts w:ascii="宋体" w:hAnsi="宋体"/>
          <w:color w:val="auto"/>
          <w:szCs w:val="21"/>
        </w:rPr>
      </w:pPr>
      <w:r>
        <w:rPr>
          <w:rFonts w:hint="eastAsia" w:ascii="宋体" w:hAnsi="宋体"/>
          <w:color w:val="auto"/>
          <w:szCs w:val="21"/>
        </w:rPr>
        <w:t xml:space="preserve">实行工程预付款的，三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25、工程量的确认 </w:t>
      </w:r>
    </w:p>
    <w:p>
      <w:pPr>
        <w:spacing w:line="400" w:lineRule="exact"/>
        <w:ind w:firstLine="359" w:firstLineChars="171"/>
        <w:rPr>
          <w:rFonts w:ascii="宋体" w:hAnsi="宋体"/>
          <w:color w:val="auto"/>
          <w:szCs w:val="21"/>
        </w:rPr>
      </w:pPr>
      <w:r>
        <w:rPr>
          <w:rFonts w:hint="eastAsia" w:ascii="宋体" w:hAnsi="宋体"/>
          <w:color w:val="auto"/>
          <w:szCs w:val="21"/>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pPr>
        <w:spacing w:line="400" w:lineRule="exact"/>
        <w:ind w:firstLine="359" w:firstLineChars="171"/>
        <w:rPr>
          <w:rFonts w:ascii="宋体" w:hAnsi="宋体"/>
          <w:color w:val="auto"/>
          <w:szCs w:val="21"/>
        </w:rPr>
      </w:pPr>
      <w:r>
        <w:rPr>
          <w:rFonts w:hint="eastAsia" w:ascii="宋体" w:hAnsi="宋体"/>
          <w:color w:val="auto"/>
          <w:szCs w:val="21"/>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pPr>
        <w:spacing w:line="400" w:lineRule="exact"/>
        <w:ind w:firstLine="359" w:firstLineChars="171"/>
        <w:rPr>
          <w:rFonts w:ascii="宋体" w:hAnsi="宋体"/>
          <w:color w:val="auto"/>
          <w:szCs w:val="21"/>
        </w:rPr>
      </w:pPr>
      <w:r>
        <w:rPr>
          <w:rFonts w:hint="eastAsia" w:ascii="宋体" w:hAnsi="宋体"/>
          <w:color w:val="auto"/>
          <w:szCs w:val="21"/>
        </w:rPr>
        <w:t xml:space="preserve">25.3对承包人超出设计图纸范围和因承包人原因造成返工的工程量，工程师不予计量。 </w:t>
      </w:r>
    </w:p>
    <w:p>
      <w:pPr>
        <w:spacing w:line="400" w:lineRule="exact"/>
        <w:ind w:firstLine="359" w:firstLineChars="171"/>
        <w:rPr>
          <w:rFonts w:ascii="宋体" w:hAnsi="宋体"/>
          <w:color w:val="auto"/>
          <w:szCs w:val="21"/>
        </w:rPr>
      </w:pPr>
      <w:r>
        <w:rPr>
          <w:rFonts w:hint="eastAsia" w:ascii="宋体" w:hAnsi="宋体"/>
          <w:color w:val="auto"/>
          <w:szCs w:val="21"/>
        </w:rPr>
        <w:t xml:space="preserve">26、工程款（进度款）支付。 </w:t>
      </w:r>
    </w:p>
    <w:p>
      <w:pPr>
        <w:spacing w:line="400" w:lineRule="exact"/>
        <w:ind w:firstLine="359" w:firstLineChars="171"/>
        <w:rPr>
          <w:rFonts w:ascii="宋体" w:hAnsi="宋体"/>
          <w:color w:val="auto"/>
          <w:szCs w:val="21"/>
        </w:rPr>
      </w:pPr>
      <w:r>
        <w:rPr>
          <w:rFonts w:hint="eastAsia" w:ascii="宋体" w:hAnsi="宋体"/>
          <w:color w:val="auto"/>
          <w:szCs w:val="21"/>
        </w:rPr>
        <w:t xml:space="preserve">26.1 在确认计量结果后14天内，发包人应向承包人支付工程款（进度款）。按约定时间发包人应扣回的预付款，与工程款（进度款）同期结算。 </w:t>
      </w:r>
    </w:p>
    <w:p>
      <w:pPr>
        <w:spacing w:line="400" w:lineRule="exact"/>
        <w:ind w:firstLine="359" w:firstLineChars="171"/>
        <w:rPr>
          <w:rFonts w:ascii="宋体" w:hAnsi="宋体"/>
          <w:color w:val="auto"/>
          <w:szCs w:val="21"/>
        </w:rPr>
      </w:pPr>
      <w:r>
        <w:rPr>
          <w:rFonts w:hint="eastAsia" w:ascii="宋体" w:hAnsi="宋体"/>
          <w:color w:val="auto"/>
          <w:szCs w:val="21"/>
        </w:rPr>
        <w:t xml:space="preserve">26.2 本通用条款第23条确定调整的合同价款，第31条工程变更调整的合同价款及其他条款中约定的追加合同价款，应与工程款（进度款）同期调整支付。 </w:t>
      </w:r>
    </w:p>
    <w:p>
      <w:pPr>
        <w:spacing w:line="400" w:lineRule="exact"/>
        <w:ind w:firstLine="359" w:firstLineChars="171"/>
        <w:rPr>
          <w:rFonts w:ascii="宋体" w:hAnsi="宋体"/>
          <w:color w:val="auto"/>
          <w:szCs w:val="21"/>
        </w:rPr>
      </w:pPr>
      <w:r>
        <w:rPr>
          <w:rFonts w:hint="eastAsia" w:ascii="宋体" w:hAnsi="宋体"/>
          <w:color w:val="auto"/>
          <w:szCs w:val="21"/>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pPr>
        <w:spacing w:line="400" w:lineRule="exact"/>
        <w:ind w:firstLine="359" w:firstLineChars="171"/>
        <w:rPr>
          <w:rFonts w:ascii="宋体" w:hAnsi="宋体"/>
          <w:color w:val="auto"/>
          <w:szCs w:val="21"/>
        </w:rPr>
      </w:pPr>
      <w:r>
        <w:rPr>
          <w:rFonts w:hint="eastAsia" w:ascii="宋体" w:hAnsi="宋体"/>
          <w:color w:val="auto"/>
          <w:szCs w:val="21"/>
        </w:rPr>
        <w:t xml:space="preserve">26.4 发包人不按合同约定支付工程款（进度款），三方又未达成延期付款协议，导致施工无法进行，承包人可停止施工，由发包人承担违约责任。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七、材料设备供应 </w:t>
      </w:r>
    </w:p>
    <w:p>
      <w:pPr>
        <w:spacing w:line="400" w:lineRule="exact"/>
        <w:ind w:firstLine="359" w:firstLineChars="171"/>
        <w:rPr>
          <w:rFonts w:ascii="宋体" w:hAnsi="宋体"/>
          <w:color w:val="auto"/>
          <w:szCs w:val="21"/>
        </w:rPr>
      </w:pPr>
      <w:r>
        <w:rPr>
          <w:rFonts w:hint="eastAsia" w:ascii="宋体" w:hAnsi="宋体"/>
          <w:color w:val="auto"/>
          <w:szCs w:val="21"/>
        </w:rPr>
        <w:t xml:space="preserve">27、发包人供应材料设备 </w:t>
      </w:r>
    </w:p>
    <w:p>
      <w:pPr>
        <w:spacing w:line="400" w:lineRule="exact"/>
        <w:ind w:firstLine="359" w:firstLineChars="171"/>
        <w:rPr>
          <w:rFonts w:ascii="宋体" w:hAnsi="宋体"/>
          <w:color w:val="auto"/>
          <w:szCs w:val="21"/>
        </w:rPr>
      </w:pPr>
      <w:r>
        <w:rPr>
          <w:rFonts w:hint="eastAsia" w:ascii="宋体" w:hAnsi="宋体"/>
          <w:color w:val="auto"/>
          <w:szCs w:val="21"/>
        </w:rPr>
        <w:t xml:space="preserve">27.1 实行发包人供应材料设备的，三方应当约定发包人供应材料设备的一览表，作为本合同附件（附件2）。一览表包括发包人供应材料设备的品种、规格、型号、数量、单价、质量等级、提供时间和地点。 </w:t>
      </w:r>
    </w:p>
    <w:p>
      <w:pPr>
        <w:spacing w:line="400" w:lineRule="exact"/>
        <w:ind w:firstLine="359" w:firstLineChars="171"/>
        <w:rPr>
          <w:rFonts w:ascii="宋体" w:hAnsi="宋体"/>
          <w:color w:val="auto"/>
          <w:szCs w:val="21"/>
        </w:rPr>
      </w:pPr>
      <w:r>
        <w:rPr>
          <w:rFonts w:hint="eastAsia" w:ascii="宋体" w:hAnsi="宋体"/>
          <w:color w:val="auto"/>
          <w:szCs w:val="21"/>
        </w:rPr>
        <w:t xml:space="preserve">27.2 发包人按一览表约定的内容提供材料设备，并向承包人提供产品合格证明，对其质量负责。发包人在所供材料设备到货前24小时，以书面形式通知承包人，由承包人派人与发包人共同清点。 </w:t>
      </w:r>
    </w:p>
    <w:p>
      <w:pPr>
        <w:spacing w:line="400" w:lineRule="exact"/>
        <w:ind w:firstLine="359" w:firstLineChars="171"/>
        <w:rPr>
          <w:rFonts w:ascii="宋体" w:hAnsi="宋体"/>
          <w:color w:val="auto"/>
          <w:szCs w:val="21"/>
        </w:rPr>
      </w:pPr>
      <w:r>
        <w:rPr>
          <w:rFonts w:hint="eastAsia" w:ascii="宋体" w:hAnsi="宋体"/>
          <w:color w:val="auto"/>
          <w:szCs w:val="21"/>
        </w:rPr>
        <w:t xml:space="preserve">27.3 发包人供应的材料设备，承包人派人参加清点后由承包人妥善保管，发包人支付相应保管费用。因承包人原因发生丢失损坏，由承包人负责赔偿。 </w:t>
      </w:r>
    </w:p>
    <w:p>
      <w:pPr>
        <w:spacing w:line="400" w:lineRule="exact"/>
        <w:ind w:firstLine="359" w:firstLineChars="171"/>
        <w:rPr>
          <w:rFonts w:ascii="宋体" w:hAnsi="宋体"/>
          <w:color w:val="auto"/>
          <w:szCs w:val="21"/>
        </w:rPr>
      </w:pPr>
      <w:r>
        <w:rPr>
          <w:rFonts w:hint="eastAsia" w:ascii="宋体" w:hAnsi="宋体"/>
          <w:color w:val="auto"/>
          <w:szCs w:val="21"/>
        </w:rPr>
        <w:t xml:space="preserve">发包人未通知承包人清点，承包人不负责材料设备的保管，丢失损坏由发包人负责。 </w:t>
      </w:r>
    </w:p>
    <w:p>
      <w:pPr>
        <w:spacing w:line="400" w:lineRule="exact"/>
        <w:ind w:firstLine="359" w:firstLineChars="171"/>
        <w:rPr>
          <w:rFonts w:ascii="宋体" w:hAnsi="宋体"/>
          <w:color w:val="auto"/>
          <w:szCs w:val="21"/>
        </w:rPr>
      </w:pPr>
      <w:r>
        <w:rPr>
          <w:rFonts w:hint="eastAsia" w:ascii="宋体" w:hAnsi="宋体"/>
          <w:color w:val="auto"/>
          <w:szCs w:val="21"/>
        </w:rPr>
        <w:t xml:space="preserve">27.4发包人供应的材料设备与一览表不符时，发包人承担有关责任。发包人应承担责任的具体内容，三方根据下列情况在专用条款内约定。 </w:t>
      </w:r>
    </w:p>
    <w:p>
      <w:pPr>
        <w:spacing w:line="400" w:lineRule="exact"/>
        <w:ind w:firstLine="359" w:firstLineChars="171"/>
        <w:rPr>
          <w:rFonts w:ascii="宋体" w:hAnsi="宋体"/>
          <w:color w:val="auto"/>
          <w:szCs w:val="21"/>
        </w:rPr>
      </w:pPr>
      <w:r>
        <w:rPr>
          <w:rFonts w:hint="eastAsia" w:ascii="宋体" w:hAnsi="宋体"/>
          <w:color w:val="auto"/>
          <w:szCs w:val="21"/>
        </w:rPr>
        <w:t xml:space="preserve">(1) 材料设备单价与一览表不符，由发包人承担所有价差； </w:t>
      </w:r>
    </w:p>
    <w:p>
      <w:pPr>
        <w:spacing w:line="400" w:lineRule="exact"/>
        <w:ind w:firstLine="359" w:firstLineChars="171"/>
        <w:rPr>
          <w:rFonts w:ascii="宋体" w:hAnsi="宋体"/>
          <w:color w:val="auto"/>
          <w:szCs w:val="21"/>
        </w:rPr>
      </w:pPr>
      <w:r>
        <w:rPr>
          <w:rFonts w:hint="eastAsia" w:ascii="宋体" w:hAnsi="宋体"/>
          <w:color w:val="auto"/>
          <w:szCs w:val="21"/>
        </w:rPr>
        <w:t xml:space="preserve">(2) 材料设备的品种、规格、型号、质量等级与一览表不符，承包人可拒绝接收保管，由发包人运出施工场地并重新采购； </w:t>
      </w:r>
    </w:p>
    <w:p>
      <w:pPr>
        <w:spacing w:line="400" w:lineRule="exact"/>
        <w:ind w:firstLine="359" w:firstLineChars="171"/>
        <w:rPr>
          <w:rFonts w:ascii="宋体" w:hAnsi="宋体"/>
          <w:color w:val="auto"/>
          <w:szCs w:val="21"/>
        </w:rPr>
      </w:pPr>
      <w:r>
        <w:rPr>
          <w:rFonts w:hint="eastAsia" w:ascii="宋体" w:hAnsi="宋体"/>
          <w:color w:val="auto"/>
          <w:szCs w:val="21"/>
        </w:rPr>
        <w:t xml:space="preserve">(3) 发包人供应的材料规格、型号与一览表不符，经发包人同意，承包人可代为调剂串换，由发包人承担相应费用； </w:t>
      </w:r>
    </w:p>
    <w:p>
      <w:pPr>
        <w:spacing w:line="400" w:lineRule="exact"/>
        <w:ind w:firstLine="359" w:firstLineChars="171"/>
        <w:rPr>
          <w:rFonts w:ascii="宋体" w:hAnsi="宋体"/>
          <w:color w:val="auto"/>
          <w:szCs w:val="21"/>
        </w:rPr>
      </w:pPr>
      <w:r>
        <w:rPr>
          <w:rFonts w:hint="eastAsia" w:ascii="宋体" w:hAnsi="宋体"/>
          <w:color w:val="auto"/>
          <w:szCs w:val="21"/>
        </w:rPr>
        <w:t xml:space="preserve">(4) 到货地点与一览表不符，由发包人负责运至一览表指定地点： </w:t>
      </w:r>
    </w:p>
    <w:p>
      <w:pPr>
        <w:spacing w:line="400" w:lineRule="exact"/>
        <w:ind w:firstLine="359" w:firstLineChars="171"/>
        <w:rPr>
          <w:rFonts w:ascii="宋体" w:hAnsi="宋体"/>
          <w:color w:val="auto"/>
          <w:szCs w:val="21"/>
        </w:rPr>
      </w:pPr>
      <w:r>
        <w:rPr>
          <w:rFonts w:hint="eastAsia" w:ascii="宋体" w:hAnsi="宋体"/>
          <w:color w:val="auto"/>
          <w:szCs w:val="21"/>
        </w:rPr>
        <w:t xml:space="preserve">(5) 供应数量少于一览表约定的数量时，由发包人补齐，多于一览表约定数量时，发包人负责将多出部分运出施工场地； </w:t>
      </w:r>
    </w:p>
    <w:p>
      <w:pPr>
        <w:spacing w:line="400" w:lineRule="exact"/>
        <w:ind w:firstLine="359" w:firstLineChars="171"/>
        <w:rPr>
          <w:rFonts w:ascii="宋体" w:hAnsi="宋体"/>
          <w:color w:val="auto"/>
          <w:szCs w:val="21"/>
        </w:rPr>
      </w:pPr>
      <w:r>
        <w:rPr>
          <w:rFonts w:hint="eastAsia" w:ascii="宋体" w:hAnsi="宋体"/>
          <w:color w:val="auto"/>
          <w:szCs w:val="21"/>
        </w:rPr>
        <w:t xml:space="preserve">(6) 到货时间早于一览表约定时间，由发包人承担因此发生的保管费用；到货时间迟于一览表约定的供应时间，发包人赔偿由此造成的承包人损失，造成工期延误的，相应顺延工期。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27.5发包人供应的材料设备使用前，由承包人负责检验或试验，不合格的不得使用，检验或试验费用由发包人承担。 </w:t>
      </w:r>
    </w:p>
    <w:p>
      <w:pPr>
        <w:spacing w:line="400" w:lineRule="exact"/>
        <w:ind w:firstLine="359" w:firstLineChars="171"/>
        <w:rPr>
          <w:rFonts w:ascii="宋体" w:hAnsi="宋体"/>
          <w:color w:val="auto"/>
          <w:szCs w:val="21"/>
        </w:rPr>
      </w:pPr>
      <w:r>
        <w:rPr>
          <w:rFonts w:hint="eastAsia" w:ascii="宋体" w:hAnsi="宋体"/>
          <w:color w:val="auto"/>
          <w:szCs w:val="21"/>
        </w:rPr>
        <w:t xml:space="preserve">27.6发包人供应材料设备的结算方法，三方在专用条款内约定。 </w:t>
      </w:r>
    </w:p>
    <w:p>
      <w:pPr>
        <w:spacing w:line="400" w:lineRule="exact"/>
        <w:ind w:firstLine="359" w:firstLineChars="171"/>
        <w:rPr>
          <w:rFonts w:ascii="宋体" w:hAnsi="宋体"/>
          <w:color w:val="auto"/>
          <w:szCs w:val="21"/>
        </w:rPr>
      </w:pPr>
      <w:r>
        <w:rPr>
          <w:rFonts w:hint="eastAsia" w:ascii="宋体" w:hAnsi="宋体"/>
          <w:color w:val="auto"/>
          <w:szCs w:val="21"/>
        </w:rPr>
        <w:t xml:space="preserve">28、承包人采购材料设备 </w:t>
      </w:r>
    </w:p>
    <w:p>
      <w:pPr>
        <w:spacing w:line="400" w:lineRule="exact"/>
        <w:ind w:firstLine="359" w:firstLineChars="171"/>
        <w:rPr>
          <w:rFonts w:ascii="宋体" w:hAnsi="宋体"/>
          <w:color w:val="auto"/>
          <w:szCs w:val="21"/>
        </w:rPr>
      </w:pPr>
      <w:r>
        <w:rPr>
          <w:rFonts w:hint="eastAsia" w:ascii="宋体" w:hAnsi="宋体"/>
          <w:color w:val="auto"/>
          <w:szCs w:val="21"/>
        </w:rPr>
        <w:t>28.1 承包人负责采购材料设备的，应按照专用条款约定及设计和有关标准要求采购，并提供产品合格证明，对材料设备质量负责。承包人在材料设备到货前24小时通知工程师清点。</w:t>
      </w:r>
    </w:p>
    <w:p>
      <w:pPr>
        <w:spacing w:line="400" w:lineRule="exact"/>
        <w:ind w:firstLine="359" w:firstLineChars="171"/>
        <w:rPr>
          <w:rFonts w:ascii="宋体" w:hAnsi="宋体"/>
          <w:color w:val="auto"/>
          <w:szCs w:val="21"/>
        </w:rPr>
      </w:pPr>
      <w:r>
        <w:rPr>
          <w:rFonts w:hint="eastAsia" w:ascii="宋体" w:hAnsi="宋体"/>
          <w:color w:val="auto"/>
          <w:szCs w:val="21"/>
        </w:rPr>
        <w:t>28.2</w:t>
      </w:r>
      <w:r>
        <w:rPr>
          <w:rFonts w:hint="eastAsia" w:ascii="宋体" w:hAnsi="宋体"/>
          <w:color w:val="auto"/>
          <w:spacing w:val="8"/>
          <w:szCs w:val="21"/>
        </w:rPr>
        <w:t xml:space="preserve"> 承包人采购的材料设备与设计或标准要求不符时，承包人应按工程师要</w:t>
      </w:r>
      <w:r>
        <w:rPr>
          <w:rFonts w:hint="eastAsia" w:ascii="宋体" w:hAnsi="宋体"/>
          <w:color w:val="auto"/>
          <w:szCs w:val="21"/>
        </w:rPr>
        <w:t xml:space="preserve">求的时间运出施工场地，重新采购符合要求的产品，承担由此发生的费用，由此延误的工期不予顺延。 </w:t>
      </w:r>
    </w:p>
    <w:p>
      <w:pPr>
        <w:spacing w:line="400" w:lineRule="exact"/>
        <w:ind w:firstLine="359" w:firstLineChars="171"/>
        <w:rPr>
          <w:rFonts w:ascii="宋体" w:hAnsi="宋体"/>
          <w:color w:val="auto"/>
          <w:szCs w:val="21"/>
        </w:rPr>
      </w:pPr>
      <w:r>
        <w:rPr>
          <w:rFonts w:hint="eastAsia" w:ascii="宋体" w:hAnsi="宋体"/>
          <w:color w:val="auto"/>
          <w:szCs w:val="21"/>
        </w:rPr>
        <w:t xml:space="preserve">28.3 承包人采购的材料设备在使用前，承包人应按工程师的要求进行检验或试验，不合格的不得使用，检验或试验费用由承包人承担。 </w:t>
      </w:r>
    </w:p>
    <w:p>
      <w:pPr>
        <w:spacing w:line="400" w:lineRule="exact"/>
        <w:ind w:firstLine="359" w:firstLineChars="171"/>
        <w:rPr>
          <w:rFonts w:ascii="宋体" w:hAnsi="宋体"/>
          <w:color w:val="auto"/>
          <w:szCs w:val="21"/>
        </w:rPr>
      </w:pPr>
      <w:r>
        <w:rPr>
          <w:rFonts w:hint="eastAsia" w:ascii="宋体" w:hAnsi="宋体"/>
          <w:color w:val="auto"/>
          <w:szCs w:val="21"/>
        </w:rPr>
        <w:t xml:space="preserve">28.4 工程师发现承包人采购并使用不符合设计或标准要求的材料设备时，应要求由承包人负责修复、拆除或重新采购，并承担发生的费用，由此延误的工期不予顺延。 </w:t>
      </w:r>
    </w:p>
    <w:p>
      <w:pPr>
        <w:spacing w:line="400" w:lineRule="exact"/>
        <w:ind w:firstLine="359" w:firstLineChars="171"/>
        <w:rPr>
          <w:rFonts w:ascii="宋体" w:hAnsi="宋体"/>
          <w:color w:val="auto"/>
          <w:szCs w:val="21"/>
        </w:rPr>
      </w:pPr>
      <w:r>
        <w:rPr>
          <w:rFonts w:hint="eastAsia" w:ascii="宋体" w:hAnsi="宋体"/>
          <w:color w:val="auto"/>
          <w:szCs w:val="21"/>
        </w:rPr>
        <w:t xml:space="preserve">28.5 承包人需要使用代用材料时，应经工程师认可后才能使用，由此增减的合同价款三方以书面形式议定。 </w:t>
      </w:r>
    </w:p>
    <w:p>
      <w:pPr>
        <w:spacing w:line="400" w:lineRule="exact"/>
        <w:ind w:firstLine="359" w:firstLineChars="171"/>
        <w:rPr>
          <w:rFonts w:ascii="宋体" w:hAnsi="宋体"/>
          <w:color w:val="auto"/>
          <w:szCs w:val="21"/>
        </w:rPr>
      </w:pPr>
      <w:r>
        <w:rPr>
          <w:rFonts w:hint="eastAsia" w:ascii="宋体" w:hAnsi="宋体"/>
          <w:color w:val="auto"/>
          <w:szCs w:val="21"/>
        </w:rPr>
        <w:t xml:space="preserve">28.6 由承包人采购的材料设备，发包人不得指定生产厂或供应商。 </w:t>
      </w:r>
    </w:p>
    <w:p>
      <w:pPr>
        <w:spacing w:line="400" w:lineRule="exact"/>
        <w:ind w:firstLine="359" w:firstLineChars="171"/>
        <w:rPr>
          <w:rFonts w:ascii="宋体" w:hAnsi="宋体"/>
          <w:color w:val="auto"/>
          <w:szCs w:val="21"/>
        </w:rPr>
      </w:pPr>
      <w:r>
        <w:rPr>
          <w:rFonts w:hint="eastAsia" w:ascii="宋体" w:hAnsi="宋体"/>
          <w:color w:val="auto"/>
          <w:szCs w:val="21"/>
        </w:rPr>
        <w:t xml:space="preserve">八、工程变更 </w:t>
      </w:r>
    </w:p>
    <w:p>
      <w:pPr>
        <w:spacing w:line="400" w:lineRule="exact"/>
        <w:ind w:firstLine="359" w:firstLineChars="171"/>
        <w:rPr>
          <w:rFonts w:ascii="宋体" w:hAnsi="宋体"/>
          <w:color w:val="auto"/>
          <w:szCs w:val="21"/>
        </w:rPr>
      </w:pPr>
      <w:r>
        <w:rPr>
          <w:rFonts w:hint="eastAsia" w:ascii="宋体" w:hAnsi="宋体"/>
          <w:color w:val="auto"/>
          <w:szCs w:val="21"/>
        </w:rPr>
        <w:t xml:space="preserve">29、工程设计变更 </w:t>
      </w:r>
    </w:p>
    <w:p>
      <w:pPr>
        <w:spacing w:line="400" w:lineRule="exact"/>
        <w:ind w:firstLine="359" w:firstLineChars="171"/>
        <w:rPr>
          <w:rFonts w:ascii="宋体" w:hAnsi="宋体"/>
          <w:color w:val="auto"/>
          <w:szCs w:val="21"/>
        </w:rPr>
      </w:pPr>
      <w:r>
        <w:rPr>
          <w:rFonts w:hint="eastAsia" w:ascii="宋体" w:hAnsi="宋体"/>
          <w:color w:val="auto"/>
          <w:szCs w:val="21"/>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spacing w:line="400" w:lineRule="exact"/>
        <w:ind w:firstLine="359" w:firstLineChars="171"/>
        <w:rPr>
          <w:rFonts w:ascii="宋体" w:hAnsi="宋体"/>
          <w:color w:val="auto"/>
          <w:szCs w:val="21"/>
        </w:rPr>
      </w:pPr>
      <w:r>
        <w:rPr>
          <w:rFonts w:hint="eastAsia" w:ascii="宋体" w:hAnsi="宋体"/>
          <w:color w:val="auto"/>
          <w:szCs w:val="21"/>
        </w:rPr>
        <w:t xml:space="preserve">(1) 更改工程有关部分的标高、基线、位置和尺寸； </w:t>
      </w:r>
    </w:p>
    <w:p>
      <w:pPr>
        <w:spacing w:line="400" w:lineRule="exact"/>
        <w:ind w:firstLine="359" w:firstLineChars="171"/>
        <w:rPr>
          <w:rFonts w:ascii="宋体" w:hAnsi="宋体"/>
          <w:color w:val="auto"/>
          <w:szCs w:val="21"/>
        </w:rPr>
      </w:pPr>
      <w:r>
        <w:rPr>
          <w:rFonts w:hint="eastAsia" w:ascii="宋体" w:hAnsi="宋体"/>
          <w:color w:val="auto"/>
          <w:szCs w:val="21"/>
        </w:rPr>
        <w:t xml:space="preserve">(2) 增减合同中约定的工程量； </w:t>
      </w:r>
    </w:p>
    <w:p>
      <w:pPr>
        <w:spacing w:line="400" w:lineRule="exact"/>
        <w:ind w:firstLine="359" w:firstLineChars="171"/>
        <w:rPr>
          <w:rFonts w:ascii="宋体" w:hAnsi="宋体"/>
          <w:color w:val="auto"/>
          <w:szCs w:val="21"/>
        </w:rPr>
      </w:pPr>
      <w:r>
        <w:rPr>
          <w:rFonts w:hint="eastAsia" w:ascii="宋体" w:hAnsi="宋体"/>
          <w:color w:val="auto"/>
          <w:szCs w:val="21"/>
        </w:rPr>
        <w:t xml:space="preserve">(3) 改变有关工程的施工时间和顺序； </w:t>
      </w:r>
    </w:p>
    <w:p>
      <w:pPr>
        <w:spacing w:line="400" w:lineRule="exact"/>
        <w:ind w:firstLine="359" w:firstLineChars="171"/>
        <w:rPr>
          <w:rFonts w:ascii="宋体" w:hAnsi="宋体"/>
          <w:color w:val="auto"/>
          <w:szCs w:val="21"/>
        </w:rPr>
      </w:pPr>
      <w:r>
        <w:rPr>
          <w:rFonts w:hint="eastAsia" w:ascii="宋体" w:hAnsi="宋体"/>
          <w:color w:val="auto"/>
          <w:szCs w:val="21"/>
        </w:rPr>
        <w:t xml:space="preserve">(4) 其他有关工程变更需要的附加工作。 </w:t>
      </w:r>
    </w:p>
    <w:p>
      <w:pPr>
        <w:spacing w:line="400" w:lineRule="exact"/>
        <w:ind w:firstLine="359" w:firstLineChars="171"/>
        <w:rPr>
          <w:rFonts w:ascii="宋体" w:hAnsi="宋体"/>
          <w:color w:val="auto"/>
          <w:szCs w:val="21"/>
        </w:rPr>
      </w:pPr>
      <w:r>
        <w:rPr>
          <w:rFonts w:hint="eastAsia" w:ascii="宋体" w:hAnsi="宋体"/>
          <w:color w:val="auto"/>
          <w:szCs w:val="21"/>
        </w:rPr>
        <w:t xml:space="preserve">因变更导致合同价款的增减及造成的承包人损失，由发包人承担，延误的工期相应顺延。 </w:t>
      </w:r>
    </w:p>
    <w:p>
      <w:pPr>
        <w:spacing w:line="400" w:lineRule="exact"/>
        <w:ind w:firstLine="359" w:firstLineChars="171"/>
        <w:rPr>
          <w:rFonts w:ascii="宋体" w:hAnsi="宋体"/>
          <w:color w:val="auto"/>
          <w:szCs w:val="21"/>
        </w:rPr>
      </w:pPr>
      <w:r>
        <w:rPr>
          <w:rFonts w:hint="eastAsia" w:ascii="宋体" w:hAnsi="宋体"/>
          <w:color w:val="auto"/>
          <w:szCs w:val="21"/>
        </w:rPr>
        <w:t>29.2施工中承包人不得对原工程设计进行变更。因承包人擅自变更设计发生的费用和由此导致发包人的直接损失，由承包人承担，延误的工期不予顺延。</w:t>
      </w:r>
    </w:p>
    <w:p>
      <w:pPr>
        <w:spacing w:line="400" w:lineRule="exact"/>
        <w:ind w:firstLine="359" w:firstLineChars="171"/>
        <w:rPr>
          <w:rFonts w:ascii="宋体" w:hAnsi="宋体"/>
          <w:color w:val="auto"/>
          <w:szCs w:val="21"/>
        </w:rPr>
      </w:pPr>
      <w:r>
        <w:rPr>
          <w:rFonts w:hint="eastAsia" w:ascii="宋体" w:hAnsi="宋体"/>
          <w:color w:val="auto"/>
          <w:szCs w:val="21"/>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400" w:lineRule="exact"/>
        <w:ind w:firstLine="359" w:firstLineChars="171"/>
        <w:rPr>
          <w:rFonts w:ascii="宋体" w:hAnsi="宋体"/>
          <w:color w:val="auto"/>
          <w:szCs w:val="21"/>
        </w:rPr>
      </w:pPr>
      <w:r>
        <w:rPr>
          <w:rFonts w:hint="eastAsia" w:ascii="宋体" w:hAnsi="宋体"/>
          <w:color w:val="auto"/>
          <w:szCs w:val="21"/>
        </w:rPr>
        <w:t xml:space="preserve">工程师同意采用承包人合理化建议，所发生的费用和获得的收益，发包人承包人另行约定分担或分享。 </w:t>
      </w:r>
    </w:p>
    <w:p>
      <w:pPr>
        <w:spacing w:line="400" w:lineRule="exact"/>
        <w:ind w:firstLine="359" w:firstLineChars="171"/>
        <w:rPr>
          <w:rFonts w:ascii="宋体" w:hAnsi="宋体"/>
          <w:color w:val="auto"/>
          <w:szCs w:val="21"/>
        </w:rPr>
      </w:pPr>
      <w:r>
        <w:rPr>
          <w:rFonts w:hint="eastAsia" w:ascii="宋体" w:hAnsi="宋体"/>
          <w:color w:val="auto"/>
          <w:szCs w:val="21"/>
        </w:rPr>
        <w:t xml:space="preserve">30、其他变更 </w:t>
      </w:r>
    </w:p>
    <w:p>
      <w:pPr>
        <w:spacing w:line="400" w:lineRule="exact"/>
        <w:ind w:firstLine="359" w:firstLineChars="171"/>
        <w:rPr>
          <w:rFonts w:ascii="宋体" w:hAnsi="宋体"/>
          <w:color w:val="auto"/>
          <w:szCs w:val="21"/>
        </w:rPr>
      </w:pPr>
      <w:r>
        <w:rPr>
          <w:rFonts w:hint="eastAsia" w:ascii="宋体" w:hAnsi="宋体"/>
          <w:color w:val="auto"/>
          <w:szCs w:val="21"/>
        </w:rPr>
        <w:t xml:space="preserve">合同履行中发包人要求变更工程质量标准及发生其他实质性变更，由三方协商解决。 </w:t>
      </w:r>
    </w:p>
    <w:p>
      <w:pPr>
        <w:spacing w:line="400" w:lineRule="exact"/>
        <w:ind w:firstLine="359" w:firstLineChars="171"/>
        <w:rPr>
          <w:rFonts w:ascii="宋体" w:hAnsi="宋体"/>
          <w:color w:val="auto"/>
          <w:szCs w:val="21"/>
        </w:rPr>
      </w:pPr>
      <w:r>
        <w:rPr>
          <w:rFonts w:hint="eastAsia" w:ascii="宋体" w:hAnsi="宋体"/>
          <w:color w:val="auto"/>
          <w:szCs w:val="21"/>
        </w:rPr>
        <w:t xml:space="preserve">31、确定变更价款 </w:t>
      </w:r>
    </w:p>
    <w:p>
      <w:pPr>
        <w:spacing w:line="400" w:lineRule="exact"/>
        <w:ind w:firstLine="359" w:firstLineChars="171"/>
        <w:rPr>
          <w:rFonts w:ascii="宋体" w:hAnsi="宋体"/>
          <w:color w:val="auto"/>
          <w:szCs w:val="21"/>
        </w:rPr>
      </w:pPr>
      <w:r>
        <w:rPr>
          <w:rFonts w:hint="eastAsia" w:ascii="宋体" w:hAnsi="宋体"/>
          <w:color w:val="auto"/>
          <w:szCs w:val="21"/>
        </w:rPr>
        <w:t xml:space="preserve">31.1承包人在工程变更确定后14天内，提出变更工程价款的报告，经工程师确认后调整合同价款。变更合同价款按下列方法进行： </w:t>
      </w:r>
    </w:p>
    <w:p>
      <w:pPr>
        <w:spacing w:line="400" w:lineRule="exact"/>
        <w:ind w:firstLine="359" w:firstLineChars="171"/>
        <w:rPr>
          <w:rFonts w:ascii="宋体" w:hAnsi="宋体"/>
          <w:color w:val="auto"/>
          <w:szCs w:val="21"/>
        </w:rPr>
      </w:pPr>
      <w:r>
        <w:rPr>
          <w:rFonts w:hint="eastAsia" w:ascii="宋体" w:hAnsi="宋体"/>
          <w:color w:val="auto"/>
          <w:szCs w:val="21"/>
        </w:rPr>
        <w:t xml:space="preserve">(1) 合同中已有适用于变更工程的价格，按合同已有的价格变更合同价款； </w:t>
      </w:r>
    </w:p>
    <w:p>
      <w:pPr>
        <w:spacing w:line="400" w:lineRule="exact"/>
        <w:ind w:firstLine="359" w:firstLineChars="171"/>
        <w:rPr>
          <w:rFonts w:ascii="宋体" w:hAnsi="宋体"/>
          <w:color w:val="auto"/>
          <w:szCs w:val="21"/>
        </w:rPr>
      </w:pPr>
      <w:r>
        <w:rPr>
          <w:rFonts w:hint="eastAsia" w:ascii="宋体" w:hAnsi="宋体"/>
          <w:color w:val="auto"/>
          <w:szCs w:val="21"/>
        </w:rPr>
        <w:t xml:space="preserve">(2) 合同中只有类似于变更工程的价格，可以参照类似价格变更合同价款； </w:t>
      </w:r>
    </w:p>
    <w:p>
      <w:pPr>
        <w:spacing w:line="400" w:lineRule="exact"/>
        <w:ind w:firstLine="359" w:firstLineChars="171"/>
        <w:rPr>
          <w:rFonts w:ascii="宋体" w:hAnsi="宋体"/>
          <w:color w:val="auto"/>
          <w:szCs w:val="21"/>
        </w:rPr>
      </w:pPr>
      <w:r>
        <w:rPr>
          <w:rFonts w:hint="eastAsia" w:ascii="宋体" w:hAnsi="宋体"/>
          <w:color w:val="auto"/>
          <w:szCs w:val="21"/>
        </w:rPr>
        <w:t xml:space="preserve">(3) 合同中没有适用或类似于变更工程的价格，由承包人提出适当的变更价格，经工程师确认后执行。 </w:t>
      </w:r>
    </w:p>
    <w:p>
      <w:pPr>
        <w:spacing w:line="400" w:lineRule="exact"/>
        <w:ind w:firstLine="359" w:firstLineChars="171"/>
        <w:rPr>
          <w:rFonts w:ascii="宋体" w:hAnsi="宋体"/>
          <w:color w:val="auto"/>
          <w:szCs w:val="21"/>
        </w:rPr>
      </w:pPr>
      <w:r>
        <w:rPr>
          <w:rFonts w:hint="eastAsia" w:ascii="宋体" w:hAnsi="宋体"/>
          <w:color w:val="auto"/>
          <w:szCs w:val="21"/>
        </w:rPr>
        <w:t xml:space="preserve">31.2承包人在三方确定变更后14天内不向工程师提出变更工程价款报告时，视为该项变更不涉及合同价款的变更。 </w:t>
      </w:r>
    </w:p>
    <w:p>
      <w:pPr>
        <w:spacing w:line="400" w:lineRule="exact"/>
        <w:ind w:firstLine="359" w:firstLineChars="171"/>
        <w:rPr>
          <w:rFonts w:ascii="宋体" w:hAnsi="宋体"/>
          <w:color w:val="auto"/>
          <w:szCs w:val="21"/>
        </w:rPr>
      </w:pPr>
      <w:r>
        <w:rPr>
          <w:rFonts w:hint="eastAsia" w:ascii="宋体" w:hAnsi="宋体"/>
          <w:color w:val="auto"/>
          <w:szCs w:val="21"/>
        </w:rPr>
        <w:t xml:space="preserve">31.3工程师应在收到变更工程价款报告之日起14天内予以确认，工程师无正当理由不确认时，自变更工程价款报告送达之日起14天后视为变更工程价款报告已被确认。 </w:t>
      </w:r>
    </w:p>
    <w:p>
      <w:pPr>
        <w:spacing w:line="400" w:lineRule="exact"/>
        <w:ind w:firstLine="359" w:firstLineChars="171"/>
        <w:rPr>
          <w:rFonts w:ascii="宋体" w:hAnsi="宋体"/>
          <w:color w:val="auto"/>
          <w:szCs w:val="21"/>
        </w:rPr>
      </w:pPr>
      <w:r>
        <w:rPr>
          <w:rFonts w:hint="eastAsia" w:ascii="宋体" w:hAnsi="宋体"/>
          <w:color w:val="auto"/>
          <w:szCs w:val="21"/>
        </w:rPr>
        <w:t xml:space="preserve">31.4工程师不同意承包人提出的变更价款，按本通用条款第37条关于争议的约定处理。 </w:t>
      </w:r>
    </w:p>
    <w:p>
      <w:pPr>
        <w:spacing w:line="400" w:lineRule="exact"/>
        <w:ind w:firstLine="359" w:firstLineChars="171"/>
        <w:rPr>
          <w:rFonts w:ascii="宋体" w:hAnsi="宋体"/>
          <w:color w:val="auto"/>
          <w:szCs w:val="21"/>
        </w:rPr>
      </w:pPr>
      <w:r>
        <w:rPr>
          <w:rFonts w:hint="eastAsia" w:ascii="宋体" w:hAnsi="宋体"/>
          <w:color w:val="auto"/>
          <w:szCs w:val="21"/>
        </w:rPr>
        <w:t>31.5工程师确认增加的工程变更价款作为追加合同价款，与工程款同期支付。</w:t>
      </w:r>
    </w:p>
    <w:p>
      <w:pPr>
        <w:spacing w:line="400" w:lineRule="exact"/>
        <w:ind w:firstLine="359" w:firstLineChars="171"/>
        <w:rPr>
          <w:rFonts w:ascii="宋体" w:hAnsi="宋体"/>
          <w:color w:val="auto"/>
          <w:szCs w:val="21"/>
        </w:rPr>
      </w:pPr>
      <w:r>
        <w:rPr>
          <w:rFonts w:hint="eastAsia" w:ascii="宋体" w:hAnsi="宋体"/>
          <w:color w:val="auto"/>
          <w:szCs w:val="21"/>
        </w:rPr>
        <w:t xml:space="preserve">31.6因承包人自身原因导致的工程变更，承包人无权要求追加合同价款。 </w:t>
      </w:r>
    </w:p>
    <w:p>
      <w:pPr>
        <w:spacing w:line="400" w:lineRule="exact"/>
        <w:ind w:firstLine="359" w:firstLineChars="171"/>
        <w:rPr>
          <w:rFonts w:ascii="宋体" w:hAnsi="宋体"/>
          <w:color w:val="auto"/>
          <w:szCs w:val="21"/>
        </w:rPr>
      </w:pPr>
      <w:r>
        <w:rPr>
          <w:rFonts w:hint="eastAsia" w:ascii="宋体" w:hAnsi="宋体"/>
          <w:color w:val="auto"/>
          <w:szCs w:val="21"/>
        </w:rPr>
        <w:t xml:space="preserve">九、竣工验收与结算 </w:t>
      </w:r>
    </w:p>
    <w:p>
      <w:pPr>
        <w:spacing w:line="400" w:lineRule="exact"/>
        <w:ind w:firstLine="359" w:firstLineChars="171"/>
        <w:rPr>
          <w:rFonts w:ascii="宋体" w:hAnsi="宋体"/>
          <w:color w:val="auto"/>
          <w:szCs w:val="21"/>
        </w:rPr>
      </w:pPr>
      <w:r>
        <w:rPr>
          <w:rFonts w:hint="eastAsia" w:ascii="宋体" w:hAnsi="宋体"/>
          <w:color w:val="auto"/>
          <w:szCs w:val="21"/>
        </w:rPr>
        <w:t xml:space="preserve">32、竣工验收 </w:t>
      </w:r>
    </w:p>
    <w:p>
      <w:pPr>
        <w:spacing w:line="400" w:lineRule="exact"/>
        <w:ind w:firstLine="359" w:firstLineChars="171"/>
        <w:rPr>
          <w:rFonts w:ascii="宋体" w:hAnsi="宋体"/>
          <w:color w:val="auto"/>
          <w:szCs w:val="21"/>
        </w:rPr>
      </w:pPr>
      <w:r>
        <w:rPr>
          <w:rFonts w:hint="eastAsia" w:ascii="宋体" w:hAnsi="宋体"/>
          <w:color w:val="auto"/>
          <w:szCs w:val="21"/>
        </w:rPr>
        <w:t xml:space="preserve">32.1 工程具备竣工验收条件，承包人按国家工程竣工验收有关规定，向发包人提供完整竣工资料及竣工验收报告。三方约定由承包人提供竣工图的，应当在专用条款内约定提供的日期和份数。 </w:t>
      </w:r>
    </w:p>
    <w:p>
      <w:pPr>
        <w:spacing w:line="400" w:lineRule="exact"/>
        <w:ind w:firstLine="359" w:firstLineChars="171"/>
        <w:rPr>
          <w:rFonts w:ascii="宋体" w:hAnsi="宋体"/>
          <w:color w:val="auto"/>
          <w:szCs w:val="21"/>
        </w:rPr>
      </w:pPr>
      <w:r>
        <w:rPr>
          <w:rFonts w:hint="eastAsia" w:ascii="宋体" w:hAnsi="宋体"/>
          <w:color w:val="auto"/>
          <w:szCs w:val="21"/>
        </w:rPr>
        <w:t>32.2 发包人收到竣工验收报告后28天内组织有关单位验收，并在验收后14天内给予认可或提出修改意见。承包人按要求修改，并承担由自身原因造成修改的费用。</w:t>
      </w:r>
    </w:p>
    <w:p>
      <w:pPr>
        <w:spacing w:line="400" w:lineRule="exact"/>
        <w:ind w:firstLine="359" w:firstLineChars="171"/>
        <w:rPr>
          <w:rFonts w:ascii="宋体" w:hAnsi="宋体"/>
          <w:color w:val="auto"/>
          <w:szCs w:val="21"/>
        </w:rPr>
      </w:pPr>
      <w:r>
        <w:rPr>
          <w:rFonts w:hint="eastAsia" w:ascii="宋体" w:hAnsi="宋体"/>
          <w:color w:val="auto"/>
          <w:szCs w:val="21"/>
        </w:rPr>
        <w:t xml:space="preserve">32.3 发包人收到承包人送交的竣工验收报告后28天内不组织验收，或验收后14天内不提出修改意见，视为竣工验收报告已被认可。 </w:t>
      </w:r>
    </w:p>
    <w:p>
      <w:pPr>
        <w:spacing w:line="400" w:lineRule="exact"/>
        <w:ind w:firstLine="359" w:firstLineChars="171"/>
        <w:rPr>
          <w:rFonts w:ascii="宋体" w:hAnsi="宋体"/>
          <w:color w:val="auto"/>
          <w:szCs w:val="21"/>
        </w:rPr>
      </w:pPr>
      <w:r>
        <w:rPr>
          <w:rFonts w:hint="eastAsia" w:ascii="宋体" w:hAnsi="宋体"/>
          <w:color w:val="auto"/>
          <w:szCs w:val="21"/>
        </w:rPr>
        <w:t xml:space="preserve">32.4 工程竣工验收通过，承包人送交竣工验收报告的日期为实际竣工日期。工程按发包人要求修改后通过竣工验收的，实际竣工日期为承包人修改后提请发包人验收的日期。 </w:t>
      </w:r>
    </w:p>
    <w:p>
      <w:pPr>
        <w:spacing w:line="400" w:lineRule="exact"/>
        <w:ind w:firstLine="359" w:firstLineChars="171"/>
        <w:rPr>
          <w:rFonts w:ascii="宋体" w:hAnsi="宋体"/>
          <w:color w:val="auto"/>
          <w:szCs w:val="21"/>
        </w:rPr>
      </w:pPr>
      <w:r>
        <w:rPr>
          <w:rFonts w:hint="eastAsia" w:ascii="宋体" w:hAnsi="宋体"/>
          <w:color w:val="auto"/>
          <w:szCs w:val="21"/>
        </w:rPr>
        <w:t xml:space="preserve">32.5 发包人收到承包人竣工验收报告后28天内不组织验收，从第29天起承担工程保管及一切意外责任。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32.6 中间交工工程的范围和竣工时间，三方在专用条款内约定，其验收程序按本通用条款32.1款至32.4款办理。 </w:t>
      </w:r>
    </w:p>
    <w:p>
      <w:pPr>
        <w:spacing w:line="400" w:lineRule="exact"/>
        <w:ind w:firstLine="359" w:firstLineChars="171"/>
        <w:rPr>
          <w:rFonts w:ascii="宋体" w:hAnsi="宋体"/>
          <w:color w:val="auto"/>
          <w:szCs w:val="21"/>
        </w:rPr>
      </w:pPr>
      <w:r>
        <w:rPr>
          <w:rFonts w:hint="eastAsia" w:ascii="宋体" w:hAnsi="宋体"/>
          <w:color w:val="auto"/>
          <w:szCs w:val="21"/>
        </w:rPr>
        <w:t xml:space="preserve">32.7 因特殊原因，发包人要求部分单位工程或工程部位甩项竣工的，三方另行签订甩项竣工协议，明确三方责任和工程价款支付方法。 </w:t>
      </w:r>
    </w:p>
    <w:p>
      <w:pPr>
        <w:spacing w:line="400" w:lineRule="exact"/>
        <w:ind w:firstLine="359" w:firstLineChars="171"/>
        <w:rPr>
          <w:rFonts w:ascii="宋体" w:hAnsi="宋体"/>
          <w:color w:val="auto"/>
          <w:szCs w:val="21"/>
        </w:rPr>
      </w:pPr>
      <w:r>
        <w:rPr>
          <w:rFonts w:hint="eastAsia" w:ascii="宋体" w:hAnsi="宋体"/>
          <w:color w:val="auto"/>
          <w:szCs w:val="21"/>
        </w:rPr>
        <w:t xml:space="preserve">32.8 工程未经竣工验收或竣工验收未通过的，发包人不得使用。发包人强行使用时，由此发生的质量问题及其他问题，由发包人承担责任。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33、竣工结算 </w:t>
      </w:r>
    </w:p>
    <w:p>
      <w:pPr>
        <w:spacing w:line="400" w:lineRule="exact"/>
        <w:ind w:firstLine="359" w:firstLineChars="171"/>
        <w:rPr>
          <w:rFonts w:ascii="宋体" w:hAnsi="宋体"/>
          <w:color w:val="auto"/>
          <w:szCs w:val="21"/>
        </w:rPr>
      </w:pPr>
      <w:r>
        <w:rPr>
          <w:rFonts w:hint="eastAsia" w:ascii="宋体" w:hAnsi="宋体"/>
          <w:color w:val="auto"/>
          <w:szCs w:val="21"/>
        </w:rPr>
        <w:t xml:space="preserve">33.1 工程竣工验收报告经发包人认可后28天内，承包人向发包人递交竣工结算报告及完整的结算资料，三方按照协议书约定的合同价款及专用条款约定的合同价款调整内容，进行工程竣工结算。 </w:t>
      </w:r>
    </w:p>
    <w:p>
      <w:pPr>
        <w:spacing w:line="400" w:lineRule="exact"/>
        <w:ind w:firstLine="359" w:firstLineChars="171"/>
        <w:rPr>
          <w:rFonts w:ascii="宋体" w:hAnsi="宋体"/>
          <w:color w:val="auto"/>
          <w:szCs w:val="21"/>
        </w:rPr>
      </w:pPr>
      <w:r>
        <w:rPr>
          <w:rFonts w:hint="eastAsia" w:ascii="宋体" w:hAnsi="宋体"/>
          <w:color w:val="auto"/>
          <w:szCs w:val="21"/>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pPr>
        <w:spacing w:line="400" w:lineRule="exact"/>
        <w:ind w:firstLine="359" w:firstLineChars="171"/>
        <w:rPr>
          <w:rFonts w:ascii="宋体" w:hAnsi="宋体"/>
          <w:color w:val="auto"/>
          <w:szCs w:val="21"/>
        </w:rPr>
      </w:pPr>
      <w:r>
        <w:rPr>
          <w:rFonts w:hint="eastAsia" w:ascii="宋体" w:hAnsi="宋体"/>
          <w:color w:val="auto"/>
          <w:szCs w:val="21"/>
        </w:rPr>
        <w:t>33.3 发包人收到竣工结算报告及结算资料后28天内无正当理由不支付工程竣工结算价款，从第29天起按承包人同期向银行贷款利率支付拖欠工程价款的利息，并承担违约责任。</w:t>
      </w:r>
    </w:p>
    <w:p>
      <w:pPr>
        <w:spacing w:line="400" w:lineRule="exact"/>
        <w:ind w:firstLine="359" w:firstLineChars="171"/>
        <w:rPr>
          <w:rFonts w:ascii="宋体" w:hAnsi="宋体"/>
          <w:color w:val="auto"/>
          <w:szCs w:val="21"/>
        </w:rPr>
      </w:pPr>
      <w:r>
        <w:rPr>
          <w:rFonts w:hint="eastAsia" w:ascii="宋体" w:hAnsi="宋体"/>
          <w:color w:val="auto"/>
          <w:szCs w:val="21"/>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400" w:lineRule="exact"/>
        <w:ind w:firstLine="359" w:firstLineChars="171"/>
        <w:rPr>
          <w:rFonts w:ascii="宋体" w:hAnsi="宋体"/>
          <w:color w:val="auto"/>
          <w:szCs w:val="21"/>
        </w:rPr>
      </w:pPr>
      <w:r>
        <w:rPr>
          <w:rFonts w:hint="eastAsia" w:ascii="宋体" w:hAnsi="宋体"/>
          <w:color w:val="auto"/>
          <w:szCs w:val="21"/>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33.6 发包人、承包人对工程竣工结算价款发生争议时，按本通用条款37条关于争议的约定处理。 </w:t>
      </w:r>
    </w:p>
    <w:p>
      <w:pPr>
        <w:spacing w:line="400" w:lineRule="exact"/>
        <w:ind w:firstLine="359" w:firstLineChars="171"/>
        <w:rPr>
          <w:rFonts w:ascii="宋体" w:hAnsi="宋体"/>
          <w:color w:val="auto"/>
          <w:szCs w:val="21"/>
        </w:rPr>
      </w:pPr>
      <w:r>
        <w:rPr>
          <w:rFonts w:hint="eastAsia" w:ascii="宋体" w:hAnsi="宋体"/>
          <w:color w:val="auto"/>
          <w:szCs w:val="21"/>
        </w:rPr>
        <w:t xml:space="preserve">34、质量保修 </w:t>
      </w:r>
    </w:p>
    <w:p>
      <w:pPr>
        <w:spacing w:line="400" w:lineRule="exact"/>
        <w:ind w:firstLine="359" w:firstLineChars="171"/>
        <w:rPr>
          <w:rFonts w:ascii="宋体" w:hAnsi="宋体"/>
          <w:color w:val="auto"/>
          <w:szCs w:val="21"/>
        </w:rPr>
      </w:pPr>
      <w:r>
        <w:rPr>
          <w:rFonts w:hint="eastAsia" w:ascii="宋体" w:hAnsi="宋体"/>
          <w:color w:val="auto"/>
          <w:szCs w:val="21"/>
        </w:rPr>
        <w:t xml:space="preserve">34.1 承包人应按法律、行政法规或国家关于工程质量保修的有关规定，对交付发包人使用的工程在质量保修期内承担质量保修责任。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34.2 质量保修工作的实施。承包人应在工程竣工验收之前，与发包人签订质量保修书，作为本合同附件（附件3）。 </w:t>
      </w:r>
    </w:p>
    <w:p>
      <w:pPr>
        <w:spacing w:line="400" w:lineRule="exact"/>
        <w:ind w:firstLine="359" w:firstLineChars="171"/>
        <w:rPr>
          <w:rFonts w:ascii="宋体" w:hAnsi="宋体"/>
          <w:color w:val="auto"/>
          <w:szCs w:val="21"/>
        </w:rPr>
      </w:pPr>
      <w:r>
        <w:rPr>
          <w:rFonts w:hint="eastAsia" w:ascii="宋体" w:hAnsi="宋体"/>
          <w:color w:val="auto"/>
          <w:szCs w:val="21"/>
        </w:rPr>
        <w:t xml:space="preserve">34.3 质量保修书的主要内容包括： </w:t>
      </w:r>
    </w:p>
    <w:p>
      <w:pPr>
        <w:spacing w:line="400" w:lineRule="exact"/>
        <w:ind w:firstLine="359" w:firstLineChars="171"/>
        <w:rPr>
          <w:rFonts w:ascii="宋体" w:hAnsi="宋体"/>
          <w:color w:val="auto"/>
          <w:szCs w:val="21"/>
        </w:rPr>
      </w:pPr>
      <w:r>
        <w:rPr>
          <w:rFonts w:hint="eastAsia" w:ascii="宋体" w:hAnsi="宋体"/>
          <w:color w:val="auto"/>
          <w:szCs w:val="21"/>
        </w:rPr>
        <w:t xml:space="preserve">(1) 质量保修项目内容及范围； </w:t>
      </w:r>
    </w:p>
    <w:p>
      <w:pPr>
        <w:spacing w:line="400" w:lineRule="exact"/>
        <w:ind w:firstLine="359" w:firstLineChars="171"/>
        <w:rPr>
          <w:rFonts w:ascii="宋体" w:hAnsi="宋体"/>
          <w:color w:val="auto"/>
          <w:szCs w:val="21"/>
        </w:rPr>
      </w:pPr>
      <w:r>
        <w:rPr>
          <w:rFonts w:hint="eastAsia" w:ascii="宋体" w:hAnsi="宋体"/>
          <w:color w:val="auto"/>
          <w:szCs w:val="21"/>
        </w:rPr>
        <w:t xml:space="preserve">(2) 质量保修期； </w:t>
      </w:r>
    </w:p>
    <w:p>
      <w:pPr>
        <w:spacing w:line="400" w:lineRule="exact"/>
        <w:ind w:firstLine="359" w:firstLineChars="171"/>
        <w:rPr>
          <w:rFonts w:ascii="宋体" w:hAnsi="宋体"/>
          <w:color w:val="auto"/>
          <w:szCs w:val="21"/>
        </w:rPr>
      </w:pPr>
      <w:r>
        <w:rPr>
          <w:rFonts w:hint="eastAsia" w:ascii="宋体" w:hAnsi="宋体"/>
          <w:color w:val="auto"/>
          <w:szCs w:val="21"/>
        </w:rPr>
        <w:t xml:space="preserve">(3) 质量保修责任；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(4) 质量保修金的支付方法。 </w:t>
      </w:r>
    </w:p>
    <w:p>
      <w:pPr>
        <w:spacing w:line="400" w:lineRule="exact"/>
        <w:ind w:firstLine="359" w:firstLineChars="171"/>
        <w:rPr>
          <w:rFonts w:ascii="宋体" w:hAnsi="宋体"/>
          <w:color w:val="auto"/>
          <w:szCs w:val="21"/>
        </w:rPr>
      </w:pPr>
      <w:r>
        <w:rPr>
          <w:rFonts w:hint="eastAsia" w:ascii="宋体" w:hAnsi="宋体"/>
          <w:color w:val="auto"/>
          <w:szCs w:val="21"/>
        </w:rPr>
        <w:t xml:space="preserve">十、违约、索赔和争议 </w:t>
      </w:r>
    </w:p>
    <w:p>
      <w:pPr>
        <w:spacing w:line="400" w:lineRule="exact"/>
        <w:ind w:firstLine="359" w:firstLineChars="171"/>
        <w:rPr>
          <w:rFonts w:ascii="宋体" w:hAnsi="宋体"/>
          <w:color w:val="auto"/>
          <w:szCs w:val="21"/>
        </w:rPr>
      </w:pPr>
      <w:r>
        <w:rPr>
          <w:rFonts w:hint="eastAsia" w:ascii="宋体" w:hAnsi="宋体"/>
          <w:color w:val="auto"/>
          <w:szCs w:val="21"/>
        </w:rPr>
        <w:t xml:space="preserve">35、违约 </w:t>
      </w:r>
    </w:p>
    <w:p>
      <w:pPr>
        <w:spacing w:line="400" w:lineRule="exact"/>
        <w:ind w:firstLine="359" w:firstLineChars="171"/>
        <w:rPr>
          <w:rFonts w:ascii="宋体" w:hAnsi="宋体"/>
          <w:color w:val="auto"/>
          <w:szCs w:val="21"/>
        </w:rPr>
      </w:pPr>
      <w:r>
        <w:rPr>
          <w:rFonts w:hint="eastAsia" w:ascii="宋体" w:hAnsi="宋体"/>
          <w:color w:val="auto"/>
          <w:szCs w:val="21"/>
        </w:rPr>
        <w:t>35.1发包人违约。当发生下列情况时：</w:t>
      </w:r>
    </w:p>
    <w:p>
      <w:pPr>
        <w:spacing w:line="400" w:lineRule="exact"/>
        <w:ind w:firstLine="359" w:firstLineChars="171"/>
        <w:rPr>
          <w:rFonts w:ascii="宋体" w:hAnsi="宋体"/>
          <w:color w:val="auto"/>
          <w:szCs w:val="21"/>
        </w:rPr>
      </w:pPr>
      <w:r>
        <w:rPr>
          <w:rFonts w:hint="eastAsia" w:ascii="宋体" w:hAnsi="宋体"/>
          <w:color w:val="auto"/>
          <w:szCs w:val="21"/>
        </w:rPr>
        <w:t xml:space="preserve">(1) 本通用条款第24条提到的发包人不按时支付工程预付款； </w:t>
      </w:r>
    </w:p>
    <w:p>
      <w:pPr>
        <w:spacing w:line="400" w:lineRule="exact"/>
        <w:ind w:firstLine="359" w:firstLineChars="171"/>
        <w:rPr>
          <w:rFonts w:ascii="宋体" w:hAnsi="宋体"/>
          <w:color w:val="auto"/>
          <w:szCs w:val="21"/>
        </w:rPr>
      </w:pPr>
      <w:r>
        <w:rPr>
          <w:rFonts w:hint="eastAsia" w:ascii="宋体" w:hAnsi="宋体"/>
          <w:color w:val="auto"/>
          <w:szCs w:val="21"/>
        </w:rPr>
        <w:t xml:space="preserve">(2) 本通用条款第26.4款提到的发包人不按合同约定支付工程款，导致施工无法进行； </w:t>
      </w:r>
    </w:p>
    <w:p>
      <w:pPr>
        <w:spacing w:line="400" w:lineRule="exact"/>
        <w:ind w:firstLine="359" w:firstLineChars="171"/>
        <w:rPr>
          <w:rFonts w:ascii="宋体" w:hAnsi="宋体"/>
          <w:color w:val="auto"/>
          <w:szCs w:val="21"/>
        </w:rPr>
      </w:pPr>
      <w:r>
        <w:rPr>
          <w:rFonts w:hint="eastAsia" w:ascii="宋体" w:hAnsi="宋体"/>
          <w:color w:val="auto"/>
          <w:szCs w:val="21"/>
        </w:rPr>
        <w:t>(3) 本通用条款第33.3款提到的发包人无正当理由不支付工程竣工结算价款；</w:t>
      </w:r>
    </w:p>
    <w:p>
      <w:pPr>
        <w:spacing w:line="400" w:lineRule="exact"/>
        <w:ind w:firstLine="359" w:firstLineChars="171"/>
        <w:rPr>
          <w:rFonts w:ascii="宋体" w:hAnsi="宋体"/>
          <w:color w:val="auto"/>
          <w:szCs w:val="21"/>
        </w:rPr>
      </w:pPr>
      <w:r>
        <w:rPr>
          <w:rFonts w:hint="eastAsia" w:ascii="宋体" w:hAnsi="宋体"/>
          <w:color w:val="auto"/>
          <w:szCs w:val="21"/>
        </w:rPr>
        <w:t xml:space="preserve">(4) 发包人不履行合同义务或不按合同约定履行义务的其他情况。 </w:t>
      </w:r>
    </w:p>
    <w:p>
      <w:pPr>
        <w:spacing w:line="400" w:lineRule="exact"/>
        <w:ind w:firstLine="359" w:firstLineChars="171"/>
        <w:rPr>
          <w:rFonts w:ascii="宋体" w:hAnsi="宋体"/>
          <w:color w:val="auto"/>
          <w:szCs w:val="21"/>
        </w:rPr>
      </w:pPr>
      <w:r>
        <w:rPr>
          <w:rFonts w:hint="eastAsia" w:ascii="宋体" w:hAnsi="宋体"/>
          <w:color w:val="auto"/>
          <w:szCs w:val="21"/>
        </w:rPr>
        <w:t xml:space="preserve">发包人承担违约责任，赔偿因其违约给承包人造成的经济损失，顺延延误的工期。三方在专用条款内约定发包人赔偿承包人损失的计算方法或者发包人应当支付违约金的数额或计算方法。 </w:t>
      </w:r>
    </w:p>
    <w:p>
      <w:pPr>
        <w:spacing w:line="400" w:lineRule="exact"/>
        <w:ind w:firstLine="359" w:firstLineChars="171"/>
        <w:rPr>
          <w:rFonts w:ascii="宋体" w:hAnsi="宋体"/>
          <w:color w:val="auto"/>
          <w:szCs w:val="21"/>
        </w:rPr>
      </w:pPr>
      <w:r>
        <w:rPr>
          <w:rFonts w:hint="eastAsia" w:ascii="宋体" w:hAnsi="宋体"/>
          <w:color w:val="auto"/>
          <w:szCs w:val="21"/>
        </w:rPr>
        <w:t xml:space="preserve">35.2承包人违约。当发生下列情况时： </w:t>
      </w:r>
    </w:p>
    <w:p>
      <w:pPr>
        <w:spacing w:line="400" w:lineRule="exact"/>
        <w:ind w:firstLine="359" w:firstLineChars="171"/>
        <w:rPr>
          <w:rFonts w:ascii="宋体" w:hAnsi="宋体"/>
          <w:color w:val="auto"/>
          <w:szCs w:val="21"/>
        </w:rPr>
      </w:pPr>
      <w:r>
        <w:rPr>
          <w:rFonts w:hint="eastAsia" w:ascii="宋体" w:hAnsi="宋体"/>
          <w:color w:val="auto"/>
          <w:szCs w:val="21"/>
        </w:rPr>
        <w:t xml:space="preserve">(1) 本通用条款第14.2款提到的因承包人原因不能按照协议书约定的竣工日期或工程师同意顺延的工期竣工； </w:t>
      </w:r>
    </w:p>
    <w:p>
      <w:pPr>
        <w:spacing w:line="400" w:lineRule="exact"/>
        <w:ind w:firstLine="359" w:firstLineChars="171"/>
        <w:rPr>
          <w:rFonts w:ascii="宋体" w:hAnsi="宋体"/>
          <w:color w:val="auto"/>
          <w:szCs w:val="21"/>
        </w:rPr>
      </w:pPr>
      <w:r>
        <w:rPr>
          <w:rFonts w:hint="eastAsia" w:ascii="宋体" w:hAnsi="宋体"/>
          <w:color w:val="auto"/>
          <w:szCs w:val="21"/>
        </w:rPr>
        <w:t xml:space="preserve">(2) 本通用条款第15.1款提到的因承包人原因工程质量达不到协议书约定的质量标准； </w:t>
      </w:r>
    </w:p>
    <w:p>
      <w:pPr>
        <w:spacing w:line="400" w:lineRule="exact"/>
        <w:ind w:firstLine="359" w:firstLineChars="171"/>
        <w:rPr>
          <w:rFonts w:ascii="宋体" w:hAnsi="宋体"/>
          <w:color w:val="auto"/>
          <w:szCs w:val="21"/>
        </w:rPr>
      </w:pPr>
      <w:r>
        <w:rPr>
          <w:rFonts w:hint="eastAsia" w:ascii="宋体" w:hAnsi="宋体"/>
          <w:color w:val="auto"/>
          <w:szCs w:val="21"/>
        </w:rPr>
        <w:t xml:space="preserve">(3) 承包人不履行合同义务或不按合同约定履行义务的其他情况。 </w:t>
      </w:r>
    </w:p>
    <w:p>
      <w:pPr>
        <w:spacing w:line="400" w:lineRule="exact"/>
        <w:ind w:firstLine="359" w:firstLineChars="171"/>
        <w:rPr>
          <w:rFonts w:ascii="宋体" w:hAnsi="宋体"/>
          <w:color w:val="auto"/>
          <w:szCs w:val="21"/>
        </w:rPr>
      </w:pPr>
      <w:r>
        <w:rPr>
          <w:rFonts w:hint="eastAsia" w:ascii="宋体" w:hAnsi="宋体"/>
          <w:color w:val="auto"/>
          <w:szCs w:val="21"/>
        </w:rPr>
        <w:t xml:space="preserve">承包人承担违约责任，赔偿因其违约给发包人造成的损失。三方在专用条款内约定承包人赔偿发包人损失的计算方法或者承包人应当支付违约金的数额或计算方法。 </w:t>
      </w:r>
    </w:p>
    <w:p>
      <w:pPr>
        <w:spacing w:line="400" w:lineRule="exact"/>
        <w:ind w:firstLine="359" w:firstLineChars="171"/>
        <w:rPr>
          <w:rFonts w:ascii="宋体" w:hAnsi="宋体"/>
          <w:color w:val="auto"/>
          <w:szCs w:val="21"/>
        </w:rPr>
      </w:pPr>
      <w:r>
        <w:rPr>
          <w:rFonts w:hint="eastAsia" w:ascii="宋体" w:hAnsi="宋体"/>
          <w:color w:val="auto"/>
          <w:szCs w:val="21"/>
        </w:rPr>
        <w:t xml:space="preserve">35.3一方违约后，另一方要求违约方继续履行合同时，违约方承担上述违约责任后仍应继续履行合同。 </w:t>
      </w:r>
    </w:p>
    <w:p>
      <w:pPr>
        <w:spacing w:line="400" w:lineRule="exact"/>
        <w:ind w:firstLine="359" w:firstLineChars="171"/>
        <w:rPr>
          <w:rFonts w:ascii="宋体" w:hAnsi="宋体"/>
          <w:color w:val="auto"/>
          <w:szCs w:val="21"/>
        </w:rPr>
      </w:pPr>
      <w:r>
        <w:rPr>
          <w:rFonts w:hint="eastAsia" w:ascii="宋体" w:hAnsi="宋体"/>
          <w:color w:val="auto"/>
          <w:szCs w:val="21"/>
        </w:rPr>
        <w:t xml:space="preserve">36、索赔 </w:t>
      </w:r>
    </w:p>
    <w:p>
      <w:pPr>
        <w:spacing w:line="400" w:lineRule="exact"/>
        <w:ind w:firstLine="359" w:firstLineChars="171"/>
        <w:rPr>
          <w:rFonts w:ascii="宋体" w:hAnsi="宋体"/>
          <w:color w:val="auto"/>
          <w:szCs w:val="21"/>
        </w:rPr>
      </w:pPr>
      <w:r>
        <w:rPr>
          <w:rFonts w:hint="eastAsia" w:ascii="宋体" w:hAnsi="宋体"/>
          <w:color w:val="auto"/>
          <w:szCs w:val="21"/>
        </w:rPr>
        <w:t xml:space="preserve">36.1当一方向另一方提出索赔时，要有正当索赔理由，且有索赔事件发生时的有效证据。 </w:t>
      </w:r>
    </w:p>
    <w:p>
      <w:pPr>
        <w:spacing w:line="400" w:lineRule="exact"/>
        <w:ind w:firstLine="359" w:firstLineChars="171"/>
        <w:rPr>
          <w:rFonts w:ascii="宋体" w:hAnsi="宋体"/>
          <w:color w:val="auto"/>
          <w:szCs w:val="21"/>
        </w:rPr>
      </w:pPr>
      <w:r>
        <w:rPr>
          <w:rFonts w:hint="eastAsia" w:ascii="宋体" w:hAnsi="宋体"/>
          <w:color w:val="auto"/>
          <w:szCs w:val="21"/>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spacing w:line="400" w:lineRule="exact"/>
        <w:ind w:firstLine="359" w:firstLineChars="171"/>
        <w:rPr>
          <w:rFonts w:ascii="宋体" w:hAnsi="宋体"/>
          <w:color w:val="auto"/>
          <w:szCs w:val="21"/>
        </w:rPr>
      </w:pPr>
      <w:r>
        <w:rPr>
          <w:rFonts w:hint="eastAsia" w:ascii="宋体" w:hAnsi="宋体"/>
          <w:color w:val="auto"/>
          <w:szCs w:val="21"/>
        </w:rPr>
        <w:t xml:space="preserve">(1) 索赔事件发生后28天内，向工程师发出索赔意向通知； </w:t>
      </w:r>
    </w:p>
    <w:p>
      <w:pPr>
        <w:spacing w:line="400" w:lineRule="exact"/>
        <w:ind w:firstLine="359" w:firstLineChars="171"/>
        <w:rPr>
          <w:rFonts w:ascii="宋体" w:hAnsi="宋体"/>
          <w:color w:val="auto"/>
          <w:szCs w:val="21"/>
        </w:rPr>
      </w:pPr>
      <w:r>
        <w:rPr>
          <w:rFonts w:hint="eastAsia" w:ascii="宋体" w:hAnsi="宋体"/>
          <w:color w:val="auto"/>
          <w:szCs w:val="21"/>
        </w:rPr>
        <w:t xml:space="preserve">(2) 发出索赔意向通知后28天内，向工程师提出延长工期和（或）补偿经济损失的索赔报告及有关资料； </w:t>
      </w:r>
    </w:p>
    <w:p>
      <w:pPr>
        <w:spacing w:line="400" w:lineRule="exact"/>
        <w:ind w:firstLine="359" w:firstLineChars="171"/>
        <w:rPr>
          <w:rFonts w:ascii="宋体" w:hAnsi="宋体"/>
          <w:color w:val="auto"/>
          <w:szCs w:val="21"/>
        </w:rPr>
      </w:pPr>
      <w:r>
        <w:rPr>
          <w:rFonts w:hint="eastAsia" w:ascii="宋体" w:hAnsi="宋体"/>
          <w:color w:val="auto"/>
          <w:szCs w:val="21"/>
        </w:rPr>
        <w:t xml:space="preserve">(3) 工程师在收到承包人送交的索赔报告及有关资料后，于28天内给予答复，或要求承包人进一步补充索赔理由和证据； </w:t>
      </w:r>
    </w:p>
    <w:p>
      <w:pPr>
        <w:spacing w:line="400" w:lineRule="exact"/>
        <w:ind w:firstLine="359" w:firstLineChars="171"/>
        <w:rPr>
          <w:rFonts w:ascii="宋体" w:hAnsi="宋体"/>
          <w:color w:val="auto"/>
          <w:szCs w:val="21"/>
        </w:rPr>
      </w:pPr>
      <w:r>
        <w:rPr>
          <w:rFonts w:hint="eastAsia" w:ascii="宋体" w:hAnsi="宋体"/>
          <w:color w:val="auto"/>
          <w:szCs w:val="21"/>
        </w:rPr>
        <w:t xml:space="preserve">(4) 工程师在收到承包人送交的索赔报告和有关资料后28天内未予答复或未对承包人作进一步要求，视为该项索赔已经认可； </w:t>
      </w:r>
    </w:p>
    <w:p>
      <w:pPr>
        <w:spacing w:line="400" w:lineRule="exact"/>
        <w:ind w:firstLine="359" w:firstLineChars="171"/>
        <w:rPr>
          <w:rFonts w:ascii="宋体" w:hAnsi="宋体"/>
          <w:color w:val="auto"/>
          <w:szCs w:val="21"/>
        </w:rPr>
      </w:pPr>
      <w:r>
        <w:rPr>
          <w:rFonts w:hint="eastAsia" w:ascii="宋体" w:hAnsi="宋体"/>
          <w:color w:val="auto"/>
          <w:szCs w:val="21"/>
        </w:rPr>
        <w:t xml:space="preserve">(5) 当该索赔事件持续进行时，承包人应当阶段性向工程师发出索赔意向，在索赔事件终了后28天内，向工程师送交索赔的有关资料和最终索赔报告。索赔答复程序与（3）、（4）规定相同。 </w:t>
      </w:r>
    </w:p>
    <w:p>
      <w:pPr>
        <w:spacing w:line="400" w:lineRule="exact"/>
        <w:ind w:firstLine="359" w:firstLineChars="171"/>
        <w:rPr>
          <w:rFonts w:ascii="宋体" w:hAnsi="宋体"/>
          <w:color w:val="auto"/>
          <w:szCs w:val="21"/>
        </w:rPr>
      </w:pPr>
      <w:r>
        <w:rPr>
          <w:rFonts w:hint="eastAsia" w:ascii="宋体" w:hAnsi="宋体"/>
          <w:color w:val="auto"/>
          <w:szCs w:val="21"/>
        </w:rPr>
        <w:t xml:space="preserve">36.3承包人未能按合同约定履行自己的各项义务或发生错误，给发包人造成经济损失，发包人可按36.2款确定的时限向承包人提出索赔。 </w:t>
      </w:r>
    </w:p>
    <w:p>
      <w:pPr>
        <w:spacing w:line="400" w:lineRule="exact"/>
        <w:ind w:firstLine="359" w:firstLineChars="171"/>
        <w:rPr>
          <w:rFonts w:ascii="宋体" w:hAnsi="宋体"/>
          <w:color w:val="auto"/>
          <w:szCs w:val="21"/>
        </w:rPr>
      </w:pPr>
      <w:r>
        <w:rPr>
          <w:rFonts w:hint="eastAsia" w:ascii="宋体" w:hAnsi="宋体"/>
          <w:color w:val="auto"/>
          <w:szCs w:val="21"/>
        </w:rPr>
        <w:t xml:space="preserve">37、争议 </w:t>
      </w:r>
    </w:p>
    <w:p>
      <w:pPr>
        <w:spacing w:line="400" w:lineRule="exact"/>
        <w:ind w:firstLine="359" w:firstLineChars="171"/>
        <w:rPr>
          <w:rFonts w:ascii="宋体" w:hAnsi="宋体"/>
          <w:color w:val="auto"/>
          <w:szCs w:val="21"/>
        </w:rPr>
      </w:pPr>
      <w:r>
        <w:rPr>
          <w:rFonts w:hint="eastAsia" w:ascii="宋体" w:hAnsi="宋体"/>
          <w:color w:val="auto"/>
          <w:szCs w:val="21"/>
        </w:rPr>
        <w:t xml:space="preserve">37.1发包人承包人在履行合同时发生争议，可以和解或者要求有关主管部门调解。当事人不愿和解、调解或者和解、调解不成的，三方可以在专用条款内约定以下一种方式解决争议： </w:t>
      </w:r>
    </w:p>
    <w:p>
      <w:pPr>
        <w:spacing w:line="400" w:lineRule="exact"/>
        <w:ind w:firstLine="359" w:firstLineChars="171"/>
        <w:rPr>
          <w:rFonts w:ascii="宋体" w:hAnsi="宋体"/>
          <w:color w:val="auto"/>
          <w:szCs w:val="21"/>
        </w:rPr>
      </w:pPr>
      <w:r>
        <w:rPr>
          <w:rFonts w:hint="eastAsia" w:ascii="宋体" w:hAnsi="宋体"/>
          <w:color w:val="auto"/>
          <w:szCs w:val="21"/>
        </w:rPr>
        <w:t xml:space="preserve">第一种解决方式：三方达成仲裁协议，向约定的仲裁委员会申请仲裁； </w:t>
      </w:r>
    </w:p>
    <w:p>
      <w:pPr>
        <w:spacing w:line="400" w:lineRule="exact"/>
        <w:ind w:firstLine="359" w:firstLineChars="171"/>
        <w:rPr>
          <w:rFonts w:ascii="宋体" w:hAnsi="宋体"/>
          <w:color w:val="auto"/>
          <w:szCs w:val="21"/>
        </w:rPr>
      </w:pPr>
      <w:r>
        <w:rPr>
          <w:rFonts w:hint="eastAsia" w:ascii="宋体" w:hAnsi="宋体"/>
          <w:color w:val="auto"/>
          <w:szCs w:val="21"/>
        </w:rPr>
        <w:t xml:space="preserve">第二种解决方式：向有管辖权的人民法院起诉。 </w:t>
      </w:r>
    </w:p>
    <w:p>
      <w:pPr>
        <w:spacing w:line="400" w:lineRule="exact"/>
        <w:ind w:firstLine="359" w:firstLineChars="171"/>
        <w:rPr>
          <w:rFonts w:ascii="宋体" w:hAnsi="宋体"/>
          <w:color w:val="auto"/>
          <w:szCs w:val="21"/>
        </w:rPr>
      </w:pPr>
      <w:r>
        <w:rPr>
          <w:rFonts w:hint="eastAsia" w:ascii="宋体" w:hAnsi="宋体"/>
          <w:color w:val="auto"/>
          <w:szCs w:val="21"/>
        </w:rPr>
        <w:t xml:space="preserve">37.2发生争议后，除非出现下列情况的，三方都应继续履行合同，保持施工连续，保护好已完工程： </w:t>
      </w:r>
    </w:p>
    <w:p>
      <w:pPr>
        <w:spacing w:line="400" w:lineRule="exact"/>
        <w:ind w:firstLine="359" w:firstLineChars="171"/>
        <w:rPr>
          <w:rFonts w:ascii="宋体" w:hAnsi="宋体"/>
          <w:color w:val="auto"/>
          <w:szCs w:val="21"/>
        </w:rPr>
      </w:pPr>
      <w:r>
        <w:rPr>
          <w:rFonts w:hint="eastAsia" w:ascii="宋体" w:hAnsi="宋体"/>
          <w:color w:val="auto"/>
          <w:szCs w:val="21"/>
        </w:rPr>
        <w:t xml:space="preserve">(1) 单方违约导致合同确已无法履行，三方协议停止施工； </w:t>
      </w:r>
    </w:p>
    <w:p>
      <w:pPr>
        <w:spacing w:line="400" w:lineRule="exact"/>
        <w:ind w:firstLine="359" w:firstLineChars="171"/>
        <w:rPr>
          <w:rFonts w:ascii="宋体" w:hAnsi="宋体"/>
          <w:color w:val="auto"/>
          <w:szCs w:val="21"/>
        </w:rPr>
      </w:pPr>
      <w:r>
        <w:rPr>
          <w:rFonts w:hint="eastAsia" w:ascii="宋体" w:hAnsi="宋体"/>
          <w:color w:val="auto"/>
          <w:szCs w:val="21"/>
        </w:rPr>
        <w:t xml:space="preserve">(2) 调解要求停止施工，且为三方接受； </w:t>
      </w:r>
    </w:p>
    <w:p>
      <w:pPr>
        <w:spacing w:line="400" w:lineRule="exact"/>
        <w:ind w:firstLine="359" w:firstLineChars="171"/>
        <w:rPr>
          <w:rFonts w:ascii="宋体" w:hAnsi="宋体"/>
          <w:color w:val="auto"/>
          <w:szCs w:val="21"/>
        </w:rPr>
      </w:pPr>
      <w:r>
        <w:rPr>
          <w:rFonts w:hint="eastAsia" w:ascii="宋体" w:hAnsi="宋体"/>
          <w:color w:val="auto"/>
          <w:szCs w:val="21"/>
        </w:rPr>
        <w:t xml:space="preserve">(3) 仲裁机构要求停止施工； </w:t>
      </w:r>
    </w:p>
    <w:p>
      <w:pPr>
        <w:spacing w:line="400" w:lineRule="exact"/>
        <w:ind w:firstLine="359" w:firstLineChars="171"/>
        <w:rPr>
          <w:rFonts w:ascii="宋体" w:hAnsi="宋体"/>
          <w:color w:val="auto"/>
          <w:szCs w:val="21"/>
        </w:rPr>
      </w:pPr>
      <w:r>
        <w:rPr>
          <w:rFonts w:hint="eastAsia" w:ascii="宋体" w:hAnsi="宋体"/>
          <w:color w:val="auto"/>
          <w:szCs w:val="21"/>
        </w:rPr>
        <w:t xml:space="preserve">(4) 法院要求停止施工。 </w:t>
      </w:r>
    </w:p>
    <w:p>
      <w:pPr>
        <w:spacing w:line="400" w:lineRule="exact"/>
        <w:ind w:firstLine="359" w:firstLineChars="171"/>
        <w:rPr>
          <w:rFonts w:ascii="宋体" w:hAnsi="宋体"/>
          <w:color w:val="auto"/>
          <w:szCs w:val="21"/>
        </w:rPr>
      </w:pPr>
      <w:r>
        <w:rPr>
          <w:rFonts w:hint="eastAsia" w:ascii="宋体" w:hAnsi="宋体"/>
          <w:color w:val="auto"/>
          <w:szCs w:val="21"/>
        </w:rPr>
        <w:t xml:space="preserve">十一、其他 </w:t>
      </w:r>
    </w:p>
    <w:p>
      <w:pPr>
        <w:spacing w:line="400" w:lineRule="exact"/>
        <w:ind w:firstLine="359" w:firstLineChars="171"/>
        <w:rPr>
          <w:rFonts w:ascii="宋体" w:hAnsi="宋体"/>
          <w:color w:val="auto"/>
          <w:szCs w:val="21"/>
        </w:rPr>
      </w:pPr>
      <w:r>
        <w:rPr>
          <w:rFonts w:hint="eastAsia" w:ascii="宋体" w:hAnsi="宋体"/>
          <w:color w:val="auto"/>
          <w:szCs w:val="21"/>
        </w:rPr>
        <w:t xml:space="preserve">38、工程分包 </w:t>
      </w:r>
    </w:p>
    <w:p>
      <w:pPr>
        <w:spacing w:line="400" w:lineRule="exact"/>
        <w:ind w:firstLine="359" w:firstLineChars="171"/>
        <w:rPr>
          <w:rFonts w:ascii="宋体" w:hAnsi="宋体"/>
          <w:color w:val="auto"/>
          <w:szCs w:val="21"/>
        </w:rPr>
      </w:pPr>
      <w:r>
        <w:rPr>
          <w:rFonts w:hint="eastAsia" w:ascii="宋体" w:hAnsi="宋体"/>
          <w:color w:val="auto"/>
          <w:szCs w:val="21"/>
        </w:rPr>
        <w:t xml:space="preserve">38.1 承包人按专用条款的约定分包所承包的部分工程，并与分包单位签订分包合同。非经发包人同意，承包人不得将承包工程的任何部分分包。 </w:t>
      </w:r>
    </w:p>
    <w:p>
      <w:pPr>
        <w:spacing w:line="400" w:lineRule="exact"/>
        <w:ind w:firstLine="359" w:firstLineChars="171"/>
        <w:rPr>
          <w:rFonts w:ascii="宋体" w:hAnsi="宋体"/>
          <w:color w:val="auto"/>
          <w:szCs w:val="21"/>
        </w:rPr>
      </w:pPr>
      <w:r>
        <w:rPr>
          <w:rFonts w:hint="eastAsia" w:ascii="宋体" w:hAnsi="宋体"/>
          <w:color w:val="auto"/>
          <w:szCs w:val="21"/>
        </w:rPr>
        <w:t xml:space="preserve">38.2 承包人不得将其承包的全部工程转包给他人，也不得将其承包的全部工程肢解以后以分包的名义分别转包给他人。 </w:t>
      </w:r>
    </w:p>
    <w:p>
      <w:pPr>
        <w:spacing w:line="400" w:lineRule="exact"/>
        <w:ind w:firstLine="359" w:firstLineChars="171"/>
        <w:rPr>
          <w:rFonts w:ascii="宋体" w:hAnsi="宋体"/>
          <w:color w:val="auto"/>
          <w:szCs w:val="21"/>
        </w:rPr>
      </w:pPr>
      <w:r>
        <w:rPr>
          <w:rFonts w:hint="eastAsia" w:ascii="宋体" w:hAnsi="宋体"/>
          <w:color w:val="auto"/>
          <w:szCs w:val="21"/>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38.4分包工程价款由承包人与分包单位结算。发包人未经承包人同意不得以任何形式向分包单位支付各种工程款项。 </w:t>
      </w:r>
    </w:p>
    <w:p>
      <w:pPr>
        <w:spacing w:line="400" w:lineRule="exact"/>
        <w:ind w:firstLine="359" w:firstLineChars="171"/>
        <w:rPr>
          <w:rFonts w:ascii="宋体" w:hAnsi="宋体"/>
          <w:color w:val="auto"/>
          <w:szCs w:val="21"/>
        </w:rPr>
      </w:pPr>
      <w:r>
        <w:rPr>
          <w:rFonts w:hint="eastAsia" w:ascii="宋体" w:hAnsi="宋体"/>
          <w:color w:val="auto"/>
          <w:szCs w:val="21"/>
        </w:rPr>
        <w:t xml:space="preserve">39、不可抗力 </w:t>
      </w:r>
    </w:p>
    <w:p>
      <w:pPr>
        <w:spacing w:line="400" w:lineRule="exact"/>
        <w:ind w:firstLine="359" w:firstLineChars="171"/>
        <w:rPr>
          <w:rFonts w:ascii="宋体" w:hAnsi="宋体"/>
          <w:color w:val="auto"/>
          <w:szCs w:val="21"/>
        </w:rPr>
      </w:pPr>
      <w:r>
        <w:rPr>
          <w:rFonts w:hint="eastAsia" w:ascii="宋体" w:hAnsi="宋体"/>
          <w:color w:val="auto"/>
          <w:szCs w:val="21"/>
        </w:rPr>
        <w:t>39.1 不可抗力包括因战争、动乱、空中飞行物体坠落或其他非发包人承包人责任造成的爆炸、火灾，以及专用条款约定的风、雨、雪、洪、震等自然灾害。</w:t>
      </w:r>
    </w:p>
    <w:p>
      <w:pPr>
        <w:spacing w:line="400" w:lineRule="exact"/>
        <w:ind w:firstLine="359" w:firstLineChars="171"/>
        <w:rPr>
          <w:rFonts w:ascii="宋体" w:hAnsi="宋体"/>
          <w:color w:val="auto"/>
          <w:szCs w:val="21"/>
        </w:rPr>
      </w:pPr>
      <w:r>
        <w:rPr>
          <w:rFonts w:hint="eastAsia" w:ascii="宋体" w:hAnsi="宋体"/>
          <w:color w:val="auto"/>
          <w:szCs w:val="21"/>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pPr>
        <w:spacing w:line="400" w:lineRule="exact"/>
        <w:ind w:firstLine="359" w:firstLineChars="171"/>
        <w:rPr>
          <w:rFonts w:ascii="宋体" w:hAnsi="宋体"/>
          <w:color w:val="auto"/>
          <w:szCs w:val="21"/>
        </w:rPr>
      </w:pPr>
      <w:r>
        <w:rPr>
          <w:rFonts w:hint="eastAsia" w:ascii="宋体" w:hAnsi="宋体"/>
          <w:color w:val="auto"/>
          <w:szCs w:val="21"/>
        </w:rPr>
        <w:t>39.3 因不可抗力事件导致的费用及延误的工期由三方按以下方法分别承担：</w:t>
      </w:r>
    </w:p>
    <w:p>
      <w:pPr>
        <w:spacing w:line="400" w:lineRule="exact"/>
        <w:ind w:firstLine="359" w:firstLineChars="171"/>
        <w:rPr>
          <w:rFonts w:ascii="宋体" w:hAnsi="宋体"/>
          <w:color w:val="auto"/>
          <w:szCs w:val="21"/>
        </w:rPr>
      </w:pPr>
      <w:r>
        <w:rPr>
          <w:rFonts w:hint="eastAsia" w:ascii="宋体" w:hAnsi="宋体"/>
          <w:color w:val="auto"/>
          <w:szCs w:val="21"/>
        </w:rPr>
        <w:t xml:space="preserve">(1) 工程本身的损害、因工程损害导致第三人人员伤亡和财产损失以及运至施工场地用于施工的材料和待安装的设备的损害，由发包人承担； </w:t>
      </w:r>
    </w:p>
    <w:p>
      <w:pPr>
        <w:spacing w:line="400" w:lineRule="exact"/>
        <w:ind w:firstLine="359" w:firstLineChars="171"/>
        <w:rPr>
          <w:rFonts w:ascii="宋体" w:hAnsi="宋体"/>
          <w:color w:val="auto"/>
          <w:szCs w:val="21"/>
        </w:rPr>
      </w:pPr>
      <w:r>
        <w:rPr>
          <w:rFonts w:hint="eastAsia" w:ascii="宋体" w:hAnsi="宋体"/>
          <w:color w:val="auto"/>
          <w:szCs w:val="21"/>
        </w:rPr>
        <w:t xml:space="preserve">(2) 发包人承包人人员伤亡由其所在单位负责，并承担相应费用； </w:t>
      </w:r>
    </w:p>
    <w:p>
      <w:pPr>
        <w:spacing w:line="400" w:lineRule="exact"/>
        <w:ind w:firstLine="359" w:firstLineChars="171"/>
        <w:rPr>
          <w:rFonts w:ascii="宋体" w:hAnsi="宋体"/>
          <w:color w:val="auto"/>
          <w:szCs w:val="21"/>
        </w:rPr>
      </w:pPr>
      <w:r>
        <w:rPr>
          <w:rFonts w:hint="eastAsia" w:ascii="宋体" w:hAnsi="宋体"/>
          <w:color w:val="auto"/>
          <w:szCs w:val="21"/>
        </w:rPr>
        <w:t xml:space="preserve">(3) 承包人机械设备损坏及停工损失，由承包人承担； </w:t>
      </w:r>
    </w:p>
    <w:p>
      <w:pPr>
        <w:spacing w:line="400" w:lineRule="exact"/>
        <w:ind w:firstLine="359" w:firstLineChars="171"/>
        <w:rPr>
          <w:rFonts w:ascii="宋体" w:hAnsi="宋体"/>
          <w:color w:val="auto"/>
          <w:szCs w:val="21"/>
        </w:rPr>
      </w:pPr>
      <w:r>
        <w:rPr>
          <w:rFonts w:hint="eastAsia" w:ascii="宋体" w:hAnsi="宋体"/>
          <w:color w:val="auto"/>
          <w:szCs w:val="21"/>
        </w:rPr>
        <w:t xml:space="preserve">(4) 停工期间，承包人应工程师要求留在施工场地的必要的管理人员及保卫人员的费用由发包人承担； </w:t>
      </w:r>
    </w:p>
    <w:p>
      <w:pPr>
        <w:spacing w:line="400" w:lineRule="exact"/>
        <w:ind w:firstLine="359" w:firstLineChars="171"/>
        <w:rPr>
          <w:rFonts w:ascii="宋体" w:hAnsi="宋体"/>
          <w:color w:val="auto"/>
          <w:szCs w:val="21"/>
        </w:rPr>
      </w:pPr>
      <w:r>
        <w:rPr>
          <w:rFonts w:hint="eastAsia" w:ascii="宋体" w:hAnsi="宋体"/>
          <w:color w:val="auto"/>
          <w:szCs w:val="21"/>
        </w:rPr>
        <w:t xml:space="preserve">(5) 工程所需清理、修复费用，由发包人承担； </w:t>
      </w:r>
    </w:p>
    <w:p>
      <w:pPr>
        <w:spacing w:line="400" w:lineRule="exact"/>
        <w:ind w:firstLine="359" w:firstLineChars="171"/>
        <w:rPr>
          <w:rFonts w:ascii="宋体" w:hAnsi="宋体"/>
          <w:color w:val="auto"/>
          <w:szCs w:val="21"/>
        </w:rPr>
      </w:pPr>
      <w:r>
        <w:rPr>
          <w:rFonts w:hint="eastAsia" w:ascii="宋体" w:hAnsi="宋体"/>
          <w:color w:val="auto"/>
          <w:szCs w:val="21"/>
        </w:rPr>
        <w:t xml:space="preserve">(6) 延误的工期相应顺延。 </w:t>
      </w:r>
    </w:p>
    <w:p>
      <w:pPr>
        <w:spacing w:line="400" w:lineRule="exact"/>
        <w:ind w:firstLine="359" w:firstLineChars="171"/>
        <w:rPr>
          <w:rFonts w:ascii="宋体" w:hAnsi="宋体"/>
          <w:color w:val="auto"/>
          <w:szCs w:val="21"/>
        </w:rPr>
      </w:pPr>
      <w:r>
        <w:rPr>
          <w:rFonts w:hint="eastAsia" w:ascii="宋体" w:hAnsi="宋体"/>
          <w:color w:val="auto"/>
          <w:szCs w:val="21"/>
        </w:rPr>
        <w:t>39.4因合同一方迟延履行合同后发生不可抗力的，不能免除迟延履行方的相应责任。</w:t>
      </w:r>
    </w:p>
    <w:p>
      <w:pPr>
        <w:spacing w:line="400" w:lineRule="exact"/>
        <w:ind w:firstLine="359" w:firstLineChars="171"/>
        <w:rPr>
          <w:rFonts w:ascii="宋体" w:hAnsi="宋体"/>
          <w:color w:val="auto"/>
          <w:szCs w:val="21"/>
        </w:rPr>
      </w:pPr>
      <w:r>
        <w:rPr>
          <w:rFonts w:hint="eastAsia" w:ascii="宋体" w:hAnsi="宋体"/>
          <w:color w:val="auto"/>
          <w:szCs w:val="21"/>
        </w:rPr>
        <w:t xml:space="preserve">40、保险 </w:t>
      </w:r>
    </w:p>
    <w:p>
      <w:pPr>
        <w:spacing w:line="400" w:lineRule="exact"/>
        <w:ind w:firstLine="359" w:firstLineChars="171"/>
        <w:rPr>
          <w:rFonts w:ascii="宋体" w:hAnsi="宋体"/>
          <w:color w:val="auto"/>
          <w:szCs w:val="21"/>
        </w:rPr>
      </w:pPr>
      <w:r>
        <w:rPr>
          <w:rFonts w:hint="eastAsia" w:ascii="宋体" w:hAnsi="宋体"/>
          <w:color w:val="auto"/>
          <w:szCs w:val="21"/>
        </w:rPr>
        <w:t xml:space="preserve">40.1工程开工前，发包人为建设工程和施工场地内的自有人员及第三人人员生命财产办理保险，支付保险费用。 </w:t>
      </w:r>
    </w:p>
    <w:p>
      <w:pPr>
        <w:spacing w:line="400" w:lineRule="exact"/>
        <w:ind w:firstLine="359" w:firstLineChars="171"/>
        <w:rPr>
          <w:rFonts w:ascii="宋体" w:hAnsi="宋体"/>
          <w:color w:val="auto"/>
          <w:szCs w:val="21"/>
        </w:rPr>
      </w:pPr>
      <w:r>
        <w:rPr>
          <w:rFonts w:hint="eastAsia" w:ascii="宋体" w:hAnsi="宋体"/>
          <w:color w:val="auto"/>
          <w:szCs w:val="21"/>
        </w:rPr>
        <w:t xml:space="preserve">40.2运至施工场内用于工程的材料和待安装设备，由发包人办理保险，并支付保险费用。 </w:t>
      </w:r>
    </w:p>
    <w:p>
      <w:pPr>
        <w:spacing w:line="400" w:lineRule="exact"/>
        <w:ind w:firstLine="359" w:firstLineChars="171"/>
        <w:rPr>
          <w:rFonts w:ascii="宋体" w:hAnsi="宋体"/>
          <w:color w:val="auto"/>
          <w:szCs w:val="21"/>
        </w:rPr>
      </w:pPr>
      <w:r>
        <w:rPr>
          <w:rFonts w:hint="eastAsia" w:ascii="宋体" w:hAnsi="宋体"/>
          <w:color w:val="auto"/>
          <w:szCs w:val="21"/>
        </w:rPr>
        <w:t xml:space="preserve">40.3发包人可以将有关保险事项委托承包人办理，费用由发包人承担。 </w:t>
      </w:r>
    </w:p>
    <w:p>
      <w:pPr>
        <w:spacing w:line="400" w:lineRule="exact"/>
        <w:ind w:firstLine="359" w:firstLineChars="171"/>
        <w:rPr>
          <w:rFonts w:ascii="宋体" w:hAnsi="宋体"/>
          <w:color w:val="auto"/>
          <w:szCs w:val="21"/>
        </w:rPr>
      </w:pPr>
      <w:r>
        <w:rPr>
          <w:rFonts w:hint="eastAsia" w:ascii="宋体" w:hAnsi="宋体"/>
          <w:color w:val="auto"/>
          <w:szCs w:val="21"/>
        </w:rPr>
        <w:t xml:space="preserve">40.4承包人必须为从事危险作业的职工办理意外伤害保险，并为施工场地内自有人员生命财产和施工机械设备办理保险，支付保险费用。 </w:t>
      </w:r>
    </w:p>
    <w:p>
      <w:pPr>
        <w:spacing w:line="400" w:lineRule="exact"/>
        <w:ind w:firstLine="359" w:firstLineChars="171"/>
        <w:rPr>
          <w:rFonts w:ascii="宋体" w:hAnsi="宋体"/>
          <w:color w:val="auto"/>
          <w:szCs w:val="21"/>
        </w:rPr>
      </w:pPr>
      <w:r>
        <w:rPr>
          <w:rFonts w:hint="eastAsia" w:ascii="宋体" w:hAnsi="宋体"/>
          <w:color w:val="auto"/>
          <w:szCs w:val="21"/>
        </w:rPr>
        <w:t xml:space="preserve">40.5保险事故发生时，发包人承包人有责任尽力采取必要的措施，防止或者减少损失。 </w:t>
      </w:r>
    </w:p>
    <w:p>
      <w:pPr>
        <w:spacing w:line="400" w:lineRule="exact"/>
        <w:ind w:firstLine="359" w:firstLineChars="171"/>
        <w:rPr>
          <w:rFonts w:ascii="宋体" w:hAnsi="宋体"/>
          <w:color w:val="auto"/>
          <w:szCs w:val="21"/>
        </w:rPr>
      </w:pPr>
      <w:r>
        <w:rPr>
          <w:rFonts w:hint="eastAsia" w:ascii="宋体" w:hAnsi="宋体"/>
          <w:color w:val="auto"/>
          <w:szCs w:val="21"/>
        </w:rPr>
        <w:t xml:space="preserve">40.6具体投保内容和相关责任，发包人承包人在专用条款中约定。 </w:t>
      </w:r>
    </w:p>
    <w:p>
      <w:pPr>
        <w:spacing w:line="400" w:lineRule="exact"/>
        <w:ind w:firstLine="359" w:firstLineChars="171"/>
        <w:rPr>
          <w:rFonts w:ascii="宋体" w:hAnsi="宋体"/>
          <w:color w:val="auto"/>
          <w:szCs w:val="21"/>
        </w:rPr>
      </w:pPr>
      <w:r>
        <w:rPr>
          <w:rFonts w:hint="eastAsia" w:ascii="宋体" w:hAnsi="宋体"/>
          <w:color w:val="auto"/>
          <w:szCs w:val="21"/>
        </w:rPr>
        <w:t xml:space="preserve">41、担保 </w:t>
      </w:r>
    </w:p>
    <w:p>
      <w:pPr>
        <w:spacing w:line="400" w:lineRule="exact"/>
        <w:ind w:firstLine="359" w:firstLineChars="171"/>
        <w:rPr>
          <w:rFonts w:ascii="宋体" w:hAnsi="宋体"/>
          <w:color w:val="auto"/>
          <w:szCs w:val="21"/>
        </w:rPr>
      </w:pPr>
      <w:r>
        <w:rPr>
          <w:rFonts w:hint="eastAsia" w:ascii="宋体" w:hAnsi="宋体"/>
          <w:color w:val="auto"/>
          <w:szCs w:val="21"/>
        </w:rPr>
        <w:t xml:space="preserve">41.1发包人、承包人为了全面履行合同，应互相提供以下担保： </w:t>
      </w:r>
    </w:p>
    <w:p>
      <w:pPr>
        <w:spacing w:line="400" w:lineRule="exact"/>
        <w:ind w:firstLine="359" w:firstLineChars="171"/>
        <w:rPr>
          <w:rFonts w:ascii="宋体" w:hAnsi="宋体"/>
          <w:color w:val="auto"/>
          <w:szCs w:val="21"/>
        </w:rPr>
      </w:pPr>
      <w:r>
        <w:rPr>
          <w:rFonts w:hint="eastAsia" w:ascii="宋体" w:hAnsi="宋体"/>
          <w:color w:val="auto"/>
          <w:szCs w:val="21"/>
        </w:rPr>
        <w:t xml:space="preserve">(1) 发包人向承包人提供履约担保，按合同约定支付工程价款及履行合同约定的其他义务。 </w:t>
      </w:r>
    </w:p>
    <w:p>
      <w:pPr>
        <w:spacing w:line="400" w:lineRule="exact"/>
        <w:ind w:firstLine="359" w:firstLineChars="171"/>
        <w:rPr>
          <w:rFonts w:ascii="宋体" w:hAnsi="宋体"/>
          <w:color w:val="auto"/>
          <w:szCs w:val="21"/>
        </w:rPr>
      </w:pPr>
      <w:r>
        <w:rPr>
          <w:rFonts w:hint="eastAsia" w:ascii="宋体" w:hAnsi="宋体"/>
          <w:color w:val="auto"/>
          <w:szCs w:val="21"/>
        </w:rPr>
        <w:t xml:space="preserve">(2) 承包人向发包人提供履约担保，按合同约定履行自己的各项义务。 </w:t>
      </w:r>
    </w:p>
    <w:p>
      <w:pPr>
        <w:spacing w:line="400" w:lineRule="exact"/>
        <w:ind w:firstLine="359" w:firstLineChars="171"/>
        <w:rPr>
          <w:rFonts w:ascii="宋体" w:hAnsi="宋体"/>
          <w:color w:val="auto"/>
          <w:szCs w:val="21"/>
        </w:rPr>
      </w:pPr>
      <w:r>
        <w:rPr>
          <w:rFonts w:hint="eastAsia" w:ascii="宋体" w:hAnsi="宋体"/>
          <w:color w:val="auto"/>
          <w:szCs w:val="21"/>
        </w:rPr>
        <w:t xml:space="preserve">41.2 一方违约后，另一方可要求提供担保的第三人承担相应责任。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41.3 提供担保的内容、方式和相关责任，发包人承包人除在专用条款中约定外，被担保方与担保方还应签订担保合同，作为本合同附件。 </w:t>
      </w:r>
    </w:p>
    <w:p>
      <w:pPr>
        <w:spacing w:line="400" w:lineRule="exact"/>
        <w:ind w:firstLine="359" w:firstLineChars="171"/>
        <w:rPr>
          <w:rFonts w:ascii="宋体" w:hAnsi="宋体"/>
          <w:color w:val="auto"/>
          <w:szCs w:val="21"/>
        </w:rPr>
      </w:pPr>
      <w:r>
        <w:rPr>
          <w:rFonts w:hint="eastAsia" w:ascii="宋体" w:hAnsi="宋体"/>
          <w:color w:val="auto"/>
          <w:szCs w:val="21"/>
        </w:rPr>
        <w:t xml:space="preserve">42、专利技术及特殊工艺 </w:t>
      </w:r>
    </w:p>
    <w:p>
      <w:pPr>
        <w:spacing w:line="400" w:lineRule="exact"/>
        <w:ind w:firstLine="359" w:firstLineChars="171"/>
        <w:rPr>
          <w:rFonts w:ascii="宋体" w:hAnsi="宋体"/>
          <w:color w:val="auto"/>
          <w:szCs w:val="21"/>
        </w:rPr>
      </w:pPr>
      <w:r>
        <w:rPr>
          <w:rFonts w:hint="eastAsia" w:ascii="宋体" w:hAnsi="宋体"/>
          <w:color w:val="auto"/>
          <w:szCs w:val="21"/>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pPr>
        <w:spacing w:line="400" w:lineRule="exact"/>
        <w:ind w:firstLine="359" w:firstLineChars="171"/>
        <w:rPr>
          <w:rFonts w:ascii="宋体" w:hAnsi="宋体"/>
          <w:color w:val="auto"/>
          <w:szCs w:val="21"/>
        </w:rPr>
      </w:pPr>
      <w:r>
        <w:rPr>
          <w:rFonts w:hint="eastAsia" w:ascii="宋体" w:hAnsi="宋体"/>
          <w:color w:val="auto"/>
          <w:szCs w:val="21"/>
        </w:rPr>
        <w:t xml:space="preserve">42.2 擅自使用专利技术侵犯他人专利权的，责任者依法承担相应责任。 </w:t>
      </w:r>
    </w:p>
    <w:p>
      <w:pPr>
        <w:spacing w:line="400" w:lineRule="exact"/>
        <w:ind w:firstLine="359" w:firstLineChars="171"/>
        <w:rPr>
          <w:rFonts w:ascii="宋体" w:hAnsi="宋体"/>
          <w:color w:val="auto"/>
          <w:szCs w:val="21"/>
        </w:rPr>
      </w:pPr>
      <w:r>
        <w:rPr>
          <w:rFonts w:hint="eastAsia" w:ascii="宋体" w:hAnsi="宋体"/>
          <w:color w:val="auto"/>
          <w:szCs w:val="21"/>
        </w:rPr>
        <w:t xml:space="preserve">43、文物和地下障碍物 </w:t>
      </w:r>
    </w:p>
    <w:p>
      <w:pPr>
        <w:spacing w:line="400" w:lineRule="exact"/>
        <w:ind w:firstLine="359" w:firstLineChars="171"/>
        <w:rPr>
          <w:rFonts w:ascii="宋体" w:hAnsi="宋体"/>
          <w:color w:val="auto"/>
          <w:szCs w:val="21"/>
        </w:rPr>
      </w:pPr>
      <w:r>
        <w:rPr>
          <w:rFonts w:hint="eastAsia" w:ascii="宋体" w:hAnsi="宋体"/>
          <w:color w:val="auto"/>
          <w:szCs w:val="21"/>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spacing w:line="400" w:lineRule="exact"/>
        <w:ind w:firstLine="359" w:firstLineChars="171"/>
        <w:rPr>
          <w:rFonts w:ascii="宋体" w:hAnsi="宋体"/>
          <w:color w:val="auto"/>
          <w:szCs w:val="21"/>
        </w:rPr>
      </w:pPr>
      <w:r>
        <w:rPr>
          <w:rFonts w:hint="eastAsia" w:ascii="宋体" w:hAnsi="宋体"/>
          <w:color w:val="auto"/>
          <w:szCs w:val="21"/>
        </w:rPr>
        <w:t xml:space="preserve">如发现后隐瞒不报，致使文物遭受破坏，责任者依法承担相应责任。 </w:t>
      </w:r>
    </w:p>
    <w:p>
      <w:pPr>
        <w:spacing w:line="400" w:lineRule="exact"/>
        <w:ind w:firstLine="359" w:firstLineChars="171"/>
        <w:rPr>
          <w:rFonts w:ascii="宋体" w:hAnsi="宋体"/>
          <w:color w:val="auto"/>
          <w:szCs w:val="21"/>
        </w:rPr>
      </w:pPr>
      <w:r>
        <w:rPr>
          <w:rFonts w:hint="eastAsia" w:ascii="宋体" w:hAnsi="宋体"/>
          <w:color w:val="auto"/>
          <w:szCs w:val="21"/>
        </w:rPr>
        <w:t>43.2 施工中发现影响施工的地下障碍物时，承包人应于8小时内以书面形式通知工程师，同时提出</w:t>
      </w:r>
      <w:r>
        <w:rPr>
          <w:rFonts w:ascii="宋体" w:hAnsi="宋体"/>
          <w:color w:val="auto"/>
          <w:szCs w:val="21"/>
        </w:rPr>
        <w:t>处置</w:t>
      </w:r>
      <w:r>
        <w:rPr>
          <w:rFonts w:hint="eastAsia" w:ascii="宋体" w:hAnsi="宋体"/>
          <w:color w:val="auto"/>
          <w:szCs w:val="21"/>
        </w:rPr>
        <w:t>方案，工程师收到</w:t>
      </w:r>
      <w:r>
        <w:rPr>
          <w:rFonts w:ascii="宋体" w:hAnsi="宋体"/>
          <w:color w:val="auto"/>
          <w:szCs w:val="21"/>
        </w:rPr>
        <w:t>处置</w:t>
      </w:r>
      <w:r>
        <w:rPr>
          <w:rFonts w:hint="eastAsia" w:ascii="宋体" w:hAnsi="宋体"/>
          <w:color w:val="auto"/>
          <w:szCs w:val="21"/>
        </w:rPr>
        <w:t>方案后24小时内予以认可或提出修正方案。发包人承担由此发生的费用，顺延延误的工期。</w:t>
      </w:r>
    </w:p>
    <w:p>
      <w:pPr>
        <w:spacing w:line="400" w:lineRule="exact"/>
        <w:ind w:firstLine="359" w:firstLineChars="171"/>
        <w:rPr>
          <w:rFonts w:ascii="宋体" w:hAnsi="宋体"/>
          <w:color w:val="auto"/>
          <w:szCs w:val="21"/>
        </w:rPr>
      </w:pPr>
      <w:r>
        <w:rPr>
          <w:rFonts w:hint="eastAsia" w:ascii="宋体" w:hAnsi="宋体"/>
          <w:color w:val="auto"/>
          <w:szCs w:val="21"/>
        </w:rPr>
        <w:t xml:space="preserve">所发现的地下障碍物有归属单位时，发包人应报请有关部门协同处置。 </w:t>
      </w:r>
    </w:p>
    <w:p>
      <w:pPr>
        <w:spacing w:line="400" w:lineRule="exact"/>
        <w:ind w:firstLine="359" w:firstLineChars="171"/>
        <w:rPr>
          <w:rFonts w:ascii="宋体" w:hAnsi="宋体"/>
          <w:color w:val="auto"/>
          <w:szCs w:val="21"/>
        </w:rPr>
      </w:pPr>
      <w:r>
        <w:rPr>
          <w:rFonts w:hint="eastAsia" w:ascii="宋体" w:hAnsi="宋体"/>
          <w:color w:val="auto"/>
          <w:szCs w:val="21"/>
        </w:rPr>
        <w:t xml:space="preserve">44、合同解除 </w:t>
      </w:r>
    </w:p>
    <w:p>
      <w:pPr>
        <w:spacing w:line="400" w:lineRule="exact"/>
        <w:ind w:firstLine="359" w:firstLineChars="171"/>
        <w:rPr>
          <w:rFonts w:ascii="宋体" w:hAnsi="宋体"/>
          <w:color w:val="auto"/>
          <w:szCs w:val="21"/>
        </w:rPr>
      </w:pPr>
      <w:r>
        <w:rPr>
          <w:rFonts w:hint="eastAsia" w:ascii="宋体" w:hAnsi="宋体"/>
          <w:color w:val="auto"/>
          <w:szCs w:val="21"/>
        </w:rPr>
        <w:t xml:space="preserve">44.1 发包人承包人协商一致，可以解除合同。 </w:t>
      </w:r>
    </w:p>
    <w:p>
      <w:pPr>
        <w:spacing w:line="400" w:lineRule="exact"/>
        <w:ind w:firstLine="359" w:firstLineChars="171"/>
        <w:rPr>
          <w:rFonts w:ascii="宋体" w:hAnsi="宋体"/>
          <w:color w:val="auto"/>
          <w:szCs w:val="21"/>
        </w:rPr>
      </w:pPr>
      <w:r>
        <w:rPr>
          <w:rFonts w:hint="eastAsia" w:ascii="宋体" w:hAnsi="宋体"/>
          <w:color w:val="auto"/>
          <w:szCs w:val="21"/>
        </w:rPr>
        <w:t xml:space="preserve">44.2 发生本通用条款第26.4款情况，停止施工超过56天，发包人仍不支付工程款（进度款），承包人有权解除合同。 </w:t>
      </w:r>
    </w:p>
    <w:p>
      <w:pPr>
        <w:spacing w:line="400" w:lineRule="exact"/>
        <w:ind w:firstLine="359" w:firstLineChars="171"/>
        <w:rPr>
          <w:rFonts w:ascii="宋体" w:hAnsi="宋体"/>
          <w:color w:val="auto"/>
          <w:szCs w:val="21"/>
        </w:rPr>
      </w:pPr>
      <w:r>
        <w:rPr>
          <w:rFonts w:hint="eastAsia" w:ascii="宋体" w:hAnsi="宋体"/>
          <w:color w:val="auto"/>
          <w:szCs w:val="21"/>
        </w:rPr>
        <w:t xml:space="preserve">44.3 发生本通用条款第38.2款禁止的情况，承包人将其承包的全部工程转包给他人或者肢解以后以分包的名义分别转包给他人，发包人有权解除合同。 </w:t>
      </w:r>
    </w:p>
    <w:p>
      <w:pPr>
        <w:spacing w:line="400" w:lineRule="exact"/>
        <w:ind w:firstLine="359" w:firstLineChars="171"/>
        <w:rPr>
          <w:rFonts w:ascii="宋体" w:hAnsi="宋体"/>
          <w:color w:val="auto"/>
          <w:szCs w:val="21"/>
        </w:rPr>
      </w:pPr>
      <w:r>
        <w:rPr>
          <w:rFonts w:hint="eastAsia" w:ascii="宋体" w:hAnsi="宋体"/>
          <w:color w:val="auto"/>
          <w:szCs w:val="21"/>
        </w:rPr>
        <w:t xml:space="preserve">44.4 有下列情形之一的，发包人承包人可以解除合同： </w:t>
      </w:r>
    </w:p>
    <w:p>
      <w:pPr>
        <w:spacing w:line="400" w:lineRule="exact"/>
        <w:ind w:firstLine="359" w:firstLineChars="171"/>
        <w:rPr>
          <w:rFonts w:ascii="宋体" w:hAnsi="宋体"/>
          <w:color w:val="auto"/>
          <w:szCs w:val="21"/>
        </w:rPr>
      </w:pPr>
      <w:r>
        <w:rPr>
          <w:rFonts w:hint="eastAsia" w:ascii="宋体" w:hAnsi="宋体"/>
          <w:color w:val="auto"/>
          <w:szCs w:val="21"/>
        </w:rPr>
        <w:t xml:space="preserve">(1) 因不可抗力致使合同无法履行； </w:t>
      </w:r>
    </w:p>
    <w:p>
      <w:pPr>
        <w:spacing w:line="400" w:lineRule="exact"/>
        <w:ind w:firstLine="359" w:firstLineChars="171"/>
        <w:rPr>
          <w:rFonts w:ascii="宋体" w:hAnsi="宋体"/>
          <w:color w:val="auto"/>
          <w:szCs w:val="21"/>
        </w:rPr>
      </w:pPr>
      <w:r>
        <w:rPr>
          <w:rFonts w:hint="eastAsia" w:ascii="宋体" w:hAnsi="宋体"/>
          <w:color w:val="auto"/>
          <w:szCs w:val="21"/>
        </w:rPr>
        <w:t>(2) 因一方违约（包括因发包人原因造成工程停建或缓建）致使合同无法履行。</w:t>
      </w:r>
    </w:p>
    <w:p>
      <w:pPr>
        <w:spacing w:line="400" w:lineRule="exact"/>
        <w:ind w:firstLine="359" w:firstLineChars="171"/>
        <w:rPr>
          <w:rFonts w:ascii="宋体" w:hAnsi="宋体"/>
          <w:color w:val="auto"/>
          <w:szCs w:val="21"/>
        </w:rPr>
      </w:pPr>
      <w:r>
        <w:rPr>
          <w:rFonts w:hint="eastAsia" w:ascii="宋体" w:hAnsi="宋体"/>
          <w:color w:val="auto"/>
          <w:szCs w:val="21"/>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pPr>
        <w:spacing w:line="400" w:lineRule="exact"/>
        <w:ind w:firstLine="359" w:firstLineChars="171"/>
        <w:rPr>
          <w:rFonts w:ascii="宋体" w:hAnsi="宋体"/>
          <w:color w:val="auto"/>
          <w:szCs w:val="21"/>
        </w:rPr>
      </w:pPr>
      <w:r>
        <w:rPr>
          <w:rFonts w:hint="eastAsia" w:ascii="宋体" w:hAnsi="宋体"/>
          <w:color w:val="auto"/>
          <w:szCs w:val="21"/>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pPr>
        <w:spacing w:line="400" w:lineRule="exact"/>
        <w:ind w:firstLine="359" w:firstLineChars="171"/>
        <w:rPr>
          <w:rFonts w:ascii="宋体" w:hAnsi="宋体"/>
          <w:color w:val="auto"/>
          <w:szCs w:val="21"/>
        </w:rPr>
      </w:pPr>
      <w:r>
        <w:rPr>
          <w:rFonts w:hint="eastAsia" w:ascii="宋体" w:hAnsi="宋体"/>
          <w:color w:val="auto"/>
          <w:szCs w:val="21"/>
        </w:rPr>
        <w:t xml:space="preserve">44.7合同解除后，不影响三方在合同中约定的结算和清理条款的效力。 </w:t>
      </w:r>
    </w:p>
    <w:p>
      <w:pPr>
        <w:spacing w:line="400" w:lineRule="exact"/>
        <w:ind w:firstLine="359" w:firstLineChars="171"/>
        <w:rPr>
          <w:rFonts w:ascii="宋体" w:hAnsi="宋体"/>
          <w:color w:val="auto"/>
          <w:szCs w:val="21"/>
        </w:rPr>
      </w:pPr>
      <w:r>
        <w:rPr>
          <w:rFonts w:hint="eastAsia" w:ascii="宋体" w:hAnsi="宋体"/>
          <w:color w:val="auto"/>
          <w:szCs w:val="21"/>
        </w:rPr>
        <w:t xml:space="preserve">45、合同生效与终止 </w:t>
      </w:r>
    </w:p>
    <w:p>
      <w:pPr>
        <w:spacing w:line="400" w:lineRule="exact"/>
        <w:ind w:firstLine="359" w:firstLineChars="171"/>
        <w:rPr>
          <w:rFonts w:ascii="宋体" w:hAnsi="宋体"/>
          <w:color w:val="auto"/>
          <w:szCs w:val="21"/>
        </w:rPr>
      </w:pPr>
      <w:r>
        <w:rPr>
          <w:rFonts w:hint="eastAsia" w:ascii="宋体" w:hAnsi="宋体"/>
          <w:color w:val="auto"/>
          <w:szCs w:val="21"/>
        </w:rPr>
        <w:t xml:space="preserve">45.1三方在协议书中约定合同生效方式。 </w:t>
      </w:r>
    </w:p>
    <w:p>
      <w:pPr>
        <w:spacing w:line="400" w:lineRule="exact"/>
        <w:ind w:firstLine="359" w:firstLineChars="171"/>
        <w:rPr>
          <w:rFonts w:ascii="宋体" w:hAnsi="宋体"/>
          <w:color w:val="auto"/>
          <w:szCs w:val="21"/>
        </w:rPr>
      </w:pPr>
      <w:r>
        <w:rPr>
          <w:rFonts w:hint="eastAsia" w:ascii="宋体" w:hAnsi="宋体"/>
          <w:color w:val="auto"/>
          <w:szCs w:val="21"/>
        </w:rPr>
        <w:t xml:space="preserve">45.2除本通用条款第34条外，发包人承包人履行合同全部义务，竣工结算价款支付完毕，承包人向发包人交付竣工工程后，本合同即告终止。 </w:t>
      </w:r>
    </w:p>
    <w:p>
      <w:pPr>
        <w:spacing w:line="400" w:lineRule="exact"/>
        <w:ind w:firstLine="359" w:firstLineChars="171"/>
        <w:rPr>
          <w:rFonts w:ascii="宋体" w:hAnsi="宋体"/>
          <w:color w:val="auto"/>
          <w:szCs w:val="21"/>
        </w:rPr>
      </w:pPr>
      <w:r>
        <w:rPr>
          <w:rFonts w:hint="eastAsia" w:ascii="宋体" w:hAnsi="宋体"/>
          <w:color w:val="auto"/>
          <w:szCs w:val="21"/>
        </w:rPr>
        <w:t xml:space="preserve">45.3合同的权利义务终止后，发包人承包人应当遵循诚实信用原则，履行通知、协助、保密等义务。 </w:t>
      </w:r>
    </w:p>
    <w:p>
      <w:pPr>
        <w:spacing w:line="400" w:lineRule="exact"/>
        <w:ind w:firstLine="359" w:firstLineChars="171"/>
        <w:rPr>
          <w:rFonts w:ascii="宋体" w:hAnsi="宋体"/>
          <w:color w:val="auto"/>
          <w:szCs w:val="21"/>
        </w:rPr>
      </w:pPr>
      <w:r>
        <w:rPr>
          <w:rFonts w:hint="eastAsia" w:ascii="宋体" w:hAnsi="宋体"/>
          <w:color w:val="auto"/>
          <w:szCs w:val="21"/>
        </w:rPr>
        <w:t xml:space="preserve">46、合同份数 </w:t>
      </w:r>
    </w:p>
    <w:p>
      <w:pPr>
        <w:spacing w:line="400" w:lineRule="exact"/>
        <w:ind w:firstLine="359" w:firstLineChars="171"/>
        <w:rPr>
          <w:rFonts w:ascii="宋体" w:hAnsi="宋体"/>
          <w:color w:val="auto"/>
          <w:szCs w:val="21"/>
        </w:rPr>
      </w:pPr>
      <w:r>
        <w:rPr>
          <w:rFonts w:hint="eastAsia" w:ascii="宋体" w:hAnsi="宋体"/>
          <w:color w:val="auto"/>
          <w:szCs w:val="21"/>
        </w:rPr>
        <w:t xml:space="preserve">46.1本合同正本三份，具有同等效力，由发包人、项目建设管理单位、承包人分别保存一份。 </w:t>
      </w:r>
    </w:p>
    <w:p>
      <w:pPr>
        <w:spacing w:line="400" w:lineRule="exact"/>
        <w:ind w:firstLine="359" w:firstLineChars="171"/>
        <w:rPr>
          <w:rFonts w:ascii="宋体" w:hAnsi="宋体"/>
          <w:color w:val="auto"/>
          <w:szCs w:val="21"/>
        </w:rPr>
      </w:pPr>
      <w:r>
        <w:rPr>
          <w:rFonts w:hint="eastAsia" w:ascii="宋体" w:hAnsi="宋体"/>
          <w:color w:val="auto"/>
          <w:szCs w:val="21"/>
        </w:rPr>
        <w:t xml:space="preserve">46.2本合同副本份数，由三方根据需要在专用条款内约定。 </w:t>
      </w:r>
    </w:p>
    <w:p>
      <w:pPr>
        <w:spacing w:line="400" w:lineRule="exact"/>
        <w:ind w:firstLine="359" w:firstLineChars="171"/>
        <w:rPr>
          <w:rFonts w:ascii="宋体" w:hAnsi="宋体"/>
          <w:color w:val="auto"/>
          <w:szCs w:val="21"/>
        </w:rPr>
      </w:pPr>
      <w:r>
        <w:rPr>
          <w:rFonts w:hint="eastAsia" w:ascii="宋体" w:hAnsi="宋体"/>
          <w:color w:val="auto"/>
          <w:szCs w:val="21"/>
        </w:rPr>
        <w:t xml:space="preserve">47、补充条款 </w:t>
      </w:r>
    </w:p>
    <w:p>
      <w:pPr>
        <w:spacing w:line="400" w:lineRule="exact"/>
        <w:ind w:firstLine="359" w:firstLineChars="171"/>
        <w:rPr>
          <w:rFonts w:ascii="宋体" w:hAnsi="宋体"/>
          <w:color w:val="auto"/>
          <w:szCs w:val="21"/>
        </w:rPr>
      </w:pPr>
      <w:r>
        <w:rPr>
          <w:rFonts w:hint="eastAsia" w:ascii="宋体" w:hAnsi="宋体"/>
          <w:color w:val="auto"/>
          <w:szCs w:val="21"/>
        </w:rPr>
        <w:t>三方根据有关法律、行政法规规定，结合工程实际，经协商一致后，可对本通用条款内容具体化，补充或修改，在专用条款内约定。</w:t>
      </w:r>
    </w:p>
    <w:p>
      <w:pPr>
        <w:pStyle w:val="5"/>
        <w:bidi w:val="0"/>
        <w:rPr>
          <w:rFonts w:ascii="宋体" w:hAnsi="宋体"/>
          <w:b/>
          <w:color w:val="auto"/>
          <w:sz w:val="28"/>
          <w:szCs w:val="28"/>
        </w:rPr>
      </w:pPr>
      <w:r>
        <w:rPr>
          <w:rFonts w:hint="eastAsia" w:ascii="宋体" w:hAnsi="宋体"/>
          <w:color w:val="auto"/>
        </w:rPr>
        <w:br w:type="page"/>
      </w:r>
      <w:r>
        <w:rPr>
          <w:rFonts w:hint="eastAsia" w:ascii="宋体" w:hAnsi="宋体"/>
          <w:b/>
          <w:color w:val="auto"/>
          <w:sz w:val="28"/>
          <w:szCs w:val="28"/>
        </w:rPr>
        <w:t>第三部分  专用条款</w:t>
      </w:r>
    </w:p>
    <w:p>
      <w:pPr>
        <w:snapToGrid w:val="0"/>
        <w:spacing w:line="500" w:lineRule="exact"/>
        <w:ind w:firstLine="397"/>
        <w:rPr>
          <w:rFonts w:ascii="宋体" w:hAnsi="宋体"/>
          <w:b/>
          <w:color w:val="auto"/>
          <w:sz w:val="24"/>
        </w:rPr>
      </w:pPr>
    </w:p>
    <w:p>
      <w:pPr>
        <w:snapToGrid w:val="0"/>
        <w:spacing w:line="500" w:lineRule="exact"/>
        <w:ind w:firstLine="397"/>
        <w:rPr>
          <w:rFonts w:ascii="宋体" w:hAnsi="宋体"/>
          <w:b/>
          <w:color w:val="auto"/>
          <w:sz w:val="24"/>
        </w:rPr>
      </w:pPr>
      <w:r>
        <w:rPr>
          <w:rFonts w:hint="eastAsia" w:ascii="宋体" w:hAnsi="宋体"/>
          <w:b/>
          <w:color w:val="auto"/>
          <w:sz w:val="24"/>
        </w:rPr>
        <w:t>一、词语定义及合同文件</w:t>
      </w:r>
    </w:p>
    <w:p>
      <w:pPr>
        <w:snapToGrid w:val="0"/>
        <w:spacing w:line="500" w:lineRule="exact"/>
        <w:ind w:firstLine="482" w:firstLineChars="200"/>
        <w:rPr>
          <w:rFonts w:ascii="宋体" w:hAnsi="宋体"/>
          <w:color w:val="auto"/>
          <w:sz w:val="24"/>
        </w:rPr>
      </w:pPr>
      <w:r>
        <w:rPr>
          <w:rFonts w:hint="eastAsia" w:ascii="宋体" w:hAnsi="宋体"/>
          <w:b/>
          <w:bCs/>
          <w:color w:val="auto"/>
          <w:sz w:val="24"/>
        </w:rPr>
        <w:t>1.词语定义</w:t>
      </w:r>
      <w:r>
        <w:rPr>
          <w:rFonts w:hint="eastAsia" w:ascii="宋体" w:hAnsi="宋体"/>
          <w:color w:val="auto"/>
          <w:sz w:val="24"/>
        </w:rPr>
        <w:t xml:space="preserve"> </w:t>
      </w:r>
    </w:p>
    <w:p>
      <w:pPr>
        <w:snapToGrid w:val="0"/>
        <w:spacing w:line="500" w:lineRule="exact"/>
        <w:ind w:firstLine="480" w:firstLineChars="200"/>
        <w:rPr>
          <w:rFonts w:ascii="宋体" w:hAnsi="宋体"/>
          <w:color w:val="auto"/>
          <w:sz w:val="24"/>
        </w:rPr>
      </w:pPr>
      <w:r>
        <w:rPr>
          <w:rFonts w:hint="eastAsia" w:ascii="宋体" w:hAnsi="宋体"/>
          <w:color w:val="auto"/>
          <w:sz w:val="24"/>
        </w:rPr>
        <w:t>1.6 设计单位</w:t>
      </w:r>
    </w:p>
    <w:p>
      <w:pPr>
        <w:snapToGrid w:val="0"/>
        <w:spacing w:line="500" w:lineRule="exact"/>
        <w:ind w:firstLine="480" w:firstLineChars="200"/>
        <w:rPr>
          <w:rFonts w:ascii="宋体" w:hAnsi="宋体"/>
          <w:color w:val="auto"/>
          <w:sz w:val="24"/>
        </w:rPr>
      </w:pPr>
      <w:r>
        <w:rPr>
          <w:rFonts w:hint="eastAsia" w:ascii="宋体" w:hAnsi="宋体"/>
          <w:color w:val="auto"/>
          <w:sz w:val="24"/>
        </w:rPr>
        <w:t>本合同工程的设计单位是：</w:t>
      </w:r>
      <w:r>
        <w:rPr>
          <w:rFonts w:hint="eastAsia" w:ascii="宋体" w:hAnsi="宋体"/>
          <w:color w:val="auto"/>
          <w:sz w:val="24"/>
          <w:u w:val="single"/>
        </w:rPr>
        <w:t xml:space="preserve"> 中机中联工程有限公司  </w:t>
      </w:r>
      <w:r>
        <w:rPr>
          <w:rFonts w:hint="eastAsia" w:ascii="宋体" w:hAnsi="宋体"/>
          <w:color w:val="auto"/>
          <w:sz w:val="24"/>
        </w:rPr>
        <w:t>。</w:t>
      </w:r>
    </w:p>
    <w:p>
      <w:pPr>
        <w:snapToGrid w:val="0"/>
        <w:spacing w:line="500" w:lineRule="exact"/>
        <w:ind w:firstLine="480" w:firstLineChars="200"/>
        <w:rPr>
          <w:rFonts w:ascii="宋体" w:hAnsi="宋体"/>
          <w:color w:val="auto"/>
          <w:sz w:val="24"/>
        </w:rPr>
      </w:pPr>
      <w:r>
        <w:rPr>
          <w:rFonts w:hint="eastAsia" w:ascii="宋体" w:hAnsi="宋体"/>
          <w:color w:val="auto"/>
          <w:sz w:val="24"/>
        </w:rPr>
        <w:t>1.7 监理单位</w:t>
      </w:r>
    </w:p>
    <w:p>
      <w:pPr>
        <w:snapToGrid w:val="0"/>
        <w:spacing w:line="500" w:lineRule="exact"/>
        <w:ind w:firstLine="480" w:firstLineChars="200"/>
        <w:rPr>
          <w:rFonts w:ascii="宋体" w:hAnsi="宋体"/>
          <w:color w:val="auto"/>
          <w:sz w:val="24"/>
        </w:rPr>
      </w:pPr>
      <w:r>
        <w:rPr>
          <w:rFonts w:hint="eastAsia" w:ascii="宋体" w:hAnsi="宋体"/>
          <w:color w:val="auto"/>
          <w:sz w:val="24"/>
        </w:rPr>
        <w:t>本合同工程的监理单位是：</w:t>
      </w:r>
      <w:r>
        <w:rPr>
          <w:rFonts w:hint="eastAsia" w:ascii="宋体" w:hAnsi="宋体"/>
          <w:color w:val="auto"/>
          <w:sz w:val="24"/>
          <w:u w:val="single"/>
        </w:rPr>
        <w:t xml:space="preserve"> 广东财贸建设工程顾问有限公司  </w:t>
      </w:r>
      <w:r>
        <w:rPr>
          <w:rFonts w:hint="eastAsia" w:ascii="宋体" w:hAnsi="宋体"/>
          <w:color w:val="auto"/>
          <w:sz w:val="24"/>
        </w:rPr>
        <w:t>。</w:t>
      </w:r>
    </w:p>
    <w:p>
      <w:pPr>
        <w:snapToGrid w:val="0"/>
        <w:spacing w:line="500" w:lineRule="exact"/>
        <w:ind w:firstLine="480" w:firstLineChars="200"/>
        <w:rPr>
          <w:rFonts w:ascii="宋体" w:hAnsi="宋体"/>
          <w:color w:val="auto"/>
          <w:sz w:val="24"/>
        </w:rPr>
      </w:pPr>
      <w:r>
        <w:rPr>
          <w:rFonts w:hint="eastAsia" w:ascii="宋体" w:hAnsi="宋体"/>
          <w:color w:val="auto"/>
          <w:sz w:val="24"/>
        </w:rPr>
        <w:t>1.24招标控制价：指经招标人确定的最高投标限价，并在广州公共资源交易中心开发区、黄埔区交易部公示。</w:t>
      </w:r>
    </w:p>
    <w:p>
      <w:pPr>
        <w:snapToGrid w:val="0"/>
        <w:spacing w:line="500" w:lineRule="exact"/>
        <w:ind w:firstLine="480" w:firstLineChars="200"/>
        <w:rPr>
          <w:rFonts w:ascii="宋体" w:hAnsi="宋体"/>
          <w:color w:val="auto"/>
          <w:sz w:val="24"/>
        </w:rPr>
      </w:pPr>
      <w:r>
        <w:rPr>
          <w:rFonts w:hint="eastAsia" w:ascii="宋体" w:hAnsi="宋体"/>
          <w:color w:val="auto"/>
          <w:sz w:val="24"/>
        </w:rPr>
        <w:t>1.25中标下浮率：中标下浮率=（1-中标价格÷招标控制价）×100%,式中的中标价格及招标控制价均不含不可竞争的绿色施工安全防护措施费及暂列金额。</w:t>
      </w:r>
    </w:p>
    <w:p>
      <w:pPr>
        <w:snapToGrid w:val="0"/>
        <w:spacing w:line="500" w:lineRule="exact"/>
        <w:ind w:firstLine="480" w:firstLineChars="200"/>
        <w:rPr>
          <w:rFonts w:ascii="宋体" w:hAnsi="宋体"/>
          <w:color w:val="auto"/>
          <w:sz w:val="24"/>
        </w:rPr>
      </w:pPr>
      <w:r>
        <w:rPr>
          <w:rFonts w:hint="eastAsia" w:ascii="宋体" w:hAnsi="宋体"/>
          <w:color w:val="auto"/>
          <w:sz w:val="24"/>
        </w:rPr>
        <w:t>1.26工人工资比例=中标的人工费金额÷中标价格，本项目工人工资比例为：</w:t>
      </w:r>
      <w:r>
        <w:rPr>
          <w:rFonts w:hint="eastAsia" w:ascii="宋体" w:hAnsi="宋体"/>
          <w:color w:val="auto"/>
          <w:sz w:val="24"/>
          <w:u w:val="single"/>
        </w:rPr>
        <w:t xml:space="preserve">      </w:t>
      </w:r>
      <w:r>
        <w:rPr>
          <w:rFonts w:hint="eastAsia" w:ascii="宋体" w:hAnsi="宋体"/>
          <w:color w:val="auto"/>
          <w:sz w:val="24"/>
        </w:rPr>
        <w:t>。</w:t>
      </w:r>
    </w:p>
    <w:p>
      <w:pPr>
        <w:snapToGrid w:val="0"/>
        <w:spacing w:line="50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、合同文件及解释顺序</w:t>
      </w:r>
    </w:p>
    <w:p>
      <w:pPr>
        <w:spacing w:line="500" w:lineRule="exact"/>
        <w:ind w:firstLine="480" w:firstLineChars="200"/>
        <w:rPr>
          <w:rFonts w:ascii="宋体" w:hAnsi="宋体"/>
          <w:color w:val="auto"/>
          <w:sz w:val="24"/>
        </w:rPr>
      </w:pPr>
      <w:r>
        <w:rPr>
          <w:rFonts w:hint="eastAsia" w:ascii="宋体" w:hAnsi="宋体"/>
          <w:color w:val="auto"/>
          <w:sz w:val="24"/>
        </w:rPr>
        <w:t>2.1合同文件组成及解释顺序：</w:t>
      </w:r>
      <w:r>
        <w:rPr>
          <w:rFonts w:ascii="宋体" w:hAnsi="宋体"/>
          <w:color w:val="auto"/>
          <w:sz w:val="24"/>
          <w:u w:val="single"/>
        </w:rPr>
        <w:t>1</w:t>
      </w:r>
      <w:r>
        <w:rPr>
          <w:rFonts w:hint="eastAsia" w:ascii="宋体" w:hAnsi="宋体"/>
          <w:color w:val="auto"/>
          <w:sz w:val="24"/>
          <w:u w:val="single"/>
        </w:rPr>
        <w:t>、本合同履行期间发包人、项目建设管理单位与承包人</w:t>
      </w:r>
      <w:r>
        <w:rPr>
          <w:rFonts w:hint="eastAsia" w:ascii="宋体" w:hAnsi="宋体"/>
          <w:color w:val="auto"/>
          <w:szCs w:val="21"/>
          <w:u w:val="single"/>
        </w:rPr>
        <w:t>三</w:t>
      </w:r>
      <w:r>
        <w:rPr>
          <w:rFonts w:hint="eastAsia" w:ascii="宋体" w:hAnsi="宋体"/>
          <w:color w:val="auto"/>
          <w:sz w:val="24"/>
          <w:u w:val="single"/>
        </w:rPr>
        <w:t>方签订的补充合同（协议）或修正文件；2、本合同协议书；3、国家、广东省、广州市、广州开发区黄埔区关于本工程施工的有关文件（发包人在收到后尽快通报给承包人）；4、建设业主针对本工程建设管理的各项制度、规定；5、中标通知书；6、本合同专用条款；7、招标文件及附件（包括补充、修改、澄清文件及答疑纪要等）；</w:t>
      </w:r>
      <w:r>
        <w:rPr>
          <w:rFonts w:ascii="宋体" w:hAnsi="宋体"/>
          <w:color w:val="auto"/>
          <w:sz w:val="24"/>
          <w:u w:val="single"/>
        </w:rPr>
        <w:t xml:space="preserve"> </w:t>
      </w:r>
      <w:r>
        <w:rPr>
          <w:rFonts w:hint="eastAsia" w:ascii="宋体" w:hAnsi="宋体"/>
          <w:color w:val="auto"/>
          <w:sz w:val="24"/>
          <w:u w:val="single"/>
        </w:rPr>
        <w:t>8、本合同通用条款；9、投标文件及附件；10、标准、规范和其他有关技术文件；11、图纸；12、工程量清单；13、合同附件（工程质量保修责任书、标函承诺书、项目负责人驻场承诺书、工程建设廉政协议书等）。</w:t>
      </w:r>
    </w:p>
    <w:p>
      <w:pPr>
        <w:snapToGrid w:val="0"/>
        <w:spacing w:line="500" w:lineRule="exact"/>
        <w:ind w:firstLine="397"/>
        <w:rPr>
          <w:rFonts w:ascii="宋体" w:hAnsi="宋体"/>
          <w:b/>
          <w:color w:val="auto"/>
          <w:sz w:val="24"/>
        </w:rPr>
      </w:pPr>
      <w:r>
        <w:rPr>
          <w:rFonts w:ascii="宋体" w:hAnsi="宋体"/>
          <w:b/>
          <w:color w:val="auto"/>
          <w:sz w:val="24"/>
        </w:rPr>
        <w:t>3</w:t>
      </w:r>
      <w:r>
        <w:rPr>
          <w:rFonts w:hint="eastAsia" w:ascii="宋体" w:hAnsi="宋体"/>
          <w:b/>
          <w:color w:val="auto"/>
          <w:sz w:val="24"/>
        </w:rPr>
        <w:t>、语言文字和适用法律、标准及规范</w:t>
      </w:r>
    </w:p>
    <w:p>
      <w:pPr>
        <w:snapToGrid w:val="0"/>
        <w:spacing w:line="500" w:lineRule="exact"/>
        <w:ind w:firstLine="397"/>
        <w:rPr>
          <w:rFonts w:ascii="宋体" w:hAnsi="宋体"/>
          <w:color w:val="auto"/>
          <w:sz w:val="24"/>
        </w:rPr>
      </w:pPr>
      <w:r>
        <w:rPr>
          <w:rFonts w:ascii="宋体" w:hAnsi="宋体"/>
          <w:color w:val="auto"/>
          <w:sz w:val="24"/>
        </w:rPr>
        <w:t xml:space="preserve">3.1 </w:t>
      </w:r>
      <w:r>
        <w:rPr>
          <w:rFonts w:hint="eastAsia" w:ascii="宋体" w:hAnsi="宋体"/>
          <w:color w:val="auto"/>
          <w:sz w:val="24"/>
        </w:rPr>
        <w:t>本合同除使用汉语外，还使用</w:t>
      </w:r>
      <w:r>
        <w:rPr>
          <w:rFonts w:ascii="宋体" w:hAnsi="宋体"/>
          <w:color w:val="auto"/>
          <w:sz w:val="24"/>
          <w:u w:val="single"/>
        </w:rPr>
        <w:t xml:space="preserve">        /         </w:t>
      </w:r>
      <w:r>
        <w:rPr>
          <w:rFonts w:hint="eastAsia" w:ascii="宋体" w:hAnsi="宋体"/>
          <w:color w:val="auto"/>
          <w:sz w:val="24"/>
        </w:rPr>
        <w:t>语言文字。</w:t>
      </w:r>
    </w:p>
    <w:p>
      <w:pPr>
        <w:snapToGrid w:val="0"/>
        <w:spacing w:line="500" w:lineRule="exact"/>
        <w:ind w:firstLine="397"/>
        <w:rPr>
          <w:rFonts w:ascii="宋体" w:hAnsi="宋体"/>
          <w:color w:val="auto"/>
          <w:sz w:val="24"/>
        </w:rPr>
      </w:pPr>
      <w:r>
        <w:rPr>
          <w:rFonts w:ascii="宋体" w:hAnsi="宋体"/>
          <w:color w:val="auto"/>
          <w:sz w:val="24"/>
        </w:rPr>
        <w:t xml:space="preserve">3.2 </w:t>
      </w:r>
      <w:r>
        <w:rPr>
          <w:rFonts w:hint="eastAsia" w:ascii="宋体" w:hAnsi="宋体"/>
          <w:color w:val="auto"/>
          <w:sz w:val="24"/>
        </w:rPr>
        <w:t>适用法律和法规</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需要明示的法律、行政法规：</w:t>
      </w:r>
      <w:r>
        <w:rPr>
          <w:rFonts w:hint="eastAsia" w:ascii="宋体" w:hAnsi="宋体"/>
          <w:color w:val="auto"/>
          <w:sz w:val="24"/>
          <w:u w:val="single"/>
        </w:rPr>
        <w:t>按照现行的法律、法规</w:t>
      </w:r>
      <w:r>
        <w:rPr>
          <w:rFonts w:hint="eastAsia" w:ascii="宋体" w:hAnsi="宋体"/>
          <w:color w:val="auto"/>
          <w:sz w:val="24"/>
        </w:rPr>
        <w:t>。</w:t>
      </w:r>
    </w:p>
    <w:p>
      <w:pPr>
        <w:snapToGrid w:val="0"/>
        <w:spacing w:line="500" w:lineRule="exact"/>
        <w:ind w:firstLine="397"/>
        <w:rPr>
          <w:rFonts w:ascii="宋体" w:hAnsi="宋体"/>
          <w:color w:val="auto"/>
          <w:sz w:val="24"/>
        </w:rPr>
      </w:pPr>
      <w:r>
        <w:rPr>
          <w:rFonts w:ascii="宋体" w:hAnsi="宋体"/>
          <w:color w:val="auto"/>
          <w:sz w:val="24"/>
        </w:rPr>
        <w:t xml:space="preserve">3.3 </w:t>
      </w:r>
      <w:r>
        <w:rPr>
          <w:rFonts w:hint="eastAsia" w:ascii="宋体" w:hAnsi="宋体"/>
          <w:color w:val="auto"/>
          <w:sz w:val="24"/>
        </w:rPr>
        <w:t>适用标准、规范</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适用标准、规范的名称：</w:t>
      </w:r>
      <w:r>
        <w:rPr>
          <w:rFonts w:hint="eastAsia" w:ascii="宋体" w:hAnsi="宋体"/>
          <w:color w:val="auto"/>
          <w:sz w:val="24"/>
          <w:u w:val="single"/>
        </w:rPr>
        <w:t>相应工种现行施工规范。</w:t>
      </w:r>
    </w:p>
    <w:p>
      <w:pPr>
        <w:snapToGrid w:val="0"/>
        <w:spacing w:line="500" w:lineRule="exact"/>
        <w:ind w:firstLine="480" w:firstLineChars="200"/>
        <w:rPr>
          <w:rFonts w:ascii="宋体" w:hAnsi="宋体"/>
          <w:color w:val="auto"/>
          <w:sz w:val="24"/>
        </w:rPr>
      </w:pPr>
      <w:r>
        <w:rPr>
          <w:rFonts w:hint="eastAsia" w:ascii="宋体" w:hAnsi="宋体"/>
          <w:color w:val="auto"/>
          <w:sz w:val="24"/>
        </w:rPr>
        <w:t>发包人提供标准、规范的时间：</w:t>
      </w:r>
      <w:r>
        <w:rPr>
          <w:rFonts w:ascii="宋体" w:hAnsi="宋体"/>
          <w:color w:val="auto"/>
          <w:sz w:val="24"/>
          <w:u w:val="single"/>
        </w:rPr>
        <w:t xml:space="preserve">            /           </w:t>
      </w:r>
      <w:r>
        <w:rPr>
          <w:rFonts w:hint="eastAsia" w:ascii="宋体" w:hAnsi="宋体"/>
          <w:color w:val="auto"/>
          <w:sz w:val="24"/>
        </w:rPr>
        <w:t>。</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国内没有相应标准、规范时的约定：</w:t>
      </w:r>
      <w:r>
        <w:rPr>
          <w:rFonts w:hint="eastAsia" w:ascii="宋体" w:hAnsi="宋体"/>
          <w:color w:val="auto"/>
          <w:sz w:val="24"/>
          <w:u w:val="single"/>
        </w:rPr>
        <w:t>按施工图纸，招标文件和广州开发区相关规定及答疑纪要的要求执行。</w:t>
      </w:r>
      <w:r>
        <w:rPr>
          <w:rFonts w:ascii="宋体" w:hAnsi="宋体"/>
          <w:color w:val="auto"/>
          <w:sz w:val="24"/>
          <w:u w:val="single"/>
        </w:rPr>
        <w:t xml:space="preserve">    </w:t>
      </w:r>
    </w:p>
    <w:p>
      <w:pPr>
        <w:snapToGrid w:val="0"/>
        <w:spacing w:line="500" w:lineRule="exact"/>
        <w:ind w:firstLine="397"/>
        <w:rPr>
          <w:rFonts w:ascii="宋体" w:hAnsi="宋体"/>
          <w:b/>
          <w:color w:val="auto"/>
          <w:sz w:val="24"/>
        </w:rPr>
      </w:pPr>
      <w:r>
        <w:rPr>
          <w:rFonts w:ascii="宋体" w:hAnsi="宋体"/>
          <w:b/>
          <w:color w:val="auto"/>
          <w:sz w:val="24"/>
        </w:rPr>
        <w:t>4</w:t>
      </w:r>
      <w:r>
        <w:rPr>
          <w:rFonts w:hint="eastAsia" w:ascii="宋体" w:hAnsi="宋体"/>
          <w:b/>
          <w:color w:val="auto"/>
          <w:sz w:val="24"/>
        </w:rPr>
        <w:t>、图纸</w:t>
      </w:r>
    </w:p>
    <w:p>
      <w:pPr>
        <w:snapToGrid w:val="0"/>
        <w:spacing w:line="500" w:lineRule="exact"/>
        <w:ind w:firstLine="360" w:firstLineChars="150"/>
        <w:rPr>
          <w:rFonts w:ascii="宋体" w:hAnsi="宋体"/>
          <w:color w:val="auto"/>
          <w:sz w:val="24"/>
          <w:u w:val="single"/>
        </w:rPr>
      </w:pPr>
      <w:r>
        <w:rPr>
          <w:rFonts w:ascii="宋体" w:hAnsi="宋体"/>
          <w:color w:val="auto"/>
          <w:sz w:val="24"/>
        </w:rPr>
        <w:t xml:space="preserve">4.1 </w:t>
      </w:r>
      <w:r>
        <w:rPr>
          <w:rFonts w:hint="eastAsia" w:ascii="宋体" w:hAnsi="宋体"/>
          <w:color w:val="auto"/>
          <w:sz w:val="24"/>
        </w:rPr>
        <w:t>发包人向承包人提供图纸日期和套数：</w:t>
      </w:r>
      <w:r>
        <w:rPr>
          <w:rFonts w:hint="eastAsia" w:ascii="宋体" w:hAnsi="宋体"/>
          <w:color w:val="auto"/>
          <w:sz w:val="24"/>
          <w:u w:val="single"/>
        </w:rPr>
        <w:t>开工前提供肆套图纸。</w:t>
      </w:r>
    </w:p>
    <w:p>
      <w:pPr>
        <w:snapToGrid w:val="0"/>
        <w:spacing w:line="500" w:lineRule="exact"/>
        <w:ind w:left="997" w:leftChars="132" w:hanging="720" w:hangingChars="300"/>
        <w:rPr>
          <w:rFonts w:ascii="宋体" w:hAnsi="宋体"/>
          <w:color w:val="auto"/>
          <w:sz w:val="24"/>
          <w:u w:val="single"/>
        </w:rPr>
      </w:pPr>
      <w:r>
        <w:rPr>
          <w:rFonts w:hint="eastAsia" w:ascii="宋体" w:hAnsi="宋体"/>
          <w:color w:val="auto"/>
          <w:sz w:val="24"/>
        </w:rPr>
        <w:t>发包人对图纸的保密要求：</w:t>
      </w:r>
      <w:r>
        <w:rPr>
          <w:rFonts w:hint="eastAsia" w:ascii="宋体" w:hAnsi="宋体"/>
          <w:color w:val="auto"/>
          <w:sz w:val="24"/>
          <w:u w:val="single"/>
        </w:rPr>
        <w:t>按本合同通用条款</w:t>
      </w:r>
      <w:r>
        <w:rPr>
          <w:rFonts w:hint="eastAsia" w:ascii="宋体" w:hAnsi="宋体"/>
          <w:color w:val="auto"/>
          <w:sz w:val="24"/>
        </w:rPr>
        <w:t>。</w:t>
      </w:r>
    </w:p>
    <w:p>
      <w:pPr>
        <w:snapToGrid w:val="0"/>
        <w:spacing w:line="500" w:lineRule="exact"/>
        <w:ind w:firstLine="397"/>
        <w:rPr>
          <w:rFonts w:ascii="宋体" w:hAnsi="宋体"/>
          <w:color w:val="auto"/>
          <w:sz w:val="24"/>
        </w:rPr>
      </w:pPr>
      <w:r>
        <w:rPr>
          <w:rFonts w:hint="eastAsia" w:ascii="宋体" w:hAnsi="宋体"/>
          <w:color w:val="auto"/>
          <w:sz w:val="24"/>
        </w:rPr>
        <w:t>使用国外图纸的要求及费用承担：</w:t>
      </w:r>
      <w:r>
        <w:rPr>
          <w:rFonts w:hint="eastAsia" w:ascii="宋体" w:hAnsi="宋体"/>
          <w:color w:val="auto"/>
          <w:sz w:val="24"/>
          <w:u w:val="single"/>
        </w:rPr>
        <w:t xml:space="preserve">    /    </w:t>
      </w:r>
    </w:p>
    <w:p>
      <w:pPr>
        <w:snapToGrid w:val="0"/>
        <w:spacing w:line="500" w:lineRule="exact"/>
        <w:ind w:firstLine="397"/>
        <w:rPr>
          <w:rFonts w:ascii="宋体" w:hAnsi="宋体"/>
          <w:b/>
          <w:color w:val="auto"/>
          <w:sz w:val="24"/>
        </w:rPr>
      </w:pPr>
      <w:r>
        <w:rPr>
          <w:rFonts w:hint="eastAsia" w:ascii="宋体" w:hAnsi="宋体"/>
          <w:b/>
          <w:color w:val="auto"/>
          <w:sz w:val="24"/>
        </w:rPr>
        <w:t>二、三方一般权利和义务</w:t>
      </w:r>
    </w:p>
    <w:p>
      <w:pPr>
        <w:snapToGrid w:val="0"/>
        <w:spacing w:line="500" w:lineRule="exact"/>
        <w:ind w:firstLine="397"/>
        <w:rPr>
          <w:rFonts w:ascii="宋体" w:hAnsi="宋体"/>
          <w:b/>
          <w:color w:val="auto"/>
          <w:sz w:val="24"/>
        </w:rPr>
      </w:pPr>
      <w:r>
        <w:rPr>
          <w:rFonts w:ascii="宋体" w:hAnsi="宋体"/>
          <w:b/>
          <w:color w:val="auto"/>
          <w:sz w:val="24"/>
        </w:rPr>
        <w:t>5</w:t>
      </w:r>
      <w:r>
        <w:rPr>
          <w:rFonts w:hint="eastAsia" w:ascii="宋体" w:hAnsi="宋体"/>
          <w:b/>
          <w:color w:val="auto"/>
          <w:sz w:val="24"/>
        </w:rPr>
        <w:t>、工程师</w:t>
      </w:r>
    </w:p>
    <w:p>
      <w:pPr>
        <w:snapToGrid w:val="0"/>
        <w:spacing w:line="500" w:lineRule="exact"/>
        <w:ind w:firstLine="397"/>
        <w:rPr>
          <w:rFonts w:ascii="宋体" w:hAnsi="宋体"/>
          <w:color w:val="auto"/>
          <w:sz w:val="24"/>
        </w:rPr>
      </w:pPr>
      <w:r>
        <w:rPr>
          <w:rFonts w:ascii="宋体" w:hAnsi="宋体"/>
          <w:color w:val="auto"/>
          <w:sz w:val="24"/>
        </w:rPr>
        <w:t xml:space="preserve">5.2 </w:t>
      </w:r>
      <w:r>
        <w:rPr>
          <w:rFonts w:hint="eastAsia" w:ascii="宋体" w:hAnsi="宋体"/>
          <w:color w:val="auto"/>
          <w:sz w:val="24"/>
        </w:rPr>
        <w:t>监理单位委派的工程师</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姓名：</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职务：</w:t>
      </w:r>
      <w:r>
        <w:rPr>
          <w:rFonts w:hint="eastAsia" w:ascii="宋体" w:hAnsi="宋体"/>
          <w:color w:val="auto"/>
          <w:sz w:val="24"/>
          <w:u w:val="single"/>
        </w:rPr>
        <w:t xml:space="preserve"> 总监理工程师</w:t>
      </w:r>
      <w:r>
        <w:rPr>
          <w:rFonts w:hint="eastAsia" w:ascii="宋体" w:hAnsi="宋体"/>
          <w:color w:val="auto"/>
          <w:sz w:val="24"/>
        </w:rPr>
        <w:t>。</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发包人委托的职权：</w:t>
      </w:r>
      <w:r>
        <w:rPr>
          <w:rFonts w:ascii="宋体" w:hAnsi="宋体"/>
          <w:color w:val="auto"/>
          <w:sz w:val="24"/>
          <w:u w:val="single"/>
        </w:rPr>
        <w:t xml:space="preserve"> </w:t>
      </w:r>
      <w:r>
        <w:rPr>
          <w:rFonts w:hint="eastAsia" w:ascii="宋体" w:hAnsi="宋体"/>
          <w:color w:val="auto"/>
          <w:sz w:val="24"/>
          <w:u w:val="single"/>
        </w:rPr>
        <w:t>对本工程进行全过程的监理</w:t>
      </w:r>
      <w:r>
        <w:rPr>
          <w:rFonts w:hint="eastAsia" w:ascii="宋体" w:hAnsi="宋体"/>
          <w:color w:val="auto"/>
          <w:sz w:val="24"/>
        </w:rPr>
        <w:t>。</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需要取得发包人批准才能行使的职权：</w:t>
      </w:r>
      <w:r>
        <w:rPr>
          <w:rFonts w:hint="eastAsia" w:ascii="宋体" w:hAnsi="宋体"/>
          <w:color w:val="auto"/>
          <w:sz w:val="24"/>
          <w:u w:val="single"/>
        </w:rPr>
        <w:t>按发包人与监理单位签订的监理合同有关规定执行，涉及变更签证或费用调整、发布开工、停工、复工令等均需经发包人书面认可</w:t>
      </w:r>
      <w:r>
        <w:rPr>
          <w:rFonts w:hint="eastAsia" w:ascii="宋体" w:hAnsi="宋体"/>
          <w:color w:val="auto"/>
          <w:sz w:val="24"/>
        </w:rPr>
        <w:t>。</w:t>
      </w:r>
    </w:p>
    <w:p>
      <w:pPr>
        <w:snapToGrid w:val="0"/>
        <w:spacing w:line="500" w:lineRule="exact"/>
        <w:ind w:firstLine="397"/>
        <w:rPr>
          <w:rFonts w:ascii="宋体" w:hAnsi="宋体"/>
          <w:color w:val="auto"/>
          <w:sz w:val="24"/>
          <w:u w:val="single"/>
        </w:rPr>
      </w:pPr>
      <w:r>
        <w:rPr>
          <w:rFonts w:hint="eastAsia" w:ascii="宋体" w:hAnsi="宋体"/>
          <w:color w:val="auto"/>
          <w:sz w:val="24"/>
        </w:rPr>
        <w:t>义务：</w:t>
      </w:r>
      <w:r>
        <w:rPr>
          <w:rFonts w:hint="eastAsia" w:ascii="宋体" w:hAnsi="宋体"/>
          <w:color w:val="auto"/>
          <w:sz w:val="24"/>
          <w:u w:val="single"/>
        </w:rPr>
        <w:t>常驻现场，代表监理单位履行与发包人签订的监理合同</w:t>
      </w:r>
      <w:r>
        <w:rPr>
          <w:rFonts w:hint="eastAsia" w:ascii="宋体" w:hAnsi="宋体"/>
          <w:color w:val="auto"/>
          <w:sz w:val="24"/>
        </w:rPr>
        <w:t>。</w:t>
      </w:r>
    </w:p>
    <w:p>
      <w:pPr>
        <w:snapToGrid w:val="0"/>
        <w:spacing w:line="500" w:lineRule="exact"/>
        <w:ind w:firstLine="397"/>
        <w:rPr>
          <w:rFonts w:ascii="宋体" w:hAnsi="宋体"/>
          <w:color w:val="auto"/>
          <w:sz w:val="24"/>
        </w:rPr>
      </w:pPr>
      <w:r>
        <w:rPr>
          <w:rFonts w:ascii="宋体" w:hAnsi="宋体"/>
          <w:color w:val="auto"/>
          <w:sz w:val="24"/>
        </w:rPr>
        <w:t xml:space="preserve">5.3 </w:t>
      </w:r>
      <w:r>
        <w:rPr>
          <w:rFonts w:hint="eastAsia" w:ascii="宋体" w:hAnsi="宋体"/>
          <w:color w:val="auto"/>
          <w:sz w:val="24"/>
        </w:rPr>
        <w:t>发包人派驻的工程师</w:t>
      </w:r>
    </w:p>
    <w:p>
      <w:pPr>
        <w:snapToGrid w:val="0"/>
        <w:spacing w:line="500" w:lineRule="exact"/>
        <w:ind w:firstLine="397"/>
        <w:rPr>
          <w:rFonts w:ascii="宋体" w:hAnsi="宋体"/>
          <w:color w:val="auto"/>
          <w:sz w:val="24"/>
          <w:u w:val="single"/>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 xml:space="preserve"> 职务：</w:t>
      </w:r>
      <w:r>
        <w:rPr>
          <w:rFonts w:hint="eastAsia" w:ascii="宋体" w:hAnsi="宋体"/>
          <w:color w:val="auto"/>
          <w:sz w:val="24"/>
          <w:u w:val="single"/>
        </w:rPr>
        <w:t>工</w:t>
      </w:r>
      <w:r>
        <w:rPr>
          <w:rFonts w:ascii="宋体" w:hAnsi="宋体"/>
          <w:color w:val="auto"/>
          <w:sz w:val="24"/>
          <w:u w:val="single"/>
        </w:rPr>
        <w:t xml:space="preserve"> </w:t>
      </w:r>
      <w:r>
        <w:rPr>
          <w:rFonts w:hint="eastAsia" w:ascii="宋体" w:hAnsi="宋体"/>
          <w:color w:val="auto"/>
          <w:sz w:val="24"/>
          <w:u w:val="single"/>
        </w:rPr>
        <w:t>程</w:t>
      </w:r>
      <w:r>
        <w:rPr>
          <w:rFonts w:ascii="宋体" w:hAnsi="宋体"/>
          <w:color w:val="auto"/>
          <w:sz w:val="24"/>
          <w:u w:val="single"/>
        </w:rPr>
        <w:t xml:space="preserve"> </w:t>
      </w:r>
      <w:r>
        <w:rPr>
          <w:rFonts w:hint="eastAsia" w:ascii="宋体" w:hAnsi="宋体"/>
          <w:color w:val="auto"/>
          <w:sz w:val="24"/>
          <w:u w:val="single"/>
        </w:rPr>
        <w:t>师</w:t>
      </w:r>
      <w:r>
        <w:rPr>
          <w:rFonts w:hint="eastAsia" w:ascii="宋体" w:hAnsi="宋体"/>
          <w:color w:val="auto"/>
          <w:sz w:val="24"/>
        </w:rPr>
        <w:t>。</w:t>
      </w:r>
    </w:p>
    <w:p>
      <w:pPr>
        <w:snapToGrid w:val="0"/>
        <w:spacing w:line="500" w:lineRule="exact"/>
        <w:ind w:firstLine="397"/>
        <w:rPr>
          <w:rFonts w:ascii="宋体" w:hAnsi="宋体"/>
          <w:color w:val="auto"/>
          <w:sz w:val="24"/>
          <w:u w:val="single"/>
        </w:rPr>
      </w:pPr>
      <w:r>
        <w:rPr>
          <w:rFonts w:hint="eastAsia" w:ascii="宋体" w:hAnsi="宋体"/>
          <w:color w:val="auto"/>
          <w:sz w:val="24"/>
        </w:rPr>
        <w:t>职权：</w:t>
      </w:r>
      <w:r>
        <w:rPr>
          <w:rFonts w:hint="eastAsia" w:ascii="宋体" w:hAnsi="宋体"/>
          <w:color w:val="auto"/>
          <w:sz w:val="24"/>
          <w:u w:val="single"/>
        </w:rPr>
        <w:t>发包人代表，行使发包人的权利。</w:t>
      </w:r>
    </w:p>
    <w:p>
      <w:pPr>
        <w:snapToGrid w:val="0"/>
        <w:spacing w:line="500" w:lineRule="exact"/>
        <w:ind w:firstLine="397"/>
        <w:rPr>
          <w:rFonts w:ascii="宋体" w:hAnsi="宋体"/>
          <w:color w:val="auto"/>
          <w:spacing w:val="-8"/>
          <w:sz w:val="24"/>
          <w:u w:val="single"/>
        </w:rPr>
      </w:pPr>
      <w:r>
        <w:rPr>
          <w:rFonts w:hint="eastAsia" w:ascii="宋体" w:hAnsi="宋体"/>
          <w:color w:val="auto"/>
          <w:spacing w:val="-8"/>
          <w:sz w:val="24"/>
        </w:rPr>
        <w:t>义务：</w:t>
      </w:r>
      <w:r>
        <w:rPr>
          <w:rFonts w:hint="eastAsia" w:ascii="宋体" w:hAnsi="宋体"/>
          <w:color w:val="auto"/>
          <w:spacing w:val="-8"/>
          <w:sz w:val="24"/>
          <w:u w:val="single"/>
        </w:rPr>
        <w:t>常驻现场，代表发包人负责工程质量、进度、技术、投资控制等施工期间的日常管理工作，履行与承包人签订的本建设工程施工合同</w:t>
      </w:r>
      <w:r>
        <w:rPr>
          <w:rFonts w:hint="eastAsia" w:ascii="宋体" w:hAnsi="宋体"/>
          <w:color w:val="auto"/>
          <w:spacing w:val="-8"/>
          <w:sz w:val="24"/>
        </w:rPr>
        <w:t>。</w:t>
      </w:r>
    </w:p>
    <w:p>
      <w:pPr>
        <w:snapToGrid w:val="0"/>
        <w:spacing w:line="500" w:lineRule="exact"/>
        <w:ind w:firstLine="397"/>
        <w:rPr>
          <w:rFonts w:ascii="宋体" w:hAnsi="宋体"/>
          <w:color w:val="auto"/>
          <w:sz w:val="24"/>
        </w:rPr>
      </w:pPr>
      <w:r>
        <w:rPr>
          <w:rFonts w:ascii="宋体" w:hAnsi="宋体"/>
          <w:color w:val="auto"/>
          <w:sz w:val="24"/>
        </w:rPr>
        <w:t xml:space="preserve">5.6 </w:t>
      </w:r>
      <w:r>
        <w:rPr>
          <w:rFonts w:hint="eastAsia" w:ascii="宋体" w:hAnsi="宋体"/>
          <w:color w:val="auto"/>
          <w:sz w:val="24"/>
        </w:rPr>
        <w:t>不实行监理的，工程师的职权：</w:t>
      </w:r>
      <w:r>
        <w:rPr>
          <w:rFonts w:ascii="宋体" w:hAnsi="宋体"/>
          <w:color w:val="auto"/>
          <w:sz w:val="24"/>
          <w:u w:val="single"/>
        </w:rPr>
        <w:t xml:space="preserve">        /            </w:t>
      </w:r>
      <w:r>
        <w:rPr>
          <w:rFonts w:hint="eastAsia" w:ascii="宋体" w:hAnsi="宋体"/>
          <w:color w:val="auto"/>
          <w:sz w:val="24"/>
        </w:rPr>
        <w:t>。</w:t>
      </w:r>
    </w:p>
    <w:p>
      <w:pPr>
        <w:snapToGrid w:val="0"/>
        <w:spacing w:line="500" w:lineRule="exact"/>
        <w:ind w:firstLine="397"/>
        <w:rPr>
          <w:rFonts w:ascii="宋体" w:hAnsi="宋体"/>
          <w:b/>
          <w:color w:val="auto"/>
          <w:sz w:val="24"/>
        </w:rPr>
      </w:pPr>
      <w:r>
        <w:rPr>
          <w:rFonts w:ascii="宋体" w:hAnsi="宋体"/>
          <w:b/>
          <w:color w:val="auto"/>
          <w:sz w:val="24"/>
        </w:rPr>
        <w:t>7</w:t>
      </w:r>
      <w:r>
        <w:rPr>
          <w:rFonts w:hint="eastAsia" w:ascii="宋体" w:hAnsi="宋体"/>
          <w:b/>
          <w:color w:val="auto"/>
          <w:sz w:val="24"/>
        </w:rPr>
        <w:t>、项目负责人</w:t>
      </w:r>
    </w:p>
    <w:p>
      <w:pPr>
        <w:snapToGrid w:val="0"/>
        <w:spacing w:line="500" w:lineRule="exact"/>
        <w:ind w:firstLine="397"/>
        <w:rPr>
          <w:rFonts w:ascii="宋体" w:hAnsi="宋体"/>
          <w:color w:val="auto"/>
          <w:sz w:val="24"/>
        </w:rPr>
      </w:pPr>
      <w:r>
        <w:rPr>
          <w:rFonts w:hint="eastAsia" w:ascii="宋体" w:hAnsi="宋体"/>
          <w:color w:val="auto"/>
          <w:sz w:val="24"/>
        </w:rPr>
        <w:t>7.1（1）项目负责人</w:t>
      </w:r>
    </w:p>
    <w:p>
      <w:pPr>
        <w:snapToGrid w:val="0"/>
        <w:spacing w:line="500" w:lineRule="exact"/>
        <w:ind w:firstLine="397"/>
        <w:rPr>
          <w:rFonts w:ascii="宋体" w:hAnsi="宋体"/>
          <w:color w:val="auto"/>
          <w:sz w:val="24"/>
          <w:u w:val="single"/>
        </w:rPr>
      </w:pPr>
      <w:r>
        <w:rPr>
          <w:rFonts w:hint="eastAsia" w:ascii="宋体" w:hAnsi="宋体"/>
          <w:color w:val="auto"/>
          <w:sz w:val="24"/>
        </w:rPr>
        <w:t>姓名：</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职权：</w:t>
      </w:r>
      <w:r>
        <w:rPr>
          <w:rFonts w:hint="eastAsia" w:ascii="宋体" w:hAnsi="宋体"/>
          <w:color w:val="auto"/>
          <w:sz w:val="24"/>
          <w:u w:val="single"/>
        </w:rPr>
        <w:t>代表承包人全权处理本工程的一切事务</w:t>
      </w:r>
      <w:r>
        <w:rPr>
          <w:rFonts w:ascii="宋体" w:hAnsi="宋体"/>
          <w:color w:val="auto"/>
          <w:sz w:val="24"/>
          <w:u w:val="single"/>
        </w:rPr>
        <w:t xml:space="preserve"> </w:t>
      </w:r>
      <w:r>
        <w:rPr>
          <w:rFonts w:hint="eastAsia" w:ascii="宋体" w:hAnsi="宋体"/>
          <w:color w:val="auto"/>
          <w:sz w:val="24"/>
        </w:rPr>
        <w:t>。</w:t>
      </w:r>
    </w:p>
    <w:p>
      <w:pPr>
        <w:snapToGrid w:val="0"/>
        <w:spacing w:line="500" w:lineRule="exact"/>
        <w:ind w:firstLine="480" w:firstLineChars="200"/>
        <w:rPr>
          <w:rFonts w:ascii="宋体" w:hAnsi="宋体"/>
          <w:color w:val="auto"/>
          <w:sz w:val="24"/>
        </w:rPr>
      </w:pPr>
      <w:r>
        <w:rPr>
          <w:rFonts w:hint="eastAsia" w:ascii="宋体" w:hAnsi="宋体"/>
          <w:color w:val="auto"/>
          <w:sz w:val="24"/>
        </w:rPr>
        <w:t>义务：</w:t>
      </w:r>
      <w:r>
        <w:rPr>
          <w:rFonts w:hint="eastAsia" w:ascii="宋体" w:hAnsi="宋体"/>
          <w:color w:val="auto"/>
          <w:sz w:val="24"/>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olor w:val="auto"/>
          <w:sz w:val="24"/>
        </w:rPr>
        <w:t>。</w:t>
      </w:r>
    </w:p>
    <w:p>
      <w:pPr>
        <w:snapToGrid w:val="0"/>
        <w:spacing w:line="500" w:lineRule="exact"/>
        <w:ind w:firstLine="397"/>
        <w:rPr>
          <w:rFonts w:ascii="宋体" w:hAnsi="宋体"/>
          <w:color w:val="auto"/>
          <w:sz w:val="24"/>
        </w:rPr>
      </w:pPr>
      <w:r>
        <w:rPr>
          <w:rFonts w:hint="eastAsia" w:ascii="宋体" w:hAnsi="宋体"/>
          <w:color w:val="auto"/>
          <w:sz w:val="24"/>
        </w:rPr>
        <w:t>7.4</w:t>
      </w:r>
      <w:r>
        <w:rPr>
          <w:rFonts w:hint="eastAsia" w:ascii="宋体" w:hAnsi="宋体"/>
          <w:color w:val="auto"/>
          <w:sz w:val="24"/>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olor w:val="auto"/>
          <w:sz w:val="24"/>
        </w:rPr>
        <w:t>。</w:t>
      </w:r>
    </w:p>
    <w:p>
      <w:pPr>
        <w:snapToGrid w:val="0"/>
        <w:spacing w:line="500" w:lineRule="exact"/>
        <w:ind w:firstLine="397"/>
        <w:rPr>
          <w:rFonts w:ascii="宋体" w:hAnsi="宋体"/>
          <w:color w:val="auto"/>
          <w:sz w:val="24"/>
        </w:rPr>
      </w:pPr>
      <w:r>
        <w:rPr>
          <w:rFonts w:hint="eastAsia" w:ascii="宋体" w:hAnsi="宋体"/>
          <w:color w:val="auto"/>
          <w:sz w:val="24"/>
        </w:rPr>
        <w:t>7.5</w:t>
      </w:r>
      <w:r>
        <w:rPr>
          <w:rFonts w:hint="eastAsia" w:ascii="宋体" w:hAnsi="宋体"/>
          <w:color w:val="auto"/>
          <w:sz w:val="24"/>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olor w:val="auto"/>
          <w:sz w:val="24"/>
        </w:rPr>
        <w:t>。</w:t>
      </w:r>
    </w:p>
    <w:p>
      <w:pPr>
        <w:snapToGrid w:val="0"/>
        <w:spacing w:line="500" w:lineRule="exact"/>
        <w:ind w:firstLine="397"/>
        <w:rPr>
          <w:rFonts w:ascii="宋体" w:hAnsi="宋体"/>
          <w:color w:val="auto"/>
          <w:sz w:val="24"/>
          <w:u w:val="single"/>
        </w:rPr>
      </w:pPr>
      <w:r>
        <w:rPr>
          <w:rFonts w:hint="eastAsia" w:ascii="宋体" w:hAnsi="宋体"/>
          <w:color w:val="auto"/>
          <w:sz w:val="24"/>
        </w:rPr>
        <w:t>7.6</w:t>
      </w:r>
      <w:r>
        <w:rPr>
          <w:rFonts w:hint="eastAsia" w:ascii="宋体" w:hAnsi="宋体"/>
          <w:color w:val="auto"/>
          <w:sz w:val="24"/>
          <w:u w:val="single"/>
        </w:rPr>
        <w:t>承包人项目负责人不得兼任其他工程项目负责人，否则发包人可按单方面终止合同处理。</w:t>
      </w:r>
    </w:p>
    <w:p>
      <w:pPr>
        <w:snapToGrid w:val="0"/>
        <w:spacing w:line="500" w:lineRule="exact"/>
        <w:ind w:firstLine="397"/>
        <w:rPr>
          <w:rFonts w:ascii="宋体" w:hAnsi="宋体"/>
          <w:color w:val="auto"/>
          <w:sz w:val="24"/>
          <w:u w:val="single"/>
        </w:rPr>
      </w:pPr>
      <w:r>
        <w:rPr>
          <w:rFonts w:hint="eastAsia" w:ascii="宋体" w:hAnsi="宋体"/>
          <w:color w:val="auto"/>
          <w:sz w:val="24"/>
        </w:rPr>
        <w:t>7.7</w:t>
      </w:r>
      <w:r>
        <w:rPr>
          <w:rFonts w:hint="eastAsia" w:ascii="宋体" w:hAnsi="宋体"/>
          <w:color w:val="auto"/>
          <w:sz w:val="24"/>
          <w:u w:val="single"/>
        </w:rPr>
        <w:t>现场管理机构</w:t>
      </w:r>
    </w:p>
    <w:p>
      <w:pPr>
        <w:snapToGrid w:val="0"/>
        <w:spacing w:line="500" w:lineRule="exact"/>
        <w:ind w:firstLine="397"/>
        <w:rPr>
          <w:rFonts w:ascii="宋体" w:hAnsi="宋体"/>
          <w:color w:val="auto"/>
          <w:sz w:val="24"/>
          <w:u w:val="single"/>
        </w:rPr>
      </w:pPr>
      <w:r>
        <w:rPr>
          <w:rFonts w:hint="eastAsia" w:ascii="宋体" w:hAnsi="宋体"/>
          <w:color w:val="auto"/>
          <w:sz w:val="24"/>
          <w:u w:val="single"/>
        </w:rPr>
        <w:t>（1）承包人必须按照投标文件的承诺建立现场管理机构，严格执行现行建设工程项目管理规范，并积极主动接受建设行政主管部门的监督和检查。</w:t>
      </w:r>
    </w:p>
    <w:p>
      <w:pPr>
        <w:snapToGrid w:val="0"/>
        <w:spacing w:line="500" w:lineRule="exact"/>
        <w:ind w:firstLine="538"/>
        <w:rPr>
          <w:rFonts w:ascii="宋体" w:hAnsi="宋体"/>
          <w:color w:val="auto"/>
          <w:sz w:val="24"/>
          <w:u w:val="single"/>
        </w:rPr>
      </w:pPr>
      <w:r>
        <w:rPr>
          <w:rFonts w:hint="eastAsia" w:ascii="宋体" w:hAnsi="宋体"/>
          <w:color w:val="auto"/>
          <w:sz w:val="24"/>
          <w:u w:val="singl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500" w:lineRule="exact"/>
        <w:ind w:firstLine="397"/>
        <w:rPr>
          <w:rFonts w:ascii="宋体" w:hAnsi="宋体"/>
          <w:color w:val="auto"/>
          <w:sz w:val="24"/>
          <w:u w:val="single"/>
        </w:rPr>
      </w:pPr>
      <w:r>
        <w:rPr>
          <w:rFonts w:hint="eastAsia" w:ascii="宋体" w:hAnsi="宋体"/>
          <w:color w:val="auto"/>
          <w:sz w:val="24"/>
        </w:rPr>
        <w:t>7.8</w:t>
      </w:r>
      <w:r>
        <w:rPr>
          <w:rFonts w:hint="eastAsia" w:ascii="宋体" w:hAnsi="宋体"/>
          <w:color w:val="auto"/>
          <w:sz w:val="24"/>
          <w:u w:val="single"/>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500" w:lineRule="exact"/>
        <w:ind w:firstLine="397"/>
        <w:rPr>
          <w:rFonts w:ascii="宋体" w:hAnsi="宋体"/>
          <w:color w:val="auto"/>
          <w:sz w:val="24"/>
          <w:u w:val="single"/>
        </w:rPr>
      </w:pPr>
      <w:r>
        <w:rPr>
          <w:rFonts w:hint="eastAsia" w:ascii="宋体" w:hAnsi="宋体"/>
          <w:color w:val="auto"/>
          <w:sz w:val="24"/>
        </w:rPr>
        <w:t>7.9</w:t>
      </w:r>
      <w:r>
        <w:rPr>
          <w:rFonts w:hint="eastAsia" w:ascii="宋体" w:hAnsi="宋体"/>
          <w:color w:val="auto"/>
          <w:sz w:val="24"/>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500" w:lineRule="exact"/>
        <w:ind w:firstLine="397"/>
        <w:rPr>
          <w:rFonts w:ascii="宋体" w:hAnsi="宋体"/>
          <w:color w:val="auto"/>
          <w:sz w:val="24"/>
          <w:u w:val="single"/>
        </w:rPr>
      </w:pPr>
      <w:r>
        <w:rPr>
          <w:rFonts w:hint="eastAsia" w:ascii="宋体" w:hAnsi="宋体"/>
          <w:color w:val="auto"/>
          <w:sz w:val="24"/>
        </w:rPr>
        <w:t>7.10</w:t>
      </w:r>
      <w:r>
        <w:rPr>
          <w:rFonts w:hint="eastAsia" w:ascii="宋体" w:hAnsi="宋体"/>
          <w:color w:val="auto"/>
          <w:sz w:val="24"/>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500" w:lineRule="exact"/>
        <w:ind w:firstLine="397"/>
        <w:rPr>
          <w:rFonts w:ascii="宋体" w:hAnsi="宋体"/>
          <w:b/>
          <w:color w:val="auto"/>
          <w:sz w:val="24"/>
        </w:rPr>
      </w:pPr>
      <w:r>
        <w:rPr>
          <w:rFonts w:ascii="宋体" w:hAnsi="宋体"/>
          <w:b/>
          <w:color w:val="auto"/>
          <w:sz w:val="24"/>
        </w:rPr>
        <w:t>8</w:t>
      </w:r>
      <w:r>
        <w:rPr>
          <w:rFonts w:hint="eastAsia" w:ascii="宋体" w:hAnsi="宋体"/>
          <w:b/>
          <w:color w:val="auto"/>
          <w:sz w:val="24"/>
        </w:rPr>
        <w:t>、发包人工作</w:t>
      </w:r>
    </w:p>
    <w:p>
      <w:pPr>
        <w:snapToGrid w:val="0"/>
        <w:spacing w:line="500" w:lineRule="exact"/>
        <w:ind w:firstLine="397"/>
        <w:rPr>
          <w:rFonts w:ascii="宋体" w:hAnsi="宋体"/>
          <w:color w:val="auto"/>
          <w:sz w:val="24"/>
        </w:rPr>
      </w:pPr>
      <w:r>
        <w:rPr>
          <w:rFonts w:ascii="宋体" w:hAnsi="宋体"/>
          <w:color w:val="auto"/>
          <w:sz w:val="24"/>
        </w:rPr>
        <w:t xml:space="preserve">8.1 </w:t>
      </w:r>
      <w:r>
        <w:rPr>
          <w:rFonts w:hint="eastAsia" w:ascii="宋体" w:hAnsi="宋体"/>
          <w:color w:val="auto"/>
          <w:sz w:val="24"/>
        </w:rPr>
        <w:t>发包人应按约定的时间和要求完成以下工作：</w:t>
      </w:r>
    </w:p>
    <w:p>
      <w:pPr>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）施工场地具备施工条件的要求及完成的时间：</w:t>
      </w:r>
      <w:r>
        <w:rPr>
          <w:rFonts w:hint="eastAsia" w:ascii="宋体" w:hAnsi="宋体"/>
          <w:color w:val="auto"/>
          <w:sz w:val="24"/>
          <w:u w:val="single"/>
        </w:rPr>
        <w:t>土地征收、国有土地上房屋征收、集体土地上房屋拆迁补偿工作完成时间原则上在开工前；因征收和拆迁补偿进度原因不能按时移交场地的，可采取分段逐步方式移交施工场地</w:t>
      </w:r>
      <w:r>
        <w:rPr>
          <w:rFonts w:hint="eastAsia" w:ascii="宋体" w:hAnsi="宋体"/>
          <w:color w:val="auto"/>
          <w:sz w:val="24"/>
        </w:rPr>
        <w:t>。</w:t>
      </w:r>
      <w:r>
        <w:rPr>
          <w:rFonts w:ascii="宋体" w:hAnsi="宋体"/>
          <w:color w:val="auto"/>
          <w:sz w:val="24"/>
        </w:rPr>
        <w:t xml:space="preserve"> </w:t>
      </w:r>
    </w:p>
    <w:p>
      <w:pPr>
        <w:snapToGrid w:val="0"/>
        <w:spacing w:line="500" w:lineRule="exact"/>
        <w:ind w:firstLine="397"/>
        <w:rPr>
          <w:rFonts w:ascii="宋体" w:hAnsi="宋体"/>
          <w:color w:val="auto"/>
          <w:sz w:val="24"/>
          <w:u w:val="single"/>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）将施工所需的水、电、电讯线路接至施工场地的时间、地点和供应要求：</w:t>
      </w:r>
      <w:r>
        <w:rPr>
          <w:rFonts w:hint="eastAsia" w:ascii="宋体" w:hAnsi="宋体"/>
          <w:color w:val="auto"/>
          <w:sz w:val="24"/>
          <w:u w:val="single"/>
        </w:rPr>
        <w:t>由承包人自行解决，费用已包在本工程中标总造价中</w:t>
      </w:r>
      <w:r>
        <w:rPr>
          <w:rFonts w:hint="eastAsia" w:ascii="宋体" w:hAnsi="宋体"/>
          <w:color w:val="auto"/>
          <w:sz w:val="24"/>
        </w:rPr>
        <w:t>。</w:t>
      </w:r>
    </w:p>
    <w:p>
      <w:pPr>
        <w:snapToGrid w:val="0"/>
        <w:spacing w:line="500" w:lineRule="exact"/>
        <w:ind w:firstLine="397"/>
        <w:rPr>
          <w:rFonts w:ascii="宋体" w:hAnsi="宋体"/>
          <w:color w:val="auto"/>
          <w:sz w:val="24"/>
          <w:u w:val="single"/>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）施工场地与公共道路的通道开通时间和要求：</w:t>
      </w:r>
      <w:r>
        <w:rPr>
          <w:rFonts w:hint="eastAsia" w:ascii="宋体" w:hAnsi="宋体"/>
          <w:color w:val="auto"/>
          <w:sz w:val="24"/>
          <w:u w:val="single"/>
        </w:rPr>
        <w:t>通道按现状，不论满足施工要求与否，该通道及施工便道均由承包人自行解决，费用已包在本工程中标总造价中。</w:t>
      </w:r>
    </w:p>
    <w:p>
      <w:pPr>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）工程地质和地下管线资料的提供时间：</w:t>
      </w:r>
      <w:r>
        <w:rPr>
          <w:rFonts w:hint="eastAsia" w:ascii="宋体" w:hAnsi="宋体"/>
          <w:color w:val="auto"/>
          <w:sz w:val="24"/>
          <w:u w:val="single"/>
        </w:rPr>
        <w:t>根据施工计划提前提供</w:t>
      </w:r>
      <w:r>
        <w:rPr>
          <w:rFonts w:hint="eastAsia" w:ascii="宋体" w:hAnsi="宋体"/>
          <w:color w:val="auto"/>
          <w:sz w:val="24"/>
        </w:rPr>
        <w:t>。</w:t>
      </w:r>
    </w:p>
    <w:p>
      <w:pPr>
        <w:snapToGrid w:val="0"/>
        <w:spacing w:line="500" w:lineRule="exact"/>
        <w:ind w:firstLine="397"/>
        <w:rPr>
          <w:rFonts w:ascii="宋体" w:hAnsi="宋体"/>
          <w:color w:val="auto"/>
          <w:sz w:val="24"/>
          <w:u w:val="single"/>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）由发包人办理的施工所需证件、批件的名称和完成时间：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w:t>
      </w:r>
    </w:p>
    <w:p>
      <w:pPr>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）水准点与坐标控制点交验要求：</w:t>
      </w:r>
      <w:r>
        <w:rPr>
          <w:rFonts w:ascii="宋体" w:hAnsi="宋体"/>
          <w:color w:val="auto"/>
          <w:sz w:val="24"/>
        </w:rPr>
        <w:t xml:space="preserve"> </w:t>
      </w:r>
      <w:r>
        <w:rPr>
          <w:rFonts w:hint="eastAsia" w:ascii="宋体" w:hAnsi="宋体"/>
          <w:color w:val="auto"/>
          <w:sz w:val="24"/>
          <w:u w:val="single"/>
        </w:rPr>
        <w:t>开工前交验</w:t>
      </w:r>
      <w:r>
        <w:rPr>
          <w:rFonts w:hint="eastAsia" w:ascii="宋体" w:hAnsi="宋体"/>
          <w:color w:val="auto"/>
          <w:sz w:val="24"/>
        </w:rPr>
        <w:t>。</w:t>
      </w:r>
    </w:p>
    <w:p>
      <w:pPr>
        <w:snapToGrid w:val="0"/>
        <w:spacing w:line="500" w:lineRule="exact"/>
        <w:ind w:firstLine="397"/>
        <w:rPr>
          <w:rFonts w:ascii="宋体" w:hAnsi="宋体"/>
          <w:color w:val="auto"/>
          <w:sz w:val="24"/>
          <w:u w:val="single"/>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）图纸会审和设计交底时间：</w:t>
      </w:r>
      <w:r>
        <w:rPr>
          <w:rFonts w:hint="eastAsia" w:ascii="宋体" w:hAnsi="宋体"/>
          <w:color w:val="auto"/>
          <w:sz w:val="24"/>
          <w:u w:val="single"/>
        </w:rPr>
        <w:t>工程施工前</w:t>
      </w:r>
      <w:r>
        <w:rPr>
          <w:rFonts w:hint="eastAsia" w:ascii="宋体" w:hAnsi="宋体"/>
          <w:color w:val="auto"/>
          <w:sz w:val="24"/>
        </w:rPr>
        <w:t>。</w:t>
      </w:r>
    </w:p>
    <w:p>
      <w:pPr>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）协调处理施工场地周围地下管线和邻近建筑物、构筑物（含文物保护建筑）、古树名木的保护工作：</w:t>
      </w:r>
      <w:r>
        <w:rPr>
          <w:rFonts w:ascii="宋体" w:hAnsi="宋体"/>
          <w:color w:val="auto"/>
          <w:sz w:val="24"/>
          <w:u w:val="single"/>
        </w:rPr>
        <w:t xml:space="preserve">            /            </w:t>
      </w:r>
      <w:r>
        <w:rPr>
          <w:rFonts w:hint="eastAsia" w:ascii="宋体" w:hAnsi="宋体"/>
          <w:color w:val="auto"/>
          <w:sz w:val="24"/>
        </w:rPr>
        <w:t>。</w:t>
      </w:r>
    </w:p>
    <w:p>
      <w:pPr>
        <w:snapToGrid w:val="0"/>
        <w:spacing w:line="500" w:lineRule="exact"/>
        <w:ind w:firstLine="397"/>
        <w:rPr>
          <w:rFonts w:ascii="宋体" w:hAnsi="宋体"/>
          <w:color w:val="auto"/>
          <w:sz w:val="24"/>
          <w:u w:val="single"/>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）三方约定发包人应做的其他工作：</w:t>
      </w:r>
      <w:r>
        <w:rPr>
          <w:rFonts w:hint="eastAsia" w:ascii="宋体" w:hAnsi="宋体"/>
          <w:color w:val="auto"/>
          <w:sz w:val="24"/>
          <w:u w:val="single"/>
        </w:rPr>
        <w:t>发包人按现有场地移交给承包人，承包人应无条件接受。</w:t>
      </w:r>
    </w:p>
    <w:p>
      <w:pPr>
        <w:spacing w:line="500" w:lineRule="exact"/>
        <w:rPr>
          <w:rFonts w:ascii="宋体" w:hAnsi="宋体"/>
          <w:color w:val="auto"/>
          <w:sz w:val="24"/>
          <w:u w:val="single"/>
        </w:rPr>
      </w:pPr>
      <w:r>
        <w:rPr>
          <w:rFonts w:hint="eastAsia" w:ascii="宋体" w:hAnsi="宋体"/>
          <w:color w:val="auto"/>
          <w:sz w:val="24"/>
        </w:rPr>
        <w:t xml:space="preserve">   8.2发包人委托承包人办理的工作：</w:t>
      </w:r>
      <w:r>
        <w:rPr>
          <w:rFonts w:ascii="宋体" w:hAnsi="宋体"/>
          <w:color w:val="auto"/>
          <w:sz w:val="24"/>
          <w:u w:val="single"/>
        </w:rPr>
        <w:t xml:space="preserve"> </w:t>
      </w:r>
      <w:r>
        <w:rPr>
          <w:rFonts w:hint="eastAsia" w:ascii="宋体" w:hAnsi="宋体"/>
          <w:color w:val="auto"/>
          <w:sz w:val="24"/>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pPr>
        <w:snapToGrid w:val="0"/>
        <w:spacing w:line="500" w:lineRule="exact"/>
        <w:ind w:firstLine="397"/>
        <w:rPr>
          <w:rFonts w:ascii="宋体" w:hAnsi="宋体"/>
          <w:b/>
          <w:color w:val="auto"/>
          <w:sz w:val="24"/>
        </w:rPr>
      </w:pPr>
      <w:r>
        <w:rPr>
          <w:rFonts w:ascii="宋体" w:hAnsi="宋体"/>
          <w:b/>
          <w:color w:val="auto"/>
          <w:sz w:val="24"/>
        </w:rPr>
        <w:t>9</w:t>
      </w:r>
      <w:r>
        <w:rPr>
          <w:rFonts w:hint="eastAsia" w:ascii="宋体" w:hAnsi="宋体"/>
          <w:b/>
          <w:color w:val="auto"/>
          <w:sz w:val="24"/>
        </w:rPr>
        <w:t>、承包人工作</w:t>
      </w:r>
    </w:p>
    <w:p>
      <w:pPr>
        <w:snapToGrid w:val="0"/>
        <w:spacing w:line="500" w:lineRule="exact"/>
        <w:ind w:firstLine="397"/>
        <w:rPr>
          <w:rFonts w:ascii="宋体" w:hAnsi="宋体"/>
          <w:color w:val="auto"/>
          <w:sz w:val="24"/>
        </w:rPr>
      </w:pPr>
      <w:r>
        <w:rPr>
          <w:rFonts w:ascii="宋体" w:hAnsi="宋体"/>
          <w:color w:val="auto"/>
          <w:sz w:val="24"/>
        </w:rPr>
        <w:t xml:space="preserve">9.1 </w:t>
      </w:r>
      <w:r>
        <w:rPr>
          <w:rFonts w:hint="eastAsia" w:ascii="宋体" w:hAnsi="宋体"/>
          <w:color w:val="auto"/>
          <w:sz w:val="24"/>
        </w:rPr>
        <w:t>承包人应按约定时间和要求，完成以下工作：</w:t>
      </w:r>
    </w:p>
    <w:p>
      <w:pPr>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）需由设计资质等级和业务范围允许的承包人完成的设计文件提交时间：</w:t>
      </w:r>
      <w:r>
        <w:rPr>
          <w:rFonts w:ascii="宋体" w:hAnsi="宋体"/>
          <w:color w:val="auto"/>
          <w:sz w:val="24"/>
          <w:u w:val="single"/>
        </w:rPr>
        <w:t xml:space="preserve">               </w:t>
      </w:r>
      <w:r>
        <w:rPr>
          <w:rFonts w:hint="eastAsia" w:ascii="宋体" w:hAnsi="宋体"/>
          <w:color w:val="auto"/>
          <w:sz w:val="24"/>
          <w:u w:val="single"/>
        </w:rPr>
        <w:t>/</w:t>
      </w:r>
      <w:r>
        <w:rPr>
          <w:rFonts w:ascii="宋体" w:hAnsi="宋体"/>
          <w:color w:val="auto"/>
          <w:sz w:val="24"/>
          <w:u w:val="single"/>
        </w:rPr>
        <w:t xml:space="preserve">                </w:t>
      </w:r>
      <w:r>
        <w:rPr>
          <w:rFonts w:hint="eastAsia" w:ascii="宋体" w:hAnsi="宋体"/>
          <w:color w:val="auto"/>
          <w:sz w:val="24"/>
        </w:rPr>
        <w:t>。</w:t>
      </w:r>
    </w:p>
    <w:p>
      <w:pPr>
        <w:snapToGrid w:val="0"/>
        <w:spacing w:line="500" w:lineRule="exact"/>
        <w:ind w:firstLine="397"/>
        <w:rPr>
          <w:rFonts w:ascii="宋体" w:hAnsi="宋体"/>
          <w:color w:val="auto"/>
          <w:sz w:val="24"/>
          <w:u w:val="single"/>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）应提供计划、报表的名称及完成时间：</w:t>
      </w:r>
      <w:r>
        <w:rPr>
          <w:rFonts w:hint="eastAsia" w:ascii="宋体" w:hAnsi="宋体"/>
          <w:color w:val="auto"/>
          <w:sz w:val="24"/>
          <w:u w:val="single"/>
        </w:rPr>
        <w:t>施工组织设计、管理人员架构表，于开工前三天报。提交工程年、季、月度计划及进度统计报表。</w:t>
      </w:r>
    </w:p>
    <w:p>
      <w:pPr>
        <w:snapToGrid w:val="0"/>
        <w:spacing w:line="500" w:lineRule="exact"/>
        <w:ind w:firstLine="397"/>
        <w:rPr>
          <w:rFonts w:ascii="宋体" w:hAnsi="宋体"/>
          <w:color w:val="auto"/>
          <w:sz w:val="24"/>
        </w:rPr>
      </w:pPr>
      <w:r>
        <w:rPr>
          <w:rFonts w:hint="eastAsia" w:ascii="宋体" w:hAnsi="宋体"/>
          <w:color w:val="auto"/>
          <w:sz w:val="24"/>
        </w:rPr>
        <w:t>（3）承担施工安全保卫工作及非夜间施工照明的责任和要求：</w:t>
      </w:r>
      <w:r>
        <w:rPr>
          <w:rFonts w:hint="eastAsia" w:ascii="宋体" w:hAnsi="宋体"/>
          <w:color w:val="auto"/>
          <w:sz w:val="24"/>
          <w:u w:val="single"/>
        </w:rPr>
        <w:t>按招标文件要求及国家、省、市、区相关规定执行，并满足本工程需要</w:t>
      </w:r>
      <w:r>
        <w:rPr>
          <w:rFonts w:hint="eastAsia" w:ascii="宋体" w:hAnsi="宋体"/>
          <w:color w:val="auto"/>
          <w:sz w:val="24"/>
        </w:rPr>
        <w:t>。</w:t>
      </w:r>
      <w:r>
        <w:rPr>
          <w:rFonts w:hint="eastAsia" w:ascii="宋体" w:hAnsi="宋体"/>
          <w:color w:val="auto"/>
          <w:sz w:val="24"/>
          <w:u w:val="single"/>
        </w:rPr>
        <w:t>根据工程需要，提供和维护施工使用的照明、围栏设施和警卫，并负责整个现场的安全文明施工、安全保卫。</w:t>
      </w:r>
    </w:p>
    <w:p>
      <w:pPr>
        <w:snapToGrid w:val="0"/>
        <w:spacing w:line="500" w:lineRule="exact"/>
        <w:ind w:firstLine="360" w:firstLineChars="150"/>
        <w:rPr>
          <w:rFonts w:ascii="宋体" w:hAnsi="宋体"/>
          <w:color w:val="auto"/>
          <w:sz w:val="24"/>
        </w:rPr>
      </w:pPr>
      <w:r>
        <w:rPr>
          <w:rFonts w:hint="eastAsia" w:ascii="宋体" w:hAnsi="宋体"/>
          <w:color w:val="auto"/>
          <w:sz w:val="24"/>
        </w:rPr>
        <w:t>（4）承包人自行解决办公、交通、生活及通讯等设施，费用已包含在</w:t>
      </w:r>
      <w:r>
        <w:rPr>
          <w:rFonts w:hint="eastAsia" w:ascii="宋体" w:hAnsi="宋体"/>
          <w:color w:val="auto"/>
          <w:sz w:val="24"/>
          <w:u w:val="single"/>
        </w:rPr>
        <w:t>本工程中标总造价中</w:t>
      </w:r>
      <w:r>
        <w:rPr>
          <w:rFonts w:hint="eastAsia" w:ascii="宋体" w:hAnsi="宋体"/>
          <w:color w:val="auto"/>
          <w:sz w:val="24"/>
        </w:rPr>
        <w:t>；向发包人或监理工程师提供的办公、交通和生活、通讯设施的要求：</w:t>
      </w:r>
      <w:r>
        <w:rPr>
          <w:rFonts w:hint="eastAsia" w:ascii="宋体" w:hAnsi="宋体"/>
          <w:color w:val="auto"/>
          <w:sz w:val="24"/>
          <w:u w:val="single"/>
        </w:rPr>
        <w:t>向发包人和监理单位总共提供具备办公条件的办公用房4间，面积不少于100㎡。（向发包人或监理提供的设施要求由业务部门确认）</w:t>
      </w:r>
    </w:p>
    <w:p>
      <w:pPr>
        <w:snapToGrid w:val="0"/>
        <w:spacing w:line="500" w:lineRule="exact"/>
        <w:ind w:firstLine="397"/>
        <w:rPr>
          <w:rFonts w:ascii="宋体" w:hAnsi="宋体"/>
          <w:color w:val="auto"/>
          <w:sz w:val="24"/>
          <w:u w:val="single"/>
        </w:rPr>
      </w:pPr>
      <w:r>
        <w:rPr>
          <w:rFonts w:hint="eastAsia" w:ascii="宋体" w:hAnsi="宋体"/>
          <w:color w:val="auto"/>
          <w:sz w:val="24"/>
        </w:rPr>
        <w:t>（5）需承包人办理有关施工场地交通、环卫和施工噪音管理等手续：</w:t>
      </w:r>
      <w:r>
        <w:rPr>
          <w:rFonts w:hint="eastAsia" w:ascii="宋体" w:hAnsi="宋体"/>
          <w:color w:val="auto"/>
          <w:sz w:val="24"/>
          <w:u w:val="single"/>
        </w:rPr>
        <w:t>承包人按本合同通用条款要求执行，并承担相关费用</w:t>
      </w:r>
      <w:r>
        <w:rPr>
          <w:rFonts w:hint="eastAsia" w:ascii="宋体" w:hAnsi="宋体"/>
          <w:color w:val="auto"/>
          <w:sz w:val="24"/>
        </w:rPr>
        <w:t>。</w:t>
      </w:r>
      <w:r>
        <w:rPr>
          <w:rFonts w:ascii="宋体" w:hAnsi="宋体"/>
          <w:color w:val="auto"/>
          <w:sz w:val="24"/>
        </w:rPr>
        <w:t xml:space="preserve"> </w:t>
      </w:r>
    </w:p>
    <w:p>
      <w:pPr>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）已完工程成品保护的特殊要求及费用承担：</w:t>
      </w:r>
      <w:r>
        <w:rPr>
          <w:rFonts w:ascii="宋体" w:hAnsi="宋体"/>
          <w:color w:val="auto"/>
          <w:sz w:val="24"/>
          <w:u w:val="single"/>
        </w:rPr>
        <w:t xml:space="preserve"> </w:t>
      </w:r>
      <w:r>
        <w:rPr>
          <w:rFonts w:hint="eastAsia" w:ascii="宋体" w:hAnsi="宋体"/>
          <w:color w:val="auto"/>
          <w:sz w:val="24"/>
          <w:u w:val="single"/>
        </w:rPr>
        <w:t>按本合同通用条款执行</w:t>
      </w:r>
      <w:r>
        <w:rPr>
          <w:rFonts w:hint="eastAsia" w:ascii="宋体" w:hAnsi="宋体"/>
          <w:color w:val="auto"/>
          <w:sz w:val="24"/>
        </w:rPr>
        <w:t>。</w:t>
      </w:r>
    </w:p>
    <w:p>
      <w:pPr>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）施工场地周围地下管线和邻近建筑物、构筑物（含文物保护建筑）、古树名木的保护要求及费用承担：</w:t>
      </w:r>
      <w:r>
        <w:rPr>
          <w:rFonts w:ascii="宋体" w:hAnsi="宋体"/>
          <w:color w:val="auto"/>
          <w:sz w:val="24"/>
          <w:u w:val="single"/>
        </w:rPr>
        <w:t xml:space="preserve"> </w:t>
      </w:r>
      <w:r>
        <w:rPr>
          <w:rFonts w:hint="eastAsia" w:ascii="宋体" w:hAnsi="宋体"/>
          <w:color w:val="auto"/>
          <w:sz w:val="24"/>
          <w:u w:val="single"/>
        </w:rPr>
        <w:t>除文物保护外的保护费用全部由承包人承担</w:t>
      </w:r>
      <w:r>
        <w:rPr>
          <w:rFonts w:hint="eastAsia" w:ascii="宋体" w:hAnsi="宋体"/>
          <w:color w:val="auto"/>
          <w:sz w:val="24"/>
        </w:rPr>
        <w:t>。</w:t>
      </w:r>
    </w:p>
    <w:p>
      <w:pPr>
        <w:snapToGrid w:val="0"/>
        <w:spacing w:line="500" w:lineRule="exact"/>
        <w:ind w:firstLine="397"/>
        <w:rPr>
          <w:rFonts w:ascii="宋体" w:hAnsi="宋体"/>
          <w:color w:val="auto"/>
          <w:sz w:val="24"/>
          <w:u w:val="single"/>
        </w:rPr>
      </w:pPr>
      <w:r>
        <w:rPr>
          <w:rFonts w:hint="eastAsia" w:ascii="宋体" w:hAnsi="宋体"/>
          <w:color w:val="auto"/>
          <w:sz w:val="24"/>
        </w:rPr>
        <w:t>（8）施工场地清洁卫生的要求：</w:t>
      </w:r>
      <w:r>
        <w:rPr>
          <w:rFonts w:ascii="宋体" w:hAnsi="宋体"/>
          <w:color w:val="auto"/>
          <w:sz w:val="24"/>
          <w:u w:val="single"/>
        </w:rPr>
        <w:t xml:space="preserve"> </w:t>
      </w:r>
      <w:r>
        <w:rPr>
          <w:rFonts w:hint="eastAsia" w:ascii="宋体" w:hAnsi="宋体"/>
          <w:color w:val="auto"/>
          <w:sz w:val="24"/>
          <w:u w:val="single"/>
        </w:rPr>
        <w:t>满足</w:t>
      </w:r>
      <w:r>
        <w:rPr>
          <w:rFonts w:hint="eastAsia" w:ascii="宋体" w:hAnsi="宋体"/>
          <w:color w:val="auto"/>
          <w:spacing w:val="-10"/>
          <w:sz w:val="24"/>
          <w:u w:val="single"/>
        </w:rPr>
        <w:t>文明施工要求</w:t>
      </w:r>
      <w:r>
        <w:rPr>
          <w:rFonts w:hint="eastAsia" w:ascii="宋体" w:hAnsi="宋体"/>
          <w:color w:val="auto"/>
          <w:spacing w:val="-10"/>
          <w:sz w:val="24"/>
        </w:rPr>
        <w:t>。</w:t>
      </w:r>
      <w:r>
        <w:rPr>
          <w:rFonts w:hint="eastAsia" w:ascii="宋体" w:hAnsi="宋体"/>
          <w:color w:val="auto"/>
          <w:sz w:val="24"/>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w:t>
      </w:r>
      <w:r>
        <w:rPr>
          <w:rFonts w:hint="eastAsia" w:ascii="宋体" w:hAnsi="宋体"/>
          <w:color w:val="auto"/>
          <w:sz w:val="24"/>
          <w:u w:val="single"/>
          <w:lang w:val="en-US" w:eastAsia="zh-CN"/>
        </w:rPr>
        <w:t>违约处理</w:t>
      </w:r>
      <w:r>
        <w:rPr>
          <w:rFonts w:hint="eastAsia" w:ascii="宋体" w:hAnsi="宋体"/>
          <w:color w:val="auto"/>
          <w:sz w:val="24"/>
          <w:u w:val="single"/>
        </w:rPr>
        <w:t>。</w:t>
      </w:r>
    </w:p>
    <w:p>
      <w:pPr>
        <w:snapToGrid w:val="0"/>
        <w:spacing w:line="500" w:lineRule="exact"/>
        <w:ind w:firstLine="397"/>
        <w:rPr>
          <w:rFonts w:ascii="宋体" w:hAnsi="宋体"/>
          <w:color w:val="auto"/>
          <w:sz w:val="24"/>
        </w:rPr>
      </w:pPr>
      <w:r>
        <w:rPr>
          <w:rFonts w:hint="eastAsia" w:ascii="宋体" w:hAnsi="宋体"/>
          <w:color w:val="auto"/>
          <w:sz w:val="24"/>
        </w:rPr>
        <w:t>（9）三方约定承包人应做的其他工作：</w:t>
      </w:r>
    </w:p>
    <w:p>
      <w:pPr>
        <w:snapToGrid w:val="0"/>
        <w:spacing w:line="500" w:lineRule="exact"/>
        <w:ind w:firstLine="360" w:firstLineChars="150"/>
        <w:rPr>
          <w:rFonts w:ascii="宋体" w:hAnsi="宋体"/>
          <w:color w:val="auto"/>
          <w:sz w:val="24"/>
        </w:rPr>
      </w:pPr>
      <w:r>
        <w:rPr>
          <w:rFonts w:hint="eastAsia" w:ascii="宋体" w:hAnsi="宋体"/>
          <w:color w:val="auto"/>
          <w:sz w:val="24"/>
        </w:rPr>
        <w:t xml:space="preserve"> 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w:t>
      </w:r>
      <w:r>
        <w:rPr>
          <w:rFonts w:hint="eastAsia" w:ascii="宋体" w:hAnsi="宋体"/>
          <w:color w:val="auto"/>
          <w:sz w:val="24"/>
          <w:lang w:val="en-US" w:eastAsia="zh-CN"/>
        </w:rPr>
        <w:t>他</w:t>
      </w:r>
      <w:r>
        <w:rPr>
          <w:rFonts w:hint="eastAsia" w:ascii="宋体" w:hAnsi="宋体"/>
          <w:color w:val="auto"/>
          <w:sz w:val="24"/>
        </w:rPr>
        <w:t>管理和配合服务。承包人应按照《广州市住房和城乡建设局关于规范房屋建筑工程施工承发包管理的通知》(穗建规字〔2019〕10号)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Pr>
          <w:rFonts w:hint="eastAsia" w:ascii="宋体" w:hAnsi="宋体"/>
          <w:b/>
          <w:color w:val="auto"/>
          <w:sz w:val="24"/>
        </w:rPr>
        <w:t>【总承包工程适用本条款】</w:t>
      </w:r>
    </w:p>
    <w:p>
      <w:pPr>
        <w:spacing w:line="500" w:lineRule="exact"/>
        <w:ind w:firstLine="360" w:firstLineChars="150"/>
        <w:rPr>
          <w:rFonts w:ascii="宋体" w:hAnsi="宋体"/>
          <w:color w:val="auto"/>
          <w:sz w:val="24"/>
        </w:rPr>
      </w:pPr>
      <w:r>
        <w:rPr>
          <w:rFonts w:hint="eastAsia" w:ascii="宋体" w:hAnsi="宋体"/>
          <w:color w:val="auto"/>
          <w:sz w:val="24"/>
        </w:rPr>
        <w:t>②建筑节能要求:按照《广州市绿色建筑和建筑节能管理规定》（根据2019年11月14日广州市人民政府令第168号第二次修订，如有新规定按新规定执行）的规定，承包人应</w:t>
      </w:r>
      <w:r>
        <w:rPr>
          <w:rFonts w:ascii="宋体" w:hAnsi="宋体"/>
          <w:color w:val="auto"/>
          <w:sz w:val="24"/>
        </w:rPr>
        <w:t>履行以下质量责任和义务</w:t>
      </w:r>
      <w:r>
        <w:rPr>
          <w:rFonts w:hint="eastAsia" w:ascii="宋体" w:hAnsi="宋体"/>
          <w:color w:val="auto"/>
          <w:sz w:val="24"/>
        </w:rPr>
        <w:t>：A、</w:t>
      </w:r>
      <w:r>
        <w:rPr>
          <w:rFonts w:ascii="宋体" w:hAnsi="宋体"/>
          <w:color w:val="auto"/>
          <w:sz w:val="24"/>
        </w:rPr>
        <w:t>严格按照审查合格的设计文件和建筑节能标准的要求进行施工，不得擅自修改设计文件。</w:t>
      </w:r>
      <w:r>
        <w:rPr>
          <w:rFonts w:hint="eastAsia" w:ascii="宋体" w:hAnsi="宋体"/>
          <w:color w:val="auto"/>
          <w:sz w:val="24"/>
        </w:rPr>
        <w:t>B、</w:t>
      </w:r>
      <w:r>
        <w:rPr>
          <w:rFonts w:ascii="宋体" w:hAnsi="宋体"/>
          <w:color w:val="auto"/>
          <w:sz w:val="24"/>
        </w:rPr>
        <w:t>对进入施工现场的墙体材料、保温材料、门窗部品等进行检验。对采暖空调系统、照明设备等进行检验，保证产品说明书和产品标识上注明的性能指标符合建筑节能要求。</w:t>
      </w:r>
      <w:r>
        <w:rPr>
          <w:rFonts w:hint="eastAsia" w:ascii="宋体" w:hAnsi="宋体"/>
          <w:color w:val="auto"/>
          <w:sz w:val="24"/>
        </w:rPr>
        <w:t>C、</w:t>
      </w:r>
      <w:r>
        <w:rPr>
          <w:rFonts w:ascii="宋体" w:hAnsi="宋体"/>
          <w:color w:val="auto"/>
          <w:sz w:val="24"/>
        </w:rPr>
        <w:t>应当编制建筑节能专项施工技术方案，并由施工单位专业技术人员及监理单位专业监理工程师进行审核，审核合格，由施工单位技术负责人及监理单位总监理工程师签字。</w:t>
      </w:r>
      <w:r>
        <w:rPr>
          <w:rFonts w:hint="eastAsia" w:ascii="宋体" w:hAnsi="宋体"/>
          <w:color w:val="auto"/>
          <w:sz w:val="24"/>
        </w:rPr>
        <w:t>D、</w:t>
      </w:r>
      <w:r>
        <w:rPr>
          <w:rFonts w:ascii="宋体" w:hAnsi="宋体"/>
          <w:color w:val="auto"/>
          <w:sz w:val="24"/>
        </w:rPr>
        <w:t>应当加强施工过程质量控制，特别应当加强对易产生热桥和热工缺陷等重要部位的质量控制，保证符合设计要求和有关节能标准规定。</w:t>
      </w:r>
      <w:r>
        <w:rPr>
          <w:rFonts w:hint="eastAsia" w:ascii="宋体" w:hAnsi="宋体"/>
          <w:color w:val="auto"/>
          <w:sz w:val="24"/>
        </w:rPr>
        <w:t>E、</w:t>
      </w:r>
      <w:r>
        <w:rPr>
          <w:rFonts w:ascii="宋体" w:hAnsi="宋体"/>
          <w:color w:val="auto"/>
          <w:sz w:val="24"/>
        </w:rPr>
        <w:t>对采暖空调、通风、电气等系统的调试，应当符合设计等要求。</w:t>
      </w:r>
      <w:r>
        <w:rPr>
          <w:rFonts w:hint="eastAsia" w:ascii="宋体" w:hAnsi="宋体"/>
          <w:color w:val="auto"/>
          <w:sz w:val="24"/>
        </w:rPr>
        <w:t>F、</w:t>
      </w:r>
      <w:r>
        <w:rPr>
          <w:rFonts w:ascii="宋体" w:hAnsi="宋体"/>
          <w:color w:val="auto"/>
          <w:sz w:val="24"/>
        </w:rPr>
        <w:t>保温工程等在保修范围和保修期限内发生质量问题的，施工单位应当履行保修义务，并对造成的损失承担赔偿责任。</w:t>
      </w:r>
    </w:p>
    <w:p>
      <w:pPr>
        <w:snapToGrid w:val="0"/>
        <w:spacing w:line="500" w:lineRule="exact"/>
        <w:ind w:firstLine="360" w:firstLineChars="150"/>
        <w:rPr>
          <w:rFonts w:ascii="宋体" w:hAnsi="宋体"/>
          <w:color w:val="auto"/>
          <w:sz w:val="24"/>
        </w:rPr>
      </w:pPr>
      <w:r>
        <w:rPr>
          <w:rFonts w:hint="eastAsia" w:ascii="宋体" w:hAnsi="宋体"/>
          <w:color w:val="auto"/>
          <w:sz w:val="24"/>
        </w:rPr>
        <w:t>③创“无渗漏”工程:</w:t>
      </w:r>
      <w:r>
        <w:rPr>
          <w:rFonts w:ascii="宋体" w:hAnsi="宋体"/>
          <w:color w:val="auto"/>
          <w:sz w:val="24"/>
        </w:rPr>
        <w:t>承包</w:t>
      </w:r>
      <w:r>
        <w:rPr>
          <w:rFonts w:hint="eastAsia" w:ascii="宋体" w:hAnsi="宋体"/>
          <w:color w:val="auto"/>
          <w:sz w:val="24"/>
        </w:rPr>
        <w:t>人为创“无渗漏”工程中必须承担的义务：对专业管线穿过楼地面或墙体等结构后留下的孔隙按要求进行填补，并达到防水的要求；卫生间、水池的试水：结构施工完成后做一次浸水试验、防水层施工完成后做一次浸水试验、管道安装完成后做一次浸水试验、装饰面层完成后做一次浸水试验、竣工验收前做一次浸水试验、移交前做一次浸水试验；屋面淋水试验：按GB50207-2002的要求做泼水、淋水、蓄水试验。以上试验所需费用已含在合同总价中。</w:t>
      </w:r>
    </w:p>
    <w:p>
      <w:pPr>
        <w:snapToGrid w:val="0"/>
        <w:spacing w:line="500" w:lineRule="exact"/>
        <w:ind w:firstLine="360" w:firstLineChars="150"/>
        <w:rPr>
          <w:rFonts w:ascii="宋体" w:hAnsi="宋体"/>
          <w:color w:val="auto"/>
          <w:sz w:val="24"/>
        </w:rPr>
      </w:pPr>
      <w:r>
        <w:rPr>
          <w:rFonts w:hint="eastAsia" w:ascii="宋体" w:hAnsi="宋体"/>
          <w:color w:val="auto"/>
          <w:sz w:val="24"/>
        </w:rPr>
        <w:t>④专业深化设计工程实行限额设计要求：(选择性条款)</w:t>
      </w:r>
    </w:p>
    <w:p>
      <w:pPr>
        <w:snapToGrid w:val="0"/>
        <w:spacing w:line="500" w:lineRule="exact"/>
        <w:ind w:firstLine="480" w:firstLineChars="200"/>
        <w:rPr>
          <w:rFonts w:ascii="宋体" w:hAnsi="宋体"/>
          <w:color w:val="auto"/>
          <w:sz w:val="24"/>
        </w:rPr>
      </w:pPr>
      <w:r>
        <w:rPr>
          <w:rFonts w:hint="eastAsia" w:ascii="宋体" w:hAnsi="宋体"/>
          <w:color w:val="auto"/>
          <w:sz w:val="24"/>
        </w:rPr>
        <w:t>1）中标后，部分需深化设计的专业工程（如弱电、电梯工程等）应由承包人负责按招标文件的技术要求及发包人规定的时限完成深化设计，深化设计图纸加盖出图章，并经总体设计单位审核及发包人、业主最终确认后方可按确认后的图纸施工。相关深化设计费包含在投标报价中，无论发包人是否提出变更，均无需另行支付设计费。</w:t>
      </w:r>
    </w:p>
    <w:p>
      <w:pPr>
        <w:snapToGrid w:val="0"/>
        <w:spacing w:line="500" w:lineRule="exact"/>
        <w:ind w:firstLine="480" w:firstLineChars="200"/>
        <w:rPr>
          <w:rFonts w:ascii="宋体" w:hAnsi="宋体"/>
          <w:color w:val="auto"/>
          <w:sz w:val="24"/>
        </w:rPr>
      </w:pPr>
      <w:r>
        <w:rPr>
          <w:rFonts w:hint="eastAsia" w:ascii="宋体" w:hAnsi="宋体"/>
          <w:color w:val="auto"/>
          <w:sz w:val="24"/>
        </w:rPr>
        <w:t>2）深化设计以承包人原对应专业工程的投标报价为上限，实行限额深化设计，除非属发包人对技术规范书（技术需求与标准）进行调整或有经发包人确认的工程变更，否则，超出限额的工程费用由承包人承担。如果因深化图纸未能满足使用功能需求而发生设计变更，工程费用一律不作调整。</w:t>
      </w:r>
    </w:p>
    <w:p>
      <w:pPr>
        <w:snapToGrid w:val="0"/>
        <w:spacing w:line="500" w:lineRule="exact"/>
        <w:ind w:firstLine="360" w:firstLineChars="150"/>
        <w:rPr>
          <w:rFonts w:ascii="宋体" w:hAnsi="宋体"/>
          <w:color w:val="auto"/>
          <w:sz w:val="24"/>
        </w:rPr>
      </w:pPr>
      <w:r>
        <w:rPr>
          <w:rFonts w:hint="eastAsia" w:ascii="宋体" w:hAnsi="宋体"/>
          <w:color w:val="auto"/>
          <w:sz w:val="24"/>
        </w:rPr>
        <w:t>⑤本工程要求达到“绿色建筑 星级”标准，承包人需协助发包人办理“绿色建筑评价标识”的相关申报工作。</w:t>
      </w:r>
    </w:p>
    <w:p>
      <w:pPr>
        <w:snapToGrid w:val="0"/>
        <w:spacing w:line="500" w:lineRule="exact"/>
        <w:ind w:firstLine="360" w:firstLineChars="150"/>
        <w:rPr>
          <w:rFonts w:ascii="宋体" w:hAnsi="宋体"/>
          <w:color w:val="auto"/>
          <w:sz w:val="24"/>
        </w:rPr>
      </w:pPr>
      <w:r>
        <w:rPr>
          <w:rFonts w:hint="eastAsia" w:ascii="宋体" w:hAnsi="宋体"/>
          <w:color w:val="auto"/>
          <w:sz w:val="24"/>
        </w:rPr>
        <w:t>⑥本工程采取样板先行的办法推进，样板涉及的全部费用已含在投标报价中，不另计费。</w:t>
      </w:r>
    </w:p>
    <w:p>
      <w:pPr>
        <w:snapToGrid w:val="0"/>
        <w:spacing w:line="440" w:lineRule="exact"/>
        <w:ind w:firstLine="397"/>
        <w:rPr>
          <w:rFonts w:ascii="宋体" w:hAnsi="宋体"/>
          <w:color w:val="auto"/>
          <w:sz w:val="24"/>
        </w:rPr>
      </w:pPr>
      <w:r>
        <w:rPr>
          <w:rFonts w:hint="eastAsia" w:ascii="宋体" w:hAnsi="宋体"/>
          <w:color w:val="auto"/>
          <w:sz w:val="24"/>
        </w:rPr>
        <w:t>⑦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pPr>
        <w:snapToGrid w:val="0"/>
        <w:spacing w:line="440" w:lineRule="exact"/>
        <w:ind w:firstLine="397"/>
        <w:rPr>
          <w:rFonts w:ascii="宋体" w:hAnsi="宋体"/>
          <w:color w:val="auto"/>
          <w:sz w:val="24"/>
        </w:rPr>
      </w:pPr>
      <w:r>
        <w:rPr>
          <w:rFonts w:hint="eastAsia" w:ascii="宋体" w:hAnsi="宋体"/>
          <w:color w:val="auto"/>
          <w:sz w:val="24"/>
        </w:rPr>
        <w:t>⑧承包人应按照《广州市建设领域工人工资支付分账管理实施细则》的规定选择商业银行开立工人工资支付专用账户，在用工之日起15日内为每个工人办理工人工资个人账户，保证按时足额支付工人工资。承包人应对依法分包的专业工程和劳务工程的承包人实施统一管理，严格按国家、省、市关于农民工工资实施总承包单位代发制度的相关规定代发分包单位工人工资。</w:t>
      </w:r>
    </w:p>
    <w:p>
      <w:pPr>
        <w:snapToGrid w:val="0"/>
        <w:spacing w:line="500" w:lineRule="exact"/>
        <w:ind w:firstLine="360" w:firstLineChars="150"/>
        <w:rPr>
          <w:rFonts w:hint="eastAsia" w:ascii="宋体" w:hAnsi="宋体"/>
          <w:color w:val="auto"/>
          <w:sz w:val="24"/>
        </w:rPr>
      </w:pPr>
      <w:r>
        <w:rPr>
          <w:rFonts w:hint="eastAsia" w:ascii="宋体" w:hAnsi="宋体"/>
          <w:color w:val="auto"/>
          <w:sz w:val="24"/>
        </w:rPr>
        <w:t>⑨承包人应当建立工人考勤、工资结算和支付等管理台账，存档备查，并将相关信息按月报送发包人及监理单位。</w:t>
      </w:r>
    </w:p>
    <w:p>
      <w:pPr>
        <w:snapToGrid w:val="0"/>
        <w:spacing w:line="500" w:lineRule="exact"/>
        <w:ind w:firstLine="360" w:firstLineChars="150"/>
        <w:rPr>
          <w:rFonts w:hint="eastAsia" w:ascii="宋体" w:hAnsi="宋体" w:eastAsia="宋体" w:cs="Times New Roman"/>
          <w:color w:val="auto"/>
          <w:sz w:val="24"/>
        </w:rPr>
      </w:pPr>
      <w:r>
        <w:rPr>
          <w:rFonts w:hint="eastAsia" w:ascii="宋体" w:hAnsi="宋体" w:eastAsia="宋体" w:cs="Times New Roman"/>
          <w:color w:val="auto"/>
          <w:sz w:val="24"/>
          <w:szCs w:val="22"/>
          <w:u w:val="none"/>
        </w:rPr>
        <w:fldChar w:fldCharType="begin"/>
      </w:r>
      <w:r>
        <w:rPr>
          <w:rFonts w:hint="eastAsia" w:ascii="宋体" w:hAnsi="宋体" w:eastAsia="宋体" w:cs="Times New Roman"/>
          <w:color w:val="auto"/>
          <w:sz w:val="24"/>
          <w:szCs w:val="22"/>
          <w:u w:val="none"/>
        </w:rPr>
        <w:instrText xml:space="preserve"> = 10 \* GB3 \* MERGEFORMAT </w:instrText>
      </w:r>
      <w:r>
        <w:rPr>
          <w:rFonts w:hint="eastAsia" w:ascii="宋体" w:hAnsi="宋体" w:eastAsia="宋体" w:cs="Times New Roman"/>
          <w:color w:val="auto"/>
          <w:sz w:val="24"/>
          <w:szCs w:val="22"/>
          <w:u w:val="none"/>
        </w:rPr>
        <w:fldChar w:fldCharType="separate"/>
      </w:r>
      <w:r>
        <w:rPr>
          <w:rFonts w:hint="eastAsia" w:ascii="宋体" w:hAnsi="宋体" w:eastAsia="宋体" w:cs="Times New Roman"/>
          <w:color w:val="auto"/>
          <w:sz w:val="24"/>
          <w:szCs w:val="22"/>
        </w:rPr>
        <w:t>⑩</w:t>
      </w:r>
      <w:r>
        <w:rPr>
          <w:rFonts w:hint="eastAsia" w:ascii="宋体" w:hAnsi="宋体" w:eastAsia="宋体" w:cs="Times New Roman"/>
          <w:color w:val="auto"/>
          <w:sz w:val="24"/>
          <w:szCs w:val="22"/>
          <w:u w:val="none"/>
        </w:rPr>
        <w:fldChar w:fldCharType="end"/>
      </w:r>
      <w:r>
        <w:rPr>
          <w:rFonts w:hint="eastAsia" w:ascii="宋体" w:hAnsi="宋体" w:eastAsia="宋体" w:cs="Times New Roman"/>
          <w:color w:val="auto"/>
          <w:sz w:val="24"/>
          <w:szCs w:val="22"/>
          <w:u w:val="none"/>
        </w:rPr>
        <w:t>为提升</w:t>
      </w:r>
      <w:r>
        <w:rPr>
          <w:rFonts w:hint="eastAsia" w:ascii="宋体" w:hAnsi="宋体" w:eastAsia="宋体" w:cs="Times New Roman"/>
          <w:color w:val="auto"/>
          <w:sz w:val="24"/>
          <w:szCs w:val="22"/>
          <w:u w:val="none"/>
          <w:lang w:val="en-US" w:eastAsia="zh-CN"/>
        </w:rPr>
        <w:t>发包</w:t>
      </w:r>
      <w:r>
        <w:rPr>
          <w:rFonts w:hint="eastAsia" w:ascii="宋体" w:hAnsi="宋体" w:eastAsia="宋体" w:cs="Times New Roman"/>
          <w:color w:val="auto"/>
          <w:sz w:val="24"/>
          <w:szCs w:val="22"/>
          <w:u w:val="none"/>
        </w:rPr>
        <w:t>人及承包人对接的工作效率，</w:t>
      </w:r>
      <w:r>
        <w:rPr>
          <w:rFonts w:hint="eastAsia" w:ascii="宋体" w:hAnsi="宋体" w:eastAsia="宋体" w:cs="Times New Roman"/>
          <w:color w:val="auto"/>
          <w:sz w:val="24"/>
          <w:szCs w:val="22"/>
          <w:u w:val="none"/>
          <w:lang w:val="en-US" w:eastAsia="zh-CN"/>
        </w:rPr>
        <w:t>承包</w:t>
      </w:r>
      <w:r>
        <w:rPr>
          <w:rFonts w:hint="eastAsia" w:ascii="宋体" w:hAnsi="宋体" w:eastAsia="宋体" w:cs="Times New Roman"/>
          <w:color w:val="auto"/>
          <w:sz w:val="24"/>
          <w:szCs w:val="22"/>
          <w:u w:val="none"/>
        </w:rPr>
        <w:t>人在签订合同前需向</w:t>
      </w:r>
      <w:r>
        <w:rPr>
          <w:rFonts w:hint="eastAsia" w:ascii="宋体" w:hAnsi="宋体" w:eastAsia="宋体" w:cs="Times New Roman"/>
          <w:color w:val="auto"/>
          <w:sz w:val="24"/>
          <w:szCs w:val="22"/>
          <w:u w:val="none"/>
          <w:lang w:val="en-US" w:eastAsia="zh-CN"/>
        </w:rPr>
        <w:t>发包</w:t>
      </w:r>
      <w:r>
        <w:rPr>
          <w:rFonts w:hint="eastAsia" w:ascii="宋体" w:hAnsi="宋体" w:eastAsia="宋体" w:cs="Times New Roman"/>
          <w:color w:val="auto"/>
          <w:sz w:val="24"/>
          <w:szCs w:val="22"/>
          <w:u w:val="none"/>
        </w:rPr>
        <w:t>人另行提供与投标递交的电子标书一致以广联达软件编制的工程量清单电子版</w:t>
      </w:r>
      <w:r>
        <w:rPr>
          <w:rFonts w:hint="eastAsia" w:ascii="宋体" w:hAnsi="宋体" w:eastAsia="宋体" w:cs="Times New Roman"/>
          <w:color w:val="auto"/>
          <w:sz w:val="24"/>
          <w:szCs w:val="22"/>
          <w:u w:val="none"/>
          <w:lang w:val="en-US" w:eastAsia="zh-CN"/>
        </w:rPr>
        <w:t>1</w:t>
      </w:r>
      <w:r>
        <w:rPr>
          <w:rFonts w:hint="eastAsia" w:ascii="宋体" w:hAnsi="宋体" w:eastAsia="宋体" w:cs="Times New Roman"/>
          <w:color w:val="auto"/>
          <w:sz w:val="24"/>
          <w:szCs w:val="22"/>
          <w:u w:val="none"/>
        </w:rPr>
        <w:t>套，纸质版</w:t>
      </w:r>
      <w:r>
        <w:rPr>
          <w:rFonts w:hint="eastAsia" w:ascii="宋体" w:hAnsi="宋体" w:eastAsia="宋体" w:cs="Times New Roman"/>
          <w:color w:val="auto"/>
          <w:sz w:val="24"/>
          <w:szCs w:val="22"/>
          <w:u w:val="none"/>
          <w:lang w:val="en-US" w:eastAsia="zh-CN"/>
        </w:rPr>
        <w:t>4</w:t>
      </w:r>
      <w:r>
        <w:rPr>
          <w:rFonts w:hint="eastAsia" w:ascii="宋体" w:hAnsi="宋体" w:eastAsia="宋体" w:cs="Times New Roman"/>
          <w:color w:val="auto"/>
          <w:sz w:val="24"/>
          <w:szCs w:val="22"/>
          <w:u w:val="none"/>
        </w:rPr>
        <w:t>套</w:t>
      </w:r>
    </w:p>
    <w:p>
      <w:pPr>
        <w:snapToGrid w:val="0"/>
        <w:spacing w:line="500" w:lineRule="exact"/>
        <w:ind w:firstLine="360" w:firstLineChars="150"/>
        <w:rPr>
          <w:rFonts w:ascii="宋体" w:hAnsi="宋体"/>
          <w:color w:val="auto"/>
          <w:sz w:val="24"/>
        </w:rPr>
      </w:pPr>
    </w:p>
    <w:p>
      <w:pPr>
        <w:snapToGrid w:val="0"/>
        <w:spacing w:line="500" w:lineRule="exact"/>
        <w:ind w:firstLine="397"/>
        <w:rPr>
          <w:rFonts w:ascii="宋体" w:hAnsi="宋体"/>
          <w:b/>
          <w:color w:val="auto"/>
          <w:sz w:val="24"/>
        </w:rPr>
      </w:pPr>
      <w:r>
        <w:rPr>
          <w:rFonts w:hint="eastAsia" w:ascii="宋体" w:hAnsi="宋体"/>
          <w:b/>
          <w:color w:val="auto"/>
          <w:sz w:val="24"/>
        </w:rPr>
        <w:t>三、施工组织设计和工期</w:t>
      </w:r>
    </w:p>
    <w:p>
      <w:pPr>
        <w:snapToGrid w:val="0"/>
        <w:spacing w:line="500" w:lineRule="exact"/>
        <w:ind w:firstLine="397"/>
        <w:rPr>
          <w:rFonts w:ascii="宋体" w:hAnsi="宋体"/>
          <w:b/>
          <w:color w:val="auto"/>
          <w:sz w:val="24"/>
        </w:rPr>
      </w:pPr>
      <w:r>
        <w:rPr>
          <w:rFonts w:ascii="宋体" w:hAnsi="宋体"/>
          <w:b/>
          <w:color w:val="auto"/>
          <w:sz w:val="24"/>
        </w:rPr>
        <w:t>10</w:t>
      </w:r>
      <w:r>
        <w:rPr>
          <w:rFonts w:hint="eastAsia" w:ascii="宋体" w:hAnsi="宋体"/>
          <w:b/>
          <w:color w:val="auto"/>
          <w:sz w:val="24"/>
        </w:rPr>
        <w:t>、进度计划</w:t>
      </w:r>
    </w:p>
    <w:p>
      <w:pPr>
        <w:snapToGrid w:val="0"/>
        <w:spacing w:line="500" w:lineRule="exact"/>
        <w:ind w:firstLine="480" w:firstLineChars="200"/>
        <w:rPr>
          <w:rFonts w:ascii="宋体" w:hAnsi="宋体"/>
          <w:color w:val="auto"/>
          <w:sz w:val="24"/>
        </w:rPr>
      </w:pPr>
      <w:r>
        <w:rPr>
          <w:rFonts w:hint="eastAsia" w:ascii="宋体" w:hAnsi="宋体"/>
          <w:color w:val="auto"/>
          <w:sz w:val="24"/>
        </w:rPr>
        <w:t>10.1 承包人提供施工组织设计(施工方案)和进度计划时间：</w:t>
      </w:r>
    </w:p>
    <w:p>
      <w:pPr>
        <w:snapToGrid w:val="0"/>
        <w:spacing w:line="500" w:lineRule="exact"/>
        <w:ind w:firstLine="756" w:firstLineChars="315"/>
        <w:rPr>
          <w:rFonts w:ascii="宋体" w:hAnsi="宋体"/>
          <w:color w:val="auto"/>
          <w:sz w:val="24"/>
          <w:u w:val="single"/>
        </w:rPr>
      </w:pPr>
      <w:r>
        <w:rPr>
          <w:rFonts w:hint="eastAsia" w:ascii="宋体" w:hAnsi="宋体"/>
          <w:color w:val="auto"/>
          <w:sz w:val="24"/>
          <w:u w:val="single"/>
        </w:rPr>
        <w:t>1）承包人应于接到中标通知书后4天内向发包人提交总体工程进度计划（网络计划），并于开工前3天内提交施工组织设计（施工方案）给发包人。</w:t>
      </w:r>
    </w:p>
    <w:p>
      <w:pPr>
        <w:snapToGrid w:val="0"/>
        <w:spacing w:line="500" w:lineRule="exact"/>
        <w:ind w:firstLine="516" w:firstLineChars="215"/>
        <w:rPr>
          <w:rFonts w:ascii="宋体" w:hAnsi="宋体"/>
          <w:color w:val="auto"/>
          <w:sz w:val="24"/>
          <w:u w:val="single"/>
        </w:rPr>
      </w:pPr>
      <w:r>
        <w:rPr>
          <w:rFonts w:hint="eastAsia" w:ascii="宋体" w:hAnsi="宋体"/>
          <w:color w:val="auto"/>
          <w:sz w:val="24"/>
          <w:u w:val="single"/>
        </w:rPr>
        <w:t>承包人提交的施工组织设计应当按监理工程师及国家、省、市及广州开发区关于施工承包管理的要求编制。</w:t>
      </w:r>
    </w:p>
    <w:p>
      <w:pPr>
        <w:snapToGrid w:val="0"/>
        <w:spacing w:line="500" w:lineRule="exact"/>
        <w:ind w:firstLine="516" w:firstLineChars="215"/>
        <w:rPr>
          <w:rFonts w:ascii="宋体" w:hAnsi="宋体"/>
          <w:color w:val="auto"/>
          <w:sz w:val="24"/>
        </w:rPr>
      </w:pPr>
      <w:r>
        <w:rPr>
          <w:rFonts w:hint="eastAsia" w:ascii="宋体" w:hAnsi="宋体"/>
          <w:color w:val="auto"/>
          <w:sz w:val="24"/>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p>
    <w:p>
      <w:pPr>
        <w:snapToGrid w:val="0"/>
        <w:spacing w:line="500" w:lineRule="exact"/>
        <w:ind w:firstLine="516" w:firstLineChars="215"/>
        <w:rPr>
          <w:rFonts w:ascii="宋体" w:hAnsi="宋体"/>
          <w:color w:val="auto"/>
          <w:sz w:val="24"/>
          <w:u w:val="single"/>
        </w:rPr>
      </w:pPr>
      <w:r>
        <w:rPr>
          <w:rFonts w:hint="eastAsia" w:ascii="宋体" w:hAnsi="宋体"/>
          <w:color w:val="auto"/>
          <w:sz w:val="24"/>
        </w:rPr>
        <w:t>2）</w:t>
      </w:r>
      <w:r>
        <w:rPr>
          <w:rFonts w:hint="eastAsia" w:ascii="宋体" w:hAnsi="宋体"/>
          <w:color w:val="auto"/>
          <w:sz w:val="24"/>
          <w:u w:val="single"/>
        </w:rPr>
        <w:t>总监理工程师在接到承包人提交的施工组织设计和工程进度计划后，予以确认或提出修改意见。</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工程师确认的时间：</w:t>
      </w:r>
      <w:r>
        <w:rPr>
          <w:rFonts w:hint="eastAsia" w:ascii="宋体" w:hAnsi="宋体"/>
          <w:color w:val="auto"/>
          <w:sz w:val="24"/>
          <w:u w:val="single"/>
        </w:rPr>
        <w:t>开工前。</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10.2</w:t>
      </w:r>
      <w:r>
        <w:rPr>
          <w:rFonts w:hint="eastAsia" w:ascii="宋体" w:hAnsi="宋体"/>
          <w:color w:val="auto"/>
          <w:sz w:val="24"/>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w:t>
      </w:r>
      <w:r>
        <w:rPr>
          <w:rFonts w:hint="eastAsia" w:ascii="宋体" w:hAnsi="宋体"/>
          <w:color w:val="auto"/>
          <w:sz w:val="24"/>
          <w:u w:val="single"/>
          <w:lang w:val="en-US" w:eastAsia="zh-CN"/>
        </w:rPr>
        <w:t>他</w:t>
      </w:r>
      <w:r>
        <w:rPr>
          <w:rFonts w:hint="eastAsia" w:ascii="宋体" w:hAnsi="宋体"/>
          <w:color w:val="auto"/>
          <w:sz w:val="24"/>
          <w:u w:val="single"/>
        </w:rPr>
        <w:t>工作计划。总监理工程师在接到报告后予以确认或提出书面意见，承包人必须按照总监理工程师的确认或者书面意见执行。（报监理工程师的同时，抄送一份给发包人。）</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10.3</w:t>
      </w:r>
      <w:r>
        <w:rPr>
          <w:rFonts w:hint="eastAsia" w:ascii="宋体" w:hAnsi="宋体"/>
          <w:color w:val="auto"/>
          <w:sz w:val="24"/>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pPr>
        <w:snapToGrid w:val="0"/>
        <w:spacing w:line="500" w:lineRule="exact"/>
        <w:ind w:firstLine="482" w:firstLineChars="200"/>
        <w:rPr>
          <w:rFonts w:ascii="宋体" w:hAnsi="宋体"/>
          <w:b/>
          <w:color w:val="auto"/>
          <w:sz w:val="24"/>
        </w:rPr>
      </w:pPr>
      <w:r>
        <w:rPr>
          <w:rFonts w:hint="eastAsia" w:ascii="宋体" w:hAnsi="宋体"/>
          <w:b/>
          <w:color w:val="auto"/>
          <w:sz w:val="24"/>
        </w:rPr>
        <w:t>11、开工及延期开工</w:t>
      </w:r>
    </w:p>
    <w:p>
      <w:pPr>
        <w:snapToGrid w:val="0"/>
        <w:spacing w:line="500" w:lineRule="exact"/>
        <w:ind w:firstLine="480" w:firstLineChars="200"/>
        <w:rPr>
          <w:rFonts w:ascii="宋体" w:hAnsi="宋体"/>
          <w:color w:val="auto"/>
          <w:sz w:val="24"/>
        </w:rPr>
      </w:pPr>
      <w:r>
        <w:rPr>
          <w:rFonts w:hint="eastAsia" w:ascii="宋体" w:hAnsi="宋体"/>
          <w:color w:val="auto"/>
          <w:sz w:val="24"/>
        </w:rPr>
        <w:t>11.1 开工日期和竣工日期</w:t>
      </w:r>
    </w:p>
    <w:p>
      <w:pPr>
        <w:snapToGrid w:val="0"/>
        <w:spacing w:line="500" w:lineRule="exact"/>
        <w:ind w:firstLine="480" w:firstLineChars="200"/>
        <w:rPr>
          <w:rFonts w:ascii="宋体" w:hAnsi="宋体"/>
          <w:color w:val="auto"/>
          <w:sz w:val="24"/>
        </w:rPr>
      </w:pPr>
      <w:r>
        <w:rPr>
          <w:rFonts w:hint="eastAsia" w:ascii="宋体" w:hAnsi="宋体"/>
          <w:color w:val="auto"/>
          <w:sz w:val="24"/>
        </w:rPr>
        <w:t>11.1.1 本工程工期为</w:t>
      </w:r>
      <w:r>
        <w:rPr>
          <w:rFonts w:hint="eastAsia" w:ascii="宋体" w:hAnsi="宋体"/>
          <w:color w:val="auto"/>
          <w:sz w:val="24"/>
          <w:u w:val="single"/>
        </w:rPr>
        <w:t xml:space="preserve">     </w:t>
      </w:r>
      <w:r>
        <w:rPr>
          <w:rFonts w:hint="eastAsia" w:ascii="宋体" w:hAnsi="宋体"/>
          <w:color w:val="auto"/>
          <w:sz w:val="24"/>
        </w:rPr>
        <w:t>日历天。其中开工时间初定为</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日。（具体开工日期以发包人或监理单位开工令或批准的开工报告日期为准） </w:t>
      </w:r>
    </w:p>
    <w:p>
      <w:pPr>
        <w:snapToGrid w:val="0"/>
        <w:spacing w:line="500" w:lineRule="exact"/>
        <w:ind w:firstLine="480" w:firstLineChars="200"/>
        <w:rPr>
          <w:rFonts w:ascii="宋体" w:hAnsi="宋体"/>
          <w:color w:val="auto"/>
          <w:sz w:val="24"/>
        </w:rPr>
      </w:pPr>
      <w:r>
        <w:rPr>
          <w:rFonts w:hint="eastAsia" w:ascii="宋体" w:hAnsi="宋体"/>
          <w:color w:val="auto"/>
          <w:sz w:val="24"/>
        </w:rPr>
        <w:t>11.1.2 承包人必须采取一切有效措施保证竣工日期，不得延误。除非发生了以下情形：</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（1）政府对本工程建设项目作出停建、缓建的决定；</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（2）重大设计变更导致本工程在规划、使用、功能方面有重大调整；</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（3）不可抗力持续影响而延误工期超过12天以上。</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（4）本合同专用条款约定的其他非承包人原因导致的工期延误。</w:t>
      </w:r>
    </w:p>
    <w:p>
      <w:pPr>
        <w:snapToGrid w:val="0"/>
        <w:spacing w:line="500" w:lineRule="exact"/>
        <w:ind w:firstLine="480" w:firstLineChars="200"/>
        <w:rPr>
          <w:rFonts w:ascii="宋体" w:hAnsi="宋体"/>
          <w:color w:val="auto"/>
          <w:sz w:val="24"/>
        </w:rPr>
      </w:pPr>
      <w:r>
        <w:rPr>
          <w:rFonts w:hint="eastAsia" w:ascii="宋体" w:hAnsi="宋体"/>
          <w:color w:val="auto"/>
          <w:sz w:val="24"/>
        </w:rPr>
        <w:t>11.2 延期开工：</w:t>
      </w:r>
    </w:p>
    <w:p>
      <w:pPr>
        <w:adjustRightInd w:val="0"/>
        <w:snapToGrid w:val="0"/>
        <w:spacing w:line="500" w:lineRule="exact"/>
        <w:ind w:right="11" w:firstLine="420" w:firstLineChars="175"/>
        <w:rPr>
          <w:rFonts w:ascii="宋体" w:hAnsi="宋体"/>
          <w:color w:val="auto"/>
          <w:sz w:val="24"/>
          <w:u w:val="single"/>
        </w:rPr>
      </w:pPr>
      <w:r>
        <w:rPr>
          <w:rFonts w:hint="eastAsia" w:ascii="宋体" w:hAnsi="宋体"/>
          <w:color w:val="auto"/>
          <w:sz w:val="24"/>
        </w:rPr>
        <w:t xml:space="preserve">11.2.1 </w:t>
      </w:r>
      <w:r>
        <w:rPr>
          <w:rFonts w:hint="eastAsia" w:ascii="宋体" w:hAnsi="宋体"/>
          <w:color w:val="auto"/>
          <w:sz w:val="24"/>
          <w:u w:val="single"/>
        </w:rPr>
        <w:t>因发包人原因不能按照协议书约定的开工日期开工或暂停施工的，总监理工程师应通知承包人推迟开工日期，经监理单位、发包人确认后，工期可相应顺延，但不作费用补偿。</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 xml:space="preserve">11.2.2 </w:t>
      </w:r>
      <w:r>
        <w:rPr>
          <w:rFonts w:hint="eastAsia" w:ascii="宋体" w:hAnsi="宋体"/>
          <w:color w:val="auto"/>
          <w:sz w:val="24"/>
          <w:u w:val="single"/>
        </w:rPr>
        <w:t>承包人未能主动及时地履行其协调、配合服务义务而造成专业承包单位无法开工，由此产生的工期延误等损失由承包人承担，并承担违约责任。</w:t>
      </w:r>
    </w:p>
    <w:p>
      <w:pPr>
        <w:snapToGrid w:val="0"/>
        <w:spacing w:line="500" w:lineRule="exact"/>
        <w:ind w:firstLine="482" w:firstLineChars="200"/>
        <w:rPr>
          <w:rFonts w:ascii="宋体" w:hAnsi="宋体"/>
          <w:b/>
          <w:color w:val="auto"/>
          <w:sz w:val="24"/>
        </w:rPr>
      </w:pPr>
      <w:r>
        <w:rPr>
          <w:rFonts w:hint="eastAsia" w:ascii="宋体" w:hAnsi="宋体"/>
          <w:b/>
          <w:color w:val="auto"/>
          <w:sz w:val="24"/>
        </w:rPr>
        <w:t>12、暂停施工</w:t>
      </w:r>
    </w:p>
    <w:p>
      <w:pPr>
        <w:snapToGrid w:val="0"/>
        <w:spacing w:line="500" w:lineRule="exact"/>
        <w:ind w:firstLine="480" w:firstLineChars="200"/>
        <w:rPr>
          <w:rFonts w:ascii="宋体" w:hAnsi="宋体"/>
          <w:color w:val="auto"/>
          <w:sz w:val="24"/>
        </w:rPr>
      </w:pPr>
      <w:r>
        <w:rPr>
          <w:rFonts w:hint="eastAsia" w:ascii="宋体" w:hAnsi="宋体"/>
          <w:color w:val="auto"/>
          <w:sz w:val="24"/>
        </w:rPr>
        <w:t>12.1因下列原因，总监理工程师报经发包人同意，可通知承包人暂停施工：</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（1）工程设计发生重大变更；</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（2</w:t>
      </w:r>
      <w:r>
        <w:rPr>
          <w:rFonts w:ascii="宋体" w:hAnsi="宋体"/>
          <w:color w:val="auto"/>
          <w:sz w:val="24"/>
          <w:u w:val="single"/>
        </w:rPr>
        <w:t>）</w:t>
      </w:r>
      <w:r>
        <w:rPr>
          <w:rFonts w:hint="eastAsia" w:ascii="宋体" w:hAnsi="宋体"/>
          <w:color w:val="auto"/>
          <w:sz w:val="24"/>
          <w:u w:val="single"/>
        </w:rPr>
        <w:t>不可抗力；</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（3）质量事故；</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（4）安全生产事故；</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（5）因承包人管理不善，可能导致现场混乱；</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（6）承包人违规施工，经监理工程师通知改正但仍不执行。</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承包人不得以与发包人有争议为由或者以争议未解决为由而单方面停工。否则，应按约定承担工期延误的违约责任。</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因发生上述第（1）、（2）项原因而暂停施工的，工期可协商调整，因发生上述第（3）、（4）、（5）、（6）项原因而暂停施工的，工期不予顺延,承包人必须承担由此发生的费用并向发包人承担违约责任。</w:t>
      </w:r>
    </w:p>
    <w:p>
      <w:pPr>
        <w:snapToGrid w:val="0"/>
        <w:spacing w:line="500" w:lineRule="exact"/>
        <w:ind w:firstLine="480" w:firstLineChars="200"/>
        <w:rPr>
          <w:rFonts w:ascii="宋体" w:hAnsi="宋体"/>
          <w:color w:val="auto"/>
          <w:sz w:val="24"/>
        </w:rPr>
      </w:pPr>
      <w:r>
        <w:rPr>
          <w:rFonts w:hint="eastAsia" w:ascii="宋体" w:hAnsi="宋体"/>
          <w:color w:val="auto"/>
          <w:sz w:val="24"/>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(1)拒绝监理单位管理；</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(2)施工组织设计（方案）未获总监理工程师批准而进行施工；</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(3)未经监理单位检验而进行下一道工序作业者；</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(4)擅自采用未经监理单位及发包人认可或批准的材料的，或者使用的原材料、构配件不合格或未经检查确认的，或者擅自采用未经认可的代用材料的；</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(5)擅自变更设计图纸的要求；</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(6)转包工程；</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(7)擅自让未经总监理工程师批准的专业承包单位进场作业；</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(8)存在安全隐患，未按监理单位要求及时进行整改；</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(9)未按三方约定的资料上报要求上报所需资料的。</w:t>
      </w:r>
    </w:p>
    <w:p>
      <w:pPr>
        <w:snapToGrid w:val="0"/>
        <w:spacing w:line="500" w:lineRule="exact"/>
        <w:ind w:firstLine="480" w:firstLineChars="200"/>
        <w:rPr>
          <w:rFonts w:ascii="宋体" w:hAnsi="宋体"/>
          <w:color w:val="auto"/>
          <w:sz w:val="24"/>
        </w:rPr>
      </w:pPr>
      <w:r>
        <w:rPr>
          <w:rFonts w:hint="eastAsia" w:ascii="宋体" w:hAnsi="宋体"/>
          <w:color w:val="auto"/>
          <w:sz w:val="24"/>
        </w:rPr>
        <w:t>12.3因不可抗力引起工程停工，工期按第12.1款约定执行，费用承担按以下原则：</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（1）因工程损害导致第三方人员伤亡和财产损失，如系在工程竣工验收合格移交给发包人使用前造成的，费用由承包人承担；如系在工程竣工验收合格移交给发包人使用后发生的，费用由发包人承担。</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（2）运至施工场地用于施工的材料和待安装的设备的损害，属发包人供应的由发包人承担；属承包人采购的由承包人承担。</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（3）发包人承包人人员伤亡由其所在单位负责，并承担相应费用。</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（4）承包人机械设备损坏及停工损失由承包人承担。</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（5）停工期间，承包人应总监理工程师要求留在施工场地的必要的管理人员及保卫人员的费用由承包人承担。</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（6）工程所需清理、修复费用由发包人承担。</w:t>
      </w:r>
    </w:p>
    <w:p>
      <w:pPr>
        <w:snapToGrid w:val="0"/>
        <w:spacing w:line="500" w:lineRule="exact"/>
        <w:ind w:firstLine="480" w:firstLineChars="200"/>
        <w:rPr>
          <w:rFonts w:ascii="宋体" w:hAnsi="宋体"/>
          <w:color w:val="auto"/>
          <w:sz w:val="24"/>
        </w:rPr>
      </w:pPr>
      <w:r>
        <w:rPr>
          <w:rFonts w:hint="eastAsia" w:ascii="宋体" w:hAnsi="宋体"/>
          <w:color w:val="auto"/>
          <w:sz w:val="24"/>
        </w:rPr>
        <w:t>12.4由于承包人自身原因或施工承包管理、配合及协调不力，而导致专业承包工程停工，产生的费用由承包人承担。</w:t>
      </w:r>
    </w:p>
    <w:p>
      <w:pPr>
        <w:snapToGrid w:val="0"/>
        <w:spacing w:line="500" w:lineRule="exact"/>
        <w:ind w:firstLine="397"/>
        <w:rPr>
          <w:rFonts w:ascii="宋体" w:hAnsi="宋体"/>
          <w:b/>
          <w:color w:val="auto"/>
          <w:sz w:val="24"/>
        </w:rPr>
      </w:pPr>
      <w:r>
        <w:rPr>
          <w:rFonts w:hint="eastAsia" w:ascii="宋体" w:hAnsi="宋体"/>
          <w:b/>
          <w:color w:val="auto"/>
          <w:sz w:val="24"/>
        </w:rPr>
        <w:t>13、工期延误</w:t>
      </w:r>
    </w:p>
    <w:p>
      <w:pPr>
        <w:spacing w:line="500" w:lineRule="exact"/>
        <w:ind w:firstLine="480" w:firstLineChars="200"/>
        <w:rPr>
          <w:rFonts w:ascii="宋体" w:hAnsi="宋体"/>
          <w:color w:val="auto"/>
          <w:sz w:val="24"/>
        </w:rPr>
      </w:pPr>
      <w:r>
        <w:rPr>
          <w:rFonts w:ascii="宋体" w:hAnsi="宋体"/>
          <w:color w:val="auto"/>
          <w:sz w:val="24"/>
        </w:rPr>
        <w:t>13.</w:t>
      </w:r>
      <w:r>
        <w:rPr>
          <w:rFonts w:hint="eastAsia" w:ascii="宋体" w:hAnsi="宋体"/>
          <w:color w:val="auto"/>
          <w:sz w:val="24"/>
        </w:rPr>
        <w:t>2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p>
    <w:p>
      <w:pPr>
        <w:spacing w:line="500" w:lineRule="exact"/>
        <w:ind w:firstLine="480" w:firstLineChars="200"/>
        <w:rPr>
          <w:rFonts w:hint="eastAsia" w:ascii="宋体" w:hAnsi="宋体" w:cs="Times New Roman"/>
          <w:color w:val="auto"/>
          <w:sz w:val="24"/>
        </w:rPr>
      </w:pPr>
      <w:r>
        <w:rPr>
          <w:rFonts w:hint="eastAsia" w:ascii="宋体" w:hAnsi="宋体" w:cs="Times New Roman"/>
          <w:color w:val="auto"/>
          <w:sz w:val="24"/>
        </w:rPr>
        <w:t>13.3因承包人对各专业承包工程组织管理不力或未能提供协调、配合服务，以致专业承包工程的进度影响工期，承包人不得以此为由提出延长工期的要求。</w:t>
      </w:r>
    </w:p>
    <w:p>
      <w:pPr>
        <w:snapToGrid w:val="0"/>
        <w:spacing w:line="500" w:lineRule="exact"/>
        <w:ind w:firstLine="397"/>
        <w:rPr>
          <w:rFonts w:ascii="宋体" w:hAnsi="宋体"/>
          <w:b/>
          <w:color w:val="auto"/>
          <w:sz w:val="24"/>
        </w:rPr>
      </w:pPr>
      <w:r>
        <w:rPr>
          <w:rFonts w:hint="eastAsia" w:ascii="宋体" w:hAnsi="宋体"/>
          <w:b/>
          <w:color w:val="auto"/>
          <w:sz w:val="24"/>
        </w:rPr>
        <w:t>四、质量与验收</w:t>
      </w:r>
    </w:p>
    <w:p>
      <w:pPr>
        <w:snapToGrid w:val="0"/>
        <w:spacing w:line="500" w:lineRule="exact"/>
        <w:ind w:firstLine="397"/>
        <w:rPr>
          <w:rFonts w:ascii="宋体" w:hAnsi="宋体"/>
          <w:b/>
          <w:color w:val="auto"/>
          <w:sz w:val="24"/>
        </w:rPr>
      </w:pPr>
      <w:r>
        <w:rPr>
          <w:rFonts w:hint="eastAsia" w:ascii="宋体" w:hAnsi="宋体"/>
          <w:b/>
          <w:color w:val="auto"/>
          <w:sz w:val="24"/>
        </w:rPr>
        <w:t>15、工程质量</w:t>
      </w:r>
    </w:p>
    <w:p>
      <w:pPr>
        <w:pStyle w:val="119"/>
        <w:snapToGrid w:val="0"/>
        <w:spacing w:line="500" w:lineRule="exact"/>
        <w:ind w:firstLine="495"/>
        <w:rPr>
          <w:rFonts w:ascii="宋体" w:hAnsi="宋体"/>
          <w:bCs/>
          <w:color w:val="auto"/>
          <w:sz w:val="24"/>
          <w:u w:val="single"/>
        </w:rPr>
      </w:pPr>
      <w:r>
        <w:rPr>
          <w:rFonts w:hint="eastAsia" w:ascii="宋体" w:hAnsi="宋体"/>
          <w:bCs/>
          <w:color w:val="auto"/>
          <w:sz w:val="24"/>
        </w:rPr>
        <w:t>15.3</w:t>
      </w:r>
      <w:r>
        <w:rPr>
          <w:rFonts w:hint="eastAsia" w:ascii="宋体" w:hAnsi="宋体"/>
          <w:bCs/>
          <w:color w:val="auto"/>
          <w:sz w:val="24"/>
          <w:u w:val="single"/>
        </w:rPr>
        <w:t>承包人必须严格按照设计施工图和国家及行业颁发的现行有关设计、施工及验收规范的要求进行施工，工程规模符合申报“</w:t>
      </w:r>
      <w:r>
        <w:rPr>
          <w:rFonts w:hint="eastAsia" w:ascii="宋体" w:hAnsi="宋体"/>
          <w:bCs/>
          <w:color w:val="auto"/>
          <w:sz w:val="24"/>
          <w:u w:val="single"/>
          <w:lang w:eastAsia="zh-CN"/>
        </w:rPr>
        <w:t>广东省建设工程优质奖</w:t>
      </w:r>
      <w:r>
        <w:rPr>
          <w:rFonts w:hint="eastAsia" w:ascii="宋体" w:hAnsi="宋体"/>
          <w:bCs/>
          <w:color w:val="auto"/>
          <w:sz w:val="24"/>
          <w:u w:val="single"/>
        </w:rPr>
        <w:t>”的，需达到“</w:t>
      </w:r>
      <w:r>
        <w:rPr>
          <w:rFonts w:hint="eastAsia" w:ascii="宋体" w:hAnsi="宋体"/>
          <w:bCs/>
          <w:color w:val="auto"/>
          <w:sz w:val="24"/>
          <w:u w:val="single"/>
          <w:lang w:eastAsia="zh-CN"/>
        </w:rPr>
        <w:t>广东省建设工程优质奖</w:t>
      </w:r>
      <w:r>
        <w:rPr>
          <w:rFonts w:hint="eastAsia" w:ascii="宋体" w:hAnsi="宋体"/>
          <w:bCs/>
          <w:color w:val="auto"/>
          <w:sz w:val="24"/>
          <w:u w:val="single"/>
        </w:rPr>
        <w:t>”的质量标准；工程规模不符合申报“</w:t>
      </w:r>
      <w:r>
        <w:rPr>
          <w:rFonts w:hint="eastAsia" w:ascii="宋体" w:hAnsi="宋体"/>
          <w:bCs/>
          <w:color w:val="auto"/>
          <w:sz w:val="24"/>
          <w:u w:val="single"/>
          <w:lang w:eastAsia="zh-CN"/>
        </w:rPr>
        <w:t>广东省建设工程优质奖</w:t>
      </w:r>
      <w:r>
        <w:rPr>
          <w:rFonts w:hint="eastAsia" w:ascii="宋体" w:hAnsi="宋体"/>
          <w:bCs/>
          <w:color w:val="auto"/>
          <w:sz w:val="24"/>
          <w:u w:val="single"/>
        </w:rPr>
        <w:t>”但符合申报“广州市优良样板工程”的，需达到“广州市优良样板工程”的质量标准；工程规模不符合申报“</w:t>
      </w:r>
      <w:r>
        <w:rPr>
          <w:rFonts w:hint="eastAsia" w:ascii="宋体" w:hAnsi="宋体"/>
          <w:bCs/>
          <w:color w:val="auto"/>
          <w:sz w:val="24"/>
          <w:u w:val="single"/>
          <w:lang w:eastAsia="zh-CN"/>
        </w:rPr>
        <w:t>广东省建设工程优质奖</w:t>
      </w:r>
      <w:r>
        <w:rPr>
          <w:rFonts w:hint="eastAsia" w:ascii="宋体" w:hAnsi="宋体"/>
          <w:bCs/>
          <w:color w:val="auto"/>
          <w:sz w:val="24"/>
          <w:u w:val="single"/>
        </w:rPr>
        <w:t>”及“广州市优良样板工程”的，工程质量达到国家或行业质量检验评定的合格标准。</w:t>
      </w:r>
    </w:p>
    <w:p>
      <w:pPr>
        <w:snapToGrid w:val="0"/>
        <w:spacing w:line="500" w:lineRule="exact"/>
        <w:ind w:firstLine="495"/>
        <w:rPr>
          <w:rFonts w:ascii="宋体" w:hAnsi="宋体"/>
          <w:bCs/>
          <w:color w:val="auto"/>
          <w:sz w:val="24"/>
        </w:rPr>
      </w:pPr>
      <w:r>
        <w:rPr>
          <w:rFonts w:hint="eastAsia" w:ascii="宋体" w:hAnsi="宋体"/>
          <w:bCs/>
          <w:color w:val="auto"/>
          <w:sz w:val="24"/>
          <w:u w:val="single"/>
        </w:rPr>
        <w:t>承包人对图纸中存在的问题有责任和义务提前以书面形式报告工程师及发包人，以供发包人同监理人核实并及时要求设计方修改设计图纸。</w:t>
      </w:r>
    </w:p>
    <w:p>
      <w:pPr>
        <w:snapToGrid w:val="0"/>
        <w:spacing w:line="500" w:lineRule="exact"/>
        <w:ind w:firstLine="397"/>
        <w:rPr>
          <w:rFonts w:ascii="宋体" w:hAnsi="宋体"/>
          <w:bCs/>
          <w:color w:val="auto"/>
          <w:sz w:val="24"/>
        </w:rPr>
      </w:pPr>
      <w:r>
        <w:rPr>
          <w:rFonts w:hint="eastAsia" w:ascii="宋体" w:hAnsi="宋体"/>
          <w:bCs/>
          <w:color w:val="auto"/>
          <w:sz w:val="24"/>
        </w:rPr>
        <w:t>15.4</w:t>
      </w:r>
      <w:r>
        <w:rPr>
          <w:rFonts w:hint="eastAsia" w:ascii="宋体" w:hAnsi="宋体"/>
          <w:bCs/>
          <w:color w:val="auto"/>
          <w:sz w:val="24"/>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p>
    <w:p>
      <w:pPr>
        <w:snapToGrid w:val="0"/>
        <w:spacing w:line="500" w:lineRule="exact"/>
        <w:ind w:firstLine="397"/>
        <w:rPr>
          <w:rFonts w:ascii="宋体" w:hAnsi="宋体"/>
          <w:bCs/>
          <w:color w:val="auto"/>
          <w:sz w:val="24"/>
        </w:rPr>
      </w:pPr>
      <w:r>
        <w:rPr>
          <w:rFonts w:hint="eastAsia" w:ascii="宋体" w:hAnsi="宋体"/>
          <w:bCs/>
          <w:color w:val="auto"/>
          <w:sz w:val="24"/>
        </w:rPr>
        <w:t>15.5</w:t>
      </w:r>
      <w:r>
        <w:rPr>
          <w:rFonts w:hint="eastAsia" w:ascii="宋体" w:hAnsi="宋体"/>
          <w:bCs/>
          <w:color w:val="auto"/>
          <w:sz w:val="24"/>
          <w:u w:val="single"/>
        </w:rPr>
        <w:t>工程质量不符合设计要求、质量不合格者，监理工程师可指令承包人停工或返工，返工费用由承包人承担，工期不予顺延。</w:t>
      </w:r>
    </w:p>
    <w:p>
      <w:pPr>
        <w:snapToGrid w:val="0"/>
        <w:spacing w:line="500" w:lineRule="exact"/>
        <w:ind w:firstLine="397"/>
        <w:rPr>
          <w:rFonts w:ascii="宋体" w:hAnsi="宋体"/>
          <w:bCs/>
          <w:color w:val="auto"/>
          <w:sz w:val="24"/>
        </w:rPr>
      </w:pPr>
      <w:r>
        <w:rPr>
          <w:rFonts w:hint="eastAsia" w:ascii="宋体" w:hAnsi="宋体"/>
          <w:bCs/>
          <w:color w:val="auto"/>
          <w:sz w:val="24"/>
        </w:rPr>
        <w:t>15.6</w:t>
      </w:r>
      <w:r>
        <w:rPr>
          <w:rFonts w:hint="eastAsia" w:ascii="宋体" w:hAnsi="宋体"/>
          <w:bCs/>
          <w:color w:val="auto"/>
          <w:sz w:val="24"/>
          <w:u w:val="single"/>
        </w:rPr>
        <w:t>发生须紧急抢修事故，承包人接到通知后，应立即到达事故现场抢修；否则，发包人可以另委托单位抢修，属承包人施工质量问题造成的修复等费用全部由承包人承担。</w:t>
      </w:r>
    </w:p>
    <w:p>
      <w:pPr>
        <w:snapToGrid w:val="0"/>
        <w:spacing w:line="500" w:lineRule="exact"/>
        <w:ind w:firstLine="397"/>
        <w:rPr>
          <w:rFonts w:ascii="宋体" w:hAnsi="宋体"/>
          <w:bCs/>
          <w:color w:val="auto"/>
          <w:sz w:val="24"/>
        </w:rPr>
      </w:pPr>
      <w:r>
        <w:rPr>
          <w:rFonts w:hint="eastAsia" w:ascii="宋体" w:hAnsi="宋体"/>
          <w:bCs/>
          <w:color w:val="auto"/>
          <w:sz w:val="24"/>
        </w:rPr>
        <w:t>15.7</w:t>
      </w:r>
      <w:r>
        <w:rPr>
          <w:rFonts w:hint="eastAsia" w:ascii="宋体" w:hAnsi="宋体"/>
          <w:bCs/>
          <w:color w:val="auto"/>
          <w:sz w:val="24"/>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p>
    <w:p>
      <w:pPr>
        <w:snapToGrid w:val="0"/>
        <w:spacing w:line="500" w:lineRule="exact"/>
        <w:ind w:firstLine="397"/>
        <w:rPr>
          <w:rFonts w:ascii="宋体" w:hAnsi="宋体"/>
          <w:b/>
          <w:color w:val="auto"/>
          <w:sz w:val="24"/>
        </w:rPr>
      </w:pPr>
      <w:r>
        <w:rPr>
          <w:rFonts w:hint="eastAsia" w:ascii="宋体" w:hAnsi="宋体"/>
          <w:b/>
          <w:color w:val="auto"/>
          <w:sz w:val="24"/>
        </w:rPr>
        <w:t>16、检查和返工</w:t>
      </w:r>
    </w:p>
    <w:p>
      <w:pPr>
        <w:snapToGrid w:val="0"/>
        <w:spacing w:line="500" w:lineRule="exact"/>
        <w:ind w:firstLine="397"/>
        <w:rPr>
          <w:rFonts w:ascii="宋体" w:hAnsi="宋体"/>
          <w:bCs/>
          <w:color w:val="auto"/>
          <w:sz w:val="24"/>
        </w:rPr>
      </w:pPr>
      <w:r>
        <w:rPr>
          <w:rFonts w:hint="eastAsia" w:ascii="宋体" w:hAnsi="宋体"/>
          <w:bCs/>
          <w:color w:val="auto"/>
          <w:sz w:val="24"/>
        </w:rPr>
        <w:t>16.3工程师的检查检验：</w:t>
      </w:r>
      <w:r>
        <w:rPr>
          <w:rFonts w:hint="eastAsia" w:ascii="宋体" w:hAnsi="宋体"/>
          <w:bCs/>
          <w:color w:val="auto"/>
          <w:sz w:val="24"/>
          <w:u w:val="single"/>
        </w:rPr>
        <w:t>工程师按规范、标准、设计图纸要求和频率所进行的检查检测不应成为承包人工期顺延的理由</w:t>
      </w:r>
      <w:r>
        <w:rPr>
          <w:rFonts w:hint="eastAsia" w:ascii="宋体" w:hAnsi="宋体"/>
          <w:bCs/>
          <w:color w:val="auto"/>
          <w:sz w:val="24"/>
        </w:rPr>
        <w:t>。</w:t>
      </w:r>
    </w:p>
    <w:p>
      <w:pPr>
        <w:snapToGrid w:val="0"/>
        <w:spacing w:line="500" w:lineRule="exact"/>
        <w:ind w:firstLine="397"/>
        <w:rPr>
          <w:rFonts w:ascii="宋体" w:hAnsi="宋体"/>
          <w:b/>
          <w:color w:val="auto"/>
          <w:sz w:val="24"/>
        </w:rPr>
      </w:pPr>
      <w:r>
        <w:rPr>
          <w:rFonts w:ascii="宋体" w:hAnsi="宋体"/>
          <w:b/>
          <w:color w:val="auto"/>
          <w:sz w:val="24"/>
        </w:rPr>
        <w:t>17</w:t>
      </w:r>
      <w:r>
        <w:rPr>
          <w:rFonts w:hint="eastAsia" w:ascii="宋体" w:hAnsi="宋体"/>
          <w:b/>
          <w:color w:val="auto"/>
          <w:sz w:val="24"/>
        </w:rPr>
        <w:t>、隐蔽工程和中间验收</w:t>
      </w:r>
    </w:p>
    <w:p>
      <w:pPr>
        <w:snapToGrid w:val="0"/>
        <w:spacing w:line="500" w:lineRule="exact"/>
        <w:ind w:firstLine="397"/>
        <w:rPr>
          <w:rFonts w:ascii="宋体" w:hAnsi="宋体"/>
          <w:color w:val="auto"/>
          <w:sz w:val="24"/>
          <w:u w:val="single"/>
        </w:rPr>
      </w:pPr>
      <w:r>
        <w:rPr>
          <w:rFonts w:ascii="宋体" w:hAnsi="宋体"/>
          <w:color w:val="auto"/>
          <w:sz w:val="24"/>
        </w:rPr>
        <w:t xml:space="preserve">17.1 </w:t>
      </w:r>
      <w:r>
        <w:rPr>
          <w:rFonts w:hint="eastAsia" w:ascii="宋体" w:hAnsi="宋体"/>
          <w:color w:val="auto"/>
          <w:sz w:val="24"/>
        </w:rPr>
        <w:t>三方约定中间验收部位：</w:t>
      </w:r>
      <w:r>
        <w:rPr>
          <w:rFonts w:hint="eastAsia" w:ascii="宋体" w:hAnsi="宋体"/>
          <w:color w:val="auto"/>
          <w:sz w:val="24"/>
          <w:u w:val="single"/>
        </w:rPr>
        <w:t>按相应工程施工及验收规范要求执行。</w:t>
      </w:r>
      <w:r>
        <w:rPr>
          <w:rFonts w:hint="eastAsia" w:ascii="宋体" w:hAnsi="宋体"/>
          <w:color w:val="auto"/>
          <w:sz w:val="24"/>
        </w:rPr>
        <w:t xml:space="preserve"> </w:t>
      </w:r>
    </w:p>
    <w:p>
      <w:pPr>
        <w:snapToGrid w:val="0"/>
        <w:spacing w:line="500" w:lineRule="exact"/>
        <w:ind w:firstLine="397"/>
        <w:rPr>
          <w:rFonts w:ascii="宋体" w:hAnsi="宋体"/>
          <w:b/>
          <w:color w:val="auto"/>
          <w:sz w:val="24"/>
        </w:rPr>
      </w:pPr>
      <w:r>
        <w:rPr>
          <w:rFonts w:ascii="宋体" w:hAnsi="宋体"/>
          <w:b/>
          <w:color w:val="auto"/>
          <w:sz w:val="24"/>
        </w:rPr>
        <w:t>19</w:t>
      </w:r>
      <w:r>
        <w:rPr>
          <w:rFonts w:hint="eastAsia" w:ascii="宋体" w:hAnsi="宋体"/>
          <w:b/>
          <w:color w:val="auto"/>
          <w:sz w:val="24"/>
        </w:rPr>
        <w:t>、工程试车</w:t>
      </w:r>
    </w:p>
    <w:p>
      <w:pPr>
        <w:snapToGrid w:val="0"/>
        <w:spacing w:line="500" w:lineRule="exact"/>
        <w:ind w:firstLine="397"/>
        <w:rPr>
          <w:rFonts w:ascii="宋体" w:hAnsi="宋体"/>
          <w:color w:val="auto"/>
          <w:sz w:val="24"/>
        </w:rPr>
      </w:pPr>
      <w:r>
        <w:rPr>
          <w:rFonts w:ascii="宋体" w:hAnsi="宋体"/>
          <w:color w:val="auto"/>
          <w:sz w:val="24"/>
        </w:rPr>
        <w:t xml:space="preserve">19.5 </w:t>
      </w:r>
      <w:r>
        <w:rPr>
          <w:rFonts w:hint="eastAsia" w:ascii="宋体" w:hAnsi="宋体"/>
          <w:color w:val="auto"/>
          <w:sz w:val="24"/>
        </w:rPr>
        <w:t>试车费用的承担：</w:t>
      </w:r>
      <w:r>
        <w:rPr>
          <w:rFonts w:ascii="宋体" w:hAnsi="宋体"/>
          <w:color w:val="auto"/>
          <w:sz w:val="24"/>
          <w:u w:val="single"/>
        </w:rPr>
        <w:t xml:space="preserve">     /         </w:t>
      </w:r>
      <w:r>
        <w:rPr>
          <w:rFonts w:hint="eastAsia" w:ascii="宋体" w:hAnsi="宋体"/>
          <w:color w:val="auto"/>
          <w:sz w:val="24"/>
        </w:rPr>
        <w:t>。</w:t>
      </w:r>
    </w:p>
    <w:p>
      <w:pPr>
        <w:snapToGrid w:val="0"/>
        <w:spacing w:line="500" w:lineRule="exact"/>
        <w:ind w:firstLine="397"/>
        <w:rPr>
          <w:rFonts w:ascii="宋体" w:hAnsi="宋体"/>
          <w:color w:val="auto"/>
          <w:sz w:val="24"/>
        </w:rPr>
      </w:pPr>
      <w:r>
        <w:rPr>
          <w:rFonts w:hint="eastAsia" w:ascii="宋体" w:hAnsi="宋体"/>
          <w:b/>
          <w:color w:val="auto"/>
          <w:sz w:val="24"/>
        </w:rPr>
        <w:t>五、安全施工</w:t>
      </w:r>
      <w:r>
        <w:rPr>
          <w:rFonts w:ascii="宋体" w:hAnsi="宋体"/>
          <w:b/>
          <w:color w:val="auto"/>
          <w:sz w:val="24"/>
        </w:rPr>
        <w:t xml:space="preserve">  </w:t>
      </w:r>
    </w:p>
    <w:p>
      <w:pPr>
        <w:snapToGrid w:val="0"/>
        <w:spacing w:line="500" w:lineRule="exact"/>
        <w:ind w:firstLine="397"/>
        <w:rPr>
          <w:rFonts w:ascii="宋体" w:hAnsi="宋体"/>
          <w:b/>
          <w:color w:val="auto"/>
          <w:sz w:val="24"/>
        </w:rPr>
      </w:pPr>
      <w:r>
        <w:rPr>
          <w:rFonts w:hint="eastAsia" w:ascii="宋体" w:hAnsi="宋体"/>
          <w:b/>
          <w:color w:val="auto"/>
          <w:sz w:val="24"/>
        </w:rPr>
        <w:t>20、安全施工与检查</w:t>
      </w:r>
    </w:p>
    <w:p>
      <w:pPr>
        <w:snapToGrid w:val="0"/>
        <w:spacing w:line="500" w:lineRule="exact"/>
        <w:ind w:firstLine="397"/>
        <w:rPr>
          <w:rFonts w:ascii="宋体" w:hAnsi="宋体"/>
          <w:color w:val="auto"/>
          <w:sz w:val="24"/>
          <w:u w:val="single"/>
        </w:rPr>
      </w:pPr>
      <w:r>
        <w:rPr>
          <w:rFonts w:hint="eastAsia" w:ascii="宋体" w:hAnsi="宋体"/>
          <w:color w:val="auto"/>
          <w:sz w:val="24"/>
        </w:rPr>
        <w:t>20.3</w:t>
      </w:r>
      <w:r>
        <w:rPr>
          <w:rFonts w:hint="eastAsia" w:ascii="宋体" w:hAnsi="宋体"/>
          <w:color w:val="auto"/>
          <w:sz w:val="24"/>
          <w:u w:val="single"/>
        </w:rPr>
        <w:t>承包人应建立安全责任制，明确各部门安全工作的岗位责任人，建立健全正常运转的各种安全工作保证体系和规章制度，将安全生产目标分解落实到实处。</w:t>
      </w:r>
    </w:p>
    <w:p>
      <w:pPr>
        <w:snapToGrid w:val="0"/>
        <w:spacing w:line="500" w:lineRule="exact"/>
        <w:ind w:firstLine="397"/>
        <w:rPr>
          <w:rFonts w:ascii="宋体" w:hAnsi="宋体"/>
          <w:color w:val="auto"/>
          <w:sz w:val="24"/>
          <w:u w:val="single"/>
        </w:rPr>
      </w:pPr>
      <w:r>
        <w:rPr>
          <w:rFonts w:hint="eastAsia" w:ascii="宋体" w:hAnsi="宋体"/>
          <w:color w:val="auto"/>
          <w:sz w:val="24"/>
        </w:rPr>
        <w:t>20.4</w:t>
      </w:r>
      <w:r>
        <w:rPr>
          <w:rFonts w:hint="eastAsia" w:ascii="宋体" w:hAnsi="宋体"/>
          <w:color w:val="auto"/>
          <w:sz w:val="24"/>
          <w:u w:val="single"/>
        </w:rPr>
        <w:t>承包人按规定数量配置安全员。</w:t>
      </w:r>
    </w:p>
    <w:p>
      <w:pPr>
        <w:snapToGrid w:val="0"/>
        <w:spacing w:line="500" w:lineRule="exact"/>
        <w:ind w:firstLine="397"/>
        <w:rPr>
          <w:rFonts w:ascii="宋体" w:hAnsi="宋体"/>
          <w:color w:val="auto"/>
          <w:sz w:val="24"/>
          <w:u w:val="single"/>
        </w:rPr>
      </w:pPr>
      <w:r>
        <w:rPr>
          <w:rFonts w:hint="eastAsia" w:ascii="宋体" w:hAnsi="宋体"/>
          <w:color w:val="auto"/>
          <w:sz w:val="24"/>
        </w:rPr>
        <w:t>20.5</w:t>
      </w:r>
      <w:r>
        <w:rPr>
          <w:rFonts w:hint="eastAsia" w:ascii="宋体" w:hAnsi="宋体"/>
          <w:color w:val="auto"/>
          <w:sz w:val="24"/>
          <w:u w:val="single"/>
        </w:rPr>
        <w:t>承包人在开工前须向质量安全监督机构提交备案的书面资料。</w:t>
      </w:r>
    </w:p>
    <w:p>
      <w:pPr>
        <w:snapToGrid w:val="0"/>
        <w:spacing w:line="500" w:lineRule="exact"/>
        <w:ind w:firstLine="397"/>
        <w:rPr>
          <w:rFonts w:ascii="宋体" w:hAnsi="宋体"/>
          <w:color w:val="auto"/>
          <w:sz w:val="24"/>
          <w:u w:val="single"/>
        </w:rPr>
      </w:pPr>
      <w:r>
        <w:rPr>
          <w:rFonts w:hint="eastAsia" w:ascii="宋体" w:hAnsi="宋体"/>
          <w:color w:val="auto"/>
          <w:sz w:val="24"/>
        </w:rPr>
        <w:t>20.6</w:t>
      </w:r>
      <w:r>
        <w:rPr>
          <w:rFonts w:hint="eastAsia" w:ascii="宋体" w:hAnsi="宋体"/>
          <w:color w:val="auto"/>
          <w:sz w:val="24"/>
          <w:u w:val="single"/>
        </w:rPr>
        <w:t>承包人在编制施工组织设计时，应当根据工程的特点编制相应的安全技术措施。</w:t>
      </w:r>
    </w:p>
    <w:p>
      <w:pPr>
        <w:snapToGrid w:val="0"/>
        <w:spacing w:line="500" w:lineRule="exact"/>
        <w:ind w:firstLine="397"/>
        <w:rPr>
          <w:rFonts w:ascii="宋体" w:hAnsi="宋体"/>
          <w:color w:val="auto"/>
          <w:sz w:val="24"/>
          <w:u w:val="single"/>
        </w:rPr>
      </w:pPr>
      <w:r>
        <w:rPr>
          <w:rFonts w:hint="eastAsia" w:ascii="宋体" w:hAnsi="宋体"/>
          <w:color w:val="auto"/>
          <w:sz w:val="24"/>
        </w:rPr>
        <w:t>20.7</w:t>
      </w:r>
      <w:r>
        <w:rPr>
          <w:rFonts w:hint="eastAsia" w:ascii="宋体" w:hAnsi="宋体"/>
          <w:color w:val="auto"/>
          <w:sz w:val="24"/>
          <w:u w:val="single"/>
        </w:rPr>
        <w:t>承包人按有关安全和防护的规定组织施工生产，不得使用不合标准的防护器材、机具和材料。</w:t>
      </w:r>
    </w:p>
    <w:p>
      <w:pPr>
        <w:snapToGrid w:val="0"/>
        <w:spacing w:line="500" w:lineRule="exact"/>
        <w:ind w:firstLine="397"/>
        <w:rPr>
          <w:rFonts w:ascii="宋体" w:hAnsi="宋体"/>
          <w:color w:val="auto"/>
          <w:sz w:val="24"/>
          <w:u w:val="single"/>
        </w:rPr>
      </w:pPr>
      <w:r>
        <w:rPr>
          <w:rFonts w:hint="eastAsia" w:ascii="宋体" w:hAnsi="宋体"/>
          <w:color w:val="auto"/>
          <w:sz w:val="24"/>
        </w:rPr>
        <w:t>20.8</w:t>
      </w:r>
      <w:r>
        <w:rPr>
          <w:rFonts w:hint="eastAsia" w:ascii="宋体" w:hAnsi="宋体"/>
          <w:color w:val="auto"/>
          <w:sz w:val="24"/>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pPr>
        <w:adjustRightInd w:val="0"/>
        <w:snapToGrid w:val="0"/>
        <w:spacing w:line="500" w:lineRule="exact"/>
        <w:ind w:right="11" w:firstLine="420" w:firstLineChars="175"/>
        <w:rPr>
          <w:rFonts w:ascii="宋体" w:hAnsi="宋体"/>
          <w:color w:val="auto"/>
          <w:sz w:val="24"/>
          <w:u w:val="single"/>
        </w:rPr>
      </w:pPr>
      <w:r>
        <w:rPr>
          <w:rFonts w:hint="eastAsia" w:ascii="宋体" w:hAnsi="宋体"/>
          <w:color w:val="auto"/>
          <w:sz w:val="24"/>
        </w:rPr>
        <w:t>20.9</w:t>
      </w:r>
      <w:r>
        <w:rPr>
          <w:rFonts w:hint="eastAsia" w:ascii="宋体" w:hAnsi="宋体"/>
          <w:color w:val="auto"/>
          <w:sz w:val="24"/>
          <w:u w:val="single"/>
        </w:rPr>
        <w:t>对于承包人或其分包人所雇佣的工人出现的伤亡事故或损失，应由承包人自行负责（但由于发包人或监理单位的行为所造成的除外）。对于这类伤亡或损失，发包人不负责任，不负担涉及这类伤亡或损失的索赔、诉讼、损害赔偿及其他费用。</w:t>
      </w:r>
    </w:p>
    <w:p>
      <w:pPr>
        <w:snapToGrid w:val="0"/>
        <w:spacing w:line="500" w:lineRule="exact"/>
        <w:ind w:firstLine="397"/>
        <w:rPr>
          <w:rFonts w:ascii="宋体" w:hAnsi="宋体"/>
          <w:b/>
          <w:color w:val="auto"/>
          <w:sz w:val="24"/>
        </w:rPr>
      </w:pPr>
      <w:r>
        <w:rPr>
          <w:rFonts w:hint="eastAsia" w:ascii="宋体" w:hAnsi="宋体"/>
          <w:b/>
          <w:color w:val="auto"/>
          <w:sz w:val="24"/>
        </w:rPr>
        <w:t>21、安全防护</w:t>
      </w:r>
    </w:p>
    <w:p>
      <w:pPr>
        <w:snapToGrid w:val="0"/>
        <w:spacing w:line="500" w:lineRule="exact"/>
        <w:ind w:firstLine="397"/>
        <w:rPr>
          <w:rFonts w:ascii="宋体" w:hAnsi="宋体"/>
          <w:color w:val="auto"/>
          <w:sz w:val="24"/>
          <w:u w:val="single"/>
        </w:rPr>
      </w:pPr>
      <w:r>
        <w:rPr>
          <w:rFonts w:hint="eastAsia" w:ascii="宋体" w:hAnsi="宋体"/>
          <w:color w:val="auto"/>
          <w:sz w:val="24"/>
        </w:rPr>
        <w:t>21.3</w:t>
      </w:r>
      <w:r>
        <w:rPr>
          <w:rFonts w:hint="eastAsia" w:ascii="宋体" w:hAnsi="宋体"/>
          <w:color w:val="auto"/>
          <w:sz w:val="24"/>
          <w:u w:val="single"/>
        </w:rPr>
        <w:t>承包人应在施工现场采取维护安全、防范危险、预防火灾等措施，在特殊作业环境应对作业人员采取劳动保护措施。</w:t>
      </w:r>
    </w:p>
    <w:p>
      <w:pPr>
        <w:tabs>
          <w:tab w:val="left" w:pos="2340"/>
        </w:tabs>
        <w:spacing w:line="560" w:lineRule="exact"/>
        <w:ind w:firstLine="420" w:firstLineChars="200"/>
        <w:jc w:val="left"/>
        <w:rPr>
          <w:color w:val="auto"/>
          <w:sz w:val="24"/>
        </w:rPr>
      </w:pPr>
      <w:r>
        <w:rPr>
          <w:rFonts w:hint="eastAsia" w:ascii="宋体" w:hAnsi="宋体"/>
          <w:color w:val="auto"/>
          <w:szCs w:val="21"/>
        </w:rPr>
        <w:t xml:space="preserve">  </w:t>
      </w:r>
      <w:r>
        <w:rPr>
          <w:rFonts w:ascii="宋体" w:hAnsi="宋体"/>
          <w:color w:val="auto"/>
          <w:szCs w:val="21"/>
        </w:rPr>
        <w:t>21.4</w:t>
      </w:r>
      <w:r>
        <w:rPr>
          <w:rFonts w:hint="eastAsia" w:ascii="宋体" w:hAnsi="宋体" w:cs="宋体"/>
          <w:color w:val="auto"/>
          <w:sz w:val="24"/>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u w:val="single"/>
        </w:rPr>
        <w:t>穗建质</w:t>
      </w:r>
      <w:r>
        <w:rPr>
          <w:rFonts w:hint="eastAsia" w:ascii="宋体" w:hAnsi="宋体" w:cs="宋体"/>
          <w:color w:val="auto"/>
          <w:sz w:val="24"/>
          <w:u w:val="single"/>
        </w:rPr>
        <w:t>〔2008〕</w:t>
      </w:r>
      <w:r>
        <w:rPr>
          <w:rFonts w:hint="eastAsia" w:ascii="宋体" w:hAnsi="宋体" w:cs="宋体"/>
          <w:bCs/>
          <w:smallCaps/>
          <w:color w:val="auto"/>
          <w:sz w:val="24"/>
          <w:u w:val="single"/>
        </w:rPr>
        <w:t>937号）</w:t>
      </w:r>
      <w:r>
        <w:rPr>
          <w:rFonts w:hint="eastAsia" w:ascii="宋体" w:hAnsi="宋体" w:cs="宋体"/>
          <w:color w:val="auto"/>
          <w:sz w:val="24"/>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及《关于进一步落实我区市政建设项目施工围蔽提升工作的通知》（穗埔建[2019]123号）实施。</w:t>
      </w:r>
      <w:r>
        <w:rPr>
          <w:rFonts w:ascii="宋体" w:hAnsi="宋体" w:cs="宋体"/>
          <w:color w:val="auto"/>
          <w:sz w:val="24"/>
        </w:rPr>
        <w:t>以上文件要求不一致的，以后发布文件为准，若相关部门发布有关施工围蔽新文件规定的，按新规定执行。</w:t>
      </w:r>
      <w:r>
        <w:rPr>
          <w:rFonts w:hint="eastAsia" w:ascii="宋体" w:hAnsi="宋体" w:cs="宋体"/>
          <w:color w:val="auto"/>
          <w:sz w:val="24"/>
          <w:u w:val="single"/>
        </w:rPr>
        <w:t>如承包人未及时按要求做好围蔽等绿色施工安全防护措施，业主可另行委托单位实施，业主在工程款中扣减围蔽费用</w:t>
      </w:r>
      <w:r>
        <w:rPr>
          <w:rFonts w:hint="eastAsia" w:ascii="宋体" w:hAnsi="宋体" w:cs="宋体"/>
          <w:color w:val="auto"/>
          <w:sz w:val="24"/>
        </w:rPr>
        <w:t>。</w:t>
      </w:r>
    </w:p>
    <w:p>
      <w:pPr>
        <w:snapToGrid w:val="0"/>
        <w:spacing w:line="500" w:lineRule="exact"/>
        <w:rPr>
          <w:rFonts w:ascii="宋体" w:hAnsi="宋体"/>
          <w:color w:val="auto"/>
          <w:sz w:val="24"/>
          <w:u w:val="single"/>
        </w:rPr>
      </w:pPr>
      <w:r>
        <w:rPr>
          <w:rFonts w:hint="eastAsia" w:ascii="宋体" w:hAnsi="宋体"/>
          <w:color w:val="auto"/>
          <w:sz w:val="24"/>
        </w:rPr>
        <w:t xml:space="preserve">   21.5</w:t>
      </w:r>
      <w:r>
        <w:rPr>
          <w:rFonts w:hint="eastAsia" w:ascii="宋体" w:hAnsi="宋体"/>
          <w:color w:val="auto"/>
          <w:sz w:val="24"/>
          <w:u w:val="single"/>
        </w:rPr>
        <w:t>承包人应按规定对工程施工人员进行安全教育和管理。</w:t>
      </w:r>
    </w:p>
    <w:p>
      <w:pPr>
        <w:spacing w:line="500" w:lineRule="exact"/>
        <w:ind w:firstLine="360" w:firstLineChars="150"/>
        <w:rPr>
          <w:rFonts w:ascii="宋体" w:hAnsi="宋体"/>
          <w:color w:val="auto"/>
          <w:sz w:val="24"/>
          <w:u w:val="single"/>
        </w:rPr>
      </w:pPr>
      <w:r>
        <w:rPr>
          <w:rFonts w:hint="eastAsia" w:ascii="宋体" w:hAnsi="宋体"/>
          <w:color w:val="auto"/>
          <w:sz w:val="24"/>
        </w:rPr>
        <w:t>21.6</w:t>
      </w:r>
      <w:r>
        <w:rPr>
          <w:rFonts w:hint="eastAsia" w:ascii="宋体" w:hAnsi="宋体"/>
          <w:color w:val="auto"/>
          <w:sz w:val="24"/>
          <w:u w:val="single"/>
        </w:rPr>
        <w:t>承包人应书面记录专项安全施工组织设计方案审查、安全检查、安全技术交底、安全隐患整改、安全教育等重要安全管理活动。</w:t>
      </w:r>
    </w:p>
    <w:p>
      <w:pPr>
        <w:spacing w:line="500" w:lineRule="exact"/>
        <w:ind w:firstLine="360" w:firstLineChars="150"/>
        <w:rPr>
          <w:rFonts w:ascii="宋体" w:hAnsi="宋体"/>
          <w:color w:val="auto"/>
          <w:sz w:val="24"/>
          <w:u w:val="single"/>
        </w:rPr>
      </w:pPr>
      <w:r>
        <w:rPr>
          <w:rFonts w:hint="eastAsia" w:ascii="宋体" w:hAnsi="宋体"/>
          <w:color w:val="auto"/>
          <w:sz w:val="24"/>
        </w:rPr>
        <w:t>21.7</w:t>
      </w:r>
      <w:r>
        <w:rPr>
          <w:rFonts w:hint="eastAsia" w:ascii="宋体" w:hAnsi="宋体"/>
          <w:color w:val="auto"/>
          <w:sz w:val="24"/>
          <w:u w:val="single"/>
        </w:rPr>
        <w:t>承包人用于本项目的非标起重机械设备须严格执行《关于印发&lt;广州市非标建筑起重机械管理办法&gt;的通知》(穗建质[2010]999号)的相关规定，非标起重机械设备是指没有国家或行业制造标准的各类起重机械设备，如非标架桥设备、 竖井提升设备、非标龙门吊、贝雷架式或扒杆式起重装置等。</w:t>
      </w:r>
    </w:p>
    <w:p>
      <w:pPr>
        <w:spacing w:line="500" w:lineRule="exact"/>
        <w:ind w:firstLine="360" w:firstLineChars="150"/>
        <w:rPr>
          <w:rFonts w:ascii="宋体" w:hAnsi="宋体"/>
          <w:color w:val="auto"/>
          <w:sz w:val="24"/>
          <w:u w:val="single"/>
        </w:rPr>
      </w:pPr>
      <w:r>
        <w:rPr>
          <w:rFonts w:hint="eastAsia" w:ascii="宋体" w:hAnsi="宋体"/>
          <w:color w:val="auto"/>
          <w:sz w:val="24"/>
        </w:rPr>
        <w:t>21.8</w:t>
      </w:r>
      <w:r>
        <w:rPr>
          <w:rFonts w:hint="eastAsia" w:ascii="宋体" w:hAnsi="宋体"/>
          <w:color w:val="auto"/>
          <w:sz w:val="24"/>
          <w:u w:val="single"/>
        </w:rPr>
        <w:t>承包人用于本项目的起重设备须严格执行《广州市住房和城乡建设委员会关于启用建筑起重机械设备安全监管系统的通知 》（穗建质〔2018〕889号）、《广州市住房和城乡建设局关于进一步加强建筑起重机械安全管理的通知 》（穗建质【2020】216号）、《广州市住房和城乡建设委员会关于进一步加强建筑起重机械设备信息化安全监管的通知》等相关规定。</w:t>
      </w:r>
    </w:p>
    <w:p>
      <w:pPr>
        <w:spacing w:line="500" w:lineRule="exact"/>
        <w:ind w:firstLine="360" w:firstLineChars="150"/>
        <w:rPr>
          <w:rFonts w:ascii="宋体" w:hAnsi="宋体"/>
          <w:color w:val="auto"/>
          <w:sz w:val="24"/>
          <w:u w:val="single"/>
        </w:rPr>
      </w:pPr>
      <w:r>
        <w:rPr>
          <w:rFonts w:hint="eastAsia" w:ascii="宋体" w:hAnsi="宋体"/>
          <w:color w:val="auto"/>
          <w:sz w:val="24"/>
        </w:rPr>
        <w:t>21.9</w:t>
      </w:r>
      <w:r>
        <w:rPr>
          <w:rFonts w:hint="eastAsia" w:ascii="宋体" w:hAnsi="宋体"/>
          <w:color w:val="auto"/>
          <w:sz w:val="24"/>
          <w:u w:val="single"/>
        </w:rPr>
        <w:t>承包人在工程实施过程中，按照国家、省、市的相关规定制定相关的专项安全施工方案（如高支模、基坑支护、沉井等），组织专家评审通过后，报监理人、发包人审批后方可开展专项工程的施工。</w:t>
      </w:r>
    </w:p>
    <w:p>
      <w:pPr>
        <w:spacing w:line="500" w:lineRule="exact"/>
        <w:ind w:firstLine="480" w:firstLineChars="200"/>
        <w:rPr>
          <w:rFonts w:ascii="宋体" w:hAnsi="宋体"/>
          <w:color w:val="auto"/>
          <w:sz w:val="24"/>
        </w:rPr>
      </w:pPr>
      <w:r>
        <w:rPr>
          <w:rFonts w:hint="eastAsia" w:ascii="宋体" w:hAnsi="宋体"/>
          <w:color w:val="auto"/>
          <w:sz w:val="24"/>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款（2）项承担违约责任。</w:t>
      </w:r>
    </w:p>
    <w:p>
      <w:pPr>
        <w:spacing w:line="500" w:lineRule="exact"/>
        <w:ind w:firstLine="480" w:firstLineChars="200"/>
        <w:rPr>
          <w:rFonts w:ascii="宋体" w:hAnsi="宋体"/>
          <w:color w:val="auto"/>
          <w:sz w:val="24"/>
        </w:rPr>
      </w:pPr>
      <w:r>
        <w:rPr>
          <w:rFonts w:hint="eastAsia" w:ascii="宋体" w:hAnsi="宋体"/>
          <w:color w:val="auto"/>
          <w:sz w:val="24"/>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500" w:lineRule="exact"/>
        <w:ind w:firstLine="480" w:firstLineChars="200"/>
        <w:rPr>
          <w:rFonts w:ascii="宋体" w:hAnsi="宋体"/>
          <w:color w:val="auto"/>
          <w:sz w:val="24"/>
        </w:rPr>
      </w:pPr>
      <w:r>
        <w:rPr>
          <w:rFonts w:hint="eastAsia" w:ascii="宋体" w:hAnsi="宋体"/>
          <w:color w:val="auto"/>
          <w:sz w:val="24"/>
        </w:rPr>
        <w:t>21.12承包人必须考虑安全、环保等因素在局部施工范围进行围蔽施工，现场围蔽不符合国家有关安全措施及技术要求的，不得开展施工作业，由此造成的工期延长，由承包人自己负责，当作延误工期处理。</w:t>
      </w:r>
    </w:p>
    <w:p>
      <w:pPr>
        <w:spacing w:line="500" w:lineRule="exact"/>
        <w:ind w:firstLine="480" w:firstLineChars="200"/>
        <w:rPr>
          <w:rFonts w:ascii="宋体" w:hAnsi="宋体"/>
          <w:color w:val="auto"/>
          <w:sz w:val="24"/>
        </w:rPr>
      </w:pPr>
      <w:r>
        <w:rPr>
          <w:rFonts w:hint="eastAsia" w:ascii="宋体" w:hAnsi="宋体"/>
          <w:color w:val="auto"/>
          <w:sz w:val="24"/>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500" w:lineRule="exact"/>
        <w:ind w:firstLine="480" w:firstLineChars="200"/>
        <w:rPr>
          <w:rFonts w:ascii="宋体" w:hAnsi="宋体"/>
          <w:color w:val="auto"/>
          <w:sz w:val="24"/>
          <w:u w:val="single"/>
        </w:rPr>
      </w:pPr>
      <w:r>
        <w:rPr>
          <w:rFonts w:hint="eastAsia" w:ascii="宋体" w:hAnsi="宋体"/>
          <w:color w:val="auto"/>
          <w:sz w:val="24"/>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pPr>
        <w:spacing w:line="500" w:lineRule="exact"/>
        <w:ind w:firstLine="360" w:firstLineChars="150"/>
        <w:rPr>
          <w:rFonts w:ascii="宋体" w:hAnsi="宋体"/>
          <w:color w:val="auto"/>
          <w:sz w:val="24"/>
          <w:u w:val="single"/>
        </w:rPr>
      </w:pPr>
      <w:r>
        <w:rPr>
          <w:rFonts w:hint="eastAsia" w:ascii="宋体" w:hAnsi="宋体"/>
          <w:color w:val="auto"/>
          <w:sz w:val="24"/>
        </w:rPr>
        <w:t>22、</w:t>
      </w:r>
      <w:r>
        <w:rPr>
          <w:rFonts w:hint="eastAsia" w:ascii="宋体" w:hAnsi="宋体"/>
          <w:color w:val="auto"/>
          <w:sz w:val="24"/>
          <w:u w:val="single"/>
        </w:rPr>
        <w:t>事故处理</w:t>
      </w:r>
    </w:p>
    <w:p>
      <w:pPr>
        <w:snapToGrid w:val="0"/>
        <w:spacing w:line="500" w:lineRule="exact"/>
        <w:ind w:firstLine="397"/>
        <w:rPr>
          <w:rFonts w:ascii="宋体" w:hAnsi="宋体"/>
          <w:color w:val="auto"/>
          <w:sz w:val="24"/>
          <w:u w:val="single"/>
        </w:rPr>
      </w:pPr>
      <w:r>
        <w:rPr>
          <w:rFonts w:hint="eastAsia" w:ascii="宋体" w:hAnsi="宋体"/>
          <w:color w:val="auto"/>
          <w:sz w:val="24"/>
        </w:rPr>
        <w:t>22.3</w:t>
      </w:r>
      <w:r>
        <w:rPr>
          <w:rFonts w:hint="eastAsia" w:ascii="宋体" w:hAnsi="宋体"/>
          <w:color w:val="auto"/>
          <w:sz w:val="24"/>
          <w:u w:val="single"/>
        </w:rPr>
        <w:t>如发生安全事故，除按法定程序办理有关事宜外，还必须按以下程序进行处理：</w:t>
      </w:r>
    </w:p>
    <w:p>
      <w:pPr>
        <w:snapToGrid w:val="0"/>
        <w:spacing w:line="500" w:lineRule="exact"/>
        <w:ind w:firstLine="397"/>
        <w:rPr>
          <w:rFonts w:ascii="宋体" w:hAnsi="宋体"/>
          <w:color w:val="auto"/>
          <w:sz w:val="24"/>
          <w:u w:val="single"/>
        </w:rPr>
      </w:pPr>
      <w:r>
        <w:rPr>
          <w:rFonts w:hint="eastAsia" w:ascii="宋体" w:hAnsi="宋体"/>
          <w:color w:val="auto"/>
          <w:sz w:val="24"/>
        </w:rPr>
        <w:t>22.3.1</w:t>
      </w:r>
      <w:r>
        <w:rPr>
          <w:rFonts w:hint="eastAsia" w:ascii="宋体" w:hAnsi="宋体"/>
          <w:color w:val="auto"/>
          <w:sz w:val="24"/>
          <w:u w:val="single"/>
        </w:rPr>
        <w:t>报告安全事故：安全事故发生后，承包人应在1小时内用最快的信息传递手段，将发生事故的时间、地点、伤亡人数、事故原因等情况，报工程师和发包人。</w:t>
      </w:r>
    </w:p>
    <w:p>
      <w:pPr>
        <w:snapToGrid w:val="0"/>
        <w:spacing w:line="500" w:lineRule="exact"/>
        <w:ind w:firstLine="397"/>
        <w:rPr>
          <w:rFonts w:ascii="宋体" w:hAnsi="宋体"/>
          <w:color w:val="auto"/>
          <w:sz w:val="24"/>
          <w:u w:val="single"/>
        </w:rPr>
      </w:pPr>
      <w:r>
        <w:rPr>
          <w:rFonts w:hint="eastAsia" w:ascii="宋体" w:hAnsi="宋体"/>
          <w:color w:val="auto"/>
          <w:sz w:val="24"/>
        </w:rPr>
        <w:t>22.3.2</w:t>
      </w:r>
      <w:r>
        <w:rPr>
          <w:rFonts w:hint="eastAsia" w:ascii="宋体" w:hAnsi="宋体"/>
          <w:color w:val="auto"/>
          <w:sz w:val="24"/>
          <w:u w:val="single"/>
        </w:rPr>
        <w:t>事故处理：承包人负责抢救伤员、排除险情，防止事故扩大蔓延，保护好现场，并做好标志，启动保险理赔程序。</w:t>
      </w:r>
    </w:p>
    <w:p>
      <w:pPr>
        <w:snapToGrid w:val="0"/>
        <w:spacing w:line="500" w:lineRule="exact"/>
        <w:ind w:firstLine="397"/>
        <w:rPr>
          <w:rFonts w:ascii="宋体" w:hAnsi="宋体"/>
          <w:color w:val="auto"/>
          <w:sz w:val="24"/>
          <w:u w:val="single"/>
        </w:rPr>
      </w:pPr>
      <w:r>
        <w:rPr>
          <w:rFonts w:hint="eastAsia" w:ascii="宋体" w:hAnsi="宋体"/>
          <w:color w:val="auto"/>
          <w:sz w:val="24"/>
        </w:rPr>
        <w:t>22.3.3</w:t>
      </w:r>
      <w:r>
        <w:rPr>
          <w:rFonts w:hint="eastAsia" w:ascii="宋体" w:hAnsi="宋体"/>
          <w:color w:val="auto"/>
          <w:sz w:val="24"/>
          <w:u w:val="single"/>
        </w:rPr>
        <w:t>事故调查：承包人应组织内部技术安全、质量部门的人员组成调查组，开展调查，并配合做好发包人或政府有关部门组织的调查工作。</w:t>
      </w:r>
    </w:p>
    <w:p>
      <w:pPr>
        <w:snapToGrid w:val="0"/>
        <w:spacing w:line="500" w:lineRule="exact"/>
        <w:ind w:firstLine="397"/>
        <w:rPr>
          <w:rFonts w:ascii="宋体" w:hAnsi="宋体"/>
          <w:color w:val="auto"/>
          <w:sz w:val="24"/>
          <w:u w:val="single"/>
        </w:rPr>
      </w:pPr>
      <w:r>
        <w:rPr>
          <w:rFonts w:hint="eastAsia" w:ascii="宋体" w:hAnsi="宋体"/>
          <w:color w:val="auto"/>
          <w:sz w:val="24"/>
        </w:rPr>
        <w:t>22.3.4</w:t>
      </w:r>
      <w:r>
        <w:rPr>
          <w:rFonts w:hint="eastAsia" w:ascii="宋体" w:hAnsi="宋体"/>
          <w:color w:val="auto"/>
          <w:sz w:val="24"/>
          <w:u w:val="single"/>
        </w:rPr>
        <w:t>调查报告：承包人应把事故发生经过、原因、性质、损失、责任、处理意见、纠正和预防措施撰写成调查报告，送工程师会审后报发包人。</w:t>
      </w:r>
    </w:p>
    <w:p>
      <w:pPr>
        <w:snapToGrid w:val="0"/>
        <w:spacing w:line="500" w:lineRule="exact"/>
        <w:ind w:firstLine="397"/>
        <w:rPr>
          <w:rFonts w:ascii="宋体" w:hAnsi="宋体"/>
          <w:b/>
          <w:color w:val="auto"/>
          <w:sz w:val="24"/>
        </w:rPr>
      </w:pPr>
      <w:r>
        <w:rPr>
          <w:rFonts w:hint="eastAsia" w:ascii="宋体" w:hAnsi="宋体"/>
          <w:b/>
          <w:color w:val="auto"/>
          <w:sz w:val="24"/>
        </w:rPr>
        <w:t>六、合同价款与支付</w:t>
      </w:r>
    </w:p>
    <w:p>
      <w:pPr>
        <w:snapToGrid w:val="0"/>
        <w:spacing w:line="500" w:lineRule="exact"/>
        <w:ind w:firstLine="360" w:firstLineChars="150"/>
        <w:rPr>
          <w:rFonts w:ascii="宋体" w:hAnsi="宋体"/>
          <w:color w:val="auto"/>
          <w:sz w:val="24"/>
          <w:u w:val="single"/>
        </w:rPr>
      </w:pPr>
      <w:r>
        <w:rPr>
          <w:rFonts w:ascii="宋体" w:hAnsi="宋体"/>
          <w:color w:val="auto"/>
          <w:sz w:val="24"/>
        </w:rPr>
        <w:t xml:space="preserve">23.2 </w:t>
      </w:r>
      <w:r>
        <w:rPr>
          <w:rFonts w:hint="eastAsia" w:ascii="宋体" w:hAnsi="宋体"/>
          <w:color w:val="auto"/>
          <w:sz w:val="24"/>
          <w:u w:val="single"/>
        </w:rPr>
        <w:t>本合同价款按照协议书第五条、本条及专用条款23.3款、23.5款约定执行，</w:t>
      </w:r>
      <w:r>
        <w:rPr>
          <w:rFonts w:hint="eastAsia" w:ascii="宋体" w:hAnsi="宋体"/>
          <w:snapToGrid w:val="0"/>
          <w:color w:val="auto"/>
          <w:kern w:val="0"/>
          <w:sz w:val="24"/>
          <w:u w:val="single"/>
        </w:rPr>
        <w:t>最终按结算终审部门审定价结算</w:t>
      </w:r>
      <w:r>
        <w:rPr>
          <w:rFonts w:hint="eastAsia" w:ascii="宋体" w:hAnsi="宋体"/>
          <w:color w:val="auto"/>
          <w:sz w:val="24"/>
          <w:u w:val="single"/>
        </w:rPr>
        <w:t>。</w:t>
      </w:r>
    </w:p>
    <w:p>
      <w:pPr>
        <w:snapToGrid w:val="0"/>
        <w:spacing w:line="500" w:lineRule="exact"/>
        <w:ind w:firstLine="360" w:firstLineChars="150"/>
        <w:rPr>
          <w:rFonts w:ascii="宋体" w:hAnsi="宋体"/>
          <w:color w:val="auto"/>
          <w:sz w:val="24"/>
          <w:u w:val="single"/>
        </w:rPr>
      </w:pPr>
      <w:r>
        <w:rPr>
          <w:rFonts w:hint="eastAsia" w:ascii="宋体" w:hAnsi="宋体"/>
          <w:color w:val="auto"/>
          <w:sz w:val="24"/>
          <w:u w:val="single"/>
        </w:rPr>
        <w:t>本合同价款采用分部分项工程量清单固定综合单价方式确定，具体办法如下：</w:t>
      </w:r>
    </w:p>
    <w:p>
      <w:pPr>
        <w:snapToGrid w:val="0"/>
        <w:spacing w:line="500" w:lineRule="exact"/>
        <w:ind w:firstLine="360" w:firstLineChars="150"/>
        <w:rPr>
          <w:rFonts w:ascii="宋体" w:hAnsi="宋体"/>
          <w:color w:val="auto"/>
          <w:sz w:val="24"/>
          <w:u w:val="single"/>
        </w:rPr>
      </w:pPr>
      <w:r>
        <w:rPr>
          <w:rFonts w:hint="eastAsia" w:ascii="宋体" w:hAnsi="宋体"/>
          <w:color w:val="auto"/>
          <w:sz w:val="24"/>
          <w:u w:val="single"/>
        </w:rPr>
        <w:t>（1）分部分项工程量清单费：除23.5.1、23.5.2及</w:t>
      </w:r>
      <w:r>
        <w:rPr>
          <w:rFonts w:ascii="宋体" w:hAnsi="宋体"/>
          <w:color w:val="auto"/>
          <w:sz w:val="24"/>
          <w:u w:val="single"/>
        </w:rPr>
        <w:t>23.5.3</w:t>
      </w:r>
      <w:r>
        <w:rPr>
          <w:rFonts w:hint="eastAsia" w:ascii="宋体" w:hAnsi="宋体"/>
          <w:color w:val="auto"/>
          <w:sz w:val="24"/>
          <w:u w:val="single"/>
        </w:rPr>
        <w:t>规定情况外，分部分项工程量清单综合单价固定不变，工程量按实计量。</w:t>
      </w:r>
    </w:p>
    <w:p>
      <w:pPr>
        <w:snapToGrid w:val="0"/>
        <w:spacing w:line="500" w:lineRule="exact"/>
        <w:ind w:firstLine="360" w:firstLineChars="150"/>
        <w:rPr>
          <w:rFonts w:ascii="宋体" w:hAnsi="宋体"/>
          <w:color w:val="auto"/>
          <w:sz w:val="24"/>
          <w:u w:val="single"/>
        </w:rPr>
      </w:pPr>
      <w:r>
        <w:rPr>
          <w:rFonts w:hint="eastAsia" w:ascii="宋体" w:hAnsi="宋体"/>
          <w:color w:val="auto"/>
          <w:sz w:val="24"/>
          <w:u w:val="single"/>
        </w:rPr>
        <w:t>（2）措施项目费：</w:t>
      </w:r>
      <w:r>
        <w:rPr>
          <w:rFonts w:hint="eastAsia" w:ascii="宋体" w:hAnsi="宋体"/>
          <w:bCs/>
          <w:snapToGrid w:val="0"/>
          <w:color w:val="auto"/>
          <w:kern w:val="0"/>
          <w:sz w:val="24"/>
          <w:highlight w:val="none"/>
        </w:rPr>
        <w:t>绿色施工安全防护措施费</w:t>
      </w:r>
      <w:r>
        <w:rPr>
          <w:rFonts w:hint="eastAsia" w:ascii="宋体" w:hAnsi="宋体"/>
          <w:bCs/>
          <w:snapToGrid w:val="0"/>
          <w:color w:val="auto"/>
          <w:kern w:val="0"/>
          <w:sz w:val="24"/>
          <w:highlight w:val="none"/>
          <w:lang w:eastAsia="zh-CN"/>
        </w:rPr>
        <w:t>包干，其余</w:t>
      </w:r>
      <w:r>
        <w:rPr>
          <w:rFonts w:hint="eastAsia" w:ascii="宋体" w:hAnsi="宋体"/>
          <w:color w:val="auto"/>
          <w:sz w:val="24"/>
          <w:highlight w:val="none"/>
          <w:u w:val="single"/>
        </w:rPr>
        <w:t>措施项目费</w:t>
      </w:r>
      <w:r>
        <w:rPr>
          <w:rFonts w:hint="eastAsia" w:ascii="宋体" w:hAnsi="宋体"/>
          <w:color w:val="auto"/>
          <w:sz w:val="24"/>
          <w:highlight w:val="none"/>
          <w:u w:val="single"/>
          <w:lang w:eastAsia="zh-CN"/>
        </w:rPr>
        <w:t>按“</w:t>
      </w:r>
      <w:r>
        <w:rPr>
          <w:rFonts w:hint="eastAsia" w:ascii="宋体" w:hAnsi="宋体"/>
          <w:color w:val="auto"/>
          <w:sz w:val="24"/>
          <w:highlight w:val="none"/>
          <w:u w:val="single"/>
        </w:rPr>
        <w:t>综合单价固定不变，工程量按实计量</w:t>
      </w:r>
      <w:r>
        <w:rPr>
          <w:rFonts w:hint="eastAsia" w:ascii="宋体" w:hAnsi="宋体"/>
          <w:color w:val="auto"/>
          <w:sz w:val="24"/>
          <w:u w:val="single"/>
        </w:rPr>
        <w:t>。</w:t>
      </w:r>
    </w:p>
    <w:p>
      <w:pPr>
        <w:snapToGrid w:val="0"/>
        <w:spacing w:line="500" w:lineRule="exact"/>
        <w:ind w:firstLine="360" w:firstLineChars="150"/>
        <w:rPr>
          <w:rFonts w:ascii="宋体" w:hAnsi="宋体"/>
          <w:color w:val="auto"/>
          <w:sz w:val="24"/>
          <w:u w:val="single"/>
        </w:rPr>
      </w:pPr>
      <w:r>
        <w:rPr>
          <w:rFonts w:hint="eastAsia" w:ascii="宋体" w:hAnsi="宋体"/>
          <w:color w:val="auto"/>
          <w:sz w:val="24"/>
          <w:u w:val="single"/>
        </w:rPr>
        <w:t>（3）其他项目部分：</w:t>
      </w:r>
    </w:p>
    <w:p>
      <w:pPr>
        <w:snapToGrid w:val="0"/>
        <w:spacing w:line="500" w:lineRule="exact"/>
        <w:ind w:firstLine="525" w:firstLineChars="250"/>
        <w:rPr>
          <w:rFonts w:ascii="宋体" w:hAnsi="宋体"/>
          <w:color w:val="auto"/>
          <w:sz w:val="24"/>
          <w:u w:val="single"/>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hint="eastAsia" w:ascii="宋体" w:hAnsi="宋体"/>
          <w:color w:val="auto"/>
          <w:position w:val="-4"/>
          <w:sz w:val="31"/>
          <w:szCs w:val="21"/>
        </w:rPr>
        <w:instrText xml:space="preserve">○</w:instrText>
      </w:r>
      <w:r>
        <w:rPr>
          <w:rFonts w:hint="eastAsia" w:ascii="宋体" w:hAnsi="宋体"/>
          <w:color w:val="auto"/>
          <w:szCs w:val="21"/>
        </w:rPr>
        <w:instrText xml:space="preserve">,1)</w:instrText>
      </w:r>
      <w:r>
        <w:rPr>
          <w:rFonts w:ascii="宋体" w:hAnsi="宋体"/>
          <w:color w:val="auto"/>
          <w:szCs w:val="21"/>
        </w:rPr>
        <w:fldChar w:fldCharType="end"/>
      </w:r>
      <w:r>
        <w:rPr>
          <w:rFonts w:hint="eastAsia" w:ascii="宋体" w:hAnsi="宋体"/>
          <w:color w:val="auto"/>
          <w:sz w:val="24"/>
          <w:u w:val="single"/>
        </w:rPr>
        <w:t>招标人部分为暂</w:t>
      </w:r>
      <w:r>
        <w:rPr>
          <w:rFonts w:hint="eastAsia" w:ascii="宋体" w:hAnsi="宋体"/>
          <w:color w:val="auto"/>
          <w:sz w:val="24"/>
          <w:u w:val="single"/>
          <w:lang w:val="en-US" w:eastAsia="zh-CN"/>
        </w:rPr>
        <w:t>估</w:t>
      </w:r>
      <w:r>
        <w:rPr>
          <w:rFonts w:hint="eastAsia" w:ascii="宋体" w:hAnsi="宋体"/>
          <w:color w:val="auto"/>
          <w:sz w:val="24"/>
          <w:u w:val="single"/>
        </w:rPr>
        <w:t>价，按实际签订的专业承包合同或预留金使用情况进行调整和结算；</w:t>
      </w:r>
    </w:p>
    <w:p>
      <w:pPr>
        <w:snapToGrid w:val="0"/>
        <w:spacing w:line="500" w:lineRule="exact"/>
        <w:ind w:firstLine="315"/>
        <w:rPr>
          <w:rFonts w:ascii="宋体" w:hAnsi="宋体"/>
          <w:color w:val="auto"/>
          <w:szCs w:val="21"/>
          <w:u w:val="single"/>
        </w:rPr>
      </w:pPr>
      <w:r>
        <w:rPr>
          <w:rFonts w:hint="eastAsia" w:ascii="宋体" w:hAnsi="宋体"/>
          <w:color w:val="auto"/>
          <w:szCs w:val="21"/>
        </w:rPr>
        <w:t xml:space="preserve">  </w:t>
      </w: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hint="eastAsia" w:ascii="宋体" w:hAnsi="宋体"/>
          <w:color w:val="auto"/>
          <w:position w:val="-4"/>
          <w:sz w:val="31"/>
          <w:szCs w:val="21"/>
        </w:rPr>
        <w:instrText xml:space="preserve">○</w:instrText>
      </w:r>
      <w:r>
        <w:rPr>
          <w:rFonts w:hint="eastAsia" w:ascii="宋体" w:hAnsi="宋体"/>
          <w:color w:val="auto"/>
          <w:szCs w:val="21"/>
        </w:rPr>
        <w:instrText xml:space="preserve">,2)</w:instrText>
      </w:r>
      <w:r>
        <w:rPr>
          <w:rFonts w:ascii="宋体" w:hAnsi="宋体"/>
          <w:color w:val="auto"/>
          <w:szCs w:val="21"/>
        </w:rPr>
        <w:fldChar w:fldCharType="end"/>
      </w:r>
      <w:r>
        <w:rPr>
          <w:rFonts w:hint="eastAsia" w:ascii="宋体" w:hAnsi="宋体"/>
          <w:color w:val="auto"/>
          <w:sz w:val="24"/>
          <w:u w:val="single"/>
        </w:rPr>
        <w:t>投标人部分为固定价格，结算时不作调整。（发包人有权全部使用、部分使用或完全不使用该项费用，结算价需按实核算）</w:t>
      </w:r>
    </w:p>
    <w:p>
      <w:pPr>
        <w:snapToGrid w:val="0"/>
        <w:spacing w:line="500" w:lineRule="exact"/>
        <w:ind w:firstLine="315"/>
        <w:rPr>
          <w:rFonts w:ascii="宋体" w:hAnsi="宋体"/>
          <w:color w:val="auto"/>
          <w:sz w:val="24"/>
          <w:u w:val="single"/>
        </w:rPr>
      </w:pPr>
      <w:r>
        <w:rPr>
          <w:rFonts w:hint="eastAsia" w:ascii="宋体" w:hAnsi="宋体"/>
          <w:color w:val="auto"/>
          <w:sz w:val="24"/>
        </w:rPr>
        <w:t xml:space="preserve">  ③</w:t>
      </w:r>
      <w:r>
        <w:rPr>
          <w:rFonts w:hint="eastAsia" w:ascii="宋体" w:hAnsi="宋体"/>
          <w:color w:val="auto"/>
          <w:sz w:val="24"/>
          <w:u w:val="single"/>
        </w:rPr>
        <w:t xml:space="preserve"> </w:t>
      </w:r>
      <w:r>
        <w:rPr>
          <w:rFonts w:hint="eastAsia" w:ascii="宋体" w:hAnsi="宋体"/>
          <w:color w:val="auto"/>
          <w:sz w:val="24"/>
          <w:highlight w:val="none"/>
          <w:u w:val="single"/>
        </w:rPr>
        <w:t>承包人需对发包人单独发包的工程提供总承包管理和协调，并提供配合和服务</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总承包服务费按照发包人单独发包的</w:t>
      </w:r>
      <w:r>
        <w:rPr>
          <w:rFonts w:hint="eastAsia" w:ascii="宋体" w:hAnsi="宋体"/>
          <w:color w:val="auto"/>
          <w:sz w:val="24"/>
          <w:highlight w:val="none"/>
          <w:u w:val="single"/>
          <w:lang w:val="en-US" w:eastAsia="zh-CN"/>
        </w:rPr>
        <w:t>专业</w:t>
      </w:r>
      <w:r>
        <w:rPr>
          <w:rFonts w:hint="eastAsia" w:ascii="宋体" w:hAnsi="宋体"/>
          <w:color w:val="auto"/>
          <w:sz w:val="24"/>
          <w:highlight w:val="none"/>
          <w:u w:val="single"/>
        </w:rPr>
        <w:t>工程的合同价（若出现签订补充合同增加合同价等情况的，以最初签订的该标段对应发包人单独发包的专业承包合同的合同价为准）乘以总承包服务费费率（按</w:t>
      </w:r>
      <w:r>
        <w:rPr>
          <w:rFonts w:hint="eastAsia" w:ascii="宋体" w:hAnsi="宋体"/>
          <w:color w:val="auto"/>
          <w:sz w:val="24"/>
          <w:highlight w:val="none"/>
          <w:u w:val="single"/>
          <w:lang w:val="en-US" w:eastAsia="zh-CN"/>
        </w:rPr>
        <w:t xml:space="preserve">0.5 </w:t>
      </w:r>
      <w:r>
        <w:rPr>
          <w:rFonts w:hint="eastAsia" w:ascii="宋体" w:hAnsi="宋体"/>
          <w:color w:val="auto"/>
          <w:sz w:val="24"/>
          <w:highlight w:val="none"/>
          <w:u w:val="single"/>
        </w:rPr>
        <w:t>%）计取，该费用由发包人直接支付</w:t>
      </w:r>
      <w:r>
        <w:rPr>
          <w:rFonts w:hint="eastAsia" w:ascii="宋体" w:hAnsi="宋体"/>
          <w:color w:val="auto"/>
          <w:sz w:val="24"/>
          <w:u w:val="single"/>
        </w:rPr>
        <w:t>。</w:t>
      </w:r>
    </w:p>
    <w:p>
      <w:pPr>
        <w:snapToGrid w:val="0"/>
        <w:spacing w:line="500" w:lineRule="exact"/>
        <w:ind w:firstLine="360" w:firstLineChars="150"/>
        <w:rPr>
          <w:rFonts w:ascii="宋体" w:hAnsi="宋体"/>
          <w:color w:val="auto"/>
          <w:sz w:val="24"/>
          <w:u w:val="single"/>
        </w:rPr>
      </w:pPr>
      <w:r>
        <w:rPr>
          <w:rFonts w:hint="eastAsia" w:ascii="宋体" w:hAnsi="宋体"/>
          <w:color w:val="auto"/>
          <w:sz w:val="24"/>
          <w:u w:val="single"/>
        </w:rPr>
        <w:t>（4）税金：税金按实计取，以国家税法政策为准。</w:t>
      </w:r>
    </w:p>
    <w:p>
      <w:pPr>
        <w:snapToGrid w:val="0"/>
        <w:spacing w:line="500" w:lineRule="exact"/>
        <w:ind w:firstLine="397"/>
        <w:rPr>
          <w:rFonts w:ascii="宋体" w:hAnsi="宋体"/>
          <w:color w:val="auto"/>
          <w:sz w:val="24"/>
          <w:u w:val="single"/>
        </w:rPr>
      </w:pPr>
      <w:r>
        <w:rPr>
          <w:rFonts w:ascii="宋体" w:hAnsi="宋体"/>
          <w:color w:val="auto"/>
          <w:sz w:val="24"/>
        </w:rPr>
        <w:t>23.3</w:t>
      </w:r>
      <w:r>
        <w:rPr>
          <w:rFonts w:ascii="宋体" w:hAnsi="宋体"/>
          <w:color w:val="auto"/>
          <w:sz w:val="24"/>
          <w:u w:val="single"/>
        </w:rPr>
        <w:t xml:space="preserve"> </w:t>
      </w:r>
      <w:r>
        <w:rPr>
          <w:rFonts w:hint="eastAsia" w:ascii="宋体" w:hAnsi="宋体"/>
          <w:color w:val="auto"/>
          <w:szCs w:val="21"/>
          <w:u w:val="single"/>
        </w:rPr>
        <w:t>三</w:t>
      </w:r>
      <w:r>
        <w:rPr>
          <w:rFonts w:hint="eastAsia" w:ascii="宋体" w:hAnsi="宋体"/>
          <w:color w:val="auto"/>
          <w:sz w:val="24"/>
          <w:u w:val="single"/>
        </w:rPr>
        <w:t>方约定合同价款的调整因素：</w:t>
      </w:r>
    </w:p>
    <w:p>
      <w:pPr>
        <w:numPr>
          <w:ilvl w:val="0"/>
          <w:numId w:val="8"/>
        </w:numPr>
        <w:snapToGrid w:val="0"/>
        <w:spacing w:line="500" w:lineRule="exact"/>
        <w:ind w:firstLine="397"/>
        <w:rPr>
          <w:rFonts w:ascii="宋体" w:hAnsi="宋体"/>
          <w:color w:val="auto"/>
          <w:sz w:val="24"/>
        </w:rPr>
      </w:pPr>
      <w:r>
        <w:rPr>
          <w:rFonts w:hint="eastAsia" w:ascii="宋体" w:hAnsi="宋体"/>
          <w:color w:val="auto"/>
          <w:sz w:val="24"/>
        </w:rPr>
        <w:t>发包人及监理单位共同确认工程量偏差；</w:t>
      </w:r>
    </w:p>
    <w:p>
      <w:pPr>
        <w:numPr>
          <w:ilvl w:val="0"/>
          <w:numId w:val="8"/>
        </w:numPr>
        <w:snapToGrid w:val="0"/>
        <w:spacing w:line="500" w:lineRule="exact"/>
        <w:ind w:firstLine="397"/>
        <w:rPr>
          <w:rFonts w:ascii="宋体" w:hAnsi="宋体"/>
          <w:color w:val="auto"/>
          <w:sz w:val="24"/>
        </w:rPr>
      </w:pPr>
      <w:r>
        <w:rPr>
          <w:rFonts w:hint="eastAsia" w:ascii="宋体" w:hAnsi="宋体"/>
          <w:color w:val="auto"/>
          <w:sz w:val="24"/>
        </w:rPr>
        <w:t>发包人及监理单位共同确认工程变更、签证和新增工程；</w:t>
      </w:r>
    </w:p>
    <w:p>
      <w:pPr>
        <w:numPr>
          <w:ilvl w:val="0"/>
          <w:numId w:val="8"/>
        </w:numPr>
        <w:snapToGrid w:val="0"/>
        <w:spacing w:line="500" w:lineRule="exact"/>
        <w:ind w:firstLine="397"/>
        <w:rPr>
          <w:rFonts w:ascii="宋体" w:hAnsi="宋体"/>
          <w:color w:val="auto"/>
          <w:sz w:val="24"/>
        </w:rPr>
      </w:pPr>
      <w:r>
        <w:rPr>
          <w:rFonts w:hint="eastAsia" w:ascii="宋体" w:hAnsi="宋体"/>
          <w:color w:val="auto"/>
          <w:sz w:val="24"/>
        </w:rPr>
        <w:t>物价变化；</w:t>
      </w:r>
    </w:p>
    <w:p>
      <w:pPr>
        <w:numPr>
          <w:ilvl w:val="0"/>
          <w:numId w:val="8"/>
        </w:numPr>
        <w:snapToGrid w:val="0"/>
        <w:spacing w:line="500" w:lineRule="exact"/>
        <w:ind w:firstLine="397"/>
        <w:rPr>
          <w:rFonts w:ascii="宋体" w:hAnsi="宋体"/>
          <w:color w:val="auto"/>
          <w:sz w:val="24"/>
        </w:rPr>
      </w:pPr>
      <w:r>
        <w:rPr>
          <w:rFonts w:hint="eastAsia" w:ascii="宋体" w:hAnsi="宋体"/>
          <w:color w:val="auto"/>
          <w:sz w:val="24"/>
        </w:rPr>
        <w:t>费用索赔事件或发包人负责的其他情况。</w:t>
      </w:r>
    </w:p>
    <w:p>
      <w:pPr>
        <w:snapToGrid w:val="0"/>
        <w:spacing w:line="500" w:lineRule="exact"/>
        <w:ind w:firstLine="360" w:firstLineChars="150"/>
        <w:rPr>
          <w:rFonts w:ascii="宋体" w:hAnsi="宋体"/>
          <w:color w:val="auto"/>
          <w:sz w:val="24"/>
        </w:rPr>
      </w:pPr>
      <w:r>
        <w:rPr>
          <w:rFonts w:hint="eastAsia" w:ascii="宋体" w:hAnsi="宋体"/>
          <w:color w:val="auto"/>
          <w:sz w:val="24"/>
        </w:rPr>
        <w:t>以上调整事项涉及的价款计价原则按23.5款约定执行。</w:t>
      </w:r>
    </w:p>
    <w:p>
      <w:pPr>
        <w:snapToGrid w:val="0"/>
        <w:spacing w:line="500" w:lineRule="exact"/>
        <w:ind w:firstLine="338" w:firstLineChars="141"/>
        <w:rPr>
          <w:rFonts w:ascii="宋体" w:hAnsi="宋体"/>
          <w:color w:val="auto"/>
          <w:sz w:val="24"/>
        </w:rPr>
      </w:pPr>
      <w:r>
        <w:rPr>
          <w:rFonts w:hint="eastAsia" w:ascii="宋体" w:hAnsi="宋体"/>
          <w:color w:val="auto"/>
          <w:sz w:val="24"/>
        </w:rPr>
        <w:t>23.4承包人应在第23.3款情况发生后3天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pPr>
        <w:pStyle w:val="154"/>
        <w:snapToGrid w:val="0"/>
        <w:spacing w:line="500" w:lineRule="exact"/>
        <w:ind w:firstLine="338" w:firstLineChars="141"/>
        <w:rPr>
          <w:rFonts w:ascii="宋体" w:hAnsi="宋体"/>
          <w:color w:val="auto"/>
          <w:sz w:val="24"/>
          <w:u w:val="single"/>
        </w:rPr>
      </w:pPr>
      <w:r>
        <w:rPr>
          <w:rFonts w:hint="eastAsia" w:ascii="宋体" w:hAnsi="宋体"/>
          <w:color w:val="auto"/>
          <w:sz w:val="24"/>
        </w:rPr>
        <w:t xml:space="preserve"> 23.5</w:t>
      </w:r>
      <w:r>
        <w:rPr>
          <w:rFonts w:hint="eastAsia" w:ascii="宋体" w:hAnsi="宋体"/>
          <w:color w:val="auto"/>
          <w:sz w:val="24"/>
          <w:u w:val="single"/>
        </w:rPr>
        <w:t>合同价款调整原则</w:t>
      </w:r>
    </w:p>
    <w:p>
      <w:pPr>
        <w:pStyle w:val="185"/>
        <w:spacing w:after="0" w:line="500" w:lineRule="exact"/>
        <w:ind w:firstLine="480" w:firstLineChars="200"/>
        <w:rPr>
          <w:rFonts w:ascii="宋体" w:hAnsi="宋体"/>
          <w:color w:val="auto"/>
          <w:sz w:val="24"/>
          <w:u w:val="single"/>
        </w:rPr>
      </w:pPr>
      <w:r>
        <w:rPr>
          <w:rFonts w:hint="eastAsia" w:ascii="宋体" w:hAnsi="宋体"/>
          <w:color w:val="auto"/>
          <w:sz w:val="24"/>
        </w:rPr>
        <w:t>23.5.1</w:t>
      </w:r>
      <w:r>
        <w:rPr>
          <w:rFonts w:hint="eastAsia" w:ascii="宋体" w:hAnsi="宋体"/>
          <w:color w:val="auto"/>
          <w:sz w:val="24"/>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p>
    <w:p>
      <w:pPr>
        <w:pStyle w:val="154"/>
        <w:spacing w:line="500" w:lineRule="exact"/>
        <w:ind w:firstLine="570"/>
        <w:rPr>
          <w:rFonts w:ascii="宋体" w:hAnsi="宋体"/>
          <w:color w:val="auto"/>
          <w:sz w:val="24"/>
          <w:u w:val="single"/>
        </w:rPr>
      </w:pPr>
      <w:r>
        <w:rPr>
          <w:rFonts w:hint="eastAsia" w:ascii="宋体" w:hAnsi="宋体"/>
          <w:color w:val="auto"/>
          <w:sz w:val="24"/>
          <w:u w:val="single"/>
        </w:rPr>
        <w:t>（1）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p>
    <w:p>
      <w:pPr>
        <w:pStyle w:val="154"/>
        <w:spacing w:line="500" w:lineRule="exact"/>
        <w:ind w:firstLine="395"/>
        <w:rPr>
          <w:rFonts w:ascii="宋体" w:hAnsi="宋体" w:cs="宋体"/>
          <w:color w:val="auto"/>
          <w:sz w:val="24"/>
        </w:rPr>
      </w:pPr>
      <w:r>
        <w:rPr>
          <w:rFonts w:hint="eastAsia"/>
          <w:color w:val="auto"/>
          <w:sz w:val="24"/>
        </w:rPr>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p>
    <w:p>
      <w:pPr>
        <w:pStyle w:val="154"/>
        <w:spacing w:line="500" w:lineRule="exact"/>
        <w:ind w:firstLine="395"/>
        <w:rPr>
          <w:rFonts w:ascii="宋体" w:hAnsi="宋体" w:cs="宋体"/>
          <w:color w:val="auto"/>
          <w:sz w:val="24"/>
          <w:u w:val="single"/>
        </w:rPr>
      </w:pPr>
      <w:r>
        <w:rPr>
          <w:rFonts w:hint="eastAsia" w:ascii="宋体" w:hAnsi="宋体" w:cs="宋体"/>
          <w:color w:val="auto"/>
          <w:sz w:val="24"/>
        </w:rPr>
        <w:t>（3）</w:t>
      </w:r>
      <w:r>
        <w:rPr>
          <w:rFonts w:hint="eastAsia" w:ascii="宋体" w:hAnsi="宋体" w:cs="宋体"/>
          <w:color w:val="auto"/>
          <w:sz w:val="24"/>
          <w:u w:val="single"/>
        </w:rPr>
        <w:t>合同工程量清单报价中没有相同或类似适用项目的，按以下原则计价</w:t>
      </w:r>
      <w:r>
        <w:rPr>
          <w:rFonts w:hint="eastAsia" w:ascii="宋体" w:hAnsi="宋体" w:cs="宋体"/>
          <w:color w:val="auto"/>
          <w:sz w:val="24"/>
        </w:rPr>
        <w:t>：</w:t>
      </w:r>
    </w:p>
    <w:p>
      <w:pPr>
        <w:pStyle w:val="154"/>
        <w:spacing w:line="500" w:lineRule="exact"/>
        <w:ind w:firstLine="480" w:firstLineChars="200"/>
        <w:rPr>
          <w:rFonts w:ascii="宋体" w:hAnsi="宋体" w:cs="宋体"/>
          <w:color w:val="auto"/>
          <w:sz w:val="24"/>
        </w:rPr>
      </w:pPr>
      <w:r>
        <w:rPr>
          <w:rFonts w:hint="eastAsia" w:ascii="宋体" w:hAnsi="宋体" w:cs="宋体"/>
          <w:color w:val="auto"/>
          <w:sz w:val="24"/>
          <w:u w:val="single"/>
        </w:rPr>
        <w:t>① 由承包人依据变更工程资料，计量原则，按《广东省市政工程综合定额》（2018年）、《广东省房屋建筑与装饰工程综合定额》（2018年）、《广东省通用安装工程综合定额》（2018年）、《广东省园林绿化工程综合定额》（2018年）、《广东省建设工程施工机具台班费用编制规则》（2018）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rPr>
        <w:t>，且需对选用的厂商价格信息重新进行市场调研询价后方可使用。</w:t>
      </w:r>
      <w:r>
        <w:rPr>
          <w:rFonts w:hint="eastAsia" w:ascii="宋体" w:hAnsi="宋体" w:cs="宋体"/>
          <w:color w:val="auto"/>
          <w:sz w:val="24"/>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rPr>
        <w:t>。</w:t>
      </w:r>
    </w:p>
    <w:p>
      <w:pPr>
        <w:pStyle w:val="154"/>
        <w:spacing w:line="500" w:lineRule="exact"/>
        <w:ind w:firstLine="480" w:firstLineChars="200"/>
        <w:rPr>
          <w:rFonts w:ascii="宋体" w:hAnsi="宋体" w:cs="宋体"/>
          <w:color w:val="auto"/>
          <w:sz w:val="24"/>
        </w:rPr>
      </w:pPr>
      <w:r>
        <w:rPr>
          <w:rFonts w:hint="eastAsia" w:ascii="宋体" w:hAnsi="宋体" w:cs="宋体"/>
          <w:color w:val="auto"/>
          <w:sz w:val="24"/>
        </w:rPr>
        <w:t xml:space="preserve">② </w:t>
      </w:r>
      <w:r>
        <w:rPr>
          <w:rFonts w:hint="eastAsia" w:ascii="宋体" w:hAnsi="宋体" w:cs="宋体"/>
          <w:color w:val="auto"/>
          <w:sz w:val="24"/>
          <w:u w:val="single"/>
        </w:rPr>
        <w:t>合同工程量清单没有相同或相类似且无相关定额的项目，承包人参照《广东省市政工程综合定额》（2018年）、《广东省房屋建筑与装饰工程综合定额》（2018年）、《广东省通用安装工程综合定额》（2018年）、《广东省园林绿化工程综合定额》（2018年）、《广东省建设工程施工机具台班费用编制规则》（2018）等相关定额编制原则（上述定额查找不到的可参考</w:t>
      </w:r>
      <w:r>
        <w:rPr>
          <w:rFonts w:hint="eastAsia" w:ascii="宋体" w:hAnsi="宋体" w:cs="宋体"/>
          <w:color w:val="auto"/>
          <w:sz w:val="24"/>
          <w:u w:val="single"/>
          <w:lang w:eastAsia="zh-CN"/>
        </w:rPr>
        <w:t>其他相关</w:t>
      </w:r>
      <w:r>
        <w:rPr>
          <w:rFonts w:hint="eastAsia" w:ascii="宋体" w:hAnsi="宋体" w:cs="宋体"/>
          <w:color w:val="auto"/>
          <w:sz w:val="24"/>
          <w:u w:val="single"/>
        </w:rPr>
        <w:t>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rPr>
        <w:t>，且需对选用的厂商价格信息重新进行市场调研询价后方可使用。</w:t>
      </w:r>
      <w:r>
        <w:rPr>
          <w:rFonts w:hint="eastAsia" w:ascii="宋体" w:hAnsi="宋体" w:cs="宋体"/>
          <w:color w:val="auto"/>
          <w:sz w:val="24"/>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rPr>
        <w:t>。</w:t>
      </w:r>
    </w:p>
    <w:p>
      <w:pPr>
        <w:pStyle w:val="154"/>
        <w:adjustRightInd w:val="0"/>
        <w:snapToGrid w:val="0"/>
        <w:spacing w:line="500" w:lineRule="exact"/>
        <w:ind w:right="11" w:firstLine="360" w:firstLineChars="15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u w:val="single"/>
        </w:rPr>
        <w:t>按上述原则确定价格时，措施项目费用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w:t>
      </w:r>
      <w:r>
        <w:rPr>
          <w:rFonts w:hint="eastAsia" w:hAnsi="宋体"/>
          <w:color w:val="auto"/>
          <w:sz w:val="24"/>
          <w:u w:val="single"/>
        </w:rPr>
        <w:t>、</w:t>
      </w:r>
      <w:r>
        <w:rPr>
          <w:rFonts w:hint="eastAsia" w:ascii="宋体" w:hAnsi="宋体" w:cs="宋体"/>
          <w:color w:val="auto"/>
          <w:sz w:val="24"/>
          <w:u w:val="single"/>
        </w:rPr>
        <w:t>《广东省住房和城乡建设厅关于印发&lt;广东省建设工程计价依据（2018)&gt;的通知》（穗建市〔2019〕6号）等相关文件的规定。</w:t>
      </w:r>
    </w:p>
    <w:p>
      <w:pPr>
        <w:snapToGrid w:val="0"/>
        <w:spacing w:line="500" w:lineRule="exact"/>
        <w:ind w:firstLine="338" w:firstLineChars="141"/>
        <w:rPr>
          <w:rFonts w:ascii="宋体" w:hAnsi="宋体" w:cs="宋体"/>
          <w:color w:val="auto"/>
          <w:sz w:val="24"/>
        </w:rPr>
      </w:pPr>
      <w:r>
        <w:rPr>
          <w:rFonts w:hint="eastAsia" w:ascii="宋体" w:hAnsi="宋体" w:cs="宋体"/>
          <w:color w:val="auto"/>
          <w:sz w:val="24"/>
        </w:rPr>
        <w:t xml:space="preserve">23.5.2 </w:t>
      </w:r>
      <w:r>
        <w:rPr>
          <w:rFonts w:hint="eastAsia" w:ascii="宋体" w:hAnsi="宋体" w:cs="宋体"/>
          <w:color w:val="auto"/>
          <w:sz w:val="24"/>
          <w:u w:val="single"/>
        </w:rPr>
        <w:t>工程量发生变化时，如项目综合单价与招标控制价对应的综合单价×（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rPr>
        <w:t>。</w:t>
      </w:r>
    </w:p>
    <w:p>
      <w:pPr>
        <w:snapToGrid w:val="0"/>
        <w:spacing w:line="500" w:lineRule="exact"/>
        <w:ind w:firstLine="338" w:firstLineChars="141"/>
        <w:rPr>
          <w:rFonts w:ascii="宋体" w:hAnsi="宋体" w:cs="宋体"/>
          <w:color w:val="auto"/>
          <w:sz w:val="24"/>
          <w:u w:val="single"/>
        </w:rPr>
      </w:pPr>
      <w:r>
        <w:rPr>
          <w:rFonts w:hint="eastAsia" w:ascii="宋体" w:hAnsi="宋体" w:cs="宋体"/>
          <w:color w:val="auto"/>
          <w:sz w:val="24"/>
        </w:rPr>
        <w:t>23.5.3</w:t>
      </w:r>
      <w:r>
        <w:rPr>
          <w:rFonts w:hint="eastAsia" w:ascii="宋体" w:hAnsi="宋体" w:cs="宋体"/>
          <w:color w:val="auto"/>
          <w:sz w:val="24"/>
          <w:u w:val="single"/>
        </w:rPr>
        <w:t>物价涨跌的价格调整：不调整。</w:t>
      </w:r>
    </w:p>
    <w:p>
      <w:pPr>
        <w:snapToGrid w:val="0"/>
        <w:spacing w:line="500" w:lineRule="exact"/>
        <w:rPr>
          <w:rFonts w:ascii="宋体" w:hAnsi="宋体"/>
          <w:b/>
          <w:color w:val="auto"/>
          <w:sz w:val="24"/>
        </w:rPr>
      </w:pPr>
      <w:r>
        <w:rPr>
          <w:rFonts w:hint="eastAsia" w:ascii="宋体" w:hAnsi="宋体"/>
          <w:color w:val="auto"/>
          <w:sz w:val="24"/>
        </w:rPr>
        <w:t xml:space="preserve">  </w:t>
      </w:r>
      <w:r>
        <w:rPr>
          <w:rFonts w:ascii="宋体" w:hAnsi="宋体"/>
          <w:color w:val="auto"/>
          <w:sz w:val="24"/>
        </w:rPr>
        <w:t>24</w:t>
      </w:r>
      <w:r>
        <w:rPr>
          <w:rFonts w:hint="eastAsia" w:ascii="宋体" w:hAnsi="宋体"/>
          <w:b/>
          <w:color w:val="auto"/>
          <w:sz w:val="24"/>
        </w:rPr>
        <w:t>、工程预付款及工人工资</w:t>
      </w:r>
    </w:p>
    <w:p>
      <w:pPr>
        <w:snapToGrid w:val="0"/>
        <w:spacing w:line="500" w:lineRule="exact"/>
        <w:ind w:firstLine="338" w:firstLineChars="141"/>
        <w:rPr>
          <w:rFonts w:ascii="宋体" w:hAnsi="宋体"/>
          <w:color w:val="auto"/>
          <w:sz w:val="24"/>
        </w:rPr>
      </w:pPr>
      <w:r>
        <w:rPr>
          <w:rFonts w:hint="eastAsia" w:ascii="宋体" w:hAnsi="宋体"/>
          <w:color w:val="auto"/>
          <w:sz w:val="24"/>
        </w:rPr>
        <w:t>24.1工程预付款</w:t>
      </w:r>
    </w:p>
    <w:p>
      <w:pPr>
        <w:snapToGrid w:val="0"/>
        <w:spacing w:line="500" w:lineRule="exact"/>
        <w:ind w:firstLine="338" w:firstLineChars="141"/>
        <w:rPr>
          <w:rFonts w:ascii="宋体" w:hAnsi="宋体"/>
          <w:color w:val="auto"/>
          <w:sz w:val="24"/>
        </w:rPr>
      </w:pPr>
      <w:r>
        <w:rPr>
          <w:rFonts w:hint="eastAsia" w:ascii="宋体" w:hAnsi="宋体"/>
          <w:color w:val="auto"/>
          <w:sz w:val="24"/>
        </w:rPr>
        <w:t>24.1.1发包人向承包人预付工程款的时间和金额或占合同价款总额的比例：发包人预付</w:t>
      </w:r>
      <w:r>
        <w:rPr>
          <w:rFonts w:hint="eastAsia" w:ascii="宋体" w:hAnsi="宋体"/>
          <w:color w:val="auto"/>
          <w:sz w:val="24"/>
          <w:lang w:val="en-US" w:eastAsia="zh-CN"/>
        </w:rPr>
        <w:t>2000</w:t>
      </w:r>
      <w:r>
        <w:rPr>
          <w:rFonts w:hint="eastAsia" w:ascii="宋体" w:hAnsi="宋体"/>
          <w:color w:val="auto"/>
          <w:sz w:val="24"/>
        </w:rPr>
        <w:t>万元</w:t>
      </w:r>
      <w:r>
        <w:rPr>
          <w:rFonts w:hint="eastAsia" w:ascii="宋体" w:hAnsi="宋体"/>
          <w:color w:val="auto"/>
          <w:sz w:val="24"/>
          <w:lang w:val="en-US" w:eastAsia="zh-CN"/>
        </w:rPr>
        <w:t>作为预付款</w:t>
      </w:r>
      <w:r>
        <w:rPr>
          <w:rFonts w:hint="eastAsia" w:ascii="宋体" w:hAnsi="宋体"/>
          <w:color w:val="auto"/>
          <w:sz w:val="24"/>
        </w:rPr>
        <w:t>。预付款中，（预付款×工人工资比例）的部分需支付至工人工资专用账户。预付款根据实际情况分批支付。</w:t>
      </w:r>
    </w:p>
    <w:p>
      <w:pPr>
        <w:snapToGrid w:val="0"/>
        <w:spacing w:line="500" w:lineRule="exact"/>
        <w:ind w:firstLine="338" w:firstLineChars="141"/>
        <w:rPr>
          <w:rFonts w:ascii="宋体" w:hAnsi="宋体"/>
          <w:color w:val="auto"/>
          <w:sz w:val="24"/>
        </w:rPr>
      </w:pPr>
      <w:r>
        <w:rPr>
          <w:rFonts w:hint="eastAsia" w:ascii="宋体" w:hAnsi="宋体"/>
          <w:color w:val="auto"/>
          <w:sz w:val="24"/>
        </w:rPr>
        <w:t xml:space="preserve"> 24.1.2承包人收取预付款后，应优先用于按有关规定缴纳工伤保险和办理建筑意外伤害险，专款专用。</w:t>
      </w:r>
    </w:p>
    <w:p>
      <w:pPr>
        <w:snapToGrid w:val="0"/>
        <w:spacing w:line="500" w:lineRule="exact"/>
        <w:ind w:firstLine="456" w:firstLineChars="190"/>
        <w:rPr>
          <w:rFonts w:hint="eastAsia" w:ascii="宋体" w:hAnsi="宋体"/>
          <w:color w:val="auto"/>
          <w:sz w:val="24"/>
        </w:rPr>
      </w:pPr>
      <w:r>
        <w:rPr>
          <w:rFonts w:hint="eastAsia" w:ascii="宋体" w:hAnsi="宋体"/>
          <w:color w:val="auto"/>
          <w:sz w:val="24"/>
        </w:rPr>
        <w:t>24.1.3扣回预付款的时间、比例：按本合同专用条款26条约定执行。</w:t>
      </w:r>
    </w:p>
    <w:p>
      <w:pPr>
        <w:snapToGrid w:val="0"/>
        <w:spacing w:line="500" w:lineRule="exact"/>
        <w:ind w:firstLine="456" w:firstLineChars="190"/>
        <w:rPr>
          <w:rFonts w:hint="eastAsia" w:ascii="宋体" w:hAnsi="宋体" w:eastAsia="宋体" w:cs="Times New Roman"/>
          <w:color w:val="auto"/>
          <w:sz w:val="24"/>
        </w:rPr>
      </w:pPr>
      <w:r>
        <w:rPr>
          <w:rFonts w:hint="eastAsia" w:ascii="宋体" w:hAnsi="宋体" w:eastAsia="宋体" w:cs="Times New Roman"/>
          <w:color w:val="auto"/>
          <w:sz w:val="24"/>
        </w:rPr>
        <w:t>24.1.4 承包人向发包人提供与预付款等额的预付款保函的正本。承包人应保持预付款保函在预付款全部扣回之前一直有效。发包人应在预付款扣完后的14天内将预付款保函退还承包人，并不得向承包人收取预付款的任何利息。</w:t>
      </w:r>
    </w:p>
    <w:p>
      <w:pPr>
        <w:snapToGrid w:val="0"/>
        <w:spacing w:line="500" w:lineRule="exact"/>
        <w:ind w:firstLine="456" w:firstLineChars="190"/>
        <w:rPr>
          <w:rFonts w:ascii="宋体" w:hAnsi="宋体"/>
          <w:color w:val="auto"/>
          <w:sz w:val="24"/>
        </w:rPr>
      </w:pPr>
      <w:r>
        <w:rPr>
          <w:rFonts w:hint="eastAsia" w:ascii="宋体" w:hAnsi="宋体"/>
          <w:color w:val="auto"/>
          <w:sz w:val="24"/>
        </w:rPr>
        <w:t>24.2工人工资</w:t>
      </w:r>
    </w:p>
    <w:p>
      <w:pPr>
        <w:snapToGrid w:val="0"/>
        <w:spacing w:line="500" w:lineRule="exact"/>
        <w:ind w:firstLine="456" w:firstLineChars="190"/>
        <w:rPr>
          <w:rFonts w:ascii="宋体" w:hAnsi="宋体"/>
          <w:color w:val="auto"/>
          <w:sz w:val="24"/>
        </w:rPr>
      </w:pPr>
      <w:r>
        <w:rPr>
          <w:rFonts w:hint="eastAsia" w:ascii="宋体" w:hAnsi="宋体"/>
          <w:color w:val="auto"/>
          <w:sz w:val="24"/>
        </w:rPr>
        <w:t>24.2.1承包人需按有关规定与商业银行另行签订广州市建设领域工人工资支付专用账户管理协议、开设专用账户并报发包人备案,工人工资支付至专用账户。</w:t>
      </w:r>
    </w:p>
    <w:p>
      <w:pPr>
        <w:snapToGrid w:val="0"/>
        <w:spacing w:line="500" w:lineRule="exact"/>
        <w:ind w:firstLine="456" w:firstLineChars="190"/>
        <w:rPr>
          <w:rFonts w:ascii="宋体" w:hAnsi="宋体"/>
          <w:color w:val="auto"/>
          <w:sz w:val="24"/>
        </w:rPr>
      </w:pPr>
      <w:r>
        <w:rPr>
          <w:rFonts w:hint="eastAsia" w:ascii="宋体" w:hAnsi="宋体"/>
          <w:color w:val="auto"/>
          <w:sz w:val="24"/>
        </w:rPr>
        <w:t>24.2.2工人工资进度款与工程进度款同步支付，其中每期需支付的工程进度款×工人工资比例为该期工人工资进度款，支付至工人工资专用账户。</w:t>
      </w:r>
    </w:p>
    <w:p>
      <w:pPr>
        <w:snapToGrid w:val="0"/>
        <w:spacing w:line="500" w:lineRule="exact"/>
        <w:ind w:firstLine="480" w:firstLineChars="200"/>
        <w:rPr>
          <w:rFonts w:ascii="宋体" w:hAnsi="宋体"/>
          <w:color w:val="auto"/>
          <w:sz w:val="24"/>
        </w:rPr>
      </w:pPr>
      <w:r>
        <w:rPr>
          <w:rFonts w:ascii="宋体" w:hAnsi="宋体"/>
          <w:color w:val="auto"/>
          <w:sz w:val="24"/>
        </w:rPr>
        <w:t>25</w:t>
      </w:r>
      <w:r>
        <w:rPr>
          <w:rFonts w:hint="eastAsia" w:ascii="宋体" w:hAnsi="宋体"/>
          <w:b/>
          <w:color w:val="auto"/>
          <w:sz w:val="24"/>
        </w:rPr>
        <w:t>、工程量确认</w:t>
      </w:r>
    </w:p>
    <w:p>
      <w:pPr>
        <w:snapToGrid w:val="0"/>
        <w:spacing w:line="500" w:lineRule="exact"/>
        <w:ind w:firstLine="397"/>
        <w:rPr>
          <w:rFonts w:ascii="宋体" w:hAnsi="宋体"/>
          <w:color w:val="auto"/>
          <w:sz w:val="24"/>
        </w:rPr>
      </w:pPr>
      <w:r>
        <w:rPr>
          <w:rFonts w:ascii="宋体" w:hAnsi="宋体"/>
          <w:color w:val="auto"/>
          <w:sz w:val="24"/>
        </w:rPr>
        <w:t xml:space="preserve">25.1 </w:t>
      </w:r>
      <w:r>
        <w:rPr>
          <w:rFonts w:hint="eastAsia" w:ascii="宋体" w:hAnsi="宋体"/>
          <w:color w:val="auto"/>
          <w:sz w:val="24"/>
        </w:rPr>
        <w:t>承包人向工程师提交已完工程量报告的时间：</w:t>
      </w:r>
      <w:r>
        <w:rPr>
          <w:rFonts w:hint="eastAsia" w:ascii="宋体" w:hAnsi="宋体"/>
          <w:color w:val="auto"/>
          <w:sz w:val="24"/>
          <w:u w:val="single"/>
        </w:rPr>
        <w:t>自开工之日起每周四及每月2</w:t>
      </w:r>
      <w:r>
        <w:rPr>
          <w:rFonts w:ascii="宋体" w:hAnsi="宋体"/>
          <w:color w:val="auto"/>
          <w:sz w:val="24"/>
          <w:u w:val="single"/>
        </w:rPr>
        <w:t>5</w:t>
      </w:r>
      <w:r>
        <w:rPr>
          <w:rFonts w:hint="eastAsia" w:ascii="宋体" w:hAnsi="宋体"/>
          <w:color w:val="auto"/>
          <w:sz w:val="24"/>
          <w:u w:val="single"/>
        </w:rPr>
        <w:t>日报告已完成工程状况</w:t>
      </w:r>
      <w:r>
        <w:rPr>
          <w:rFonts w:hint="eastAsia" w:ascii="宋体" w:hAnsi="宋体"/>
          <w:color w:val="auto"/>
          <w:sz w:val="24"/>
        </w:rPr>
        <w:t>。</w:t>
      </w:r>
    </w:p>
    <w:p>
      <w:pPr>
        <w:snapToGrid w:val="0"/>
        <w:spacing w:line="500" w:lineRule="exact"/>
        <w:ind w:firstLine="397"/>
        <w:rPr>
          <w:rFonts w:ascii="宋体" w:hAnsi="宋体"/>
          <w:color w:val="auto"/>
          <w:sz w:val="24"/>
          <w:u w:val="single"/>
        </w:rPr>
      </w:pPr>
      <w:r>
        <w:rPr>
          <w:rFonts w:hint="eastAsia" w:ascii="宋体" w:hAnsi="宋体"/>
          <w:color w:val="auto"/>
          <w:sz w:val="24"/>
        </w:rPr>
        <w:t>25.2三方一致同意不适用通用条款25.2款。承包人完成工程量必须经发包人书面确认。</w:t>
      </w:r>
    </w:p>
    <w:p>
      <w:pPr>
        <w:snapToGrid w:val="0"/>
        <w:spacing w:line="500" w:lineRule="exact"/>
        <w:ind w:firstLine="397"/>
        <w:rPr>
          <w:rFonts w:ascii="宋体" w:hAnsi="宋体"/>
          <w:color w:val="auto"/>
          <w:sz w:val="24"/>
        </w:rPr>
      </w:pPr>
      <w:r>
        <w:rPr>
          <w:rFonts w:ascii="宋体" w:hAnsi="宋体"/>
          <w:color w:val="auto"/>
          <w:sz w:val="24"/>
        </w:rPr>
        <w:t>26</w:t>
      </w:r>
      <w:r>
        <w:rPr>
          <w:rFonts w:hint="eastAsia" w:ascii="宋体" w:hAnsi="宋体"/>
          <w:color w:val="auto"/>
          <w:sz w:val="24"/>
        </w:rPr>
        <w:t>、</w:t>
      </w:r>
      <w:r>
        <w:rPr>
          <w:rFonts w:hint="eastAsia" w:ascii="宋体" w:hAnsi="宋体"/>
          <w:b/>
          <w:color w:val="auto"/>
          <w:sz w:val="24"/>
        </w:rPr>
        <w:t>工程款（进度款）支付</w:t>
      </w:r>
    </w:p>
    <w:p>
      <w:pPr>
        <w:snapToGrid w:val="0"/>
        <w:spacing w:line="500" w:lineRule="exact"/>
        <w:ind w:firstLine="480"/>
        <w:rPr>
          <w:rFonts w:ascii="宋体" w:hAnsi="宋体"/>
          <w:color w:val="auto"/>
          <w:sz w:val="24"/>
        </w:rPr>
      </w:pPr>
      <w:r>
        <w:rPr>
          <w:rFonts w:hint="eastAsia" w:ascii="宋体" w:hAnsi="宋体"/>
          <w:color w:val="auto"/>
          <w:sz w:val="24"/>
        </w:rPr>
        <w:t>26.1</w:t>
      </w:r>
      <w:r>
        <w:rPr>
          <w:rFonts w:hint="eastAsia" w:ascii="宋体" w:hAnsi="宋体"/>
          <w:color w:val="auto"/>
          <w:szCs w:val="21"/>
          <w:u w:val="single"/>
        </w:rPr>
        <w:t>三</w:t>
      </w:r>
      <w:r>
        <w:rPr>
          <w:rFonts w:hint="eastAsia" w:ascii="宋体" w:hAnsi="宋体"/>
          <w:color w:val="auto"/>
          <w:sz w:val="24"/>
        </w:rPr>
        <w:t>方约定的工程款（进度款）支付采取如下的</w:t>
      </w:r>
      <w:r>
        <w:rPr>
          <w:rFonts w:hint="eastAsia" w:ascii="宋体" w:hAnsi="宋体"/>
          <w:color w:val="auto"/>
          <w:sz w:val="24"/>
          <w:u w:val="single"/>
        </w:rPr>
        <w:t xml:space="preserve"> 26.1.2 </w:t>
      </w:r>
      <w:r>
        <w:rPr>
          <w:rFonts w:hint="eastAsia" w:ascii="宋体" w:hAnsi="宋体"/>
          <w:color w:val="auto"/>
          <w:sz w:val="24"/>
        </w:rPr>
        <w:t>方式进行：</w:t>
      </w:r>
    </w:p>
    <w:p>
      <w:pPr>
        <w:snapToGrid w:val="0"/>
        <w:spacing w:line="500" w:lineRule="exact"/>
        <w:ind w:firstLine="480" w:firstLineChars="200"/>
        <w:rPr>
          <w:rFonts w:ascii="宋体" w:hAnsi="宋体"/>
          <w:color w:val="auto"/>
          <w:sz w:val="24"/>
        </w:rPr>
      </w:pPr>
      <w:r>
        <w:rPr>
          <w:rFonts w:hint="eastAsia" w:ascii="宋体" w:hAnsi="宋体"/>
          <w:color w:val="auto"/>
          <w:sz w:val="24"/>
        </w:rPr>
        <w:t>26.1.1 按累计完成工作量百分率支付工程款（进度款）方式：</w:t>
      </w:r>
    </w:p>
    <w:p>
      <w:pPr>
        <w:snapToGrid w:val="0"/>
        <w:spacing w:line="500" w:lineRule="exact"/>
        <w:ind w:firstLine="480" w:firstLineChars="200"/>
        <w:rPr>
          <w:rFonts w:ascii="宋体" w:hAnsi="宋体"/>
          <w:color w:val="auto"/>
          <w:sz w:val="24"/>
        </w:rPr>
      </w:pPr>
      <w:r>
        <w:rPr>
          <w:rFonts w:hint="eastAsia" w:ascii="宋体" w:hAnsi="宋体"/>
          <w:color w:val="auto"/>
          <w:sz w:val="24"/>
        </w:rPr>
        <w:t>（1）当完成工作量达到 60% 时，支付工程进度款</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w:t>
      </w:r>
      <w:r>
        <w:rPr>
          <w:rFonts w:ascii="宋体" w:hAnsi="宋体"/>
          <w:color w:val="auto"/>
          <w:sz w:val="24"/>
          <w:u w:val="single"/>
        </w:rPr>
        <w:t>累计付款</w:t>
      </w:r>
      <w:r>
        <w:rPr>
          <w:rFonts w:hint="eastAsia" w:ascii="宋体" w:hAnsi="宋体"/>
          <w:color w:val="auto"/>
          <w:sz w:val="24"/>
          <w:u w:val="single"/>
        </w:rPr>
        <w:t>(含已支付的绿色施工安全防护措施费)</w:t>
      </w:r>
      <w:r>
        <w:rPr>
          <w:rFonts w:ascii="宋体" w:hAnsi="宋体"/>
          <w:color w:val="auto"/>
          <w:sz w:val="24"/>
          <w:u w:val="single"/>
        </w:rPr>
        <w:t>至合同价款</w:t>
      </w:r>
      <w:r>
        <w:rPr>
          <w:rFonts w:hint="eastAsia" w:ascii="宋体" w:hAnsi="宋体"/>
          <w:color w:val="auto"/>
          <w:sz w:val="24"/>
          <w:u w:val="single"/>
        </w:rPr>
        <w:t>若有暂定金(含暂列金额和暂估价)扣除未计量部分暂定金(含暂列金额和暂估价)后的60</w:t>
      </w:r>
      <w:r>
        <w:rPr>
          <w:rFonts w:ascii="宋体" w:hAnsi="宋体"/>
          <w:color w:val="auto"/>
          <w:sz w:val="24"/>
          <w:u w:val="single"/>
        </w:rPr>
        <w:t>%</w:t>
      </w:r>
      <w:r>
        <w:rPr>
          <w:rFonts w:hint="eastAsia" w:ascii="宋体" w:hAnsi="宋体"/>
          <w:color w:val="auto"/>
          <w:sz w:val="24"/>
          <w:u w:val="single"/>
        </w:rPr>
        <w:t>】</w:t>
      </w:r>
      <w:r>
        <w:rPr>
          <w:rFonts w:hint="eastAsia" w:ascii="宋体" w:hAnsi="宋体"/>
          <w:color w:val="auto"/>
          <w:sz w:val="24"/>
        </w:rPr>
        <w:t>；</w:t>
      </w:r>
    </w:p>
    <w:p>
      <w:pPr>
        <w:snapToGrid w:val="0"/>
        <w:spacing w:line="500" w:lineRule="exact"/>
        <w:ind w:firstLine="480" w:firstLineChars="200"/>
        <w:rPr>
          <w:rFonts w:ascii="宋体" w:hAnsi="宋体"/>
          <w:color w:val="auto"/>
          <w:sz w:val="24"/>
        </w:rPr>
      </w:pPr>
      <w:r>
        <w:rPr>
          <w:rFonts w:hint="eastAsia" w:ascii="宋体" w:hAnsi="宋体"/>
          <w:color w:val="auto"/>
          <w:sz w:val="24"/>
        </w:rPr>
        <w:t>（2）工程完工，并通过初验后支付合同价款30%</w:t>
      </w:r>
      <w:r>
        <w:rPr>
          <w:rFonts w:hint="eastAsia" w:ascii="宋体" w:hAnsi="宋体"/>
          <w:color w:val="auto"/>
          <w:sz w:val="24"/>
          <w:u w:val="single"/>
        </w:rPr>
        <w:t>【</w:t>
      </w:r>
      <w:r>
        <w:rPr>
          <w:rFonts w:ascii="宋体" w:hAnsi="宋体"/>
          <w:color w:val="auto"/>
          <w:sz w:val="24"/>
          <w:u w:val="single"/>
        </w:rPr>
        <w:t>累计付款</w:t>
      </w:r>
      <w:r>
        <w:rPr>
          <w:rFonts w:hint="eastAsia" w:ascii="宋体" w:hAnsi="宋体"/>
          <w:color w:val="auto"/>
          <w:sz w:val="24"/>
          <w:u w:val="single"/>
        </w:rPr>
        <w:t>(含绿色施工安全防护措施费）</w:t>
      </w:r>
      <w:r>
        <w:rPr>
          <w:rFonts w:ascii="宋体" w:hAnsi="宋体"/>
          <w:color w:val="auto"/>
          <w:sz w:val="24"/>
          <w:u w:val="single"/>
        </w:rPr>
        <w:t>至合同价款</w:t>
      </w:r>
      <w:r>
        <w:rPr>
          <w:rFonts w:hint="eastAsia" w:ascii="宋体" w:hAnsi="宋体"/>
          <w:color w:val="auto"/>
          <w:sz w:val="24"/>
          <w:u w:val="single"/>
        </w:rPr>
        <w:t>若有暂定金(含暂列金额和暂估价)扣除未计量部分暂定金(含暂列金额和暂估价)后的</w:t>
      </w:r>
      <w:r>
        <w:rPr>
          <w:rFonts w:ascii="宋体" w:hAnsi="宋体"/>
          <w:color w:val="auto"/>
          <w:sz w:val="24"/>
          <w:u w:val="single"/>
        </w:rPr>
        <w:t>85%</w:t>
      </w:r>
      <w:r>
        <w:rPr>
          <w:rFonts w:hint="eastAsia" w:ascii="宋体" w:hAnsi="宋体"/>
          <w:color w:val="auto"/>
          <w:sz w:val="24"/>
          <w:u w:val="single"/>
        </w:rPr>
        <w:t>】</w:t>
      </w:r>
      <w:r>
        <w:rPr>
          <w:rFonts w:hint="eastAsia" w:ascii="宋体" w:hAnsi="宋体"/>
          <w:color w:val="auto"/>
          <w:sz w:val="24"/>
        </w:rPr>
        <w:t>；</w:t>
      </w:r>
    </w:p>
    <w:p>
      <w:pPr>
        <w:snapToGrid w:val="0"/>
        <w:spacing w:line="500" w:lineRule="exact"/>
        <w:ind w:firstLine="480" w:firstLineChars="200"/>
        <w:rPr>
          <w:rFonts w:ascii="宋体" w:hAnsi="宋体"/>
          <w:color w:val="auto"/>
          <w:sz w:val="24"/>
        </w:rPr>
      </w:pPr>
      <w:r>
        <w:rPr>
          <w:rFonts w:hint="eastAsia" w:ascii="宋体" w:hAnsi="宋体"/>
          <w:color w:val="auto"/>
          <w:sz w:val="24"/>
        </w:rPr>
        <w:t>（3）工程通过验收并经发包人审定施工结算后支付工程款</w:t>
      </w:r>
      <w:r>
        <w:rPr>
          <w:rFonts w:hint="eastAsia" w:ascii="宋体" w:hAnsi="宋体"/>
          <w:color w:val="auto"/>
          <w:sz w:val="24"/>
          <w:u w:val="single"/>
        </w:rPr>
        <w:t>(含绿色施工安全防护措施费）</w:t>
      </w:r>
      <w:r>
        <w:rPr>
          <w:rFonts w:hint="eastAsia" w:ascii="宋体" w:hAnsi="宋体"/>
          <w:color w:val="auto"/>
          <w:sz w:val="24"/>
        </w:rPr>
        <w:t>至结算价的97%；工程结算价款额度的3%作为保修金，待缺陷责任期结束后结清（不计利息）。</w:t>
      </w:r>
    </w:p>
    <w:p>
      <w:pPr>
        <w:snapToGrid w:val="0"/>
        <w:spacing w:line="500" w:lineRule="exact"/>
        <w:ind w:firstLine="480" w:firstLineChars="200"/>
        <w:rPr>
          <w:rFonts w:ascii="宋体" w:hAnsi="宋体"/>
          <w:color w:val="auto"/>
          <w:sz w:val="24"/>
        </w:rPr>
      </w:pPr>
      <w:r>
        <w:rPr>
          <w:rFonts w:hint="eastAsia" w:ascii="宋体" w:hAnsi="宋体"/>
          <w:color w:val="auto"/>
          <w:sz w:val="24"/>
        </w:rPr>
        <w:t>每期需支付的工程进度款×工人工资比例为该期工人工资进度款，支付至工人工资专用账户。</w:t>
      </w:r>
    </w:p>
    <w:p>
      <w:pPr>
        <w:snapToGrid w:val="0"/>
        <w:spacing w:line="500" w:lineRule="exact"/>
        <w:ind w:firstLine="480" w:firstLineChars="200"/>
        <w:rPr>
          <w:rFonts w:ascii="宋体" w:hAnsi="宋体"/>
          <w:color w:val="auto"/>
          <w:sz w:val="24"/>
        </w:rPr>
      </w:pPr>
      <w:r>
        <w:rPr>
          <w:rFonts w:hint="eastAsia" w:ascii="宋体" w:hAnsi="宋体"/>
          <w:color w:val="auto"/>
          <w:sz w:val="24"/>
        </w:rPr>
        <w:t>26.1.2按月度支付工程款（进度款）：</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承包人每月上报完成工程量报表，经监理审核及发包人确认后，发包人按经审定月度完成工程量的80%支付工程进度款。工程进度款支付前，承包人需提供等额增值税发票。若因发包人审批原因导致付款时间延后的，承包人无条件接受，并不得向发包人索赔。</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从本工程发生的第一次进度款支付起，发包人分两次扣回预付款，第一次进度款支付时扣回预付款的50%，第二次进度款支付时扣回余下预付款。预付款扣回完毕后，发包人按审定月度完成工程量的80%支付工程进度款。</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工程通过竣工验收且相关资料齐全、竣工备案完成并经发包人审定施工结算后支付工程款</w:t>
      </w:r>
      <w:r>
        <w:rPr>
          <w:rFonts w:hint="eastAsia" w:ascii="宋体" w:hAnsi="宋体"/>
          <w:color w:val="auto"/>
          <w:sz w:val="24"/>
          <w:highlight w:val="none"/>
          <w:u w:val="single"/>
        </w:rPr>
        <w:t>（含绿色施工安全防护措施费）</w:t>
      </w:r>
      <w:r>
        <w:rPr>
          <w:rFonts w:hint="eastAsia" w:ascii="宋体" w:hAnsi="宋体"/>
          <w:color w:val="auto"/>
          <w:sz w:val="24"/>
          <w:highlight w:val="none"/>
        </w:rPr>
        <w:t>至结算价的97%；工程结算价款额度的3%作为保修金，待缺陷责任期期结束后结清（不计利息）。</w:t>
      </w:r>
    </w:p>
    <w:p>
      <w:pPr>
        <w:snapToGrid w:val="0"/>
        <w:spacing w:line="500" w:lineRule="exact"/>
        <w:ind w:firstLine="480" w:firstLineChars="200"/>
        <w:rPr>
          <w:rFonts w:ascii="宋体" w:hAnsi="宋体"/>
          <w:color w:val="auto"/>
          <w:sz w:val="24"/>
        </w:rPr>
      </w:pPr>
      <w:r>
        <w:rPr>
          <w:rFonts w:hint="eastAsia" w:ascii="宋体" w:hAnsi="宋体"/>
          <w:color w:val="auto"/>
          <w:sz w:val="24"/>
          <w:highlight w:val="none"/>
        </w:rPr>
        <w:t>每期需支付的工程进度款×工人工资比例为该期工人工资进度款，支付至工人工资专用账户</w:t>
      </w:r>
      <w:r>
        <w:rPr>
          <w:rFonts w:hint="eastAsia" w:ascii="宋体" w:hAnsi="宋体"/>
          <w:color w:val="auto"/>
          <w:sz w:val="24"/>
        </w:rPr>
        <w:t>。</w:t>
      </w:r>
    </w:p>
    <w:p>
      <w:pPr>
        <w:adjustRightInd w:val="0"/>
        <w:snapToGrid w:val="0"/>
        <w:spacing w:line="500" w:lineRule="exact"/>
        <w:ind w:right="11" w:firstLine="420" w:firstLineChars="175"/>
        <w:rPr>
          <w:rFonts w:ascii="宋体" w:hAnsi="宋体"/>
          <w:color w:val="auto"/>
          <w:sz w:val="24"/>
        </w:rPr>
      </w:pPr>
      <w:r>
        <w:rPr>
          <w:rFonts w:hint="eastAsia" w:ascii="宋体" w:hAnsi="宋体"/>
          <w:color w:val="auto"/>
          <w:sz w:val="24"/>
        </w:rPr>
        <w:t>26.2所有因变更、签证及价格调整等原因所调整增加的工程价款均应由承包人按广州开发区、黄埔区及建设业主相关规定程序，报监理初审，并经发包人审批同意后，按审定金额另行签订补充协议支付，或在工程结算中一并支付。</w:t>
      </w:r>
    </w:p>
    <w:p>
      <w:pPr>
        <w:snapToGrid w:val="0"/>
        <w:spacing w:line="500" w:lineRule="exact"/>
        <w:ind w:firstLine="480" w:firstLineChars="200"/>
        <w:rPr>
          <w:rFonts w:ascii="宋体" w:hAnsi="宋体"/>
          <w:color w:val="auto"/>
          <w:sz w:val="24"/>
        </w:rPr>
      </w:pPr>
      <w:r>
        <w:rPr>
          <w:rFonts w:hint="eastAsia" w:ascii="宋体" w:hAnsi="宋体"/>
          <w:color w:val="auto"/>
          <w:sz w:val="24"/>
        </w:rPr>
        <w:t>26.4工程价款的支付条件：</w:t>
      </w:r>
    </w:p>
    <w:p>
      <w:pPr>
        <w:snapToGrid w:val="0"/>
        <w:spacing w:line="500" w:lineRule="exact"/>
        <w:ind w:firstLine="480"/>
        <w:rPr>
          <w:rFonts w:ascii="宋体" w:hAnsi="宋体"/>
          <w:snapToGrid w:val="0"/>
          <w:color w:val="auto"/>
          <w:sz w:val="24"/>
          <w:u w:val="single"/>
        </w:rPr>
      </w:pPr>
      <w:r>
        <w:rPr>
          <w:rFonts w:hint="eastAsia" w:ascii="宋体" w:hAnsi="宋体"/>
          <w:color w:val="auto"/>
          <w:sz w:val="24"/>
        </w:rPr>
        <w:t>（1）支付预付款：</w:t>
      </w:r>
      <w:r>
        <w:rPr>
          <w:rFonts w:hint="eastAsia" w:ascii="宋体" w:hAnsi="宋体"/>
          <w:color w:val="auto"/>
          <w:sz w:val="24"/>
          <w:u w:val="single"/>
        </w:rPr>
        <w:t>承包人已与发包人签订工程施工合同，承包人承诺的项目管理人员、机械设备到位。已生效的履约担保已按发包人要求准时提交发包人，工程已经监理工程师批准动工，该工程资金已到位。如工程因用地、拆迁等原因导致不能全面开工，则预付款的支付将按开工部分的工程量占总工程量的比例做相应调整</w:t>
      </w:r>
      <w:r>
        <w:rPr>
          <w:rFonts w:hint="eastAsia" w:ascii="宋体" w:hAnsi="宋体"/>
          <w:snapToGrid w:val="0"/>
          <w:color w:val="auto"/>
          <w:sz w:val="24"/>
          <w:u w:val="single"/>
        </w:rPr>
        <w:t>。</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（2）支付工程款（进度款）：</w:t>
      </w:r>
      <w:r>
        <w:rPr>
          <w:rFonts w:hint="eastAsia" w:ascii="宋体" w:hAnsi="宋体"/>
          <w:color w:val="auto"/>
          <w:sz w:val="24"/>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p>
    <w:p>
      <w:pPr>
        <w:pStyle w:val="121"/>
        <w:snapToGrid w:val="0"/>
        <w:spacing w:line="500" w:lineRule="exact"/>
        <w:ind w:firstLine="480" w:firstLineChars="200"/>
        <w:rPr>
          <w:rFonts w:ascii="宋体" w:hAnsi="宋体" w:eastAsia="宋体" w:cs="宋体"/>
          <w:color w:val="auto"/>
          <w:sz w:val="24"/>
        </w:rPr>
      </w:pPr>
      <w:r>
        <w:rPr>
          <w:rFonts w:hint="eastAsia" w:ascii="宋体" w:hAnsi="宋体" w:eastAsia="宋体" w:cs="宋体"/>
          <w:color w:val="auto"/>
          <w:sz w:val="24"/>
        </w:rPr>
        <w:t>26.5</w:t>
      </w:r>
      <w:r>
        <w:rPr>
          <w:rFonts w:hint="eastAsia" w:ascii="宋体" w:hAnsi="宋体" w:eastAsia="宋体" w:cs="宋体"/>
          <w:color w:val="auto"/>
          <w:sz w:val="24"/>
          <w:u w:val="single"/>
        </w:rPr>
        <w:t>绿色施工安全防护措施费</w:t>
      </w:r>
      <w:r>
        <w:rPr>
          <w:rFonts w:hint="eastAsia" w:ascii="宋体" w:hAnsi="宋体" w:eastAsia="宋体" w:cs="宋体"/>
          <w:color w:val="auto"/>
          <w:sz w:val="24"/>
        </w:rPr>
        <w:t>支付的支付条件：</w:t>
      </w:r>
    </w:p>
    <w:p>
      <w:pPr>
        <w:pStyle w:val="121"/>
        <w:snapToGrid w:val="0"/>
        <w:spacing w:line="500" w:lineRule="exact"/>
        <w:ind w:firstLine="480" w:firstLineChars="200"/>
        <w:rPr>
          <w:rFonts w:ascii="宋体" w:hAnsi="宋体" w:eastAsia="宋体" w:cs="宋体"/>
          <w:color w:val="auto"/>
          <w:sz w:val="24"/>
        </w:rPr>
      </w:pPr>
      <w:r>
        <w:rPr>
          <w:rFonts w:hint="eastAsia" w:ascii="宋体" w:hAnsi="宋体" w:eastAsia="宋体" w:cs="宋体"/>
          <w:color w:val="auto"/>
          <w:sz w:val="24"/>
          <w:u w:val="single"/>
        </w:rPr>
        <w:t>绿色施工安全防护措施费</w:t>
      </w:r>
      <w:r>
        <w:rPr>
          <w:rFonts w:hint="eastAsia" w:ascii="宋体" w:hAnsi="宋体" w:eastAsia="宋体" w:cs="宋体"/>
          <w:color w:val="auto"/>
          <w:sz w:val="24"/>
        </w:rPr>
        <w:t>按在工程投标最高报价中的</w:t>
      </w:r>
      <w:r>
        <w:rPr>
          <w:rFonts w:hint="eastAsia" w:ascii="宋体" w:hAnsi="宋体" w:eastAsia="宋体" w:cs="宋体"/>
          <w:color w:val="auto"/>
          <w:sz w:val="24"/>
          <w:u w:val="single"/>
        </w:rPr>
        <w:t>绿色施工安全防护措施费</w:t>
      </w:r>
      <w:r>
        <w:rPr>
          <w:rFonts w:hint="eastAsia" w:ascii="宋体" w:hAnsi="宋体" w:eastAsia="宋体" w:cs="宋体"/>
          <w:color w:val="auto"/>
          <w:sz w:val="24"/>
        </w:rPr>
        <w:t>用计取，专款专用，并从本施工合同价款中提取（</w:t>
      </w:r>
      <w:r>
        <w:rPr>
          <w:rFonts w:hint="eastAsia" w:ascii="宋体" w:hAnsi="宋体" w:eastAsia="宋体" w:cs="宋体"/>
          <w:color w:val="auto"/>
          <w:sz w:val="24"/>
          <w:u w:val="single"/>
        </w:rPr>
        <w:t>绿色施工安全防护措施费</w:t>
      </w:r>
      <w:r>
        <w:rPr>
          <w:rFonts w:hint="eastAsia" w:ascii="宋体" w:hAnsi="宋体" w:eastAsia="宋体" w:cs="宋体"/>
          <w:color w:val="auto"/>
          <w:sz w:val="24"/>
        </w:rPr>
        <w:t>已包含在本工程中标价即施工合同价中）。该费用根据“穗建筑【2008】967号”文及“穗建筑【2018】981号”规定，分阶段支付</w:t>
      </w:r>
      <w:r>
        <w:rPr>
          <w:rFonts w:hint="eastAsia" w:ascii="宋体" w:hAnsi="宋体" w:eastAsia="宋体" w:cs="宋体"/>
          <w:color w:val="auto"/>
          <w:sz w:val="24"/>
          <w:u w:val="single"/>
        </w:rPr>
        <w:t>绿色施工安全防护措施费</w:t>
      </w:r>
      <w:r>
        <w:rPr>
          <w:rFonts w:hint="eastAsia" w:ascii="宋体" w:hAnsi="宋体" w:eastAsia="宋体" w:cs="宋体"/>
          <w:color w:val="auto"/>
          <w:sz w:val="24"/>
        </w:rPr>
        <w:t>：</w:t>
      </w:r>
    </w:p>
    <w:p>
      <w:pPr>
        <w:spacing w:line="360" w:lineRule="auto"/>
        <w:rPr>
          <w:color w:val="auto"/>
          <w:sz w:val="24"/>
        </w:rPr>
      </w:pPr>
      <w:r>
        <w:rPr>
          <w:rFonts w:hint="eastAsia"/>
          <w:color w:val="auto"/>
          <w:sz w:val="24"/>
          <w:lang w:bidi="ar"/>
        </w:rPr>
        <w:t xml:space="preserve">    </w:t>
      </w:r>
      <w:r>
        <w:rPr>
          <w:color w:val="auto"/>
          <w:sz w:val="24"/>
          <w:lang w:bidi="ar"/>
        </w:rPr>
        <w:t>1</w:t>
      </w:r>
      <w:r>
        <w:rPr>
          <w:rFonts w:hint="eastAsia" w:cs="宋体"/>
          <w:color w:val="auto"/>
          <w:sz w:val="24"/>
          <w:lang w:bidi="ar"/>
        </w:rPr>
        <w:t>、施工单位进场完成工地围墙、大门、临时设施、洗车槽、水枪、场内道路硬化、绿化、钢筋堆放点及加工场、垃圾收集点等部位的建设或布置后，由广州开发区安监机构、建设业主、代建单位（如有）、监理单位根据《广州市建设工程文明施工管理规定》、《广州市建设工程文明施工标准》等有关规定，对施工现场进行现场验收并拍照留存，《建设工程项目申办施工许可证安全文明施工现场查勘表》或者《建设工程项目安全生产及文明施工检查记录表》评为合格或以上，支付绿色施工安全防护措施费的</w:t>
      </w:r>
      <w:r>
        <w:rPr>
          <w:color w:val="auto"/>
          <w:sz w:val="24"/>
          <w:lang w:bidi="ar"/>
        </w:rPr>
        <w:t>50%</w:t>
      </w:r>
      <w:r>
        <w:rPr>
          <w:rFonts w:hint="eastAsia" w:cs="宋体"/>
          <w:color w:val="auto"/>
          <w:sz w:val="24"/>
          <w:lang w:bidi="ar"/>
        </w:rPr>
        <w:t>。</w:t>
      </w:r>
    </w:p>
    <w:p>
      <w:pPr>
        <w:spacing w:line="360" w:lineRule="auto"/>
        <w:rPr>
          <w:color w:val="auto"/>
          <w:sz w:val="24"/>
        </w:rPr>
      </w:pPr>
      <w:r>
        <w:rPr>
          <w:rFonts w:hint="eastAsia"/>
          <w:color w:val="auto"/>
          <w:sz w:val="24"/>
          <w:lang w:bidi="ar"/>
        </w:rPr>
        <w:t xml:space="preserve">    </w:t>
      </w:r>
      <w:r>
        <w:rPr>
          <w:color w:val="auto"/>
          <w:sz w:val="24"/>
          <w:lang w:bidi="ar"/>
        </w:rPr>
        <w:t>2</w:t>
      </w:r>
      <w:r>
        <w:rPr>
          <w:rFonts w:hint="eastAsia" w:cs="宋体"/>
          <w:color w:val="auto"/>
          <w:sz w:val="24"/>
          <w:lang w:bidi="ar"/>
        </w:rPr>
        <w:t>、房建工程完成主体结构封顶、市政工程完成路基工作、</w:t>
      </w:r>
      <w:r>
        <w:rPr>
          <w:rFonts w:hint="eastAsia" w:cs="宋体"/>
          <w:color w:val="auto"/>
          <w:sz w:val="24"/>
          <w:lang w:eastAsia="zh-CN" w:bidi="ar"/>
        </w:rPr>
        <w:t>其他工程</w:t>
      </w:r>
      <w:r>
        <w:rPr>
          <w:rFonts w:hint="eastAsia" w:cs="宋体"/>
          <w:color w:val="auto"/>
          <w:sz w:val="24"/>
          <w:lang w:bidi="ar"/>
        </w:rPr>
        <w:t>完成合同约定工程量的</w:t>
      </w:r>
      <w:r>
        <w:rPr>
          <w:color w:val="auto"/>
          <w:sz w:val="24"/>
          <w:lang w:bidi="ar"/>
        </w:rPr>
        <w:t>60%</w:t>
      </w:r>
      <w:r>
        <w:rPr>
          <w:rFonts w:hint="eastAsia" w:cs="宋体"/>
          <w:color w:val="auto"/>
          <w:sz w:val="24"/>
          <w:lang w:bidi="ar"/>
        </w:rPr>
        <w:t>后，再次按上述要求进行现场验收并拍照留存，《建筑工程安全中间检查评价表》或者《建设工程项目安全生产及文明施工检查记录表》评为合格或以上，再支付绿色施工安全防护措施费的</w:t>
      </w:r>
      <w:r>
        <w:rPr>
          <w:color w:val="auto"/>
          <w:sz w:val="24"/>
          <w:lang w:bidi="ar"/>
        </w:rPr>
        <w:t>40%</w:t>
      </w:r>
      <w:r>
        <w:rPr>
          <w:rFonts w:hint="eastAsia" w:cs="宋体"/>
          <w:color w:val="auto"/>
          <w:sz w:val="24"/>
          <w:lang w:bidi="ar"/>
        </w:rPr>
        <w:t>。</w:t>
      </w:r>
    </w:p>
    <w:p>
      <w:pPr>
        <w:spacing w:line="360" w:lineRule="auto"/>
        <w:rPr>
          <w:color w:val="auto"/>
          <w:sz w:val="24"/>
        </w:rPr>
      </w:pPr>
      <w:r>
        <w:rPr>
          <w:rFonts w:hint="eastAsia"/>
          <w:color w:val="auto"/>
          <w:sz w:val="24"/>
          <w:lang w:bidi="ar"/>
        </w:rPr>
        <w:t xml:space="preserve">    </w:t>
      </w:r>
      <w:r>
        <w:rPr>
          <w:color w:val="auto"/>
          <w:sz w:val="24"/>
          <w:lang w:bidi="ar"/>
        </w:rPr>
        <w:t>3</w:t>
      </w:r>
      <w:r>
        <w:rPr>
          <w:rFonts w:hint="eastAsia" w:cs="宋体"/>
          <w:color w:val="auto"/>
          <w:sz w:val="24"/>
          <w:lang w:bidi="ar"/>
        </w:rPr>
        <w:t>、工程完工，《建设工程施工安全评价书》评为合格或以上后，再支付相应绿色施工安全防护措施费的</w:t>
      </w:r>
      <w:r>
        <w:rPr>
          <w:color w:val="auto"/>
          <w:sz w:val="24"/>
          <w:lang w:bidi="ar"/>
        </w:rPr>
        <w:t>10%</w:t>
      </w:r>
      <w:r>
        <w:rPr>
          <w:rFonts w:hint="eastAsia" w:cs="宋体"/>
          <w:color w:val="auto"/>
          <w:sz w:val="24"/>
          <w:lang w:bidi="ar"/>
        </w:rPr>
        <w:t>。</w:t>
      </w:r>
    </w:p>
    <w:p>
      <w:pPr>
        <w:bidi w:val="0"/>
        <w:rPr>
          <w:color w:val="auto"/>
        </w:rPr>
      </w:pPr>
    </w:p>
    <w:p>
      <w:pPr>
        <w:snapToGrid w:val="0"/>
        <w:spacing w:line="500" w:lineRule="exact"/>
        <w:ind w:firstLine="397"/>
        <w:rPr>
          <w:rFonts w:ascii="宋体" w:hAnsi="宋体"/>
          <w:b/>
          <w:color w:val="auto"/>
          <w:sz w:val="24"/>
        </w:rPr>
      </w:pPr>
      <w:r>
        <w:rPr>
          <w:rFonts w:hint="eastAsia" w:ascii="宋体" w:hAnsi="宋体"/>
          <w:b/>
          <w:color w:val="auto"/>
          <w:sz w:val="24"/>
        </w:rPr>
        <w:t>七、材料设备供应</w:t>
      </w:r>
    </w:p>
    <w:p>
      <w:pPr>
        <w:snapToGrid w:val="0"/>
        <w:spacing w:line="500" w:lineRule="exact"/>
        <w:ind w:firstLine="397"/>
        <w:rPr>
          <w:rFonts w:ascii="宋体" w:hAnsi="宋体"/>
          <w:b/>
          <w:color w:val="auto"/>
          <w:sz w:val="24"/>
        </w:rPr>
      </w:pPr>
      <w:r>
        <w:rPr>
          <w:rFonts w:ascii="宋体" w:hAnsi="宋体"/>
          <w:b/>
          <w:color w:val="auto"/>
          <w:sz w:val="24"/>
        </w:rPr>
        <w:t>27</w:t>
      </w:r>
      <w:r>
        <w:rPr>
          <w:rFonts w:hint="eastAsia" w:ascii="宋体" w:hAnsi="宋体"/>
          <w:b/>
          <w:color w:val="auto"/>
          <w:sz w:val="24"/>
        </w:rPr>
        <w:t>、发包人供应材料设备</w:t>
      </w:r>
    </w:p>
    <w:p>
      <w:pPr>
        <w:snapToGrid w:val="0"/>
        <w:spacing w:line="500" w:lineRule="exact"/>
        <w:ind w:firstLine="397"/>
        <w:rPr>
          <w:rFonts w:ascii="宋体" w:hAnsi="宋体"/>
          <w:color w:val="auto"/>
          <w:sz w:val="24"/>
        </w:rPr>
      </w:pPr>
      <w:r>
        <w:rPr>
          <w:rFonts w:ascii="宋体" w:hAnsi="宋体"/>
          <w:color w:val="auto"/>
          <w:sz w:val="24"/>
        </w:rPr>
        <w:t xml:space="preserve">27.4 </w:t>
      </w:r>
      <w:r>
        <w:rPr>
          <w:rFonts w:hint="eastAsia" w:ascii="宋体" w:hAnsi="宋体"/>
          <w:color w:val="auto"/>
          <w:sz w:val="24"/>
        </w:rPr>
        <w:t>发包人供应的材料设备与一览表不符时，</w:t>
      </w:r>
      <w:r>
        <w:rPr>
          <w:rFonts w:hint="eastAsia" w:ascii="宋体" w:hAnsi="宋体"/>
          <w:color w:val="auto"/>
          <w:szCs w:val="21"/>
          <w:u w:val="single"/>
        </w:rPr>
        <w:t>三</w:t>
      </w:r>
      <w:r>
        <w:rPr>
          <w:rFonts w:hint="eastAsia" w:ascii="宋体" w:hAnsi="宋体"/>
          <w:color w:val="auto"/>
          <w:sz w:val="24"/>
        </w:rPr>
        <w:t>方约定发包人承担责任如下：</w:t>
      </w:r>
    </w:p>
    <w:p>
      <w:pPr>
        <w:snapToGrid w:val="0"/>
        <w:spacing w:line="500" w:lineRule="exact"/>
        <w:ind w:left="397" w:firstLine="397"/>
        <w:rPr>
          <w:rFonts w:ascii="宋体" w:hAnsi="宋体"/>
          <w:color w:val="auto"/>
          <w:sz w:val="24"/>
          <w:u w:val="single"/>
        </w:rPr>
      </w:pPr>
      <w:r>
        <w:rPr>
          <w:rFonts w:hint="eastAsia" w:ascii="宋体" w:hAnsi="宋体"/>
          <w:color w:val="auto"/>
          <w:sz w:val="24"/>
        </w:rPr>
        <w:t>（1）材料设备单价与一览表不符：</w:t>
      </w:r>
      <w:r>
        <w:rPr>
          <w:rFonts w:ascii="宋体" w:hAnsi="宋体"/>
          <w:color w:val="auto"/>
          <w:sz w:val="24"/>
          <w:u w:val="single"/>
        </w:rPr>
        <mc:AlternateContent>
          <mc:Choice Requires="wps">
            <w:drawing>
              <wp:anchor distT="0" distB="0" distL="114300" distR="114300" simplePos="0" relativeHeight="251665408"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80pt;margin-top:0pt;height:0pt;width:0.05pt;z-index:251665408;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5eQQ&#10;0wAAAAUBAAAPAAAAAAAAAAEAIAAAACIAAABkcnMvZG93bnJldi54bWxQSwECFAAUAAAACACHTuJA&#10;9KTnCO0BAADiAwAADgAAAAAAAAABACAAAAAiAQAAZHJzL2Uyb0RvYy54bWxQSwUGAAAAAAYABgBZ&#10;AQAAgQUAAAAA&#10;">
                <v:fill on="f" focussize="0,0"/>
                <v:stroke color="#000000" joinstyle="round"/>
                <v:imagedata o:title=""/>
                <o:lock v:ext="edit" aspectratio="f"/>
              </v:line>
            </w:pict>
          </mc:Fallback>
        </mc:AlternateContent>
      </w:r>
      <w:r>
        <w:rPr>
          <w:rFonts w:ascii="宋体" w:hAnsi="宋体"/>
          <w:color w:val="auto"/>
          <w:sz w:val="24"/>
          <w:u w:val="single"/>
        </w:rPr>
        <w:t xml:space="preserve">    /             </w:t>
      </w:r>
      <w:r>
        <w:rPr>
          <w:rFonts w:hint="eastAsia" w:ascii="宋体" w:hAnsi="宋体"/>
          <w:color w:val="auto"/>
          <w:sz w:val="24"/>
        </w:rPr>
        <w:t>。</w:t>
      </w:r>
    </w:p>
    <w:p>
      <w:pPr>
        <w:snapToGrid w:val="0"/>
        <w:spacing w:line="500" w:lineRule="exact"/>
        <w:ind w:left="397" w:firstLine="397"/>
        <w:rPr>
          <w:rFonts w:ascii="宋体" w:hAnsi="宋体"/>
          <w:color w:val="auto"/>
          <w:sz w:val="24"/>
          <w:u w:val="single"/>
        </w:rPr>
      </w:pPr>
      <w:r>
        <w:rPr>
          <w:rFonts w:hint="eastAsia" w:ascii="宋体" w:hAnsi="宋体"/>
          <w:color w:val="auto"/>
          <w:sz w:val="24"/>
        </w:rPr>
        <w:t>（2）材料设备的品种、规格、型号、质量等级与一览表不符：</w:t>
      </w:r>
      <w:r>
        <w:rPr>
          <w:rFonts w:ascii="宋体" w:hAnsi="宋体"/>
          <w:color w:val="auto"/>
          <w:sz w:val="24"/>
          <w:u w:val="single"/>
        </w:rPr>
        <w:t xml:space="preserve">         /        </w:t>
      </w:r>
      <w:r>
        <w:rPr>
          <w:rFonts w:hint="eastAsia" w:ascii="宋体" w:hAnsi="宋体"/>
          <w:color w:val="auto"/>
          <w:sz w:val="24"/>
        </w:rPr>
        <w:t>。</w:t>
      </w:r>
    </w:p>
    <w:p>
      <w:pPr>
        <w:snapToGrid w:val="0"/>
        <w:spacing w:line="500" w:lineRule="exact"/>
        <w:ind w:left="397" w:firstLine="397"/>
        <w:rPr>
          <w:rFonts w:ascii="宋体" w:hAnsi="宋体"/>
          <w:color w:val="auto"/>
          <w:sz w:val="24"/>
        </w:rPr>
      </w:pPr>
      <w:r>
        <w:rPr>
          <w:rFonts w:hint="eastAsia" w:ascii="宋体" w:hAnsi="宋体"/>
          <w:color w:val="auto"/>
          <w:sz w:val="24"/>
        </w:rPr>
        <w:t>（3）承包人可代为调剂串换的材料：</w:t>
      </w:r>
      <w:r>
        <w:rPr>
          <w:rFonts w:ascii="宋体" w:hAnsi="宋体"/>
          <w:color w:val="auto"/>
          <w:sz w:val="24"/>
          <w:u w:val="single"/>
        </w:rPr>
        <w:t xml:space="preserve">    /             </w:t>
      </w:r>
      <w:r>
        <w:rPr>
          <w:rFonts w:hint="eastAsia" w:ascii="宋体" w:hAnsi="宋体"/>
          <w:color w:val="auto"/>
          <w:sz w:val="24"/>
        </w:rPr>
        <w:t>。</w:t>
      </w:r>
    </w:p>
    <w:p>
      <w:pPr>
        <w:snapToGrid w:val="0"/>
        <w:spacing w:line="500" w:lineRule="exact"/>
        <w:ind w:left="397" w:firstLine="397"/>
        <w:rPr>
          <w:rFonts w:ascii="宋体" w:hAnsi="宋体"/>
          <w:color w:val="auto"/>
          <w:sz w:val="24"/>
        </w:rPr>
      </w:pPr>
      <w:r>
        <w:rPr>
          <w:rFonts w:hint="eastAsia" w:ascii="宋体" w:hAnsi="宋体"/>
          <w:color w:val="auto"/>
          <w:sz w:val="24"/>
        </w:rPr>
        <w:t>（4）到货地点与一览表不符：</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             </w:t>
      </w:r>
      <w:r>
        <w:rPr>
          <w:rFonts w:hint="eastAsia" w:ascii="宋体" w:hAnsi="宋体"/>
          <w:color w:val="auto"/>
          <w:sz w:val="24"/>
        </w:rPr>
        <w:t>。</w:t>
      </w:r>
    </w:p>
    <w:p>
      <w:pPr>
        <w:tabs>
          <w:tab w:val="left" w:pos="700"/>
        </w:tabs>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）供应数量与一览表不符：</w:t>
      </w:r>
      <w:r>
        <w:rPr>
          <w:rFonts w:ascii="宋体" w:hAnsi="宋体"/>
          <w:color w:val="auto"/>
          <w:sz w:val="24"/>
          <w:u w:val="single"/>
        </w:rPr>
        <w:t xml:space="preserve">            /             </w:t>
      </w:r>
      <w:r>
        <w:rPr>
          <w:rFonts w:hint="eastAsia" w:ascii="宋体" w:hAnsi="宋体"/>
          <w:color w:val="auto"/>
          <w:sz w:val="24"/>
        </w:rPr>
        <w:t>。</w:t>
      </w:r>
    </w:p>
    <w:p>
      <w:pPr>
        <w:tabs>
          <w:tab w:val="left" w:pos="700"/>
        </w:tabs>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）到货时间与一览表不符；</w:t>
      </w:r>
      <w:r>
        <w:rPr>
          <w:rFonts w:ascii="宋体" w:hAnsi="宋体"/>
          <w:color w:val="auto"/>
          <w:sz w:val="24"/>
          <w:u w:val="single"/>
        </w:rPr>
        <w:t xml:space="preserve">            /             </w:t>
      </w:r>
      <w:r>
        <w:rPr>
          <w:rFonts w:hint="eastAsia" w:ascii="宋体" w:hAnsi="宋体"/>
          <w:color w:val="auto"/>
          <w:sz w:val="24"/>
        </w:rPr>
        <w:t>。</w:t>
      </w:r>
    </w:p>
    <w:p>
      <w:pPr>
        <w:tabs>
          <w:tab w:val="left" w:pos="700"/>
        </w:tabs>
        <w:snapToGrid w:val="0"/>
        <w:spacing w:line="500" w:lineRule="exact"/>
        <w:ind w:firstLine="397"/>
        <w:rPr>
          <w:rFonts w:ascii="宋体" w:hAnsi="宋体"/>
          <w:color w:val="auto"/>
          <w:sz w:val="24"/>
        </w:rPr>
      </w:pPr>
      <w:r>
        <w:rPr>
          <w:rFonts w:ascii="宋体" w:hAnsi="宋体"/>
          <w:color w:val="auto"/>
          <w:sz w:val="24"/>
        </w:rPr>
        <w:t xml:space="preserve">27.6 </w:t>
      </w:r>
      <w:r>
        <w:rPr>
          <w:rFonts w:hint="eastAsia" w:ascii="宋体" w:hAnsi="宋体"/>
          <w:color w:val="auto"/>
          <w:sz w:val="24"/>
        </w:rPr>
        <w:t>发包人供应材料设备的结算方法：</w:t>
      </w:r>
      <w:r>
        <w:rPr>
          <w:rFonts w:ascii="宋体" w:hAnsi="宋体"/>
          <w:color w:val="auto"/>
          <w:sz w:val="24"/>
          <w:u w:val="single"/>
        </w:rPr>
        <w:t xml:space="preserve">    /             </w:t>
      </w:r>
      <w:r>
        <w:rPr>
          <w:rFonts w:hint="eastAsia" w:ascii="宋体" w:hAnsi="宋体"/>
          <w:color w:val="auto"/>
          <w:sz w:val="24"/>
        </w:rPr>
        <w:t>。</w:t>
      </w:r>
    </w:p>
    <w:p>
      <w:pPr>
        <w:snapToGrid w:val="0"/>
        <w:spacing w:line="500" w:lineRule="exact"/>
        <w:ind w:firstLine="397"/>
        <w:rPr>
          <w:rFonts w:ascii="宋体" w:hAnsi="宋体"/>
          <w:b/>
          <w:color w:val="auto"/>
          <w:sz w:val="24"/>
        </w:rPr>
      </w:pPr>
      <w:r>
        <w:rPr>
          <w:rFonts w:ascii="宋体" w:hAnsi="宋体"/>
          <w:b/>
          <w:color w:val="auto"/>
          <w:sz w:val="24"/>
        </w:rPr>
        <w:t>28</w:t>
      </w:r>
      <w:r>
        <w:rPr>
          <w:rFonts w:hint="eastAsia" w:ascii="宋体" w:hAnsi="宋体"/>
          <w:b/>
          <w:color w:val="auto"/>
          <w:sz w:val="24"/>
        </w:rPr>
        <w:t>、承包人采购材料设备</w:t>
      </w:r>
    </w:p>
    <w:p>
      <w:pPr>
        <w:spacing w:line="500" w:lineRule="exact"/>
        <w:ind w:firstLine="410" w:firstLineChars="171"/>
        <w:rPr>
          <w:rFonts w:ascii="宋体" w:hAnsi="宋体" w:cs="宋体"/>
          <w:color w:val="auto"/>
          <w:sz w:val="24"/>
          <w:u w:val="single"/>
        </w:rPr>
      </w:pPr>
      <w:r>
        <w:rPr>
          <w:rFonts w:ascii="宋体" w:hAnsi="宋体"/>
          <w:color w:val="auto"/>
          <w:sz w:val="24"/>
        </w:rPr>
        <w:t xml:space="preserve">28.1 </w:t>
      </w:r>
      <w:r>
        <w:rPr>
          <w:rFonts w:hint="eastAsia" w:ascii="宋体" w:hAnsi="宋体"/>
          <w:color w:val="auto"/>
          <w:sz w:val="24"/>
        </w:rPr>
        <w:t>承包人采购材料设备的约定：</w:t>
      </w:r>
      <w:r>
        <w:rPr>
          <w:rFonts w:hint="eastAsia" w:ascii="宋体" w:hAnsi="宋体" w:cs="宋体"/>
          <w:color w:val="auto"/>
          <w:sz w:val="24"/>
          <w:u w:val="single"/>
        </w:rPr>
        <w:t>由承包人负责采购材料设备的，</w:t>
      </w:r>
      <w:r>
        <w:rPr>
          <w:rFonts w:hint="eastAsia" w:ascii="宋体" w:hAnsi="宋体"/>
          <w:color w:val="auto"/>
          <w:sz w:val="24"/>
          <w:u w:val="single"/>
        </w:rPr>
        <w:t>按招标文件规定和本合同专用条款第47.28条约定、</w:t>
      </w:r>
      <w:r>
        <w:rPr>
          <w:rFonts w:hint="eastAsia" w:ascii="宋体" w:hAnsi="宋体" w:cs="宋体"/>
          <w:color w:val="auto"/>
          <w:sz w:val="24"/>
          <w:u w:val="single"/>
        </w:rPr>
        <w:t>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auto"/>
          <w:sz w:val="24"/>
          <w:u w:val="single"/>
        </w:rPr>
        <w:t>24</w:t>
      </w:r>
      <w:r>
        <w:rPr>
          <w:rFonts w:hint="eastAsia" w:ascii="宋体" w:hAnsi="宋体" w:cs="宋体"/>
          <w:color w:val="auto"/>
          <w:sz w:val="24"/>
          <w:u w:val="single"/>
        </w:rPr>
        <w:t>小时通知工程师清点。</w:t>
      </w:r>
    </w:p>
    <w:p>
      <w:pPr>
        <w:snapToGrid w:val="0"/>
        <w:spacing w:line="500" w:lineRule="exact"/>
        <w:ind w:firstLine="397"/>
        <w:rPr>
          <w:rFonts w:ascii="宋体" w:hAnsi="宋体" w:cs="宋体"/>
          <w:color w:val="auto"/>
          <w:sz w:val="24"/>
          <w:highlight w:val="none"/>
          <w:u w:val="single"/>
        </w:rPr>
      </w:pPr>
      <w:r>
        <w:rPr>
          <w:rFonts w:ascii="宋体" w:hAnsi="宋体" w:cs="宋体"/>
          <w:color w:val="auto"/>
          <w:sz w:val="24"/>
        </w:rPr>
        <w:t>28.2</w:t>
      </w:r>
      <w:r>
        <w:rPr>
          <w:rFonts w:hint="eastAsia" w:ascii="宋体" w:hAnsi="宋体" w:cs="宋体"/>
          <w:color w:val="auto"/>
          <w:sz w:val="24"/>
          <w:u w:val="single"/>
        </w:rPr>
        <w:t>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该</w:t>
      </w:r>
      <w:r>
        <w:rPr>
          <w:rFonts w:hint="eastAsia" w:ascii="宋体" w:hAnsi="宋体" w:cs="宋体"/>
          <w:color w:val="auto"/>
          <w:sz w:val="24"/>
          <w:highlight w:val="none"/>
          <w:u w:val="single"/>
        </w:rPr>
        <w:t>部分设备检验或试验费用由承包人承担。</w:t>
      </w:r>
    </w:p>
    <w:p>
      <w:pPr>
        <w:snapToGrid w:val="0"/>
        <w:spacing w:line="500" w:lineRule="exact"/>
        <w:ind w:firstLine="397"/>
        <w:rPr>
          <w:rFonts w:ascii="宋体" w:hAnsi="宋体" w:cs="宋体"/>
          <w:color w:val="auto"/>
          <w:sz w:val="24"/>
          <w:u w:val="single"/>
        </w:rPr>
      </w:pPr>
      <w:r>
        <w:rPr>
          <w:rFonts w:hint="eastAsia" w:ascii="宋体" w:hAnsi="宋体" w:cs="宋体"/>
          <w:color w:val="auto"/>
          <w:sz w:val="24"/>
        </w:rPr>
        <w:t>28.3</w:t>
      </w:r>
      <w:r>
        <w:rPr>
          <w:rFonts w:hint="eastAsia" w:ascii="宋体" w:hAnsi="宋体" w:cs="宋体"/>
          <w:color w:val="auto"/>
          <w:sz w:val="24"/>
          <w:u w:val="single"/>
        </w:rPr>
        <w:t>所有材料、设备</w:t>
      </w:r>
      <w:r>
        <w:rPr>
          <w:rFonts w:hint="eastAsia" w:ascii="宋体" w:hAnsi="宋体" w:cs="宋体"/>
          <w:color w:val="auto"/>
          <w:sz w:val="24"/>
          <w:u w:val="single"/>
          <w:lang w:eastAsia="zh-CN"/>
        </w:rPr>
        <w:t>必需参照</w:t>
      </w:r>
      <w:r>
        <w:rPr>
          <w:rFonts w:hint="eastAsia" w:ascii="宋体" w:hAnsi="宋体" w:cs="宋体"/>
          <w:color w:val="auto"/>
          <w:sz w:val="24"/>
          <w:u w:val="single"/>
        </w:rPr>
        <w:t>技术规格书</w:t>
      </w:r>
      <w:r>
        <w:rPr>
          <w:rFonts w:hint="eastAsia" w:ascii="宋体" w:hAnsi="宋体" w:cs="宋体"/>
          <w:color w:val="auto"/>
          <w:sz w:val="24"/>
          <w:u w:val="single"/>
          <w:lang w:eastAsia="zh-CN"/>
        </w:rPr>
        <w:t>（附件</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w:t>
      </w:r>
      <w:r>
        <w:rPr>
          <w:rFonts w:hint="eastAsia" w:ascii="宋体" w:hAnsi="宋体" w:cs="宋体"/>
          <w:color w:val="auto"/>
          <w:sz w:val="24"/>
          <w:u w:val="single"/>
        </w:rPr>
        <w:t>孚能五标段推荐品牌</w:t>
      </w:r>
      <w:r>
        <w:rPr>
          <w:rFonts w:hint="eastAsia" w:ascii="宋体" w:hAnsi="宋体" w:cs="宋体"/>
          <w:color w:val="auto"/>
          <w:sz w:val="24"/>
          <w:u w:val="single"/>
          <w:lang w:eastAsia="zh-CN"/>
        </w:rPr>
        <w:t>（附件</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w:t>
      </w:r>
      <w:r>
        <w:rPr>
          <w:rFonts w:hint="eastAsia" w:ascii="宋体" w:hAnsi="宋体" w:cs="宋体"/>
          <w:color w:val="auto"/>
          <w:sz w:val="24"/>
          <w:u w:val="single"/>
        </w:rPr>
        <w:t>报监理、业主</w:t>
      </w:r>
      <w:r>
        <w:rPr>
          <w:rFonts w:hint="eastAsia" w:ascii="宋体" w:hAnsi="宋体" w:cs="宋体"/>
          <w:color w:val="auto"/>
          <w:sz w:val="24"/>
          <w:u w:val="single"/>
          <w:lang w:val="en-US" w:eastAsia="zh-CN"/>
        </w:rPr>
        <w:t>确认</w:t>
      </w:r>
      <w:r>
        <w:rPr>
          <w:rFonts w:hint="eastAsia" w:ascii="宋体" w:hAnsi="宋体" w:cs="宋体"/>
          <w:color w:val="auto"/>
          <w:sz w:val="24"/>
          <w:u w:val="single"/>
        </w:rPr>
        <w:t>后方可使用。</w:t>
      </w:r>
    </w:p>
    <w:p>
      <w:pPr>
        <w:snapToGrid w:val="0"/>
        <w:spacing w:line="500" w:lineRule="exact"/>
        <w:ind w:firstLine="397"/>
        <w:rPr>
          <w:rFonts w:ascii="宋体" w:hAnsi="宋体"/>
          <w:color w:val="auto"/>
          <w:sz w:val="24"/>
        </w:rPr>
      </w:pPr>
      <w:r>
        <w:rPr>
          <w:rFonts w:hint="eastAsia" w:ascii="宋体" w:hAnsi="宋体"/>
          <w:color w:val="auto"/>
          <w:sz w:val="24"/>
        </w:rPr>
        <w:t>八、工程变更</w:t>
      </w:r>
    </w:p>
    <w:p>
      <w:pPr>
        <w:snapToGrid w:val="0"/>
        <w:spacing w:line="500" w:lineRule="exact"/>
        <w:ind w:firstLine="397"/>
        <w:rPr>
          <w:rFonts w:ascii="宋体" w:hAnsi="宋体"/>
          <w:color w:val="auto"/>
          <w:sz w:val="24"/>
        </w:rPr>
      </w:pPr>
      <w:r>
        <w:rPr>
          <w:rFonts w:hint="eastAsia" w:ascii="宋体" w:hAnsi="宋体"/>
          <w:color w:val="auto"/>
          <w:sz w:val="24"/>
        </w:rPr>
        <w:t>29、工程设计变更</w:t>
      </w:r>
    </w:p>
    <w:p>
      <w:pPr>
        <w:snapToGrid w:val="0"/>
        <w:spacing w:line="500" w:lineRule="exact"/>
        <w:ind w:firstLine="397"/>
        <w:rPr>
          <w:rFonts w:ascii="宋体" w:hAnsi="宋体"/>
          <w:color w:val="auto"/>
          <w:sz w:val="24"/>
          <w:u w:val="single"/>
        </w:rPr>
      </w:pPr>
      <w:r>
        <w:rPr>
          <w:rFonts w:hint="eastAsia" w:ascii="宋体" w:hAnsi="宋体"/>
          <w:color w:val="auto"/>
          <w:sz w:val="24"/>
        </w:rPr>
        <w:t>29.4</w:t>
      </w:r>
      <w:r>
        <w:rPr>
          <w:rFonts w:hint="eastAsia" w:ascii="宋体" w:hAnsi="宋体"/>
          <w:color w:val="auto"/>
          <w:sz w:val="24"/>
          <w:u w:val="single"/>
        </w:rPr>
        <w:t>开工前，发包人组织承包人、监理单位、设计单位对施工图纸进行会审。如需实施工程变更签证，承包人需在实施相应变更签证2个月前向发包人提出（确属不可预见因素除外）。否则工程实施过程中每实施一项变更签证，承包人须按该变更签证工程价款的3%向发包人支付违约金，引起的工期延误不予顺延。同时，如实施工程变更，承包人应以书面形式通知发包人和监理工程师，经监理工程师审查并报发包人同意后，由发包人与设计单位商定修改或变更设计方案进行实施。</w:t>
      </w:r>
    </w:p>
    <w:p>
      <w:pPr>
        <w:snapToGrid w:val="0"/>
        <w:spacing w:line="500" w:lineRule="exact"/>
        <w:ind w:firstLine="480"/>
        <w:rPr>
          <w:rFonts w:ascii="宋体" w:hAnsi="宋体"/>
          <w:color w:val="auto"/>
          <w:sz w:val="24"/>
          <w:u w:val="single"/>
        </w:rPr>
      </w:pPr>
      <w:r>
        <w:rPr>
          <w:rFonts w:hint="eastAsia" w:ascii="宋体" w:hAnsi="宋体"/>
          <w:color w:val="auto"/>
          <w:sz w:val="24"/>
        </w:rPr>
        <w:t>29.5</w:t>
      </w:r>
      <w:r>
        <w:rPr>
          <w:rFonts w:hint="eastAsia" w:ascii="宋体" w:hAnsi="宋体"/>
          <w:color w:val="auto"/>
          <w:sz w:val="24"/>
          <w:u w:val="single"/>
        </w:rPr>
        <w:t>变更应由监理工程师发出变更指令，没有监理工程师的指令，承包人不得进行上述变更。</w:t>
      </w:r>
    </w:p>
    <w:p>
      <w:pPr>
        <w:snapToGrid w:val="0"/>
        <w:spacing w:line="500" w:lineRule="exact"/>
        <w:ind w:firstLine="480"/>
        <w:rPr>
          <w:rFonts w:ascii="宋体" w:hAnsi="宋体"/>
          <w:color w:val="auto"/>
          <w:sz w:val="24"/>
        </w:rPr>
      </w:pPr>
      <w:r>
        <w:rPr>
          <w:rFonts w:hint="eastAsia" w:ascii="宋体" w:hAnsi="宋体"/>
          <w:color w:val="auto"/>
          <w:sz w:val="24"/>
        </w:rPr>
        <w:t>29.6</w:t>
      </w:r>
      <w:r>
        <w:rPr>
          <w:rFonts w:hint="eastAsia" w:ascii="宋体" w:hAnsi="宋体"/>
          <w:color w:val="auto"/>
          <w:sz w:val="24"/>
          <w:u w:val="single"/>
        </w:rPr>
        <w:t>按施工图纸实施使得工程量少于施工合同工程量清单中已确定或有规定的数量的，则该项工程量减少不需要任何指令。</w:t>
      </w:r>
    </w:p>
    <w:p>
      <w:pPr>
        <w:snapToGrid w:val="0"/>
        <w:spacing w:line="500" w:lineRule="exact"/>
        <w:ind w:firstLine="480"/>
        <w:rPr>
          <w:rFonts w:ascii="宋体" w:hAnsi="宋体"/>
          <w:color w:val="auto"/>
          <w:sz w:val="24"/>
          <w:u w:val="single"/>
        </w:rPr>
      </w:pPr>
      <w:r>
        <w:rPr>
          <w:rFonts w:hint="eastAsia" w:ascii="宋体" w:hAnsi="宋体"/>
          <w:color w:val="auto"/>
          <w:sz w:val="24"/>
        </w:rPr>
        <w:t>29.7</w:t>
      </w:r>
      <w:r>
        <w:rPr>
          <w:rFonts w:hint="eastAsia" w:ascii="宋体" w:hAnsi="宋体"/>
          <w:color w:val="auto"/>
          <w:sz w:val="24"/>
          <w:u w:val="single"/>
        </w:rPr>
        <w:t>所有涉及工期和工程量的变更均应获得发包人书面批准才能生效。</w:t>
      </w:r>
    </w:p>
    <w:p>
      <w:pPr>
        <w:snapToGrid w:val="0"/>
        <w:spacing w:line="500" w:lineRule="exact"/>
        <w:ind w:firstLine="480"/>
        <w:rPr>
          <w:rFonts w:ascii="宋体" w:hAnsi="宋体"/>
          <w:color w:val="auto"/>
          <w:sz w:val="24"/>
          <w:u w:val="single"/>
        </w:rPr>
      </w:pPr>
      <w:r>
        <w:rPr>
          <w:rFonts w:hint="eastAsia" w:ascii="宋体" w:hAnsi="宋体"/>
          <w:color w:val="auto"/>
          <w:sz w:val="24"/>
        </w:rPr>
        <w:t xml:space="preserve">29.8 </w:t>
      </w:r>
      <w:r>
        <w:rPr>
          <w:rFonts w:hint="eastAsia" w:ascii="宋体" w:hAnsi="宋体"/>
          <w:color w:val="auto"/>
          <w:sz w:val="24"/>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p>
    <w:p>
      <w:pPr>
        <w:snapToGrid w:val="0"/>
        <w:spacing w:line="500" w:lineRule="exact"/>
        <w:ind w:firstLine="480"/>
        <w:rPr>
          <w:rFonts w:ascii="宋体" w:hAnsi="宋体"/>
          <w:color w:val="auto"/>
          <w:sz w:val="24"/>
          <w:u w:val="single"/>
        </w:rPr>
      </w:pPr>
      <w:r>
        <w:rPr>
          <w:rFonts w:hint="eastAsia" w:ascii="宋体" w:hAnsi="宋体"/>
          <w:color w:val="auto"/>
          <w:sz w:val="24"/>
        </w:rPr>
        <w:t>29.9</w:t>
      </w:r>
      <w:r>
        <w:rPr>
          <w:rFonts w:hint="eastAsia" w:ascii="宋体" w:hAnsi="宋体"/>
          <w:color w:val="auto"/>
          <w:sz w:val="24"/>
          <w:u w:val="single"/>
        </w:rPr>
        <w:t>工程变更申报程序按广州开发区、黄埔区以及建设业主的有关规定执行。</w:t>
      </w:r>
    </w:p>
    <w:p>
      <w:pPr>
        <w:widowControl/>
        <w:spacing w:line="500" w:lineRule="exact"/>
        <w:ind w:firstLine="480" w:firstLineChars="200"/>
        <w:jc w:val="left"/>
        <w:rPr>
          <w:rFonts w:ascii="宋体" w:hAnsi="宋体"/>
          <w:color w:val="auto"/>
          <w:sz w:val="24"/>
          <w:u w:val="single"/>
        </w:rPr>
      </w:pPr>
      <w:r>
        <w:rPr>
          <w:rFonts w:ascii="宋体" w:hAnsi="宋体"/>
          <w:color w:val="auto"/>
          <w:sz w:val="24"/>
        </w:rPr>
        <w:t>29.10</w:t>
      </w:r>
      <w:r>
        <w:rPr>
          <w:rFonts w:ascii="宋体" w:hAnsi="宋体"/>
          <w:color w:val="auto"/>
          <w:sz w:val="24"/>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pPr>
        <w:snapToGrid w:val="0"/>
        <w:spacing w:line="500" w:lineRule="exact"/>
        <w:ind w:firstLine="397"/>
        <w:rPr>
          <w:rFonts w:ascii="宋体" w:hAnsi="宋体"/>
          <w:b/>
          <w:color w:val="auto"/>
          <w:sz w:val="24"/>
        </w:rPr>
      </w:pPr>
      <w:r>
        <w:rPr>
          <w:rFonts w:hint="eastAsia" w:ascii="宋体" w:hAnsi="宋体"/>
          <w:b/>
          <w:color w:val="auto"/>
          <w:sz w:val="24"/>
        </w:rPr>
        <w:t>30、其它变更</w:t>
      </w:r>
    </w:p>
    <w:p>
      <w:pPr>
        <w:snapToGrid w:val="0"/>
        <w:spacing w:line="500" w:lineRule="exact"/>
        <w:ind w:firstLine="397"/>
        <w:rPr>
          <w:rFonts w:ascii="宋体" w:hAnsi="宋体"/>
          <w:color w:val="auto"/>
          <w:sz w:val="24"/>
          <w:u w:val="single"/>
        </w:rPr>
      </w:pPr>
      <w:r>
        <w:rPr>
          <w:rFonts w:hint="eastAsia" w:ascii="宋体" w:hAnsi="宋体"/>
          <w:color w:val="auto"/>
          <w:sz w:val="24"/>
        </w:rPr>
        <w:t>30.1工程现场签证：</w:t>
      </w:r>
      <w:r>
        <w:rPr>
          <w:rFonts w:hint="eastAsia" w:ascii="宋体" w:hAnsi="宋体"/>
          <w:color w:val="auto"/>
          <w:sz w:val="24"/>
          <w:u w:val="single"/>
        </w:rPr>
        <w:t>工程现场签证是指施工生产活动中用以证实在施工中遇到的某些特殊情况的一种</w:t>
      </w:r>
      <w:r>
        <w:rPr>
          <w:rFonts w:hint="eastAsia" w:ascii="宋体" w:hAnsi="宋体"/>
          <w:color w:val="auto"/>
          <w:sz w:val="24"/>
          <w:u w:val="single"/>
          <w:lang w:eastAsia="zh-CN"/>
        </w:rPr>
        <w:t>书面</w:t>
      </w:r>
      <w:r>
        <w:rPr>
          <w:rFonts w:hint="eastAsia" w:ascii="宋体" w:hAnsi="宋体"/>
          <w:color w:val="auto"/>
          <w:sz w:val="24"/>
          <w:u w:val="single"/>
        </w:rPr>
        <w:t>证明资料，一般指按承包人、项目建设管理单位、发包人</w:t>
      </w:r>
      <w:r>
        <w:rPr>
          <w:rFonts w:hint="default" w:ascii="宋体" w:hAnsi="宋体"/>
          <w:color w:val="auto"/>
          <w:sz w:val="24"/>
          <w:u w:val="single"/>
          <w:lang w:val="en-US"/>
        </w:rPr>
        <w:t>三</w:t>
      </w:r>
      <w:r>
        <w:rPr>
          <w:rFonts w:hint="eastAsia" w:ascii="宋体" w:hAnsi="宋体"/>
          <w:color w:val="auto"/>
          <w:sz w:val="24"/>
          <w:u w:val="single"/>
        </w:rPr>
        <w:t>方合同约定，由承包人、项目建设管理单位、发包人</w:t>
      </w:r>
      <w:r>
        <w:rPr>
          <w:rFonts w:hint="default" w:ascii="宋体" w:hAnsi="宋体"/>
          <w:color w:val="auto"/>
          <w:szCs w:val="21"/>
          <w:u w:val="single"/>
          <w:lang w:val="en-US"/>
        </w:rPr>
        <w:t>三</w:t>
      </w:r>
      <w:r>
        <w:rPr>
          <w:rFonts w:hint="eastAsia" w:ascii="宋体" w:hAnsi="宋体"/>
          <w:color w:val="auto"/>
          <w:sz w:val="24"/>
          <w:u w:val="single"/>
        </w:rPr>
        <w:t>方代表就施工过程中涉及合同价款之外的责任事件所作的签认证明。</w:t>
      </w:r>
    </w:p>
    <w:p>
      <w:pPr>
        <w:snapToGrid w:val="0"/>
        <w:spacing w:line="440" w:lineRule="exact"/>
        <w:ind w:firstLine="397"/>
        <w:rPr>
          <w:rFonts w:ascii="宋体" w:hAnsi="宋体"/>
          <w:color w:val="auto"/>
          <w:sz w:val="24"/>
        </w:rPr>
      </w:pPr>
      <w:r>
        <w:rPr>
          <w:rFonts w:hint="eastAsia" w:ascii="宋体" w:hAnsi="宋体"/>
          <w:color w:val="auto"/>
          <w:sz w:val="24"/>
          <w:u w:val="single"/>
        </w:rPr>
        <w:t>承包人需对施工图纸进行会审，如需对工程量清单错漏进行确认，承包人需在前四分之一工期阶段内且最长不得超过中标通知书发出之日起6个月内向发包人提出，办理申报手续，同时需配合发包人的复核工作，</w:t>
      </w:r>
      <w:r>
        <w:rPr>
          <w:rFonts w:hint="eastAsia" w:ascii="宋体" w:hAnsi="宋体"/>
          <w:color w:val="auto"/>
          <w:szCs w:val="21"/>
          <w:u w:val="single"/>
        </w:rPr>
        <w:t>三</w:t>
      </w:r>
      <w:r>
        <w:rPr>
          <w:rFonts w:hint="eastAsia" w:ascii="宋体" w:hAnsi="宋体"/>
          <w:color w:val="auto"/>
          <w:sz w:val="24"/>
          <w:u w:val="single"/>
        </w:rPr>
        <w:t>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pPr>
        <w:snapToGrid w:val="0"/>
        <w:spacing w:line="500" w:lineRule="exact"/>
        <w:ind w:firstLine="397"/>
        <w:rPr>
          <w:rFonts w:ascii="宋体" w:hAnsi="宋体"/>
          <w:color w:val="auto"/>
          <w:sz w:val="24"/>
          <w:u w:val="single"/>
        </w:rPr>
      </w:pPr>
      <w:r>
        <w:rPr>
          <w:rFonts w:hint="eastAsia" w:ascii="宋体" w:hAnsi="宋体"/>
          <w:color w:val="auto"/>
          <w:sz w:val="24"/>
        </w:rPr>
        <w:t>30.2</w:t>
      </w:r>
      <w:r>
        <w:rPr>
          <w:rFonts w:hint="eastAsia" w:ascii="宋体" w:hAnsi="宋体"/>
          <w:color w:val="auto"/>
          <w:sz w:val="24"/>
          <w:u w:val="single"/>
        </w:rPr>
        <w:t>签证的计价：按招标文件及合同中关于工程变更的计价有关规定执行。</w:t>
      </w:r>
    </w:p>
    <w:p>
      <w:pPr>
        <w:snapToGrid w:val="0"/>
        <w:spacing w:line="500" w:lineRule="exact"/>
        <w:ind w:firstLine="480"/>
        <w:rPr>
          <w:rFonts w:ascii="宋体" w:hAnsi="宋体"/>
          <w:color w:val="auto"/>
          <w:sz w:val="24"/>
          <w:u w:val="single"/>
        </w:rPr>
      </w:pPr>
      <w:r>
        <w:rPr>
          <w:rFonts w:hint="eastAsia" w:ascii="宋体" w:hAnsi="宋体"/>
          <w:color w:val="auto"/>
          <w:sz w:val="24"/>
        </w:rPr>
        <w:t>30.3签证实施前所需的施工方案：</w:t>
      </w:r>
      <w:r>
        <w:rPr>
          <w:rFonts w:hint="eastAsia" w:ascii="宋体" w:hAnsi="宋体"/>
          <w:color w:val="auto"/>
          <w:sz w:val="24"/>
          <w:u w:val="single"/>
        </w:rPr>
        <w:t>若签证事件发生时，需使用没有被监理工程师批准过的施工方案，则必须将该施工方案提前报监理工程师和发包人批准，经批准后才能实施，否则发包人将按最经济的施工方案对该签证进行计价。</w:t>
      </w:r>
    </w:p>
    <w:p>
      <w:pPr>
        <w:snapToGrid w:val="0"/>
        <w:spacing w:line="500" w:lineRule="exact"/>
        <w:ind w:firstLine="480"/>
        <w:rPr>
          <w:rFonts w:ascii="宋体" w:hAnsi="宋体"/>
          <w:color w:val="auto"/>
          <w:sz w:val="24"/>
          <w:u w:val="single"/>
        </w:rPr>
      </w:pPr>
      <w:r>
        <w:rPr>
          <w:rFonts w:hint="eastAsia" w:ascii="宋体" w:hAnsi="宋体"/>
          <w:color w:val="auto"/>
          <w:sz w:val="24"/>
        </w:rPr>
        <w:t>30.4</w:t>
      </w:r>
      <w:r>
        <w:rPr>
          <w:rFonts w:hint="eastAsia" w:ascii="宋体" w:hAnsi="宋体"/>
          <w:color w:val="auto"/>
          <w:sz w:val="24"/>
          <w:u w:val="single"/>
        </w:rPr>
        <w:t>工程现场签证申报程序按广州开发区、黄埔区以及建设业主的有关规定执行。</w:t>
      </w:r>
    </w:p>
    <w:p>
      <w:pPr>
        <w:snapToGrid w:val="0"/>
        <w:spacing w:line="500" w:lineRule="exact"/>
        <w:ind w:firstLine="397"/>
        <w:rPr>
          <w:rFonts w:ascii="宋体" w:hAnsi="宋体"/>
          <w:b/>
          <w:color w:val="auto"/>
          <w:sz w:val="24"/>
        </w:rPr>
      </w:pPr>
      <w:r>
        <w:rPr>
          <w:rFonts w:hint="eastAsia" w:ascii="宋体" w:hAnsi="宋体"/>
          <w:b/>
          <w:color w:val="auto"/>
          <w:sz w:val="24"/>
        </w:rPr>
        <w:t>31、确定变更价款</w:t>
      </w:r>
    </w:p>
    <w:p>
      <w:pPr>
        <w:snapToGrid w:val="0"/>
        <w:spacing w:line="500" w:lineRule="exact"/>
        <w:ind w:firstLine="397"/>
        <w:rPr>
          <w:rFonts w:ascii="宋体" w:hAnsi="宋体"/>
          <w:color w:val="auto"/>
          <w:sz w:val="24"/>
          <w:u w:val="single"/>
        </w:rPr>
      </w:pPr>
      <w:r>
        <w:rPr>
          <w:rFonts w:hint="eastAsia" w:ascii="宋体" w:hAnsi="宋体"/>
          <w:color w:val="auto"/>
          <w:sz w:val="24"/>
        </w:rPr>
        <w:t>31.1承包人在工程变更确定后14天内，提出变更工程价款的报告，经工程师确认后调整合同价款。</w:t>
      </w:r>
      <w:r>
        <w:rPr>
          <w:rFonts w:hint="eastAsia" w:ascii="宋体" w:hAnsi="宋体"/>
          <w:color w:val="auto"/>
          <w:sz w:val="24"/>
          <w:u w:val="single"/>
        </w:rPr>
        <w:t>变更合同价款确定原则按本合同相关约定执行。</w:t>
      </w:r>
    </w:p>
    <w:p>
      <w:pPr>
        <w:snapToGrid w:val="0"/>
        <w:spacing w:line="500" w:lineRule="exact"/>
        <w:ind w:firstLine="397"/>
        <w:rPr>
          <w:rFonts w:ascii="宋体" w:hAnsi="宋体"/>
          <w:color w:val="auto"/>
          <w:sz w:val="24"/>
        </w:rPr>
      </w:pPr>
      <w:r>
        <w:rPr>
          <w:rFonts w:hint="eastAsia" w:ascii="宋体" w:hAnsi="宋体"/>
          <w:color w:val="auto"/>
          <w:sz w:val="24"/>
        </w:rPr>
        <w:t>31.3</w:t>
      </w:r>
      <w:r>
        <w:rPr>
          <w:rFonts w:hint="eastAsia" w:ascii="宋体" w:hAnsi="宋体"/>
          <w:color w:val="auto"/>
          <w:sz w:val="24"/>
          <w:u w:val="single"/>
        </w:rPr>
        <w:t>所有变更工程价款的报告必须按规定程序报发包人审核确认。</w:t>
      </w:r>
    </w:p>
    <w:p>
      <w:pPr>
        <w:snapToGrid w:val="0"/>
        <w:spacing w:line="500" w:lineRule="exact"/>
        <w:ind w:firstLine="397"/>
        <w:rPr>
          <w:rFonts w:ascii="宋体" w:hAnsi="宋体"/>
          <w:color w:val="auto"/>
          <w:sz w:val="24"/>
          <w:u w:val="single"/>
        </w:rPr>
      </w:pPr>
      <w:r>
        <w:rPr>
          <w:rFonts w:hint="eastAsia" w:ascii="宋体" w:hAnsi="宋体"/>
          <w:color w:val="auto"/>
          <w:sz w:val="24"/>
        </w:rPr>
        <w:t>31.5</w:t>
      </w:r>
      <w:r>
        <w:rPr>
          <w:rFonts w:hint="eastAsia" w:ascii="宋体" w:hAnsi="宋体"/>
          <w:color w:val="auto"/>
          <w:sz w:val="24"/>
          <w:u w:val="single"/>
        </w:rPr>
        <w:t>工程变更价款的支付按本合同相关约定支付。</w:t>
      </w:r>
    </w:p>
    <w:p>
      <w:pPr>
        <w:snapToGrid w:val="0"/>
        <w:spacing w:line="500" w:lineRule="exact"/>
        <w:ind w:firstLine="360" w:firstLineChars="150"/>
        <w:rPr>
          <w:rFonts w:ascii="宋体" w:hAnsi="宋体"/>
          <w:color w:val="auto"/>
          <w:sz w:val="24"/>
        </w:rPr>
      </w:pPr>
      <w:r>
        <w:rPr>
          <w:rFonts w:hint="eastAsia" w:ascii="宋体" w:hAnsi="宋体"/>
          <w:color w:val="auto"/>
          <w:sz w:val="24"/>
        </w:rPr>
        <w:t xml:space="preserve">31.7 </w:t>
      </w:r>
      <w:r>
        <w:rPr>
          <w:rFonts w:hint="eastAsia" w:ascii="宋体" w:hAnsi="宋体"/>
          <w:color w:val="auto"/>
          <w:sz w:val="24"/>
          <w:u w:val="single"/>
        </w:rPr>
        <w:t>发生上述规定的变更后，承包人在收到发包人变更通知的7天内按合同文件规定的计价方式内容编出变更工程建议送交监理单位。</w:t>
      </w:r>
    </w:p>
    <w:p>
      <w:pPr>
        <w:snapToGrid w:val="0"/>
        <w:spacing w:line="500" w:lineRule="exact"/>
        <w:ind w:firstLine="480"/>
        <w:rPr>
          <w:rFonts w:ascii="宋体" w:hAnsi="宋体"/>
          <w:color w:val="auto"/>
          <w:sz w:val="24"/>
          <w:u w:val="single"/>
        </w:rPr>
      </w:pPr>
      <w:r>
        <w:rPr>
          <w:rFonts w:hint="eastAsia" w:ascii="宋体" w:hAnsi="宋体"/>
          <w:color w:val="auto"/>
          <w:sz w:val="24"/>
        </w:rPr>
        <w:t>31.8</w:t>
      </w:r>
      <w:r>
        <w:rPr>
          <w:rFonts w:hint="eastAsia" w:ascii="宋体" w:hAnsi="宋体"/>
          <w:color w:val="auto"/>
          <w:sz w:val="24"/>
          <w:u w:val="single"/>
        </w:rPr>
        <w:t>在工程变更价款计算时，承包人应按招标文件相关规定编制变更工程的预算，提供变更依据及详细的计算资料，报监理单位和发包人批准。</w:t>
      </w:r>
    </w:p>
    <w:p>
      <w:pPr>
        <w:snapToGrid w:val="0"/>
        <w:spacing w:line="500" w:lineRule="exact"/>
        <w:ind w:firstLine="397"/>
        <w:rPr>
          <w:rFonts w:ascii="宋体" w:hAnsi="宋体"/>
          <w:color w:val="auto"/>
          <w:sz w:val="24"/>
          <w:u w:val="single"/>
        </w:rPr>
      </w:pPr>
      <w:r>
        <w:rPr>
          <w:rFonts w:hint="eastAsia" w:ascii="宋体" w:hAnsi="宋体"/>
          <w:color w:val="auto"/>
          <w:sz w:val="24"/>
        </w:rPr>
        <w:t>31.9</w:t>
      </w:r>
      <w:r>
        <w:rPr>
          <w:rFonts w:hint="eastAsia" w:ascii="宋体" w:hAnsi="宋体"/>
          <w:color w:val="auto"/>
          <w:sz w:val="24"/>
          <w:u w:val="single"/>
        </w:rPr>
        <w:t>工程变更、签证申报程序按广州开发区、黄埔区以及建设业主的有关规定执行。</w:t>
      </w:r>
    </w:p>
    <w:p>
      <w:pPr>
        <w:snapToGrid w:val="0"/>
        <w:spacing w:line="500" w:lineRule="exact"/>
        <w:ind w:firstLine="397"/>
        <w:rPr>
          <w:rFonts w:ascii="宋体" w:hAnsi="宋体"/>
          <w:b/>
          <w:color w:val="auto"/>
          <w:sz w:val="24"/>
        </w:rPr>
      </w:pPr>
      <w:r>
        <w:rPr>
          <w:rFonts w:hint="eastAsia" w:ascii="宋体" w:hAnsi="宋体"/>
          <w:b/>
          <w:color w:val="auto"/>
          <w:sz w:val="24"/>
        </w:rPr>
        <w:t>九、竣工验收与结算</w:t>
      </w:r>
    </w:p>
    <w:p>
      <w:pPr>
        <w:snapToGrid w:val="0"/>
        <w:spacing w:line="500" w:lineRule="exact"/>
        <w:ind w:firstLine="397"/>
        <w:rPr>
          <w:rFonts w:ascii="宋体" w:hAnsi="宋体"/>
          <w:b/>
          <w:color w:val="auto"/>
          <w:sz w:val="24"/>
        </w:rPr>
      </w:pPr>
      <w:r>
        <w:rPr>
          <w:rFonts w:ascii="宋体" w:hAnsi="宋体"/>
          <w:b/>
          <w:color w:val="auto"/>
          <w:sz w:val="24"/>
        </w:rPr>
        <w:t>32</w:t>
      </w:r>
      <w:r>
        <w:rPr>
          <w:rFonts w:hint="eastAsia" w:ascii="宋体" w:hAnsi="宋体"/>
          <w:b/>
          <w:color w:val="auto"/>
          <w:sz w:val="24"/>
        </w:rPr>
        <w:t>、竣工验收</w:t>
      </w:r>
    </w:p>
    <w:p>
      <w:pPr>
        <w:snapToGrid w:val="0"/>
        <w:spacing w:line="500" w:lineRule="exact"/>
        <w:ind w:firstLine="480"/>
        <w:rPr>
          <w:rFonts w:ascii="宋体" w:hAnsi="宋体"/>
          <w:color w:val="auto"/>
          <w:sz w:val="24"/>
          <w:u w:val="single"/>
        </w:rPr>
      </w:pPr>
      <w:r>
        <w:rPr>
          <w:rFonts w:ascii="宋体" w:hAnsi="宋体"/>
          <w:color w:val="auto"/>
          <w:sz w:val="24"/>
        </w:rPr>
        <w:t xml:space="preserve">32.1 </w:t>
      </w:r>
      <w:r>
        <w:rPr>
          <w:rFonts w:hint="eastAsia" w:ascii="宋体" w:hAnsi="宋体"/>
          <w:color w:val="auto"/>
          <w:sz w:val="24"/>
        </w:rPr>
        <w:t>承包人提供竣工图纸的约定：</w:t>
      </w:r>
      <w:r>
        <w:rPr>
          <w:rFonts w:hint="eastAsia" w:ascii="宋体" w:hAnsi="宋体"/>
          <w:color w:val="auto"/>
          <w:sz w:val="24"/>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p>
    <w:p>
      <w:pPr>
        <w:snapToGrid w:val="0"/>
        <w:spacing w:line="500" w:lineRule="exact"/>
        <w:ind w:firstLine="480"/>
        <w:rPr>
          <w:rFonts w:ascii="宋体" w:hAnsi="宋体"/>
          <w:color w:val="auto"/>
          <w:sz w:val="24"/>
          <w:u w:val="single"/>
        </w:rPr>
      </w:pPr>
      <w:r>
        <w:rPr>
          <w:rFonts w:ascii="宋体" w:hAnsi="宋体"/>
          <w:color w:val="auto"/>
          <w:sz w:val="24"/>
        </w:rPr>
        <w:t xml:space="preserve">32.6 </w:t>
      </w:r>
      <w:r>
        <w:rPr>
          <w:rFonts w:hint="eastAsia" w:ascii="宋体" w:hAnsi="宋体"/>
          <w:color w:val="auto"/>
          <w:sz w:val="24"/>
        </w:rPr>
        <w:t>中间交工工程的范围和竣工时间：</w:t>
      </w:r>
      <w:r>
        <w:rPr>
          <w:rFonts w:ascii="宋体" w:hAnsi="宋体"/>
          <w:color w:val="auto"/>
          <w:sz w:val="24"/>
          <w:u w:val="single"/>
        </w:rPr>
        <w:t xml:space="preserve">           /      </w:t>
      </w:r>
      <w:r>
        <w:rPr>
          <w:rFonts w:hint="eastAsia" w:ascii="宋体" w:hAnsi="宋体"/>
          <w:color w:val="auto"/>
          <w:sz w:val="24"/>
          <w:u w:val="single"/>
        </w:rPr>
        <w:t xml:space="preserve"> </w:t>
      </w:r>
      <w:r>
        <w:rPr>
          <w:rFonts w:ascii="宋体" w:hAnsi="宋体"/>
          <w:color w:val="auto"/>
          <w:sz w:val="24"/>
          <w:u w:val="single"/>
        </w:rPr>
        <w:t xml:space="preserve">       </w:t>
      </w:r>
    </w:p>
    <w:p>
      <w:pPr>
        <w:snapToGrid w:val="0"/>
        <w:spacing w:line="500" w:lineRule="exact"/>
        <w:ind w:firstLine="397"/>
        <w:rPr>
          <w:rFonts w:ascii="宋体" w:hAnsi="宋体"/>
          <w:b/>
          <w:color w:val="auto"/>
          <w:sz w:val="24"/>
        </w:rPr>
      </w:pPr>
      <w:r>
        <w:rPr>
          <w:rFonts w:hint="eastAsia" w:ascii="宋体" w:hAnsi="宋体"/>
          <w:b/>
          <w:color w:val="auto"/>
          <w:sz w:val="24"/>
        </w:rPr>
        <w:t>33、竣工结算</w:t>
      </w:r>
    </w:p>
    <w:p>
      <w:pPr>
        <w:snapToGrid w:val="0"/>
        <w:spacing w:line="500" w:lineRule="exact"/>
        <w:ind w:firstLine="397"/>
        <w:rPr>
          <w:rFonts w:ascii="宋体" w:hAnsi="宋体"/>
          <w:color w:val="auto"/>
          <w:sz w:val="24"/>
        </w:rPr>
      </w:pPr>
      <w:r>
        <w:rPr>
          <w:rFonts w:hint="eastAsia" w:ascii="宋体" w:hAnsi="宋体"/>
          <w:color w:val="auto"/>
          <w:sz w:val="24"/>
        </w:rPr>
        <w:t>承发包</w:t>
      </w:r>
      <w:r>
        <w:rPr>
          <w:rFonts w:hint="eastAsia" w:ascii="宋体" w:hAnsi="宋体"/>
          <w:color w:val="auto"/>
          <w:szCs w:val="21"/>
          <w:u w:val="single"/>
        </w:rPr>
        <w:t>三</w:t>
      </w:r>
      <w:r>
        <w:rPr>
          <w:rFonts w:hint="eastAsia" w:ascii="宋体" w:hAnsi="宋体"/>
          <w:color w:val="auto"/>
          <w:sz w:val="24"/>
        </w:rPr>
        <w:t>方一致同意不适用通用条款33.2款、33.3款、33.4款</w:t>
      </w:r>
    </w:p>
    <w:p>
      <w:pPr>
        <w:snapToGrid w:val="0"/>
        <w:spacing w:line="500" w:lineRule="exact"/>
        <w:ind w:firstLine="397"/>
        <w:rPr>
          <w:rFonts w:ascii="宋体" w:hAnsi="宋体"/>
          <w:color w:val="auto"/>
          <w:sz w:val="24"/>
        </w:rPr>
      </w:pPr>
      <w:r>
        <w:rPr>
          <w:rFonts w:hint="eastAsia" w:ascii="宋体" w:hAnsi="宋体"/>
          <w:color w:val="auto"/>
          <w:sz w:val="24"/>
        </w:rPr>
        <w:t>竣工结算办法：</w:t>
      </w:r>
      <w:r>
        <w:rPr>
          <w:rFonts w:hint="eastAsia" w:ascii="宋体" w:hAnsi="宋体"/>
          <w:color w:val="auto"/>
          <w:sz w:val="24"/>
          <w:u w:val="single"/>
        </w:rPr>
        <w:t>所有工程量（含暂定工程量的结算）的结算均以发包人审定的金额为准。工程竣工后，承包人编制本工程的结算书送监理单位审核，经监理单位审核后送发包人复审，并以发包人审定本工程的结算为准。</w:t>
      </w:r>
      <w:r>
        <w:rPr>
          <w:rFonts w:hint="eastAsia" w:ascii="宋体" w:hAnsi="宋体" w:cs="宋体"/>
          <w:color w:val="auto"/>
          <w:sz w:val="24"/>
          <w:u w:val="single"/>
        </w:rPr>
        <w:t>审核竣工结算期限为6个月内，审核完成后的支付期限为审定竣工结算后30天内。</w:t>
      </w:r>
    </w:p>
    <w:p>
      <w:pPr>
        <w:snapToGrid w:val="0"/>
        <w:spacing w:line="500" w:lineRule="exact"/>
        <w:ind w:firstLine="397"/>
        <w:rPr>
          <w:rFonts w:ascii="宋体" w:hAnsi="宋体"/>
          <w:color w:val="auto"/>
          <w:sz w:val="24"/>
          <w:u w:val="single"/>
        </w:rPr>
      </w:pPr>
      <w:r>
        <w:rPr>
          <w:rFonts w:hint="eastAsia" w:ascii="宋体" w:hAnsi="宋体"/>
          <w:color w:val="auto"/>
          <w:sz w:val="24"/>
        </w:rPr>
        <w:t>竣工结算提交时间</w:t>
      </w:r>
      <w:r>
        <w:rPr>
          <w:rFonts w:hint="eastAsia" w:ascii="宋体" w:hAnsi="宋体"/>
          <w:color w:val="auto"/>
          <w:sz w:val="24"/>
          <w:u w:val="single"/>
        </w:rPr>
        <w:t>：承包人须按发包人有关规定编制及办理建设项目工程结算</w:t>
      </w:r>
      <w:r>
        <w:rPr>
          <w:rFonts w:hint="eastAsia" w:ascii="宋体" w:hAnsi="宋体"/>
          <w:color w:val="auto"/>
          <w:sz w:val="24"/>
        </w:rPr>
        <w:t>。</w:t>
      </w:r>
    </w:p>
    <w:p>
      <w:pPr>
        <w:pStyle w:val="157"/>
        <w:spacing w:line="500" w:lineRule="exact"/>
        <w:ind w:hanging="84"/>
        <w:rPr>
          <w:b/>
          <w:bCs/>
          <w:color w:val="auto"/>
          <w:sz w:val="24"/>
          <w:szCs w:val="24"/>
        </w:rPr>
      </w:pPr>
      <w:r>
        <w:rPr>
          <w:rFonts w:hint="eastAsia" w:ascii="宋体" w:hAnsi="宋体"/>
          <w:color w:val="auto"/>
          <w:sz w:val="24"/>
          <w:szCs w:val="24"/>
          <w:u w:val="single"/>
        </w:rPr>
        <w:t>承包人未按前款规定的期限和内容编制及办理建设项目工程结算（非承包人原因无法办理工程结算的情况除外），经发包人或代建单位或监理人书面通知之日起2个月内（最长期限不得超过6个月）仍未提交编制及办理建设项目工程结算的相关文件的，监理人和发包人有权根据发包人已有资料进行审核，发包人审定的竣工结算价视同是经承包人认可的工程竣工结算总价。</w:t>
      </w:r>
    </w:p>
    <w:p>
      <w:pPr>
        <w:snapToGrid w:val="0"/>
        <w:spacing w:line="500" w:lineRule="exact"/>
        <w:ind w:firstLine="397"/>
        <w:rPr>
          <w:rFonts w:ascii="宋体" w:hAnsi="宋体"/>
          <w:b/>
          <w:color w:val="auto"/>
          <w:sz w:val="24"/>
        </w:rPr>
      </w:pPr>
      <w:r>
        <w:rPr>
          <w:rFonts w:hint="eastAsia" w:ascii="宋体" w:hAnsi="宋体"/>
          <w:b/>
          <w:color w:val="auto"/>
          <w:sz w:val="24"/>
        </w:rPr>
        <w:t>十、违约、索赔和争议</w:t>
      </w:r>
    </w:p>
    <w:p>
      <w:pPr>
        <w:snapToGrid w:val="0"/>
        <w:spacing w:line="500" w:lineRule="exact"/>
        <w:ind w:firstLine="397"/>
        <w:rPr>
          <w:rFonts w:ascii="宋体" w:hAnsi="宋体"/>
          <w:b/>
          <w:color w:val="auto"/>
          <w:sz w:val="24"/>
        </w:rPr>
      </w:pPr>
      <w:r>
        <w:rPr>
          <w:rFonts w:ascii="宋体" w:hAnsi="宋体"/>
          <w:b/>
          <w:color w:val="auto"/>
          <w:sz w:val="24"/>
        </w:rPr>
        <w:t>35</w:t>
      </w:r>
      <w:r>
        <w:rPr>
          <w:rFonts w:hint="eastAsia" w:ascii="宋体" w:hAnsi="宋体"/>
          <w:b/>
          <w:color w:val="auto"/>
          <w:sz w:val="24"/>
        </w:rPr>
        <w:t>、违约</w:t>
      </w:r>
    </w:p>
    <w:p>
      <w:pPr>
        <w:snapToGrid w:val="0"/>
        <w:spacing w:line="500" w:lineRule="exact"/>
        <w:ind w:firstLine="397"/>
        <w:rPr>
          <w:rFonts w:ascii="宋体" w:hAnsi="宋体"/>
          <w:color w:val="auto"/>
          <w:sz w:val="24"/>
        </w:rPr>
      </w:pPr>
      <w:r>
        <w:rPr>
          <w:rFonts w:ascii="宋体" w:hAnsi="宋体"/>
          <w:color w:val="auto"/>
          <w:sz w:val="24"/>
        </w:rPr>
        <w:t>35.1</w:t>
      </w:r>
      <w:r>
        <w:rPr>
          <w:rFonts w:hint="eastAsia" w:ascii="宋体" w:hAnsi="宋体"/>
          <w:color w:val="auto"/>
          <w:sz w:val="24"/>
        </w:rPr>
        <w:t>本合同中关于发包人违约的具体责任如下：</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本合同通用条款第35.1条约定发包人违约应承担的责任：</w:t>
      </w:r>
      <w:r>
        <w:rPr>
          <w:rFonts w:hint="eastAsia" w:ascii="宋体" w:hAnsi="宋体"/>
          <w:color w:val="auto"/>
          <w:sz w:val="24"/>
          <w:u w:val="single"/>
        </w:rPr>
        <w:t>顺延工期，但不作费用赔偿</w:t>
      </w:r>
      <w:r>
        <w:rPr>
          <w:rFonts w:hint="eastAsia" w:ascii="宋体" w:hAnsi="宋体"/>
          <w:color w:val="auto"/>
          <w:sz w:val="24"/>
        </w:rPr>
        <w:t>。</w:t>
      </w:r>
    </w:p>
    <w:p>
      <w:pPr>
        <w:snapToGrid w:val="0"/>
        <w:spacing w:line="500" w:lineRule="exact"/>
        <w:ind w:firstLine="420" w:firstLineChars="200"/>
        <w:rPr>
          <w:rFonts w:ascii="宋体" w:hAnsi="宋体"/>
          <w:color w:val="auto"/>
          <w:sz w:val="24"/>
          <w:u w:val="single"/>
        </w:rPr>
      </w:pPr>
      <w:r>
        <w:rPr>
          <w:rFonts w:hint="eastAsia" w:ascii="宋体" w:hAnsi="宋体"/>
          <w:color w:val="auto"/>
          <w:szCs w:val="21"/>
          <w:u w:val="single"/>
        </w:rPr>
        <w:t>三</w:t>
      </w:r>
      <w:r>
        <w:rPr>
          <w:rFonts w:hint="eastAsia" w:ascii="宋体" w:hAnsi="宋体"/>
          <w:color w:val="auto"/>
          <w:sz w:val="24"/>
        </w:rPr>
        <w:t>方约定的发包人其他违约责任：</w:t>
      </w:r>
      <w:r>
        <w:rPr>
          <w:rFonts w:ascii="宋体" w:hAnsi="宋体"/>
          <w:color w:val="auto"/>
          <w:sz w:val="24"/>
          <w:u w:val="single"/>
        </w:rPr>
        <w:t xml:space="preserve">      </w:t>
      </w:r>
      <w:r>
        <w:rPr>
          <w:rFonts w:hint="eastAsia" w:ascii="宋体" w:hAnsi="宋体"/>
          <w:color w:val="auto"/>
          <w:sz w:val="24"/>
          <w:u w:val="single"/>
        </w:rPr>
        <w:t>/</w:t>
      </w:r>
      <w:r>
        <w:rPr>
          <w:rFonts w:ascii="宋体" w:hAnsi="宋体"/>
          <w:color w:val="auto"/>
          <w:sz w:val="24"/>
          <w:u w:val="single"/>
        </w:rPr>
        <w:t xml:space="preserve">         </w:t>
      </w:r>
      <w:r>
        <w:rPr>
          <w:rFonts w:hint="eastAsia" w:ascii="宋体" w:hAnsi="宋体"/>
          <w:color w:val="auto"/>
          <w:sz w:val="24"/>
        </w:rPr>
        <w:t>。</w:t>
      </w:r>
    </w:p>
    <w:p>
      <w:pPr>
        <w:snapToGrid w:val="0"/>
        <w:spacing w:line="500" w:lineRule="exact"/>
        <w:ind w:firstLine="480" w:firstLineChars="200"/>
        <w:rPr>
          <w:rFonts w:ascii="宋体" w:hAnsi="宋体"/>
          <w:color w:val="auto"/>
          <w:sz w:val="24"/>
        </w:rPr>
      </w:pPr>
      <w:r>
        <w:rPr>
          <w:rFonts w:ascii="宋体" w:hAnsi="宋体"/>
          <w:color w:val="auto"/>
          <w:sz w:val="24"/>
        </w:rPr>
        <w:t xml:space="preserve">35.2 </w:t>
      </w:r>
      <w:r>
        <w:rPr>
          <w:rFonts w:hint="eastAsia" w:ascii="宋体" w:hAnsi="宋体"/>
          <w:color w:val="auto"/>
          <w:sz w:val="24"/>
        </w:rPr>
        <w:t>本合同中关于承包人违约的具体责任如下</w:t>
      </w:r>
      <w:r>
        <w:rPr>
          <w:rFonts w:ascii="宋体" w:hAnsi="宋体"/>
          <w:color w:val="auto"/>
          <w:sz w:val="24"/>
        </w:rPr>
        <w:t>:</w:t>
      </w:r>
    </w:p>
    <w:p>
      <w:pPr>
        <w:spacing w:line="500" w:lineRule="exact"/>
        <w:ind w:firstLine="567"/>
        <w:rPr>
          <w:rFonts w:ascii="宋体" w:hAnsi="宋体"/>
          <w:color w:val="auto"/>
          <w:sz w:val="24"/>
        </w:rPr>
      </w:pPr>
      <w:r>
        <w:rPr>
          <w:rFonts w:hint="eastAsia" w:ascii="宋体" w:hAnsi="宋体"/>
          <w:color w:val="auto"/>
          <w:sz w:val="24"/>
        </w:rPr>
        <w:t>35.2.1工期延误的违约责任</w:t>
      </w:r>
    </w:p>
    <w:p>
      <w:pPr>
        <w:spacing w:line="500" w:lineRule="exact"/>
        <w:ind w:firstLine="567"/>
        <w:rPr>
          <w:rFonts w:ascii="宋体" w:hAnsi="宋体"/>
          <w:color w:val="auto"/>
          <w:sz w:val="24"/>
          <w:u w:val="single"/>
        </w:rPr>
      </w:pPr>
      <w:r>
        <w:rPr>
          <w:rFonts w:hint="eastAsia" w:ascii="宋体" w:hAnsi="宋体"/>
          <w:color w:val="auto"/>
          <w:sz w:val="24"/>
          <w:u w:val="single"/>
        </w:rPr>
        <w:t>（1）承包人未按发包人或监理单位开工令要求时间开工的，每迟延开工1天，应向发包人支付违约金5000</w:t>
      </w:r>
      <w:r>
        <w:rPr>
          <w:rFonts w:hint="eastAsia" w:ascii="宋体" w:hAnsi="宋体"/>
          <w:color w:val="auto"/>
          <w:sz w:val="24"/>
          <w:u w:val="single"/>
          <w:lang w:val="en-US" w:eastAsia="zh-CN"/>
        </w:rPr>
        <w:t>0</w:t>
      </w:r>
      <w:r>
        <w:rPr>
          <w:rFonts w:hint="eastAsia" w:ascii="宋体" w:hAnsi="宋体"/>
          <w:color w:val="auto"/>
          <w:sz w:val="24"/>
          <w:u w:val="single"/>
        </w:rPr>
        <w:t>元；迟延开工超过20天的，发包人有权根据实际情况单方面解除合同。</w:t>
      </w:r>
    </w:p>
    <w:p>
      <w:pPr>
        <w:spacing w:line="500" w:lineRule="exact"/>
        <w:ind w:firstLine="567"/>
        <w:rPr>
          <w:rFonts w:ascii="宋体" w:hAnsi="宋体"/>
          <w:color w:val="auto"/>
          <w:sz w:val="24"/>
          <w:u w:val="single"/>
        </w:rPr>
      </w:pPr>
      <w:r>
        <w:rPr>
          <w:rFonts w:hint="eastAsia" w:ascii="宋体" w:hAnsi="宋体"/>
          <w:color w:val="auto"/>
          <w:sz w:val="24"/>
          <w:u w:val="single"/>
        </w:rPr>
        <w:t>(2）因承包人的原因造成工期延误，其中属节点工期延误，从延误的第一天起，每天支付违约金15万元，如在下一个节点赶回工期，可免除上述违约金。属总工期延误，从总工期延误的第一天起，每天支付违约金20万元。</w:t>
      </w:r>
      <w:r>
        <w:rPr>
          <w:rFonts w:hint="eastAsia" w:ascii="宋体" w:hAnsi="宋体"/>
          <w:color w:val="auto"/>
          <w:sz w:val="24"/>
        </w:rPr>
        <w:t>延误工期超过20天的，发包人可视情况终止合同。</w:t>
      </w:r>
    </w:p>
    <w:p>
      <w:pPr>
        <w:spacing w:line="500" w:lineRule="exact"/>
        <w:ind w:firstLine="567"/>
        <w:rPr>
          <w:rFonts w:ascii="宋体" w:hAnsi="宋体"/>
          <w:color w:val="auto"/>
          <w:sz w:val="24"/>
          <w:u w:val="single"/>
        </w:rPr>
      </w:pPr>
      <w:r>
        <w:rPr>
          <w:rFonts w:hint="eastAsia" w:ascii="宋体" w:hAnsi="宋体"/>
          <w:color w:val="auto"/>
          <w:sz w:val="24"/>
          <w:u w:val="single"/>
        </w:rPr>
        <w:t>(3）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w:t>
      </w:r>
      <w:r>
        <w:rPr>
          <w:rFonts w:hint="eastAsia" w:ascii="宋体" w:hAnsi="宋体"/>
          <w:color w:val="auto"/>
          <w:sz w:val="24"/>
          <w:u w:val="single"/>
          <w:lang w:eastAsia="zh-CN"/>
        </w:rPr>
        <w:t>不良记录</w:t>
      </w:r>
      <w:r>
        <w:rPr>
          <w:rFonts w:hint="eastAsia" w:ascii="宋体" w:hAnsi="宋体"/>
          <w:color w:val="auto"/>
          <w:sz w:val="24"/>
          <w:u w:val="single"/>
        </w:rPr>
        <w:t>报区建设行政主管备案。并由承包人承担相应的进度严重违约责任。</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(4）承包人承担的进度严重违约责任为：</w:t>
      </w:r>
    </w:p>
    <w:p>
      <w:pPr>
        <w:spacing w:line="500" w:lineRule="exact"/>
        <w:ind w:firstLine="567"/>
        <w:rPr>
          <w:rFonts w:ascii="宋体" w:hAnsi="宋体"/>
          <w:color w:val="auto"/>
          <w:sz w:val="24"/>
          <w:u w:val="single"/>
        </w:rPr>
      </w:pPr>
      <w:r>
        <w:rPr>
          <w:rFonts w:hint="eastAsia" w:ascii="宋体" w:hAnsi="宋体"/>
          <w:color w:val="auto"/>
          <w:sz w:val="24"/>
          <w:u w:val="single"/>
        </w:rPr>
        <w:t>如果承包人出现进度严重违约事件，则须无条件接受发包人终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 xml:space="preserve"> (5）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w:t>
      </w:r>
      <w:r>
        <w:rPr>
          <w:rFonts w:hint="eastAsia" w:ascii="宋体" w:hAnsi="宋体"/>
          <w:color w:val="auto"/>
          <w:sz w:val="24"/>
          <w:u w:val="single"/>
          <w:lang w:val="en-US" w:eastAsia="zh-CN"/>
        </w:rPr>
        <w:t>0</w:t>
      </w:r>
      <w:r>
        <w:rPr>
          <w:rFonts w:hint="eastAsia" w:ascii="宋体" w:hAnsi="宋体"/>
          <w:color w:val="auto"/>
          <w:sz w:val="24"/>
          <w:u w:val="single"/>
        </w:rPr>
        <w:t>元违约金。</w:t>
      </w:r>
    </w:p>
    <w:p>
      <w:pPr>
        <w:adjustRightInd w:val="0"/>
        <w:snapToGrid w:val="0"/>
        <w:spacing w:line="500" w:lineRule="exact"/>
        <w:ind w:firstLine="480" w:firstLineChars="200"/>
        <w:rPr>
          <w:rFonts w:ascii="宋体" w:hAnsi="宋体"/>
          <w:snapToGrid w:val="0"/>
          <w:color w:val="auto"/>
          <w:kern w:val="0"/>
          <w:sz w:val="24"/>
          <w:u w:val="single"/>
        </w:rPr>
      </w:pPr>
      <w:r>
        <w:rPr>
          <w:rFonts w:hint="eastAsia" w:ascii="宋体" w:hAnsi="宋体"/>
          <w:snapToGrid w:val="0"/>
          <w:color w:val="auto"/>
          <w:kern w:val="0"/>
          <w:sz w:val="24"/>
          <w:u w:val="single"/>
        </w:rPr>
        <w:t>（6）承包人违反合同专用条款的约定和发包人的规定，逾期完成竣工档案的整理、移交、送审备案工作的，每逾期1天，承包人支付违约金5000元。</w:t>
      </w:r>
    </w:p>
    <w:p>
      <w:pPr>
        <w:spacing w:line="500" w:lineRule="exact"/>
        <w:ind w:firstLine="352" w:firstLineChars="147"/>
        <w:rPr>
          <w:rFonts w:ascii="宋体" w:hAnsi="宋体"/>
          <w:color w:val="auto"/>
          <w:sz w:val="24"/>
          <w:u w:val="single"/>
        </w:rPr>
      </w:pPr>
      <w:r>
        <w:rPr>
          <w:rFonts w:hint="eastAsia" w:ascii="宋体" w:hAnsi="宋体"/>
          <w:color w:val="auto"/>
          <w:sz w:val="24"/>
        </w:rPr>
        <w:t>35.2.2</w:t>
      </w:r>
      <w:r>
        <w:rPr>
          <w:rFonts w:hint="eastAsia" w:ascii="宋体" w:hAnsi="宋体"/>
          <w:color w:val="auto"/>
          <w:sz w:val="24"/>
          <w:u w:val="single"/>
        </w:rPr>
        <w:t>安全、文明施工要求及违约处理</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(1）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10000元人民币违约金给发包人。</w:t>
      </w:r>
    </w:p>
    <w:p>
      <w:pPr>
        <w:adjustRightInd w:val="0"/>
        <w:spacing w:line="500" w:lineRule="exact"/>
        <w:ind w:right="11" w:firstLine="480" w:firstLineChars="200"/>
        <w:rPr>
          <w:rFonts w:ascii="宋体" w:hAnsi="宋体"/>
          <w:color w:val="auto"/>
          <w:sz w:val="24"/>
          <w:u w:val="single"/>
        </w:rPr>
      </w:pPr>
      <w:r>
        <w:rPr>
          <w:rFonts w:hint="eastAsia" w:ascii="宋体" w:hAnsi="宋体"/>
          <w:color w:val="auto"/>
          <w:sz w:val="24"/>
          <w:u w:val="single"/>
        </w:rPr>
        <w:t>(2）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p>
    <w:p>
      <w:pPr>
        <w:snapToGrid w:val="0"/>
        <w:spacing w:line="500" w:lineRule="exact"/>
        <w:ind w:firstLine="360" w:firstLineChars="150"/>
        <w:rPr>
          <w:rFonts w:ascii="宋体" w:hAnsi="宋体"/>
          <w:color w:val="auto"/>
          <w:sz w:val="24"/>
          <w:u w:val="single"/>
        </w:rPr>
      </w:pPr>
      <w:r>
        <w:rPr>
          <w:rFonts w:hint="eastAsia" w:ascii="宋体" w:hAnsi="宋体"/>
          <w:color w:val="auto"/>
          <w:sz w:val="24"/>
          <w:u w:val="single"/>
        </w:rPr>
        <w:t>（3）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p>
    <w:p>
      <w:pPr>
        <w:adjustRightInd w:val="0"/>
        <w:spacing w:line="500" w:lineRule="exact"/>
        <w:ind w:firstLine="480" w:firstLineChars="200"/>
        <w:rPr>
          <w:rFonts w:ascii="宋体" w:hAnsi="宋体"/>
          <w:snapToGrid w:val="0"/>
          <w:color w:val="auto"/>
          <w:kern w:val="0"/>
          <w:sz w:val="24"/>
          <w:u w:val="single"/>
        </w:rPr>
      </w:pPr>
      <w:r>
        <w:rPr>
          <w:rFonts w:hint="eastAsia" w:ascii="宋体" w:hAnsi="宋体"/>
          <w:color w:val="auto"/>
          <w:sz w:val="24"/>
          <w:u w:val="single"/>
        </w:rPr>
        <w:t>(4）</w:t>
      </w:r>
      <w:r>
        <w:rPr>
          <w:rFonts w:hint="eastAsia" w:ascii="宋体" w:hAnsi="宋体"/>
          <w:color w:val="auto"/>
          <w:sz w:val="24"/>
          <w:highlight w:val="none"/>
          <w:u w:val="single"/>
        </w:rPr>
        <w:t>在施工过程中发生安全事故的，除按照国家、省、市规定进行处理外。若导致人员伤亡的，承包人按下列办法支付违约金：如发生死亡事故，死亡1人，支付</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0万元；死亡2人，支付</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0万元；死亡3人或以上，支付</w:t>
      </w:r>
      <w:r>
        <w:rPr>
          <w:rFonts w:hint="eastAsia" w:ascii="宋体" w:hAnsi="宋体"/>
          <w:color w:val="auto"/>
          <w:sz w:val="24"/>
          <w:highlight w:val="none"/>
          <w:u w:val="single"/>
          <w:lang w:val="en-US" w:eastAsia="zh-CN"/>
        </w:rPr>
        <w:t>16</w:t>
      </w:r>
      <w:r>
        <w:rPr>
          <w:rFonts w:hint="eastAsia" w:ascii="宋体" w:hAnsi="宋体"/>
          <w:color w:val="auto"/>
          <w:sz w:val="24"/>
          <w:highlight w:val="none"/>
          <w:u w:val="single"/>
        </w:rPr>
        <w:t>0万元。如发生重伤事故，重伤1人，支付</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0万元；重伤2人，支付</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0万元；重伤3人或以上，支付</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0万元。因承包人原因发生一般安全事故，未造成人员伤亡或造成人员轻伤及轻微财产损失的，每发生一次，承包人支付违约金5000元</w:t>
      </w:r>
      <w:r>
        <w:rPr>
          <w:rFonts w:hint="eastAsia" w:ascii="宋体" w:hAnsi="宋体"/>
          <w:color w:val="auto"/>
          <w:sz w:val="24"/>
          <w:u w:val="single"/>
        </w:rPr>
        <w:t>。</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5)在本工程余泥渣土清运施工和建筑垃圾排放运输时，承包人必须严格执行《广州市建筑废弃物管理条例（2015年修正本）》、《广州市市容环境卫生管理规定》、《广州市建设工程现场文明施工管理办法》《关于加强施工现场余泥渣土排放管理工作的通知》（穗建筑【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（6）经发包人或监理单位抽查发现承包人违反合同专用条款的约定，其技术管理人员或施工作业人员没有</w:t>
      </w:r>
      <w:r>
        <w:rPr>
          <w:rFonts w:hint="eastAsia" w:ascii="宋体" w:hAnsi="宋体"/>
          <w:color w:val="auto"/>
          <w:sz w:val="24"/>
          <w:u w:val="single"/>
          <w:lang w:eastAsia="zh-CN"/>
        </w:rPr>
        <w:t>佩戴</w:t>
      </w:r>
      <w:r>
        <w:rPr>
          <w:rFonts w:hint="eastAsia" w:ascii="宋体" w:hAnsi="宋体"/>
          <w:color w:val="auto"/>
          <w:sz w:val="24"/>
          <w:u w:val="single"/>
        </w:rPr>
        <w:t>平安卡的，承包人按每人次1000元的标准向发包人支付违约金并立即改正。</w:t>
      </w:r>
    </w:p>
    <w:p>
      <w:pPr>
        <w:adjustRightInd w:val="0"/>
        <w:snapToGrid w:val="0"/>
        <w:spacing w:line="500" w:lineRule="exact"/>
        <w:ind w:right="11" w:firstLine="480" w:firstLineChars="200"/>
        <w:rPr>
          <w:rFonts w:ascii="宋体" w:hAnsi="宋体"/>
          <w:color w:val="auto"/>
          <w:sz w:val="24"/>
          <w:u w:val="single"/>
        </w:rPr>
      </w:pPr>
      <w:r>
        <w:rPr>
          <w:rFonts w:hint="eastAsia" w:ascii="宋体" w:hAnsi="宋体"/>
          <w:color w:val="auto"/>
          <w:sz w:val="24"/>
        </w:rPr>
        <w:t>35.2.3</w:t>
      </w:r>
      <w:r>
        <w:rPr>
          <w:rFonts w:hint="eastAsia" w:ascii="宋体" w:hAnsi="宋体"/>
          <w:color w:val="auto"/>
          <w:sz w:val="24"/>
          <w:u w:val="single"/>
        </w:rPr>
        <w:t>工程质量方面的违约责任</w:t>
      </w:r>
    </w:p>
    <w:p>
      <w:pPr>
        <w:numPr>
          <w:ilvl w:val="0"/>
          <w:numId w:val="9"/>
        </w:numPr>
        <w:spacing w:line="500" w:lineRule="exact"/>
        <w:ind w:firstLine="480" w:firstLineChars="200"/>
        <w:rPr>
          <w:rFonts w:ascii="宋体" w:hAnsi="宋体"/>
          <w:color w:val="auto"/>
          <w:sz w:val="24"/>
          <w:u w:val="single"/>
        </w:rPr>
      </w:pPr>
      <w:r>
        <w:rPr>
          <w:rFonts w:hint="eastAsia" w:ascii="宋体" w:hAnsi="宋体"/>
          <w:color w:val="auto"/>
          <w:sz w:val="24"/>
          <w:u w:val="single"/>
        </w:rPr>
        <w:t>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若出现因本项目施工质量问题导致后续设备进场、安装延误而影响投产的，加重质量违约处罚，处罚金额上限为本合同额。</w:t>
      </w:r>
    </w:p>
    <w:p>
      <w:pPr>
        <w:pStyle w:val="20"/>
        <w:rPr>
          <w:color w:val="auto"/>
        </w:rPr>
      </w:pPr>
    </w:p>
    <w:p>
      <w:pPr>
        <w:pStyle w:val="151"/>
        <w:spacing w:line="500" w:lineRule="exact"/>
        <w:ind w:firstLine="480" w:firstLineChars="200"/>
        <w:rPr>
          <w:rFonts w:ascii="宋体" w:hAnsi="宋体"/>
          <w:color w:val="auto"/>
          <w:sz w:val="24"/>
        </w:rPr>
      </w:pPr>
      <w:r>
        <w:rPr>
          <w:rFonts w:hint="eastAsia" w:ascii="宋体" w:hAnsi="宋体"/>
          <w:color w:val="auto"/>
          <w:sz w:val="24"/>
        </w:rPr>
        <w:t>上述违约金由发包人直接从工程结算款中扣减。因非承包人原因导致本工程未能达到要求的工程质量标准的除外。</w:t>
      </w:r>
    </w:p>
    <w:p>
      <w:pPr>
        <w:spacing w:line="500" w:lineRule="exact"/>
        <w:ind w:firstLine="410" w:firstLineChars="171"/>
        <w:rPr>
          <w:rFonts w:ascii="宋体" w:hAnsi="宋体"/>
          <w:color w:val="auto"/>
          <w:sz w:val="24"/>
        </w:rPr>
      </w:pPr>
      <w:r>
        <w:rPr>
          <w:rFonts w:hint="eastAsia" w:ascii="宋体" w:hAnsi="宋体"/>
          <w:color w:val="auto"/>
          <w:sz w:val="24"/>
        </w:rPr>
        <w:t>（3）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pPr>
        <w:snapToGrid w:val="0"/>
        <w:spacing w:line="500" w:lineRule="exact"/>
        <w:ind w:firstLine="480"/>
        <w:rPr>
          <w:rFonts w:hint="eastAsia" w:ascii="宋体" w:hAnsi="宋体"/>
          <w:color w:val="auto"/>
          <w:sz w:val="24"/>
        </w:rPr>
      </w:pPr>
      <w:r>
        <w:rPr>
          <w:rFonts w:hint="eastAsia" w:ascii="宋体" w:hAnsi="宋体"/>
          <w:color w:val="auto"/>
          <w:sz w:val="24"/>
        </w:rPr>
        <w:t>（4）对施工质量问题存在争议，应请国家认可的第三方机构出具检测报告，检测费用由责任方承担。</w:t>
      </w:r>
    </w:p>
    <w:p>
      <w:pPr>
        <w:snapToGrid w:val="0"/>
        <w:spacing w:line="500" w:lineRule="exact"/>
        <w:ind w:firstLine="480"/>
        <w:rPr>
          <w:rFonts w:hint="eastAsia" w:ascii="宋体" w:hAnsi="宋体" w:eastAsia="宋体" w:cs="Times New Roman"/>
          <w:color w:val="auto"/>
          <w:sz w:val="24"/>
        </w:rPr>
      </w:pPr>
      <w:r>
        <w:rPr>
          <w:rFonts w:hint="eastAsia" w:ascii="宋体" w:hAnsi="宋体" w:eastAsia="宋体" w:cs="Times New Roman"/>
          <w:color w:val="auto"/>
          <w:sz w:val="24"/>
        </w:rPr>
        <w:t>35.2.3工程质量方面的违约责任，增加：（5）对工程规模符合申报“广东省建设工程优质奖”的，需达到“广东省建设工程优质奖”的质量标准；工程规模不符合申报“广东省建设工程优质奖”但符合申报“广州市优良样板工程”的，需达到“广州市优良样板工程”的质量标准；若承包人未能达到规定标准，承包人除应向发包人支付本工程合同价款的</w:t>
      </w:r>
      <w:r>
        <w:rPr>
          <w:rFonts w:hint="eastAsia" w:ascii="宋体" w:hAnsi="宋体" w:cs="Times New Roman"/>
          <w:color w:val="auto"/>
          <w:sz w:val="24"/>
          <w:lang w:val="en-US" w:eastAsia="zh-CN"/>
        </w:rPr>
        <w:t>2</w:t>
      </w:r>
      <w:r>
        <w:rPr>
          <w:rFonts w:hint="eastAsia" w:ascii="宋体" w:hAnsi="宋体" w:eastAsia="宋体" w:cs="Times New Roman"/>
          <w:color w:val="auto"/>
          <w:sz w:val="24"/>
        </w:rPr>
        <w:t>%作为违约金并无偿采取补救措施及赔偿发包人的实际损失外，还应承担由此引起的一切责任。</w:t>
      </w:r>
    </w:p>
    <w:p>
      <w:pPr>
        <w:adjustRightInd w:val="0"/>
        <w:spacing w:line="500" w:lineRule="exact"/>
        <w:ind w:right="11" w:firstLine="480" w:firstLineChars="200"/>
        <w:rPr>
          <w:rFonts w:ascii="宋体" w:hAnsi="宋体"/>
          <w:color w:val="auto"/>
          <w:sz w:val="24"/>
          <w:u w:val="single"/>
        </w:rPr>
      </w:pPr>
      <w:r>
        <w:rPr>
          <w:rFonts w:hint="eastAsia" w:ascii="宋体" w:hAnsi="宋体"/>
          <w:color w:val="auto"/>
          <w:sz w:val="24"/>
          <w:u w:val="single"/>
          <w:lang w:bidi="ar"/>
        </w:rPr>
        <w:t>35.2.4关于第三方质量安全评估的违约责任：</w:t>
      </w:r>
    </w:p>
    <w:p>
      <w:pPr>
        <w:adjustRightInd w:val="0"/>
        <w:spacing w:line="500" w:lineRule="exact"/>
        <w:ind w:right="11" w:firstLine="480" w:firstLineChars="200"/>
        <w:rPr>
          <w:rFonts w:ascii="宋体" w:hAnsi="宋体"/>
          <w:color w:val="auto"/>
          <w:sz w:val="24"/>
          <w:u w:val="single"/>
        </w:rPr>
      </w:pPr>
      <w:r>
        <w:rPr>
          <w:rFonts w:hint="eastAsia" w:ascii="宋体" w:hAnsi="宋体"/>
          <w:color w:val="auto"/>
          <w:sz w:val="24"/>
          <w:u w:val="single"/>
          <w:lang w:bidi="ar"/>
        </w:rPr>
        <w:t>承包人应严格遵守中心制定的建设工程第三方质量安全评估服务相关管理办法，配合完成第三方质量安全评估工作。根据每次评估结果，经评估确定为一般违约情况的，承包人每次应支付10000元违约金给发包人；经评估确定为严重违约情况的，承包人每次应支付50000元违约金给发包人。</w:t>
      </w:r>
    </w:p>
    <w:p>
      <w:pPr>
        <w:spacing w:line="500" w:lineRule="exact"/>
        <w:ind w:firstLine="480" w:firstLineChars="200"/>
        <w:rPr>
          <w:rFonts w:ascii="宋体" w:hAnsi="宋体"/>
          <w:color w:val="auto"/>
          <w:sz w:val="24"/>
          <w:u w:val="single"/>
        </w:rPr>
      </w:pPr>
      <w:r>
        <w:rPr>
          <w:rFonts w:hint="eastAsia" w:ascii="宋体" w:hAnsi="宋体"/>
          <w:color w:val="auto"/>
          <w:sz w:val="24"/>
        </w:rPr>
        <w:t>35.2.5</w:t>
      </w:r>
      <w:r>
        <w:rPr>
          <w:rFonts w:hint="eastAsia" w:ascii="宋体" w:hAnsi="宋体"/>
          <w:color w:val="auto"/>
          <w:sz w:val="24"/>
          <w:u w:val="single"/>
        </w:rPr>
        <w:t>关于农民工工资支付的违约责任</w:t>
      </w:r>
    </w:p>
    <w:p>
      <w:pPr>
        <w:adjustRightInd w:val="0"/>
        <w:spacing w:line="500" w:lineRule="exact"/>
        <w:ind w:right="11" w:firstLine="480" w:firstLineChars="200"/>
        <w:rPr>
          <w:rFonts w:ascii="宋体" w:hAnsi="宋体"/>
          <w:color w:val="auto"/>
          <w:sz w:val="24"/>
          <w:u w:val="single"/>
        </w:rPr>
      </w:pPr>
      <w:r>
        <w:rPr>
          <w:rFonts w:hint="eastAsia" w:ascii="宋体" w:hAnsi="宋体"/>
          <w:color w:val="auto"/>
          <w:sz w:val="24"/>
          <w:u w:val="single"/>
        </w:rPr>
        <w:t>承包人拖欠农民工工资（含代发的分包单位工人工资），被农民工投诉属实的，承包人必须在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pPr>
        <w:pStyle w:val="154"/>
        <w:snapToGrid w:val="0"/>
        <w:spacing w:line="500" w:lineRule="exact"/>
        <w:ind w:firstLine="397"/>
        <w:rPr>
          <w:rFonts w:ascii="宋体" w:hAnsi="宋体"/>
          <w:color w:val="auto"/>
          <w:sz w:val="24"/>
          <w:u w:val="single"/>
        </w:rPr>
      </w:pPr>
      <w:r>
        <w:rPr>
          <w:rFonts w:hint="eastAsia" w:ascii="宋体" w:hAnsi="宋体"/>
          <w:color w:val="auto"/>
          <w:sz w:val="24"/>
        </w:rPr>
        <w:t>35.2.6</w:t>
      </w:r>
      <w:r>
        <w:rPr>
          <w:rFonts w:hint="eastAsia" w:ascii="宋体" w:hAnsi="宋体"/>
          <w:color w:val="auto"/>
          <w:sz w:val="24"/>
          <w:u w:val="single"/>
        </w:rPr>
        <w:t>项目管理机构人员、机械设备、劳动力到位方面的违约责任：</w:t>
      </w:r>
    </w:p>
    <w:p>
      <w:pPr>
        <w:pStyle w:val="154"/>
        <w:numPr>
          <w:ilvl w:val="0"/>
          <w:numId w:val="10"/>
        </w:numPr>
        <w:snapToGrid w:val="0"/>
        <w:spacing w:line="500" w:lineRule="exact"/>
        <w:ind w:firstLine="397"/>
        <w:rPr>
          <w:rFonts w:ascii="宋体" w:hAnsi="宋体"/>
          <w:color w:val="auto"/>
          <w:sz w:val="24"/>
          <w:u w:val="single"/>
        </w:rPr>
      </w:pPr>
      <w:r>
        <w:rPr>
          <w:rFonts w:hint="eastAsia" w:ascii="宋体" w:hAnsi="宋体"/>
          <w:color w:val="auto"/>
          <w:sz w:val="24"/>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200000元违约金给发包人，擅自更换主要施工管理人员的，每更换一人次，承包人需支付30000元违约金给发包人。但征得发包人书面同意更换或因发包人按本协议要求更换仍需支付违约金，具体为：更换项目负责人或项目技术负责人的，承包人每更换一人次，需支付50000元违约金给发包人，更换主要施工管理人员的，每更换一人次，承包人需支付10000元违约金给发包人。</w:t>
      </w:r>
    </w:p>
    <w:p>
      <w:pPr>
        <w:pStyle w:val="154"/>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（2）如果承包人未按投标文件中的机械设备投入计划投入机械设备，经监理工程师或发包人代表检查发现的，将书面告知限期整改，未在限期内完成整改的，每延期一天，承包人需支付10000元违约金给发包人。</w:t>
      </w:r>
    </w:p>
    <w:p>
      <w:pPr>
        <w:pStyle w:val="154"/>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（3）如果承包人未投标文件中的人力投入计划投入人力，经监理工程师和发包人代表检查发现的，每发现一次，承包人支付10000元违约金给发包人。</w:t>
      </w:r>
    </w:p>
    <w:p>
      <w:pPr>
        <w:pStyle w:val="154"/>
        <w:snapToGrid w:val="0"/>
        <w:spacing w:line="500" w:lineRule="exact"/>
        <w:ind w:firstLine="480" w:firstLineChars="200"/>
        <w:rPr>
          <w:rFonts w:ascii="宋体" w:hAnsi="宋体"/>
          <w:color w:val="auto"/>
          <w:sz w:val="24"/>
          <w:u w:val="single"/>
        </w:rPr>
      </w:pPr>
      <w:r>
        <w:rPr>
          <w:rFonts w:hint="eastAsia" w:ascii="宋体" w:hAnsi="宋体"/>
          <w:color w:val="auto"/>
          <w:sz w:val="24"/>
          <w:u w:val="single"/>
        </w:rPr>
        <w:t>（4）如果检查发现承包人超过三次未按承诺投入的人力、机械、物力组织施工，发包人将作为</w:t>
      </w:r>
      <w:r>
        <w:rPr>
          <w:rFonts w:hint="eastAsia" w:ascii="宋体" w:hAnsi="宋体"/>
          <w:color w:val="auto"/>
          <w:sz w:val="24"/>
          <w:u w:val="single"/>
          <w:lang w:eastAsia="zh-CN"/>
        </w:rPr>
        <w:t>不良记录</w:t>
      </w:r>
      <w:r>
        <w:rPr>
          <w:rFonts w:hint="eastAsia" w:ascii="宋体" w:hAnsi="宋体"/>
          <w:color w:val="auto"/>
          <w:sz w:val="24"/>
          <w:u w:val="single"/>
        </w:rPr>
        <w:t>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w:t>
      </w:r>
      <w:r>
        <w:rPr>
          <w:rFonts w:hint="eastAsia" w:ascii="宋体" w:hAnsi="宋体"/>
          <w:color w:val="auto"/>
          <w:sz w:val="24"/>
          <w:u w:val="single"/>
          <w:lang w:eastAsia="zh-CN"/>
        </w:rPr>
        <w:t>不良记录</w:t>
      </w:r>
      <w:r>
        <w:rPr>
          <w:rFonts w:hint="eastAsia" w:ascii="宋体" w:hAnsi="宋体"/>
          <w:color w:val="auto"/>
          <w:sz w:val="24"/>
          <w:u w:val="single"/>
        </w:rPr>
        <w:t>报区建设行政主管部门备案。对此，承包人不得有异议。</w:t>
      </w:r>
    </w:p>
    <w:p>
      <w:pPr>
        <w:pStyle w:val="154"/>
        <w:snapToGrid w:val="0"/>
        <w:spacing w:line="500" w:lineRule="exact"/>
        <w:ind w:firstLine="397"/>
        <w:rPr>
          <w:rFonts w:ascii="宋体" w:hAnsi="宋体"/>
          <w:color w:val="auto"/>
          <w:sz w:val="24"/>
          <w:u w:val="single"/>
        </w:rPr>
      </w:pPr>
      <w:r>
        <w:rPr>
          <w:rFonts w:hint="eastAsia" w:ascii="宋体" w:hAnsi="宋体"/>
          <w:color w:val="auto"/>
          <w:sz w:val="24"/>
          <w:u w:val="single"/>
        </w:rPr>
        <w:t>（5）承包人的项目负责人、技术负责人、安全负责人、质量负责人、防火负责人等必须常驻施工现场，且须无条件参加每周的工地例会以及发包人书面通知</w:t>
      </w:r>
      <w:r>
        <w:rPr>
          <w:rFonts w:hint="eastAsia" w:ascii="宋体" w:hAnsi="宋体"/>
          <w:color w:val="auto"/>
          <w:sz w:val="24"/>
          <w:u w:val="single"/>
          <w:lang w:eastAsia="zh-CN"/>
        </w:rPr>
        <w:t>的其他会议</w:t>
      </w:r>
      <w:r>
        <w:rPr>
          <w:rFonts w:hint="eastAsia" w:ascii="宋体" w:hAnsi="宋体"/>
          <w:color w:val="auto"/>
          <w:sz w:val="24"/>
          <w:u w:val="single"/>
        </w:rPr>
        <w:t>，如有缺席，则每人每缺席一次，承包人需支付5000元人民币违约金。</w:t>
      </w:r>
    </w:p>
    <w:p>
      <w:pPr>
        <w:spacing w:line="500" w:lineRule="exact"/>
        <w:rPr>
          <w:rFonts w:ascii="宋体" w:hAnsi="宋体"/>
          <w:color w:val="auto"/>
          <w:sz w:val="24"/>
          <w:u w:val="single"/>
        </w:rPr>
      </w:pPr>
      <w:r>
        <w:rPr>
          <w:rFonts w:hint="eastAsia" w:ascii="宋体" w:hAnsi="宋体"/>
          <w:color w:val="auto"/>
          <w:sz w:val="24"/>
        </w:rPr>
        <w:t xml:space="preserve">    35.2.7</w:t>
      </w:r>
      <w:r>
        <w:rPr>
          <w:rFonts w:hint="eastAsia" w:ascii="宋体" w:hAnsi="宋体"/>
          <w:color w:val="auto"/>
          <w:sz w:val="24"/>
          <w:u w:val="single"/>
        </w:rPr>
        <w:t>工程转包违约责任</w:t>
      </w:r>
    </w:p>
    <w:p>
      <w:pPr>
        <w:adjustRightInd w:val="0"/>
        <w:snapToGrid w:val="0"/>
        <w:spacing w:line="500" w:lineRule="exact"/>
        <w:ind w:firstLine="480" w:firstLineChars="200"/>
        <w:rPr>
          <w:rFonts w:ascii="宋体" w:hAnsi="宋体"/>
          <w:color w:val="auto"/>
          <w:sz w:val="24"/>
        </w:rPr>
      </w:pPr>
      <w:r>
        <w:rPr>
          <w:rFonts w:hint="eastAsia" w:ascii="宋体" w:hAnsi="宋体"/>
          <w:color w:val="auto"/>
          <w:sz w:val="24"/>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pPr>
        <w:spacing w:line="500" w:lineRule="exact"/>
        <w:ind w:firstLine="480" w:firstLineChars="200"/>
        <w:rPr>
          <w:rFonts w:ascii="宋体" w:hAnsi="宋体"/>
          <w:color w:val="auto"/>
          <w:sz w:val="24"/>
          <w:u w:val="single"/>
        </w:rPr>
      </w:pPr>
      <w:r>
        <w:rPr>
          <w:rFonts w:hint="eastAsia" w:ascii="宋体" w:hAnsi="宋体"/>
          <w:color w:val="auto"/>
          <w:sz w:val="24"/>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p>
    <w:p>
      <w:pPr>
        <w:spacing w:line="500" w:lineRule="exact"/>
        <w:ind w:firstLine="480" w:firstLineChars="200"/>
        <w:rPr>
          <w:rFonts w:ascii="宋体" w:hAnsi="宋体"/>
          <w:color w:val="auto"/>
          <w:sz w:val="24"/>
        </w:rPr>
      </w:pPr>
      <w:r>
        <w:rPr>
          <w:rFonts w:hint="eastAsia" w:ascii="宋体" w:hAnsi="宋体"/>
          <w:color w:val="auto"/>
          <w:sz w:val="24"/>
        </w:rPr>
        <w:t>35.2.8解除合同的违约责任</w:t>
      </w:r>
    </w:p>
    <w:p>
      <w:pPr>
        <w:spacing w:line="500" w:lineRule="exact"/>
        <w:ind w:firstLine="480" w:firstLineChars="200"/>
        <w:rPr>
          <w:rFonts w:ascii="宋体" w:hAnsi="宋体"/>
          <w:color w:val="auto"/>
          <w:sz w:val="24"/>
        </w:rPr>
      </w:pPr>
      <w:r>
        <w:rPr>
          <w:rFonts w:ascii="宋体" w:hAnsi="宋体"/>
          <w:color w:val="auto"/>
          <w:sz w:val="24"/>
        </w:rPr>
        <w:t>35.2.</w:t>
      </w:r>
      <w:r>
        <w:rPr>
          <w:rFonts w:hint="eastAsia" w:ascii="宋体" w:hAnsi="宋体"/>
          <w:color w:val="auto"/>
          <w:sz w:val="24"/>
        </w:rPr>
        <w:t>8</w:t>
      </w:r>
      <w:r>
        <w:rPr>
          <w:rFonts w:ascii="宋体" w:hAnsi="宋体"/>
          <w:color w:val="auto"/>
          <w:sz w:val="24"/>
        </w:rPr>
        <w:t>.1</w:t>
      </w:r>
      <w:r>
        <w:rPr>
          <w:rFonts w:hint="eastAsia" w:ascii="宋体" w:hAnsi="宋体"/>
          <w:color w:val="auto"/>
          <w:sz w:val="24"/>
        </w:rPr>
        <w:t>因承包人严重违约，发包人单方面解除合同或承包人违约擅自解除合同的，承包人应向发包人支付本合同价款</w:t>
      </w:r>
      <w:r>
        <w:rPr>
          <w:rFonts w:ascii="宋体" w:hAnsi="宋体"/>
          <w:color w:val="auto"/>
          <w:sz w:val="24"/>
        </w:rPr>
        <w:t>10%</w:t>
      </w:r>
      <w:r>
        <w:rPr>
          <w:rFonts w:hint="eastAsia" w:ascii="宋体" w:hAnsi="宋体"/>
          <w:color w:val="auto"/>
          <w:sz w:val="24"/>
        </w:rPr>
        <w:t>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pPr>
        <w:spacing w:line="500" w:lineRule="exact"/>
        <w:ind w:firstLine="480" w:firstLineChars="200"/>
        <w:rPr>
          <w:rFonts w:ascii="宋体" w:hAnsi="宋体"/>
          <w:color w:val="auto"/>
          <w:sz w:val="24"/>
        </w:rPr>
      </w:pPr>
      <w:r>
        <w:rPr>
          <w:rFonts w:ascii="宋体" w:hAnsi="宋体"/>
          <w:color w:val="auto"/>
          <w:sz w:val="24"/>
        </w:rPr>
        <w:t>35.2.</w:t>
      </w:r>
      <w:r>
        <w:rPr>
          <w:rFonts w:hint="eastAsia" w:ascii="宋体" w:hAnsi="宋体"/>
          <w:color w:val="auto"/>
          <w:sz w:val="24"/>
        </w:rPr>
        <w:t>8</w:t>
      </w:r>
      <w:r>
        <w:rPr>
          <w:rFonts w:ascii="宋体" w:hAnsi="宋体"/>
          <w:color w:val="auto"/>
          <w:sz w:val="24"/>
        </w:rPr>
        <w:t>.2</w:t>
      </w:r>
      <w:r>
        <w:rPr>
          <w:rFonts w:hint="eastAsia" w:ascii="宋体" w:hAnsi="宋体"/>
          <w:color w:val="auto"/>
          <w:sz w:val="24"/>
        </w:rPr>
        <w:t>不适用通用条款</w:t>
      </w:r>
      <w:r>
        <w:rPr>
          <w:rFonts w:ascii="宋体" w:hAnsi="宋体"/>
          <w:color w:val="auto"/>
          <w:sz w:val="24"/>
        </w:rPr>
        <w:t>44.6</w:t>
      </w:r>
      <w:r>
        <w:rPr>
          <w:rFonts w:hint="eastAsia" w:ascii="宋体" w:hAnsi="宋体"/>
          <w:color w:val="auto"/>
          <w:sz w:val="24"/>
        </w:rPr>
        <w:t>条的约定。</w:t>
      </w:r>
    </w:p>
    <w:p>
      <w:pPr>
        <w:pStyle w:val="161"/>
        <w:tabs>
          <w:tab w:val="left" w:pos="8280"/>
        </w:tabs>
        <w:spacing w:line="500" w:lineRule="exact"/>
        <w:ind w:right="28" w:firstLine="480" w:firstLineChars="200"/>
        <w:rPr>
          <w:rFonts w:ascii="宋体" w:hAnsi="宋体"/>
          <w:bCs/>
          <w:snapToGrid w:val="0"/>
          <w:color w:val="auto"/>
          <w:kern w:val="0"/>
          <w:sz w:val="24"/>
          <w:u w:val="single"/>
        </w:rPr>
      </w:pPr>
      <w:r>
        <w:rPr>
          <w:rFonts w:hint="eastAsia" w:ascii="宋体" w:hAnsi="宋体"/>
          <w:bCs/>
          <w:snapToGrid w:val="0"/>
          <w:color w:val="auto"/>
          <w:kern w:val="0"/>
          <w:sz w:val="24"/>
        </w:rPr>
        <w:t>35.2.9</w:t>
      </w:r>
      <w:r>
        <w:rPr>
          <w:rFonts w:hint="eastAsia" w:ascii="宋体" w:hAnsi="宋体"/>
          <w:bCs/>
          <w:snapToGrid w:val="0"/>
          <w:color w:val="auto"/>
          <w:kern w:val="0"/>
          <w:sz w:val="24"/>
          <w:u w:val="single"/>
        </w:rPr>
        <w:t>办理结算的违约责任：</w:t>
      </w:r>
    </w:p>
    <w:p>
      <w:pPr>
        <w:pStyle w:val="161"/>
        <w:tabs>
          <w:tab w:val="left" w:pos="8280"/>
        </w:tabs>
        <w:spacing w:line="500" w:lineRule="exact"/>
        <w:ind w:right="28" w:firstLine="480" w:firstLineChars="200"/>
        <w:rPr>
          <w:rFonts w:ascii="宋体" w:hAnsi="宋体"/>
          <w:bCs/>
          <w:snapToGrid w:val="0"/>
          <w:color w:val="auto"/>
          <w:kern w:val="0"/>
          <w:sz w:val="24"/>
          <w:u w:val="single"/>
        </w:rPr>
      </w:pPr>
      <w:r>
        <w:rPr>
          <w:rFonts w:hint="eastAsia" w:ascii="宋体" w:hAnsi="宋体"/>
          <w:bCs/>
          <w:snapToGrid w:val="0"/>
          <w:color w:val="auto"/>
          <w:kern w:val="0"/>
          <w:sz w:val="24"/>
          <w:u w:val="single"/>
        </w:rPr>
        <w:t>承包人按发包人有关规定的，须按该相关规定承担违约责任。</w:t>
      </w:r>
    </w:p>
    <w:p>
      <w:pPr>
        <w:spacing w:line="500" w:lineRule="exact"/>
        <w:ind w:firstLine="480" w:firstLineChars="200"/>
        <w:rPr>
          <w:rFonts w:ascii="宋体" w:hAnsi="宋体"/>
          <w:color w:val="auto"/>
          <w:sz w:val="24"/>
          <w:u w:val="single"/>
        </w:rPr>
      </w:pPr>
      <w:r>
        <w:rPr>
          <w:rFonts w:hint="eastAsia" w:ascii="宋体" w:hAnsi="宋体"/>
          <w:color w:val="auto"/>
          <w:sz w:val="24"/>
        </w:rPr>
        <w:t>35.2.10</w:t>
      </w:r>
      <w:r>
        <w:rPr>
          <w:rFonts w:hint="eastAsia" w:ascii="宋体" w:hAnsi="宋体"/>
          <w:color w:val="auto"/>
          <w:sz w:val="24"/>
          <w:u w:val="single"/>
        </w:rPr>
        <w:t xml:space="preserve"> 除上述违约责任外，因承包人履行本合同不符合约定或相关规定，发包人可根据实际情况，给予承包人通报批评及作不良记录等处</w:t>
      </w:r>
      <w:r>
        <w:rPr>
          <w:rFonts w:hint="eastAsia" w:ascii="宋体" w:hAnsi="宋体"/>
          <w:color w:val="auto"/>
          <w:sz w:val="24"/>
          <w:u w:val="single"/>
          <w:lang w:val="en-US" w:eastAsia="zh-CN"/>
        </w:rPr>
        <w:t>理</w:t>
      </w:r>
      <w:r>
        <w:rPr>
          <w:rFonts w:hint="eastAsia" w:ascii="宋体" w:hAnsi="宋体"/>
          <w:color w:val="auto"/>
          <w:sz w:val="24"/>
          <w:u w:val="single"/>
        </w:rPr>
        <w:t>措施；情节严重的，可报请上级行政主管部门给予相应处罚。</w:t>
      </w:r>
    </w:p>
    <w:p>
      <w:pPr>
        <w:spacing w:line="500" w:lineRule="exact"/>
        <w:ind w:firstLine="480" w:firstLineChars="200"/>
        <w:rPr>
          <w:rFonts w:hint="eastAsia" w:ascii="宋体" w:hAnsi="宋体" w:cs="Times New Roman"/>
          <w:color w:val="auto"/>
          <w:sz w:val="24"/>
        </w:rPr>
      </w:pPr>
      <w:r>
        <w:rPr>
          <w:rFonts w:hint="eastAsia" w:ascii="宋体" w:hAnsi="宋体" w:cs="Times New Roman"/>
          <w:color w:val="auto"/>
          <w:sz w:val="24"/>
        </w:rPr>
        <w:t>35.2.11承包人违约责任的认定方式、送达程序及违约金的处理</w:t>
      </w:r>
    </w:p>
    <w:p>
      <w:pPr>
        <w:spacing w:line="500" w:lineRule="exact"/>
        <w:ind w:firstLine="480" w:firstLineChars="200"/>
        <w:rPr>
          <w:rFonts w:hint="eastAsia" w:ascii="宋体" w:hAnsi="宋体" w:cs="Times New Roman"/>
          <w:color w:val="auto"/>
          <w:sz w:val="24"/>
        </w:rPr>
      </w:pPr>
      <w:r>
        <w:rPr>
          <w:rFonts w:hint="eastAsia" w:ascii="宋体" w:hAnsi="宋体" w:cs="Times New Roman"/>
          <w:color w:val="auto"/>
          <w:sz w:val="24"/>
        </w:rPr>
        <w:t>（1）认定方式：以发包人发出的通知、通报、会议纪要等书面文件确定的内容为准。</w:t>
      </w:r>
    </w:p>
    <w:p>
      <w:pPr>
        <w:spacing w:line="500" w:lineRule="exact"/>
        <w:ind w:firstLine="480" w:firstLineChars="200"/>
        <w:rPr>
          <w:rFonts w:hint="eastAsia" w:ascii="宋体" w:hAnsi="宋体" w:cs="Times New Roman"/>
          <w:color w:val="auto"/>
          <w:sz w:val="24"/>
        </w:rPr>
      </w:pPr>
      <w:r>
        <w:rPr>
          <w:rFonts w:hint="eastAsia" w:ascii="宋体" w:hAnsi="宋体" w:cs="Times New Roman"/>
          <w:color w:val="auto"/>
          <w:sz w:val="24"/>
        </w:rPr>
        <w:t>（2）送达程序：发包人以下列方式之一将书面违约处理决定送达承包人：</w:t>
      </w:r>
    </w:p>
    <w:p>
      <w:pPr>
        <w:spacing w:line="500" w:lineRule="exact"/>
        <w:ind w:firstLine="480" w:firstLineChars="200"/>
        <w:rPr>
          <w:rFonts w:hint="eastAsia" w:ascii="宋体" w:hAnsi="宋体" w:cs="Times New Roman"/>
          <w:color w:val="auto"/>
          <w:sz w:val="24"/>
        </w:rPr>
      </w:pPr>
      <w:r>
        <w:rPr>
          <w:rFonts w:hint="eastAsia" w:ascii="宋体" w:hAnsi="宋体" w:cs="Times New Roman"/>
          <w:color w:val="auto"/>
          <w:sz w:val="24"/>
        </w:rPr>
        <w:t>1）承包人现场管理机构工作人员签收。</w:t>
      </w:r>
    </w:p>
    <w:p>
      <w:pPr>
        <w:spacing w:line="500" w:lineRule="exact"/>
        <w:ind w:firstLine="480" w:firstLineChars="200"/>
        <w:rPr>
          <w:rFonts w:hint="eastAsia" w:ascii="宋体" w:hAnsi="宋体" w:cs="Times New Roman"/>
          <w:color w:val="auto"/>
          <w:sz w:val="24"/>
        </w:rPr>
      </w:pPr>
      <w:r>
        <w:rPr>
          <w:rFonts w:hint="eastAsia" w:ascii="宋体" w:hAnsi="宋体" w:cs="Times New Roman"/>
          <w:color w:val="auto"/>
          <w:sz w:val="24"/>
        </w:rPr>
        <w:t>2）承包人其他工作人员签收。</w:t>
      </w:r>
    </w:p>
    <w:p>
      <w:pPr>
        <w:spacing w:line="500" w:lineRule="exact"/>
        <w:ind w:firstLine="480" w:firstLineChars="200"/>
        <w:rPr>
          <w:rFonts w:hint="eastAsia" w:ascii="宋体" w:hAnsi="宋体" w:cs="Times New Roman"/>
          <w:color w:val="auto"/>
          <w:sz w:val="24"/>
        </w:rPr>
      </w:pPr>
      <w:r>
        <w:rPr>
          <w:rFonts w:hint="eastAsia" w:ascii="宋体" w:hAnsi="宋体" w:cs="Times New Roman"/>
          <w:color w:val="auto"/>
          <w:sz w:val="24"/>
        </w:rPr>
        <w:t>3）发包人邮寄送达。</w:t>
      </w:r>
    </w:p>
    <w:p>
      <w:pPr>
        <w:spacing w:line="500" w:lineRule="exact"/>
        <w:ind w:firstLine="480" w:firstLineChars="200"/>
        <w:rPr>
          <w:rFonts w:hint="eastAsia" w:ascii="宋体" w:hAnsi="宋体" w:cs="Times New Roman"/>
          <w:color w:val="auto"/>
          <w:sz w:val="24"/>
        </w:rPr>
      </w:pPr>
      <w:r>
        <w:rPr>
          <w:rFonts w:hint="eastAsia" w:ascii="宋体" w:hAnsi="宋体" w:cs="Times New Roman"/>
          <w:color w:val="auto"/>
          <w:sz w:val="24"/>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spacing w:line="360" w:lineRule="auto"/>
        <w:ind w:firstLine="480" w:firstLineChars="200"/>
      </w:pPr>
      <w:r>
        <w:rPr>
          <w:rFonts w:hint="eastAsia" w:ascii="宋体" w:hAnsi="宋体"/>
          <w:sz w:val="24"/>
          <w:szCs w:val="24"/>
        </w:rPr>
        <w:t>35.3  不论本合同因何原因提前终止或解除时，承包人须返还发包人的预付款抵扣后的余额，若因承包人违约导致合同提前终止或解除的，承包人还须按合同总价10%向发包人支付违约金（若本合同已有条款约定的违约金高于本条规定的按该条执行）。</w:t>
      </w:r>
    </w:p>
    <w:p>
      <w:pPr>
        <w:snapToGrid w:val="0"/>
        <w:spacing w:line="500" w:lineRule="exact"/>
        <w:ind w:firstLine="397"/>
        <w:rPr>
          <w:rFonts w:ascii="宋体" w:hAnsi="宋体"/>
          <w:b/>
          <w:color w:val="auto"/>
          <w:sz w:val="24"/>
        </w:rPr>
      </w:pPr>
      <w:r>
        <w:rPr>
          <w:rFonts w:ascii="宋体" w:hAnsi="宋体"/>
          <w:b/>
          <w:color w:val="auto"/>
          <w:sz w:val="24"/>
        </w:rPr>
        <w:t>37</w:t>
      </w:r>
      <w:r>
        <w:rPr>
          <w:rFonts w:hint="eastAsia" w:ascii="宋体" w:hAnsi="宋体"/>
          <w:b/>
          <w:color w:val="auto"/>
          <w:sz w:val="24"/>
        </w:rPr>
        <w:t>、争议</w:t>
      </w:r>
    </w:p>
    <w:p>
      <w:pPr>
        <w:snapToGrid w:val="0"/>
        <w:spacing w:line="500" w:lineRule="exact"/>
        <w:ind w:firstLine="397"/>
        <w:rPr>
          <w:rFonts w:ascii="宋体" w:hAnsi="宋体"/>
          <w:color w:val="auto"/>
          <w:sz w:val="24"/>
        </w:rPr>
      </w:pPr>
      <w:r>
        <w:rPr>
          <w:rFonts w:ascii="宋体" w:hAnsi="宋体"/>
          <w:color w:val="auto"/>
          <w:sz w:val="24"/>
        </w:rPr>
        <w:t xml:space="preserve">37.1 </w:t>
      </w:r>
      <w:r>
        <w:rPr>
          <w:rFonts w:hint="eastAsia" w:ascii="宋体" w:hAnsi="宋体"/>
          <w:color w:val="auto"/>
          <w:szCs w:val="21"/>
          <w:u w:val="single"/>
        </w:rPr>
        <w:t>三</w:t>
      </w:r>
      <w:r>
        <w:rPr>
          <w:rFonts w:hint="eastAsia" w:ascii="宋体" w:hAnsi="宋体"/>
          <w:color w:val="auto"/>
          <w:sz w:val="24"/>
        </w:rPr>
        <w:t>方约定，在履行合同过程中产生争议时：</w:t>
      </w:r>
    </w:p>
    <w:p>
      <w:pPr>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）由</w:t>
      </w:r>
      <w:r>
        <w:rPr>
          <w:rFonts w:hint="eastAsia" w:ascii="宋体" w:hAnsi="宋体"/>
          <w:color w:val="auto"/>
          <w:szCs w:val="21"/>
          <w:u w:val="single"/>
        </w:rPr>
        <w:t>三</w:t>
      </w:r>
      <w:r>
        <w:rPr>
          <w:rFonts w:hint="eastAsia" w:ascii="宋体" w:hAnsi="宋体"/>
          <w:color w:val="auto"/>
          <w:sz w:val="24"/>
        </w:rPr>
        <w:t>方协商解决；</w:t>
      </w:r>
    </w:p>
    <w:p>
      <w:pPr>
        <w:snapToGrid w:val="0"/>
        <w:spacing w:line="50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）协商不成的，向</w:t>
      </w:r>
      <w:r>
        <w:rPr>
          <w:rFonts w:hint="eastAsia" w:ascii="宋体" w:hAnsi="宋体"/>
          <w:color w:val="auto"/>
          <w:sz w:val="24"/>
          <w:u w:val="single"/>
        </w:rPr>
        <w:t xml:space="preserve"> 工程所在地 </w:t>
      </w:r>
      <w:r>
        <w:rPr>
          <w:rFonts w:hint="eastAsia" w:ascii="宋体" w:hAnsi="宋体"/>
          <w:color w:val="auto"/>
          <w:sz w:val="24"/>
        </w:rPr>
        <w:t>人民法院提起诉讼。</w:t>
      </w:r>
    </w:p>
    <w:p>
      <w:pPr>
        <w:snapToGrid w:val="0"/>
        <w:spacing w:line="500" w:lineRule="exact"/>
        <w:ind w:firstLine="397"/>
        <w:rPr>
          <w:rFonts w:ascii="宋体" w:hAnsi="宋体"/>
          <w:b/>
          <w:color w:val="auto"/>
          <w:sz w:val="24"/>
        </w:rPr>
      </w:pPr>
      <w:r>
        <w:rPr>
          <w:rFonts w:hint="eastAsia" w:ascii="宋体" w:hAnsi="宋体"/>
          <w:b/>
          <w:color w:val="auto"/>
          <w:sz w:val="24"/>
        </w:rPr>
        <w:t>十一、其他</w:t>
      </w:r>
    </w:p>
    <w:p>
      <w:pPr>
        <w:snapToGrid w:val="0"/>
        <w:spacing w:line="500" w:lineRule="exact"/>
        <w:ind w:firstLine="397"/>
        <w:rPr>
          <w:rFonts w:ascii="宋体" w:hAnsi="宋体"/>
          <w:b/>
          <w:color w:val="auto"/>
          <w:sz w:val="24"/>
        </w:rPr>
      </w:pPr>
      <w:r>
        <w:rPr>
          <w:rFonts w:ascii="宋体" w:hAnsi="宋体"/>
          <w:b/>
          <w:color w:val="auto"/>
          <w:sz w:val="24"/>
        </w:rPr>
        <w:t>38</w:t>
      </w:r>
      <w:r>
        <w:rPr>
          <w:rFonts w:hint="eastAsia" w:ascii="宋体" w:hAnsi="宋体"/>
          <w:b/>
          <w:color w:val="auto"/>
          <w:sz w:val="24"/>
        </w:rPr>
        <w:t>、工程分包</w:t>
      </w:r>
    </w:p>
    <w:p>
      <w:pPr>
        <w:snapToGrid w:val="0"/>
        <w:spacing w:line="50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38.1 </w:t>
      </w:r>
      <w:r>
        <w:rPr>
          <w:rFonts w:hint="eastAsia" w:ascii="宋体" w:hAnsi="宋体"/>
          <w:color w:val="auto"/>
          <w:sz w:val="24"/>
        </w:rPr>
        <w:t>（1）本工程发包人同意承包人分包的工程：非主体非关键工程。承包人分包工程的，需先报发包人同意，分包合同签订后必须报发包人备案。承包人与分包单位签订的分包合同中应明确工人工资比例及支付期限。</w:t>
      </w:r>
    </w:p>
    <w:p>
      <w:pPr>
        <w:adjustRightInd w:val="0"/>
        <w:snapToGrid w:val="0"/>
        <w:spacing w:line="500" w:lineRule="exact"/>
        <w:ind w:firstLine="480" w:firstLineChars="200"/>
        <w:rPr>
          <w:rFonts w:ascii="宋体" w:hAnsi="宋体"/>
          <w:color w:val="auto"/>
          <w:sz w:val="24"/>
        </w:rPr>
      </w:pPr>
      <w:r>
        <w:rPr>
          <w:rFonts w:hint="eastAsia" w:ascii="宋体" w:hAnsi="宋体"/>
          <w:color w:val="auto"/>
          <w:sz w:val="24"/>
        </w:rPr>
        <w:t>（2）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pPr>
        <w:snapToGrid w:val="0"/>
        <w:spacing w:line="500" w:lineRule="exact"/>
        <w:ind w:firstLine="397"/>
        <w:rPr>
          <w:rFonts w:ascii="宋体" w:hAnsi="宋体"/>
          <w:b/>
          <w:color w:val="auto"/>
          <w:sz w:val="24"/>
        </w:rPr>
      </w:pPr>
      <w:r>
        <w:rPr>
          <w:rFonts w:ascii="宋体" w:hAnsi="宋体"/>
          <w:b/>
          <w:color w:val="auto"/>
          <w:sz w:val="24"/>
        </w:rPr>
        <w:t>39</w:t>
      </w:r>
      <w:r>
        <w:rPr>
          <w:rFonts w:hint="eastAsia" w:ascii="宋体" w:hAnsi="宋体"/>
          <w:b/>
          <w:color w:val="auto"/>
          <w:sz w:val="24"/>
        </w:rPr>
        <w:t>、不可抗力</w:t>
      </w:r>
    </w:p>
    <w:p>
      <w:pPr>
        <w:snapToGrid w:val="0"/>
        <w:spacing w:line="500" w:lineRule="exact"/>
        <w:ind w:firstLine="397"/>
        <w:rPr>
          <w:rFonts w:ascii="宋体" w:hAnsi="宋体"/>
          <w:color w:val="auto"/>
          <w:sz w:val="24"/>
        </w:rPr>
      </w:pPr>
      <w:r>
        <w:rPr>
          <w:rFonts w:ascii="宋体" w:hAnsi="宋体"/>
          <w:color w:val="auto"/>
          <w:sz w:val="24"/>
        </w:rPr>
        <w:t xml:space="preserve">39.1 </w:t>
      </w:r>
      <w:r>
        <w:rPr>
          <w:rFonts w:hint="eastAsia" w:ascii="宋体" w:hAnsi="宋体"/>
          <w:color w:val="auto"/>
          <w:szCs w:val="21"/>
          <w:u w:val="single"/>
        </w:rPr>
        <w:t>三</w:t>
      </w:r>
      <w:r>
        <w:rPr>
          <w:rFonts w:hint="eastAsia" w:ascii="宋体" w:hAnsi="宋体"/>
          <w:color w:val="auto"/>
          <w:sz w:val="24"/>
        </w:rPr>
        <w:t>方关于不可抗力的约定：</w:t>
      </w:r>
      <w:r>
        <w:rPr>
          <w:rFonts w:ascii="宋体" w:hAnsi="宋体"/>
          <w:color w:val="auto"/>
          <w:sz w:val="24"/>
        </w:rPr>
        <w:t xml:space="preserve"> </w:t>
      </w:r>
      <w:r>
        <w:rPr>
          <w:rFonts w:hint="eastAsia" w:ascii="宋体" w:hAnsi="宋体"/>
          <w:color w:val="auto"/>
          <w:sz w:val="24"/>
        </w:rPr>
        <w:t>按本合同通用条款执行。自然灾害的范围及其认定方式，按下述约定执行：</w:t>
      </w:r>
    </w:p>
    <w:p>
      <w:pPr>
        <w:snapToGrid w:val="0"/>
        <w:spacing w:line="500" w:lineRule="exact"/>
        <w:ind w:firstLine="397"/>
        <w:rPr>
          <w:rFonts w:ascii="宋体" w:hAnsi="宋体"/>
          <w:color w:val="auto"/>
          <w:sz w:val="24"/>
        </w:rPr>
      </w:pPr>
      <w:r>
        <w:rPr>
          <w:rFonts w:hint="eastAsia" w:ascii="宋体" w:hAnsi="宋体"/>
          <w:color w:val="auto"/>
          <w:sz w:val="24"/>
        </w:rPr>
        <w:t>（1）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pPr>
        <w:snapToGrid w:val="0"/>
        <w:spacing w:line="500" w:lineRule="exact"/>
        <w:ind w:firstLine="397"/>
        <w:rPr>
          <w:rFonts w:ascii="宋体" w:hAnsi="宋体"/>
          <w:color w:val="auto"/>
          <w:sz w:val="24"/>
        </w:rPr>
      </w:pPr>
      <w:r>
        <w:rPr>
          <w:rFonts w:hint="eastAsia" w:ascii="宋体" w:hAnsi="宋体"/>
          <w:color w:val="auto"/>
          <w:sz w:val="24"/>
        </w:rPr>
        <w:t>（2）里氏5级（含本数）以上地震。</w:t>
      </w:r>
    </w:p>
    <w:p>
      <w:pPr>
        <w:snapToGrid w:val="0"/>
        <w:spacing w:line="500" w:lineRule="exact"/>
        <w:ind w:firstLine="397"/>
        <w:rPr>
          <w:rFonts w:ascii="宋体" w:hAnsi="宋体"/>
          <w:color w:val="auto"/>
          <w:sz w:val="24"/>
          <w:u w:val="single"/>
        </w:rPr>
      </w:pPr>
      <w:r>
        <w:rPr>
          <w:rFonts w:hint="eastAsia" w:ascii="宋体" w:hAnsi="宋体"/>
          <w:color w:val="auto"/>
          <w:sz w:val="24"/>
        </w:rPr>
        <w:t>39.3</w:t>
      </w:r>
      <w:r>
        <w:rPr>
          <w:rFonts w:hint="eastAsia" w:ascii="宋体" w:hAnsi="宋体"/>
          <w:color w:val="auto"/>
          <w:szCs w:val="21"/>
          <w:u w:val="single"/>
        </w:rPr>
        <w:t>三</w:t>
      </w:r>
      <w:r>
        <w:rPr>
          <w:rFonts w:hint="eastAsia" w:ascii="宋体" w:hAnsi="宋体"/>
          <w:color w:val="auto"/>
          <w:sz w:val="24"/>
        </w:rPr>
        <w:t>方关于不可抗力事件导致的</w:t>
      </w:r>
      <w:r>
        <w:rPr>
          <w:rFonts w:hint="eastAsia" w:ascii="宋体" w:hAnsi="宋体"/>
          <w:color w:val="auto"/>
          <w:sz w:val="24"/>
          <w:u w:val="single"/>
        </w:rPr>
        <w:t>费用承担按本专用条款12.3款约定执行。</w:t>
      </w:r>
    </w:p>
    <w:p>
      <w:pPr>
        <w:snapToGrid w:val="0"/>
        <w:spacing w:line="500" w:lineRule="exact"/>
        <w:ind w:firstLine="397"/>
        <w:rPr>
          <w:rFonts w:ascii="宋体" w:hAnsi="宋体"/>
          <w:b/>
          <w:color w:val="auto"/>
          <w:sz w:val="24"/>
        </w:rPr>
      </w:pPr>
      <w:r>
        <w:rPr>
          <w:rFonts w:ascii="宋体" w:hAnsi="宋体"/>
          <w:b/>
          <w:color w:val="auto"/>
          <w:sz w:val="24"/>
        </w:rPr>
        <w:t>40</w:t>
      </w:r>
      <w:r>
        <w:rPr>
          <w:rFonts w:hint="eastAsia" w:ascii="宋体" w:hAnsi="宋体"/>
          <w:b/>
          <w:color w:val="auto"/>
          <w:sz w:val="24"/>
        </w:rPr>
        <w:t>、保险</w:t>
      </w:r>
    </w:p>
    <w:p>
      <w:pPr>
        <w:snapToGrid w:val="0"/>
        <w:spacing w:line="500" w:lineRule="exact"/>
        <w:ind w:firstLine="397"/>
        <w:rPr>
          <w:rFonts w:ascii="宋体" w:hAnsi="宋体"/>
          <w:color w:val="auto"/>
          <w:sz w:val="24"/>
        </w:rPr>
      </w:pPr>
      <w:r>
        <w:rPr>
          <w:rFonts w:hint="eastAsia" w:ascii="宋体" w:hAnsi="宋体"/>
          <w:color w:val="auto"/>
          <w:sz w:val="24"/>
        </w:rPr>
        <w:t>40.2承包人对其运至施工场地内用于工程的材料和待安装设备办理保险并支付保险费用。</w:t>
      </w:r>
    </w:p>
    <w:p>
      <w:pPr>
        <w:snapToGrid w:val="0"/>
        <w:spacing w:line="500" w:lineRule="exact"/>
        <w:ind w:firstLine="397"/>
        <w:rPr>
          <w:rFonts w:ascii="宋体" w:hAnsi="宋体"/>
          <w:color w:val="auto"/>
          <w:sz w:val="24"/>
        </w:rPr>
      </w:pPr>
      <w:r>
        <w:rPr>
          <w:rFonts w:ascii="宋体" w:hAnsi="宋体"/>
          <w:color w:val="auto"/>
          <w:sz w:val="24"/>
        </w:rPr>
        <w:t xml:space="preserve">40.6 </w:t>
      </w:r>
      <w:r>
        <w:rPr>
          <w:rFonts w:hint="eastAsia" w:ascii="宋体" w:hAnsi="宋体"/>
          <w:color w:val="auto"/>
          <w:sz w:val="24"/>
        </w:rPr>
        <w:t>本工程</w:t>
      </w:r>
      <w:r>
        <w:rPr>
          <w:rFonts w:hint="eastAsia" w:ascii="宋体" w:hAnsi="宋体"/>
          <w:color w:val="auto"/>
          <w:szCs w:val="21"/>
          <w:u w:val="single"/>
        </w:rPr>
        <w:t>三</w:t>
      </w:r>
      <w:r>
        <w:rPr>
          <w:rFonts w:hint="eastAsia" w:ascii="宋体" w:hAnsi="宋体"/>
          <w:color w:val="auto"/>
          <w:sz w:val="24"/>
        </w:rPr>
        <w:t>方约定投保内容如下</w:t>
      </w:r>
    </w:p>
    <w:p>
      <w:pPr>
        <w:tabs>
          <w:tab w:val="left" w:pos="960"/>
          <w:tab w:val="left" w:pos="1080"/>
        </w:tabs>
        <w:snapToGrid w:val="0"/>
        <w:spacing w:line="500" w:lineRule="exact"/>
        <w:ind w:left="397" w:firstLine="397"/>
        <w:rPr>
          <w:rFonts w:ascii="宋体" w:hAnsi="宋体"/>
          <w:color w:val="auto"/>
          <w:sz w:val="24"/>
          <w:u w:val="single"/>
        </w:rPr>
      </w:pPr>
      <w:r>
        <w:rPr>
          <w:rFonts w:hint="eastAsia" w:ascii="宋体" w:hAnsi="宋体"/>
          <w:color w:val="auto"/>
          <w:sz w:val="24"/>
        </w:rPr>
        <w:t>（一）发包人投保内容：</w:t>
      </w:r>
      <w:r>
        <w:rPr>
          <w:rFonts w:hint="eastAsia" w:ascii="宋体" w:hAnsi="宋体"/>
          <w:color w:val="auto"/>
          <w:sz w:val="24"/>
          <w:u w:val="single"/>
        </w:rPr>
        <w:t>按广州市建设项目劳动保险相关规定投保</w:t>
      </w:r>
      <w:r>
        <w:rPr>
          <w:rFonts w:hint="eastAsia" w:ascii="宋体" w:hAnsi="宋体"/>
          <w:color w:val="auto"/>
          <w:sz w:val="24"/>
        </w:rPr>
        <w:t>。</w:t>
      </w:r>
    </w:p>
    <w:p>
      <w:pPr>
        <w:snapToGrid w:val="0"/>
        <w:spacing w:line="500" w:lineRule="exact"/>
        <w:ind w:firstLine="480" w:firstLineChars="200"/>
        <w:rPr>
          <w:rFonts w:ascii="宋体" w:hAnsi="宋体"/>
          <w:color w:val="auto"/>
          <w:sz w:val="24"/>
        </w:rPr>
      </w:pPr>
      <w:r>
        <w:rPr>
          <w:rFonts w:hint="eastAsia" w:ascii="宋体" w:hAnsi="宋体"/>
          <w:color w:val="auto"/>
          <w:sz w:val="24"/>
        </w:rPr>
        <w:t>发包人委托承包人办理的保险事项：</w:t>
      </w:r>
      <w:r>
        <w:rPr>
          <w:rFonts w:ascii="宋体" w:hAnsi="宋体"/>
          <w:color w:val="auto"/>
          <w:sz w:val="24"/>
          <w:u w:val="single"/>
        </w:rPr>
        <w:t xml:space="preserve">       /   </w:t>
      </w:r>
      <w:r>
        <w:rPr>
          <w:rFonts w:hint="eastAsia" w:ascii="宋体" w:hAnsi="宋体"/>
          <w:color w:val="auto"/>
          <w:sz w:val="24"/>
          <w:u w:val="single"/>
        </w:rPr>
        <w:t xml:space="preserve">        </w:t>
      </w:r>
      <w:r>
        <w:rPr>
          <w:rFonts w:hint="eastAsia" w:ascii="宋体" w:hAnsi="宋体"/>
          <w:color w:val="auto"/>
          <w:sz w:val="24"/>
        </w:rPr>
        <w:t>。</w:t>
      </w:r>
    </w:p>
    <w:p>
      <w:pPr>
        <w:tabs>
          <w:tab w:val="left" w:pos="960"/>
          <w:tab w:val="left" w:pos="1080"/>
        </w:tabs>
        <w:snapToGrid w:val="0"/>
        <w:spacing w:line="500" w:lineRule="exact"/>
        <w:ind w:left="397" w:firstLine="397"/>
        <w:rPr>
          <w:rFonts w:ascii="宋体" w:hAnsi="宋体"/>
          <w:color w:val="auto"/>
          <w:sz w:val="24"/>
          <w:u w:val="single"/>
        </w:rPr>
      </w:pPr>
      <w:r>
        <w:rPr>
          <w:rFonts w:hint="eastAsia" w:ascii="宋体" w:hAnsi="宋体"/>
          <w:color w:val="auto"/>
          <w:sz w:val="24"/>
        </w:rPr>
        <w:t>（二）承包人投保内容：</w:t>
      </w:r>
      <w:r>
        <w:rPr>
          <w:rFonts w:hint="eastAsia" w:ascii="宋体" w:hAnsi="宋体"/>
          <w:color w:val="auto"/>
          <w:sz w:val="24"/>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p>
    <w:p>
      <w:pPr>
        <w:snapToGrid w:val="0"/>
        <w:spacing w:line="440" w:lineRule="exact"/>
        <w:ind w:firstLine="397"/>
        <w:rPr>
          <w:rFonts w:ascii="宋体" w:hAnsi="宋体"/>
          <w:b/>
          <w:color w:val="auto"/>
          <w:sz w:val="24"/>
        </w:rPr>
      </w:pPr>
      <w:r>
        <w:rPr>
          <w:rFonts w:ascii="宋体" w:hAnsi="宋体"/>
          <w:b/>
          <w:color w:val="auto"/>
          <w:sz w:val="24"/>
        </w:rPr>
        <w:t>41</w:t>
      </w:r>
      <w:r>
        <w:rPr>
          <w:rFonts w:hint="eastAsia" w:ascii="宋体" w:hAnsi="宋体"/>
          <w:b/>
          <w:color w:val="auto"/>
          <w:sz w:val="24"/>
        </w:rPr>
        <w:t>、担保</w:t>
      </w:r>
    </w:p>
    <w:p>
      <w:pPr>
        <w:snapToGrid w:val="0"/>
        <w:spacing w:line="440" w:lineRule="exact"/>
        <w:ind w:firstLine="397"/>
        <w:rPr>
          <w:rFonts w:ascii="宋体" w:hAnsi="宋体"/>
          <w:color w:val="auto"/>
          <w:sz w:val="24"/>
        </w:rPr>
      </w:pPr>
      <w:r>
        <w:rPr>
          <w:rFonts w:ascii="宋体" w:hAnsi="宋体"/>
          <w:color w:val="auto"/>
          <w:sz w:val="24"/>
        </w:rPr>
        <w:t>41.1</w:t>
      </w:r>
      <w:r>
        <w:rPr>
          <w:rFonts w:hint="eastAsia" w:ascii="宋体" w:hAnsi="宋体"/>
          <w:color w:val="auto"/>
          <w:sz w:val="24"/>
        </w:rPr>
        <w:t>本工程</w:t>
      </w:r>
      <w:r>
        <w:rPr>
          <w:rFonts w:hint="eastAsia" w:ascii="宋体" w:hAnsi="宋体"/>
          <w:color w:val="auto"/>
          <w:szCs w:val="21"/>
          <w:u w:val="single"/>
        </w:rPr>
        <w:t>三</w:t>
      </w:r>
      <w:r>
        <w:rPr>
          <w:rFonts w:hint="eastAsia" w:ascii="宋体" w:hAnsi="宋体"/>
          <w:color w:val="auto"/>
          <w:sz w:val="24"/>
        </w:rPr>
        <w:t>方约定担保事项如下：</w:t>
      </w:r>
    </w:p>
    <w:p>
      <w:pPr>
        <w:snapToGrid w:val="0"/>
        <w:spacing w:line="44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发包人向承包人提供履约担保，担保方式为：</w:t>
      </w:r>
      <w:r>
        <w:rPr>
          <w:rFonts w:ascii="宋体" w:hAnsi="宋体"/>
          <w:color w:val="auto"/>
          <w:sz w:val="24"/>
          <w:u w:val="single"/>
        </w:rPr>
        <w:t xml:space="preserve">   /   </w:t>
      </w:r>
      <w:r>
        <w:rPr>
          <w:rFonts w:hint="eastAsia" w:ascii="宋体" w:hAnsi="宋体"/>
          <w:color w:val="auto"/>
          <w:sz w:val="24"/>
        </w:rPr>
        <w:t>，担保合同作为本合同附件。</w:t>
      </w:r>
    </w:p>
    <w:p>
      <w:pPr>
        <w:snapToGrid w:val="0"/>
        <w:spacing w:line="440" w:lineRule="exact"/>
        <w:ind w:firstLine="397"/>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承包人按如下方式向发包人提供履约担保：</w:t>
      </w:r>
    </w:p>
    <w:p>
      <w:pPr>
        <w:snapToGrid w:val="0"/>
        <w:spacing w:line="440" w:lineRule="exact"/>
        <w:ind w:firstLine="480" w:firstLineChars="200"/>
        <w:rPr>
          <w:rFonts w:ascii="宋体" w:hAnsi="宋体"/>
          <w:color w:val="auto"/>
          <w:sz w:val="24"/>
        </w:rPr>
      </w:pPr>
      <w:r>
        <w:rPr>
          <w:rFonts w:hint="eastAsia" w:ascii="宋体" w:hAnsi="宋体"/>
          <w:color w:val="auto"/>
          <w:sz w:val="24"/>
        </w:rPr>
        <w:t>① 履约担保：</w:t>
      </w:r>
      <w:r>
        <w:rPr>
          <w:rFonts w:hint="eastAsia" w:ascii="宋体" w:hAnsi="宋体"/>
          <w:color w:val="auto"/>
          <w:sz w:val="24"/>
          <w:u w:val="single"/>
        </w:rPr>
        <w:t>承包人向发包人提交担保金额为中标价</w:t>
      </w:r>
      <w:r>
        <w:rPr>
          <w:rFonts w:ascii="宋体" w:hAnsi="宋体"/>
          <w:color w:val="auto"/>
          <w:sz w:val="24"/>
          <w:u w:val="single"/>
        </w:rPr>
        <w:t>10%</w:t>
      </w:r>
      <w:r>
        <w:rPr>
          <w:rFonts w:hint="eastAsia" w:ascii="宋体" w:hAnsi="宋体"/>
          <w:color w:val="auto"/>
          <w:sz w:val="24"/>
          <w:u w:val="single"/>
        </w:rPr>
        <w:t>的履约担保，以银行保函形式提交。履约担保为银行保函的，须广州市内分行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hint="eastAsia" w:ascii="宋体" w:hAnsi="宋体"/>
          <w:color w:val="auto"/>
          <w:sz w:val="24"/>
        </w:rPr>
        <w:t>。</w:t>
      </w:r>
    </w:p>
    <w:p>
      <w:pPr>
        <w:snapToGrid w:val="0"/>
        <w:spacing w:line="440" w:lineRule="exact"/>
        <w:ind w:firstLine="338" w:firstLineChars="141"/>
        <w:rPr>
          <w:rFonts w:ascii="宋体" w:hAnsi="宋体"/>
          <w:color w:val="auto"/>
          <w:sz w:val="24"/>
        </w:rPr>
      </w:pPr>
      <w:r>
        <w:rPr>
          <w:rFonts w:hint="eastAsia" w:ascii="宋体" w:hAnsi="宋体"/>
          <w:color w:val="auto"/>
          <w:sz w:val="24"/>
        </w:rPr>
        <w:t>首次办理履约保函，如合同工期低于1年的，担保期限可按合同工期，如合同工期高于1年的，担保期限不低于1年。</w:t>
      </w:r>
    </w:p>
    <w:p>
      <w:pPr>
        <w:snapToGrid w:val="0"/>
        <w:spacing w:line="440" w:lineRule="exact"/>
        <w:ind w:firstLine="338" w:firstLineChars="141"/>
        <w:rPr>
          <w:rFonts w:ascii="宋体" w:hAnsi="宋体"/>
          <w:color w:val="auto"/>
          <w:sz w:val="24"/>
        </w:rPr>
      </w:pPr>
      <w:r>
        <w:rPr>
          <w:rFonts w:hint="eastAsia" w:ascii="宋体" w:hAnsi="宋体"/>
          <w:color w:val="auto"/>
          <w:sz w:val="24"/>
        </w:rPr>
        <w:t>履约保函</w:t>
      </w:r>
      <w:r>
        <w:rPr>
          <w:rFonts w:hint="eastAsia" w:ascii="宋体" w:hAnsi="宋体"/>
          <w:color w:val="auto"/>
          <w:sz w:val="24"/>
          <w:u w:val="single"/>
        </w:rPr>
        <w:t>办理延期手续</w:t>
      </w:r>
      <w:r>
        <w:rPr>
          <w:rFonts w:hint="eastAsia" w:ascii="宋体" w:hAnsi="宋体"/>
          <w:color w:val="auto"/>
          <w:sz w:val="24"/>
        </w:rPr>
        <w:t>时，若项目的完成工程量不足一半，担保金额按中标价的10%；若项目的完成工程量超过一半，担保金额可按中标价的5%；其他特殊情况需调整的，需报发包人审议同意。</w:t>
      </w:r>
    </w:p>
    <w:p>
      <w:pPr>
        <w:snapToGrid w:val="0"/>
        <w:spacing w:line="440" w:lineRule="exact"/>
        <w:ind w:firstLine="480" w:firstLineChars="200"/>
        <w:rPr>
          <w:rFonts w:ascii="宋体" w:hAnsi="宋体"/>
          <w:color w:val="auto"/>
          <w:sz w:val="24"/>
          <w:u w:val="single"/>
        </w:rPr>
      </w:pPr>
      <w:r>
        <w:rPr>
          <w:rFonts w:hint="eastAsia" w:ascii="宋体" w:hAnsi="宋体"/>
          <w:color w:val="auto"/>
          <w:sz w:val="24"/>
        </w:rPr>
        <w:t>② 履约担保的返还方式：</w:t>
      </w:r>
      <w:r>
        <w:rPr>
          <w:rFonts w:ascii="宋体" w:hAnsi="宋体"/>
          <w:color w:val="auto"/>
          <w:sz w:val="24"/>
          <w:u w:val="single"/>
        </w:rPr>
        <w:t>履约担保为银行保函的，在工程验收合格</w:t>
      </w:r>
      <w:r>
        <w:rPr>
          <w:rFonts w:hint="eastAsia" w:ascii="宋体" w:hAnsi="宋体"/>
          <w:color w:val="auto"/>
          <w:sz w:val="24"/>
          <w:u w:val="single"/>
        </w:rPr>
        <w:t>后返还承包人</w:t>
      </w:r>
      <w:r>
        <w:rPr>
          <w:rFonts w:hint="eastAsia" w:ascii="宋体" w:hAnsi="宋体"/>
          <w:color w:val="auto"/>
          <w:sz w:val="24"/>
        </w:rPr>
        <w:t>。</w:t>
      </w:r>
    </w:p>
    <w:p>
      <w:pPr>
        <w:snapToGrid w:val="0"/>
        <w:spacing w:line="440" w:lineRule="exact"/>
        <w:ind w:firstLine="480" w:firstLineChars="200"/>
        <w:rPr>
          <w:rFonts w:hint="eastAsia" w:ascii="宋体" w:hAnsi="宋体" w:cs="Times New Roman"/>
          <w:color w:val="auto"/>
          <w:sz w:val="24"/>
        </w:rPr>
      </w:pPr>
      <w:r>
        <w:rPr>
          <w:rFonts w:hint="eastAsia" w:ascii="宋体" w:hAnsi="宋体" w:cs="Times New Roman"/>
          <w:color w:val="auto"/>
          <w:sz w:val="24"/>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500" w:lineRule="exact"/>
        <w:ind w:firstLine="397"/>
        <w:rPr>
          <w:rFonts w:ascii="宋体" w:hAnsi="宋体"/>
          <w:b/>
          <w:color w:val="auto"/>
          <w:sz w:val="24"/>
        </w:rPr>
      </w:pPr>
      <w:r>
        <w:rPr>
          <w:rFonts w:ascii="宋体" w:hAnsi="宋体"/>
          <w:b/>
          <w:color w:val="auto"/>
          <w:sz w:val="24"/>
        </w:rPr>
        <w:t>46</w:t>
      </w:r>
      <w:r>
        <w:rPr>
          <w:rFonts w:hint="eastAsia" w:ascii="宋体" w:hAnsi="宋体"/>
          <w:b/>
          <w:color w:val="auto"/>
          <w:sz w:val="24"/>
        </w:rPr>
        <w:t>、合同份数</w:t>
      </w:r>
    </w:p>
    <w:p>
      <w:pPr>
        <w:snapToGrid w:val="0"/>
        <w:spacing w:line="500" w:lineRule="exact"/>
        <w:ind w:firstLine="397"/>
        <w:rPr>
          <w:rFonts w:ascii="宋体" w:hAnsi="宋体"/>
          <w:color w:val="auto"/>
          <w:sz w:val="24"/>
          <w:u w:val="single"/>
        </w:rPr>
      </w:pPr>
      <w:r>
        <w:rPr>
          <w:rFonts w:ascii="宋体" w:hAnsi="宋体"/>
          <w:color w:val="auto"/>
          <w:sz w:val="24"/>
        </w:rPr>
        <w:t xml:space="preserve">46.1 </w:t>
      </w:r>
      <w:r>
        <w:rPr>
          <w:rFonts w:hint="eastAsia" w:ascii="宋体" w:hAnsi="宋体"/>
          <w:color w:val="auto"/>
          <w:szCs w:val="21"/>
          <w:u w:val="single"/>
        </w:rPr>
        <w:t>三</w:t>
      </w:r>
      <w:r>
        <w:rPr>
          <w:rFonts w:hint="eastAsia" w:ascii="宋体" w:hAnsi="宋体"/>
          <w:color w:val="auto"/>
          <w:sz w:val="24"/>
        </w:rPr>
        <w:t>方约定合同正副本份数：</w:t>
      </w:r>
      <w:r>
        <w:rPr>
          <w:rFonts w:hint="eastAsia" w:ascii="宋体" w:hAnsi="宋体"/>
          <w:color w:val="auto"/>
          <w:sz w:val="24"/>
          <w:u w:val="single"/>
        </w:rPr>
        <w:t>共拾伍份，正本一式叁份，发包人、项目建设管理单位、承包人各执壹份；副本共拾贰份，发包人肆份，项目建设管理单位肆份、承包人叁份，监理人壹份。</w:t>
      </w:r>
    </w:p>
    <w:p>
      <w:pPr>
        <w:spacing w:line="500" w:lineRule="exact"/>
        <w:ind w:firstLine="397"/>
        <w:rPr>
          <w:rFonts w:ascii="宋体" w:hAnsi="宋体"/>
          <w:b/>
          <w:color w:val="auto"/>
          <w:sz w:val="24"/>
        </w:rPr>
      </w:pPr>
      <w:r>
        <w:rPr>
          <w:rFonts w:ascii="宋体" w:hAnsi="宋体"/>
          <w:b/>
          <w:color w:val="auto"/>
          <w:sz w:val="24"/>
        </w:rPr>
        <w:t>47</w:t>
      </w:r>
      <w:r>
        <w:rPr>
          <w:rFonts w:hint="eastAsia" w:ascii="宋体" w:hAnsi="宋体"/>
          <w:b/>
          <w:color w:val="auto"/>
          <w:sz w:val="24"/>
        </w:rPr>
        <w:t>、补充条款</w:t>
      </w:r>
    </w:p>
    <w:p>
      <w:pPr>
        <w:spacing w:line="50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hint="eastAsia" w:ascii="仿宋_GB2312" w:hAnsi="宋体" w:eastAsia="仿宋_GB2312"/>
          <w:b/>
          <w:color w:val="auto"/>
          <w:sz w:val="24"/>
        </w:rPr>
        <w:t>安全、文明、科学、规范的施工要求</w:t>
      </w:r>
      <w:r>
        <w:rPr>
          <w:rFonts w:hint="eastAsia" w:ascii="仿宋_GB2312" w:hAnsi="宋体" w:eastAsia="仿宋_GB2312"/>
          <w:color w:val="auto"/>
          <w:sz w:val="24"/>
        </w:rPr>
        <w:t>）</w:t>
      </w:r>
    </w:p>
    <w:p>
      <w:pPr>
        <w:spacing w:line="500" w:lineRule="exact"/>
        <w:ind w:firstLine="480" w:firstLineChars="200"/>
        <w:rPr>
          <w:rFonts w:ascii="宋体" w:hAnsi="宋体"/>
          <w:color w:val="auto"/>
          <w:sz w:val="24"/>
          <w:u w:val="single"/>
        </w:rPr>
      </w:pPr>
      <w:r>
        <w:rPr>
          <w:rFonts w:hint="eastAsia" w:ascii="宋体" w:hAnsi="宋体"/>
          <w:color w:val="auto"/>
          <w:sz w:val="24"/>
        </w:rPr>
        <w:t>47.1</w:t>
      </w:r>
      <w:r>
        <w:rPr>
          <w:rFonts w:hint="eastAsia" w:ascii="宋体" w:hAnsi="宋体"/>
          <w:color w:val="auto"/>
          <w:sz w:val="24"/>
          <w:u w:val="single"/>
        </w:rPr>
        <w:t>承包人在开工前，必须按照广州市、开发区有关要求办理好相应的施工手续方可开工。</w:t>
      </w:r>
    </w:p>
    <w:p>
      <w:pPr>
        <w:spacing w:line="500" w:lineRule="exact"/>
        <w:ind w:firstLine="480" w:firstLineChars="200"/>
        <w:rPr>
          <w:rFonts w:ascii="宋体" w:hAnsi="宋体"/>
          <w:color w:val="auto"/>
          <w:sz w:val="24"/>
          <w:u w:val="single"/>
        </w:rPr>
      </w:pPr>
      <w:r>
        <w:rPr>
          <w:rFonts w:hint="eastAsia" w:ascii="宋体" w:hAnsi="宋体"/>
          <w:color w:val="auto"/>
          <w:sz w:val="24"/>
        </w:rPr>
        <w:t>47.2</w:t>
      </w:r>
      <w:r>
        <w:rPr>
          <w:rFonts w:hint="eastAsia" w:ascii="宋体" w:hAnsi="宋体"/>
          <w:color w:val="auto"/>
          <w:sz w:val="24"/>
          <w:u w:val="single"/>
        </w:rPr>
        <w:t>施工范围的具体位置及可交付承包人施工安排的用地范围，由承包人根据现场勘察情况报发包人同意确定，建筑轴线控制基点由承包人联系规划局提供。</w:t>
      </w:r>
    </w:p>
    <w:p>
      <w:pPr>
        <w:spacing w:line="500" w:lineRule="exact"/>
        <w:ind w:firstLine="480" w:firstLineChars="200"/>
        <w:rPr>
          <w:rFonts w:ascii="宋体" w:hAnsi="宋体"/>
          <w:color w:val="auto"/>
          <w:sz w:val="24"/>
          <w:u w:val="single"/>
        </w:rPr>
      </w:pPr>
      <w:r>
        <w:rPr>
          <w:rFonts w:hint="eastAsia" w:ascii="宋体" w:hAnsi="宋体"/>
          <w:color w:val="auto"/>
          <w:sz w:val="24"/>
        </w:rPr>
        <w:t>47.3</w:t>
      </w:r>
      <w:r>
        <w:rPr>
          <w:rFonts w:hint="eastAsia" w:ascii="宋体" w:hAnsi="宋体"/>
          <w:color w:val="auto"/>
          <w:sz w:val="24"/>
          <w:u w:val="single"/>
        </w:rPr>
        <w:t>承包人必须保证在收到中标通知书后五天内进场</w:t>
      </w:r>
      <w:r>
        <w:rPr>
          <w:rFonts w:hint="eastAsia" w:ascii="宋体" w:hAnsi="宋体"/>
          <w:color w:val="auto"/>
          <w:sz w:val="24"/>
          <w:u w:val="single"/>
          <w:lang w:eastAsia="zh-CN"/>
        </w:rPr>
        <w:t>做好</w:t>
      </w:r>
      <w:r>
        <w:rPr>
          <w:rFonts w:hint="eastAsia" w:ascii="宋体" w:hAnsi="宋体"/>
          <w:color w:val="auto"/>
          <w:sz w:val="24"/>
          <w:u w:val="single"/>
        </w:rPr>
        <w:t>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pPr>
        <w:spacing w:line="500" w:lineRule="exact"/>
        <w:ind w:firstLine="480" w:firstLineChars="200"/>
        <w:rPr>
          <w:rFonts w:ascii="宋体" w:hAnsi="宋体"/>
          <w:color w:val="auto"/>
          <w:sz w:val="24"/>
        </w:rPr>
      </w:pPr>
      <w:r>
        <w:rPr>
          <w:rFonts w:hint="eastAsia" w:ascii="宋体" w:hAnsi="宋体"/>
          <w:color w:val="auto"/>
          <w:sz w:val="24"/>
        </w:rPr>
        <w:t>47.4</w:t>
      </w:r>
      <w:r>
        <w:rPr>
          <w:rFonts w:hint="eastAsia" w:ascii="宋体" w:hAnsi="宋体"/>
          <w:color w:val="auto"/>
          <w:sz w:val="24"/>
          <w:u w:val="single"/>
        </w:rPr>
        <w:t>承包人在施工期间要确保工程外场地清洁及道路畅通，如须使用他方道路，则还必须负责养护、保洁责任，否则责任自负。施工和警示标志明显，因施工造成人身损害和财产损失的，由承包人承担</w:t>
      </w:r>
      <w:r>
        <w:rPr>
          <w:rFonts w:hint="eastAsia" w:ascii="宋体" w:hAnsi="宋体"/>
          <w:color w:val="auto"/>
          <w:sz w:val="24"/>
        </w:rPr>
        <w:t>责任。</w:t>
      </w:r>
    </w:p>
    <w:p>
      <w:pPr>
        <w:spacing w:line="500" w:lineRule="exact"/>
        <w:ind w:firstLine="480" w:firstLineChars="200"/>
        <w:rPr>
          <w:rFonts w:ascii="宋体" w:hAnsi="宋体"/>
          <w:color w:val="auto"/>
          <w:sz w:val="24"/>
          <w:u w:val="single"/>
        </w:rPr>
      </w:pPr>
      <w:r>
        <w:rPr>
          <w:rFonts w:hint="eastAsia" w:ascii="宋体" w:hAnsi="宋体"/>
          <w:color w:val="auto"/>
          <w:sz w:val="24"/>
        </w:rPr>
        <w:t>47.5</w:t>
      </w:r>
      <w:r>
        <w:rPr>
          <w:rFonts w:hint="eastAsia" w:ascii="宋体" w:hAnsi="宋体"/>
          <w:color w:val="auto"/>
          <w:sz w:val="24"/>
          <w:u w:val="single"/>
        </w:rPr>
        <w:t>承包人必须考虑安全、环保等因素在局部施工范围进行围蔽施工，现场围蔽不符合国家有关安全措施及技术要求的，不得开展施工作业，由此造成的工期延长，由承包人自己负责，当作延误工期处理。</w:t>
      </w:r>
    </w:p>
    <w:p>
      <w:pPr>
        <w:spacing w:line="500" w:lineRule="exact"/>
        <w:ind w:firstLine="480" w:firstLineChars="200"/>
        <w:rPr>
          <w:rFonts w:ascii="宋体" w:hAnsi="宋体"/>
          <w:color w:val="auto"/>
          <w:sz w:val="24"/>
          <w:u w:val="single"/>
        </w:rPr>
      </w:pPr>
      <w:r>
        <w:rPr>
          <w:rFonts w:hint="eastAsia" w:ascii="宋体" w:hAnsi="宋体"/>
          <w:color w:val="auto"/>
          <w:sz w:val="24"/>
        </w:rPr>
        <w:t>47.6</w:t>
      </w:r>
      <w:r>
        <w:rPr>
          <w:rFonts w:hint="eastAsia" w:ascii="宋体" w:hAnsi="宋体"/>
          <w:color w:val="auto"/>
          <w:sz w:val="24"/>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500" w:lineRule="exact"/>
        <w:ind w:firstLine="480" w:firstLineChars="200"/>
        <w:rPr>
          <w:rFonts w:ascii="宋体" w:hAnsi="宋体"/>
          <w:color w:val="auto"/>
          <w:sz w:val="24"/>
          <w:u w:val="single"/>
        </w:rPr>
      </w:pPr>
      <w:r>
        <w:rPr>
          <w:rFonts w:hint="eastAsia" w:ascii="宋体" w:hAnsi="宋体"/>
          <w:color w:val="auto"/>
          <w:sz w:val="24"/>
        </w:rPr>
        <w:t>47.7</w:t>
      </w:r>
      <w:r>
        <w:rPr>
          <w:rFonts w:hint="eastAsia" w:ascii="宋体" w:hAnsi="宋体"/>
          <w:color w:val="auto"/>
          <w:sz w:val="24"/>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p>
    <w:p>
      <w:pPr>
        <w:spacing w:line="500" w:lineRule="exact"/>
        <w:ind w:firstLine="480" w:firstLineChars="200"/>
        <w:rPr>
          <w:rFonts w:ascii="宋体" w:hAnsi="宋体"/>
          <w:color w:val="auto"/>
          <w:sz w:val="24"/>
          <w:u w:val="single"/>
        </w:rPr>
      </w:pPr>
      <w:r>
        <w:rPr>
          <w:rFonts w:hint="eastAsia" w:ascii="宋体" w:hAnsi="宋体"/>
          <w:color w:val="auto"/>
          <w:sz w:val="24"/>
        </w:rPr>
        <w:t>47.8</w:t>
      </w:r>
      <w:r>
        <w:rPr>
          <w:rFonts w:hint="eastAsia" w:ascii="宋体" w:hAnsi="宋体"/>
          <w:color w:val="auto"/>
          <w:sz w:val="24"/>
          <w:u w:val="single"/>
        </w:rPr>
        <w:t>若遇阻碍施工需拆迁的旧建（构）筑物、地下孤石等障碍物，由承包人负责清障，所需清障费用经监理、发包人现场签证调整。</w:t>
      </w:r>
    </w:p>
    <w:p>
      <w:pPr>
        <w:spacing w:line="500" w:lineRule="exact"/>
        <w:ind w:firstLine="480" w:firstLineChars="200"/>
        <w:rPr>
          <w:rFonts w:ascii="宋体" w:hAnsi="宋体"/>
          <w:color w:val="auto"/>
          <w:sz w:val="24"/>
        </w:rPr>
      </w:pPr>
      <w:r>
        <w:rPr>
          <w:rFonts w:hint="eastAsia" w:ascii="宋体" w:hAnsi="宋体"/>
          <w:color w:val="auto"/>
          <w:sz w:val="24"/>
        </w:rPr>
        <w:t>47.9</w:t>
      </w:r>
      <w:r>
        <w:rPr>
          <w:rFonts w:hint="eastAsia" w:ascii="宋体" w:hAnsi="宋体"/>
          <w:color w:val="auto"/>
          <w:sz w:val="24"/>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p>
    <w:p>
      <w:pPr>
        <w:spacing w:line="500" w:lineRule="exact"/>
        <w:ind w:firstLine="480" w:firstLineChars="200"/>
        <w:rPr>
          <w:rFonts w:ascii="宋体" w:hAnsi="宋体"/>
          <w:color w:val="auto"/>
          <w:sz w:val="24"/>
        </w:rPr>
      </w:pPr>
      <w:r>
        <w:rPr>
          <w:rFonts w:hint="eastAsia" w:ascii="宋体" w:hAnsi="宋体"/>
          <w:color w:val="auto"/>
          <w:sz w:val="24"/>
        </w:rPr>
        <w:t>47.10</w:t>
      </w:r>
      <w:r>
        <w:rPr>
          <w:rFonts w:hint="eastAsia" w:ascii="宋体" w:hAnsi="宋体"/>
          <w:color w:val="auto"/>
          <w:szCs w:val="21"/>
          <w:u w:val="single"/>
        </w:rPr>
        <w:t>三</w:t>
      </w:r>
      <w:r>
        <w:rPr>
          <w:rFonts w:hint="eastAsia" w:ascii="宋体" w:hAnsi="宋体"/>
          <w:color w:val="auto"/>
          <w:sz w:val="24"/>
        </w:rPr>
        <w:t>方根据国家有关规定，结合具体工程约定质量缺陷责任期如下：</w:t>
      </w:r>
    </w:p>
    <w:p>
      <w:pPr>
        <w:pStyle w:val="154"/>
        <w:snapToGrid w:val="0"/>
        <w:spacing w:line="500" w:lineRule="exact"/>
        <w:ind w:firstLine="578" w:firstLineChars="241"/>
        <w:rPr>
          <w:rFonts w:ascii="宋体" w:hAnsi="宋体"/>
          <w:color w:val="auto"/>
          <w:sz w:val="24"/>
        </w:rPr>
      </w:pPr>
      <w:r>
        <w:rPr>
          <w:rFonts w:hint="eastAsia" w:ascii="宋体" w:hAnsi="宋体"/>
          <w:color w:val="auto"/>
          <w:sz w:val="24"/>
        </w:rPr>
        <w:t>1、基础设施工程，房屋建筑的地基基础工程和主体结构工程为2年；</w:t>
      </w:r>
    </w:p>
    <w:p>
      <w:pPr>
        <w:pStyle w:val="154"/>
        <w:snapToGrid w:val="0"/>
        <w:spacing w:line="500" w:lineRule="exact"/>
        <w:ind w:firstLine="578" w:firstLineChars="241"/>
        <w:rPr>
          <w:rFonts w:ascii="宋体" w:hAnsi="宋体"/>
          <w:color w:val="auto"/>
          <w:sz w:val="24"/>
        </w:rPr>
      </w:pPr>
      <w:r>
        <w:rPr>
          <w:rFonts w:hint="eastAsia" w:ascii="宋体" w:hAnsi="宋体"/>
          <w:color w:val="auto"/>
          <w:sz w:val="24"/>
        </w:rPr>
        <w:t xml:space="preserve">2、屋面防水工程、有防水要求的卫生间、房间和外墙面的防渗漏为 </w:t>
      </w:r>
      <w:r>
        <w:rPr>
          <w:rFonts w:ascii="宋体" w:hAnsi="宋体"/>
          <w:color w:val="auto"/>
          <w:sz w:val="24"/>
        </w:rPr>
        <w:t>5</w:t>
      </w:r>
      <w:r>
        <w:rPr>
          <w:rFonts w:hint="eastAsia" w:ascii="宋体" w:hAnsi="宋体"/>
          <w:color w:val="auto"/>
          <w:sz w:val="24"/>
        </w:rPr>
        <w:t>年；</w:t>
      </w:r>
    </w:p>
    <w:p>
      <w:pPr>
        <w:pStyle w:val="154"/>
        <w:snapToGrid w:val="0"/>
        <w:spacing w:line="500" w:lineRule="exact"/>
        <w:ind w:firstLine="578" w:firstLineChars="241"/>
        <w:rPr>
          <w:rFonts w:ascii="宋体" w:hAnsi="宋体"/>
          <w:color w:val="auto"/>
          <w:sz w:val="24"/>
        </w:rPr>
      </w:pPr>
      <w:r>
        <w:rPr>
          <w:rFonts w:hint="eastAsia" w:ascii="宋体" w:hAnsi="宋体"/>
          <w:color w:val="auto"/>
          <w:sz w:val="24"/>
        </w:rPr>
        <w:t>3、电气管线、给排水管道、设备安装工程为 2 年；</w:t>
      </w:r>
    </w:p>
    <w:p>
      <w:pPr>
        <w:pStyle w:val="154"/>
        <w:snapToGrid w:val="0"/>
        <w:spacing w:line="500" w:lineRule="exact"/>
        <w:ind w:firstLine="578" w:firstLineChars="241"/>
        <w:rPr>
          <w:rFonts w:ascii="宋体" w:hAnsi="宋体"/>
          <w:color w:val="auto"/>
          <w:sz w:val="24"/>
        </w:rPr>
      </w:pPr>
      <w:r>
        <w:rPr>
          <w:rFonts w:hint="eastAsia" w:ascii="宋体" w:hAnsi="宋体"/>
          <w:color w:val="auto"/>
          <w:sz w:val="24"/>
        </w:rPr>
        <w:t>4、供热及供冷为 2 个采暖期及供冷期；</w:t>
      </w:r>
    </w:p>
    <w:p>
      <w:pPr>
        <w:pStyle w:val="154"/>
        <w:snapToGrid w:val="0"/>
        <w:spacing w:line="500" w:lineRule="exact"/>
        <w:ind w:firstLine="578" w:firstLineChars="241"/>
        <w:rPr>
          <w:rFonts w:ascii="宋体" w:hAnsi="宋体"/>
          <w:color w:val="auto"/>
          <w:sz w:val="24"/>
        </w:rPr>
      </w:pPr>
      <w:r>
        <w:rPr>
          <w:rFonts w:hint="eastAsia" w:ascii="宋体" w:hAnsi="宋体"/>
          <w:color w:val="auto"/>
          <w:sz w:val="24"/>
        </w:rPr>
        <w:t>5、装饰装修工程为 2 年；</w:t>
      </w:r>
    </w:p>
    <w:p>
      <w:pPr>
        <w:pStyle w:val="154"/>
        <w:snapToGrid w:val="0"/>
        <w:spacing w:line="500" w:lineRule="exact"/>
        <w:ind w:firstLine="578" w:firstLineChars="241"/>
        <w:rPr>
          <w:rFonts w:ascii="宋体" w:hAnsi="宋体"/>
          <w:color w:val="auto"/>
          <w:sz w:val="24"/>
        </w:rPr>
      </w:pPr>
      <w:r>
        <w:rPr>
          <w:rFonts w:hint="eastAsia" w:ascii="宋体" w:hAnsi="宋体"/>
          <w:color w:val="auto"/>
          <w:sz w:val="24"/>
        </w:rPr>
        <w:t>6、室外的上下水和小区道路等市政公用工程为 2 年；</w:t>
      </w:r>
    </w:p>
    <w:p>
      <w:pPr>
        <w:pStyle w:val="154"/>
        <w:snapToGrid w:val="0"/>
        <w:spacing w:line="500" w:lineRule="exact"/>
        <w:ind w:firstLine="578" w:firstLineChars="241"/>
        <w:rPr>
          <w:rFonts w:ascii="宋体" w:hAnsi="宋体"/>
          <w:color w:val="auto"/>
          <w:sz w:val="24"/>
        </w:rPr>
      </w:pPr>
      <w:r>
        <w:rPr>
          <w:rFonts w:hint="eastAsia" w:ascii="宋体" w:hAnsi="宋体"/>
          <w:color w:val="auto"/>
          <w:sz w:val="24"/>
        </w:rPr>
        <w:t>7、除上述专业工程外</w:t>
      </w:r>
      <w:r>
        <w:rPr>
          <w:rFonts w:hint="eastAsia" w:ascii="宋体" w:hAnsi="宋体"/>
          <w:color w:val="auto"/>
          <w:sz w:val="24"/>
          <w:lang w:eastAsia="zh-CN"/>
        </w:rPr>
        <w:t>其他工程的</w:t>
      </w:r>
      <w:r>
        <w:rPr>
          <w:rFonts w:hint="eastAsia" w:ascii="宋体" w:hAnsi="宋体"/>
          <w:color w:val="auto"/>
          <w:sz w:val="24"/>
        </w:rPr>
        <w:t>质量缺陷责任期按相关规定或经</w:t>
      </w:r>
      <w:r>
        <w:rPr>
          <w:rFonts w:hint="eastAsia" w:ascii="宋体" w:hAnsi="宋体"/>
          <w:color w:val="auto"/>
          <w:sz w:val="24"/>
          <w:u w:val="single"/>
        </w:rPr>
        <w:t>三</w:t>
      </w:r>
      <w:r>
        <w:rPr>
          <w:rFonts w:hint="eastAsia" w:ascii="宋体" w:hAnsi="宋体"/>
          <w:color w:val="auto"/>
          <w:sz w:val="24"/>
        </w:rPr>
        <w:t>方另行协商确定。</w:t>
      </w:r>
    </w:p>
    <w:p>
      <w:pPr>
        <w:pStyle w:val="154"/>
        <w:snapToGrid w:val="0"/>
        <w:spacing w:line="500" w:lineRule="exact"/>
        <w:ind w:firstLine="480" w:firstLineChars="200"/>
        <w:rPr>
          <w:rFonts w:ascii="宋体" w:hAnsi="宋体"/>
          <w:color w:val="auto"/>
          <w:sz w:val="24"/>
          <w:u w:val="single"/>
        </w:rPr>
      </w:pPr>
      <w:r>
        <w:rPr>
          <w:rFonts w:hint="eastAsia" w:ascii="宋体" w:hAnsi="宋体"/>
          <w:color w:val="auto"/>
          <w:sz w:val="24"/>
        </w:rPr>
        <w:t>本工程质量缺陷责任期从自广州开发区管委会或其相关职能部门批准的提前移交之日或工程竣工验收合格之日起（以先发生日期为准）计算（广州开发区、黄埔区对工程竣工验收有相关规定的，按该规定执行）。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pPr>
        <w:spacing w:line="500" w:lineRule="exact"/>
        <w:ind w:firstLine="480" w:firstLineChars="200"/>
        <w:rPr>
          <w:rFonts w:ascii="宋体" w:hAnsi="宋体"/>
          <w:color w:val="auto"/>
          <w:sz w:val="24"/>
          <w:u w:val="single"/>
        </w:rPr>
      </w:pPr>
      <w:r>
        <w:rPr>
          <w:rFonts w:hint="eastAsia" w:ascii="宋体" w:hAnsi="宋体"/>
          <w:color w:val="auto"/>
          <w:sz w:val="24"/>
        </w:rPr>
        <w:t>47.11</w:t>
      </w:r>
      <w:r>
        <w:rPr>
          <w:rFonts w:hint="eastAsia" w:ascii="宋体" w:hAnsi="宋体"/>
          <w:color w:val="auto"/>
          <w:sz w:val="24"/>
          <w:u w:val="single"/>
        </w:rPr>
        <w:t>本工程的保修期按本合同《工程质量保修责任书》规定的保修期限实行。在保修期内因施工质量而造成返修，其费用由承包人负责。工程质量按房建工程现行验评标准组织验收认定。</w:t>
      </w:r>
    </w:p>
    <w:p>
      <w:pPr>
        <w:spacing w:line="500" w:lineRule="exact"/>
        <w:ind w:firstLine="480" w:firstLineChars="200"/>
        <w:rPr>
          <w:rFonts w:ascii="宋体" w:hAnsi="宋体"/>
          <w:color w:val="auto"/>
          <w:sz w:val="24"/>
          <w:u w:val="single"/>
        </w:rPr>
      </w:pPr>
      <w:r>
        <w:rPr>
          <w:rFonts w:hint="eastAsia" w:ascii="宋体" w:hAnsi="宋体"/>
          <w:color w:val="auto"/>
          <w:sz w:val="24"/>
        </w:rPr>
        <w:t>47.12施工现场生活区应设置信息公示栏，每月10日前将上月作业工人考勤和工资结算和支付信息在信息公示栏进行公示，公示期不少于5天。</w:t>
      </w:r>
    </w:p>
    <w:p>
      <w:pPr>
        <w:spacing w:line="50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w:t>
      </w:r>
      <w:r>
        <w:rPr>
          <w:rFonts w:hint="eastAsia" w:ascii="仿宋_GB2312" w:hAnsi="宋体" w:eastAsia="仿宋_GB2312"/>
          <w:b/>
          <w:color w:val="auto"/>
          <w:sz w:val="24"/>
        </w:rPr>
        <w:t>农民工佣工要求</w:t>
      </w:r>
      <w:r>
        <w:rPr>
          <w:rFonts w:hint="eastAsia" w:ascii="仿宋_GB2312" w:hAnsi="宋体" w:eastAsia="仿宋_GB2312"/>
          <w:color w:val="auto"/>
          <w:sz w:val="24"/>
        </w:rPr>
        <w:t>）</w:t>
      </w:r>
    </w:p>
    <w:p>
      <w:pPr>
        <w:spacing w:line="500" w:lineRule="exact"/>
        <w:ind w:firstLine="480" w:firstLineChars="200"/>
        <w:rPr>
          <w:rFonts w:ascii="宋体" w:hAnsi="宋体"/>
          <w:color w:val="auto"/>
          <w:sz w:val="24"/>
          <w:u w:val="single"/>
        </w:rPr>
      </w:pPr>
      <w:r>
        <w:rPr>
          <w:rFonts w:hint="eastAsia" w:ascii="宋体" w:hAnsi="宋体"/>
          <w:color w:val="auto"/>
          <w:sz w:val="24"/>
        </w:rPr>
        <w:t>47.13</w:t>
      </w:r>
      <w:r>
        <w:rPr>
          <w:rFonts w:hint="eastAsia" w:ascii="宋体" w:hAnsi="宋体"/>
          <w:color w:val="auto"/>
          <w:sz w:val="24"/>
          <w:u w:val="single"/>
        </w:rPr>
        <w:t>承包人必须按照穗开规『2004』58号文的有关要求及规定优先使用广州开发区的农民工。</w:t>
      </w:r>
    </w:p>
    <w:p>
      <w:pPr>
        <w:spacing w:line="500" w:lineRule="exact"/>
        <w:ind w:firstLine="480" w:firstLineChars="200"/>
        <w:rPr>
          <w:rFonts w:ascii="宋体" w:hAnsi="宋体"/>
          <w:color w:val="auto"/>
          <w:sz w:val="24"/>
          <w:u w:val="single"/>
        </w:rPr>
      </w:pPr>
      <w:r>
        <w:rPr>
          <w:rFonts w:hint="eastAsia" w:ascii="宋体" w:hAnsi="宋体"/>
          <w:color w:val="auto"/>
          <w:sz w:val="24"/>
        </w:rPr>
        <w:t>47.14</w:t>
      </w:r>
      <w:r>
        <w:rPr>
          <w:rFonts w:hint="eastAsia" w:ascii="宋体" w:hAnsi="宋体"/>
          <w:color w:val="auto"/>
          <w:sz w:val="24"/>
          <w:u w:val="single"/>
        </w:rPr>
        <w:t>承包人必须严格执行穗开纪[2005]10号文的规定和要求，在本工程施工中使用劳工时，一律由承包人签订用工合同，建立工资直接支付制度，承包人每月按时发放劳工工资，自觉接受发包人和主管部门的监督，不论何种原因</w:t>
      </w:r>
      <w:r>
        <w:rPr>
          <w:rFonts w:hint="eastAsia" w:ascii="宋体" w:hAnsi="宋体"/>
          <w:color w:val="auto"/>
          <w:sz w:val="24"/>
          <w:u w:val="single"/>
          <w:lang w:eastAsia="zh-CN"/>
        </w:rPr>
        <w:t>绝不</w:t>
      </w:r>
      <w:r>
        <w:rPr>
          <w:rFonts w:hint="eastAsia" w:ascii="宋体" w:hAnsi="宋体"/>
          <w:color w:val="auto"/>
          <w:sz w:val="24"/>
          <w:u w:val="single"/>
        </w:rPr>
        <w:t>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pPr>
        <w:spacing w:line="500" w:lineRule="exact"/>
        <w:ind w:firstLine="480" w:firstLineChars="200"/>
        <w:rPr>
          <w:rFonts w:ascii="宋体" w:hAnsi="宋体"/>
          <w:color w:val="auto"/>
          <w:sz w:val="24"/>
          <w:u w:val="single"/>
        </w:rPr>
      </w:pPr>
      <w:r>
        <w:rPr>
          <w:rFonts w:hint="eastAsia" w:ascii="宋体" w:hAnsi="宋体"/>
          <w:color w:val="auto"/>
          <w:sz w:val="24"/>
        </w:rPr>
        <w:t>47.15</w:t>
      </w:r>
      <w:r>
        <w:rPr>
          <w:rFonts w:hint="eastAsia" w:ascii="宋体" w:hAnsi="宋体"/>
          <w:color w:val="auto"/>
          <w:sz w:val="24"/>
          <w:u w:val="single"/>
        </w:rPr>
        <w:t>承包人必须严格执行广州市黄埔区人民政府办公室《关于贯彻实施国家劳动部、建设部&lt;建设领域农民工工资支付管理暂行办法&gt;的若干意见》（穗萝府办[2005]21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p>
    <w:p>
      <w:pPr>
        <w:spacing w:line="500" w:lineRule="exact"/>
        <w:ind w:firstLine="480" w:firstLineChars="200"/>
        <w:rPr>
          <w:rFonts w:ascii="宋体" w:hAnsi="宋体"/>
          <w:b/>
          <w:color w:val="auto"/>
          <w:sz w:val="24"/>
        </w:rPr>
      </w:pPr>
      <w:r>
        <w:rPr>
          <w:rFonts w:hint="eastAsia" w:ascii="宋体" w:hAnsi="宋体"/>
          <w:color w:val="auto"/>
          <w:sz w:val="24"/>
        </w:rPr>
        <w:t>47.16</w:t>
      </w:r>
      <w:r>
        <w:rPr>
          <w:rFonts w:hint="eastAsia" w:ascii="宋体" w:hAnsi="宋体"/>
          <w:color w:val="auto"/>
          <w:sz w:val="24"/>
          <w:u w:val="single"/>
        </w:rPr>
        <w:t>若承包人在本工程内发生无故拖欠农民工工资现象，将被作不良记录，上报区建设主管部门。</w:t>
      </w:r>
      <w:r>
        <w:rPr>
          <w:rFonts w:hint="eastAsia" w:ascii="宋体" w:hAnsi="宋体"/>
          <w:color w:val="auto"/>
          <w:sz w:val="24"/>
        </w:rPr>
        <w:t>若承包人转包或者违法分包造成拖欠工人工资的，除上报区建设行政主管部门外，还将提请省建设行业主管部门禁止在广东省行政区域范围内承包工程。</w:t>
      </w:r>
    </w:p>
    <w:p>
      <w:pPr>
        <w:spacing w:line="500" w:lineRule="exact"/>
        <w:ind w:firstLine="480" w:firstLineChars="200"/>
        <w:rPr>
          <w:rFonts w:ascii="仿宋_GB2312" w:hAnsi="宋体" w:eastAsia="仿宋_GB2312"/>
          <w:b/>
          <w:color w:val="auto"/>
          <w:sz w:val="24"/>
        </w:rPr>
      </w:pPr>
      <w:r>
        <w:rPr>
          <w:rFonts w:hint="eastAsia" w:ascii="仿宋_GB2312" w:hAnsi="宋体" w:eastAsia="仿宋_GB2312"/>
          <w:color w:val="auto"/>
          <w:sz w:val="24"/>
        </w:rPr>
        <w:t>（</w:t>
      </w:r>
      <w:r>
        <w:rPr>
          <w:rFonts w:hint="eastAsia" w:ascii="仿宋_GB2312" w:hAnsi="宋体" w:eastAsia="仿宋_GB2312"/>
          <w:b/>
          <w:color w:val="auto"/>
          <w:sz w:val="24"/>
        </w:rPr>
        <w:t>项目管理机构人员、机械设备、劳动力到位方面的要求</w:t>
      </w:r>
      <w:r>
        <w:rPr>
          <w:rFonts w:hint="eastAsia" w:ascii="仿宋_GB2312" w:hAnsi="宋体" w:eastAsia="仿宋_GB2312"/>
          <w:color w:val="auto"/>
          <w:sz w:val="24"/>
        </w:rPr>
        <w:t>）</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47.17</w:t>
      </w:r>
      <w:r>
        <w:rPr>
          <w:rFonts w:hint="eastAsia" w:ascii="宋体" w:hAnsi="宋体"/>
          <w:color w:val="auto"/>
          <w:sz w:val="24"/>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47.18</w:t>
      </w:r>
      <w:r>
        <w:rPr>
          <w:rFonts w:hint="eastAsia" w:ascii="宋体" w:hAnsi="宋体"/>
          <w:color w:val="auto"/>
          <w:sz w:val="24"/>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47.19</w:t>
      </w:r>
      <w:r>
        <w:rPr>
          <w:rFonts w:hint="eastAsia" w:ascii="宋体" w:hAnsi="宋体"/>
          <w:color w:val="auto"/>
          <w:sz w:val="24"/>
          <w:u w:val="single"/>
        </w:rPr>
        <w:t>现场施工时，施工员（技术员）不在施工现场不得施工，否则发包人可随时要求停工，工期延误由承包人负责。</w:t>
      </w:r>
    </w:p>
    <w:p>
      <w:pPr>
        <w:snapToGrid w:val="0"/>
        <w:spacing w:line="500" w:lineRule="exact"/>
        <w:ind w:firstLine="480" w:firstLineChars="200"/>
        <w:rPr>
          <w:rFonts w:ascii="宋体" w:hAnsi="宋体"/>
          <w:color w:val="auto"/>
          <w:sz w:val="24"/>
          <w:u w:val="single"/>
        </w:rPr>
      </w:pPr>
      <w:r>
        <w:rPr>
          <w:rFonts w:hint="eastAsia" w:ascii="宋体" w:hAnsi="宋体"/>
          <w:color w:val="auto"/>
          <w:sz w:val="24"/>
        </w:rPr>
        <w:t>47.20</w:t>
      </w:r>
      <w:r>
        <w:rPr>
          <w:rFonts w:hint="eastAsia" w:ascii="宋体" w:hAnsi="宋体"/>
          <w:color w:val="auto"/>
          <w:sz w:val="24"/>
          <w:u w:val="single"/>
        </w:rPr>
        <w:t>承包人派往现场的管理人员若因不负责任、或玩忽职守、或严重失职等给发包人造成经济损失，承包人承担相应的经济责任和连带法律责任。</w:t>
      </w:r>
    </w:p>
    <w:p>
      <w:pPr>
        <w:snapToGrid w:val="0"/>
        <w:spacing w:line="500" w:lineRule="exact"/>
        <w:ind w:firstLine="482" w:firstLineChars="200"/>
        <w:rPr>
          <w:rFonts w:ascii="仿宋_GB2312" w:hAnsi="宋体" w:eastAsia="仿宋_GB2312"/>
          <w:color w:val="auto"/>
          <w:sz w:val="24"/>
        </w:rPr>
      </w:pPr>
      <w:r>
        <w:rPr>
          <w:rFonts w:hint="eastAsia" w:ascii="仿宋_GB2312" w:hAnsi="宋体" w:eastAsia="仿宋_GB2312"/>
          <w:b/>
          <w:color w:val="auto"/>
          <w:sz w:val="24"/>
        </w:rPr>
        <w:t>（投标报价及造价承包和变更结算方式的要求</w:t>
      </w:r>
      <w:r>
        <w:rPr>
          <w:rFonts w:hint="eastAsia" w:ascii="仿宋_GB2312" w:hAnsi="宋体" w:eastAsia="仿宋_GB2312"/>
          <w:color w:val="auto"/>
          <w:sz w:val="24"/>
        </w:rPr>
        <w:t>）</w:t>
      </w:r>
    </w:p>
    <w:p>
      <w:pPr>
        <w:spacing w:line="500" w:lineRule="exact"/>
        <w:ind w:firstLine="480" w:firstLineChars="200"/>
        <w:rPr>
          <w:rFonts w:ascii="宋体" w:hAnsi="宋体"/>
          <w:color w:val="auto"/>
          <w:sz w:val="24"/>
          <w:u w:val="single"/>
        </w:rPr>
      </w:pPr>
      <w:r>
        <w:rPr>
          <w:rFonts w:hint="eastAsia" w:ascii="宋体" w:hAnsi="宋体"/>
          <w:color w:val="auto"/>
          <w:sz w:val="24"/>
        </w:rPr>
        <w:t>47.21</w:t>
      </w:r>
      <w:r>
        <w:rPr>
          <w:rFonts w:hint="eastAsia" w:ascii="宋体" w:hAnsi="宋体"/>
          <w:color w:val="auto"/>
          <w:sz w:val="24"/>
          <w:u w:val="single"/>
        </w:rPr>
        <w:t>工程量清单报价中有关问题的说明：①工程量清单中的标志杆基础中的土方开挖、运输、外运等费用包含在相应项目中，不包含在土石方工程的相关项目中；②</w:t>
      </w:r>
      <w:r>
        <w:rPr>
          <w:rFonts w:hint="eastAsia" w:ascii="宋体" w:hAnsi="宋体" w:cs="宋体"/>
          <w:bCs/>
          <w:color w:val="auto"/>
          <w:sz w:val="24"/>
          <w:szCs w:val="24"/>
          <w:u w:val="single"/>
        </w:rPr>
        <w:t>投标人自行踏勘现场，投标时,土方的弃运距离自行考虑，实行综合单价包干。实际施工过程中施工单位需自行考虑建筑垃圾等外运距离，无论实际外运距离为多少，结算时均不做调整</w:t>
      </w:r>
      <w:r>
        <w:rPr>
          <w:rFonts w:hint="eastAsia" w:ascii="宋体" w:hAnsi="宋体"/>
          <w:color w:val="auto"/>
          <w:sz w:val="24"/>
          <w:szCs w:val="24"/>
          <w:u w:val="single"/>
        </w:rPr>
        <w:t>；</w:t>
      </w:r>
      <w:r>
        <w:rPr>
          <w:rFonts w:hint="eastAsia" w:ascii="宋体" w:hAnsi="宋体"/>
          <w:color w:val="auto"/>
          <w:sz w:val="24"/>
          <w:u w:val="single"/>
        </w:rPr>
        <w:t>③ 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p>
    <w:p>
      <w:pPr>
        <w:pBdr>
          <w:bottom w:val="single" w:color="auto" w:sz="6" w:space="1"/>
        </w:pBdr>
        <w:spacing w:line="500" w:lineRule="exact"/>
        <w:ind w:firstLine="480" w:firstLineChars="200"/>
        <w:rPr>
          <w:rFonts w:ascii="宋体" w:hAnsi="宋体"/>
          <w:color w:val="auto"/>
          <w:sz w:val="24"/>
          <w:u w:val="single"/>
        </w:rPr>
      </w:pPr>
      <w:r>
        <w:rPr>
          <w:rFonts w:hint="eastAsia" w:ascii="宋体" w:hAnsi="宋体"/>
          <w:color w:val="auto"/>
          <w:sz w:val="24"/>
        </w:rPr>
        <w:t>47.22</w:t>
      </w:r>
      <w:r>
        <w:rPr>
          <w:rFonts w:hint="eastAsia" w:ascii="宋体" w:hAnsi="宋体"/>
          <w:color w:val="auto"/>
          <w:sz w:val="24"/>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且承包人不得以任何理由要求发包人另行增加该部分费用（承包人要充分考虑最不利因素影响而采用的施工方案所需的费用）。</w:t>
      </w:r>
    </w:p>
    <w:p>
      <w:pPr>
        <w:spacing w:line="500" w:lineRule="exact"/>
        <w:ind w:firstLine="480" w:firstLineChars="200"/>
        <w:rPr>
          <w:rFonts w:ascii="宋体" w:hAnsi="宋体"/>
          <w:color w:val="auto"/>
          <w:sz w:val="24"/>
          <w:u w:val="single"/>
        </w:rPr>
      </w:pPr>
      <w:r>
        <w:rPr>
          <w:rFonts w:hint="eastAsia" w:ascii="宋体" w:hAnsi="宋体"/>
          <w:color w:val="auto"/>
          <w:sz w:val="24"/>
        </w:rPr>
        <w:t>47.23</w:t>
      </w:r>
      <w:r>
        <w:rPr>
          <w:rFonts w:hint="eastAsia" w:ascii="宋体" w:hAnsi="宋体"/>
          <w:color w:val="auto"/>
          <w:sz w:val="24"/>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pPr>
        <w:spacing w:line="500" w:lineRule="exact"/>
        <w:ind w:firstLine="480" w:firstLineChars="200"/>
        <w:rPr>
          <w:rFonts w:ascii="宋体" w:hAnsi="宋体"/>
          <w:color w:val="auto"/>
          <w:sz w:val="24"/>
          <w:u w:val="single"/>
        </w:rPr>
      </w:pPr>
      <w:r>
        <w:rPr>
          <w:rFonts w:hint="eastAsia" w:ascii="宋体" w:hAnsi="宋体"/>
          <w:color w:val="auto"/>
          <w:sz w:val="24"/>
        </w:rPr>
        <w:t>47.24</w:t>
      </w:r>
      <w:r>
        <w:rPr>
          <w:rFonts w:hint="eastAsia" w:ascii="宋体" w:hAnsi="宋体"/>
          <w:color w:val="auto"/>
          <w:sz w:val="24"/>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pPr>
        <w:spacing w:line="500" w:lineRule="exact"/>
        <w:ind w:firstLine="480" w:firstLineChars="200"/>
        <w:rPr>
          <w:rFonts w:ascii="宋体" w:hAnsi="宋体"/>
          <w:color w:val="auto"/>
          <w:sz w:val="24"/>
          <w:u w:val="single"/>
        </w:rPr>
      </w:pPr>
      <w:r>
        <w:rPr>
          <w:rFonts w:hint="eastAsia" w:ascii="宋体" w:hAnsi="宋体"/>
          <w:color w:val="auto"/>
          <w:sz w:val="24"/>
        </w:rPr>
        <w:t>47.25</w:t>
      </w:r>
      <w:r>
        <w:rPr>
          <w:rFonts w:hint="eastAsia" w:ascii="宋体" w:hAnsi="宋体"/>
          <w:color w:val="auto"/>
          <w:sz w:val="24"/>
          <w:u w:val="single"/>
        </w:rPr>
        <w:t>承包人应使用绿色生产达标企业生产的混凝土，若不遵守承诺，自愿按不履行合同约定处理。</w:t>
      </w:r>
    </w:p>
    <w:p>
      <w:pPr>
        <w:spacing w:line="500" w:lineRule="exact"/>
        <w:ind w:firstLine="480" w:firstLineChars="200"/>
        <w:rPr>
          <w:rFonts w:ascii="宋体" w:hAnsi="宋体"/>
          <w:color w:val="auto"/>
          <w:sz w:val="24"/>
          <w:u w:val="single"/>
        </w:rPr>
      </w:pPr>
      <w:r>
        <w:rPr>
          <w:rFonts w:hint="eastAsia" w:ascii="宋体" w:hAnsi="宋体"/>
          <w:color w:val="auto"/>
          <w:sz w:val="24"/>
        </w:rPr>
        <w:t>47.26</w:t>
      </w:r>
      <w:r>
        <w:rPr>
          <w:rFonts w:hint="eastAsia" w:ascii="宋体" w:hAnsi="宋体"/>
          <w:color w:val="auto"/>
          <w:sz w:val="24"/>
          <w:u w:val="single"/>
        </w:rPr>
        <w:t>承包人应按有关规定协助发包人完成公共排水设施竣工图纸备案工作。</w:t>
      </w:r>
    </w:p>
    <w:p>
      <w:pPr>
        <w:spacing w:line="500" w:lineRule="exact"/>
        <w:ind w:firstLine="480" w:firstLineChars="200"/>
        <w:rPr>
          <w:rFonts w:ascii="宋体" w:hAnsi="宋体"/>
          <w:color w:val="auto"/>
          <w:sz w:val="24"/>
          <w:u w:val="single"/>
        </w:rPr>
      </w:pPr>
      <w:r>
        <w:rPr>
          <w:rFonts w:hint="eastAsia" w:ascii="宋体" w:hAnsi="宋体"/>
          <w:color w:val="auto"/>
          <w:sz w:val="24"/>
        </w:rPr>
        <w:t>47.27</w:t>
      </w:r>
      <w:r>
        <w:rPr>
          <w:rFonts w:hint="eastAsia" w:ascii="宋体" w:hAnsi="宋体"/>
          <w:color w:val="auto"/>
          <w:sz w:val="24"/>
          <w:u w:val="single"/>
        </w:rPr>
        <w:t>在整个合同执行期间发包人如发现有不合理投标报价的，发包人有权按有关规定和合同约定进行调整，并将书面通知承包人，并以此作为结算依据。</w:t>
      </w:r>
    </w:p>
    <w:p>
      <w:pPr>
        <w:spacing w:line="440" w:lineRule="exact"/>
        <w:ind w:firstLine="480" w:firstLineChars="200"/>
        <w:rPr>
          <w:rFonts w:ascii="宋体" w:hAnsi="宋体"/>
          <w:color w:val="auto"/>
          <w:sz w:val="24"/>
          <w:highlight w:val="none"/>
          <w:u w:val="single"/>
        </w:rPr>
      </w:pPr>
      <w:r>
        <w:rPr>
          <w:rFonts w:ascii="宋体" w:hAnsi="宋体"/>
          <w:color w:val="auto"/>
          <w:sz w:val="24"/>
        </w:rPr>
        <w:t>47.28</w:t>
      </w:r>
      <w:r>
        <w:rPr>
          <w:rFonts w:hint="eastAsia" w:ascii="宋体" w:hAnsi="宋体"/>
          <w:color w:val="auto"/>
          <w:sz w:val="24"/>
          <w:u w:val="single"/>
        </w:rPr>
        <w:t>本工程采用的所有材料品牌选择均须报发包人、监理工程师确认</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在同等条件下优先使用广州工控及下属企业生产的设备、材料，</w:t>
      </w:r>
      <w:r>
        <w:rPr>
          <w:rFonts w:hint="eastAsia" w:ascii="宋体" w:hAnsi="宋体"/>
          <w:color w:val="auto"/>
          <w:sz w:val="24"/>
          <w:highlight w:val="none"/>
          <w:u w:val="single"/>
        </w:rPr>
        <w:t>且经检验合格后方能使用。</w:t>
      </w:r>
    </w:p>
    <w:p>
      <w:pPr>
        <w:spacing w:line="500" w:lineRule="exact"/>
        <w:ind w:firstLine="480" w:firstLineChars="200"/>
        <w:rPr>
          <w:rFonts w:ascii="宋体" w:hAnsi="宋体"/>
          <w:color w:val="auto"/>
          <w:sz w:val="24"/>
          <w:u w:val="single"/>
        </w:rPr>
      </w:pPr>
      <w:r>
        <w:rPr>
          <w:rFonts w:hint="eastAsia" w:ascii="宋体" w:hAnsi="宋体"/>
          <w:color w:val="auto"/>
          <w:sz w:val="24"/>
        </w:rPr>
        <w:t>47.29</w:t>
      </w:r>
      <w:r>
        <w:rPr>
          <w:rFonts w:hint="eastAsia" w:ascii="宋体" w:hAnsi="宋体"/>
          <w:color w:val="auto"/>
          <w:sz w:val="24"/>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pPr>
        <w:spacing w:line="500" w:lineRule="exact"/>
        <w:ind w:firstLine="480" w:firstLineChars="200"/>
        <w:rPr>
          <w:rFonts w:ascii="宋体" w:hAnsi="宋体"/>
          <w:color w:val="auto"/>
          <w:sz w:val="24"/>
        </w:rPr>
      </w:pPr>
      <w:r>
        <w:rPr>
          <w:rFonts w:hint="eastAsia" w:ascii="宋体" w:hAnsi="宋体"/>
          <w:color w:val="auto"/>
          <w:sz w:val="24"/>
        </w:rPr>
        <w:t>47.30</w:t>
      </w:r>
      <w:r>
        <w:rPr>
          <w:rFonts w:hint="eastAsia" w:ascii="宋体" w:hAnsi="宋体"/>
          <w:color w:val="auto"/>
          <w:sz w:val="24"/>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p>
    <w:p>
      <w:pPr>
        <w:spacing w:line="500" w:lineRule="exact"/>
        <w:ind w:firstLine="480" w:firstLineChars="200"/>
        <w:rPr>
          <w:rFonts w:ascii="宋体" w:hAnsi="宋体"/>
          <w:color w:val="auto"/>
          <w:sz w:val="24"/>
          <w:u w:val="single"/>
        </w:rPr>
      </w:pPr>
      <w:r>
        <w:rPr>
          <w:rFonts w:hint="eastAsia" w:ascii="宋体" w:hAnsi="宋体"/>
          <w:color w:val="auto"/>
          <w:sz w:val="24"/>
        </w:rPr>
        <w:t>47.31</w:t>
      </w:r>
      <w:r>
        <w:rPr>
          <w:rFonts w:hint="eastAsia" w:ascii="宋体" w:hAnsi="宋体"/>
          <w:color w:val="auto"/>
          <w:sz w:val="24"/>
          <w:u w:val="single"/>
        </w:rPr>
        <w:t>承包人须接受监理人的全过程监理。</w:t>
      </w:r>
    </w:p>
    <w:p>
      <w:pPr>
        <w:spacing w:line="500" w:lineRule="exact"/>
        <w:ind w:firstLine="480" w:firstLineChars="200"/>
        <w:rPr>
          <w:rFonts w:ascii="宋体" w:hAnsi="宋体"/>
          <w:color w:val="auto"/>
          <w:sz w:val="24"/>
          <w:u w:val="single"/>
        </w:rPr>
      </w:pPr>
      <w:r>
        <w:rPr>
          <w:rFonts w:hint="eastAsia" w:ascii="宋体" w:hAnsi="宋体"/>
          <w:color w:val="auto"/>
          <w:sz w:val="24"/>
        </w:rPr>
        <w:t>47.32</w:t>
      </w:r>
      <w:r>
        <w:rPr>
          <w:rFonts w:hint="eastAsia" w:ascii="宋体" w:hAnsi="宋体"/>
          <w:color w:val="auto"/>
          <w:sz w:val="24"/>
          <w:u w:val="single"/>
        </w:rPr>
        <w:t>如广州开发区、黄埔区对工程竣工验收及备案有相关规定，则本合同执行该规定。</w:t>
      </w:r>
    </w:p>
    <w:p>
      <w:pPr>
        <w:spacing w:line="500" w:lineRule="exact"/>
        <w:ind w:firstLine="480" w:firstLineChars="200"/>
        <w:rPr>
          <w:rFonts w:ascii="宋体" w:hAnsi="宋体"/>
          <w:color w:val="auto"/>
          <w:sz w:val="24"/>
          <w:u w:val="single"/>
        </w:rPr>
      </w:pPr>
      <w:r>
        <w:rPr>
          <w:rFonts w:hint="eastAsia" w:ascii="宋体" w:hAnsi="宋体"/>
          <w:color w:val="auto"/>
          <w:sz w:val="24"/>
        </w:rPr>
        <w:t>47.33</w:t>
      </w:r>
      <w:r>
        <w:rPr>
          <w:rFonts w:hint="eastAsia" w:ascii="宋体" w:hAnsi="宋体"/>
          <w:color w:val="auto"/>
          <w:sz w:val="24"/>
          <w:u w:val="single"/>
        </w:rPr>
        <w:t>如果审计机关依法对本工程实施审计，发包人、承包人及监理单位应积极配合。</w:t>
      </w:r>
    </w:p>
    <w:p>
      <w:pPr>
        <w:spacing w:line="500" w:lineRule="exact"/>
        <w:ind w:firstLine="480" w:firstLineChars="200"/>
        <w:rPr>
          <w:rFonts w:ascii="宋体" w:hAnsi="宋体"/>
          <w:color w:val="auto"/>
          <w:sz w:val="24"/>
          <w:u w:val="single"/>
        </w:rPr>
      </w:pPr>
      <w:r>
        <w:rPr>
          <w:rFonts w:hint="eastAsia" w:ascii="宋体" w:hAnsi="宋体"/>
          <w:color w:val="auto"/>
          <w:sz w:val="24"/>
        </w:rPr>
        <w:t>47.34</w:t>
      </w:r>
      <w:r>
        <w:rPr>
          <w:rFonts w:hint="eastAsia" w:ascii="宋体" w:hAnsi="宋体"/>
          <w:color w:val="auto"/>
          <w:sz w:val="24"/>
          <w:u w:val="single"/>
        </w:rPr>
        <w:t>本合同在实施过程中所发生的文件来往，</w:t>
      </w:r>
      <w:r>
        <w:rPr>
          <w:rFonts w:hint="eastAsia" w:ascii="宋体" w:hAnsi="宋体"/>
          <w:color w:val="auto"/>
          <w:sz w:val="24"/>
          <w:szCs w:val="24"/>
          <w:u w:val="single"/>
        </w:rPr>
        <w:t>三</w:t>
      </w:r>
      <w:r>
        <w:rPr>
          <w:rFonts w:hint="eastAsia" w:ascii="宋体" w:hAnsi="宋体"/>
          <w:color w:val="auto"/>
          <w:sz w:val="24"/>
          <w:u w:val="single"/>
        </w:rPr>
        <w:t>方不得拒绝签收。如果发生类似事件，发文一方可以监理工程师签收为准，视为送达。</w:t>
      </w:r>
    </w:p>
    <w:p>
      <w:pPr>
        <w:spacing w:line="500" w:lineRule="exact"/>
        <w:ind w:firstLine="480" w:firstLineChars="200"/>
        <w:rPr>
          <w:rFonts w:ascii="宋体" w:hAnsi="宋体"/>
          <w:color w:val="auto"/>
          <w:sz w:val="24"/>
          <w:u w:val="single"/>
        </w:rPr>
      </w:pPr>
      <w:r>
        <w:rPr>
          <w:rFonts w:hint="eastAsia" w:ascii="宋体" w:hAnsi="宋体"/>
          <w:color w:val="auto"/>
          <w:sz w:val="24"/>
        </w:rPr>
        <w:t>47.35</w:t>
      </w:r>
      <w:r>
        <w:rPr>
          <w:rFonts w:hint="eastAsia" w:ascii="宋体" w:hAnsi="宋体"/>
          <w:color w:val="auto"/>
          <w:sz w:val="24"/>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p>
    <w:p>
      <w:pPr>
        <w:spacing w:line="500" w:lineRule="exact"/>
        <w:ind w:firstLine="480" w:firstLineChars="200"/>
        <w:rPr>
          <w:rFonts w:ascii="宋体" w:hAnsi="宋体"/>
          <w:color w:val="auto"/>
          <w:sz w:val="24"/>
          <w:u w:val="single"/>
        </w:rPr>
      </w:pPr>
      <w:r>
        <w:rPr>
          <w:rFonts w:hint="eastAsia" w:ascii="宋体" w:hAnsi="宋体"/>
          <w:color w:val="auto"/>
          <w:sz w:val="24"/>
        </w:rPr>
        <w:t>47.36</w:t>
      </w:r>
      <w:r>
        <w:rPr>
          <w:rFonts w:hint="eastAsia" w:ascii="宋体" w:hAnsi="宋体"/>
          <w:color w:val="auto"/>
          <w:sz w:val="24"/>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p>
    <w:p>
      <w:pPr>
        <w:spacing w:line="500" w:lineRule="exact"/>
        <w:ind w:firstLine="480" w:firstLineChars="200"/>
        <w:rPr>
          <w:rFonts w:ascii="宋体" w:hAnsi="宋体"/>
          <w:color w:val="auto"/>
          <w:sz w:val="24"/>
          <w:u w:val="single"/>
        </w:rPr>
      </w:pPr>
      <w:r>
        <w:rPr>
          <w:rFonts w:hint="eastAsia" w:ascii="宋体" w:hAnsi="宋体"/>
          <w:color w:val="auto"/>
          <w:sz w:val="24"/>
        </w:rPr>
        <w:t>47.37</w:t>
      </w:r>
      <w:r>
        <w:rPr>
          <w:rFonts w:hint="eastAsia" w:ascii="宋体" w:hAnsi="宋体"/>
          <w:color w:val="auto"/>
          <w:sz w:val="24"/>
          <w:u w:val="single"/>
        </w:rPr>
        <w:t>承包人施工过程中不得侵犯他人的专利权或者其他合法权益，否则由承包人承担相关责任，并保证不因该侵权行为影响工程建设。</w:t>
      </w:r>
    </w:p>
    <w:p>
      <w:pPr>
        <w:spacing w:line="500" w:lineRule="exact"/>
        <w:ind w:firstLine="480" w:firstLineChars="200"/>
        <w:rPr>
          <w:rFonts w:ascii="宋体" w:hAnsi="宋体"/>
          <w:color w:val="auto"/>
          <w:sz w:val="24"/>
          <w:u w:val="single"/>
        </w:rPr>
      </w:pPr>
      <w:r>
        <w:rPr>
          <w:rFonts w:hint="eastAsia" w:ascii="宋体" w:hAnsi="宋体"/>
          <w:color w:val="auto"/>
          <w:sz w:val="24"/>
        </w:rPr>
        <w:t>47.38</w:t>
      </w:r>
      <w:r>
        <w:rPr>
          <w:rFonts w:hint="eastAsia" w:ascii="宋体" w:hAnsi="宋体"/>
          <w:color w:val="auto"/>
          <w:sz w:val="24"/>
          <w:u w:val="single"/>
        </w:rPr>
        <w:t>承包人与发包人签订合同时所提供的开户银行名称及</w:t>
      </w:r>
      <w:r>
        <w:rPr>
          <w:rFonts w:hint="eastAsia" w:ascii="宋体" w:hAnsi="宋体"/>
          <w:color w:val="auto"/>
          <w:sz w:val="24"/>
          <w:u w:val="single"/>
          <w:lang w:val="en-US" w:eastAsia="zh-CN"/>
        </w:rPr>
        <w:t>账</w:t>
      </w:r>
      <w:r>
        <w:rPr>
          <w:rFonts w:hint="eastAsia" w:ascii="宋体" w:hAnsi="宋体"/>
          <w:color w:val="auto"/>
          <w:sz w:val="24"/>
          <w:u w:val="single"/>
        </w:rPr>
        <w:t>号不得擅自变更，如需变更必须征得发包人的书面同意，否则发包人有权停止工程款的拨付，所造成的一切后果由承包人承担。</w:t>
      </w:r>
    </w:p>
    <w:p>
      <w:pPr>
        <w:spacing w:line="500" w:lineRule="exact"/>
        <w:ind w:firstLine="480" w:firstLineChars="200"/>
        <w:rPr>
          <w:rFonts w:ascii="宋体" w:hAnsi="宋体"/>
          <w:color w:val="auto"/>
          <w:sz w:val="24"/>
          <w:u w:val="single"/>
        </w:rPr>
      </w:pPr>
      <w:r>
        <w:rPr>
          <w:rFonts w:hint="eastAsia" w:ascii="宋体" w:hAnsi="宋体"/>
          <w:color w:val="auto"/>
          <w:sz w:val="24"/>
        </w:rPr>
        <w:t>47.39</w:t>
      </w:r>
      <w:r>
        <w:rPr>
          <w:rFonts w:hint="eastAsia" w:ascii="宋体" w:hAnsi="宋体"/>
          <w:color w:val="auto"/>
          <w:sz w:val="24"/>
          <w:u w:val="single"/>
        </w:rPr>
        <w:t>如发包人为本工程的代建单位，则本工程建设业主同时享有本合同项下属发包人的权利，并且合同中约定需发包人审批的事项，必须经建设业主审批同意后方可实施。</w:t>
      </w:r>
    </w:p>
    <w:p>
      <w:pPr>
        <w:spacing w:line="500" w:lineRule="exact"/>
        <w:ind w:firstLine="480" w:firstLineChars="200"/>
        <w:rPr>
          <w:rFonts w:ascii="宋体" w:hAnsi="宋体"/>
          <w:color w:val="auto"/>
          <w:sz w:val="24"/>
        </w:rPr>
      </w:pPr>
      <w:r>
        <w:rPr>
          <w:rFonts w:hint="eastAsia" w:ascii="宋体" w:hAnsi="宋体"/>
          <w:color w:val="auto"/>
          <w:sz w:val="24"/>
        </w:rPr>
        <w:t>47.40工程获得国家、省级、市级所发奖项的，可给予通报表彰，但不给予任何物质奖励。</w:t>
      </w:r>
    </w:p>
    <w:p>
      <w:pPr>
        <w:spacing w:line="500" w:lineRule="exact"/>
        <w:ind w:firstLine="480" w:firstLineChars="200"/>
        <w:rPr>
          <w:rFonts w:ascii="宋体" w:hAnsi="宋体"/>
          <w:color w:val="auto"/>
          <w:sz w:val="24"/>
          <w:u w:val="single"/>
        </w:rPr>
      </w:pPr>
      <w:r>
        <w:rPr>
          <w:rFonts w:hint="eastAsia" w:ascii="宋体" w:hAnsi="宋体"/>
          <w:color w:val="auto"/>
          <w:sz w:val="24"/>
        </w:rPr>
        <w:t>47.41</w:t>
      </w:r>
      <w:r>
        <w:rPr>
          <w:rFonts w:hint="eastAsia" w:ascii="宋体" w:hAnsi="宋体"/>
          <w:color w:val="auto"/>
          <w:sz w:val="24"/>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pPr>
        <w:spacing w:line="500" w:lineRule="exact"/>
        <w:ind w:firstLine="480" w:firstLineChars="200"/>
        <w:rPr>
          <w:rFonts w:ascii="宋体" w:hAnsi="宋体"/>
          <w:color w:val="auto"/>
          <w:sz w:val="24"/>
          <w:u w:val="single"/>
        </w:rPr>
      </w:pPr>
      <w:r>
        <w:rPr>
          <w:rFonts w:hint="eastAsia" w:ascii="宋体" w:hAnsi="宋体"/>
          <w:color w:val="auto"/>
          <w:sz w:val="24"/>
        </w:rPr>
        <w:t>47.42</w:t>
      </w:r>
      <w:r>
        <w:rPr>
          <w:rFonts w:hint="eastAsia" w:ascii="宋体" w:hAnsi="宋体"/>
          <w:color w:val="auto"/>
          <w:sz w:val="24"/>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pPr>
        <w:spacing w:line="500" w:lineRule="exact"/>
        <w:ind w:firstLine="480" w:firstLineChars="200"/>
        <w:rPr>
          <w:rFonts w:ascii="宋体" w:hAnsi="宋体"/>
          <w:color w:val="auto"/>
          <w:sz w:val="24"/>
          <w:u w:val="single"/>
        </w:rPr>
      </w:pPr>
      <w:r>
        <w:rPr>
          <w:rFonts w:hint="eastAsia" w:ascii="宋体" w:hAnsi="宋体"/>
          <w:color w:val="auto"/>
          <w:sz w:val="24"/>
        </w:rPr>
        <w:t>47.43</w:t>
      </w:r>
      <w:r>
        <w:rPr>
          <w:rFonts w:hint="eastAsia" w:ascii="宋体" w:hAnsi="宋体"/>
          <w:color w:val="auto"/>
          <w:sz w:val="24"/>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pPr>
        <w:spacing w:line="500" w:lineRule="exact"/>
        <w:ind w:firstLine="480" w:firstLineChars="200"/>
        <w:rPr>
          <w:rFonts w:ascii="宋体" w:hAnsi="宋体"/>
          <w:color w:val="auto"/>
          <w:sz w:val="24"/>
          <w:szCs w:val="24"/>
          <w:u w:val="single"/>
        </w:rPr>
      </w:pPr>
      <w:r>
        <w:rPr>
          <w:rFonts w:hint="eastAsia" w:ascii="宋体" w:hAnsi="宋体"/>
          <w:color w:val="auto"/>
          <w:sz w:val="24"/>
          <w:u w:val="single"/>
        </w:rPr>
        <w:t>47.44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w:t>
      </w:r>
      <w:r>
        <w:rPr>
          <w:rFonts w:hint="eastAsia" w:ascii="宋体" w:hAnsi="宋体"/>
          <w:color w:val="auto"/>
          <w:sz w:val="24"/>
          <w:szCs w:val="24"/>
          <w:u w:val="single"/>
        </w:rPr>
        <w:t>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pPr>
        <w:spacing w:line="440" w:lineRule="exact"/>
        <w:ind w:firstLine="480" w:firstLineChars="200"/>
        <w:rPr>
          <w:rFonts w:ascii="宋体" w:hAnsi="宋体" w:cs="宋体"/>
          <w:color w:val="auto"/>
          <w:sz w:val="24"/>
          <w:szCs w:val="24"/>
        </w:rPr>
      </w:pPr>
      <w:r>
        <w:rPr>
          <w:rFonts w:ascii="宋体" w:hAnsi="宋体" w:cs="宋体"/>
          <w:color w:val="auto"/>
          <w:sz w:val="24"/>
          <w:szCs w:val="24"/>
        </w:rPr>
        <w:t>47.4</w:t>
      </w:r>
      <w:r>
        <w:rPr>
          <w:rFonts w:hint="eastAsia" w:ascii="宋体" w:hAnsi="宋体" w:cs="宋体"/>
          <w:color w:val="auto"/>
          <w:sz w:val="24"/>
          <w:szCs w:val="24"/>
        </w:rPr>
        <w:t>5</w:t>
      </w:r>
      <w:r>
        <w:rPr>
          <w:rFonts w:ascii="宋体" w:hAnsi="宋体" w:cs="宋体"/>
          <w:color w:val="auto"/>
          <w:sz w:val="24"/>
          <w:szCs w:val="24"/>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pPr>
        <w:spacing w:line="440" w:lineRule="exact"/>
        <w:ind w:firstLine="480" w:firstLineChars="200"/>
        <w:rPr>
          <w:rFonts w:ascii="宋体" w:hAnsi="宋体"/>
          <w:color w:val="auto"/>
          <w:sz w:val="24"/>
          <w:szCs w:val="24"/>
          <w:u w:val="single"/>
        </w:rPr>
      </w:pPr>
      <w:r>
        <w:rPr>
          <w:rFonts w:hint="eastAsia" w:ascii="宋体" w:hAnsi="宋体"/>
          <w:color w:val="auto"/>
          <w:sz w:val="24"/>
          <w:szCs w:val="24"/>
          <w:u w:val="single"/>
        </w:rPr>
        <w:t>47.46 承包人在施工过程中应严格执行《城市绿化条例》、《广东省城市绿化条例》、《广州市绿化条例》、《广州市城市树木保护管理规定（试行）》（穗林业园林规字〔2022〕1号）等法规规定。不得破坏树木和树木立地生境，不得随意更改树木</w:t>
      </w:r>
      <w:r>
        <w:rPr>
          <w:rFonts w:hint="eastAsia" w:ascii="宋体" w:hAnsi="宋体"/>
          <w:color w:val="auto"/>
          <w:sz w:val="24"/>
          <w:szCs w:val="24"/>
          <w:u w:val="single"/>
          <w:lang w:eastAsia="zh-CN"/>
        </w:rPr>
        <w:t>根茎处</w:t>
      </w:r>
      <w:r>
        <w:rPr>
          <w:rFonts w:hint="eastAsia" w:ascii="宋体" w:hAnsi="宋体"/>
          <w:color w:val="auto"/>
          <w:sz w:val="24"/>
          <w:szCs w:val="24"/>
          <w:u w:val="single"/>
        </w:rPr>
        <w:t>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olor w:val="auto"/>
          <w:sz w:val="24"/>
          <w:szCs w:val="24"/>
          <w:u w:val="single"/>
        </w:rPr>
      </w:pPr>
      <w:r>
        <w:rPr>
          <w:rFonts w:hint="eastAsia" w:ascii="宋体" w:hAnsi="宋体"/>
          <w:color w:val="auto"/>
          <w:sz w:val="24"/>
          <w:szCs w:val="24"/>
          <w:u w:val="single"/>
        </w:rPr>
        <w:t>47.47 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pPr>
        <w:spacing w:line="440" w:lineRule="exact"/>
        <w:ind w:firstLine="480" w:firstLineChars="200"/>
        <w:rPr>
          <w:rFonts w:ascii="宋体" w:hAnsi="宋体"/>
          <w:color w:val="auto"/>
          <w:sz w:val="24"/>
          <w:szCs w:val="24"/>
          <w:u w:val="single"/>
        </w:rPr>
      </w:pPr>
      <w:r>
        <w:rPr>
          <w:rFonts w:hint="eastAsia" w:ascii="宋体" w:hAnsi="宋体"/>
          <w:color w:val="auto"/>
          <w:sz w:val="24"/>
          <w:szCs w:val="24"/>
          <w:u w:val="single"/>
        </w:rPr>
        <w:t xml:space="preserve">47.48 </w:t>
      </w:r>
      <w:r>
        <w:rPr>
          <w:rFonts w:ascii="宋体" w:hAnsi="宋体"/>
          <w:color w:val="auto"/>
          <w:sz w:val="24"/>
          <w:szCs w:val="24"/>
          <w:u w:val="single"/>
        </w:rPr>
        <w:t>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pPr>
        <w:spacing w:line="360" w:lineRule="auto"/>
        <w:ind w:firstLine="480" w:firstLineChars="200"/>
        <w:rPr>
          <w:rFonts w:ascii="宋体" w:hAnsi="宋体"/>
          <w:sz w:val="24"/>
          <w:szCs w:val="24"/>
          <w:u w:val="single"/>
        </w:rPr>
      </w:pPr>
      <w:r>
        <w:rPr>
          <w:rFonts w:hint="eastAsia" w:ascii="宋体" w:hAnsi="宋体"/>
          <w:sz w:val="24"/>
          <w:szCs w:val="24"/>
          <w:u w:val="single"/>
        </w:rPr>
        <w:t>47.50 保证施工人员及现场人员的安全，购买施工作业意外保险，施工过程中产生的施工人员、现场人员工伤责任、人身损害及财产损失由承包人承担。承包人的施工人员及现场人员与发包人不存在任何形式的劳动关系，承包人须在进场施工前（包括人员变更）前提供施工人员及现场人员名单及身份证复印件（加盖公章）给发包人备案。承包人应负责其施工人员及现场人员的劳动关系及管理，自行承担其施工人员的工资薪金、社保福利待遇及安全等事宜及财产及人身伤害风险。</w:t>
      </w:r>
    </w:p>
    <w:p>
      <w:pPr>
        <w:spacing w:line="360" w:lineRule="auto"/>
        <w:ind w:firstLine="480" w:firstLineChars="200"/>
        <w:rPr>
          <w:rFonts w:hint="eastAsia" w:ascii="宋体" w:hAnsi="宋体"/>
          <w:sz w:val="24"/>
          <w:szCs w:val="24"/>
          <w:u w:val="single"/>
        </w:rPr>
      </w:pPr>
      <w:r>
        <w:rPr>
          <w:rFonts w:hint="eastAsia" w:ascii="宋体" w:hAnsi="宋体"/>
          <w:sz w:val="24"/>
          <w:szCs w:val="24"/>
          <w:u w:val="single"/>
        </w:rPr>
        <w:t>47.51本合同有效期内及期满或终止后，承包人均应为发包人之商业信息、技术信息、财务信息及承包人因履行本合同而接触到的一切发包人及（或）其关联公司的信息（包括但不限于收益信息等）等保守秘密。未经发包人事先书面许可，不得对该等信息进行修改、拷贝、散布、传播、展示、发行、授权、制作衍生品、移转或销售，不得以任何方式向第三方披露，亦不得自行或允许他人以任何方式予以使用。如违反本条，发包人有权单方面解除合同并且不支付合同款，承包人应按本合同约定含税总金额的30%支付违约金，如违约金不足以弥补无过错方的经济损失，过错方仍应按实际损失进行赔偿。</w:t>
      </w:r>
    </w:p>
    <w:p>
      <w:pPr>
        <w:spacing w:line="360" w:lineRule="auto"/>
        <w:ind w:left="178" w:firstLine="480"/>
        <w:rPr>
          <w:rFonts w:hint="eastAsia" w:ascii="宋体" w:hAnsi="宋体"/>
          <w:sz w:val="24"/>
          <w:szCs w:val="24"/>
          <w:u w:val="single"/>
        </w:rPr>
      </w:pPr>
      <w:r>
        <w:rPr>
          <w:rFonts w:hint="eastAsia" w:ascii="宋体" w:hAnsi="宋体"/>
          <w:sz w:val="24"/>
          <w:szCs w:val="24"/>
          <w:u w:val="single"/>
        </w:rPr>
        <w:t>本合同期满、解除或终止后，本条的保密义务以及知识产权的约定也将仍然持续有效。</w:t>
      </w:r>
    </w:p>
    <w:p>
      <w:pPr>
        <w:spacing w:line="360" w:lineRule="auto"/>
        <w:ind w:firstLine="480" w:firstLineChars="200"/>
        <w:rPr>
          <w:rFonts w:hint="eastAsia" w:ascii="宋体" w:hAnsi="宋体"/>
          <w:sz w:val="24"/>
          <w:szCs w:val="24"/>
          <w:u w:val="single"/>
        </w:rPr>
      </w:pPr>
      <w:r>
        <w:rPr>
          <w:rFonts w:hint="eastAsia" w:ascii="宋体" w:hAnsi="宋体"/>
          <w:sz w:val="24"/>
          <w:szCs w:val="24"/>
          <w:u w:val="single"/>
        </w:rPr>
        <w:t>47.52 通知和送达</w:t>
      </w:r>
    </w:p>
    <w:p>
      <w:pPr>
        <w:spacing w:line="360" w:lineRule="auto"/>
        <w:ind w:firstLine="480" w:firstLineChars="200"/>
        <w:rPr>
          <w:rFonts w:hint="eastAsia" w:ascii="宋体" w:hAnsi="宋体"/>
          <w:sz w:val="24"/>
          <w:szCs w:val="24"/>
          <w:u w:val="single"/>
        </w:rPr>
      </w:pPr>
      <w:r>
        <w:rPr>
          <w:rFonts w:hint="eastAsia" w:ascii="宋体" w:hAnsi="宋体"/>
          <w:sz w:val="24"/>
          <w:szCs w:val="24"/>
          <w:u w:val="single"/>
        </w:rPr>
        <w:t>合同双方因履行本合同而相互发生或者提供的所有通知、文件、资料，当面送达的，以签收为送达，邮寄或传真送达的，均以合同列明的地址、传真送达，一方如果迁址或者变更电话，应当书面通知对方。通过传真方式送达的，在发出传真时视为送达；以邮寄方式送达的，挂号寄出或者投邮第二日视为送达。</w:t>
      </w:r>
    </w:p>
    <w:p>
      <w:pPr>
        <w:spacing w:line="360" w:lineRule="auto"/>
        <w:ind w:firstLine="480" w:firstLineChars="200"/>
        <w:rPr>
          <w:rFonts w:hint="eastAsia" w:ascii="宋体" w:hAnsi="宋体"/>
          <w:sz w:val="24"/>
          <w:szCs w:val="24"/>
          <w:u w:val="single"/>
        </w:rPr>
      </w:pPr>
      <w:r>
        <w:rPr>
          <w:rFonts w:hint="eastAsia" w:ascii="宋体" w:hAnsi="宋体"/>
          <w:sz w:val="24"/>
          <w:szCs w:val="24"/>
          <w:u w:val="single"/>
        </w:rPr>
        <w:t>47.53承包人为履行本合同而使用或交付发包人的任何含有知识产权的物品、程序或资料，所有与该知识产权相关的费用（含但不限于使用费）视为已包括在合同总价内，如需向第三人支付，均由承包人负责支付，承包人侵犯或涉嫌侵犯任何物品、程序或资料的知识产权，及由此导致发包人持有或使用该类物品、程序或资料构成侵犯或涉嫌侵犯他人的知识产权，因此发生经济纠纷或法律纠纷，一切责任及后果由承包人负责和承担，发包人有权解除合同且不支付合同款，承包人须退还发包人的已付款且须全额赔偿因此给发包人造成的所有损失。</w:t>
      </w:r>
    </w:p>
    <w:p>
      <w:pPr>
        <w:spacing w:line="360" w:lineRule="auto"/>
        <w:ind w:firstLine="480" w:firstLineChars="200"/>
        <w:rPr>
          <w:rFonts w:hint="eastAsia" w:ascii="宋体" w:hAnsi="宋体"/>
          <w:sz w:val="24"/>
          <w:szCs w:val="24"/>
          <w:u w:val="single"/>
        </w:rPr>
      </w:pPr>
      <w:r>
        <w:rPr>
          <w:rFonts w:hint="eastAsia" w:ascii="宋体" w:hAnsi="宋体"/>
          <w:sz w:val="24"/>
          <w:szCs w:val="24"/>
          <w:u w:val="single"/>
        </w:rPr>
        <w:t>47.54 本合同适用中华人民共和国法律、行政法规（不含香港特别行政区、澳门特别行政区和台湾地区），并按照中华人民共和国法律解释和执行。</w:t>
      </w:r>
    </w:p>
    <w:p>
      <w:pPr>
        <w:spacing w:line="440" w:lineRule="exact"/>
        <w:ind w:firstLine="480" w:firstLineChars="200"/>
        <w:rPr>
          <w:rFonts w:ascii="宋体" w:hAnsi="宋体"/>
          <w:color w:val="auto"/>
          <w:sz w:val="24"/>
          <w:szCs w:val="24"/>
          <w:u w:val="single"/>
        </w:rPr>
      </w:pPr>
      <w:r>
        <w:rPr>
          <w:rFonts w:hint="eastAsia" w:ascii="宋体" w:hAnsi="宋体"/>
          <w:color w:val="auto"/>
          <w:sz w:val="24"/>
          <w:szCs w:val="24"/>
          <w:u w:val="single"/>
        </w:rPr>
        <w:t>47.</w:t>
      </w:r>
      <w:r>
        <w:rPr>
          <w:rFonts w:hint="eastAsia" w:ascii="宋体" w:hAnsi="宋体"/>
          <w:color w:val="auto"/>
          <w:sz w:val="24"/>
          <w:szCs w:val="24"/>
          <w:u w:val="single"/>
          <w:lang w:val="en-US" w:eastAsia="zh-CN"/>
        </w:rPr>
        <w:t>55</w:t>
      </w:r>
      <w:r>
        <w:rPr>
          <w:rFonts w:hint="eastAsia" w:ascii="宋体" w:hAnsi="宋体"/>
          <w:color w:val="auto"/>
          <w:sz w:val="24"/>
          <w:szCs w:val="24"/>
          <w:u w:val="single"/>
        </w:rPr>
        <w:t xml:space="preserve"> 未尽事宜，经三方友好协商解决。</w:t>
      </w:r>
    </w:p>
    <w:p>
      <w:pPr>
        <w:bidi w:val="0"/>
        <w:rPr>
          <w:color w:val="auto"/>
        </w:rPr>
      </w:pPr>
      <w:r>
        <w:rPr>
          <w:color w:val="auto"/>
        </w:rPr>
        <w:br w:type="page"/>
      </w:r>
      <w:r>
        <w:rPr>
          <w:rFonts w:hint="eastAsia"/>
          <w:b/>
          <w:bCs/>
          <w:color w:val="auto"/>
        </w:rPr>
        <w:t>附件</w:t>
      </w:r>
      <w:r>
        <w:rPr>
          <w:rFonts w:hint="eastAsia"/>
          <w:b/>
          <w:bCs/>
          <w:color w:val="auto"/>
          <w:lang w:val="en-US" w:eastAsia="zh-CN"/>
        </w:rPr>
        <w:t>1</w:t>
      </w:r>
      <w:r>
        <w:rPr>
          <w:rFonts w:hint="eastAsia"/>
          <w:b/>
          <w:bCs/>
          <w:color w:val="auto"/>
        </w:rPr>
        <w:t>：</w:t>
      </w:r>
    </w:p>
    <w:p>
      <w:pPr>
        <w:bidi w:val="0"/>
        <w:jc w:val="center"/>
        <w:rPr>
          <w:rStyle w:val="129"/>
          <w:b w:val="0"/>
          <w:color w:val="auto"/>
          <w:sz w:val="32"/>
          <w:szCs w:val="32"/>
        </w:rPr>
      </w:pPr>
      <w:r>
        <w:rPr>
          <w:rStyle w:val="129"/>
          <w:rFonts w:hint="eastAsia"/>
          <w:b w:val="0"/>
          <w:color w:val="auto"/>
          <w:sz w:val="32"/>
          <w:szCs w:val="32"/>
        </w:rPr>
        <w:t>建设工程质量保修书</w:t>
      </w:r>
    </w:p>
    <w:p>
      <w:pPr>
        <w:spacing w:line="360" w:lineRule="exact"/>
        <w:ind w:firstLine="480" w:firstLineChars="200"/>
        <w:rPr>
          <w:rFonts w:ascii="宋体" w:hAnsi="宋体"/>
          <w:color w:val="auto"/>
          <w:sz w:val="24"/>
          <w:szCs w:val="24"/>
          <w:u w:val="single"/>
        </w:rPr>
      </w:pPr>
      <w:r>
        <w:rPr>
          <w:rFonts w:hint="eastAsia" w:ascii="宋体" w:hAnsi="宋体"/>
          <w:snapToGrid w:val="0"/>
          <w:color w:val="auto"/>
          <w:kern w:val="0"/>
          <w:sz w:val="24"/>
        </w:rPr>
        <w:t>发包人：</w:t>
      </w:r>
      <w:r>
        <w:rPr>
          <w:rFonts w:hint="eastAsia" w:ascii="宋体" w:hAnsi="宋体"/>
          <w:color w:val="auto"/>
          <w:sz w:val="24"/>
          <w:szCs w:val="24"/>
          <w:u w:val="single"/>
        </w:rPr>
        <w:t>广州开投智慧能源投资有限公司</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项目建设管理单位：</w:t>
      </w:r>
      <w:r>
        <w:rPr>
          <w:rFonts w:hint="eastAsia" w:ascii="宋体" w:hAnsi="宋体"/>
          <w:color w:val="auto"/>
          <w:sz w:val="24"/>
          <w:szCs w:val="24"/>
          <w:u w:val="single"/>
        </w:rPr>
        <w:t>广州市金鼎广铝装饰工程有限公司</w:t>
      </w:r>
    </w:p>
    <w:p>
      <w:pPr>
        <w:spacing w:line="360" w:lineRule="exact"/>
        <w:ind w:firstLine="480" w:firstLineChars="200"/>
        <w:rPr>
          <w:rFonts w:ascii="宋体" w:hAnsi="宋体"/>
          <w:snapToGrid w:val="0"/>
          <w:color w:val="auto"/>
          <w:kern w:val="0"/>
          <w:sz w:val="24"/>
          <w:u w:val="single"/>
        </w:rPr>
      </w:pPr>
      <w:r>
        <w:rPr>
          <w:rFonts w:hint="eastAsia" w:ascii="宋体" w:hAnsi="宋体"/>
          <w:snapToGrid w:val="0"/>
          <w:color w:val="auto"/>
          <w:kern w:val="0"/>
          <w:sz w:val="24"/>
        </w:rPr>
        <w:t>承包人：</w:t>
      </w:r>
      <w:r>
        <w:rPr>
          <w:rFonts w:hint="eastAsia" w:ascii="宋体" w:hAnsi="宋体"/>
          <w:color w:val="auto"/>
          <w:sz w:val="24"/>
          <w:u w:val="single"/>
        </w:rPr>
        <w:t xml:space="preserve">                       </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发包人、项目建设管理单位、承包人根据《中华人民共和国建筑法》、《建设工程质量管理条例》和《房屋建筑工程质量保修办法》等相关规定，经协商一致，对</w:t>
      </w:r>
      <w:r>
        <w:rPr>
          <w:rFonts w:hint="eastAsia" w:ascii="宋体" w:hAnsi="宋体"/>
          <w:snapToGrid w:val="0"/>
          <w:color w:val="auto"/>
          <w:kern w:val="0"/>
          <w:sz w:val="24"/>
          <w:u w:val="single"/>
        </w:rPr>
        <w:t xml:space="preserve">            </w:t>
      </w:r>
      <w:r>
        <w:rPr>
          <w:rFonts w:hint="eastAsia" w:ascii="宋体" w:hAnsi="宋体"/>
          <w:snapToGrid w:val="0"/>
          <w:color w:val="auto"/>
          <w:kern w:val="0"/>
          <w:sz w:val="24"/>
        </w:rPr>
        <w:t>建设项目工程项目签订工程质量保修书。</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一、工程质量保修范围和内容</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1、承包人在质量保修期内，按照有关法律、法规、规章的管理规定和</w:t>
      </w:r>
      <w:r>
        <w:rPr>
          <w:rFonts w:hint="eastAsia" w:ascii="宋体" w:hAnsi="宋体"/>
          <w:color w:val="auto"/>
          <w:sz w:val="24"/>
          <w:szCs w:val="24"/>
          <w:u w:val="single"/>
        </w:rPr>
        <w:t>三</w:t>
      </w:r>
      <w:r>
        <w:rPr>
          <w:rFonts w:hint="eastAsia" w:ascii="宋体" w:hAnsi="宋体"/>
          <w:snapToGrid w:val="0"/>
          <w:color w:val="auto"/>
          <w:kern w:val="0"/>
          <w:sz w:val="24"/>
        </w:rPr>
        <w:t>方约定，承担本工程质量保修责任。</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2、质量保修范围本工程施工合同约定的工程内容。</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二、质量保修期</w:t>
      </w:r>
    </w:p>
    <w:p>
      <w:pPr>
        <w:spacing w:line="360" w:lineRule="exact"/>
        <w:ind w:firstLine="480" w:firstLineChars="200"/>
        <w:rPr>
          <w:rFonts w:ascii="宋体" w:hAnsi="宋体"/>
          <w:snapToGrid w:val="0"/>
          <w:color w:val="auto"/>
          <w:kern w:val="0"/>
          <w:sz w:val="24"/>
        </w:rPr>
      </w:pPr>
      <w:r>
        <w:rPr>
          <w:rFonts w:hint="eastAsia" w:ascii="宋体" w:hAnsi="宋体"/>
          <w:color w:val="auto"/>
          <w:sz w:val="24"/>
          <w:szCs w:val="24"/>
          <w:u w:val="single"/>
        </w:rPr>
        <w:t>三</w:t>
      </w:r>
      <w:r>
        <w:rPr>
          <w:rFonts w:hint="eastAsia" w:ascii="宋体" w:hAnsi="宋体"/>
          <w:snapToGrid w:val="0"/>
          <w:color w:val="auto"/>
          <w:kern w:val="0"/>
          <w:sz w:val="24"/>
        </w:rPr>
        <w:t>方根据《建设工程质量管理条例》、《房屋建筑工程质量保修办法》（建设部第80号令）的有关规定及设计要求，约定本工程质量保修期如下：</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1、地基基础工程和主体结构工程为设计文件规定的该工程的合理使用年限；</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2、屋面防水工程、有防水要求的卫生间、房间和外墙面的防渗漏为</w:t>
      </w:r>
      <w:r>
        <w:rPr>
          <w:rFonts w:hint="eastAsia" w:ascii="宋体" w:hAnsi="宋体"/>
          <w:snapToGrid w:val="0"/>
          <w:color w:val="auto"/>
          <w:kern w:val="0"/>
          <w:sz w:val="24"/>
          <w:u w:val="single"/>
        </w:rPr>
        <w:t xml:space="preserve"> 5 </w:t>
      </w:r>
      <w:r>
        <w:rPr>
          <w:rFonts w:hint="eastAsia" w:ascii="宋体" w:hAnsi="宋体"/>
          <w:snapToGrid w:val="0"/>
          <w:color w:val="auto"/>
          <w:kern w:val="0"/>
          <w:sz w:val="24"/>
        </w:rPr>
        <w:t>年；</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3、电气管线、给排水管道、设备安装工程为</w:t>
      </w:r>
      <w:r>
        <w:rPr>
          <w:rFonts w:hint="eastAsia" w:ascii="宋体" w:hAnsi="宋体"/>
          <w:snapToGrid w:val="0"/>
          <w:color w:val="auto"/>
          <w:kern w:val="0"/>
          <w:sz w:val="24"/>
          <w:u w:val="single"/>
        </w:rPr>
        <w:t xml:space="preserve"> 2 </w:t>
      </w:r>
      <w:r>
        <w:rPr>
          <w:rFonts w:hint="eastAsia" w:ascii="宋体" w:hAnsi="宋体"/>
          <w:snapToGrid w:val="0"/>
          <w:color w:val="auto"/>
          <w:kern w:val="0"/>
          <w:sz w:val="24"/>
        </w:rPr>
        <w:t>年；</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4、供热及供冷为</w:t>
      </w:r>
      <w:r>
        <w:rPr>
          <w:rFonts w:hint="eastAsia" w:ascii="宋体" w:hAnsi="宋体"/>
          <w:snapToGrid w:val="0"/>
          <w:color w:val="auto"/>
          <w:kern w:val="0"/>
          <w:sz w:val="24"/>
          <w:u w:val="single"/>
        </w:rPr>
        <w:t xml:space="preserve"> 2</w:t>
      </w:r>
      <w:r>
        <w:rPr>
          <w:rFonts w:hint="eastAsia" w:ascii="宋体" w:hAnsi="宋体"/>
          <w:snapToGrid w:val="0"/>
          <w:color w:val="auto"/>
          <w:kern w:val="0"/>
          <w:sz w:val="24"/>
        </w:rPr>
        <w:t>个采暖期及供冷期；</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5、装饰装修工程为</w:t>
      </w:r>
      <w:r>
        <w:rPr>
          <w:rFonts w:hint="eastAsia" w:ascii="宋体" w:hAnsi="宋体"/>
          <w:snapToGrid w:val="0"/>
          <w:color w:val="auto"/>
          <w:kern w:val="0"/>
          <w:sz w:val="24"/>
          <w:u w:val="single"/>
        </w:rPr>
        <w:t xml:space="preserve"> 2 </w:t>
      </w:r>
      <w:r>
        <w:rPr>
          <w:rFonts w:hint="eastAsia" w:ascii="宋体" w:hAnsi="宋体"/>
          <w:snapToGrid w:val="0"/>
          <w:color w:val="auto"/>
          <w:kern w:val="0"/>
          <w:sz w:val="24"/>
        </w:rPr>
        <w:t>年；</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 xml:space="preserve">6、室外的上下水和小区道路等市政公用工程为 </w:t>
      </w:r>
      <w:r>
        <w:rPr>
          <w:rFonts w:hint="eastAsia" w:ascii="宋体" w:hAnsi="宋体"/>
          <w:snapToGrid w:val="0"/>
          <w:color w:val="auto"/>
          <w:kern w:val="0"/>
          <w:sz w:val="24"/>
          <w:u w:val="single"/>
        </w:rPr>
        <w:t xml:space="preserve"> 2 </w:t>
      </w:r>
      <w:r>
        <w:rPr>
          <w:rFonts w:hint="eastAsia" w:ascii="宋体" w:hAnsi="宋体"/>
          <w:snapToGrid w:val="0"/>
          <w:color w:val="auto"/>
          <w:kern w:val="0"/>
          <w:sz w:val="24"/>
        </w:rPr>
        <w:t>年；</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7、在本项目建成投入使用的前两年内，需对钢结构的节点、杆件应力集中部位、支座等受力关键部位进行应力、应变监控（监测方案由</w:t>
      </w:r>
      <w:r>
        <w:rPr>
          <w:rFonts w:hint="eastAsia" w:ascii="宋体" w:hAnsi="宋体"/>
          <w:color w:val="auto"/>
          <w:szCs w:val="21"/>
        </w:rPr>
        <w:t>三</w:t>
      </w:r>
      <w:r>
        <w:rPr>
          <w:rFonts w:hint="eastAsia" w:ascii="宋体" w:hAnsi="宋体"/>
          <w:snapToGrid w:val="0"/>
          <w:color w:val="auto"/>
          <w:kern w:val="0"/>
          <w:sz w:val="24"/>
        </w:rPr>
        <w:t>方确定）。</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 xml:space="preserve">8、其他约定：按国家现行规范规程及相关标准和设计的有关要求执行。 </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质量保修期自广州开发区管委会或其相关职能部门批准的提前移交之日或工程竣工验收合格之日起（以先发生日期为准）计算（广州开发区、黄埔区对工程竣工验收有相关规定的，按该规定执行）。</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三、质量保修责任</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1、属于保修范围、内容的项目，承包人应当在接到保修通知之日后7天内派人修理。承包人不在约定期限内派人修理，发包人委托他人修理。</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2、发生须紧急抢修事故的，承包人接到事故通知后，应当立即到达事故现场抢修。</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1）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（2）质量保修完成后，由发包人组织验收。</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四、保修费用</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保修费用及相关的损害赔偿费，由造成质量缺陷的责任方承担。</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五、其他</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1、保修金的使用、约定和支付按施工合同的约定执行。</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2、发包人将保修金返还给承包人后，承包人仍须按《建设工程质量管理条例》及市政府有关部门规定承担保修责任。</w:t>
      </w:r>
    </w:p>
    <w:p>
      <w:pPr>
        <w:spacing w:line="360" w:lineRule="exact"/>
        <w:ind w:firstLine="480" w:firstLineChars="200"/>
        <w:rPr>
          <w:rFonts w:ascii="宋体" w:hAnsi="宋体"/>
          <w:snapToGrid w:val="0"/>
          <w:color w:val="auto"/>
          <w:kern w:val="0"/>
          <w:sz w:val="24"/>
        </w:rPr>
      </w:pPr>
      <w:r>
        <w:rPr>
          <w:rFonts w:hint="eastAsia" w:ascii="宋体" w:hAnsi="宋体"/>
          <w:snapToGrid w:val="0"/>
          <w:color w:val="auto"/>
          <w:kern w:val="0"/>
          <w:sz w:val="24"/>
        </w:rPr>
        <w:t xml:space="preserve">3、本工程质量保修书由施工合同发包人、项目建设管理单位、承包人三方共同签署，作为施工合同附件，其有效期限至保修期满。 </w:t>
      </w:r>
    </w:p>
    <w:p>
      <w:pPr>
        <w:adjustRightInd w:val="0"/>
        <w:snapToGrid w:val="0"/>
        <w:spacing w:before="156" w:beforeLines="50" w:after="156" w:afterLines="50" w:line="360" w:lineRule="exact"/>
        <w:rPr>
          <w:rFonts w:ascii="宋体" w:hAnsi="宋体"/>
          <w:color w:val="auto"/>
          <w:sz w:val="24"/>
        </w:rPr>
      </w:pPr>
    </w:p>
    <w:p>
      <w:pPr>
        <w:adjustRightInd w:val="0"/>
        <w:snapToGrid w:val="0"/>
        <w:spacing w:before="156" w:beforeLines="50" w:after="156" w:afterLines="50" w:line="360" w:lineRule="exact"/>
        <w:rPr>
          <w:rFonts w:ascii="宋体" w:hAnsi="宋体"/>
          <w:color w:val="auto"/>
          <w:sz w:val="24"/>
        </w:rPr>
      </w:pPr>
    </w:p>
    <w:p>
      <w:pPr>
        <w:adjustRightInd w:val="0"/>
        <w:snapToGrid w:val="0"/>
        <w:spacing w:before="156" w:beforeLines="50" w:after="156" w:afterLines="50" w:line="360" w:lineRule="exact"/>
        <w:ind w:firstLine="567"/>
        <w:rPr>
          <w:rFonts w:ascii="宋体" w:hAnsi="宋体"/>
          <w:color w:val="auto"/>
          <w:sz w:val="24"/>
        </w:rPr>
      </w:pPr>
      <w:r>
        <w:rPr>
          <w:rFonts w:hint="eastAsia" w:ascii="宋体" w:hAnsi="宋体"/>
          <w:color w:val="auto"/>
          <w:sz w:val="24"/>
        </w:rPr>
        <w:t xml:space="preserve">发  包  人（公章）： </w:t>
      </w:r>
    </w:p>
    <w:p>
      <w:pPr>
        <w:adjustRightInd w:val="0"/>
        <w:snapToGrid w:val="0"/>
        <w:spacing w:before="156" w:beforeLines="50" w:after="156" w:afterLines="50" w:line="360" w:lineRule="exact"/>
        <w:ind w:firstLine="567"/>
        <w:rPr>
          <w:rFonts w:ascii="宋体" w:hAnsi="宋体"/>
          <w:color w:val="auto"/>
          <w:sz w:val="24"/>
        </w:rPr>
      </w:pPr>
      <w:r>
        <w:rPr>
          <w:rFonts w:hint="eastAsia" w:ascii="宋体" w:hAnsi="宋体"/>
          <w:color w:val="auto"/>
          <w:sz w:val="24"/>
        </w:rPr>
        <w:t>法定代表人（签字）：</w:t>
      </w:r>
    </w:p>
    <w:p>
      <w:pPr>
        <w:adjustRightInd w:val="0"/>
        <w:snapToGrid w:val="0"/>
        <w:spacing w:before="156" w:beforeLines="50" w:after="156" w:afterLines="50" w:line="360" w:lineRule="exact"/>
        <w:ind w:firstLine="567"/>
        <w:rPr>
          <w:rFonts w:ascii="宋体" w:hAnsi="宋体"/>
          <w:color w:val="auto"/>
          <w:sz w:val="24"/>
        </w:rPr>
      </w:pPr>
      <w:r>
        <w:rPr>
          <w:rFonts w:hint="eastAsia" w:ascii="宋体" w:hAnsi="宋体"/>
          <w:color w:val="auto"/>
          <w:sz w:val="24"/>
        </w:rPr>
        <w:t>委托代理人（签字）：</w:t>
      </w:r>
    </w:p>
    <w:p>
      <w:pPr>
        <w:adjustRightInd w:val="0"/>
        <w:snapToGrid w:val="0"/>
        <w:spacing w:before="156" w:beforeLines="50" w:after="156" w:afterLines="50" w:line="360" w:lineRule="exact"/>
        <w:ind w:firstLine="567"/>
        <w:rPr>
          <w:rFonts w:ascii="宋体" w:hAnsi="宋体"/>
          <w:color w:val="auto"/>
          <w:sz w:val="24"/>
        </w:rPr>
      </w:pPr>
    </w:p>
    <w:p>
      <w:pPr>
        <w:spacing w:before="100" w:beforeAutospacing="1" w:after="100" w:afterAutospacing="1" w:line="360" w:lineRule="exact"/>
        <w:ind w:right="11" w:firstLine="567"/>
        <w:rPr>
          <w:rFonts w:ascii="宋体" w:hAnsi="宋体"/>
          <w:color w:val="auto"/>
          <w:sz w:val="24"/>
        </w:rPr>
      </w:pPr>
      <w:r>
        <w:rPr>
          <w:rFonts w:hint="eastAsia" w:ascii="宋体" w:hAnsi="宋体"/>
          <w:color w:val="auto"/>
          <w:sz w:val="24"/>
        </w:rPr>
        <w:t xml:space="preserve">                                         20   年  月   日  </w:t>
      </w:r>
    </w:p>
    <w:p>
      <w:pPr>
        <w:adjustRightInd w:val="0"/>
        <w:snapToGrid w:val="0"/>
        <w:spacing w:before="156" w:beforeLines="50" w:after="156" w:afterLines="50" w:line="360" w:lineRule="exact"/>
        <w:rPr>
          <w:rFonts w:ascii="宋体" w:hAnsi="宋体"/>
          <w:color w:val="auto"/>
          <w:sz w:val="24"/>
        </w:rPr>
      </w:pPr>
    </w:p>
    <w:p>
      <w:pPr>
        <w:adjustRightInd w:val="0"/>
        <w:snapToGrid w:val="0"/>
        <w:spacing w:before="156" w:beforeLines="50" w:after="156" w:afterLines="50" w:line="360" w:lineRule="exact"/>
        <w:ind w:firstLine="567"/>
        <w:rPr>
          <w:rFonts w:ascii="宋体" w:hAnsi="宋体"/>
          <w:color w:val="auto"/>
          <w:sz w:val="24"/>
        </w:rPr>
      </w:pPr>
      <w:r>
        <w:rPr>
          <w:rFonts w:hint="eastAsia" w:ascii="宋体" w:hAnsi="宋体"/>
          <w:color w:val="auto"/>
          <w:sz w:val="24"/>
        </w:rPr>
        <w:t xml:space="preserve">项目建设管理单位（公章）： </w:t>
      </w:r>
    </w:p>
    <w:p>
      <w:pPr>
        <w:adjustRightInd w:val="0"/>
        <w:snapToGrid w:val="0"/>
        <w:spacing w:before="156" w:beforeLines="50" w:after="156" w:afterLines="50" w:line="360" w:lineRule="exact"/>
        <w:ind w:firstLine="567"/>
        <w:rPr>
          <w:rFonts w:ascii="宋体" w:hAnsi="宋体"/>
          <w:color w:val="auto"/>
          <w:sz w:val="24"/>
        </w:rPr>
      </w:pPr>
      <w:r>
        <w:rPr>
          <w:rFonts w:hint="eastAsia" w:ascii="宋体" w:hAnsi="宋体"/>
          <w:color w:val="auto"/>
          <w:sz w:val="24"/>
        </w:rPr>
        <w:t>法定代表人（签字）：</w:t>
      </w:r>
    </w:p>
    <w:p>
      <w:pPr>
        <w:adjustRightInd w:val="0"/>
        <w:snapToGrid w:val="0"/>
        <w:spacing w:before="156" w:beforeLines="50" w:after="156" w:afterLines="50" w:line="360" w:lineRule="exact"/>
        <w:ind w:firstLine="567"/>
        <w:rPr>
          <w:rFonts w:ascii="宋体" w:hAnsi="宋体"/>
          <w:color w:val="auto"/>
          <w:sz w:val="24"/>
        </w:rPr>
      </w:pPr>
      <w:r>
        <w:rPr>
          <w:rFonts w:hint="eastAsia" w:ascii="宋体" w:hAnsi="宋体"/>
          <w:color w:val="auto"/>
          <w:sz w:val="24"/>
        </w:rPr>
        <w:t>委托代理人（签字）：</w:t>
      </w:r>
    </w:p>
    <w:p>
      <w:pPr>
        <w:adjustRightInd w:val="0"/>
        <w:snapToGrid w:val="0"/>
        <w:spacing w:before="156" w:beforeLines="50" w:after="156" w:afterLines="50" w:line="360" w:lineRule="exact"/>
        <w:ind w:firstLine="567"/>
        <w:rPr>
          <w:rFonts w:ascii="宋体" w:hAnsi="宋体"/>
          <w:color w:val="auto"/>
          <w:sz w:val="24"/>
        </w:rPr>
      </w:pPr>
    </w:p>
    <w:p>
      <w:pPr>
        <w:spacing w:before="100" w:beforeAutospacing="1" w:after="100" w:afterAutospacing="1" w:line="360" w:lineRule="exact"/>
        <w:ind w:right="11" w:firstLine="567"/>
        <w:rPr>
          <w:rFonts w:ascii="宋体" w:hAnsi="宋体"/>
          <w:color w:val="auto"/>
          <w:sz w:val="24"/>
        </w:rPr>
      </w:pPr>
      <w:r>
        <w:rPr>
          <w:rFonts w:hint="eastAsia" w:ascii="宋体" w:hAnsi="宋体"/>
          <w:color w:val="auto"/>
          <w:sz w:val="24"/>
        </w:rPr>
        <w:t xml:space="preserve">                                         20   年  月   日  </w:t>
      </w:r>
    </w:p>
    <w:p>
      <w:pPr>
        <w:pStyle w:val="20"/>
        <w:rPr>
          <w:rFonts w:hAnsi="宋体"/>
          <w:color w:val="auto"/>
          <w:sz w:val="24"/>
        </w:rPr>
      </w:pPr>
    </w:p>
    <w:p>
      <w:pPr>
        <w:rPr>
          <w:color w:val="auto"/>
        </w:rPr>
      </w:pPr>
    </w:p>
    <w:p>
      <w:pPr>
        <w:adjustRightInd w:val="0"/>
        <w:snapToGrid w:val="0"/>
        <w:spacing w:before="156" w:beforeLines="50" w:after="156" w:afterLines="50" w:line="360" w:lineRule="exact"/>
        <w:ind w:firstLine="567"/>
        <w:rPr>
          <w:rFonts w:ascii="宋体" w:hAnsi="宋体"/>
          <w:color w:val="auto"/>
          <w:sz w:val="24"/>
        </w:rPr>
      </w:pPr>
      <w:r>
        <w:rPr>
          <w:rFonts w:hint="eastAsia" w:ascii="宋体" w:hAnsi="宋体"/>
          <w:color w:val="auto"/>
          <w:sz w:val="24"/>
        </w:rPr>
        <w:t xml:space="preserve">承  包  人（公章）：  </w:t>
      </w:r>
    </w:p>
    <w:p>
      <w:pPr>
        <w:adjustRightInd w:val="0"/>
        <w:snapToGrid w:val="0"/>
        <w:spacing w:before="156" w:beforeLines="50" w:after="156" w:afterLines="50" w:line="360" w:lineRule="exact"/>
        <w:ind w:firstLine="567"/>
        <w:rPr>
          <w:rFonts w:ascii="宋体" w:hAnsi="宋体"/>
          <w:color w:val="auto"/>
          <w:sz w:val="24"/>
        </w:rPr>
      </w:pPr>
      <w:r>
        <w:rPr>
          <w:rFonts w:hint="eastAsia" w:ascii="宋体" w:hAnsi="宋体"/>
          <w:color w:val="auto"/>
          <w:sz w:val="24"/>
        </w:rPr>
        <w:t xml:space="preserve">法定代表人（签字）：                      </w:t>
      </w:r>
    </w:p>
    <w:p>
      <w:pPr>
        <w:snapToGrid w:val="0"/>
        <w:spacing w:line="440" w:lineRule="exact"/>
        <w:jc w:val="center"/>
        <w:rPr>
          <w:rFonts w:ascii="宋体" w:hAnsi="宋体"/>
          <w:color w:val="auto"/>
          <w:sz w:val="24"/>
        </w:rPr>
      </w:pPr>
      <w:r>
        <w:rPr>
          <w:rFonts w:hint="eastAsia" w:ascii="宋体" w:hAnsi="宋体"/>
          <w:color w:val="auto"/>
          <w:sz w:val="24"/>
        </w:rPr>
        <w:t xml:space="preserve">                            20   年  月  日</w:t>
      </w:r>
    </w:p>
    <w:p>
      <w:pPr>
        <w:snapToGrid w:val="0"/>
        <w:spacing w:line="440" w:lineRule="exact"/>
        <w:jc w:val="center"/>
        <w:rPr>
          <w:rFonts w:ascii="宋体" w:hAnsi="宋体"/>
          <w:color w:val="auto"/>
          <w:sz w:val="24"/>
        </w:rPr>
      </w:pPr>
    </w:p>
    <w:p>
      <w:pPr>
        <w:snapToGrid w:val="0"/>
        <w:spacing w:line="440" w:lineRule="exact"/>
        <w:jc w:val="center"/>
        <w:rPr>
          <w:rFonts w:ascii="宋体" w:hAnsi="宋体"/>
          <w:color w:val="auto"/>
          <w:sz w:val="24"/>
        </w:rPr>
      </w:pPr>
    </w:p>
    <w:p>
      <w:pPr>
        <w:snapToGrid w:val="0"/>
        <w:spacing w:line="440" w:lineRule="exact"/>
        <w:jc w:val="center"/>
        <w:rPr>
          <w:rFonts w:ascii="宋体" w:hAnsi="宋体"/>
          <w:color w:val="auto"/>
          <w:sz w:val="24"/>
        </w:rPr>
      </w:pPr>
    </w:p>
    <w:p>
      <w:pPr>
        <w:snapToGrid w:val="0"/>
        <w:spacing w:line="440" w:lineRule="exact"/>
        <w:rPr>
          <w:rFonts w:ascii="宋体" w:hAnsi="宋体"/>
          <w:color w:val="auto"/>
          <w:sz w:val="24"/>
        </w:rPr>
      </w:pPr>
    </w:p>
    <w:p>
      <w:pPr>
        <w:pStyle w:val="20"/>
        <w:rPr>
          <w:rFonts w:ascii="宋体" w:hAnsi="宋体"/>
          <w:color w:val="auto"/>
          <w:sz w:val="24"/>
        </w:rPr>
      </w:pPr>
    </w:p>
    <w:p>
      <w:pPr>
        <w:rPr>
          <w:color w:val="auto"/>
        </w:rPr>
      </w:pPr>
    </w:p>
    <w:p>
      <w:pPr>
        <w:pStyle w:val="20"/>
        <w:rPr>
          <w:color w:val="auto"/>
        </w:rPr>
      </w:pPr>
    </w:p>
    <w:p>
      <w:pPr>
        <w:pStyle w:val="20"/>
        <w:rPr>
          <w:color w:val="auto"/>
        </w:rPr>
      </w:pPr>
    </w:p>
    <w:p>
      <w:pPr>
        <w:pStyle w:val="140"/>
        <w:adjustRightInd w:val="0"/>
        <w:snapToGrid w:val="0"/>
        <w:spacing w:line="400" w:lineRule="exact"/>
        <w:ind w:firstLine="657"/>
        <w:rPr>
          <w:rFonts w:ascii="宋体" w:hAnsi="宋体"/>
          <w:color w:val="auto"/>
          <w:sz w:val="24"/>
        </w:rPr>
      </w:pPr>
      <w:r>
        <w:rPr>
          <w:rFonts w:hint="eastAsia" w:ascii="宋体" w:hAnsi="宋体"/>
          <w:b/>
          <w:bCs/>
          <w:color w:val="auto"/>
          <w:sz w:val="30"/>
          <w:szCs w:val="30"/>
        </w:rPr>
        <w:t>附件</w:t>
      </w:r>
      <w:r>
        <w:rPr>
          <w:rFonts w:hint="eastAsia" w:ascii="宋体" w:hAnsi="宋体"/>
          <w:b/>
          <w:bCs/>
          <w:color w:val="auto"/>
          <w:sz w:val="30"/>
          <w:szCs w:val="30"/>
          <w:lang w:val="en-US" w:eastAsia="zh-CN"/>
        </w:rPr>
        <w:t>2</w:t>
      </w:r>
      <w:r>
        <w:rPr>
          <w:rFonts w:hint="eastAsia" w:ascii="宋体" w:hAnsi="宋体"/>
          <w:b/>
          <w:bCs/>
          <w:color w:val="auto"/>
          <w:sz w:val="30"/>
          <w:szCs w:val="30"/>
        </w:rPr>
        <w:t xml:space="preserve">：            </w:t>
      </w:r>
      <w:r>
        <w:rPr>
          <w:rFonts w:hint="eastAsia" w:ascii="宋体" w:hAnsi="宋体"/>
          <w:color w:val="auto"/>
          <w:sz w:val="24"/>
        </w:rPr>
        <w:t xml:space="preserve">  </w:t>
      </w:r>
    </w:p>
    <w:p>
      <w:pPr>
        <w:pStyle w:val="140"/>
        <w:adjustRightInd w:val="0"/>
        <w:snapToGrid w:val="0"/>
        <w:spacing w:line="400" w:lineRule="exact"/>
        <w:ind w:firstLine="525"/>
        <w:rPr>
          <w:rFonts w:ascii="宋体" w:hAnsi="宋体"/>
          <w:color w:val="auto"/>
          <w:sz w:val="24"/>
        </w:rPr>
      </w:pPr>
    </w:p>
    <w:p>
      <w:pPr>
        <w:bidi w:val="0"/>
        <w:jc w:val="center"/>
        <w:rPr>
          <w:rStyle w:val="129"/>
          <w:b/>
          <w:bCs w:val="0"/>
          <w:color w:val="auto"/>
          <w:sz w:val="32"/>
          <w:szCs w:val="32"/>
        </w:rPr>
      </w:pPr>
      <w:r>
        <w:rPr>
          <w:rStyle w:val="129"/>
          <w:rFonts w:hint="eastAsia"/>
          <w:b/>
          <w:bCs w:val="0"/>
          <w:color w:val="auto"/>
          <w:sz w:val="32"/>
          <w:szCs w:val="32"/>
        </w:rPr>
        <w:t>工程建设项目廉政责任书</w:t>
      </w:r>
    </w:p>
    <w:p>
      <w:pPr>
        <w:pStyle w:val="192"/>
        <w:adjustRightInd w:val="0"/>
        <w:snapToGrid w:val="0"/>
        <w:spacing w:line="400" w:lineRule="exact"/>
        <w:ind w:firstLine="0"/>
        <w:rPr>
          <w:rFonts w:ascii="宋体" w:hAnsi="宋体"/>
          <w:snapToGrid w:val="0"/>
          <w:color w:val="auto"/>
          <w:kern w:val="0"/>
          <w:sz w:val="24"/>
        </w:rPr>
      </w:pPr>
    </w:p>
    <w:p>
      <w:pPr>
        <w:pStyle w:val="140"/>
        <w:adjustRightInd w:val="0"/>
        <w:snapToGrid w:val="0"/>
        <w:spacing w:line="400" w:lineRule="exact"/>
        <w:ind w:left="1762" w:hanging="1761" w:hangingChars="734"/>
        <w:rPr>
          <w:rFonts w:hint="eastAsia" w:ascii="宋体" w:hAnsi="宋体" w:eastAsia="宋体"/>
          <w:color w:val="auto"/>
          <w:sz w:val="24"/>
          <w:szCs w:val="24"/>
          <w:u w:val="single"/>
          <w:lang w:val="en-US" w:eastAsia="zh-CN"/>
        </w:rPr>
      </w:pPr>
      <w:r>
        <w:rPr>
          <w:rFonts w:hint="eastAsia" w:ascii="宋体" w:hAnsi="宋体"/>
          <w:color w:val="auto"/>
          <w:sz w:val="24"/>
        </w:rPr>
        <w:t>工程项目名称：</w:t>
      </w:r>
      <w:r>
        <w:rPr>
          <w:rFonts w:hint="eastAsia" w:ascii="宋体" w:hAnsi="宋体" w:cs="Times New Roman"/>
          <w:color w:val="auto"/>
          <w:sz w:val="24"/>
          <w:szCs w:val="24"/>
          <w:u w:val="single"/>
          <w:lang w:eastAsia="zh-CN"/>
        </w:rPr>
        <w:t>孚能科技年产30GWh动力电池生产基地电芯车间1、化成车间1、PACK车间、动力站房及其他单体洁净机电工程施工总承包。</w:t>
      </w:r>
    </w:p>
    <w:p>
      <w:pPr>
        <w:pStyle w:val="140"/>
        <w:adjustRightInd w:val="0"/>
        <w:snapToGrid w:val="0"/>
        <w:spacing w:line="400" w:lineRule="exact"/>
        <w:ind w:left="1762" w:hanging="1761" w:hangingChars="734"/>
        <w:rPr>
          <w:rFonts w:ascii="宋体" w:hAnsi="宋体"/>
          <w:color w:val="auto"/>
          <w:sz w:val="24"/>
          <w:szCs w:val="24"/>
        </w:rPr>
      </w:pPr>
      <w:r>
        <w:rPr>
          <w:rFonts w:hint="eastAsia" w:ascii="宋体" w:hAnsi="宋体"/>
          <w:color w:val="auto"/>
          <w:sz w:val="24"/>
          <w:szCs w:val="24"/>
        </w:rPr>
        <w:t>工程项目地址：</w:t>
      </w:r>
      <w:r>
        <w:rPr>
          <w:rFonts w:hint="eastAsia" w:ascii="宋体" w:hAnsi="宋体"/>
          <w:color w:val="auto"/>
          <w:sz w:val="24"/>
          <w:szCs w:val="24"/>
          <w:u w:val="single"/>
        </w:rPr>
        <w:t>广州市黄埔区知识城改革大道以东，人才大道以北，创维智能产业创新基地东北侧</w:t>
      </w:r>
    </w:p>
    <w:p>
      <w:pPr>
        <w:pStyle w:val="140"/>
        <w:adjustRightInd w:val="0"/>
        <w:snapToGrid w:val="0"/>
        <w:spacing w:line="400" w:lineRule="exact"/>
        <w:ind w:firstLine="525"/>
        <w:rPr>
          <w:rFonts w:ascii="宋体" w:hAnsi="宋体" w:cs="Times New Roman"/>
          <w:color w:val="auto"/>
          <w:sz w:val="24"/>
          <w:szCs w:val="24"/>
          <w:u w:val="single"/>
        </w:rPr>
      </w:pPr>
      <w:r>
        <w:rPr>
          <w:rFonts w:hint="eastAsia" w:ascii="宋体" w:hAnsi="宋体"/>
          <w:color w:val="auto"/>
          <w:sz w:val="24"/>
        </w:rPr>
        <w:t>甲        方：</w:t>
      </w:r>
      <w:r>
        <w:rPr>
          <w:rFonts w:hint="eastAsia" w:ascii="宋体" w:hAnsi="宋体" w:cs="Times New Roman"/>
          <w:color w:val="auto"/>
          <w:sz w:val="24"/>
          <w:szCs w:val="24"/>
          <w:u w:val="single"/>
        </w:rPr>
        <w:t>广州开投智慧能源投资有限公司</w:t>
      </w:r>
    </w:p>
    <w:p>
      <w:pPr>
        <w:pStyle w:val="140"/>
        <w:adjustRightInd w:val="0"/>
        <w:snapToGrid w:val="0"/>
        <w:spacing w:line="400" w:lineRule="exact"/>
        <w:ind w:firstLine="525"/>
        <w:rPr>
          <w:rFonts w:ascii="宋体" w:hAnsi="宋体" w:cs="Times New Roman"/>
          <w:color w:val="auto"/>
          <w:sz w:val="24"/>
          <w:szCs w:val="24"/>
          <w:u w:val="single"/>
        </w:rPr>
      </w:pPr>
      <w:r>
        <w:rPr>
          <w:rFonts w:hint="eastAsia" w:ascii="宋体" w:hAnsi="宋体"/>
          <w:color w:val="auto"/>
          <w:sz w:val="24"/>
        </w:rPr>
        <w:t>项目建设管理单位：</w:t>
      </w:r>
      <w:r>
        <w:rPr>
          <w:rFonts w:hint="eastAsia" w:ascii="宋体" w:hAnsi="宋体"/>
          <w:color w:val="auto"/>
          <w:sz w:val="24"/>
          <w:szCs w:val="24"/>
          <w:u w:val="single"/>
        </w:rPr>
        <w:t>广州市金鼎广铝装饰工程有限公司</w:t>
      </w:r>
    </w:p>
    <w:p>
      <w:pPr>
        <w:pStyle w:val="140"/>
        <w:adjustRightInd w:val="0"/>
        <w:snapToGrid w:val="0"/>
        <w:spacing w:line="400" w:lineRule="exact"/>
        <w:ind w:firstLine="525"/>
        <w:rPr>
          <w:rFonts w:ascii="宋体" w:hAnsi="宋体"/>
          <w:color w:val="auto"/>
          <w:sz w:val="24"/>
        </w:rPr>
      </w:pPr>
      <w:r>
        <w:rPr>
          <w:rFonts w:hint="eastAsia" w:ascii="宋体" w:hAnsi="宋体"/>
          <w:color w:val="auto"/>
          <w:sz w:val="24"/>
        </w:rPr>
        <w:t>乙        方：</w:t>
      </w:r>
      <w:r>
        <w:rPr>
          <w:rFonts w:hint="eastAsia" w:ascii="宋体" w:hAnsi="宋体"/>
          <w:color w:val="auto"/>
          <w:sz w:val="24"/>
          <w:u w:val="single"/>
        </w:rPr>
        <w:t xml:space="preserve">                                 </w:t>
      </w:r>
    </w:p>
    <w:p>
      <w:pPr>
        <w:pStyle w:val="140"/>
        <w:adjustRightInd w:val="0"/>
        <w:snapToGrid w:val="0"/>
        <w:spacing w:line="400" w:lineRule="exact"/>
        <w:ind w:firstLine="525"/>
        <w:rPr>
          <w:rFonts w:ascii="宋体" w:hAnsi="宋体"/>
          <w:color w:val="auto"/>
          <w:sz w:val="24"/>
        </w:rPr>
      </w:pP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360" w:lineRule="auto"/>
        <w:ind w:firstLine="482"/>
        <w:rPr>
          <w:rFonts w:ascii="宋体" w:hAnsi="宋体" w:cs="宋体"/>
          <w:b/>
          <w:color w:val="auto"/>
          <w:kern w:val="0"/>
          <w:sz w:val="24"/>
        </w:rPr>
      </w:pPr>
      <w:r>
        <w:rPr>
          <w:rFonts w:hint="eastAsia" w:ascii="宋体" w:hAnsi="宋体" w:cs="宋体"/>
          <w:b/>
          <w:snapToGrid w:val="0"/>
          <w:color w:val="auto"/>
          <w:kern w:val="0"/>
          <w:sz w:val="24"/>
          <w:lang w:bidi="ar"/>
        </w:rPr>
        <w:t xml:space="preserve">第一条 </w:t>
      </w:r>
      <w:r>
        <w:rPr>
          <w:rFonts w:hint="eastAsia" w:ascii="宋体" w:hAnsi="宋体" w:cs="宋体"/>
          <w:bCs/>
          <w:snapToGrid w:val="0"/>
          <w:color w:val="auto"/>
          <w:kern w:val="0"/>
          <w:sz w:val="24"/>
          <w:lang w:bidi="ar"/>
        </w:rPr>
        <w:t>合同三方</w:t>
      </w:r>
      <w:r>
        <w:rPr>
          <w:rFonts w:hint="eastAsia" w:ascii="宋体" w:hAnsi="宋体" w:cs="宋体"/>
          <w:snapToGrid w:val="0"/>
          <w:color w:val="auto"/>
          <w:kern w:val="0"/>
          <w:sz w:val="24"/>
          <w:lang w:bidi="ar"/>
        </w:rPr>
        <w:t>的责任</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（一）应严格遵守国家关于市场准入、项目招标投标、</w:t>
      </w:r>
      <w:r>
        <w:rPr>
          <w:rFonts w:hint="eastAsia" w:ascii="宋体" w:hAnsi="宋体" w:cs="宋体"/>
          <w:color w:val="auto"/>
          <w:kern w:val="0"/>
          <w:sz w:val="24"/>
          <w:lang w:bidi="ar"/>
        </w:rPr>
        <w:t>工程建设和市场活动</w:t>
      </w:r>
      <w:r>
        <w:rPr>
          <w:rFonts w:hint="eastAsia" w:ascii="宋体" w:hAnsi="宋体" w:cs="宋体"/>
          <w:snapToGrid w:val="0"/>
          <w:color w:val="auto"/>
          <w:kern w:val="0"/>
          <w:sz w:val="24"/>
          <w:lang w:bidi="ar"/>
        </w:rPr>
        <w:t>等有关法律、法规、相关政策，以及廉政建设的各项规定。</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（二）严格执行建设工程项目承发包合同文件，自觉按合同办事。</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lang w:bidi="ar"/>
        </w:rPr>
        <w:t>违反工程建设过程管理的规章制度。</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（四）发现对方在业务活动中有违规、违纪、违法行为的，应及时提醒对方，情节严重的，应向其上级主管部门或纪检监察、司法等有关机关举报。</w:t>
      </w:r>
    </w:p>
    <w:p>
      <w:pPr>
        <w:adjustRightInd w:val="0"/>
        <w:snapToGrid w:val="0"/>
        <w:spacing w:line="360" w:lineRule="auto"/>
        <w:ind w:firstLine="482"/>
        <w:rPr>
          <w:rFonts w:ascii="宋体" w:hAnsi="宋体" w:cs="宋体"/>
          <w:color w:val="auto"/>
          <w:kern w:val="0"/>
          <w:sz w:val="24"/>
        </w:rPr>
      </w:pPr>
      <w:r>
        <w:rPr>
          <w:rFonts w:hint="eastAsia" w:ascii="宋体" w:hAnsi="宋体" w:cs="宋体"/>
          <w:b/>
          <w:snapToGrid w:val="0"/>
          <w:color w:val="auto"/>
          <w:kern w:val="0"/>
          <w:sz w:val="24"/>
          <w:lang w:bidi="ar"/>
        </w:rPr>
        <w:t xml:space="preserve">第二条 </w:t>
      </w:r>
      <w:r>
        <w:rPr>
          <w:rFonts w:hint="eastAsia" w:ascii="宋体" w:hAnsi="宋体" w:cs="宋体"/>
          <w:snapToGrid w:val="0"/>
          <w:color w:val="auto"/>
          <w:kern w:val="0"/>
          <w:sz w:val="24"/>
          <w:lang w:bidi="ar"/>
        </w:rPr>
        <w:t>甲方、项目建设管理单位的责任</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甲方、项目建设管理单位的领导和从事本建设工程项目的工作人员，在工程建设的事前、事中、事后应遵守以下规定：</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（一）不准向乙方和相关单位索要或接受回扣、礼金、有价证券、贵重物品和好处费、感谢费等。</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（二）不准在乙方和相关单位报销任何应由甲方或个人支付的费用。</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（三）不准要求、暗示或接受乙方和相关单位为个人装修住房、婚丧嫁娶、配偶子女的工作安排以及出国（境）、旅游等提供方便。</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（四）不准参加有可能影响公正执行公务的乙方及相关单位的宴请、健身、娱乐等活动。</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（五）不准向乙方介绍或为配偶、子女、亲属参与同甲方项目工程合同有关的设备、材料、工程分包、劳务等经济活动。不得以任何理由向乙方和相关单位推荐分包单位。</w:t>
      </w:r>
    </w:p>
    <w:p>
      <w:pPr>
        <w:adjustRightInd w:val="0"/>
        <w:snapToGrid w:val="0"/>
        <w:spacing w:line="360" w:lineRule="auto"/>
        <w:ind w:firstLine="482"/>
        <w:rPr>
          <w:rFonts w:ascii="宋体" w:hAnsi="宋体" w:cs="宋体"/>
          <w:color w:val="auto"/>
          <w:kern w:val="0"/>
          <w:sz w:val="24"/>
        </w:rPr>
      </w:pPr>
      <w:r>
        <w:rPr>
          <w:rFonts w:hint="eastAsia" w:ascii="宋体" w:hAnsi="宋体" w:cs="宋体"/>
          <w:b/>
          <w:snapToGrid w:val="0"/>
          <w:color w:val="auto"/>
          <w:kern w:val="0"/>
          <w:sz w:val="24"/>
          <w:lang w:bidi="ar"/>
        </w:rPr>
        <w:t xml:space="preserve">第三条 </w:t>
      </w:r>
      <w:r>
        <w:rPr>
          <w:rFonts w:hint="eastAsia" w:ascii="宋体" w:hAnsi="宋体" w:cs="宋体"/>
          <w:snapToGrid w:val="0"/>
          <w:color w:val="auto"/>
          <w:kern w:val="0"/>
          <w:sz w:val="24"/>
          <w:lang w:bidi="ar"/>
        </w:rPr>
        <w:t>乙方的责任</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应与甲方、项目建设管理单位保持正常的业务交往，按照有关法律法规和程序开展业务工作，严格执行</w:t>
      </w:r>
      <w:r>
        <w:rPr>
          <w:rFonts w:hint="eastAsia" w:ascii="宋体" w:hAnsi="宋体" w:cs="宋体"/>
          <w:color w:val="auto"/>
          <w:kern w:val="0"/>
          <w:sz w:val="24"/>
          <w:lang w:bidi="ar"/>
        </w:rPr>
        <w:t>工程建设过程管理的有关方针、政策，尤其是强制性标准和规范</w:t>
      </w:r>
      <w:r>
        <w:rPr>
          <w:rFonts w:hint="eastAsia" w:ascii="宋体" w:hAnsi="宋体" w:cs="宋体"/>
          <w:snapToGrid w:val="0"/>
          <w:color w:val="auto"/>
          <w:kern w:val="0"/>
          <w:sz w:val="24"/>
          <w:lang w:bidi="ar"/>
        </w:rPr>
        <w:t>，并遵守以下规定：</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（一）不准以任何理由向甲方、项目建设管理单位、相关单位及其工作人员索要、接受或赠送礼金、有价证券、贵重物品及回扣、好处费、感谢费等。</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（二）不准以任何理由为甲方、项目建设管理单位和相关单位报销应由对方或个人支付的费用。</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（三）不准接受或暗示为甲方、项目建设管理单位、相关单位或个人装修住房、婚丧嫁娶、配偶子女的工作安排以及出国（境）、旅游等提供方便。</w:t>
      </w:r>
    </w:p>
    <w:p>
      <w:pPr>
        <w:adjustRightInd w:val="0"/>
        <w:snapToGrid w:val="0"/>
        <w:spacing w:line="360" w:lineRule="auto"/>
        <w:ind w:firstLine="482"/>
        <w:rPr>
          <w:rFonts w:ascii="宋体" w:hAnsi="宋体" w:cs="宋体"/>
          <w:snapToGrid w:val="0"/>
          <w:color w:val="auto"/>
          <w:kern w:val="0"/>
          <w:sz w:val="24"/>
          <w:lang w:bidi="ar"/>
        </w:rPr>
      </w:pPr>
      <w:r>
        <w:rPr>
          <w:rFonts w:hint="eastAsia" w:ascii="宋体" w:hAnsi="宋体" w:cs="宋体"/>
          <w:snapToGrid w:val="0"/>
          <w:color w:val="auto"/>
          <w:kern w:val="0"/>
          <w:sz w:val="24"/>
          <w:lang w:bidi="ar"/>
        </w:rPr>
        <w:t>（四）不准以任何理由为甲方、项目建设管理单位、相关单位或个人组织有可能影响公正执行公务的宴请、健身、娱乐等活动。</w:t>
      </w:r>
    </w:p>
    <w:p>
      <w:pPr>
        <w:adjustRightInd w:val="0"/>
        <w:snapToGrid w:val="0"/>
        <w:spacing w:line="360" w:lineRule="auto"/>
        <w:ind w:firstLine="482"/>
        <w:rPr>
          <w:rFonts w:ascii="宋体" w:hAnsi="宋体" w:cs="宋体"/>
          <w:color w:val="auto"/>
          <w:kern w:val="0"/>
          <w:sz w:val="24"/>
        </w:rPr>
      </w:pPr>
      <w:r>
        <w:rPr>
          <w:rFonts w:hint="eastAsia" w:ascii="宋体" w:hAnsi="宋体" w:cs="宋体"/>
          <w:b/>
          <w:snapToGrid w:val="0"/>
          <w:color w:val="auto"/>
          <w:kern w:val="0"/>
          <w:sz w:val="24"/>
          <w:lang w:bidi="ar"/>
        </w:rPr>
        <w:t xml:space="preserve">第四条 </w:t>
      </w:r>
      <w:r>
        <w:rPr>
          <w:rFonts w:hint="eastAsia" w:ascii="宋体" w:hAnsi="宋体" w:cs="宋体"/>
          <w:snapToGrid w:val="0"/>
          <w:color w:val="auto"/>
          <w:kern w:val="0"/>
          <w:sz w:val="24"/>
          <w:lang w:bidi="ar"/>
        </w:rPr>
        <w:t>违约责任</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一）甲方、项目建设管理单位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360" w:lineRule="auto"/>
        <w:ind w:firstLine="482"/>
        <w:rPr>
          <w:rFonts w:ascii="宋体" w:hAnsi="宋体" w:cs="宋体"/>
          <w:color w:val="auto"/>
          <w:kern w:val="0"/>
          <w:sz w:val="24"/>
        </w:rPr>
      </w:pPr>
      <w:r>
        <w:rPr>
          <w:rFonts w:hint="eastAsia" w:ascii="宋体" w:hAnsi="宋体" w:cs="宋体"/>
          <w:snapToGrid w:val="0"/>
          <w:color w:val="auto"/>
          <w:kern w:val="0"/>
          <w:sz w:val="24"/>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360" w:lineRule="auto"/>
        <w:ind w:firstLine="482"/>
        <w:rPr>
          <w:rFonts w:ascii="宋体" w:hAnsi="宋体" w:cs="宋体"/>
          <w:b/>
          <w:color w:val="auto"/>
          <w:kern w:val="0"/>
          <w:sz w:val="24"/>
        </w:rPr>
      </w:pPr>
      <w:r>
        <w:rPr>
          <w:rFonts w:hint="eastAsia" w:ascii="宋体" w:hAnsi="宋体" w:cs="宋体"/>
          <w:b/>
          <w:snapToGrid w:val="0"/>
          <w:color w:val="auto"/>
          <w:kern w:val="0"/>
          <w:sz w:val="24"/>
          <w:lang w:bidi="ar"/>
        </w:rPr>
        <w:t>第五条</w:t>
      </w:r>
      <w:r>
        <w:rPr>
          <w:rFonts w:hint="eastAsia" w:ascii="宋体" w:hAnsi="宋体" w:cs="宋体"/>
          <w:snapToGrid w:val="0"/>
          <w:color w:val="auto"/>
          <w:kern w:val="0"/>
          <w:sz w:val="24"/>
          <w:lang w:bidi="ar"/>
        </w:rPr>
        <w:t>本廉政责任书作为合同的附件，与合同具有同等法律效力。经三方签署后立即生效。</w:t>
      </w:r>
    </w:p>
    <w:p>
      <w:pPr>
        <w:adjustRightInd w:val="0"/>
        <w:snapToGrid w:val="0"/>
        <w:spacing w:line="360" w:lineRule="auto"/>
        <w:ind w:firstLine="482"/>
        <w:rPr>
          <w:rFonts w:ascii="宋体" w:hAnsi="宋体" w:cs="宋体"/>
          <w:b/>
          <w:color w:val="auto"/>
          <w:kern w:val="0"/>
          <w:sz w:val="24"/>
        </w:rPr>
      </w:pPr>
      <w:r>
        <w:rPr>
          <w:rFonts w:hint="eastAsia" w:ascii="宋体" w:hAnsi="宋体" w:cs="宋体"/>
          <w:b/>
          <w:snapToGrid w:val="0"/>
          <w:color w:val="auto"/>
          <w:kern w:val="0"/>
          <w:sz w:val="24"/>
          <w:lang w:bidi="ar"/>
        </w:rPr>
        <w:t>第六条</w:t>
      </w:r>
      <w:r>
        <w:rPr>
          <w:rFonts w:hint="eastAsia" w:ascii="宋体" w:hAnsi="宋体" w:cs="宋体"/>
          <w:snapToGrid w:val="0"/>
          <w:color w:val="auto"/>
          <w:kern w:val="0"/>
          <w:sz w:val="24"/>
          <w:lang w:bidi="ar"/>
        </w:rPr>
        <w:t>本廉政责任书的有效期与合同的有效期相同。</w:t>
      </w:r>
    </w:p>
    <w:p>
      <w:pPr>
        <w:adjustRightInd w:val="0"/>
        <w:snapToGrid w:val="0"/>
        <w:spacing w:line="360" w:lineRule="auto"/>
        <w:rPr>
          <w:rFonts w:ascii="宋体" w:hAnsi="宋体" w:cs="宋体"/>
          <w:color w:val="auto"/>
          <w:kern w:val="0"/>
          <w:sz w:val="24"/>
        </w:rPr>
      </w:pPr>
      <w:r>
        <w:rPr>
          <w:rFonts w:hint="eastAsia" w:ascii="宋体" w:hAnsi="宋体" w:cs="宋体"/>
          <w:b/>
          <w:color w:val="auto"/>
          <w:kern w:val="0"/>
          <w:sz w:val="24"/>
          <w:lang w:bidi="ar"/>
        </w:rPr>
        <w:t xml:space="preserve">    </w:t>
      </w:r>
      <w:r>
        <w:rPr>
          <w:rFonts w:hint="eastAsia" w:ascii="宋体" w:hAnsi="宋体" w:cs="宋体"/>
          <w:b/>
          <w:snapToGrid w:val="0"/>
          <w:color w:val="auto"/>
          <w:kern w:val="0"/>
          <w:sz w:val="24"/>
          <w:lang w:bidi="ar"/>
        </w:rPr>
        <w:t>第七条</w:t>
      </w:r>
      <w:r>
        <w:rPr>
          <w:rFonts w:hint="eastAsia" w:ascii="宋体" w:hAnsi="宋体" w:cs="宋体"/>
          <w:snapToGrid w:val="0"/>
          <w:color w:val="auto"/>
          <w:kern w:val="0"/>
          <w:sz w:val="24"/>
          <w:lang w:bidi="ar"/>
        </w:rPr>
        <w:t>本廉政责任书一式十份，</w:t>
      </w:r>
      <w:r>
        <w:rPr>
          <w:rFonts w:hint="eastAsia" w:ascii="宋体" w:hAnsi="宋体" w:cs="宋体"/>
          <w:bCs/>
          <w:color w:val="auto"/>
          <w:kern w:val="0"/>
          <w:sz w:val="24"/>
          <w:lang w:bidi="ar"/>
        </w:rPr>
        <w:t>甲方执三份，项目建设管理单位执三份，乙方执四份。</w:t>
      </w:r>
    </w:p>
    <w:p>
      <w:pPr>
        <w:adjustRightInd w:val="0"/>
        <w:snapToGrid w:val="0"/>
        <w:spacing w:line="360" w:lineRule="auto"/>
        <w:ind w:right="11"/>
        <w:rPr>
          <w:rFonts w:ascii="宋体" w:hAnsi="宋体" w:cs="宋体"/>
          <w:snapToGrid w:val="0"/>
          <w:color w:val="auto"/>
          <w:kern w:val="0"/>
          <w:sz w:val="24"/>
        </w:rPr>
      </w:pPr>
    </w:p>
    <w:p>
      <w:pPr>
        <w:adjustRightInd w:val="0"/>
        <w:snapToGrid w:val="0"/>
        <w:spacing w:line="380" w:lineRule="exact"/>
        <w:ind w:right="11"/>
        <w:rPr>
          <w:rFonts w:ascii="宋体" w:hAnsi="宋体" w:cs="宋体"/>
          <w:snapToGrid w:val="0"/>
          <w:color w:val="auto"/>
          <w:kern w:val="0"/>
          <w:sz w:val="24"/>
        </w:rPr>
      </w:pPr>
    </w:p>
    <w:p>
      <w:pPr>
        <w:adjustRightInd w:val="0"/>
        <w:snapToGrid w:val="0"/>
        <w:spacing w:line="380" w:lineRule="exact"/>
        <w:ind w:right="11"/>
        <w:rPr>
          <w:rFonts w:ascii="宋体" w:hAnsi="宋体" w:cs="宋体"/>
          <w:snapToGrid w:val="0"/>
          <w:color w:val="auto"/>
          <w:kern w:val="0"/>
          <w:sz w:val="24"/>
        </w:rPr>
      </w:pPr>
    </w:p>
    <w:p>
      <w:pPr>
        <w:adjustRightInd w:val="0"/>
        <w:snapToGrid w:val="0"/>
        <w:spacing w:line="380" w:lineRule="exact"/>
        <w:ind w:right="11"/>
        <w:rPr>
          <w:rFonts w:ascii="宋体" w:hAnsi="宋体" w:cs="宋体"/>
          <w:snapToGrid w:val="0"/>
          <w:color w:val="auto"/>
          <w:kern w:val="0"/>
          <w:sz w:val="24"/>
        </w:rPr>
      </w:pPr>
    </w:p>
    <w:p>
      <w:pPr>
        <w:pStyle w:val="140"/>
        <w:adjustRightInd w:val="0"/>
        <w:snapToGrid w:val="0"/>
        <w:spacing w:line="360" w:lineRule="auto"/>
        <w:ind w:right="11" w:firstLine="480" w:firstLineChars="200"/>
        <w:rPr>
          <w:rFonts w:ascii="宋体" w:hAnsi="宋体"/>
          <w:color w:val="auto"/>
          <w:sz w:val="24"/>
        </w:rPr>
      </w:pPr>
      <w:r>
        <w:rPr>
          <w:rFonts w:hint="eastAsia" w:ascii="宋体" w:hAnsi="宋体"/>
          <w:color w:val="auto"/>
          <w:sz w:val="24"/>
        </w:rPr>
        <w:t>甲      方：</w:t>
      </w:r>
      <w:r>
        <w:rPr>
          <w:rFonts w:hint="eastAsia" w:ascii="宋体" w:hAnsi="宋体" w:cs="Times New Roman"/>
          <w:color w:val="auto"/>
          <w:sz w:val="24"/>
          <w:szCs w:val="24"/>
        </w:rPr>
        <w:t>广州开投智慧能源投资有限公司</w:t>
      </w:r>
    </w:p>
    <w:p>
      <w:pPr>
        <w:pStyle w:val="140"/>
        <w:adjustRightInd w:val="0"/>
        <w:snapToGrid w:val="0"/>
        <w:spacing w:line="360" w:lineRule="auto"/>
        <w:ind w:left="1917" w:leftChars="513" w:right="11" w:hanging="840" w:hangingChars="350"/>
        <w:rPr>
          <w:rFonts w:ascii="宋体" w:hAnsi="宋体"/>
          <w:color w:val="auto"/>
          <w:sz w:val="24"/>
        </w:rPr>
      </w:pPr>
    </w:p>
    <w:p>
      <w:pPr>
        <w:pStyle w:val="140"/>
        <w:adjustRightInd w:val="0"/>
        <w:snapToGrid w:val="0"/>
        <w:spacing w:line="360" w:lineRule="auto"/>
        <w:ind w:right="11" w:firstLine="480" w:firstLineChars="200"/>
        <w:rPr>
          <w:rFonts w:ascii="宋体" w:hAnsi="宋体"/>
          <w:color w:val="auto"/>
          <w:sz w:val="24"/>
        </w:rPr>
      </w:pPr>
      <w:r>
        <w:rPr>
          <w:rFonts w:hint="eastAsia" w:ascii="宋体" w:hAnsi="宋体"/>
          <w:color w:val="auto"/>
          <w:sz w:val="24"/>
        </w:rPr>
        <w:t xml:space="preserve">法定代表人：                          </w:t>
      </w:r>
    </w:p>
    <w:p>
      <w:pPr>
        <w:pStyle w:val="140"/>
        <w:tabs>
          <w:tab w:val="left" w:pos="5460"/>
        </w:tabs>
        <w:adjustRightInd w:val="0"/>
        <w:snapToGrid w:val="0"/>
        <w:spacing w:line="360" w:lineRule="auto"/>
        <w:ind w:left="-2" w:leftChars="-1" w:right="11" w:firstLine="525"/>
        <w:rPr>
          <w:rFonts w:ascii="宋体" w:hAnsi="宋体"/>
          <w:color w:val="auto"/>
          <w:sz w:val="24"/>
        </w:rPr>
      </w:pPr>
    </w:p>
    <w:p>
      <w:pPr>
        <w:pStyle w:val="140"/>
        <w:tabs>
          <w:tab w:val="left" w:pos="5460"/>
        </w:tabs>
        <w:adjustRightInd w:val="0"/>
        <w:snapToGrid w:val="0"/>
        <w:spacing w:line="360" w:lineRule="auto"/>
        <w:ind w:left="-2" w:leftChars="-1" w:right="11" w:firstLine="480" w:firstLineChars="200"/>
        <w:rPr>
          <w:rFonts w:ascii="宋体" w:hAnsi="宋体"/>
          <w:color w:val="auto"/>
          <w:sz w:val="24"/>
        </w:rPr>
      </w:pPr>
      <w:r>
        <w:rPr>
          <w:rFonts w:hint="eastAsia" w:ascii="宋体" w:hAnsi="宋体"/>
          <w:color w:val="auto"/>
          <w:sz w:val="24"/>
        </w:rPr>
        <w:t xml:space="preserve">委托代理人：                         </w:t>
      </w:r>
    </w:p>
    <w:p>
      <w:pPr>
        <w:pStyle w:val="140"/>
        <w:tabs>
          <w:tab w:val="left" w:pos="5460"/>
        </w:tabs>
        <w:adjustRightInd w:val="0"/>
        <w:snapToGrid w:val="0"/>
        <w:spacing w:line="400" w:lineRule="exact"/>
        <w:ind w:left="-2" w:leftChars="-1" w:right="11" w:firstLine="525"/>
        <w:rPr>
          <w:rFonts w:ascii="宋体" w:hAnsi="宋体"/>
          <w:color w:val="auto"/>
          <w:sz w:val="24"/>
        </w:rPr>
      </w:pPr>
    </w:p>
    <w:p>
      <w:pPr>
        <w:pStyle w:val="140"/>
        <w:adjustRightInd w:val="0"/>
        <w:snapToGrid w:val="0"/>
        <w:spacing w:line="360" w:lineRule="auto"/>
        <w:ind w:right="11" w:firstLine="480" w:firstLineChars="200"/>
        <w:rPr>
          <w:rFonts w:ascii="宋体" w:hAnsi="宋体"/>
          <w:color w:val="auto"/>
          <w:sz w:val="24"/>
        </w:rPr>
      </w:pPr>
      <w:r>
        <w:rPr>
          <w:rFonts w:hint="eastAsia" w:ascii="宋体" w:hAnsi="宋体"/>
          <w:color w:val="auto"/>
          <w:sz w:val="24"/>
        </w:rPr>
        <w:t>项目建设管理单位：</w:t>
      </w:r>
      <w:r>
        <w:rPr>
          <w:rFonts w:hint="eastAsia" w:ascii="宋体" w:hAnsi="宋体"/>
          <w:color w:val="auto"/>
          <w:sz w:val="24"/>
          <w:szCs w:val="24"/>
        </w:rPr>
        <w:t>广州市金鼎广铝装饰工程有限公司</w:t>
      </w:r>
      <w:r>
        <w:rPr>
          <w:rFonts w:hint="eastAsia" w:ascii="宋体" w:hAnsi="宋体"/>
          <w:color w:val="auto"/>
          <w:sz w:val="24"/>
        </w:rPr>
        <w:t xml:space="preserve"> </w:t>
      </w:r>
    </w:p>
    <w:p>
      <w:pPr>
        <w:pStyle w:val="140"/>
        <w:adjustRightInd w:val="0"/>
        <w:snapToGrid w:val="0"/>
        <w:spacing w:line="360" w:lineRule="auto"/>
        <w:ind w:right="11" w:firstLine="480" w:firstLineChars="200"/>
        <w:rPr>
          <w:rFonts w:ascii="宋体" w:hAnsi="宋体"/>
          <w:color w:val="auto"/>
          <w:sz w:val="24"/>
        </w:rPr>
      </w:pPr>
    </w:p>
    <w:p>
      <w:pPr>
        <w:pStyle w:val="140"/>
        <w:adjustRightInd w:val="0"/>
        <w:snapToGrid w:val="0"/>
        <w:spacing w:line="360" w:lineRule="auto"/>
        <w:ind w:right="11" w:firstLine="480" w:firstLineChars="200"/>
        <w:rPr>
          <w:rFonts w:ascii="宋体" w:hAnsi="宋体"/>
          <w:color w:val="auto"/>
          <w:sz w:val="24"/>
        </w:rPr>
      </w:pPr>
      <w:r>
        <w:rPr>
          <w:rFonts w:hint="eastAsia" w:ascii="宋体" w:hAnsi="宋体"/>
          <w:color w:val="auto"/>
          <w:sz w:val="24"/>
        </w:rPr>
        <w:t>法定代表人：</w:t>
      </w:r>
    </w:p>
    <w:p>
      <w:pPr>
        <w:pStyle w:val="140"/>
        <w:adjustRightInd w:val="0"/>
        <w:snapToGrid w:val="0"/>
        <w:spacing w:line="360" w:lineRule="auto"/>
        <w:ind w:right="11" w:firstLine="480" w:firstLineChars="200"/>
        <w:rPr>
          <w:rFonts w:ascii="宋体" w:hAnsi="宋体"/>
          <w:color w:val="auto"/>
          <w:sz w:val="24"/>
        </w:rPr>
      </w:pPr>
    </w:p>
    <w:p>
      <w:pPr>
        <w:pStyle w:val="140"/>
        <w:adjustRightInd w:val="0"/>
        <w:snapToGrid w:val="0"/>
        <w:spacing w:line="360" w:lineRule="auto"/>
        <w:ind w:right="11" w:firstLine="480" w:firstLineChars="200"/>
        <w:rPr>
          <w:rFonts w:ascii="宋体" w:hAnsi="宋体"/>
          <w:color w:val="auto"/>
          <w:sz w:val="24"/>
        </w:rPr>
      </w:pPr>
      <w:r>
        <w:rPr>
          <w:rFonts w:hint="eastAsia" w:ascii="宋体" w:hAnsi="宋体"/>
          <w:color w:val="auto"/>
          <w:sz w:val="24"/>
        </w:rPr>
        <w:t>委托代理人：</w:t>
      </w:r>
    </w:p>
    <w:p>
      <w:pPr>
        <w:pStyle w:val="140"/>
        <w:adjustRightInd w:val="0"/>
        <w:snapToGrid w:val="0"/>
        <w:spacing w:line="360" w:lineRule="auto"/>
        <w:ind w:right="11" w:firstLine="480" w:firstLineChars="200"/>
        <w:rPr>
          <w:rFonts w:ascii="宋体" w:hAnsi="宋体"/>
          <w:color w:val="auto"/>
          <w:sz w:val="24"/>
        </w:rPr>
      </w:pPr>
    </w:p>
    <w:p>
      <w:pPr>
        <w:pStyle w:val="140"/>
        <w:adjustRightInd w:val="0"/>
        <w:snapToGrid w:val="0"/>
        <w:spacing w:line="360" w:lineRule="auto"/>
        <w:ind w:right="11" w:firstLine="480" w:firstLineChars="200"/>
        <w:rPr>
          <w:rFonts w:ascii="宋体" w:hAnsi="宋体"/>
          <w:color w:val="auto"/>
          <w:sz w:val="24"/>
        </w:rPr>
      </w:pPr>
      <w:r>
        <w:rPr>
          <w:rFonts w:hint="eastAsia" w:ascii="宋体" w:hAnsi="宋体"/>
          <w:color w:val="auto"/>
          <w:sz w:val="24"/>
        </w:rPr>
        <w:t>乙      方：</w:t>
      </w:r>
    </w:p>
    <w:p>
      <w:pPr>
        <w:pStyle w:val="140"/>
        <w:adjustRightInd w:val="0"/>
        <w:snapToGrid w:val="0"/>
        <w:spacing w:line="360" w:lineRule="auto"/>
        <w:ind w:right="11" w:firstLine="480" w:firstLineChars="200"/>
        <w:rPr>
          <w:rFonts w:ascii="宋体" w:hAnsi="宋体"/>
          <w:color w:val="auto"/>
          <w:sz w:val="24"/>
        </w:rPr>
      </w:pPr>
    </w:p>
    <w:p>
      <w:pPr>
        <w:pStyle w:val="140"/>
        <w:adjustRightInd w:val="0"/>
        <w:snapToGrid w:val="0"/>
        <w:spacing w:line="360" w:lineRule="auto"/>
        <w:ind w:right="11" w:firstLine="480" w:firstLineChars="200"/>
        <w:rPr>
          <w:rFonts w:ascii="宋体" w:hAnsi="宋体"/>
          <w:color w:val="auto"/>
          <w:sz w:val="24"/>
        </w:rPr>
      </w:pPr>
      <w:r>
        <w:rPr>
          <w:rFonts w:hint="eastAsia" w:ascii="宋体" w:hAnsi="宋体"/>
          <w:color w:val="auto"/>
          <w:sz w:val="24"/>
        </w:rPr>
        <w:t>法定代表人：</w:t>
      </w:r>
    </w:p>
    <w:p>
      <w:pPr>
        <w:pStyle w:val="140"/>
        <w:tabs>
          <w:tab w:val="left" w:pos="5460"/>
        </w:tabs>
        <w:adjustRightInd w:val="0"/>
        <w:snapToGrid w:val="0"/>
        <w:spacing w:line="360" w:lineRule="auto"/>
        <w:ind w:left="-2" w:leftChars="-1" w:right="11" w:firstLine="525"/>
        <w:rPr>
          <w:rFonts w:ascii="宋体" w:hAnsi="宋体"/>
          <w:color w:val="auto"/>
          <w:sz w:val="24"/>
        </w:rPr>
      </w:pPr>
    </w:p>
    <w:p>
      <w:pPr>
        <w:pStyle w:val="140"/>
        <w:tabs>
          <w:tab w:val="left" w:pos="5460"/>
        </w:tabs>
        <w:adjustRightInd w:val="0"/>
        <w:snapToGrid w:val="0"/>
        <w:spacing w:line="400" w:lineRule="exact"/>
        <w:ind w:left="-2" w:leftChars="-1" w:right="11" w:firstLine="525"/>
        <w:rPr>
          <w:rFonts w:ascii="宋体" w:hAnsi="宋体"/>
          <w:color w:val="auto"/>
          <w:sz w:val="24"/>
        </w:rPr>
      </w:pPr>
      <w:r>
        <w:rPr>
          <w:rFonts w:hint="eastAsia" w:ascii="宋体" w:hAnsi="宋体"/>
          <w:color w:val="auto"/>
          <w:sz w:val="24"/>
        </w:rPr>
        <w:t>委托代理人：</w:t>
      </w:r>
    </w:p>
    <w:p>
      <w:pPr>
        <w:pStyle w:val="140"/>
        <w:tabs>
          <w:tab w:val="left" w:pos="5460"/>
        </w:tabs>
        <w:adjustRightInd w:val="0"/>
        <w:snapToGrid w:val="0"/>
        <w:spacing w:line="400" w:lineRule="exact"/>
        <w:ind w:left="-2" w:leftChars="-1" w:right="11" w:firstLine="525"/>
        <w:rPr>
          <w:rFonts w:ascii="宋体" w:hAnsi="宋体"/>
          <w:color w:val="auto"/>
          <w:sz w:val="24"/>
        </w:rPr>
      </w:pPr>
    </w:p>
    <w:p>
      <w:pPr>
        <w:pStyle w:val="140"/>
        <w:tabs>
          <w:tab w:val="left" w:pos="5460"/>
        </w:tabs>
        <w:adjustRightInd w:val="0"/>
        <w:snapToGrid w:val="0"/>
        <w:spacing w:line="400" w:lineRule="exact"/>
        <w:ind w:left="-2" w:leftChars="-1" w:right="11" w:firstLine="525"/>
        <w:rPr>
          <w:rFonts w:ascii="宋体" w:hAnsi="宋体"/>
          <w:color w:val="auto"/>
          <w:sz w:val="24"/>
        </w:rPr>
      </w:pPr>
    </w:p>
    <w:p>
      <w:pPr>
        <w:pStyle w:val="140"/>
        <w:tabs>
          <w:tab w:val="left" w:pos="5460"/>
        </w:tabs>
        <w:adjustRightInd w:val="0"/>
        <w:snapToGrid w:val="0"/>
        <w:spacing w:line="360" w:lineRule="auto"/>
        <w:ind w:left="-2" w:leftChars="-1" w:right="11" w:firstLine="480" w:firstLineChars="200"/>
        <w:rPr>
          <w:rFonts w:ascii="宋体" w:hAnsi="宋体"/>
          <w:color w:val="auto"/>
          <w:sz w:val="24"/>
        </w:rPr>
      </w:pPr>
      <w:r>
        <w:rPr>
          <w:rFonts w:hint="eastAsia" w:ascii="宋体" w:hAnsi="宋体"/>
          <w:color w:val="auto"/>
          <w:sz w:val="24"/>
        </w:rPr>
        <w:t>签约日期：</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p>
    <w:p>
      <w:pPr>
        <w:pStyle w:val="140"/>
        <w:spacing w:line="360" w:lineRule="auto"/>
        <w:ind w:firstLine="480" w:firstLineChars="200"/>
        <w:rPr>
          <w:color w:val="auto"/>
        </w:rPr>
      </w:pPr>
      <w:r>
        <w:rPr>
          <w:rFonts w:hint="eastAsia" w:ascii="宋体" w:hAnsi="宋体"/>
          <w:color w:val="auto"/>
          <w:sz w:val="24"/>
        </w:rPr>
        <w:t>签约地点：广州市黄埔区。</w:t>
      </w:r>
    </w:p>
    <w:p>
      <w:pPr>
        <w:rPr>
          <w:color w:val="auto"/>
        </w:rPr>
      </w:pPr>
    </w:p>
    <w:p>
      <w:pPr>
        <w:pStyle w:val="20"/>
        <w:rPr>
          <w:color w:val="auto"/>
        </w:rPr>
      </w:pPr>
    </w:p>
    <w:p>
      <w:pPr>
        <w:rPr>
          <w:color w:val="auto"/>
        </w:rPr>
      </w:pPr>
    </w:p>
    <w:p>
      <w:pPr>
        <w:pStyle w:val="20"/>
        <w:rPr>
          <w:color w:val="auto"/>
        </w:rPr>
      </w:pPr>
    </w:p>
    <w:p>
      <w:pPr>
        <w:rPr>
          <w:color w:val="auto"/>
        </w:rPr>
      </w:pPr>
    </w:p>
    <w:p>
      <w:pPr>
        <w:pStyle w:val="20"/>
        <w:rPr>
          <w:color w:val="auto"/>
        </w:rPr>
      </w:pPr>
    </w:p>
    <w:p>
      <w:pPr>
        <w:rPr>
          <w:color w:val="auto"/>
        </w:rPr>
      </w:pPr>
    </w:p>
    <w:p>
      <w:pPr>
        <w:pStyle w:val="20"/>
        <w:rPr>
          <w:color w:val="auto"/>
        </w:rPr>
      </w:pPr>
    </w:p>
    <w:p>
      <w:pPr>
        <w:rPr>
          <w:color w:val="auto"/>
        </w:rPr>
      </w:pPr>
    </w:p>
    <w:p>
      <w:pPr>
        <w:pStyle w:val="20"/>
        <w:rPr>
          <w:color w:val="auto"/>
        </w:rPr>
      </w:pPr>
    </w:p>
    <w:p>
      <w:pPr>
        <w:rPr>
          <w:color w:val="auto"/>
        </w:rPr>
      </w:pPr>
    </w:p>
    <w:p>
      <w:pPr>
        <w:pStyle w:val="20"/>
        <w:rPr>
          <w:color w:val="auto"/>
        </w:rPr>
      </w:pPr>
    </w:p>
    <w:p>
      <w:pPr>
        <w:rPr>
          <w:color w:val="auto"/>
        </w:rPr>
      </w:pPr>
    </w:p>
    <w:p>
      <w:pPr>
        <w:pStyle w:val="20"/>
        <w:rPr>
          <w:color w:val="auto"/>
        </w:rPr>
      </w:pPr>
    </w:p>
    <w:p>
      <w:pPr>
        <w:rPr>
          <w:color w:val="auto"/>
        </w:rPr>
      </w:pPr>
    </w:p>
    <w:p>
      <w:pPr>
        <w:pStyle w:val="20"/>
        <w:rPr>
          <w:color w:val="auto"/>
        </w:rPr>
      </w:pPr>
    </w:p>
    <w:p>
      <w:pPr>
        <w:bidi w:val="0"/>
        <w:jc w:val="center"/>
        <w:rPr>
          <w:rStyle w:val="129"/>
          <w:b w:val="0"/>
          <w:color w:val="auto"/>
          <w:sz w:val="32"/>
          <w:szCs w:val="32"/>
        </w:rPr>
      </w:pPr>
    </w:p>
    <w:p>
      <w:pPr>
        <w:bidi w:val="0"/>
        <w:jc w:val="left"/>
        <w:rPr>
          <w:rFonts w:hint="eastAsia" w:ascii="宋体" w:hAnsi="宋体"/>
          <w:b/>
          <w:bCs/>
          <w:color w:val="auto"/>
          <w:sz w:val="28"/>
          <w:szCs w:val="28"/>
        </w:rPr>
      </w:pPr>
      <w:r>
        <w:rPr>
          <w:rFonts w:hint="eastAsia" w:ascii="宋体" w:hAnsi="宋体"/>
          <w:b/>
          <w:bCs/>
          <w:color w:val="auto"/>
          <w:sz w:val="28"/>
          <w:szCs w:val="28"/>
        </w:rPr>
        <w:t>附件</w:t>
      </w:r>
      <w:r>
        <w:rPr>
          <w:rFonts w:hint="eastAsia" w:ascii="宋体" w:hAnsi="宋体"/>
          <w:b/>
          <w:bCs/>
          <w:color w:val="auto"/>
          <w:sz w:val="28"/>
          <w:szCs w:val="28"/>
          <w:lang w:val="en-US" w:eastAsia="zh-CN"/>
        </w:rPr>
        <w:t>3</w:t>
      </w:r>
      <w:r>
        <w:rPr>
          <w:rFonts w:hint="eastAsia" w:ascii="宋体" w:hAnsi="宋体"/>
          <w:b/>
          <w:bCs/>
          <w:color w:val="auto"/>
          <w:sz w:val="28"/>
          <w:szCs w:val="28"/>
        </w:rPr>
        <w:t>：</w:t>
      </w:r>
    </w:p>
    <w:p>
      <w:pPr>
        <w:bidi w:val="0"/>
        <w:jc w:val="center"/>
        <w:rPr>
          <w:rStyle w:val="129"/>
          <w:b w:val="0"/>
          <w:color w:val="auto"/>
          <w:sz w:val="32"/>
          <w:szCs w:val="32"/>
        </w:rPr>
      </w:pPr>
      <w:r>
        <w:rPr>
          <w:rStyle w:val="129"/>
          <w:b w:val="0"/>
          <w:color w:val="auto"/>
          <w:sz w:val="32"/>
          <w:szCs w:val="32"/>
        </w:rPr>
        <w:t>保密协议</w:t>
      </w:r>
    </w:p>
    <w:p>
      <w:pPr>
        <w:tabs>
          <w:tab w:val="left" w:pos="48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rPr>
          <w:rFonts w:ascii="宋体" w:cs="Arial"/>
          <w:color w:val="auto"/>
          <w:sz w:val="24"/>
        </w:rPr>
      </w:pP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720" w:hanging="720"/>
        <w:rPr>
          <w:rFonts w:ascii="宋体" w:cs="Arial"/>
          <w:b/>
          <w:bCs/>
          <w:color w:val="auto"/>
          <w:sz w:val="24"/>
        </w:rPr>
      </w:pPr>
      <w:r>
        <w:rPr>
          <w:rFonts w:ascii="宋体" w:hAnsi="宋体" w:cs="Arial"/>
          <w:b/>
          <w:bCs/>
          <w:color w:val="auto"/>
          <w:sz w:val="24"/>
        </w:rPr>
        <w:t xml:space="preserve">1. </w:t>
      </w:r>
      <w:r>
        <w:rPr>
          <w:rFonts w:hint="eastAsia" w:ascii="宋体" w:hAnsi="宋体" w:cs="Arial"/>
          <w:b/>
          <w:bCs/>
          <w:color w:val="auto"/>
          <w:sz w:val="24"/>
        </w:rPr>
        <w:t>总则</w:t>
      </w:r>
    </w:p>
    <w:p>
      <w:pPr>
        <w:tabs>
          <w:tab w:val="left" w:pos="720"/>
          <w:tab w:val="left" w:pos="1422"/>
          <w:tab w:val="left" w:pos="2016"/>
          <w:tab w:val="left" w:pos="2610"/>
          <w:tab w:val="left" w:pos="3204"/>
          <w:tab w:val="left" w:pos="3600"/>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480" w:firstLineChars="200"/>
        <w:rPr>
          <w:rFonts w:ascii="宋体" w:cs="Arial"/>
          <w:color w:val="auto"/>
          <w:sz w:val="24"/>
        </w:rPr>
      </w:pPr>
      <w:r>
        <w:rPr>
          <w:rFonts w:hint="eastAsia" w:ascii="宋体" w:hAnsi="宋体" w:cs="Arial"/>
          <w:color w:val="auto"/>
          <w:sz w:val="24"/>
        </w:rPr>
        <w:t>就甲方与乙方拟合作项目</w:t>
      </w:r>
      <w:r>
        <w:rPr>
          <w:rFonts w:ascii="宋体" w:hAnsi="宋体" w:cs="Arial"/>
          <w:color w:val="auto"/>
          <w:sz w:val="24"/>
        </w:rPr>
        <w:t xml:space="preserve"> (</w:t>
      </w:r>
      <w:r>
        <w:rPr>
          <w:rFonts w:hint="eastAsia" w:ascii="宋体" w:hAnsi="宋体" w:cs="Arial"/>
          <w:color w:val="auto"/>
          <w:sz w:val="24"/>
        </w:rPr>
        <w:t>简称“本项目”</w:t>
      </w:r>
      <w:r>
        <w:rPr>
          <w:rFonts w:ascii="宋体" w:hAnsi="宋体" w:cs="Arial"/>
          <w:color w:val="auto"/>
          <w:sz w:val="24"/>
        </w:rPr>
        <w:t>)</w:t>
      </w:r>
      <w:r>
        <w:rPr>
          <w:rFonts w:hint="eastAsia" w:ascii="宋体" w:hAnsi="宋体" w:cs="Arial"/>
          <w:color w:val="auto"/>
          <w:sz w:val="24"/>
        </w:rPr>
        <w:t>，提供方向接收方提供相关保密信息，以达到接收方与提供方合作项目的完成。提供方和接收方同意以下条款和条件适用于接收方取得如下定义的保密信息的情况。本协议的目的是既便于双方开展各自业务，同时也对有关信息提供适当保护。</w:t>
      </w:r>
    </w:p>
    <w:p>
      <w:pPr>
        <w:tabs>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rPr>
          <w:rFonts w:ascii="宋体" w:cs="Arial"/>
          <w:b/>
          <w:bCs/>
          <w:color w:val="auto"/>
          <w:sz w:val="24"/>
        </w:rPr>
      </w:pPr>
      <w:r>
        <w:rPr>
          <w:rFonts w:ascii="宋体" w:hAnsi="宋体" w:cs="Arial"/>
          <w:b/>
          <w:bCs/>
          <w:color w:val="auto"/>
          <w:sz w:val="24"/>
        </w:rPr>
        <w:t>2.</w:t>
      </w:r>
      <w:r>
        <w:rPr>
          <w:rFonts w:hint="eastAsia" w:ascii="宋体" w:hAnsi="宋体" w:cs="Arial"/>
          <w:b/>
          <w:bCs/>
          <w:color w:val="auto"/>
          <w:sz w:val="24"/>
        </w:rPr>
        <w:t>　保密信息的定义</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480" w:firstLineChars="200"/>
        <w:rPr>
          <w:rFonts w:ascii="宋体" w:cs="Arial"/>
          <w:color w:val="auto"/>
          <w:sz w:val="24"/>
        </w:rPr>
      </w:pPr>
      <w:r>
        <w:rPr>
          <w:rFonts w:hint="eastAsia" w:ascii="宋体" w:hAnsi="宋体" w:cs="Arial"/>
          <w:color w:val="auto"/>
          <w:sz w:val="24"/>
        </w:rPr>
        <w:t>在本协议中</w:t>
      </w:r>
      <w:r>
        <w:rPr>
          <w:rFonts w:ascii="宋体" w:cs="Arial"/>
          <w:color w:val="auto"/>
          <w:sz w:val="24"/>
        </w:rPr>
        <w:t>,</w:t>
      </w:r>
      <w:r>
        <w:rPr>
          <w:rFonts w:hint="eastAsia" w:ascii="宋体" w:hAnsi="宋体" w:cs="Arial"/>
          <w:color w:val="auto"/>
          <w:sz w:val="24"/>
        </w:rPr>
        <w:t>“保密信息”是指由提供方或其代表以书面、口头或其他方式向接收方披露的任何信息</w:t>
      </w:r>
      <w:r>
        <w:rPr>
          <w:rFonts w:ascii="宋体" w:cs="Arial"/>
          <w:color w:val="auto"/>
          <w:sz w:val="24"/>
        </w:rPr>
        <w:t>,</w:t>
      </w:r>
      <w:r>
        <w:rPr>
          <w:rFonts w:hint="eastAsia" w:ascii="宋体" w:hAnsi="宋体" w:cs="Arial"/>
          <w:color w:val="auto"/>
          <w:sz w:val="24"/>
        </w:rPr>
        <w:t>包括但不限于任何与产品、发明、经营、方法、系统、流程、计划或意图、专有技术、设计、生产工艺、商业秘密、市场机会、业务或财务事项有关的信息﹐或提供方采取了保护措施予以保密的信息。</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rPr>
          <w:rFonts w:ascii="宋体" w:cs="Arial"/>
          <w:b/>
          <w:bCs/>
          <w:color w:val="auto"/>
          <w:sz w:val="24"/>
        </w:rPr>
      </w:pPr>
      <w:r>
        <w:rPr>
          <w:rFonts w:ascii="宋体" w:hAnsi="宋体" w:cs="Arial"/>
          <w:b/>
          <w:color w:val="auto"/>
          <w:sz w:val="24"/>
        </w:rPr>
        <w:t>3.</w:t>
      </w:r>
      <w:r>
        <w:rPr>
          <w:rFonts w:hint="eastAsia" w:ascii="宋体" w:hAnsi="宋体" w:cs="Arial"/>
          <w:b/>
          <w:color w:val="auto"/>
          <w:sz w:val="24"/>
        </w:rPr>
        <w:t>　保密信息</w:t>
      </w:r>
      <w:r>
        <w:rPr>
          <w:rFonts w:hint="eastAsia" w:ascii="宋体" w:hAnsi="宋体" w:cs="Arial"/>
          <w:b/>
          <w:bCs/>
          <w:color w:val="auto"/>
          <w:sz w:val="24"/>
        </w:rPr>
        <w:t>的提供及使用</w:t>
      </w:r>
    </w:p>
    <w:p>
      <w:pPr>
        <w:tabs>
          <w:tab w:val="left" w:pos="720"/>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480" w:firstLineChars="200"/>
        <w:rPr>
          <w:rFonts w:ascii="宋体" w:cs="Arial"/>
          <w:color w:val="auto"/>
          <w:sz w:val="24"/>
        </w:rPr>
      </w:pPr>
      <w:r>
        <w:rPr>
          <w:rFonts w:hint="eastAsia" w:ascii="宋体" w:hAnsi="宋体" w:cs="Arial"/>
          <w:color w:val="auto"/>
          <w:sz w:val="24"/>
          <w:lang w:val="en-US" w:eastAsia="zh-CN"/>
        </w:rPr>
        <w:t>3.1</w:t>
      </w:r>
      <w:r>
        <w:rPr>
          <w:rFonts w:ascii="宋体" w:hAnsi="宋体" w:cs="Arial"/>
          <w:color w:val="auto"/>
          <w:sz w:val="24"/>
        </w:rPr>
        <w:t xml:space="preserve">  </w:t>
      </w:r>
      <w:r>
        <w:rPr>
          <w:rFonts w:hint="eastAsia" w:ascii="宋体" w:hAnsi="宋体" w:cs="Arial"/>
          <w:color w:val="auto"/>
          <w:sz w:val="24"/>
        </w:rPr>
        <w:t>鉴于提供方向接收方提供其就本项目而合理地要求的保密信息﹐接收方同意﹕</w:t>
      </w:r>
    </w:p>
    <w:p>
      <w:pPr>
        <w:tabs>
          <w:tab w:val="left" w:pos="720"/>
          <w:tab w:val="left" w:pos="1770"/>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480" w:firstLineChars="200"/>
        <w:rPr>
          <w:rFonts w:ascii="宋体" w:cs="Arial"/>
          <w:color w:val="auto"/>
          <w:sz w:val="24"/>
        </w:rPr>
      </w:pPr>
      <w:r>
        <w:rPr>
          <w:rFonts w:hint="eastAsia" w:ascii="宋体" w:cs="Arial"/>
          <w:color w:val="auto"/>
          <w:sz w:val="24"/>
          <w:lang w:val="en-US" w:eastAsia="zh-CN"/>
        </w:rPr>
        <w:t>3.1.1</w:t>
      </w:r>
      <w:r>
        <w:rPr>
          <w:rFonts w:hint="eastAsia" w:ascii="宋体" w:hAnsi="宋体" w:cs="Arial"/>
          <w:color w:val="auto"/>
          <w:sz w:val="24"/>
        </w:rPr>
        <w:t>对保密信息保密；</w:t>
      </w:r>
    </w:p>
    <w:p>
      <w:pPr>
        <w:tabs>
          <w:tab w:val="left" w:pos="720"/>
          <w:tab w:val="left" w:pos="1305"/>
          <w:tab w:val="left" w:pos="1770"/>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480" w:firstLineChars="200"/>
        <w:rPr>
          <w:rFonts w:ascii="宋体" w:cs="Arial"/>
          <w:color w:val="auto"/>
          <w:sz w:val="24"/>
        </w:rPr>
      </w:pPr>
      <w:r>
        <w:rPr>
          <w:rFonts w:hint="eastAsia" w:ascii="宋体" w:hAnsi="宋体" w:cs="Arial"/>
          <w:color w:val="auto"/>
          <w:sz w:val="24"/>
          <w:lang w:val="en-US" w:eastAsia="zh-CN"/>
        </w:rPr>
        <w:t>3.1.2</w:t>
      </w:r>
      <w:r>
        <w:rPr>
          <w:rFonts w:hint="eastAsia" w:ascii="宋体" w:hAnsi="宋体" w:cs="Arial"/>
          <w:color w:val="auto"/>
          <w:sz w:val="24"/>
        </w:rPr>
        <w:t>将保密信息用于与本项目有关的事项；</w:t>
      </w:r>
    </w:p>
    <w:p>
      <w:pPr>
        <w:tabs>
          <w:tab w:val="left" w:pos="720"/>
          <w:tab w:val="left" w:pos="1305"/>
          <w:tab w:val="left" w:pos="1770"/>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480" w:firstLineChars="200"/>
        <w:rPr>
          <w:rFonts w:ascii="宋体" w:cs="Arial"/>
          <w:color w:val="auto"/>
          <w:sz w:val="24"/>
        </w:rPr>
      </w:pPr>
      <w:r>
        <w:rPr>
          <w:rFonts w:hint="eastAsia" w:ascii="宋体" w:hAnsi="宋体" w:cs="Arial"/>
          <w:color w:val="auto"/>
          <w:sz w:val="24"/>
          <w:lang w:val="en-US" w:eastAsia="zh-CN"/>
        </w:rPr>
        <w:t>3.1.3</w:t>
      </w:r>
      <w:r>
        <w:rPr>
          <w:rFonts w:hint="eastAsia" w:ascii="宋体" w:hAnsi="宋体" w:cs="Arial"/>
          <w:color w:val="auto"/>
          <w:sz w:val="24"/>
        </w:rPr>
        <w:t>除了本协议明确允许的情况外﹐不向任何第三方披露保密信息﹐并采取合理的措施</w:t>
      </w:r>
    </w:p>
    <w:p>
      <w:pPr>
        <w:tabs>
          <w:tab w:val="left" w:pos="720"/>
          <w:tab w:val="left" w:pos="1305"/>
          <w:tab w:val="left" w:pos="1770"/>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210" w:leftChars="100" w:firstLine="480" w:firstLineChars="200"/>
        <w:rPr>
          <w:rFonts w:ascii="宋体" w:cs="Arial"/>
          <w:color w:val="auto"/>
          <w:sz w:val="24"/>
        </w:rPr>
      </w:pPr>
      <w:r>
        <w:rPr>
          <w:rFonts w:hint="eastAsia" w:ascii="宋体" w:hAnsi="宋体" w:cs="Arial"/>
          <w:color w:val="auto"/>
          <w:sz w:val="24"/>
        </w:rPr>
        <w:t>以防止此类披露。</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rPr>
          <w:rFonts w:ascii="宋体" w:cs="Arial"/>
          <w:b/>
          <w:bCs/>
          <w:color w:val="auto"/>
          <w:sz w:val="24"/>
        </w:rPr>
      </w:pPr>
      <w:r>
        <w:rPr>
          <w:rFonts w:ascii="宋体" w:hAnsi="宋体" w:cs="Arial"/>
          <w:b/>
          <w:bCs/>
          <w:color w:val="auto"/>
          <w:sz w:val="24"/>
        </w:rPr>
        <w:t>4.</w:t>
      </w:r>
      <w:r>
        <w:rPr>
          <w:rFonts w:hint="eastAsia" w:ascii="宋体" w:hAnsi="宋体" w:cs="Arial"/>
          <w:b/>
          <w:bCs/>
          <w:color w:val="auto"/>
          <w:sz w:val="24"/>
        </w:rPr>
        <w:t>　保密</w:t>
      </w:r>
    </w:p>
    <w:p>
      <w:pPr>
        <w:pStyle w:val="16"/>
        <w:spacing w:line="360" w:lineRule="auto"/>
        <w:ind w:left="105" w:leftChars="50" w:firstLine="360" w:firstLineChars="150"/>
        <w:rPr>
          <w:rFonts w:ascii="宋体" w:hAnsi="宋体" w:eastAsia="宋体"/>
          <w:color w:val="auto"/>
          <w:sz w:val="24"/>
          <w:szCs w:val="24"/>
          <w:lang w:eastAsia="zh-CN"/>
        </w:rPr>
      </w:pPr>
      <w:r>
        <w:rPr>
          <w:rFonts w:hint="eastAsia" w:ascii="宋体" w:hAnsi="宋体" w:eastAsia="宋体"/>
          <w:color w:val="auto"/>
          <w:sz w:val="24"/>
          <w:szCs w:val="24"/>
          <w:lang w:val="en-US" w:eastAsia="zh-CN"/>
        </w:rPr>
        <w:t>4.1</w:t>
      </w:r>
      <w:r>
        <w:rPr>
          <w:rFonts w:ascii="宋体" w:hAnsi="宋体" w:eastAsia="宋体"/>
          <w:color w:val="auto"/>
          <w:sz w:val="24"/>
          <w:szCs w:val="24"/>
          <w:lang w:eastAsia="zh-CN"/>
        </w:rPr>
        <w:t xml:space="preserve"> </w:t>
      </w:r>
      <w:r>
        <w:rPr>
          <w:rFonts w:hint="eastAsia" w:ascii="宋体" w:hAnsi="宋体"/>
          <w:color w:val="auto"/>
          <w:sz w:val="24"/>
        </w:rPr>
        <w:t>接收方</w:t>
      </w:r>
      <w:r>
        <w:rPr>
          <w:rFonts w:hint="eastAsia" w:ascii="宋体" w:hAnsi="宋体" w:eastAsia="宋体"/>
          <w:color w:val="auto"/>
          <w:sz w:val="24"/>
          <w:szCs w:val="24"/>
          <w:lang w:eastAsia="zh-CN"/>
        </w:rPr>
        <w:t>应采取本协议规定的审慎措施﹐保护提供方的保密信息。该保护和审慎程度不低</w:t>
      </w:r>
      <w:r>
        <w:rPr>
          <w:rFonts w:hint="eastAsia" w:ascii="宋体" w:hAnsi="宋体"/>
          <w:color w:val="auto"/>
          <w:sz w:val="24"/>
        </w:rPr>
        <w:t>接收方</w:t>
      </w:r>
      <w:r>
        <w:rPr>
          <w:rFonts w:hint="eastAsia" w:ascii="宋体" w:hAnsi="宋体" w:eastAsia="宋体"/>
          <w:color w:val="auto"/>
          <w:sz w:val="24"/>
          <w:szCs w:val="24"/>
          <w:lang w:eastAsia="zh-CN"/>
        </w:rPr>
        <w:t>通常保存其自己的保密信息的保护和审慎程度。</w:t>
      </w:r>
      <w:r>
        <w:rPr>
          <w:rFonts w:hint="eastAsia" w:ascii="宋体" w:hAnsi="宋体"/>
          <w:color w:val="auto"/>
          <w:sz w:val="24"/>
        </w:rPr>
        <w:t>接收方</w:t>
      </w:r>
      <w:r>
        <w:rPr>
          <w:rFonts w:hint="eastAsia" w:ascii="宋体" w:hAnsi="宋体" w:eastAsia="宋体"/>
          <w:color w:val="auto"/>
          <w:sz w:val="24"/>
          <w:szCs w:val="24"/>
          <w:lang w:eastAsia="zh-CN"/>
        </w:rPr>
        <w:t>应将保密信息保管于安全的环境中﹐并且不复制、使用保密信息﹐因本项目需要而进行的合理复制、使用除外。</w:t>
      </w:r>
      <w:r>
        <w:rPr>
          <w:rFonts w:hint="eastAsia" w:ascii="宋体" w:hAnsi="宋体"/>
          <w:color w:val="auto"/>
          <w:sz w:val="24"/>
        </w:rPr>
        <w:t>接收方</w:t>
      </w:r>
      <w:r>
        <w:rPr>
          <w:rFonts w:hint="eastAsia" w:ascii="宋体" w:hAnsi="宋体" w:eastAsia="宋体"/>
          <w:color w:val="auto"/>
          <w:sz w:val="24"/>
          <w:szCs w:val="24"/>
          <w:lang w:eastAsia="zh-CN"/>
        </w:rPr>
        <w:t>同意﹐如果其知悉或怀疑保密信息的安全性已经或可能受到影响﹐</w:t>
      </w:r>
      <w:r>
        <w:rPr>
          <w:rFonts w:hint="eastAsia" w:ascii="宋体" w:hAnsi="宋体"/>
          <w:color w:val="auto"/>
          <w:sz w:val="24"/>
        </w:rPr>
        <w:t>接收方</w:t>
      </w:r>
      <w:r>
        <w:rPr>
          <w:rFonts w:hint="eastAsia" w:ascii="宋体" w:hAnsi="宋体" w:eastAsia="宋体"/>
          <w:color w:val="auto"/>
          <w:sz w:val="24"/>
          <w:szCs w:val="24"/>
          <w:lang w:eastAsia="zh-CN"/>
        </w:rPr>
        <w:t>将及时告知提供方。</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240" w:firstLineChars="100"/>
        <w:rPr>
          <w:rFonts w:ascii="宋体" w:cs="Arial"/>
          <w:color w:val="auto"/>
          <w:sz w:val="24"/>
        </w:rPr>
      </w:pPr>
      <w:r>
        <w:rPr>
          <w:rFonts w:hint="eastAsia" w:ascii="宋体" w:hAnsi="宋体" w:cs="Arial"/>
          <w:color w:val="auto"/>
          <w:sz w:val="24"/>
          <w:lang w:val="en-US" w:eastAsia="zh-CN"/>
        </w:rPr>
        <w:t>4.2</w:t>
      </w:r>
      <w:r>
        <w:rPr>
          <w:rFonts w:hint="eastAsia" w:ascii="宋体" w:hAnsi="宋体" w:cs="Arial"/>
          <w:color w:val="auto"/>
          <w:sz w:val="24"/>
        </w:rPr>
        <w:t>本协议所述保密信息不适用于下列情况﹕</w:t>
      </w:r>
      <w:r>
        <w:rPr>
          <w:rFonts w:ascii="宋体" w:hAnsi="宋体" w:cs="Arial"/>
          <w:color w:val="auto"/>
          <w:sz w:val="24"/>
        </w:rPr>
        <w:t xml:space="preserve">(1)  </w:t>
      </w:r>
      <w:r>
        <w:rPr>
          <w:rFonts w:hint="eastAsia" w:ascii="宋体" w:hAnsi="宋体" w:cs="Arial"/>
          <w:color w:val="auto"/>
          <w:sz w:val="24"/>
        </w:rPr>
        <w:t>信息是或成为公众可以普遍获得的信息</w:t>
      </w:r>
      <w:r>
        <w:rPr>
          <w:rFonts w:ascii="宋体" w:hAnsi="宋体" w:cs="Arial"/>
          <w:color w:val="auto"/>
          <w:sz w:val="24"/>
        </w:rPr>
        <w:t>(</w:t>
      </w:r>
      <w:r>
        <w:rPr>
          <w:rFonts w:hint="eastAsia" w:ascii="宋体" w:hAnsi="宋体" w:cs="Arial"/>
          <w:color w:val="auto"/>
          <w:sz w:val="24"/>
        </w:rPr>
        <w:t>并非因为违反本协议而导致的</w:t>
      </w:r>
      <w:r>
        <w:rPr>
          <w:rFonts w:ascii="宋体" w:hAnsi="宋体" w:cs="Arial"/>
          <w:color w:val="auto"/>
          <w:sz w:val="24"/>
        </w:rPr>
        <w:t>)</w:t>
      </w:r>
      <w:r>
        <w:rPr>
          <w:rFonts w:hint="eastAsia" w:ascii="宋体" w:hAnsi="宋体" w:cs="Arial"/>
          <w:color w:val="auto"/>
          <w:sz w:val="24"/>
        </w:rPr>
        <w:t>﹔或</w:t>
      </w:r>
      <w:r>
        <w:rPr>
          <w:rFonts w:ascii="宋体" w:hAnsi="宋体" w:cs="Arial"/>
          <w:color w:val="auto"/>
          <w:sz w:val="24"/>
        </w:rPr>
        <w:t xml:space="preserve">(2) </w:t>
      </w:r>
      <w:r>
        <w:rPr>
          <w:rFonts w:hint="eastAsia" w:ascii="宋体" w:hAnsi="宋体" w:cs="Arial"/>
          <w:color w:val="auto"/>
          <w:sz w:val="24"/>
        </w:rPr>
        <w:t>从根据乙方的了解对信息不负任何保密义务的第三方所获得的信息﹔或</w:t>
      </w:r>
      <w:r>
        <w:rPr>
          <w:rFonts w:ascii="宋体" w:hAnsi="宋体" w:cs="Arial"/>
          <w:color w:val="auto"/>
          <w:sz w:val="24"/>
        </w:rPr>
        <w:t xml:space="preserve">(3) </w:t>
      </w:r>
      <w:r>
        <w:rPr>
          <w:rFonts w:hint="eastAsia" w:ascii="宋体" w:hAnsi="宋体" w:cs="Arial"/>
          <w:color w:val="auto"/>
          <w:sz w:val="24"/>
        </w:rPr>
        <w:t>乙方在本协议日期前已知悉的信息，或由乙方独立开发的信息，且该独立开发并没有参考包含本协议所述保密信息的有关资料；</w:t>
      </w:r>
      <w:r>
        <w:rPr>
          <w:rFonts w:ascii="宋体" w:hAnsi="宋体" w:cs="Arial"/>
          <w:color w:val="auto"/>
          <w:sz w:val="24"/>
        </w:rPr>
        <w:t xml:space="preserve"> </w:t>
      </w:r>
      <w:r>
        <w:rPr>
          <w:rFonts w:hint="eastAsia" w:ascii="宋体" w:hAnsi="宋体" w:cs="Arial"/>
          <w:color w:val="auto"/>
          <w:sz w:val="24"/>
        </w:rPr>
        <w:t>或</w:t>
      </w:r>
      <w:r>
        <w:rPr>
          <w:rFonts w:ascii="宋体" w:hAnsi="宋体" w:cs="Arial"/>
          <w:color w:val="auto"/>
          <w:sz w:val="24"/>
        </w:rPr>
        <w:t xml:space="preserve">(4) </w:t>
      </w:r>
      <w:r>
        <w:rPr>
          <w:rFonts w:hint="eastAsia" w:ascii="宋体" w:hAnsi="宋体" w:cs="Arial"/>
          <w:color w:val="auto"/>
          <w:sz w:val="24"/>
        </w:rPr>
        <w:t>乙方按照法律、具有管辖权的法院、政府、专业或监管机关的要求须提供的信息﹐但在法律和有关机关不禁止的情况下，乙方将提前两个工作日将此披露书面告知甲方。</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240" w:firstLineChars="100"/>
        <w:rPr>
          <w:rFonts w:ascii="宋体" w:cs="Arial"/>
          <w:color w:val="auto"/>
          <w:sz w:val="24"/>
        </w:rPr>
      </w:pPr>
      <w:r>
        <w:rPr>
          <w:rFonts w:hint="eastAsia" w:ascii="宋体" w:hAnsi="宋体" w:cs="Arial"/>
          <w:color w:val="auto"/>
          <w:sz w:val="24"/>
          <w:lang w:val="en-US" w:eastAsia="zh-CN"/>
        </w:rPr>
        <w:t>4.3</w:t>
      </w:r>
      <w:r>
        <w:rPr>
          <w:rFonts w:hint="eastAsia" w:ascii="宋体" w:hAnsi="宋体" w:cs="Arial"/>
          <w:color w:val="auto"/>
          <w:sz w:val="24"/>
        </w:rPr>
        <w:t>乙方在本协议中的保密义务将在</w:t>
      </w:r>
      <w:r>
        <w:rPr>
          <w:rFonts w:ascii="宋体" w:hAnsi="宋体" w:cs="Arial"/>
          <w:color w:val="auto"/>
          <w:sz w:val="24"/>
        </w:rPr>
        <w:t xml:space="preserve"> (1) </w:t>
      </w:r>
      <w:r>
        <w:rPr>
          <w:rFonts w:hint="eastAsia" w:ascii="宋体" w:hAnsi="宋体" w:cs="Arial"/>
          <w:color w:val="auto"/>
          <w:sz w:val="24"/>
        </w:rPr>
        <w:t>保密信息进入公开渠道时﹔或</w:t>
      </w:r>
      <w:r>
        <w:rPr>
          <w:rFonts w:ascii="宋体" w:hAnsi="宋体" w:cs="Arial"/>
          <w:color w:val="auto"/>
          <w:sz w:val="24"/>
        </w:rPr>
        <w:t>(2)</w:t>
      </w:r>
      <w:r>
        <w:rPr>
          <w:rFonts w:hint="eastAsia" w:ascii="宋体" w:hAnsi="宋体" w:cs="Arial"/>
          <w:color w:val="auto"/>
          <w:sz w:val="24"/>
        </w:rPr>
        <w:t>本协议签署日起满五年时（以二者中较先者为准）终止。</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rPr>
          <w:rFonts w:ascii="宋体" w:cs="Arial"/>
          <w:b/>
          <w:bCs/>
          <w:color w:val="auto"/>
          <w:sz w:val="24"/>
        </w:rPr>
      </w:pPr>
      <w:r>
        <w:rPr>
          <w:rFonts w:hint="eastAsia" w:ascii="宋体" w:hAnsi="宋体" w:cs="Arial"/>
          <w:b/>
          <w:bCs/>
          <w:color w:val="auto"/>
          <w:sz w:val="24"/>
        </w:rPr>
        <w:t>５</w:t>
      </w:r>
      <w:r>
        <w:rPr>
          <w:rFonts w:ascii="宋体" w:hAnsi="宋体" w:cs="Arial"/>
          <w:b/>
          <w:bCs/>
          <w:color w:val="auto"/>
          <w:sz w:val="24"/>
        </w:rPr>
        <w:t xml:space="preserve">. </w:t>
      </w:r>
      <w:r>
        <w:rPr>
          <w:rFonts w:hint="eastAsia" w:ascii="宋体" w:hAnsi="宋体" w:cs="Arial"/>
          <w:b/>
          <w:bCs/>
          <w:color w:val="auto"/>
          <w:sz w:val="24"/>
        </w:rPr>
        <w:t>披露</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480" w:firstLineChars="200"/>
        <w:rPr>
          <w:rFonts w:ascii="宋体" w:cs="Arial"/>
          <w:color w:val="auto"/>
          <w:sz w:val="24"/>
        </w:rPr>
      </w:pPr>
      <w:r>
        <w:rPr>
          <w:rFonts w:hint="eastAsia" w:ascii="宋体" w:hAnsi="宋体" w:cs="Arial"/>
          <w:color w:val="auto"/>
          <w:sz w:val="24"/>
          <w:lang w:val="en-US" w:eastAsia="zh-CN"/>
        </w:rPr>
        <w:t>5.1</w:t>
      </w:r>
      <w:r>
        <w:rPr>
          <w:rFonts w:ascii="宋体" w:hAnsi="宋体" w:cs="Arial"/>
          <w:color w:val="auto"/>
          <w:sz w:val="24"/>
        </w:rPr>
        <w:t xml:space="preserve"> </w:t>
      </w:r>
      <w:r>
        <w:rPr>
          <w:rFonts w:hint="eastAsia" w:ascii="宋体" w:hAnsi="宋体" w:cs="Arial"/>
          <w:color w:val="auto"/>
          <w:sz w:val="24"/>
        </w:rPr>
        <w:t>接收方不应为第三方复制、复印、或向第三方披露、散发或转移全部或部分提供方保密信息﹐但下列情况除外</w:t>
      </w:r>
      <w:r>
        <w:rPr>
          <w:rFonts w:ascii="宋体" w:hAnsi="宋体" w:cs="Arial"/>
          <w:color w:val="auto"/>
          <w:sz w:val="24"/>
        </w:rPr>
        <w:t>:</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480" w:firstLineChars="200"/>
        <w:rPr>
          <w:rFonts w:ascii="宋体" w:cs="Arial"/>
          <w:color w:val="auto"/>
          <w:sz w:val="24"/>
        </w:rPr>
      </w:pPr>
      <w:r>
        <w:rPr>
          <w:rFonts w:hint="eastAsia" w:ascii="宋体" w:hAnsi="宋体" w:cs="Arial"/>
          <w:color w:val="auto"/>
          <w:sz w:val="24"/>
          <w:lang w:val="en-US" w:eastAsia="zh-CN"/>
        </w:rPr>
        <w:t>5.1.1</w:t>
      </w:r>
      <w:r>
        <w:rPr>
          <w:rFonts w:ascii="宋体" w:hAnsi="宋体" w:cs="Arial"/>
          <w:color w:val="auto"/>
          <w:sz w:val="24"/>
        </w:rPr>
        <w:t xml:space="preserve"> </w:t>
      </w:r>
      <w:r>
        <w:rPr>
          <w:rFonts w:hint="eastAsia" w:ascii="宋体" w:hAnsi="宋体" w:cs="Arial"/>
          <w:color w:val="auto"/>
          <w:sz w:val="24"/>
        </w:rPr>
        <w:t>已获得提供方的事先书面同意；</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firstLine="480" w:firstLineChars="200"/>
        <w:rPr>
          <w:rFonts w:ascii="宋体" w:cs="Arial"/>
          <w:color w:val="auto"/>
          <w:sz w:val="24"/>
        </w:rPr>
      </w:pPr>
      <w:r>
        <w:rPr>
          <w:rFonts w:hint="eastAsia" w:ascii="宋体" w:hAnsi="宋体" w:cs="Arial"/>
          <w:color w:val="auto"/>
          <w:sz w:val="24"/>
          <w:lang w:val="en-US" w:eastAsia="zh-CN"/>
        </w:rPr>
        <w:t>5.1.2</w:t>
      </w:r>
      <w:r>
        <w:rPr>
          <w:rFonts w:ascii="宋体" w:hAnsi="宋体" w:cs="Arial"/>
          <w:color w:val="auto"/>
          <w:sz w:val="24"/>
        </w:rPr>
        <w:t xml:space="preserve"> </w:t>
      </w:r>
      <w:r>
        <w:rPr>
          <w:rFonts w:hint="eastAsia" w:ascii="宋体" w:hAnsi="宋体" w:cs="Arial"/>
          <w:color w:val="auto"/>
          <w:sz w:val="24"/>
        </w:rPr>
        <w:t>根据</w:t>
      </w:r>
      <w:r>
        <w:rPr>
          <w:rFonts w:ascii="宋体" w:hAnsi="宋体" w:cs="Arial"/>
          <w:color w:val="auto"/>
          <w:sz w:val="24"/>
        </w:rPr>
        <w:t>4.2</w:t>
      </w:r>
      <w:r>
        <w:rPr>
          <w:rFonts w:hint="eastAsia" w:ascii="宋体" w:hAnsi="宋体" w:cs="Arial"/>
          <w:color w:val="auto"/>
          <w:sz w:val="24"/>
        </w:rPr>
        <w:t>的规定，向接收方需要知悉保密信息的员工、代理方及</w:t>
      </w:r>
      <w:r>
        <w:rPr>
          <w:rFonts w:ascii="宋体" w:hAnsi="宋体" w:cs="Arial"/>
          <w:color w:val="auto"/>
          <w:sz w:val="24"/>
        </w:rPr>
        <w:t>/</w:t>
      </w:r>
      <w:r>
        <w:rPr>
          <w:rFonts w:hint="eastAsia" w:ascii="宋体" w:hAnsi="宋体" w:cs="Arial"/>
          <w:color w:val="auto"/>
          <w:sz w:val="24"/>
        </w:rPr>
        <w:t>或分包商，或任何其他合伙人或员工，或就与本协议相关的任何权利请求或可能的请求，或向其专业顾问，披露保密信息。</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19" w:leftChars="9" w:firstLine="480" w:firstLineChars="200"/>
        <w:rPr>
          <w:rFonts w:ascii="宋体" w:cs="Arial"/>
          <w:color w:val="auto"/>
          <w:sz w:val="24"/>
        </w:rPr>
      </w:pPr>
      <w:r>
        <w:rPr>
          <w:rFonts w:hint="eastAsia" w:ascii="宋体" w:hAnsi="宋体" w:cs="Arial"/>
          <w:color w:val="auto"/>
          <w:sz w:val="24"/>
          <w:lang w:val="en-US" w:eastAsia="zh-CN"/>
        </w:rPr>
        <w:t>5.2</w:t>
      </w:r>
      <w:r>
        <w:rPr>
          <w:rFonts w:ascii="宋体" w:hAnsi="宋体" w:cs="Arial"/>
          <w:color w:val="auto"/>
          <w:sz w:val="24"/>
        </w:rPr>
        <w:t xml:space="preserve"> </w:t>
      </w:r>
      <w:r>
        <w:rPr>
          <w:rFonts w:hint="eastAsia" w:ascii="宋体" w:hAnsi="宋体" w:cs="Arial"/>
          <w:color w:val="auto"/>
          <w:sz w:val="24"/>
        </w:rPr>
        <w:t>接收方根据上述</w:t>
      </w:r>
      <w:r>
        <w:rPr>
          <w:rFonts w:ascii="宋体" w:hAnsi="宋体" w:cs="Arial"/>
          <w:color w:val="auto"/>
          <w:sz w:val="24"/>
        </w:rPr>
        <w:t>4.1</w:t>
      </w:r>
      <w:r>
        <w:rPr>
          <w:rFonts w:hint="eastAsia" w:ascii="宋体" w:hAnsi="宋体" w:cs="Arial"/>
          <w:color w:val="auto"/>
          <w:sz w:val="24"/>
        </w:rPr>
        <w:t>条披露提供方的保密信息时，应确保该人员：</w:t>
      </w:r>
      <w:r>
        <w:rPr>
          <w:rFonts w:ascii="宋体" w:hAnsi="宋体" w:cs="Arial"/>
          <w:color w:val="auto"/>
          <w:sz w:val="24"/>
        </w:rPr>
        <w:t xml:space="preserve">(1) </w:t>
      </w:r>
      <w:r>
        <w:rPr>
          <w:rFonts w:hint="eastAsia" w:ascii="宋体" w:hAnsi="宋体" w:cs="Arial"/>
          <w:color w:val="auto"/>
          <w:sz w:val="24"/>
        </w:rPr>
        <w:t>了解保密信息的专有和保密性质﹐以及在复制、使用和披露方面的限制；及</w:t>
      </w:r>
      <w:r>
        <w:rPr>
          <w:rFonts w:ascii="宋体" w:hAnsi="宋体" w:cs="Arial"/>
          <w:color w:val="auto"/>
          <w:sz w:val="24"/>
        </w:rPr>
        <w:t xml:space="preserve">(2) </w:t>
      </w:r>
      <w:r>
        <w:rPr>
          <w:rFonts w:hint="eastAsia" w:ascii="宋体" w:hAnsi="宋体" w:cs="Arial"/>
          <w:color w:val="auto"/>
          <w:sz w:val="24"/>
        </w:rPr>
        <w:t>在获取保密信息前﹐受适当的合同保密责任所约束。</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rPr>
          <w:rFonts w:ascii="宋体" w:cs="Arial"/>
          <w:b/>
          <w:bCs/>
          <w:color w:val="auto"/>
          <w:sz w:val="24"/>
        </w:rPr>
      </w:pPr>
      <w:r>
        <w:rPr>
          <w:rFonts w:hint="eastAsia" w:ascii="宋体" w:hAnsi="宋体" w:cs="Arial"/>
          <w:b/>
          <w:bCs/>
          <w:color w:val="auto"/>
          <w:sz w:val="24"/>
        </w:rPr>
        <w:t>６</w:t>
      </w:r>
      <w:r>
        <w:rPr>
          <w:rFonts w:ascii="宋体" w:hAnsi="宋体" w:cs="Arial"/>
          <w:b/>
          <w:bCs/>
          <w:color w:val="auto"/>
          <w:sz w:val="24"/>
        </w:rPr>
        <w:t xml:space="preserve">. </w:t>
      </w:r>
      <w:r>
        <w:rPr>
          <w:rFonts w:hint="eastAsia" w:ascii="宋体" w:hAnsi="宋体" w:cs="Arial"/>
          <w:b/>
          <w:bCs/>
          <w:color w:val="auto"/>
          <w:sz w:val="24"/>
        </w:rPr>
        <w:t>未授予使用</w:t>
      </w:r>
      <w:r>
        <w:rPr>
          <w:rFonts w:hint="eastAsia" w:ascii="宋体" w:hAnsi="宋体" w:cs="Arial"/>
          <w:b/>
          <w:color w:val="auto"/>
          <w:sz w:val="24"/>
        </w:rPr>
        <w:t>许可权</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76" w:leftChars="36" w:firstLine="480" w:firstLineChars="200"/>
        <w:rPr>
          <w:rFonts w:ascii="宋体" w:cs="Arial"/>
          <w:color w:val="auto"/>
          <w:sz w:val="24"/>
        </w:rPr>
      </w:pPr>
      <w:r>
        <w:rPr>
          <w:rFonts w:hint="eastAsia" w:ascii="宋体" w:hAnsi="宋体" w:cs="Arial"/>
          <w:color w:val="auto"/>
          <w:sz w:val="24"/>
        </w:rPr>
        <w:t>除本协议明确约定外﹐提供方并未授予接收方有关知识产权的使用许可（无论是明示或默示，禁止反言</w:t>
      </w:r>
      <w:r>
        <w:rPr>
          <w:rFonts w:hint="eastAsia" w:ascii="宋体" w:hAnsi="宋体" w:cs="Arial"/>
          <w:color w:val="auto"/>
          <w:sz w:val="24"/>
          <w:lang w:eastAsia="zh-CN"/>
        </w:rPr>
        <w:t>或其他</w:t>
      </w:r>
      <w:r>
        <w:rPr>
          <w:rFonts w:hint="eastAsia" w:ascii="宋体" w:hAnsi="宋体" w:cs="Arial"/>
          <w:color w:val="auto"/>
          <w:sz w:val="24"/>
        </w:rPr>
        <w:t>）。该知识产权包括与保密信息有关的提供方所拥有的或之后可能拥有的、或其被授予或之后可能被授予使用许可权的商业秘密、商标、专利、著作权、其它知识产权或该等知识产权的申请。</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rPr>
          <w:rFonts w:ascii="宋体" w:cs="Arial"/>
          <w:b/>
          <w:bCs/>
          <w:color w:val="auto"/>
          <w:sz w:val="24"/>
          <w:u w:val="single"/>
        </w:rPr>
      </w:pPr>
      <w:r>
        <w:rPr>
          <w:rFonts w:ascii="宋体" w:hAnsi="宋体" w:cs="Arial"/>
          <w:b/>
          <w:bCs/>
          <w:color w:val="auto"/>
          <w:sz w:val="24"/>
        </w:rPr>
        <w:t xml:space="preserve">7.  </w:t>
      </w:r>
      <w:r>
        <w:rPr>
          <w:rFonts w:hint="eastAsia" w:ascii="宋体" w:hAnsi="宋体" w:cs="Arial"/>
          <w:b/>
          <w:bCs/>
          <w:color w:val="auto"/>
          <w:sz w:val="24"/>
        </w:rPr>
        <w:t>承诺</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702" w:leftChars="220" w:hanging="240" w:hangingChars="100"/>
        <w:rPr>
          <w:rFonts w:ascii="宋体" w:cs="Arial"/>
          <w:color w:val="auto"/>
          <w:sz w:val="24"/>
        </w:rPr>
      </w:pPr>
      <w:r>
        <w:rPr>
          <w:rFonts w:hint="eastAsia" w:ascii="宋体" w:hAnsi="宋体" w:cs="Arial"/>
          <w:color w:val="auto"/>
          <w:sz w:val="24"/>
        </w:rPr>
        <w:t>提供方向接收方承诺其有权向接收方披露保密信息。</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rPr>
          <w:rFonts w:ascii="宋体" w:cs="Arial"/>
          <w:b/>
          <w:bCs/>
          <w:color w:val="auto"/>
          <w:sz w:val="24"/>
          <w:u w:val="single"/>
        </w:rPr>
      </w:pPr>
      <w:r>
        <w:rPr>
          <w:rFonts w:ascii="宋体" w:hAnsi="宋体" w:cs="Arial"/>
          <w:b/>
          <w:bCs/>
          <w:color w:val="auto"/>
          <w:sz w:val="24"/>
        </w:rPr>
        <w:t xml:space="preserve">8.  </w:t>
      </w:r>
      <w:r>
        <w:rPr>
          <w:rFonts w:hint="eastAsia" w:ascii="宋体" w:hAnsi="宋体" w:cs="Arial"/>
          <w:b/>
          <w:bCs/>
          <w:color w:val="auto"/>
          <w:sz w:val="24"/>
        </w:rPr>
        <w:t>期限及终止</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19" w:leftChars="9" w:firstLine="480" w:firstLineChars="200"/>
        <w:rPr>
          <w:rFonts w:ascii="宋体" w:cs="Arial"/>
          <w:color w:val="auto"/>
          <w:sz w:val="24"/>
        </w:rPr>
      </w:pPr>
      <w:r>
        <w:rPr>
          <w:rFonts w:ascii="宋体" w:hAnsi="宋体" w:cs="Arial"/>
          <w:color w:val="auto"/>
          <w:sz w:val="24"/>
        </w:rPr>
        <w:t xml:space="preserve">8.1 </w:t>
      </w:r>
      <w:r>
        <w:rPr>
          <w:rFonts w:hint="eastAsia" w:ascii="宋体" w:hAnsi="宋体" w:cs="Arial"/>
          <w:color w:val="auto"/>
          <w:sz w:val="24"/>
        </w:rPr>
        <w:t>本协议将于协议双方签署日起生效。除上述</w:t>
      </w:r>
      <w:r>
        <w:rPr>
          <w:rFonts w:ascii="宋体" w:hAnsi="宋体" w:cs="Arial"/>
          <w:color w:val="auto"/>
          <w:sz w:val="24"/>
        </w:rPr>
        <w:t>4.3</w:t>
      </w:r>
      <w:r>
        <w:rPr>
          <w:rFonts w:hint="eastAsia" w:ascii="宋体" w:hAnsi="宋体" w:cs="Arial"/>
          <w:color w:val="auto"/>
          <w:sz w:val="24"/>
        </w:rPr>
        <w:t>条款另有规定外，本协议将持续有效。</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19" w:leftChars="9" w:firstLine="480" w:firstLineChars="200"/>
        <w:rPr>
          <w:rFonts w:ascii="宋体" w:hAnsi="宋体" w:cs="Arial"/>
          <w:color w:val="auto"/>
          <w:sz w:val="24"/>
        </w:rPr>
      </w:pPr>
      <w:r>
        <w:rPr>
          <w:rFonts w:ascii="宋体" w:hAnsi="宋体" w:cs="Arial"/>
          <w:color w:val="auto"/>
          <w:sz w:val="24"/>
        </w:rPr>
        <w:t xml:space="preserve">8.2 </w:t>
      </w:r>
      <w:r>
        <w:rPr>
          <w:rFonts w:hint="eastAsia" w:ascii="宋体" w:hAnsi="宋体" w:cs="Arial"/>
          <w:color w:val="auto"/>
          <w:sz w:val="24"/>
        </w:rPr>
        <w:t>接收方将在收到提供方的书面要求后七日内﹐向提供方归还接收方所持有、保存或控制的任</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19" w:leftChars="9" w:firstLine="480" w:firstLineChars="200"/>
        <w:rPr>
          <w:rFonts w:ascii="宋体" w:cs="Arial"/>
          <w:color w:val="auto"/>
          <w:sz w:val="24"/>
        </w:rPr>
      </w:pPr>
      <w:r>
        <w:rPr>
          <w:rFonts w:hint="eastAsia" w:ascii="宋体" w:hAnsi="宋体" w:cs="Arial"/>
          <w:color w:val="auto"/>
          <w:sz w:val="24"/>
        </w:rPr>
        <w:t>何包含或载有提供方任何保密信息的所有文件</w:t>
      </w:r>
      <w:r>
        <w:rPr>
          <w:rFonts w:hint="eastAsia" w:ascii="宋体" w:hAnsi="宋体" w:cs="Arial"/>
          <w:color w:val="auto"/>
          <w:sz w:val="24"/>
          <w:lang w:eastAsia="zh-CN"/>
        </w:rPr>
        <w:t>及其他</w:t>
      </w:r>
      <w:r>
        <w:rPr>
          <w:rFonts w:hint="eastAsia" w:ascii="宋体" w:hAnsi="宋体" w:cs="Arial"/>
          <w:color w:val="auto"/>
          <w:sz w:val="24"/>
        </w:rPr>
        <w:t>资料</w:t>
      </w:r>
      <w:r>
        <w:rPr>
          <w:rFonts w:ascii="宋体" w:hAnsi="宋体" w:cs="Arial"/>
          <w:color w:val="auto"/>
          <w:sz w:val="24"/>
        </w:rPr>
        <w:t>(</w:t>
      </w:r>
      <w:r>
        <w:rPr>
          <w:rFonts w:hint="eastAsia" w:ascii="宋体" w:hAnsi="宋体" w:cs="Arial"/>
          <w:color w:val="auto"/>
          <w:sz w:val="24"/>
        </w:rPr>
        <w:t>包括该等文件和资料的复印件</w:t>
      </w:r>
      <w:r>
        <w:rPr>
          <w:rFonts w:ascii="宋体" w:hAnsi="宋体" w:cs="Arial"/>
          <w:color w:val="auto"/>
          <w:sz w:val="24"/>
        </w:rPr>
        <w:t>)</w:t>
      </w:r>
      <w:r>
        <w:rPr>
          <w:rFonts w:hint="eastAsia" w:ascii="宋体" w:hAnsi="宋体" w:cs="Arial"/>
          <w:color w:val="auto"/>
          <w:sz w:val="24"/>
        </w:rPr>
        <w:t>。</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rPr>
          <w:rFonts w:ascii="宋体" w:cs="Arial"/>
          <w:b/>
          <w:bCs/>
          <w:color w:val="auto"/>
          <w:sz w:val="24"/>
        </w:rPr>
      </w:pPr>
      <w:r>
        <w:rPr>
          <w:rFonts w:ascii="宋体" w:hAnsi="宋体" w:cs="Arial"/>
          <w:b/>
          <w:bCs/>
          <w:color w:val="auto"/>
          <w:sz w:val="24"/>
        </w:rPr>
        <w:t xml:space="preserve">9.  </w:t>
      </w:r>
      <w:r>
        <w:rPr>
          <w:rFonts w:hint="eastAsia" w:ascii="宋体" w:hAnsi="宋体" w:cs="Arial"/>
          <w:b/>
          <w:bCs/>
          <w:color w:val="auto"/>
          <w:sz w:val="24"/>
        </w:rPr>
        <w:t>一般事项</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512" w:leftChars="244"/>
        <w:rPr>
          <w:rFonts w:ascii="宋体" w:cs="Arial"/>
          <w:b/>
          <w:bCs/>
          <w:color w:val="auto"/>
          <w:sz w:val="24"/>
        </w:rPr>
      </w:pPr>
      <w:r>
        <w:rPr>
          <w:rFonts w:ascii="宋体" w:hAnsi="宋体" w:cs="Arial"/>
          <w:color w:val="auto"/>
          <w:sz w:val="24"/>
        </w:rPr>
        <w:t xml:space="preserve">9.1 </w:t>
      </w:r>
      <w:r>
        <w:rPr>
          <w:rFonts w:hint="eastAsia" w:ascii="宋体" w:hAnsi="宋体" w:cs="Arial"/>
          <w:color w:val="auto"/>
          <w:sz w:val="24"/>
        </w:rPr>
        <w:t>未经另一方事先书面同意﹐任何一方不得转让在本协议下的权利或义务。</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496" w:leftChars="236"/>
        <w:rPr>
          <w:rFonts w:ascii="宋体" w:cs="Arial"/>
          <w:color w:val="auto"/>
          <w:sz w:val="24"/>
        </w:rPr>
      </w:pPr>
      <w:r>
        <w:rPr>
          <w:rFonts w:ascii="宋体" w:hAnsi="宋体" w:cs="Arial"/>
          <w:color w:val="auto"/>
          <w:sz w:val="24"/>
        </w:rPr>
        <w:t xml:space="preserve">9.2 </w:t>
      </w:r>
      <w:r>
        <w:rPr>
          <w:rFonts w:hint="eastAsia" w:ascii="宋体" w:hAnsi="宋体" w:cs="Arial"/>
          <w:color w:val="auto"/>
          <w:sz w:val="24"/>
        </w:rPr>
        <w:t>任何一方在执行本协议的条款或条件时的延误﹐将不会影响或限制另一方在本协议下的权利和权力。</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76" w:leftChars="36" w:firstLine="480" w:firstLineChars="200"/>
        <w:rPr>
          <w:rFonts w:ascii="宋体" w:cs="Arial"/>
          <w:color w:val="auto"/>
          <w:sz w:val="24"/>
        </w:rPr>
      </w:pPr>
      <w:r>
        <w:rPr>
          <w:rFonts w:ascii="宋体" w:hAnsi="宋体" w:cs="Arial"/>
          <w:color w:val="auto"/>
          <w:sz w:val="24"/>
        </w:rPr>
        <w:t xml:space="preserve">9.3 </w:t>
      </w:r>
      <w:r>
        <w:rPr>
          <w:rFonts w:hint="eastAsia" w:ascii="宋体" w:hAnsi="宋体" w:cs="Arial"/>
          <w:color w:val="auto"/>
          <w:sz w:val="24"/>
        </w:rPr>
        <w:t>对本协议任何条款或条件的放弃﹐必须以书面作出方为有效。对本协议的任何修订﹐必须经双方书面同意和签署方为有效。</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76" w:leftChars="36" w:firstLine="480" w:firstLineChars="200"/>
        <w:rPr>
          <w:rFonts w:ascii="宋体" w:cs="Arial"/>
          <w:color w:val="auto"/>
          <w:sz w:val="24"/>
        </w:rPr>
      </w:pPr>
      <w:r>
        <w:rPr>
          <w:rFonts w:ascii="宋体" w:hAnsi="宋体" w:cs="Arial"/>
          <w:color w:val="auto"/>
          <w:sz w:val="24"/>
        </w:rPr>
        <w:t xml:space="preserve">9.4 </w:t>
      </w:r>
      <w:r>
        <w:rPr>
          <w:rFonts w:hint="eastAsia" w:ascii="宋体" w:hAnsi="宋体" w:cs="Arial"/>
          <w:color w:val="auto"/>
          <w:sz w:val="24"/>
        </w:rPr>
        <w:t>本协议是本协议双方就保密事项达成的完整协议。它取代并替代此前的任何有关的书面或口头的建议书、通信、理解、安排</w:t>
      </w:r>
      <w:r>
        <w:rPr>
          <w:rFonts w:hint="eastAsia" w:ascii="宋体" w:hAnsi="宋体" w:cs="Arial"/>
          <w:color w:val="auto"/>
          <w:sz w:val="24"/>
          <w:lang w:eastAsia="zh-CN"/>
        </w:rPr>
        <w:t>或其他</w:t>
      </w:r>
      <w:r>
        <w:rPr>
          <w:rFonts w:hint="eastAsia" w:ascii="宋体" w:hAnsi="宋体" w:cs="Arial"/>
          <w:color w:val="auto"/>
          <w:sz w:val="24"/>
        </w:rPr>
        <w:t>沟通。如果本协议任何条款被认定为全部或部分无效或无法执行﹐其余条款将继续有效﹐如同本协议在没有该无效条款情况下执行。</w:t>
      </w:r>
    </w:p>
    <w:p>
      <w:pPr>
        <w:tabs>
          <w:tab w:val="left" w:pos="720"/>
          <w:tab w:val="left" w:pos="1422"/>
          <w:tab w:val="left" w:pos="2016"/>
          <w:tab w:val="left" w:pos="2610"/>
          <w:tab w:val="left" w:pos="3204"/>
          <w:tab w:val="left" w:pos="3804"/>
          <w:tab w:val="left" w:pos="4398"/>
          <w:tab w:val="left" w:pos="4992"/>
          <w:tab w:val="left" w:pos="5586"/>
          <w:tab w:val="left" w:pos="6180"/>
          <w:tab w:val="left" w:pos="6780"/>
          <w:tab w:val="left" w:pos="7374"/>
          <w:tab w:val="left" w:pos="7968"/>
          <w:tab w:val="left" w:pos="8562"/>
          <w:tab w:val="left" w:pos="9156"/>
        </w:tabs>
        <w:autoSpaceDE w:val="0"/>
        <w:autoSpaceDN w:val="0"/>
        <w:adjustRightInd w:val="0"/>
        <w:spacing w:line="360" w:lineRule="auto"/>
        <w:ind w:left="76" w:leftChars="36" w:firstLine="480" w:firstLineChars="200"/>
        <w:rPr>
          <w:rFonts w:ascii="宋体" w:cs="Arial"/>
          <w:color w:val="auto"/>
          <w:sz w:val="24"/>
        </w:rPr>
      </w:pPr>
      <w:r>
        <w:rPr>
          <w:rFonts w:ascii="宋体" w:hAnsi="宋体" w:cs="Arial"/>
          <w:color w:val="auto"/>
          <w:sz w:val="24"/>
        </w:rPr>
        <w:t xml:space="preserve">9.5 </w:t>
      </w:r>
      <w:r>
        <w:rPr>
          <w:rFonts w:hint="eastAsia" w:ascii="宋体" w:hAnsi="宋体" w:cs="Arial"/>
          <w:color w:val="auto"/>
          <w:sz w:val="24"/>
        </w:rPr>
        <w:t>本协议适用中华人民共和国法律，并依根据中华人民共和国法律解释。一旦产生分歧，协议双方将尽量通过协商一致解决分歧。如果分歧不能通过协商解决，甲方和乙方均同意凡因本协议引起的或与本协议有关的任何争议，均应提交</w:t>
      </w:r>
      <w:r>
        <w:rPr>
          <w:rFonts w:hint="eastAsia" w:ascii="宋体" w:hAnsi="宋体" w:cs="Arial"/>
          <w:color w:val="auto"/>
          <w:sz w:val="24"/>
          <w:lang w:val="en-US" w:eastAsia="zh-CN"/>
        </w:rPr>
        <w:t>工程</w:t>
      </w:r>
      <w:r>
        <w:rPr>
          <w:rFonts w:hint="eastAsia" w:ascii="宋体" w:hAnsi="宋体" w:cs="Arial"/>
          <w:color w:val="auto"/>
          <w:sz w:val="24"/>
        </w:rPr>
        <w:t>所在地有管辖权的人民法院进行裁决。</w:t>
      </w:r>
    </w:p>
    <w:p>
      <w:pPr>
        <w:spacing w:line="360" w:lineRule="auto"/>
        <w:ind w:left="720" w:hanging="720"/>
        <w:rPr>
          <w:rFonts w:ascii="宋体" w:cs="Arial"/>
          <w:color w:val="auto"/>
          <w:sz w:val="24"/>
        </w:rPr>
      </w:pPr>
    </w:p>
    <w:p>
      <w:pPr>
        <w:spacing w:line="360" w:lineRule="auto"/>
        <w:ind w:left="720" w:hanging="720"/>
        <w:rPr>
          <w:rFonts w:ascii="宋体" w:cs="Arial"/>
          <w:color w:val="auto"/>
          <w:sz w:val="24"/>
        </w:rPr>
      </w:pPr>
    </w:p>
    <w:p>
      <w:pPr>
        <w:tabs>
          <w:tab w:val="left" w:pos="720"/>
          <w:tab w:val="left" w:pos="1422"/>
          <w:tab w:val="left" w:pos="2016"/>
          <w:tab w:val="left" w:pos="2610"/>
          <w:tab w:val="left" w:pos="3204"/>
          <w:tab w:val="left" w:pos="3804"/>
          <w:tab w:val="left" w:pos="4398"/>
          <w:tab w:val="left" w:pos="4992"/>
          <w:tab w:val="left" w:pos="5340"/>
          <w:tab w:val="left" w:pos="6780"/>
          <w:tab w:val="left" w:pos="7374"/>
          <w:tab w:val="left" w:pos="7968"/>
          <w:tab w:val="left" w:pos="8562"/>
          <w:tab w:val="left" w:pos="9156"/>
        </w:tabs>
        <w:autoSpaceDE w:val="0"/>
        <w:autoSpaceDN w:val="0"/>
        <w:adjustRightInd w:val="0"/>
        <w:spacing w:line="360" w:lineRule="auto"/>
        <w:jc w:val="left"/>
        <w:rPr>
          <w:rFonts w:cs="Arial"/>
          <w:color w:val="auto"/>
          <w:sz w:val="24"/>
        </w:rPr>
      </w:pPr>
      <w:r>
        <w:rPr>
          <w:rFonts w:hint="eastAsia" w:hAnsi="宋体" w:cs="Arial"/>
          <w:color w:val="auto"/>
          <w:sz w:val="24"/>
        </w:rPr>
        <w:t>甲方：　　　　　　　</w:t>
      </w:r>
      <w:r>
        <w:rPr>
          <w:rFonts w:hAnsi="宋体" w:cs="Arial"/>
          <w:color w:val="auto"/>
          <w:sz w:val="24"/>
        </w:rPr>
        <w:t xml:space="preserve">                        </w:t>
      </w:r>
      <w:r>
        <w:rPr>
          <w:rFonts w:hint="eastAsia" w:hAnsi="宋体" w:cs="Arial"/>
          <w:color w:val="auto"/>
          <w:sz w:val="24"/>
        </w:rPr>
        <w:t>乙方：</w:t>
      </w:r>
      <w:r>
        <w:rPr>
          <w:rFonts w:cs="Arial"/>
          <w:color w:val="auto"/>
          <w:sz w:val="24"/>
        </w:rPr>
        <w:t xml:space="preserve"> </w:t>
      </w:r>
    </w:p>
    <w:p>
      <w:pPr>
        <w:tabs>
          <w:tab w:val="left" w:pos="720"/>
          <w:tab w:val="left" w:pos="2016"/>
          <w:tab w:val="left" w:pos="2610"/>
          <w:tab w:val="left" w:pos="3204"/>
          <w:tab w:val="left" w:pos="3804"/>
          <w:tab w:val="left" w:pos="5355"/>
          <w:tab w:val="left" w:pos="6780"/>
          <w:tab w:val="left" w:pos="7374"/>
          <w:tab w:val="left" w:pos="7968"/>
          <w:tab w:val="left" w:pos="8562"/>
          <w:tab w:val="left" w:pos="9156"/>
        </w:tabs>
        <w:autoSpaceDE w:val="0"/>
        <w:autoSpaceDN w:val="0"/>
        <w:adjustRightInd w:val="0"/>
        <w:spacing w:line="360" w:lineRule="auto"/>
        <w:rPr>
          <w:rFonts w:cs="Arial"/>
          <w:color w:val="auto"/>
          <w:sz w:val="24"/>
        </w:rPr>
      </w:pPr>
      <w:r>
        <w:rPr>
          <w:rFonts w:hint="eastAsia" w:ascii="宋体" w:hAnsi="宋体" w:cs="Arial"/>
          <w:color w:val="auto"/>
          <w:sz w:val="24"/>
        </w:rPr>
        <w:t>公司地址：</w:t>
      </w:r>
      <w:r>
        <w:rPr>
          <w:rFonts w:ascii="宋体" w:cs="Arial"/>
          <w:color w:val="auto"/>
          <w:sz w:val="24"/>
        </w:rPr>
        <w:tab/>
      </w:r>
      <w:r>
        <w:rPr>
          <w:rFonts w:ascii="宋体" w:cs="Arial"/>
          <w:color w:val="auto"/>
          <w:sz w:val="24"/>
        </w:rPr>
        <w:t xml:space="preserve">                           </w:t>
      </w:r>
      <w:r>
        <w:rPr>
          <w:rFonts w:hint="eastAsia" w:ascii="宋体" w:hAnsi="宋体" w:cs="Arial"/>
          <w:color w:val="auto"/>
          <w:sz w:val="24"/>
        </w:rPr>
        <w:t>公司地址：</w:t>
      </w:r>
    </w:p>
    <w:p>
      <w:pPr>
        <w:tabs>
          <w:tab w:val="left" w:pos="720"/>
          <w:tab w:val="left" w:pos="1422"/>
          <w:tab w:val="left" w:pos="2016"/>
          <w:tab w:val="left" w:pos="2610"/>
          <w:tab w:val="left" w:pos="3204"/>
          <w:tab w:val="left" w:pos="3804"/>
          <w:tab w:val="left" w:pos="4398"/>
          <w:tab w:val="left" w:pos="4992"/>
          <w:tab w:val="left" w:pos="5340"/>
          <w:tab w:val="left" w:pos="6780"/>
          <w:tab w:val="left" w:pos="7374"/>
          <w:tab w:val="left" w:pos="7968"/>
          <w:tab w:val="left" w:pos="8562"/>
          <w:tab w:val="left" w:pos="9156"/>
        </w:tabs>
        <w:autoSpaceDE w:val="0"/>
        <w:autoSpaceDN w:val="0"/>
        <w:adjustRightInd w:val="0"/>
        <w:spacing w:line="360" w:lineRule="auto"/>
        <w:rPr>
          <w:rFonts w:cs="Arial"/>
          <w:color w:val="auto"/>
          <w:sz w:val="24"/>
        </w:rPr>
      </w:pPr>
      <w:r>
        <w:rPr>
          <w:rFonts w:cs="Arial"/>
          <w:color w:val="auto"/>
          <w:sz w:val="24"/>
        </w:rPr>
        <w:t xml:space="preserve"> </w:t>
      </w:r>
      <w:r>
        <w:rPr>
          <w:rFonts w:hint="eastAsia" w:hAnsi="宋体" w:cs="Arial"/>
          <w:color w:val="auto"/>
          <w:sz w:val="24"/>
        </w:rPr>
        <w:t>法定代表人或授权代表人</w:t>
      </w:r>
      <w:r>
        <w:rPr>
          <w:rFonts w:hint="eastAsia" w:cs="Arial"/>
          <w:color w:val="auto"/>
          <w:sz w:val="24"/>
        </w:rPr>
        <w:t>：</w:t>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hint="eastAsia" w:hAnsi="宋体" w:cs="Arial"/>
          <w:color w:val="auto"/>
          <w:sz w:val="24"/>
        </w:rPr>
        <w:t>法定代表人或授权代表人</w:t>
      </w:r>
      <w:r>
        <w:rPr>
          <w:rFonts w:hint="eastAsia" w:cs="Arial"/>
          <w:color w:val="auto"/>
          <w:sz w:val="24"/>
        </w:rPr>
        <w:t>：</w:t>
      </w:r>
    </w:p>
    <w:p>
      <w:pPr>
        <w:tabs>
          <w:tab w:val="left" w:pos="720"/>
          <w:tab w:val="left" w:pos="1422"/>
          <w:tab w:val="left" w:pos="2016"/>
          <w:tab w:val="left" w:pos="2610"/>
          <w:tab w:val="left" w:pos="3204"/>
          <w:tab w:val="left" w:pos="3804"/>
          <w:tab w:val="left" w:pos="4398"/>
          <w:tab w:val="left" w:pos="5355"/>
          <w:tab w:val="left" w:pos="6780"/>
          <w:tab w:val="left" w:pos="7374"/>
          <w:tab w:val="left" w:pos="7968"/>
          <w:tab w:val="left" w:pos="8562"/>
          <w:tab w:val="left" w:pos="9156"/>
        </w:tabs>
        <w:autoSpaceDE w:val="0"/>
        <w:autoSpaceDN w:val="0"/>
        <w:adjustRightInd w:val="0"/>
        <w:spacing w:line="360" w:lineRule="auto"/>
        <w:rPr>
          <w:rFonts w:cs="Arial"/>
          <w:color w:val="auto"/>
          <w:sz w:val="24"/>
        </w:rPr>
      </w:pPr>
      <w:r>
        <w:rPr>
          <w:rFonts w:hint="eastAsia" w:ascii="宋体" w:hAnsi="宋体" w:cs="Arial"/>
          <w:color w:val="auto"/>
          <w:sz w:val="24"/>
        </w:rPr>
        <w:t>日期：</w:t>
      </w:r>
      <w:r>
        <w:rPr>
          <w:rFonts w:ascii="宋体" w:hAnsi="宋体" w:cs="Arial"/>
          <w:color w:val="auto"/>
          <w:sz w:val="24"/>
        </w:rPr>
        <w:t xml:space="preserve"> </w:t>
      </w:r>
      <w:r>
        <w:rPr>
          <w:rFonts w:hint="eastAsia" w:ascii="宋体" w:hAnsi="宋体" w:cs="Arial"/>
          <w:color w:val="auto"/>
          <w:sz w:val="24"/>
        </w:rPr>
        <w:t>　年</w:t>
      </w:r>
      <w:r>
        <w:rPr>
          <w:rFonts w:ascii="宋体" w:hAnsi="宋体" w:cs="Arial"/>
          <w:color w:val="auto"/>
          <w:sz w:val="24"/>
        </w:rPr>
        <w:t xml:space="preserve">  </w:t>
      </w:r>
      <w:r>
        <w:rPr>
          <w:rFonts w:hint="eastAsia" w:ascii="宋体" w:hAnsi="宋体" w:cs="Arial"/>
          <w:color w:val="auto"/>
          <w:sz w:val="24"/>
        </w:rPr>
        <w:t>月</w:t>
      </w:r>
      <w:r>
        <w:rPr>
          <w:rFonts w:ascii="宋体" w:hAnsi="宋体" w:cs="Arial"/>
          <w:color w:val="auto"/>
          <w:sz w:val="24"/>
        </w:rPr>
        <w:t xml:space="preserve">  </w:t>
      </w:r>
      <w:r>
        <w:rPr>
          <w:rFonts w:hint="eastAsia" w:ascii="宋体" w:hAnsi="宋体" w:cs="Arial"/>
          <w:color w:val="auto"/>
          <w:sz w:val="24"/>
        </w:rPr>
        <w:t>日</w:t>
      </w:r>
      <w:r>
        <w:rPr>
          <w:rFonts w:ascii="宋体" w:cs="Arial"/>
          <w:color w:val="auto"/>
          <w:sz w:val="24"/>
        </w:rPr>
        <w:tab/>
      </w:r>
      <w:r>
        <w:rPr>
          <w:rFonts w:ascii="宋体" w:cs="Arial"/>
          <w:color w:val="auto"/>
          <w:sz w:val="24"/>
        </w:rPr>
        <w:tab/>
      </w:r>
      <w:r>
        <w:rPr>
          <w:rFonts w:ascii="宋体" w:cs="Arial"/>
          <w:color w:val="auto"/>
          <w:sz w:val="24"/>
        </w:rPr>
        <w:tab/>
      </w:r>
      <w:r>
        <w:rPr>
          <w:rFonts w:ascii="宋体" w:cs="Arial"/>
          <w:color w:val="auto"/>
          <w:sz w:val="24"/>
        </w:rPr>
        <w:tab/>
      </w:r>
      <w:r>
        <w:rPr>
          <w:rFonts w:ascii="宋体" w:cs="Arial"/>
          <w:color w:val="auto"/>
          <w:sz w:val="24"/>
        </w:rPr>
        <w:tab/>
      </w:r>
      <w:r>
        <w:rPr>
          <w:rFonts w:hint="eastAsia" w:ascii="宋体" w:hAnsi="宋体" w:cs="Arial"/>
          <w:color w:val="auto"/>
          <w:sz w:val="24"/>
        </w:rPr>
        <w:t>日期：　　年</w:t>
      </w:r>
      <w:r>
        <w:rPr>
          <w:rFonts w:ascii="宋体" w:hAnsi="宋体" w:cs="Arial"/>
          <w:color w:val="auto"/>
          <w:sz w:val="24"/>
        </w:rPr>
        <w:t xml:space="preserve">  </w:t>
      </w:r>
      <w:r>
        <w:rPr>
          <w:rFonts w:hint="eastAsia" w:ascii="宋体" w:hAnsi="宋体" w:cs="Arial"/>
          <w:color w:val="auto"/>
          <w:sz w:val="24"/>
        </w:rPr>
        <w:t>月</w:t>
      </w:r>
      <w:r>
        <w:rPr>
          <w:rFonts w:ascii="宋体" w:hAnsi="宋体" w:cs="Arial"/>
          <w:color w:val="auto"/>
          <w:sz w:val="24"/>
        </w:rPr>
        <w:t xml:space="preserve">  </w:t>
      </w:r>
      <w:r>
        <w:rPr>
          <w:rFonts w:hint="eastAsia" w:ascii="宋体" w:hAnsi="宋体" w:cs="Arial"/>
          <w:color w:val="auto"/>
          <w:sz w:val="24"/>
        </w:rPr>
        <w:t>日</w:t>
      </w:r>
    </w:p>
    <w:p>
      <w:pPr>
        <w:pStyle w:val="20"/>
        <w:rPr>
          <w:color w:val="auto"/>
        </w:rPr>
      </w:pPr>
    </w:p>
    <w:p>
      <w:pPr>
        <w:pStyle w:val="20"/>
        <w:rPr>
          <w:color w:val="auto"/>
        </w:rPr>
        <w:sectPr>
          <w:endnotePr>
            <w:numFmt w:val="decimal"/>
          </w:endnotePr>
          <w:pgSz w:w="11906" w:h="16838"/>
          <w:pgMar w:top="1440" w:right="1077" w:bottom="1440" w:left="1077" w:header="851" w:footer="992" w:gutter="0"/>
          <w:pgNumType w:fmt="decimal"/>
          <w:cols w:space="720" w:num="1"/>
          <w:docGrid w:linePitch="312" w:charSpace="0"/>
        </w:sectPr>
      </w:pPr>
    </w:p>
    <w:p>
      <w:pPr>
        <w:pStyle w:val="20"/>
        <w:rPr>
          <w:rFonts w:hint="eastAsia"/>
          <w:color w:val="auto"/>
          <w:lang w:val="en-US" w:eastAsia="zh-CN"/>
        </w:rPr>
      </w:pPr>
      <w:r>
        <w:rPr>
          <w:rFonts w:hint="eastAsia"/>
          <w:color w:val="auto"/>
          <w:lang w:val="en-US" w:eastAsia="zh-CN"/>
        </w:rPr>
        <w:t>附件4</w:t>
      </w:r>
    </w:p>
    <w:p>
      <w:pPr>
        <w:pStyle w:val="20"/>
        <w:rPr>
          <w:rFonts w:hint="eastAsia"/>
          <w:color w:val="auto"/>
          <w:lang w:val="en-US" w:eastAsia="zh-CN"/>
        </w:rPr>
      </w:pPr>
    </w:p>
    <w:p>
      <w:pPr>
        <w:pStyle w:val="20"/>
        <w:jc w:val="center"/>
        <w:rPr>
          <w:rFonts w:hint="eastAsia" w:ascii="宋体" w:hAnsi="宋体" w:cs="宋体"/>
          <w:color w:val="auto"/>
          <w:sz w:val="24"/>
          <w:u w:val="single"/>
        </w:rPr>
      </w:pPr>
      <w:r>
        <w:rPr>
          <w:rFonts w:hint="eastAsia" w:ascii="宋体" w:hAnsi="宋体" w:cs="宋体"/>
          <w:color w:val="auto"/>
          <w:sz w:val="24"/>
          <w:u w:val="single"/>
        </w:rPr>
        <w:t>技术规格书</w:t>
      </w:r>
    </w:p>
    <w:p>
      <w:pPr>
        <w:pStyle w:val="20"/>
        <w:jc w:val="center"/>
        <w:rPr>
          <w:rFonts w:hint="eastAsia" w:ascii="宋体" w:hAnsi="宋体" w:cs="宋体"/>
          <w:color w:val="auto"/>
          <w:sz w:val="24"/>
          <w:u w:val="single"/>
        </w:rPr>
      </w:pPr>
    </w:p>
    <w:p>
      <w:pPr>
        <w:pStyle w:val="20"/>
        <w:jc w:val="center"/>
        <w:rPr>
          <w:rFonts w:hint="default" w:ascii="宋体" w:hAnsi="宋体" w:eastAsia="宋体" w:cs="宋体"/>
          <w:color w:val="auto"/>
          <w:sz w:val="24"/>
          <w:u w:val="single"/>
          <w:lang w:val="en-US" w:eastAsia="zh-CN"/>
        </w:rPr>
      </w:pP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另册）</w:t>
      </w:r>
    </w:p>
    <w:p>
      <w:pPr>
        <w:pStyle w:val="20"/>
        <w:jc w:val="center"/>
        <w:rPr>
          <w:rFonts w:hint="eastAsia" w:ascii="宋体" w:hAnsi="宋体" w:cs="宋体"/>
          <w:color w:val="auto"/>
          <w:sz w:val="24"/>
          <w:u w:val="single"/>
        </w:rPr>
      </w:pPr>
    </w:p>
    <w:p>
      <w:pPr>
        <w:pStyle w:val="20"/>
        <w:jc w:val="center"/>
        <w:rPr>
          <w:rFonts w:hint="eastAsia" w:ascii="宋体" w:hAnsi="宋体" w:cs="宋体"/>
          <w:color w:val="auto"/>
          <w:sz w:val="24"/>
          <w:u w:val="single"/>
        </w:rPr>
      </w:pPr>
    </w:p>
    <w:p>
      <w:pPr>
        <w:pStyle w:val="20"/>
        <w:jc w:val="center"/>
        <w:rPr>
          <w:rFonts w:hint="default" w:ascii="宋体" w:hAnsi="宋体" w:cs="宋体"/>
          <w:color w:val="auto"/>
          <w:sz w:val="24"/>
          <w:u w:val="single"/>
          <w:lang w:val="en-US" w:eastAsia="zh-CN"/>
        </w:rPr>
        <w:sectPr>
          <w:endnotePr>
            <w:numFmt w:val="decimal"/>
          </w:endnotePr>
          <w:pgSz w:w="11906" w:h="16838"/>
          <w:pgMar w:top="1440" w:right="1077" w:bottom="1440" w:left="1077" w:header="851" w:footer="992" w:gutter="0"/>
          <w:pgNumType w:fmt="decimal"/>
          <w:cols w:space="720" w:num="1"/>
          <w:docGrid w:linePitch="312" w:charSpace="0"/>
        </w:sectPr>
      </w:pPr>
    </w:p>
    <w:p>
      <w:pPr>
        <w:pStyle w:val="20"/>
        <w:rPr>
          <w:rFonts w:hint="eastAsia"/>
          <w:color w:val="auto"/>
          <w:lang w:val="en-US" w:eastAsia="zh-CN"/>
        </w:rPr>
      </w:pPr>
      <w:r>
        <w:rPr>
          <w:rFonts w:hint="eastAsia"/>
          <w:color w:val="auto"/>
          <w:lang w:val="en-US" w:eastAsia="zh-CN"/>
        </w:rPr>
        <w:t>附件5</w:t>
      </w:r>
    </w:p>
    <w:p>
      <w:pPr>
        <w:pStyle w:val="20"/>
        <w:jc w:val="center"/>
        <w:rPr>
          <w:rFonts w:hint="eastAsia" w:ascii="宋体" w:hAnsi="宋体" w:cs="宋体"/>
          <w:color w:val="auto"/>
          <w:sz w:val="24"/>
          <w:u w:val="single"/>
        </w:rPr>
      </w:pPr>
      <w:r>
        <w:rPr>
          <w:rFonts w:hint="eastAsia" w:ascii="宋体" w:hAnsi="宋体" w:cs="宋体"/>
          <w:color w:val="auto"/>
          <w:sz w:val="24"/>
          <w:u w:val="none"/>
        </w:rPr>
        <w:t>孚能五标段推荐品牌</w:t>
      </w:r>
    </w:p>
    <w:p>
      <w:pPr>
        <w:pStyle w:val="20"/>
        <w:jc w:val="center"/>
        <w:rPr>
          <w:rFonts w:hint="default" w:ascii="宋体" w:hAnsi="宋体" w:cs="宋体"/>
          <w:color w:val="auto"/>
          <w:sz w:val="24"/>
          <w:u w:val="single"/>
          <w:lang w:val="en-US" w:eastAsia="zh-CN"/>
        </w:rPr>
      </w:pPr>
    </w:p>
    <w:tbl>
      <w:tblPr>
        <w:tblStyle w:val="37"/>
        <w:tblW w:w="9870" w:type="dxa"/>
        <w:tblInd w:w="0" w:type="dxa"/>
        <w:tblLayout w:type="fixed"/>
        <w:tblCellMar>
          <w:top w:w="0" w:type="dxa"/>
          <w:left w:w="108" w:type="dxa"/>
          <w:bottom w:w="0" w:type="dxa"/>
          <w:right w:w="108" w:type="dxa"/>
        </w:tblCellMar>
      </w:tblPr>
      <w:tblGrid>
        <w:gridCol w:w="427"/>
        <w:gridCol w:w="1273"/>
        <w:gridCol w:w="1288"/>
        <w:gridCol w:w="2305"/>
        <w:gridCol w:w="3287"/>
        <w:gridCol w:w="1290"/>
      </w:tblGrid>
      <w:tr>
        <w:tblPrEx>
          <w:tblCellMar>
            <w:top w:w="0" w:type="dxa"/>
            <w:left w:w="108" w:type="dxa"/>
            <w:bottom w:w="0" w:type="dxa"/>
            <w:right w:w="108" w:type="dxa"/>
          </w:tblCellMar>
        </w:tblPrEx>
        <w:trPr>
          <w:trHeight w:val="400" w:hRule="atLeast"/>
        </w:trPr>
        <w:tc>
          <w:tcPr>
            <w:tcW w:w="987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等线" w:hAnsi="等线" w:eastAsia="等线" w:cs="宋体"/>
                <w:b/>
                <w:bCs/>
                <w:color w:val="auto"/>
                <w:sz w:val="20"/>
              </w:rPr>
            </w:pPr>
            <w:r>
              <w:rPr>
                <w:rFonts w:hint="eastAsia" w:ascii="等线" w:hAnsi="等线" w:eastAsia="等线" w:cs="宋体"/>
                <w:b/>
                <w:bCs/>
                <w:color w:val="auto"/>
                <w:sz w:val="20"/>
              </w:rPr>
              <w:t>孚能五标段推荐品牌</w:t>
            </w:r>
          </w:p>
        </w:tc>
      </w:tr>
      <w:tr>
        <w:tblPrEx>
          <w:tblCellMar>
            <w:top w:w="0" w:type="dxa"/>
            <w:left w:w="108" w:type="dxa"/>
            <w:bottom w:w="0" w:type="dxa"/>
            <w:right w:w="108" w:type="dxa"/>
          </w:tblCellMar>
        </w:tblPrEx>
        <w:trPr>
          <w:trHeight w:val="280" w:hRule="atLeast"/>
        </w:trPr>
        <w:tc>
          <w:tcPr>
            <w:tcW w:w="427" w:type="dxa"/>
            <w:tcBorders>
              <w:top w:val="nil"/>
              <w:left w:val="single" w:color="auto" w:sz="8" w:space="0"/>
              <w:bottom w:val="nil"/>
              <w:right w:val="single" w:color="auto" w:sz="4" w:space="0"/>
            </w:tcBorders>
            <w:shd w:val="clear" w:color="000000" w:fill="BDD7EE"/>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序号</w:t>
            </w:r>
          </w:p>
        </w:tc>
        <w:tc>
          <w:tcPr>
            <w:tcW w:w="1273" w:type="dxa"/>
            <w:tcBorders>
              <w:top w:val="nil"/>
              <w:left w:val="nil"/>
              <w:bottom w:val="nil"/>
              <w:right w:val="single" w:color="auto" w:sz="4" w:space="0"/>
            </w:tcBorders>
            <w:shd w:val="clear" w:color="000000" w:fill="BDD7EE"/>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名称</w:t>
            </w:r>
          </w:p>
        </w:tc>
        <w:tc>
          <w:tcPr>
            <w:tcW w:w="1288" w:type="dxa"/>
            <w:tcBorders>
              <w:top w:val="nil"/>
              <w:left w:val="nil"/>
              <w:bottom w:val="nil"/>
              <w:right w:val="single" w:color="auto" w:sz="4" w:space="0"/>
            </w:tcBorders>
            <w:shd w:val="clear" w:color="000000" w:fill="BDD7EE"/>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品牌</w:t>
            </w:r>
          </w:p>
        </w:tc>
        <w:tc>
          <w:tcPr>
            <w:tcW w:w="2305" w:type="dxa"/>
            <w:tcBorders>
              <w:top w:val="nil"/>
              <w:left w:val="nil"/>
              <w:bottom w:val="nil"/>
              <w:right w:val="single" w:color="auto" w:sz="4" w:space="0"/>
            </w:tcBorders>
            <w:shd w:val="clear" w:color="000000" w:fill="BDD7EE"/>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公司名称</w:t>
            </w:r>
          </w:p>
        </w:tc>
        <w:tc>
          <w:tcPr>
            <w:tcW w:w="3287" w:type="dxa"/>
            <w:tcBorders>
              <w:top w:val="nil"/>
              <w:left w:val="nil"/>
              <w:bottom w:val="nil"/>
              <w:right w:val="single" w:color="auto" w:sz="4" w:space="0"/>
            </w:tcBorders>
            <w:shd w:val="clear" w:color="000000" w:fill="BDD7EE"/>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技术参数</w:t>
            </w:r>
          </w:p>
        </w:tc>
        <w:tc>
          <w:tcPr>
            <w:tcW w:w="1290" w:type="dxa"/>
            <w:tcBorders>
              <w:top w:val="nil"/>
              <w:left w:val="nil"/>
              <w:bottom w:val="nil"/>
              <w:right w:val="single" w:color="auto" w:sz="8" w:space="0"/>
            </w:tcBorders>
            <w:shd w:val="clear" w:color="000000" w:fill="BDD7EE"/>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备注</w:t>
            </w:r>
          </w:p>
        </w:tc>
      </w:tr>
      <w:tr>
        <w:tblPrEx>
          <w:tblCellMar>
            <w:top w:w="0" w:type="dxa"/>
            <w:left w:w="108" w:type="dxa"/>
            <w:bottom w:w="0" w:type="dxa"/>
            <w:right w:w="108" w:type="dxa"/>
          </w:tblCellMar>
        </w:tblPrEx>
        <w:trPr>
          <w:trHeight w:val="280" w:hRule="atLeast"/>
        </w:trPr>
        <w:tc>
          <w:tcPr>
            <w:tcW w:w="9870" w:type="dxa"/>
            <w:gridSpan w:val="6"/>
            <w:tcBorders>
              <w:top w:val="single" w:color="auto" w:sz="4" w:space="0"/>
              <w:left w:val="single" w:color="auto" w:sz="8" w:space="0"/>
              <w:bottom w:val="single" w:color="auto" w:sz="4" w:space="0"/>
              <w:right w:val="single" w:color="000000" w:sz="8" w:space="0"/>
            </w:tcBorders>
            <w:shd w:val="clear" w:color="000000" w:fill="FFFFFF"/>
            <w:vAlign w:val="center"/>
          </w:tcPr>
          <w:p>
            <w:pPr>
              <w:widowControl/>
              <w:jc w:val="left"/>
              <w:rPr>
                <w:rFonts w:ascii="等线" w:hAnsi="等线" w:eastAsia="等线" w:cs="宋体"/>
                <w:b/>
                <w:bCs/>
                <w:color w:val="auto"/>
                <w:sz w:val="20"/>
              </w:rPr>
            </w:pPr>
            <w:r>
              <w:rPr>
                <w:rFonts w:hint="eastAsia" w:ascii="等线" w:hAnsi="等线" w:eastAsia="等线" w:cs="宋体"/>
                <w:b/>
                <w:bCs/>
                <w:color w:val="auto"/>
                <w:sz w:val="20"/>
              </w:rPr>
              <w:t>普通内装部分</w:t>
            </w:r>
          </w:p>
        </w:tc>
      </w:tr>
      <w:tr>
        <w:tblPrEx>
          <w:tblCellMar>
            <w:top w:w="0" w:type="dxa"/>
            <w:left w:w="108" w:type="dxa"/>
            <w:bottom w:w="0" w:type="dxa"/>
            <w:right w:w="108" w:type="dxa"/>
          </w:tblCellMar>
        </w:tblPrEx>
        <w:trPr>
          <w:trHeight w:val="52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1</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防水材料（弹性体改性沥青防水卷材(SBS)、聚合物水泥基防水涂料）</w:t>
            </w: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参照或相当于东方雨虹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北京东方雨虹防水技术股份有限公司</w:t>
            </w:r>
          </w:p>
        </w:tc>
        <w:tc>
          <w:tcPr>
            <w:tcW w:w="3287"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GB 18242-2008 《弹性体改性沥青防水卷材》、GB/T 23445-2009 《聚合物水泥防水涂料》</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参照或相当于科顺</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科顺防水科技股份有限公司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参照或相当于卓宝</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深圳市卓宝科技股份有限公司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参照或相当于大禹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辽宁大禹集团</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参照或相当于凯伦</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江苏凯伦建材股份有限公司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2</w:t>
            </w:r>
          </w:p>
        </w:tc>
        <w:tc>
          <w:tcPr>
            <w:tcW w:w="1273" w:type="dxa"/>
            <w:vMerge w:val="restart"/>
            <w:tcBorders>
              <w:top w:val="nil"/>
              <w:left w:val="single" w:color="auto" w:sz="4" w:space="0"/>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屋面、墙面保温材料</w:t>
            </w: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参照或相当于洛科威</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洛科威防火保温材料（广州）有限公司</w:t>
            </w:r>
          </w:p>
        </w:tc>
        <w:tc>
          <w:tcPr>
            <w:tcW w:w="3287" w:type="dxa"/>
            <w:vMerge w:val="restart"/>
            <w:tcBorders>
              <w:top w:val="nil"/>
              <w:left w:val="single" w:color="auto" w:sz="4" w:space="0"/>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岩棉厚度、密度、热传导系数、吸水率、耐压强度需满足设计图纸中规定参数要求及相关规范规定</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GB/T 13350-2017 《绝热用玻璃棉及其制品》</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 xml:space="preserve">GB/T 17795-2019 《建筑绝热用玻璃棉制品》 </w:t>
            </w:r>
          </w:p>
        </w:tc>
        <w:tc>
          <w:tcPr>
            <w:tcW w:w="1290" w:type="dxa"/>
            <w:vMerge w:val="restart"/>
            <w:tcBorders>
              <w:top w:val="nil"/>
              <w:left w:val="single" w:color="auto" w:sz="4" w:space="0"/>
              <w:bottom w:val="nil"/>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参照或相当于金隅星</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北京金隅节能保温科技（大厂）有限公司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参照或相当于上海樱花</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上海新型建材岩棉有限公司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7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参照或相当于欧文斯科宁</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欧文斯科宁（中国）投资有限公司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6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参照或相当于金海燕</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大厂金隅金海燕玻璃棉有限公司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6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3</w:t>
            </w:r>
          </w:p>
        </w:tc>
        <w:tc>
          <w:tcPr>
            <w:tcW w:w="12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浮法玻璃/LOW-E玻璃</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参照或相当于南玻</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中国南玻集团股份有限公司</w:t>
            </w:r>
          </w:p>
        </w:tc>
        <w:tc>
          <w:tcPr>
            <w:tcW w:w="32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GB 11614-2009 《平板玻璃》、GB/T 11944-2012 《中空玻璃》、GB 15763.1-2009 《建筑用安全玻璃 第1部分：防火玻璃》、GB 15763.2-2005 《建筑用安全玻璃 第2部分：钢化玻璃》、   GB 15763.3-2009 《建筑用安全玻璃 第3部分：夹层玻璃》、GB 15763.4-2009 《建筑用安全玻璃 第4部分：均质钢化玻璃》、GB/T 18915.1-2013 《镀膜玻璃 第1部分：阳光控制镀膜玻璃》、GB/T 18915.2-2013 《镀膜玻璃 第2部分：低辐射镀膜玻璃》</w:t>
            </w:r>
          </w:p>
        </w:tc>
        <w:tc>
          <w:tcPr>
            <w:tcW w:w="1290" w:type="dxa"/>
            <w:vMerge w:val="restart"/>
            <w:tcBorders>
              <w:top w:val="single" w:color="auto" w:sz="4" w:space="0"/>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参照或相当于耀皮</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上海耀皮玻璃集团股份有限公司</w:t>
            </w:r>
          </w:p>
        </w:tc>
        <w:tc>
          <w:tcPr>
            <w:tcW w:w="32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参照或相当于信义玻璃</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信义超薄玻璃(东莞)有限公司</w:t>
            </w:r>
          </w:p>
        </w:tc>
        <w:tc>
          <w:tcPr>
            <w:tcW w:w="32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116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参照或相当于福耀</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福耀玻璃工业集团股份有限公司</w:t>
            </w:r>
          </w:p>
        </w:tc>
        <w:tc>
          <w:tcPr>
            <w:tcW w:w="32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4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4</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铝型材</w:t>
            </w:r>
          </w:p>
        </w:tc>
        <w:tc>
          <w:tcPr>
            <w:tcW w:w="128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前进</w:t>
            </w:r>
          </w:p>
        </w:tc>
        <w:tc>
          <w:tcPr>
            <w:tcW w:w="23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宋体" w:hAnsi="宋体" w:cs="宋体"/>
                <w:color w:val="auto"/>
                <w:sz w:val="20"/>
              </w:rPr>
              <w:t>广州铝材厂有限公司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GB/T 5237.1-2017 《铝合金建筑型材第1部分基材》</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GB/T 5237.6-2017 《铝合金建筑型材 第6部分 隔热型材》</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参照或相当于凤铝断桥</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广东凤铝铝业有限公司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参照或相当于兴发</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广东兴发铝业有限公司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参照或相当于坚美</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广东坚美铝型材厂（集团）有限公司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伟业铝材</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广东伟业铝厂有限公司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参照或相当于广亚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广亚铝业有限公司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参照或相当于中德</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中德铝业公司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70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5</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铝合金门窗配件</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参照或相当于坚朗</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广东坚朗五金制品股份有限公司</w:t>
            </w:r>
          </w:p>
        </w:tc>
        <w:tc>
          <w:tcPr>
            <w:tcW w:w="3287"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GB/T 32223-2015 《建筑门窗五金件 通用要求》</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JG/T 125-2017 《建筑门窗五金件 合页（铰链）》</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JG/T 128-2017 《建筑门窗五金件 撑挡》</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JG/T 213-2017 《建筑门窗五金件 旋压执手》</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JG/T 127-2017 《建筑门窗五金件 滑撑》</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JG/T 129-2017 《建筑门窗五金件 滑轮》</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7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参照或相当于立兴</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青岛立兴杨氏门窗配件有限公司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1666"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参照或相当于合和</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广东合和建筑五金制品有限公司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1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6</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内外墙涂料</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参照或相当于电视塔、南方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广东珠江化工涂料有限公司</w:t>
            </w:r>
          </w:p>
        </w:tc>
        <w:tc>
          <w:tcPr>
            <w:tcW w:w="3287" w:type="dxa"/>
            <w:vMerge w:val="restart"/>
            <w:tcBorders>
              <w:top w:val="nil"/>
              <w:left w:val="nil"/>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GB/T 9756-2018 《合成树脂乳液内墙涂料》</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GB 18582-2008 《室内装饰装修材料内墙涂料中有害物质限量》</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JG/T 298-2010 《建筑室内用腻子》</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GB/T 1741-2007 《漆膜耐霉菌性测定法》</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 xml:space="preserve">JG/T 172-2014 《弹性建筑涂料》 </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HJ2537-2014 《环境标志产品技术要求 水性涂料》</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 xml:space="preserve">走廊、电梯口等公共部位使用经济型内墙涂料，要求耐洗刷≥500次，对比率≥0.92；                     </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 xml:space="preserve">中档装修使用一等品内墙涂料，耐洗刷≥3000次，对比率≥0.93； </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高档内墙涂料要求达到优等品的等级，耐洗刷≥5000次，对比率≥0.95</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7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参照或相当于多乐士专业（ICI专业）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阿克苏诺贝尔（中国）投资有限公司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7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参照或相当于嘉宝莉漆</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嘉宝莉化工集团股份有限公司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7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参照或相当于立邦</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立邦涂料(中国)有限公司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7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参照或相当于华润</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广东华润涂料有限公司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7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参照或相当于三棵树</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三棵树涂料股份有限公司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参照或相当于龙牌（北新）</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北新集团建材股份有限公司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参照或相当于圣戈班</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圣戈班高科技材料（上海）有限公司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参照或相当于优时吉博罗</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优时吉博罗石膏建材(上海)有限公司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参照或相当于阿姆斯壮</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阿姆斯壮(中国)投资有限公司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参照或相当于杰森</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杰森石膏板（嘉兴）有限公司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3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7</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石膏板、防火板等轻钢龙骨外贴板材</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参照或相当于可耐福</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可耐福新型建筑材料（芜湖）有限公司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GB/T 9775-2008 《纸面石膏板》</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JC/T 997-2006 《装饰纸面石膏板》</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GB 6566-2010 《建筑材料放射性核素限量》</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JC/T 997-2017 《装饰纸面石膏板标准》</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外观质量、厚度满足要求；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参照或相当于龙牌（北新）</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北新集团建材股份有限公司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参照或相当于优时吉博罗</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优时吉博罗石膏建材(上海)有限公司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参照或相当于圣戈班</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圣戈班高科技材料（上海）有限公司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参照或相当于杰森</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杰森石膏板（嘉兴）有限公司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参照或相当于泰山</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泰山集团股份有限公司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8</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合金及非金属耐磨骨料</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参照或相当于巴斯夫</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巴斯夫（中国）有限公司</w:t>
            </w:r>
          </w:p>
        </w:tc>
        <w:tc>
          <w:tcPr>
            <w:tcW w:w="3287"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JC/T 906-2002 《混凝土地面用水泥基耐磨材料》</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参照或相当于西卡</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西卡（中国）有限公司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参照或相当于凯伦</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江苏凯伦建材股份有限公司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参照或相当于马贝</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马贝建筑材料（广州）有限公司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9</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铠装缝</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参照或相当于远致</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常熟市远致工程材料有限公司</w:t>
            </w:r>
          </w:p>
        </w:tc>
        <w:tc>
          <w:tcPr>
            <w:tcW w:w="3287"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热镀锌钢板：强度Q235B，镀锌≥80g/㎡，厚度2mm</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传力板：强度Q345B，厚度≥6mm</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铠装缝顶部需配置加强筋</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参照或相当于迈铠</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上海迈道建材有限公司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参照或相当于无锡工拓</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无锡工拓建筑材料科技有限公司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参照或相当于上海温尚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上海温尚建筑装饰工程有限公司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3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10</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瓷砖</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参照或相当于马可波罗</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广东马可波罗陶瓷有限公司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GB/T4100-2015 《陶瓷砖》</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瓷砖样品须经代表认可后方可采购</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参照或相当于东鹏</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广东东鹏控股股份有限公司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参照或相当于唯美L&amp;D</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广东家美陶瓷有限公司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冠军</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信益陶瓷（中国）有限公司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参照或相当于诺贝尔</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杭州诺贝尔陶瓷有限公司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11</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洁具（含五金配件）</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参照或相当于箭牌</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佛山市顺德区乐华陶瓷洁具有限公司</w:t>
            </w:r>
          </w:p>
        </w:tc>
        <w:tc>
          <w:tcPr>
            <w:tcW w:w="3287"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GB6952-2015 《卫生陶瓷》</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GJ/T 194-2014 《非接触式给水器具》</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CJ/T 164-2014 《节水型生活用水器具》</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JC/T 931-2003 《机械式便器冲洗阀》</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QB/T 2658-2017《卫生设备用台盆》</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QB/T 1560-2017 《卫生间附属配件》</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GB/T 23448-2009 《卫生洁具 软管》</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参照或相当于九牧</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九牧厨卫股份有限公司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参照或相当于恒洁</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广东恒洁卫浴有限公司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3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12</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烘手器</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参照或相当于TOTO</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东陶（中国）有限公司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技术参数详见图纸</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参照或相当于西门子</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西门子（中国）有限公司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参照或相当于松下</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松下电器（中国）有限公司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00" w:hRule="atLeast"/>
        </w:trPr>
        <w:tc>
          <w:tcPr>
            <w:tcW w:w="427" w:type="dxa"/>
            <w:vMerge w:val="restart"/>
            <w:tcBorders>
              <w:top w:val="nil"/>
              <w:left w:val="single" w:color="auto" w:sz="8" w:space="0"/>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13</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结构胶(密封胶）</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参照或相当于陶熙（道康宁）</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陶氏（上海）投资有限公司</w:t>
            </w:r>
          </w:p>
        </w:tc>
        <w:tc>
          <w:tcPr>
            <w:tcW w:w="3287"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GB/T 14683-2017 《硅酮和改性硅酮建筑密封胶》</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JC/T 482-2003 《聚氨酯建筑密封胶》</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GB/T 24267-2009 《建筑用阻燃密封胶》</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GB 16776-2005 《建筑用硅酮结构密封胶》</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50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参照或相当于西卡</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西卡（中国）有限公司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0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参照或相当于硅宝</w:t>
            </w:r>
          </w:p>
        </w:tc>
        <w:tc>
          <w:tcPr>
            <w:tcW w:w="2305" w:type="dxa"/>
            <w:tcBorders>
              <w:top w:val="nil"/>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成都硅宝科技股份有限公司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00" w:hRule="atLeast"/>
        </w:trPr>
        <w:tc>
          <w:tcPr>
            <w:tcW w:w="427"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14</w:t>
            </w:r>
          </w:p>
        </w:tc>
        <w:tc>
          <w:tcPr>
            <w:tcW w:w="127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铝扣板</w:t>
            </w:r>
          </w:p>
        </w:tc>
        <w:tc>
          <w:tcPr>
            <w:tcW w:w="1288"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参照或相当于前进</w:t>
            </w:r>
          </w:p>
        </w:tc>
        <w:tc>
          <w:tcPr>
            <w:tcW w:w="2305"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广州铝材厂有限公司</w:t>
            </w:r>
          </w:p>
        </w:tc>
        <w:tc>
          <w:tcPr>
            <w:tcW w:w="3287" w:type="dxa"/>
            <w:vMerge w:val="restart"/>
            <w:tcBorders>
              <w:top w:val="single" w:color="auto" w:sz="4" w:space="0"/>
              <w:left w:val="nil"/>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技术参数详见图纸</w:t>
            </w:r>
          </w:p>
        </w:tc>
        <w:tc>
          <w:tcPr>
            <w:tcW w:w="1290" w:type="dxa"/>
            <w:vMerge w:val="restart"/>
            <w:tcBorders>
              <w:top w:val="single" w:color="auto" w:sz="4" w:space="0"/>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310" w:hRule="atLeast"/>
        </w:trPr>
        <w:tc>
          <w:tcPr>
            <w:tcW w:w="42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参照或相当于龙新</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江苏龙新铝业有限公司</w:t>
            </w:r>
          </w:p>
        </w:tc>
        <w:tc>
          <w:tcPr>
            <w:tcW w:w="3287" w:type="dxa"/>
            <w:vMerge w:val="continue"/>
            <w:tcBorders>
              <w:top w:val="single" w:color="auto" w:sz="4" w:space="0"/>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620" w:hRule="atLeast"/>
        </w:trPr>
        <w:tc>
          <w:tcPr>
            <w:tcW w:w="42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参照或相当于辰峰</w:t>
            </w:r>
          </w:p>
        </w:tc>
        <w:tc>
          <w:tcPr>
            <w:tcW w:w="2305" w:type="dxa"/>
            <w:tcBorders>
              <w:top w:val="nil"/>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辰峰洁净系统科技（昆山）有限公司</w:t>
            </w:r>
          </w:p>
        </w:tc>
        <w:tc>
          <w:tcPr>
            <w:tcW w:w="3287" w:type="dxa"/>
            <w:vMerge w:val="continue"/>
            <w:tcBorders>
              <w:top w:val="single" w:color="auto" w:sz="4" w:space="0"/>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参照或相当于兔宝宝</w:t>
            </w:r>
          </w:p>
        </w:tc>
        <w:tc>
          <w:tcPr>
            <w:tcW w:w="2305"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德华兔宝宝装饰新材股份有限公司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参照或相当于千年舟</w:t>
            </w:r>
          </w:p>
        </w:tc>
        <w:tc>
          <w:tcPr>
            <w:tcW w:w="2305"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千年舟新材科技集团股份有限公司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3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15</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PVC塑胶地板</w:t>
            </w:r>
          </w:p>
        </w:tc>
        <w:tc>
          <w:tcPr>
            <w:tcW w:w="1288"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参照或相当于阿姆斯壮</w:t>
            </w:r>
          </w:p>
        </w:tc>
        <w:tc>
          <w:tcPr>
            <w:tcW w:w="2305"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阿姆斯壮(中国)投资有限公司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满足设计图纸及相关规范要求</w:t>
            </w:r>
          </w:p>
        </w:tc>
        <w:tc>
          <w:tcPr>
            <w:tcW w:w="1290" w:type="dxa"/>
            <w:vMerge w:val="restart"/>
            <w:tcBorders>
              <w:top w:val="single" w:color="auto" w:sz="4" w:space="0"/>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参照或相当于洁福</w:t>
            </w:r>
          </w:p>
        </w:tc>
        <w:tc>
          <w:tcPr>
            <w:tcW w:w="2305"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洁福地板（中国）有限公司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参照或相当于得嘉</w:t>
            </w:r>
          </w:p>
        </w:tc>
        <w:tc>
          <w:tcPr>
            <w:tcW w:w="2305"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得嘉亚太（上海）管理有限公司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9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16</w:t>
            </w:r>
          </w:p>
        </w:tc>
        <w:tc>
          <w:tcPr>
            <w:tcW w:w="1273" w:type="dxa"/>
            <w:vMerge w:val="restart"/>
            <w:tcBorders>
              <w:top w:val="nil"/>
              <w:left w:val="single" w:color="auto" w:sz="4" w:space="0"/>
              <w:bottom w:val="single" w:color="000000" w:sz="8"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木工板，饰面板</w:t>
            </w:r>
          </w:p>
        </w:tc>
        <w:tc>
          <w:tcPr>
            <w:tcW w:w="1288"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参照或相当于兔宝宝</w:t>
            </w:r>
          </w:p>
        </w:tc>
        <w:tc>
          <w:tcPr>
            <w:tcW w:w="2305" w:type="dxa"/>
            <w:tcBorders>
              <w:top w:val="single" w:color="auto" w:sz="4" w:space="0"/>
              <w:left w:val="nil"/>
              <w:bottom w:val="single" w:color="auto" w:sz="4"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德华兔宝宝装饰新材股份有限公司</w:t>
            </w:r>
          </w:p>
        </w:tc>
        <w:tc>
          <w:tcPr>
            <w:tcW w:w="3287" w:type="dxa"/>
            <w:vMerge w:val="restart"/>
            <w:tcBorders>
              <w:top w:val="nil"/>
              <w:left w:val="single" w:color="auto" w:sz="4" w:space="0"/>
              <w:bottom w:val="single" w:color="000000" w:sz="8"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满足设计图纸及相关规范要求</w:t>
            </w:r>
          </w:p>
        </w:tc>
        <w:tc>
          <w:tcPr>
            <w:tcW w:w="1290" w:type="dxa"/>
            <w:vMerge w:val="restart"/>
            <w:tcBorders>
              <w:top w:val="nil"/>
              <w:left w:val="single" w:color="auto" w:sz="4" w:space="0"/>
              <w:bottom w:val="single" w:color="000000" w:sz="8"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29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8"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参照或相当于莫干山</w:t>
            </w:r>
          </w:p>
        </w:tc>
        <w:tc>
          <w:tcPr>
            <w:tcW w:w="2305" w:type="dxa"/>
            <w:tcBorders>
              <w:top w:val="nil"/>
              <w:left w:val="nil"/>
              <w:bottom w:val="single" w:color="auto" w:sz="4"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浙江升华云峰新材股份有限公司</w:t>
            </w:r>
          </w:p>
        </w:tc>
        <w:tc>
          <w:tcPr>
            <w:tcW w:w="3287" w:type="dxa"/>
            <w:vMerge w:val="continue"/>
            <w:tcBorders>
              <w:top w:val="nil"/>
              <w:left w:val="single" w:color="auto" w:sz="4" w:space="0"/>
              <w:bottom w:val="single" w:color="000000" w:sz="8"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8"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9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8"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参照或相当于千年舟</w:t>
            </w:r>
          </w:p>
        </w:tc>
        <w:tc>
          <w:tcPr>
            <w:tcW w:w="2305" w:type="dxa"/>
            <w:tcBorders>
              <w:top w:val="nil"/>
              <w:left w:val="nil"/>
              <w:bottom w:val="single" w:color="auto" w:sz="4"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千年舟新材科技集团股份有限公司</w:t>
            </w:r>
          </w:p>
        </w:tc>
        <w:tc>
          <w:tcPr>
            <w:tcW w:w="3287" w:type="dxa"/>
            <w:vMerge w:val="continue"/>
            <w:tcBorders>
              <w:top w:val="nil"/>
              <w:left w:val="single" w:color="auto" w:sz="4" w:space="0"/>
              <w:bottom w:val="single" w:color="000000" w:sz="8"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8"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9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8"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参照或相当于福湘</w:t>
            </w:r>
          </w:p>
        </w:tc>
        <w:tc>
          <w:tcPr>
            <w:tcW w:w="2305" w:type="dxa"/>
            <w:tcBorders>
              <w:top w:val="nil"/>
              <w:left w:val="nil"/>
              <w:bottom w:val="single" w:color="auto" w:sz="4"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湖南福湘木业有限责任公司</w:t>
            </w:r>
          </w:p>
        </w:tc>
        <w:tc>
          <w:tcPr>
            <w:tcW w:w="3287" w:type="dxa"/>
            <w:vMerge w:val="continue"/>
            <w:tcBorders>
              <w:top w:val="nil"/>
              <w:left w:val="single" w:color="auto" w:sz="4" w:space="0"/>
              <w:bottom w:val="single" w:color="000000" w:sz="8"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8"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8"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8"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参照或相当于福庆</w:t>
            </w:r>
          </w:p>
        </w:tc>
        <w:tc>
          <w:tcPr>
            <w:tcW w:w="2305" w:type="dxa"/>
            <w:tcBorders>
              <w:top w:val="nil"/>
              <w:left w:val="nil"/>
              <w:bottom w:val="single" w:color="auto" w:sz="8"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江苏福庆木业有限公司</w:t>
            </w:r>
          </w:p>
        </w:tc>
        <w:tc>
          <w:tcPr>
            <w:tcW w:w="3287" w:type="dxa"/>
            <w:vMerge w:val="continue"/>
            <w:tcBorders>
              <w:top w:val="nil"/>
              <w:left w:val="single" w:color="auto" w:sz="4" w:space="0"/>
              <w:bottom w:val="single" w:color="000000" w:sz="8"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8"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17</w:t>
            </w:r>
          </w:p>
        </w:tc>
        <w:tc>
          <w:tcPr>
            <w:tcW w:w="12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电动感应门</w:t>
            </w:r>
          </w:p>
        </w:tc>
        <w:tc>
          <w:tcPr>
            <w:tcW w:w="1288"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参照或相当于多玛</w:t>
            </w:r>
          </w:p>
        </w:tc>
        <w:tc>
          <w:tcPr>
            <w:tcW w:w="2305"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多玛凯拔门控系统有限公司</w:t>
            </w:r>
          </w:p>
        </w:tc>
        <w:tc>
          <w:tcPr>
            <w:tcW w:w="32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满足设计图纸及相关规范要求</w:t>
            </w:r>
          </w:p>
        </w:tc>
        <w:tc>
          <w:tcPr>
            <w:tcW w:w="1290" w:type="dxa"/>
            <w:vMerge w:val="restart"/>
            <w:tcBorders>
              <w:top w:val="single" w:color="auto" w:sz="4" w:space="0"/>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参照或相当于盖泽</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盖泽工业（天津）有限公司</w:t>
            </w:r>
          </w:p>
        </w:tc>
        <w:tc>
          <w:tcPr>
            <w:tcW w:w="32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参照或相当于宝盾</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北京宝盾门业技术有限公司</w:t>
            </w:r>
          </w:p>
        </w:tc>
        <w:tc>
          <w:tcPr>
            <w:tcW w:w="32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参照或相当于Besam必盛</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亚萨合莱（中国）投资有限公司</w:t>
            </w:r>
          </w:p>
        </w:tc>
        <w:tc>
          <w:tcPr>
            <w:tcW w:w="32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18</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普通灯具系列</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参照或相当于广日电气</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广州广日电气设备有限公司</w:t>
            </w:r>
          </w:p>
        </w:tc>
        <w:tc>
          <w:tcPr>
            <w:tcW w:w="3287" w:type="dxa"/>
            <w:vMerge w:val="restart"/>
            <w:tcBorders>
              <w:top w:val="nil"/>
              <w:left w:val="nil"/>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参照或相当于欧普</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欧普照明股份有限公司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参照或相当于欧司朗</w:t>
            </w:r>
          </w:p>
        </w:tc>
        <w:tc>
          <w:tcPr>
            <w:tcW w:w="2305" w:type="dxa"/>
            <w:tcBorders>
              <w:top w:val="nil"/>
              <w:left w:val="nil"/>
              <w:bottom w:val="single" w:color="auto" w:sz="4"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欧司朗光电半导体（中国）有限公司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参照或相当于飞利浦</w:t>
            </w:r>
          </w:p>
        </w:tc>
        <w:tc>
          <w:tcPr>
            <w:tcW w:w="2305" w:type="dxa"/>
            <w:tcBorders>
              <w:top w:val="nil"/>
              <w:left w:val="nil"/>
              <w:bottom w:val="single" w:color="auto" w:sz="4"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飞利浦（中国）投资有限公司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1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参照或相当于TCL照明</w:t>
            </w:r>
          </w:p>
        </w:tc>
        <w:tc>
          <w:tcPr>
            <w:tcW w:w="2305" w:type="dxa"/>
            <w:tcBorders>
              <w:top w:val="nil"/>
              <w:left w:val="nil"/>
              <w:bottom w:val="single" w:color="auto" w:sz="4"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TCL科技集团股份有限公司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参照或相当于三雄极光</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广东三雄极光照明股份有限公司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参照或相当于雷士</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雷士照明（中国）有限公司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参照或相当于亚字</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上海亚明照明有限公司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36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19</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照明开关、插座</w:t>
            </w:r>
          </w:p>
        </w:tc>
        <w:tc>
          <w:tcPr>
            <w:tcW w:w="1288"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参照或相当于公牛</w:t>
            </w:r>
          </w:p>
        </w:tc>
        <w:tc>
          <w:tcPr>
            <w:tcW w:w="2305" w:type="dxa"/>
            <w:tcBorders>
              <w:top w:val="nil"/>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公牛集团有限公司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参照或相当于德力西</w:t>
            </w:r>
          </w:p>
        </w:tc>
        <w:tc>
          <w:tcPr>
            <w:tcW w:w="2305"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德力西集团有限公司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参照或相当于正泰</w:t>
            </w:r>
          </w:p>
        </w:tc>
        <w:tc>
          <w:tcPr>
            <w:tcW w:w="2305" w:type="dxa"/>
            <w:tcBorders>
              <w:top w:val="single" w:color="auto" w:sz="4" w:space="0"/>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正泰集团股份有限公司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10" w:hRule="atLeast"/>
        </w:trPr>
        <w:tc>
          <w:tcPr>
            <w:tcW w:w="9870" w:type="dxa"/>
            <w:gridSpan w:val="6"/>
            <w:tcBorders>
              <w:top w:val="single" w:color="auto" w:sz="4" w:space="0"/>
              <w:left w:val="single" w:color="auto" w:sz="8" w:space="0"/>
              <w:bottom w:val="single" w:color="auto" w:sz="4" w:space="0"/>
              <w:right w:val="single" w:color="000000" w:sz="8" w:space="0"/>
            </w:tcBorders>
            <w:vAlign w:val="bottom"/>
          </w:tcPr>
          <w:p>
            <w:pPr>
              <w:widowControl/>
              <w:jc w:val="left"/>
              <w:rPr>
                <w:rFonts w:ascii="等线" w:hAnsi="等线" w:eastAsia="等线" w:cs="宋体"/>
                <w:b/>
                <w:bCs/>
                <w:color w:val="auto"/>
                <w:sz w:val="20"/>
              </w:rPr>
            </w:pPr>
            <w:r>
              <w:rPr>
                <w:rFonts w:hint="eastAsia" w:ascii="等线" w:hAnsi="等线" w:eastAsia="等线" w:cs="宋体"/>
                <w:b/>
                <w:bCs/>
                <w:color w:val="auto"/>
                <w:sz w:val="20"/>
              </w:rPr>
              <w:t>洁净工程部分</w:t>
            </w:r>
          </w:p>
        </w:tc>
      </w:tr>
      <w:tr>
        <w:tblPrEx>
          <w:tblCellMar>
            <w:top w:w="0" w:type="dxa"/>
            <w:left w:w="108" w:type="dxa"/>
            <w:bottom w:w="0" w:type="dxa"/>
            <w:right w:w="108" w:type="dxa"/>
          </w:tblCellMar>
        </w:tblPrEx>
        <w:trPr>
          <w:trHeight w:val="52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1</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工业门（提升门、卷帘门、快速卷帘门、防火卷帘门、防火门、洁净门等）</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参照或相当于快联(FASTLINK)</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上海快联门业有限公司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08CJ17 《快速软帘卷门 透明分节门 滑升门 卷帘门》</w:t>
            </w: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03J611-4 《铝合金、彩钢、不锈钢平芯板大门》</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参照或相当于道瀚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苏州道瀚新型金属材料有限公司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参照或相当于霍曼</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霍曼（北京）门业有限公司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参照或相当于宝产三和</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上海宝产三和门业有限公司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参照或相当于尚高</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上海尚高机械设备有限公司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参照或相当于江苏丹特斯</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 江苏丹特斯科技有限公司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参照或相当于飞腾</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江苏飞腾智能门业有限公司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参照或相当于远大净化</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苏州市远大净化设备厂</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参照或相当于轩源</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上海轩源金属建材有限公司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2</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环氧地坪漆、地坪固化剂</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参照或相当于电视塔、南方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广东珠江化工涂料有限公司</w:t>
            </w:r>
          </w:p>
        </w:tc>
        <w:tc>
          <w:tcPr>
            <w:tcW w:w="3287"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JC/T 2158-2012 《渗透型液体硬化剂》、GB/T 22374-2018 《地坪涂装材料》</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参照或相当于秀柏</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广州秀柏化工涂料有限公司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highlight w:val="red"/>
              </w:rPr>
            </w:pPr>
            <w:r>
              <w:rPr>
                <w:rFonts w:hint="eastAsia" w:ascii="华文仿宋" w:hAnsi="华文仿宋" w:eastAsia="华文仿宋" w:cs="宋体"/>
                <w:color w:val="auto"/>
                <w:sz w:val="20"/>
              </w:rPr>
              <w:t>参照或相当于凯伦</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highlight w:val="red"/>
              </w:rPr>
            </w:pPr>
            <w:r>
              <w:rPr>
                <w:rFonts w:hint="eastAsia" w:ascii="华文仿宋" w:hAnsi="华文仿宋" w:eastAsia="华文仿宋" w:cs="宋体"/>
                <w:color w:val="auto"/>
                <w:sz w:val="20"/>
              </w:rPr>
              <w:t>江苏凯伦建材股份有限公司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7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3</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洁净彩钢板（岩棉板、玻镁岩棉板）及配套铝合金型材</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参照或相当于协多利</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昆山协多利洁净系统股份有限公司</w:t>
            </w:r>
          </w:p>
        </w:tc>
        <w:tc>
          <w:tcPr>
            <w:tcW w:w="3287" w:type="dxa"/>
            <w:vMerge w:val="restart"/>
            <w:tcBorders>
              <w:top w:val="nil"/>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1、四边企口包边（手工板）。2、满足设计图纸及相关规范要求</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参照或相当于华南</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吴江市华南净化彩板有限公司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参照或相当于多维</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多维联合集团有限公司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参照或相当于林森</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苏州林森净化集团有限公司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参照或相当于万事达</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万事达节能新材料（江苏）股份有限公司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80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4</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风淋室、货淋室</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参照或相当于苏净</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江苏苏净集团有限公司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1、外部材质与墙板一致，内部采用304不锈钢，不锈钢板厚≥1.2mm，门采用不锈钢整体门。2、采用无隔板高效过滤器，过滤效率不低于99.99%；3、喷嘴采用多角度可调不锈钢喷嘴；4、采用大风量低噪音风机吹淋时间保证在0秒-99秒可调；5、风淋室其初始风速不应低于25m/s，最佳28m/s；6、噪声要求离风淋1m远处，噪音≤75分贝；  7 、风淋室吹淋角度保证在30度－60度；8、采用全自动控制运行，双门电子互锁，感应自动吹淋，吹淋时双门锁闭；照明系统：</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8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参照或相当于苏州国立</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苏州国立洁净技术有限公司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8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参照或相当于美埃</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美埃（中国）环境科技股份有限公司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8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参照或相当于AAF</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爱美克空气过滤器（苏州）有限公司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8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参照或相当于远大净化</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苏州市远大净化设备厂</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7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5</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高效过滤器/FFU/送风口</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参照或相当于AAF</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爱美克空气过滤器（苏州）有限公司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55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参照或相当于康霏尔</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康斐尔空气污染控制设备（太仓）有限公司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参照或相当于美埃</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美埃（中国）环境科技股份有限公司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参照或相当于苏州国立</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苏州国立洁净技术有限公司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66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6</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风口、风阀</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参照或相当于阿斯顿</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阿斯顿空气控制科技(苏州工业园区)有限公司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参照或相当于威士文</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上海威士文通风工程设备有限公司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参照或相当于苏州国立</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苏州国立洁净技术有限公司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参照或相当于美埃</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美埃（中国）环境科技股份有限公司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7</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LED照明灯具（洁净灯、工矿灯、防爆灯等）</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参照或相当于广日电气</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广州广日电气设备有限公司</w:t>
            </w:r>
          </w:p>
        </w:tc>
        <w:tc>
          <w:tcPr>
            <w:tcW w:w="3287" w:type="dxa"/>
            <w:vMerge w:val="restart"/>
            <w:tcBorders>
              <w:top w:val="nil"/>
              <w:left w:val="nil"/>
              <w:bottom w:val="single" w:color="000000"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或同档次产品，报甲方同意。</w:t>
            </w:r>
          </w:p>
        </w:tc>
      </w:tr>
      <w:tr>
        <w:tblPrEx>
          <w:tblCellMar>
            <w:top w:w="0" w:type="dxa"/>
            <w:left w:w="108" w:type="dxa"/>
            <w:bottom w:w="0" w:type="dxa"/>
            <w:right w:w="108" w:type="dxa"/>
          </w:tblCellMar>
        </w:tblPrEx>
        <w:trPr>
          <w:trHeight w:val="33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参照或相当于亚字</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上海亚明照明有限公司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参照或相当于欧司朗</w:t>
            </w:r>
          </w:p>
        </w:tc>
        <w:tc>
          <w:tcPr>
            <w:tcW w:w="2305" w:type="dxa"/>
            <w:tcBorders>
              <w:top w:val="nil"/>
              <w:left w:val="nil"/>
              <w:bottom w:val="single" w:color="auto" w:sz="4"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欧司朗光电半导体（中国）有限公司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9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参照或相当于佛山照明</w:t>
            </w:r>
          </w:p>
        </w:tc>
        <w:tc>
          <w:tcPr>
            <w:tcW w:w="2305" w:type="dxa"/>
            <w:tcBorders>
              <w:top w:val="nil"/>
              <w:left w:val="nil"/>
              <w:bottom w:val="single" w:color="auto" w:sz="4"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佛山电器照明股份有限公司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9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参照或相当于海洋王</w:t>
            </w:r>
          </w:p>
        </w:tc>
        <w:tc>
          <w:tcPr>
            <w:tcW w:w="2305" w:type="dxa"/>
            <w:tcBorders>
              <w:top w:val="nil"/>
              <w:left w:val="nil"/>
              <w:bottom w:val="single" w:color="auto" w:sz="4" w:space="0"/>
              <w:right w:val="single" w:color="auto" w:sz="4" w:space="0"/>
            </w:tcBorders>
            <w:vAlign w:val="bottom"/>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海洋王照明科技股份有限公司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参照或相当于三雄极光</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广东三雄极光照明股份有限公司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参照或相当于森本照明</w:t>
            </w:r>
          </w:p>
        </w:tc>
        <w:tc>
          <w:tcPr>
            <w:tcW w:w="2305" w:type="dxa"/>
            <w:tcBorders>
              <w:top w:val="nil"/>
              <w:left w:val="nil"/>
              <w:bottom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十二年本照明有限公司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华文仿宋" w:hAnsi="华文仿宋" w:eastAsia="华文仿宋"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华文仿宋" w:hAnsi="华文仿宋" w:eastAsia="华文仿宋" w:cs="宋体"/>
                <w:color w:val="auto"/>
                <w:sz w:val="20"/>
              </w:rPr>
            </w:pPr>
          </w:p>
        </w:tc>
      </w:tr>
      <w:tr>
        <w:tblPrEx>
          <w:tblCellMar>
            <w:top w:w="0" w:type="dxa"/>
            <w:left w:w="108" w:type="dxa"/>
            <w:bottom w:w="0" w:type="dxa"/>
            <w:right w:w="108" w:type="dxa"/>
          </w:tblCellMar>
        </w:tblPrEx>
        <w:trPr>
          <w:trHeight w:val="4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8</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空调末端风机盘管、组合式空调机组</w:t>
            </w:r>
          </w:p>
        </w:tc>
        <w:tc>
          <w:tcPr>
            <w:tcW w:w="1288"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参照或相当于日立</w:t>
            </w:r>
          </w:p>
        </w:tc>
        <w:tc>
          <w:tcPr>
            <w:tcW w:w="2305"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江森自控日立万宝空调（广州）有限公司</w:t>
            </w:r>
          </w:p>
        </w:tc>
        <w:tc>
          <w:tcPr>
            <w:tcW w:w="3287" w:type="dxa"/>
            <w:vMerge w:val="restart"/>
            <w:tcBorders>
              <w:top w:val="nil"/>
              <w:left w:val="nil"/>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变频器、PLC品牌：ABB、西门子、施耐德、丹弗斯</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33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参照或相当于清华同方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广州同方瑞风节能科技股份有限公司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参照或相当于申凌</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广东申菱环境系统股份有限公司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参照或相当于盾安</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盾安控股集团有限公司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参照或相当于欧博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浩金欧博环境科技有限公司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参照或相当于佳力图</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南京佳力图空调机电有限公司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参照或相当于台佳</w:t>
            </w:r>
          </w:p>
        </w:tc>
        <w:tc>
          <w:tcPr>
            <w:tcW w:w="2305"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台佳空调系统（江苏）有限公司</w:t>
            </w:r>
          </w:p>
        </w:tc>
        <w:tc>
          <w:tcPr>
            <w:tcW w:w="3287" w:type="dxa"/>
            <w:vMerge w:val="continue"/>
            <w:tcBorders>
              <w:top w:val="nil"/>
              <w:left w:val="nil"/>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0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9</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组合式除湿机组</w:t>
            </w:r>
          </w:p>
        </w:tc>
        <w:tc>
          <w:tcPr>
            <w:tcW w:w="1288"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参照或相当于捷瑞</w:t>
            </w:r>
          </w:p>
        </w:tc>
        <w:tc>
          <w:tcPr>
            <w:tcW w:w="2305" w:type="dxa"/>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杭州捷瑞空气处理设备有限公司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 xml:space="preserve">1、转轮品牌：瑞典Proflute、日本Nichias。2、风机品牌亿利达。3、变频器、PLC品牌：ABB/西门子、施耐德。4、执行元器件：施耐德。5、比例调节阀：西门子。6、露点探头品牌：维萨拉VAISALA </w:t>
            </w:r>
          </w:p>
        </w:tc>
        <w:tc>
          <w:tcPr>
            <w:tcW w:w="1290" w:type="dxa"/>
            <w:vMerge w:val="restart"/>
            <w:tcBorders>
              <w:top w:val="nil"/>
              <w:left w:val="single" w:color="auto" w:sz="4" w:space="0"/>
              <w:bottom w:val="single" w:color="000000" w:sz="4" w:space="0"/>
              <w:right w:val="single" w:color="auto" w:sz="8" w:space="0"/>
            </w:tcBorders>
            <w:vAlign w:val="bottom"/>
          </w:tcPr>
          <w:p>
            <w:pPr>
              <w:widowControl/>
              <w:jc w:val="center"/>
              <w:rPr>
                <w:rFonts w:ascii="等线" w:hAnsi="等线" w:eastAsia="等线" w:cs="宋体"/>
                <w:color w:val="auto"/>
                <w:sz w:val="20"/>
              </w:rPr>
            </w:pPr>
            <w:r>
              <w:rPr>
                <w:rFonts w:hint="eastAsia" w:ascii="等线" w:hAnsi="等线" w:eastAsia="等线" w:cs="宋体"/>
                <w:color w:val="auto"/>
                <w:sz w:val="20"/>
              </w:rPr>
              <w:t>　</w:t>
            </w:r>
          </w:p>
        </w:tc>
      </w:tr>
      <w:tr>
        <w:tblPrEx>
          <w:tblCellMar>
            <w:top w:w="0" w:type="dxa"/>
            <w:left w:w="108" w:type="dxa"/>
            <w:bottom w:w="0" w:type="dxa"/>
            <w:right w:w="108" w:type="dxa"/>
          </w:tblCellMar>
        </w:tblPrEx>
        <w:trPr>
          <w:trHeight w:val="5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参照或相当于蒙特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蒙特空气处理设备（北京）有限公司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参照或相当于迪思特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迪思特空气处理设备（常熟）有限公司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31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10</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分体式空调、VRV多联机</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参照或相当于松下</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广州松下空调器有限公司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310" w:hRule="atLeast"/>
        </w:trPr>
        <w:tc>
          <w:tcPr>
            <w:tcW w:w="427" w:type="dxa"/>
            <w:vMerge w:val="continue"/>
            <w:tcBorders>
              <w:left w:val="single" w:color="auto" w:sz="8" w:space="0"/>
              <w:right w:val="single" w:color="auto" w:sz="4" w:space="0"/>
            </w:tcBorders>
            <w:vAlign w:val="center"/>
          </w:tcPr>
          <w:p>
            <w:pPr>
              <w:widowControl/>
              <w:jc w:val="center"/>
              <w:rPr>
                <w:rFonts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center"/>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参照或相当于大金</w:t>
            </w:r>
          </w:p>
        </w:tc>
        <w:tc>
          <w:tcPr>
            <w:tcW w:w="2305" w:type="dxa"/>
            <w:tcBorders>
              <w:top w:val="nil"/>
              <w:left w:val="nil"/>
              <w:bottom w:val="single" w:color="auto" w:sz="4" w:space="0"/>
              <w:right w:val="single" w:color="auto" w:sz="4" w:space="0"/>
            </w:tcBorders>
            <w:vAlign w:val="center"/>
          </w:tcPr>
          <w:p>
            <w:pPr>
              <w:pStyle w:val="5"/>
              <w:widowControl/>
              <w:shd w:val="clear" w:color="auto" w:fill="FFFFFF"/>
              <w:spacing w:beforeAutospacing="0" w:afterAutospacing="0" w:line="420" w:lineRule="atLeast"/>
              <w:rPr>
                <w:rFonts w:hint="default" w:ascii="华文仿宋" w:hAnsi="华文仿宋" w:eastAsia="华文仿宋"/>
                <w:b w:val="0"/>
                <w:bCs w:val="0"/>
                <w:color w:val="auto"/>
                <w:kern w:val="2"/>
                <w:sz w:val="20"/>
                <w:szCs w:val="22"/>
              </w:rPr>
            </w:pPr>
            <w:r>
              <w:rPr>
                <w:rFonts w:hint="default" w:ascii="华文仿宋" w:hAnsi="华文仿宋" w:eastAsia="华文仿宋" w:cs="宋体"/>
                <w:b w:val="0"/>
                <w:bCs w:val="0"/>
                <w:color w:val="auto"/>
                <w:kern w:val="2"/>
                <w:sz w:val="20"/>
                <w:szCs w:val="22"/>
              </w:rPr>
              <w:t>大金空调技术（中国）有限公司</w:t>
            </w:r>
          </w:p>
          <w:p>
            <w:pPr>
              <w:widowControl/>
              <w:jc w:val="center"/>
              <w:rPr>
                <w:rFonts w:ascii="华文仿宋" w:hAnsi="华文仿宋" w:eastAsia="华文仿宋" w:cs="宋体"/>
                <w:color w:val="auto"/>
                <w:sz w:val="20"/>
              </w:rPr>
            </w:pPr>
          </w:p>
        </w:tc>
        <w:tc>
          <w:tcPr>
            <w:tcW w:w="3287" w:type="dxa"/>
            <w:vMerge w:val="continue"/>
            <w:tcBorders>
              <w:left w:val="single" w:color="auto" w:sz="4" w:space="0"/>
              <w:right w:val="single" w:color="auto" w:sz="4" w:space="0"/>
            </w:tcBorders>
            <w:vAlign w:val="center"/>
          </w:tcPr>
          <w:p>
            <w:pPr>
              <w:widowControl/>
              <w:jc w:val="center"/>
              <w:rPr>
                <w:rFonts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center"/>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参照或相当于约克</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约克（中国）商贸有限公司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9870" w:type="dxa"/>
            <w:gridSpan w:val="6"/>
            <w:tcBorders>
              <w:top w:val="single" w:color="auto" w:sz="4" w:space="0"/>
              <w:left w:val="single" w:color="auto" w:sz="8" w:space="0"/>
              <w:bottom w:val="single" w:color="auto" w:sz="4" w:space="0"/>
              <w:right w:val="single" w:color="000000" w:sz="8" w:space="0"/>
            </w:tcBorders>
            <w:vAlign w:val="bottom"/>
          </w:tcPr>
          <w:p>
            <w:pPr>
              <w:widowControl/>
              <w:jc w:val="left"/>
              <w:rPr>
                <w:rFonts w:ascii="等线" w:hAnsi="等线" w:eastAsia="等线" w:cs="宋体"/>
                <w:b/>
                <w:bCs/>
                <w:color w:val="auto"/>
                <w:sz w:val="20"/>
              </w:rPr>
            </w:pPr>
            <w:r>
              <w:rPr>
                <w:rFonts w:hint="eastAsia" w:ascii="等线" w:hAnsi="等线" w:eastAsia="等线" w:cs="宋体"/>
                <w:b/>
                <w:bCs/>
                <w:color w:val="auto"/>
                <w:sz w:val="20"/>
              </w:rPr>
              <w:t>一般机电消防</w:t>
            </w: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restart"/>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参照或相当于南方风机</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南方风机股份有限公司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restart"/>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参照或相当于浙江上风</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浙江上风高科专风实业股份有限公司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参照或相当于沃克通风</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上海沃克通用设备有限公司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参照或相当于英飞</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英飞同仁风机股份有限公司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参照或相当于德通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广东肇庆德通有限公司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20" w:hRule="atLeast"/>
        </w:trPr>
        <w:tc>
          <w:tcPr>
            <w:tcW w:w="427" w:type="dxa"/>
            <w:vMerge w:val="restart"/>
            <w:tcBorders>
              <w:top w:val="nil"/>
              <w:left w:val="single" w:color="auto" w:sz="8" w:space="0"/>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2</w:t>
            </w:r>
          </w:p>
        </w:tc>
        <w:tc>
          <w:tcPr>
            <w:tcW w:w="1273" w:type="dxa"/>
            <w:vMerge w:val="restart"/>
            <w:tcBorders>
              <w:top w:val="nil"/>
              <w:left w:val="single" w:color="auto" w:sz="4" w:space="0"/>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水泵、消防水泵</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参照或相当于上海东方泵业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上海东方泵业（集团）有限公司</w:t>
            </w:r>
          </w:p>
        </w:tc>
        <w:tc>
          <w:tcPr>
            <w:tcW w:w="3287" w:type="dxa"/>
            <w:vMerge w:val="restart"/>
            <w:tcBorders>
              <w:top w:val="nil"/>
              <w:left w:val="single" w:color="auto" w:sz="4" w:space="0"/>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1、满足设计图纸及相关规范要求。2、轴承品牌：NSK。3、叶轮材质：不锈钢。</w:t>
            </w:r>
          </w:p>
        </w:tc>
        <w:tc>
          <w:tcPr>
            <w:tcW w:w="1290" w:type="dxa"/>
            <w:vMerge w:val="restart"/>
            <w:tcBorders>
              <w:top w:val="nil"/>
              <w:left w:val="single" w:color="auto" w:sz="4" w:space="0"/>
              <w:bottom w:val="nil"/>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参照或相当于南方泵业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南方泵业股份有限公司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参照或相当于上海凯泉泵业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上海凯泉泵业(集团)有限公司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参照或相当于上海熊猫</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上海熊猫机械（集团）有限公司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single" w:color="auto" w:sz="4" w:space="0"/>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3</w:t>
            </w:r>
          </w:p>
        </w:tc>
        <w:tc>
          <w:tcPr>
            <w:tcW w:w="127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手动阀门</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参照或相当于埃美柯</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埃美柯集团有限公司</w:t>
            </w:r>
          </w:p>
        </w:tc>
        <w:tc>
          <w:tcPr>
            <w:tcW w:w="328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single" w:color="auto" w:sz="4" w:space="0"/>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参照或相当于浙江盾安</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浙江盾安精工集团有限公司</w:t>
            </w:r>
          </w:p>
        </w:tc>
        <w:tc>
          <w:tcPr>
            <w:tcW w:w="32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参照或相当于宁波杰克龙</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宁波杰克龙精工有限公司</w:t>
            </w:r>
          </w:p>
        </w:tc>
        <w:tc>
          <w:tcPr>
            <w:tcW w:w="32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参照或相当于远大尧字</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远大阀门集团有限公司</w:t>
            </w:r>
          </w:p>
        </w:tc>
        <w:tc>
          <w:tcPr>
            <w:tcW w:w="32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参照或相当于上海沪工</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上海沪工阀门厂（集团）有</w:t>
            </w:r>
          </w:p>
        </w:tc>
        <w:tc>
          <w:tcPr>
            <w:tcW w:w="32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参照或相当于中阀控股</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中阀控股（集团）有限公司</w:t>
            </w:r>
          </w:p>
        </w:tc>
        <w:tc>
          <w:tcPr>
            <w:tcW w:w="32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参照或相当于天津卡尔斯</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天津卡尔斯阀门股份有限公司</w:t>
            </w:r>
          </w:p>
        </w:tc>
        <w:tc>
          <w:tcPr>
            <w:tcW w:w="32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4</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电动阀门</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参照或相当于西门子</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西门子（中国）有限公司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参照或相当于丹佛斯</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丹佛斯（天津）有限公司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参照或相当于霍尼韦尔</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霍尼韦尔(天津)有限公司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5</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蒸汽阀门、减压阀、疏水阀、</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参照或相当于阿姆斯壮</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阿姆斯壮阀门（中国）有限公司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参照或相当于斯派莎克</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斯派莎克阀门(中国)有限公司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参照或相当于林德韦特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林德韦特工程技术有限公司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6</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镀锌钢管</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参照或相当于泰丰侨</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广东泰丰侨金属制品有限公司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参照或相当于珠江</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广州珠江管业科技有限公司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参照或相当于华通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中山华通钢塑管有限公司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7</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无缝钢管</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参照或相当于邯钢</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邯钢集团邯宝钢铁有限公司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参照或相当于宝钢</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宝山钢铁股份有限公司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参照或相当于武钢</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武钢集团有限公司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参照或相当于敬业钢铁</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敬业钢铁有限公司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8</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不锈钢管</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参照或相当于邯钢</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邯钢集团邯宝钢铁有限公司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参照或相当于宝钢</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宝山钢铁股份有限公司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参照或相当于武钢</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武钢集团有限公司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敬业钢铁</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敬业钢铁有限公司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9</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铝合金管道</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参照或相当于康帕斯</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浙江康帕斯流体技术股份有限公司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参照或相当于安耐特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安耐特流体输送科技有限公司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参照或相当于福斯特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广东福斯特流体技术有限公司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10</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钢丝网骨架聚乙烯复合管，UPV-C管，PPR管，HDPE双壁波纹管</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参照或相当于联塑</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广东联塑科技实业有限公司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参照或相当于伟星</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浙江伟星新型建材股份有限公司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参照或相当于白蝶管业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上海白蝶管业科技股份有限公司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参照或相当于中财</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浙江中财管道科技股份有限公司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参照或相当于衡水京华</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衡水京华制管有限公司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参照或相当于金德</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金德管业集团有限公司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参照或相当于兴高管业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河南兴高管业有限公司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11</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自来水表</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宁波东海</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宁波东海集团有限公司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参照或相当于江西三川</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江西三川集团有限公司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参照或相当于唐山汇中</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汇中仪表股份有限公司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参照或相当于高翔水表</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高翔水表有限公司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参照或相当于连云港连利</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连云港连利水表有限公司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参照或相当于新天水表</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新天科技股份有限公司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参照或相当于福州中福</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福州中福水表有限公司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12</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管道保温材料（橡塑板保温B1级）</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参照或相当于兆胜</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江苏兆胜空调有限公司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参照或相当于华美</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河北华美保温材料有限公司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参照或相当于阿乐斯</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阿乐斯绝热材料（广州）有限公司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参照或相当于恒祥福诺斯</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湖北恒祥科技股份有限公司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13</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消防器材（喷头、报警阀组、水流指示器、水泵接合器、灭火器箱、灭火器、柜式七氟丙烷气体灭火）</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参照或相当于海湾安全</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海湾安全技术有限公司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参照或相当于北大清鸟</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北大清鸟环宇消防设备股份有限公司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参照或相当于北京利达</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北京利达集团</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参照或相当于上海海消</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上海海消消防集团有限公司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参照或相当于上海金盾</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上海金盾消防安全设备有限公司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参照或相当于南京消防</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南京消防器材股份有限公司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14</w:t>
            </w:r>
          </w:p>
        </w:tc>
        <w:tc>
          <w:tcPr>
            <w:tcW w:w="1273" w:type="dxa"/>
            <w:vMerge w:val="restart"/>
            <w:tcBorders>
              <w:top w:val="nil"/>
              <w:left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消防报警、监控系统，气体探测报警系统，消防控制中心系统</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参照或相当于广州禹成</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广州市禹成消防科技有限公司</w:t>
            </w:r>
          </w:p>
        </w:tc>
        <w:tc>
          <w:tcPr>
            <w:tcW w:w="3287"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left w:val="single" w:color="auto" w:sz="8" w:space="0"/>
              <w:right w:val="single" w:color="auto" w:sz="4" w:space="0"/>
            </w:tcBorders>
            <w:vAlign w:val="center"/>
          </w:tcPr>
          <w:p>
            <w:pPr>
              <w:widowControl/>
              <w:jc w:val="center"/>
              <w:rPr>
                <w:rFonts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center"/>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参照或相当于海湾安全</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海湾安全技术有限公司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消防报警系统需满足最新的消防法规</w:t>
            </w:r>
            <w:r>
              <w:rPr>
                <w:rFonts w:hint="eastAsia" w:ascii="等线" w:hAnsi="等线" w:eastAsia="等线" w:cs="宋体"/>
                <w:color w:val="auto"/>
                <w:sz w:val="20"/>
              </w:rPr>
              <w:br w:type="textWrapping"/>
            </w:r>
            <w:r>
              <w:rPr>
                <w:rFonts w:hint="eastAsia" w:ascii="等线" w:hAnsi="等线" w:eastAsia="等线" w:cs="宋体"/>
                <w:color w:val="auto"/>
                <w:sz w:val="20"/>
              </w:rPr>
              <w:t>烟感探测器、温感探测器、手动报警按钮、闭路电视监视系统、火警警铃、消防广播系统、电话对讲机等通讯联络器材组成，中报警器、联动控制柜、消防电梯控制器、管道煤气紧急切断装置、消防广播话筒扩音机和控制器、通讯装置等组成。</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600" w:hRule="atLeast"/>
        </w:trPr>
        <w:tc>
          <w:tcPr>
            <w:tcW w:w="427" w:type="dxa"/>
            <w:vMerge w:val="continue"/>
            <w:tcBorders>
              <w:left w:val="single" w:color="auto" w:sz="8"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参照或相当于北大清鸟</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青鸟消防股份有限公司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参照或相当于北京利达</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北京利达集团</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3593" w:type="dxa"/>
            <w:gridSpan w:val="2"/>
            <w:tcBorders>
              <w:top w:val="nil"/>
              <w:left w:val="nil"/>
              <w:bottom w:val="single" w:color="auto" w:sz="4" w:space="0"/>
              <w:right w:val="single" w:color="auto" w:sz="4" w:space="0"/>
            </w:tcBorders>
            <w:vAlign w:val="center"/>
          </w:tcPr>
          <w:p>
            <w:pPr>
              <w:widowControl/>
              <w:jc w:val="left"/>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 xml:space="preserve">清远市清新区太和镇宏达塑料管厂 </w:t>
            </w:r>
          </w:p>
        </w:tc>
        <w:tc>
          <w:tcPr>
            <w:tcW w:w="3287"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right w:val="single" w:color="auto" w:sz="4"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1</w:t>
            </w:r>
            <w:r>
              <w:rPr>
                <w:rFonts w:ascii="等线" w:hAnsi="等线" w:eastAsia="等线" w:cs="宋体"/>
                <w:color w:val="auto"/>
                <w:sz w:val="20"/>
              </w:rPr>
              <w:t>5</w:t>
            </w:r>
          </w:p>
        </w:tc>
        <w:tc>
          <w:tcPr>
            <w:tcW w:w="1273" w:type="dxa"/>
            <w:vMerge w:val="restart"/>
            <w:tcBorders>
              <w:top w:val="nil"/>
              <w:left w:val="single" w:color="auto" w:sz="4" w:space="0"/>
              <w:right w:val="single" w:color="auto" w:sz="4"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浪涌保护器</w:t>
            </w: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参照或相当于徽电科技</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安徽徽电科技股份有限公司</w:t>
            </w:r>
          </w:p>
        </w:tc>
        <w:tc>
          <w:tcPr>
            <w:tcW w:w="3287" w:type="dxa"/>
            <w:vMerge w:val="restart"/>
            <w:tcBorders>
              <w:top w:val="nil"/>
              <w:left w:val="single" w:color="auto" w:sz="4" w:space="0"/>
              <w:right w:val="single" w:color="auto" w:sz="4"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right w:val="single" w:color="auto" w:sz="8"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泰永长征</w:t>
            </w:r>
          </w:p>
        </w:tc>
        <w:tc>
          <w:tcPr>
            <w:tcW w:w="2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贵州泰永长征技术股份有限公司</w:t>
            </w:r>
          </w:p>
        </w:tc>
        <w:tc>
          <w:tcPr>
            <w:tcW w:w="3287"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金力</w:t>
            </w:r>
          </w:p>
        </w:tc>
        <w:tc>
          <w:tcPr>
            <w:tcW w:w="2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安徽金力电气技术有限公司</w:t>
            </w:r>
          </w:p>
        </w:tc>
        <w:tc>
          <w:tcPr>
            <w:tcW w:w="3287"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海格电气</w:t>
            </w:r>
          </w:p>
        </w:tc>
        <w:tc>
          <w:tcPr>
            <w:tcW w:w="2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海格电气(惠州)有限公司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16</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应急照明系统</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参照或相当于敏华</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广东敏华电器有限公司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1.采用集中电源集中控制型灯具；灯具带独立的地址；采用LED光源，色温不低于2700K。</w:t>
            </w:r>
            <w:r>
              <w:rPr>
                <w:rFonts w:hint="eastAsia" w:ascii="等线" w:hAnsi="等线" w:eastAsia="等线" w:cs="宋体"/>
                <w:color w:val="auto"/>
                <w:sz w:val="20"/>
              </w:rPr>
              <w:br w:type="textWrapping"/>
            </w:r>
            <w:r>
              <w:rPr>
                <w:rFonts w:hint="eastAsia" w:ascii="等线" w:hAnsi="等线" w:eastAsia="等线" w:cs="宋体"/>
                <w:color w:val="auto"/>
                <w:sz w:val="20"/>
              </w:rPr>
              <w:t xml:space="preserve"> 2.安装高度≤8m的灯具采用A型灯具；＞8m采用B型灯具。3.产品应符合《消防安全标志》GB13495和《消防应急照明和疏散指示系统》GB17945的规定</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参照或相当于振辉</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广东振辉消防科技有限公司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参照或相当于台谊</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浙江台谊消防股份有限公司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参照或相当于西默电气</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珠海西默电气股份有限公司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39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17</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管道支吊架（含抗震支吊架）</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参照或相当于优力特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br w:type="textWrapping"/>
            </w:r>
            <w:r>
              <w:rPr>
                <w:rFonts w:hint="eastAsia" w:ascii="华文仿宋" w:hAnsi="华文仿宋" w:eastAsia="华文仿宋" w:cs="宋体"/>
                <w:color w:val="auto"/>
                <w:sz w:val="20"/>
              </w:rPr>
              <w:t xml:space="preserve">广东优力特金属科技有限公司   </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参照或相当于固德威</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广州固德威科技有限公司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参照或相当于奥睿德</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广东奥睿德科技发展有限公司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469"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18</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热镀锌桥架、电线管</w:t>
            </w:r>
          </w:p>
        </w:tc>
        <w:tc>
          <w:tcPr>
            <w:tcW w:w="3593" w:type="dxa"/>
            <w:gridSpan w:val="2"/>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 xml:space="preserve">参照或相当于广州一州电气设备有限公司 </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508"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3593" w:type="dxa"/>
            <w:gridSpan w:val="2"/>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参照或相当于广东宏际线管实业有限公司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309"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3593" w:type="dxa"/>
            <w:gridSpan w:val="2"/>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参照或相当于佛山市联希线槽有限公司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rPr>
                <w:rFonts w:ascii="等线" w:hAnsi="等线" w:eastAsia="等线" w:cs="宋体"/>
                <w:color w:val="auto"/>
                <w:sz w:val="20"/>
              </w:rPr>
            </w:pPr>
            <w:r>
              <w:rPr>
                <w:rFonts w:hint="eastAsia" w:ascii="等线" w:hAnsi="等线" w:eastAsia="等线" w:cs="宋体"/>
                <w:color w:val="auto"/>
                <w:sz w:val="20"/>
              </w:rPr>
              <w:t>19</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变频器、软启动</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参照或相当于ABB</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ABB（中国）有限公司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参照或相当于西门子</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西门子（中国）有限公司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参照或相当于丹佛斯</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丹佛斯（中国）有限公司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参照或相当于施耐德</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施耐德电气（中国）有限公司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20</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断路器（含微断）</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参照或相当于常熟</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常熟开关制造有限公司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1、常熟框架-CW3、塑壳-CM5E系列。2、上联框架-RMW2、塑壳-RMM3E、3、罗格朗框架-DPX3系列、塑壳-DMX3E系列。4、良信框架-NDW5系列、塑壳-NDM5E。5、北元框架-BW3、塑壳-BM3E系列。</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52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参照或相当于上联</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上海电器股份有限公司上海人民电器厂</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参照或相当于罗格朗</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TCL-罗格朗集团</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参照或相当于北元</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北京北元电器有限公司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参照或相当于良信</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上海良信电器股份有限公司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21</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高、低压电缆</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参照或相当于中联</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广东中联电缆集团有限公司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参照或相当于南洋</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广州南洋电缆集团有限公司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参照或相当于双菱</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广州电缆有限公司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参照或相当于番缆</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广州番禺电缆集团有限公司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right w:val="single" w:color="auto" w:sz="4"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2</w:t>
            </w:r>
            <w:r>
              <w:rPr>
                <w:rFonts w:ascii="等线" w:hAnsi="等线" w:eastAsia="等线" w:cs="宋体"/>
                <w:color w:val="auto"/>
                <w:sz w:val="20"/>
              </w:rPr>
              <w:t>2</w:t>
            </w:r>
          </w:p>
        </w:tc>
        <w:tc>
          <w:tcPr>
            <w:tcW w:w="1273" w:type="dxa"/>
            <w:vMerge w:val="restart"/>
            <w:tcBorders>
              <w:top w:val="nil"/>
              <w:left w:val="single" w:color="auto" w:sz="4" w:space="0"/>
              <w:right w:val="single" w:color="auto" w:sz="4"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浪涌保护器</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徽电科技</w:t>
            </w:r>
          </w:p>
        </w:tc>
        <w:tc>
          <w:tcPr>
            <w:tcW w:w="2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安徽徽电科技股份有限公司</w:t>
            </w:r>
          </w:p>
        </w:tc>
        <w:tc>
          <w:tcPr>
            <w:tcW w:w="3287" w:type="dxa"/>
            <w:vMerge w:val="restart"/>
            <w:tcBorders>
              <w:top w:val="nil"/>
              <w:left w:val="single" w:color="auto" w:sz="4" w:space="0"/>
              <w:right w:val="single" w:color="auto" w:sz="4"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right w:val="single" w:color="auto" w:sz="8"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泰永长征</w:t>
            </w:r>
          </w:p>
        </w:tc>
        <w:tc>
          <w:tcPr>
            <w:tcW w:w="2305"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贵州泰永长征技术股份有限公司</w:t>
            </w:r>
          </w:p>
        </w:tc>
        <w:tc>
          <w:tcPr>
            <w:tcW w:w="3287"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金力</w:t>
            </w:r>
          </w:p>
        </w:tc>
        <w:tc>
          <w:tcPr>
            <w:tcW w:w="2305"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安徽金力电气技术有限公司</w:t>
            </w:r>
          </w:p>
        </w:tc>
        <w:tc>
          <w:tcPr>
            <w:tcW w:w="3287"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海格电气</w:t>
            </w:r>
          </w:p>
        </w:tc>
        <w:tc>
          <w:tcPr>
            <w:tcW w:w="2305"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海格电气(惠州)有限公司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2</w:t>
            </w:r>
            <w:r>
              <w:rPr>
                <w:rFonts w:ascii="等线" w:hAnsi="等线" w:eastAsia="等线" w:cs="宋体"/>
                <w:color w:val="auto"/>
                <w:sz w:val="20"/>
              </w:rPr>
              <w:t>3</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双电源切换开关</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参照或相当于泰永长征</w:t>
            </w:r>
          </w:p>
        </w:tc>
        <w:tc>
          <w:tcPr>
            <w:tcW w:w="2305" w:type="dxa"/>
            <w:tcBorders>
              <w:top w:val="nil"/>
              <w:left w:val="nil"/>
              <w:bottom w:val="single" w:color="auto" w:sz="4" w:space="0"/>
              <w:right w:val="single" w:color="auto" w:sz="4" w:space="0"/>
            </w:tcBorders>
            <w:vAlign w:val="center"/>
          </w:tcPr>
          <w:p>
            <w:pPr>
              <w:pStyle w:val="4"/>
              <w:widowControl/>
              <w:shd w:val="clear" w:color="auto" w:fill="FFFFFF"/>
              <w:spacing w:beforeAutospacing="0" w:afterAutospacing="0" w:line="420" w:lineRule="atLeast"/>
              <w:textAlignment w:val="center"/>
              <w:rPr>
                <w:rFonts w:hint="default" w:ascii="华文仿宋" w:hAnsi="华文仿宋" w:eastAsia="华文仿宋"/>
                <w:b w:val="0"/>
                <w:bCs w:val="0"/>
                <w:color w:val="auto"/>
                <w:kern w:val="2"/>
                <w:sz w:val="20"/>
                <w:szCs w:val="22"/>
              </w:rPr>
            </w:pPr>
            <w:r>
              <w:rPr>
                <w:rFonts w:hint="default" w:ascii="华文仿宋" w:hAnsi="华文仿宋" w:eastAsia="华文仿宋" w:cs="宋体"/>
                <w:b w:val="0"/>
                <w:bCs w:val="0"/>
                <w:color w:val="auto"/>
                <w:kern w:val="2"/>
                <w:sz w:val="20"/>
                <w:szCs w:val="22"/>
              </w:rPr>
              <w:t>贵州泰永长征技术股份有限公司</w:t>
            </w:r>
          </w:p>
          <w:p>
            <w:pPr>
              <w:widowControl/>
              <w:jc w:val="center"/>
              <w:rPr>
                <w:rFonts w:ascii="华文仿宋" w:hAnsi="华文仿宋" w:eastAsia="华文仿宋" w:cs="宋体"/>
                <w:color w:val="auto"/>
                <w:sz w:val="20"/>
              </w:rPr>
            </w:pP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泰永长征：TBBQ系列；罗格朗：DQP系列；海格电气：HE系列</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参照或相当于罗格朗</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罗格朗电器股份有限公司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参照或相当于海格电气</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海格电气(惠州)有限公司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2</w:t>
            </w:r>
            <w:r>
              <w:rPr>
                <w:rFonts w:ascii="等线" w:hAnsi="等线" w:eastAsia="等线" w:cs="宋体"/>
                <w:color w:val="auto"/>
                <w:sz w:val="20"/>
              </w:rPr>
              <w:t>4</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智能表计</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参照或相当于雅达</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广东雅达电子股份有限公司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参照或相当于国网诺博特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国网诺博特江苏自动化设备有限公司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参照或相当于汉光</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广州汉光电气股份有限公司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参照或相当于中电</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 xml:space="preserve">深圳市中电电力技术股份有限公司 </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2</w:t>
            </w:r>
            <w:r>
              <w:rPr>
                <w:rFonts w:ascii="等线" w:hAnsi="等线" w:eastAsia="等线" w:cs="宋体"/>
                <w:color w:val="auto"/>
                <w:sz w:val="20"/>
              </w:rPr>
              <w:t>5</w:t>
            </w:r>
          </w:p>
        </w:tc>
        <w:tc>
          <w:tcPr>
            <w:tcW w:w="1273" w:type="dxa"/>
            <w:vMerge w:val="restart"/>
            <w:tcBorders>
              <w:top w:val="nil"/>
              <w:left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直流电源</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参照或相当于三辰</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浙江三辰电器股份有限公司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参照或相当于山特电子</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山特电子（深圳）有限公司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参照或相当于华海</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大连旅顺电力电子设备有限公司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参照或相当于艾默生</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艾默生电气公司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00" w:hRule="atLeast"/>
        </w:trPr>
        <w:tc>
          <w:tcPr>
            <w:tcW w:w="427" w:type="dxa"/>
            <w:vMerge w:val="restart"/>
            <w:tcBorders>
              <w:top w:val="nil"/>
              <w:left w:val="single" w:color="auto" w:sz="8" w:space="0"/>
              <w:right w:val="single" w:color="auto" w:sz="4" w:space="0"/>
            </w:tcBorders>
            <w:vAlign w:val="center"/>
          </w:tcPr>
          <w:p>
            <w:pPr>
              <w:widowControl/>
              <w:jc w:val="left"/>
              <w:rPr>
                <w:rFonts w:ascii="等线" w:hAnsi="等线" w:eastAsia="等线" w:cs="宋体"/>
                <w:color w:val="auto"/>
                <w:sz w:val="20"/>
              </w:rPr>
            </w:pPr>
            <w:r>
              <w:rPr>
                <w:rFonts w:hint="eastAsia" w:ascii="等线" w:hAnsi="等线" w:eastAsia="等线" w:cs="宋体"/>
                <w:color w:val="auto"/>
                <w:sz w:val="20"/>
              </w:rPr>
              <w:t>2</w:t>
            </w:r>
            <w:r>
              <w:rPr>
                <w:rFonts w:ascii="等线" w:hAnsi="等线" w:eastAsia="等线" w:cs="宋体"/>
                <w:color w:val="auto"/>
                <w:sz w:val="20"/>
              </w:rPr>
              <w:t>6</w:t>
            </w:r>
          </w:p>
        </w:tc>
        <w:tc>
          <w:tcPr>
            <w:tcW w:w="1273" w:type="dxa"/>
            <w:vMerge w:val="restart"/>
            <w:tcBorders>
              <w:top w:val="nil"/>
              <w:left w:val="single" w:color="auto" w:sz="4" w:space="0"/>
              <w:right w:val="single" w:color="auto" w:sz="4" w:space="0"/>
            </w:tcBorders>
            <w:vAlign w:val="center"/>
          </w:tcPr>
          <w:p>
            <w:pPr>
              <w:widowControl/>
              <w:jc w:val="left"/>
              <w:rPr>
                <w:rFonts w:ascii="等线" w:hAnsi="等线" w:eastAsia="等线" w:cs="宋体"/>
                <w:color w:val="auto"/>
                <w:sz w:val="20"/>
              </w:rPr>
            </w:pPr>
            <w:r>
              <w:rPr>
                <w:rFonts w:hint="eastAsia" w:ascii="等线" w:hAnsi="等线" w:eastAsia="等线" w:cs="宋体"/>
                <w:color w:val="auto"/>
                <w:sz w:val="20"/>
              </w:rPr>
              <w:t>S</w:t>
            </w:r>
            <w:r>
              <w:rPr>
                <w:rFonts w:ascii="等线" w:hAnsi="等线" w:eastAsia="等线" w:cs="宋体"/>
                <w:color w:val="auto"/>
                <w:sz w:val="20"/>
              </w:rPr>
              <w:t>VG/APF</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参照或相当于Novtium</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新能动力(北京)电气科技有限公司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00" w:hRule="atLeast"/>
        </w:trPr>
        <w:tc>
          <w:tcPr>
            <w:tcW w:w="427" w:type="dxa"/>
            <w:vMerge w:val="continue"/>
            <w:tcBorders>
              <w:left w:val="single" w:color="auto" w:sz="8"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参照或相当于北京英博</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北京英博电气股份有限公司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0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参照或相当于施耐德</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施耐德电气（中国）有限公司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2</w:t>
            </w:r>
            <w:r>
              <w:rPr>
                <w:rFonts w:ascii="等线" w:hAnsi="等线" w:eastAsia="等线" w:cs="宋体"/>
                <w:color w:val="auto"/>
                <w:sz w:val="20"/>
              </w:rPr>
              <w:t>7</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高压真空断路器</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参照或相当于西门子</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上海西门子开关有限公司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ABB：VD4系列；西门子：3AE8系列；常州伊顿：E-VAC系列；库柏：VN2-24E系列；</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参照或相当于ABB</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厦门ABB开关有限公司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常州伊顿</w:t>
            </w:r>
          </w:p>
        </w:tc>
        <w:tc>
          <w:tcPr>
            <w:tcW w:w="2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伊顿电力设备有限公司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库柏</w:t>
            </w:r>
          </w:p>
        </w:tc>
        <w:tc>
          <w:tcPr>
            <w:tcW w:w="2305"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宋体" w:hAnsi="宋体"/>
                <w:color w:val="auto"/>
              </w:rPr>
            </w:pPr>
            <w:r>
              <w:rPr>
                <w:rFonts w:hint="eastAsia"/>
                <w:color w:val="auto"/>
              </w:rPr>
              <w:t>库柏（宁波）电气有限公司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参照或相当于施耐德</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施耐德电气(中国)有限公司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right w:val="single" w:color="auto" w:sz="4"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2</w:t>
            </w:r>
            <w:r>
              <w:rPr>
                <w:rFonts w:ascii="等线" w:hAnsi="等线" w:eastAsia="等线" w:cs="宋体"/>
                <w:color w:val="auto"/>
                <w:sz w:val="20"/>
              </w:rPr>
              <w:t>8</w:t>
            </w:r>
          </w:p>
        </w:tc>
        <w:tc>
          <w:tcPr>
            <w:tcW w:w="1273" w:type="dxa"/>
            <w:vMerge w:val="restart"/>
            <w:tcBorders>
              <w:top w:val="nil"/>
              <w:left w:val="single" w:color="auto" w:sz="4" w:space="0"/>
              <w:right w:val="single" w:color="auto" w:sz="4"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电流、电压互感器</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大连一互</w:t>
            </w:r>
          </w:p>
        </w:tc>
        <w:tc>
          <w:tcPr>
            <w:tcW w:w="2305"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宋体" w:hAnsi="宋体"/>
                <w:color w:val="auto"/>
              </w:rPr>
            </w:pPr>
            <w:r>
              <w:rPr>
                <w:rFonts w:hint="eastAsia"/>
                <w:color w:val="auto"/>
              </w:rPr>
              <w:t>大连第一互感器有限责任公司</w:t>
            </w:r>
          </w:p>
        </w:tc>
        <w:tc>
          <w:tcPr>
            <w:tcW w:w="32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single" w:color="auto" w:sz="4" w:space="0"/>
              <w:left w:val="single" w:color="auto" w:sz="4" w:space="0"/>
              <w:bottom w:val="single" w:color="000000" w:sz="4" w:space="0"/>
              <w:right w:val="single" w:color="auto" w:sz="8" w:space="0"/>
            </w:tcBorders>
            <w:shd w:val="clear" w:color="auto" w:fill="auto"/>
            <w:vAlign w:val="center"/>
          </w:tcPr>
          <w:p>
            <w:pPr>
              <w:jc w:val="center"/>
              <w:rPr>
                <w:rFonts w:hint="eastAsia"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大连二互</w:t>
            </w:r>
          </w:p>
        </w:tc>
        <w:tc>
          <w:tcPr>
            <w:tcW w:w="2305" w:type="dxa"/>
            <w:tcBorders>
              <w:top w:val="nil"/>
              <w:left w:val="nil"/>
              <w:bottom w:val="single" w:color="auto" w:sz="4" w:space="0"/>
              <w:right w:val="single" w:color="auto" w:sz="4" w:space="0"/>
            </w:tcBorders>
            <w:shd w:val="clear" w:color="auto" w:fill="auto"/>
            <w:vAlign w:val="bottom"/>
          </w:tcPr>
          <w:p>
            <w:pPr>
              <w:jc w:val="center"/>
              <w:rPr>
                <w:rFonts w:hint="eastAsia" w:ascii="宋体" w:hAnsi="宋体"/>
                <w:color w:val="auto"/>
              </w:rPr>
            </w:pPr>
            <w:r>
              <w:rPr>
                <w:rFonts w:hint="eastAsia"/>
                <w:color w:val="auto"/>
              </w:rPr>
              <w:t>大连第二互感器有限责任公司</w:t>
            </w:r>
          </w:p>
        </w:tc>
        <w:tc>
          <w:tcPr>
            <w:tcW w:w="3287"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大连北方</w:t>
            </w:r>
          </w:p>
        </w:tc>
        <w:tc>
          <w:tcPr>
            <w:tcW w:w="2305" w:type="dxa"/>
            <w:tcBorders>
              <w:top w:val="nil"/>
              <w:left w:val="nil"/>
              <w:bottom w:val="single" w:color="auto" w:sz="4" w:space="0"/>
              <w:right w:val="single" w:color="auto" w:sz="4" w:space="0"/>
            </w:tcBorders>
            <w:shd w:val="clear" w:color="auto" w:fill="auto"/>
            <w:vAlign w:val="bottom"/>
          </w:tcPr>
          <w:p>
            <w:pPr>
              <w:jc w:val="center"/>
              <w:rPr>
                <w:rFonts w:hint="eastAsia" w:ascii="宋体" w:hAnsi="宋体"/>
                <w:color w:val="auto"/>
              </w:rPr>
            </w:pPr>
            <w:r>
              <w:rPr>
                <w:rFonts w:hint="eastAsia"/>
                <w:color w:val="auto"/>
              </w:rPr>
              <w:t>大连北方互感器集团</w:t>
            </w:r>
          </w:p>
        </w:tc>
        <w:tc>
          <w:tcPr>
            <w:tcW w:w="3287" w:type="dxa"/>
            <w:vMerge w:val="continue"/>
            <w:tcBorders>
              <w:left w:val="single" w:color="auto" w:sz="4"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right w:val="single" w:color="auto" w:sz="4" w:space="0"/>
            </w:tcBorders>
            <w:vAlign w:val="center"/>
          </w:tcPr>
          <w:p>
            <w:pPr>
              <w:widowControl/>
              <w:jc w:val="center"/>
              <w:rPr>
                <w:rFonts w:hint="eastAsia" w:ascii="等线" w:hAnsi="等线" w:eastAsia="等线" w:cs="宋体"/>
                <w:color w:val="auto"/>
                <w:sz w:val="20"/>
              </w:rPr>
            </w:pPr>
            <w:r>
              <w:rPr>
                <w:rFonts w:hint="eastAsia" w:ascii="等线" w:hAnsi="等线" w:eastAsia="等线" w:cs="宋体"/>
                <w:color w:val="auto"/>
                <w:sz w:val="20"/>
              </w:rPr>
              <w:t>2</w:t>
            </w:r>
            <w:r>
              <w:rPr>
                <w:rFonts w:ascii="等线" w:hAnsi="等线" w:eastAsia="等线" w:cs="宋体"/>
                <w:color w:val="auto"/>
                <w:sz w:val="20"/>
              </w:rPr>
              <w:t>9</w:t>
            </w:r>
          </w:p>
        </w:tc>
        <w:tc>
          <w:tcPr>
            <w:tcW w:w="127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olor w:val="auto"/>
                <w:kern w:val="0"/>
                <w:sz w:val="22"/>
              </w:rPr>
            </w:pPr>
            <w:r>
              <w:rPr>
                <w:rFonts w:hint="eastAsia" w:ascii="等线" w:hAnsi="等线" w:eastAsia="等线" w:cs="宋体"/>
                <w:color w:val="auto"/>
                <w:sz w:val="20"/>
              </w:rPr>
              <w:t>综合继电保护</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许继</w:t>
            </w:r>
          </w:p>
        </w:tc>
        <w:tc>
          <w:tcPr>
            <w:tcW w:w="2305"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宋体" w:hAnsi="宋体"/>
                <w:color w:val="auto"/>
              </w:rPr>
            </w:pPr>
            <w:r>
              <w:rPr>
                <w:rFonts w:hint="eastAsia"/>
                <w:color w:val="auto"/>
              </w:rPr>
              <w:t>许继电气股份有限公司</w:t>
            </w:r>
          </w:p>
        </w:tc>
        <w:tc>
          <w:tcPr>
            <w:tcW w:w="32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许继：WTY-871Z系列；南自：PS-640U系列；南瑞：PCS-9700系列；北四方：CSC-2000系列；</w:t>
            </w:r>
          </w:p>
        </w:tc>
        <w:tc>
          <w:tcPr>
            <w:tcW w:w="1290" w:type="dxa"/>
            <w:vMerge w:val="restart"/>
            <w:tcBorders>
              <w:top w:val="single" w:color="auto" w:sz="4" w:space="0"/>
              <w:left w:val="single" w:color="auto" w:sz="4" w:space="0"/>
              <w:bottom w:val="single" w:color="000000" w:sz="4" w:space="0"/>
              <w:right w:val="single" w:color="auto" w:sz="8" w:space="0"/>
            </w:tcBorders>
            <w:shd w:val="clear" w:color="auto" w:fill="auto"/>
            <w:vAlign w:val="center"/>
          </w:tcPr>
          <w:p>
            <w:pPr>
              <w:jc w:val="center"/>
              <w:rPr>
                <w:rFonts w:hint="eastAsia"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南自</w:t>
            </w:r>
          </w:p>
        </w:tc>
        <w:tc>
          <w:tcPr>
            <w:tcW w:w="2305" w:type="dxa"/>
            <w:tcBorders>
              <w:top w:val="nil"/>
              <w:left w:val="nil"/>
              <w:bottom w:val="single" w:color="auto" w:sz="4" w:space="0"/>
              <w:right w:val="single" w:color="auto" w:sz="4" w:space="0"/>
            </w:tcBorders>
            <w:shd w:val="clear" w:color="auto" w:fill="auto"/>
            <w:vAlign w:val="bottom"/>
          </w:tcPr>
          <w:p>
            <w:pPr>
              <w:jc w:val="center"/>
              <w:rPr>
                <w:rFonts w:hint="eastAsia" w:ascii="宋体" w:hAnsi="宋体"/>
                <w:color w:val="auto"/>
              </w:rPr>
            </w:pPr>
            <w:r>
              <w:rPr>
                <w:rFonts w:hint="eastAsia"/>
                <w:color w:val="auto"/>
              </w:rPr>
              <w:t>国电南京自动化股份有限公司</w:t>
            </w:r>
          </w:p>
        </w:tc>
        <w:tc>
          <w:tcPr>
            <w:tcW w:w="3287"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南瑞</w:t>
            </w:r>
          </w:p>
        </w:tc>
        <w:tc>
          <w:tcPr>
            <w:tcW w:w="2305" w:type="dxa"/>
            <w:tcBorders>
              <w:top w:val="nil"/>
              <w:left w:val="nil"/>
              <w:bottom w:val="single" w:color="auto" w:sz="4" w:space="0"/>
              <w:right w:val="single" w:color="auto" w:sz="4" w:space="0"/>
            </w:tcBorders>
            <w:shd w:val="clear" w:color="auto" w:fill="auto"/>
            <w:vAlign w:val="bottom"/>
          </w:tcPr>
          <w:p>
            <w:pPr>
              <w:jc w:val="center"/>
              <w:rPr>
                <w:rFonts w:hint="eastAsia" w:ascii="宋体" w:hAnsi="宋体"/>
                <w:color w:val="auto"/>
              </w:rPr>
            </w:pPr>
            <w:r>
              <w:rPr>
                <w:rFonts w:hint="eastAsia"/>
                <w:color w:val="auto"/>
              </w:rPr>
              <w:t>国电南京南瑞继保电气有限公司</w:t>
            </w:r>
          </w:p>
        </w:tc>
        <w:tc>
          <w:tcPr>
            <w:tcW w:w="3287"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北四方</w:t>
            </w:r>
          </w:p>
        </w:tc>
        <w:tc>
          <w:tcPr>
            <w:tcW w:w="2305" w:type="dxa"/>
            <w:tcBorders>
              <w:top w:val="nil"/>
              <w:left w:val="nil"/>
              <w:bottom w:val="nil"/>
              <w:right w:val="nil"/>
            </w:tcBorders>
            <w:shd w:val="clear" w:color="auto" w:fill="auto"/>
            <w:vAlign w:val="bottom"/>
          </w:tcPr>
          <w:p>
            <w:pPr>
              <w:jc w:val="center"/>
              <w:rPr>
                <w:rFonts w:hint="eastAsia" w:ascii="宋体" w:hAnsi="宋体"/>
                <w:color w:val="auto"/>
              </w:rPr>
            </w:pPr>
            <w:r>
              <w:rPr>
                <w:rFonts w:hint="eastAsia"/>
                <w:color w:val="auto"/>
              </w:rPr>
              <w:t>北京四方继保自动化股份有限公司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center"/>
              <w:rPr>
                <w:rFonts w:hint="eastAsia"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center"/>
              <w:rPr>
                <w:rFonts w:hint="eastAsia"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right w:val="single" w:color="auto" w:sz="4" w:space="0"/>
            </w:tcBorders>
            <w:vAlign w:val="center"/>
          </w:tcPr>
          <w:p>
            <w:pPr>
              <w:widowControl/>
              <w:jc w:val="center"/>
              <w:rPr>
                <w:rFonts w:ascii="等线" w:hAnsi="等线" w:eastAsia="等线" w:cs="宋体"/>
                <w:color w:val="auto"/>
                <w:sz w:val="20"/>
              </w:rPr>
            </w:pPr>
            <w:r>
              <w:rPr>
                <w:rFonts w:ascii="等线" w:hAnsi="等线" w:eastAsia="等线" w:cs="宋体"/>
                <w:color w:val="auto"/>
                <w:sz w:val="20"/>
              </w:rPr>
              <w:t>30</w:t>
            </w:r>
          </w:p>
        </w:tc>
        <w:tc>
          <w:tcPr>
            <w:tcW w:w="1273" w:type="dxa"/>
            <w:vMerge w:val="restart"/>
            <w:tcBorders>
              <w:top w:val="nil"/>
              <w:left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智能操显装置、除湿装置</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参照或相当于珠海一多</w:t>
            </w:r>
          </w:p>
        </w:tc>
        <w:tc>
          <w:tcPr>
            <w:tcW w:w="2305"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auto"/>
                <w:sz w:val="20"/>
              </w:rPr>
            </w:pPr>
            <w:r>
              <w:rPr>
                <w:rFonts w:hint="eastAsia" w:ascii="宋体" w:hAnsi="宋体" w:cs="宋体"/>
                <w:color w:val="auto"/>
                <w:sz w:val="20"/>
              </w:rPr>
              <w:t>珠海一多电气自动化有限公司</w:t>
            </w:r>
          </w:p>
        </w:tc>
        <w:tc>
          <w:tcPr>
            <w:tcW w:w="3287" w:type="dxa"/>
            <w:vMerge w:val="restart"/>
            <w:tcBorders>
              <w:top w:val="nil"/>
              <w:left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珠海一多：Yado-EDO系列；无锡汇尔：WHR-X006；珠海黑石：BSCX-60。开关状态显示、高压带电显示、温湿度控制、带通讯功能、人体接近语音提示功能。</w:t>
            </w:r>
          </w:p>
        </w:tc>
        <w:tc>
          <w:tcPr>
            <w:tcW w:w="1290" w:type="dxa"/>
            <w:vMerge w:val="restart"/>
            <w:tcBorders>
              <w:top w:val="nil"/>
              <w:left w:val="single" w:color="auto"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参照或相当于无锡汇尔</w:t>
            </w:r>
          </w:p>
        </w:tc>
        <w:tc>
          <w:tcPr>
            <w:tcW w:w="2305"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rPr>
            </w:pPr>
            <w:r>
              <w:rPr>
                <w:rFonts w:hint="eastAsia" w:ascii="宋体" w:hAnsi="宋体" w:cs="宋体"/>
                <w:color w:val="auto"/>
                <w:sz w:val="20"/>
              </w:rPr>
              <w:t>无锡汇尔科技有限公司</w:t>
            </w:r>
          </w:p>
        </w:tc>
        <w:tc>
          <w:tcPr>
            <w:tcW w:w="3287" w:type="dxa"/>
            <w:vMerge w:val="continue"/>
            <w:tcBorders>
              <w:left w:val="single" w:color="auto"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参照或相当于珠海黑石</w:t>
            </w:r>
          </w:p>
        </w:tc>
        <w:tc>
          <w:tcPr>
            <w:tcW w:w="2305"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rPr>
            </w:pPr>
            <w:r>
              <w:rPr>
                <w:rFonts w:hint="eastAsia" w:ascii="宋体" w:hAnsi="宋体" w:cs="宋体"/>
                <w:color w:val="auto"/>
                <w:sz w:val="20"/>
              </w:rPr>
              <w:t>珠海黑石电气自动化科技有限公司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right w:val="single" w:color="auto" w:sz="4" w:space="0"/>
            </w:tcBorders>
            <w:vAlign w:val="center"/>
          </w:tcPr>
          <w:p>
            <w:pPr>
              <w:widowControl/>
              <w:jc w:val="left"/>
              <w:rPr>
                <w:rFonts w:ascii="等线" w:hAnsi="等线" w:eastAsia="等线" w:cs="宋体"/>
                <w:color w:val="auto"/>
                <w:sz w:val="20"/>
              </w:rPr>
            </w:pPr>
            <w:r>
              <w:rPr>
                <w:rFonts w:hint="eastAsia" w:ascii="等线" w:hAnsi="等线" w:eastAsia="等线" w:cs="宋体"/>
                <w:color w:val="auto"/>
                <w:sz w:val="20"/>
              </w:rPr>
              <w:t>3</w:t>
            </w:r>
            <w:r>
              <w:rPr>
                <w:rFonts w:ascii="等线" w:hAnsi="等线" w:eastAsia="等线" w:cs="宋体"/>
                <w:color w:val="auto"/>
                <w:sz w:val="20"/>
              </w:rPr>
              <w:t>1</w:t>
            </w:r>
          </w:p>
        </w:tc>
        <w:tc>
          <w:tcPr>
            <w:tcW w:w="1273" w:type="dxa"/>
            <w:vMerge w:val="restart"/>
            <w:tcBorders>
              <w:top w:val="nil"/>
              <w:left w:val="single" w:color="auto" w:sz="4" w:space="0"/>
              <w:right w:val="single" w:color="auto" w:sz="4" w:space="0"/>
            </w:tcBorders>
            <w:vAlign w:val="center"/>
          </w:tcPr>
          <w:p>
            <w:pPr>
              <w:widowControl/>
              <w:jc w:val="left"/>
              <w:rPr>
                <w:rFonts w:ascii="等线" w:hAnsi="等线" w:eastAsia="等线" w:cs="宋体"/>
                <w:color w:val="auto"/>
                <w:sz w:val="20"/>
              </w:rPr>
            </w:pPr>
            <w:r>
              <w:rPr>
                <w:rFonts w:hint="eastAsia" w:ascii="等线" w:hAnsi="等线" w:eastAsia="等线" w:cs="宋体"/>
                <w:color w:val="auto"/>
                <w:sz w:val="20"/>
              </w:rPr>
              <w:t>抑制柜/消弧柜、小电流选线、过电压保护器、绝缘监测装置</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参照或相当于蓝科</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安徽蓝科电力科技有限公司</w:t>
            </w:r>
          </w:p>
        </w:tc>
        <w:tc>
          <w:tcPr>
            <w:tcW w:w="32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满足设计图纸及相关规范要求</w:t>
            </w:r>
          </w:p>
        </w:tc>
        <w:tc>
          <w:tcPr>
            <w:tcW w:w="1290" w:type="dxa"/>
            <w:vMerge w:val="restart"/>
            <w:tcBorders>
              <w:top w:val="single" w:color="auto" w:sz="4" w:space="0"/>
              <w:left w:val="single" w:color="auto" w:sz="4" w:space="0"/>
              <w:bottom w:val="single" w:color="000000" w:sz="4" w:space="0"/>
              <w:right w:val="single" w:color="auto" w:sz="8" w:space="0"/>
            </w:tcBorders>
            <w:shd w:val="clear" w:color="auto" w:fill="auto"/>
            <w:vAlign w:val="center"/>
          </w:tcPr>
          <w:p>
            <w:pPr>
              <w:jc w:val="center"/>
              <w:rPr>
                <w:rFonts w:hint="eastAsia"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徽电科技</w:t>
            </w:r>
          </w:p>
        </w:tc>
        <w:tc>
          <w:tcPr>
            <w:tcW w:w="2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安徽徽电科技股份有限公司</w:t>
            </w:r>
          </w:p>
        </w:tc>
        <w:tc>
          <w:tcPr>
            <w:tcW w:w="3287" w:type="dxa"/>
            <w:vMerge w:val="continue"/>
            <w:tcBorders>
              <w:left w:val="single" w:color="auto"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参照或相当于沃华</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安徽沃华电力设备有限公司</w:t>
            </w:r>
          </w:p>
        </w:tc>
        <w:tc>
          <w:tcPr>
            <w:tcW w:w="3287" w:type="dxa"/>
            <w:vMerge w:val="continue"/>
            <w:tcBorders>
              <w:left w:val="single" w:color="auto"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参照或相当于志辰电气</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安徽志辰电气有限公司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right w:val="single" w:color="auto" w:sz="4" w:space="0"/>
            </w:tcBorders>
            <w:vAlign w:val="center"/>
          </w:tcPr>
          <w:p>
            <w:pPr>
              <w:widowControl/>
              <w:jc w:val="left"/>
              <w:rPr>
                <w:rFonts w:ascii="等线" w:hAnsi="等线" w:eastAsia="等线" w:cs="宋体"/>
                <w:color w:val="auto"/>
                <w:sz w:val="20"/>
              </w:rPr>
            </w:pPr>
            <w:r>
              <w:rPr>
                <w:rFonts w:ascii="等线" w:hAnsi="等线" w:eastAsia="等线" w:cs="宋体"/>
                <w:color w:val="auto"/>
                <w:sz w:val="20"/>
              </w:rPr>
              <w:t>32</w:t>
            </w:r>
          </w:p>
        </w:tc>
        <w:tc>
          <w:tcPr>
            <w:tcW w:w="1273" w:type="dxa"/>
            <w:vMerge w:val="restart"/>
            <w:tcBorders>
              <w:top w:val="nil"/>
              <w:left w:val="single" w:color="auto" w:sz="4" w:space="0"/>
              <w:right w:val="single" w:color="auto" w:sz="4" w:space="0"/>
            </w:tcBorders>
            <w:vAlign w:val="center"/>
          </w:tcPr>
          <w:p>
            <w:pPr>
              <w:widowControl/>
              <w:jc w:val="left"/>
              <w:rPr>
                <w:rFonts w:ascii="等线" w:hAnsi="等线" w:eastAsia="等线" w:cs="宋体"/>
                <w:color w:val="auto"/>
                <w:sz w:val="20"/>
              </w:rPr>
            </w:pPr>
            <w:r>
              <w:rPr>
                <w:rFonts w:hint="eastAsia" w:ascii="等线" w:hAnsi="等线" w:eastAsia="等线" w:cs="宋体"/>
                <w:color w:val="auto"/>
                <w:sz w:val="20"/>
              </w:rPr>
              <w:t>高、低压柜配电箱成套厂家</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参照或相当于明阳</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广东明阳电气股份有限公司</w:t>
            </w:r>
          </w:p>
        </w:tc>
        <w:tc>
          <w:tcPr>
            <w:tcW w:w="3287" w:type="dxa"/>
            <w:vMerge w:val="restart"/>
            <w:tcBorders>
              <w:top w:val="nil"/>
              <w:left w:val="single" w:color="auto" w:sz="4" w:space="0"/>
              <w:right w:val="single" w:color="auto" w:sz="4" w:space="0"/>
            </w:tcBorders>
            <w:vAlign w:val="center"/>
          </w:tcPr>
          <w:p>
            <w:pPr>
              <w:widowControl/>
              <w:jc w:val="left"/>
              <w:rPr>
                <w:rFonts w:ascii="等线" w:hAnsi="等线" w:eastAsia="等线" w:cs="宋体"/>
                <w:color w:val="auto"/>
                <w:sz w:val="20"/>
              </w:rPr>
            </w:pPr>
            <w:r>
              <w:rPr>
                <w:rFonts w:hint="eastAsia" w:ascii="等线" w:hAnsi="等线" w:eastAsia="等线" w:cs="宋体"/>
                <w:color w:val="auto"/>
                <w:sz w:val="20"/>
              </w:rPr>
              <w:t>开关柜型按KYN28A-12设计，20年免维护，柜体设计应严格满足DL／T404-2007或优于该标准的相关条款要求，柜体外壳及各功能单元的隔板均用厚度≥2mm铝锌复合钢板。过载能力，交流电流回路：2倍额定电压流连续工作，10倍额定电流允许10s，40倍额定电流允许1s，交流电压回路：1.2倍额定电压连续工作，直流电源回路：80%~110%额定电压连续工</w:t>
            </w:r>
          </w:p>
        </w:tc>
        <w:tc>
          <w:tcPr>
            <w:tcW w:w="1290" w:type="dxa"/>
            <w:vMerge w:val="restart"/>
            <w:tcBorders>
              <w:top w:val="nil"/>
              <w:left w:val="single" w:color="auto" w:sz="4" w:space="0"/>
              <w:right w:val="single" w:color="auto" w:sz="8" w:space="0"/>
            </w:tcBorders>
            <w:vAlign w:val="center"/>
          </w:tcPr>
          <w:p>
            <w:pPr>
              <w:widowControl/>
              <w:jc w:val="left"/>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大全</w:t>
            </w:r>
          </w:p>
        </w:tc>
        <w:tc>
          <w:tcPr>
            <w:tcW w:w="2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南京大全电气有限公司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山东泰开</w:t>
            </w:r>
          </w:p>
        </w:tc>
        <w:tc>
          <w:tcPr>
            <w:tcW w:w="2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山东泰开成套电器有限公司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广缆义明</w:t>
            </w:r>
          </w:p>
        </w:tc>
        <w:tc>
          <w:tcPr>
            <w:tcW w:w="2305"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广州广缆义明电气有限公司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auto"/>
                <w:kern w:val="0"/>
                <w:sz w:val="24"/>
                <w:szCs w:val="24"/>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无锡双欢</w:t>
            </w:r>
          </w:p>
        </w:tc>
        <w:tc>
          <w:tcPr>
            <w:tcW w:w="2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无锡双欢电气有限公司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s="宋体"/>
                <w:color w:val="auto"/>
                <w:sz w:val="20"/>
              </w:rPr>
              <w:t>参照或相当于</w:t>
            </w:r>
            <w:r>
              <w:rPr>
                <w:rFonts w:hint="eastAsia" w:ascii="华文仿宋" w:hAnsi="华文仿宋" w:eastAsia="华文仿宋"/>
                <w:color w:val="auto"/>
              </w:rPr>
              <w:t>亿能电气</w:t>
            </w:r>
          </w:p>
        </w:tc>
        <w:tc>
          <w:tcPr>
            <w:tcW w:w="2305"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olor w:val="auto"/>
              </w:rPr>
            </w:pPr>
            <w:r>
              <w:rPr>
                <w:rFonts w:hint="eastAsia" w:ascii="华文仿宋" w:hAnsi="华文仿宋" w:eastAsia="华文仿宋"/>
                <w:color w:val="auto"/>
              </w:rPr>
              <w:t>江苏亿能电气有限公司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参照或相当于白云电器</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广州白云电器设备股份有限公司</w:t>
            </w:r>
          </w:p>
        </w:tc>
        <w:tc>
          <w:tcPr>
            <w:tcW w:w="3287" w:type="dxa"/>
            <w:vMerge w:val="continue"/>
            <w:tcBorders>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424" w:hRule="atLeast"/>
        </w:trPr>
        <w:tc>
          <w:tcPr>
            <w:tcW w:w="427" w:type="dxa"/>
            <w:vMerge w:val="restart"/>
            <w:tcBorders>
              <w:top w:val="nil"/>
              <w:left w:val="single" w:color="auto" w:sz="8" w:space="0"/>
              <w:bottom w:val="nil"/>
              <w:right w:val="single" w:color="auto" w:sz="4" w:space="0"/>
            </w:tcBorders>
            <w:vAlign w:val="center"/>
          </w:tcPr>
          <w:p>
            <w:pPr>
              <w:widowControl/>
              <w:jc w:val="center"/>
              <w:rPr>
                <w:rFonts w:ascii="等线" w:hAnsi="等线" w:eastAsia="等线" w:cs="宋体"/>
                <w:color w:val="auto"/>
                <w:sz w:val="20"/>
              </w:rPr>
            </w:pPr>
            <w:r>
              <w:rPr>
                <w:rFonts w:ascii="等线" w:hAnsi="等线" w:eastAsia="等线" w:cs="宋体"/>
                <w:color w:val="auto"/>
                <w:sz w:val="20"/>
              </w:rPr>
              <w:t>33</w:t>
            </w:r>
          </w:p>
        </w:tc>
        <w:tc>
          <w:tcPr>
            <w:tcW w:w="1273" w:type="dxa"/>
            <w:vMerge w:val="restart"/>
            <w:tcBorders>
              <w:top w:val="nil"/>
              <w:left w:val="single" w:color="auto" w:sz="4" w:space="0"/>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密集母线</w:t>
            </w:r>
          </w:p>
        </w:tc>
        <w:tc>
          <w:tcPr>
            <w:tcW w:w="1288" w:type="dxa"/>
            <w:tcBorders>
              <w:top w:val="nil"/>
              <w:left w:val="nil"/>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参照或相当于向荣</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向荣集团有限公司</w:t>
            </w:r>
          </w:p>
        </w:tc>
        <w:tc>
          <w:tcPr>
            <w:tcW w:w="3287" w:type="dxa"/>
            <w:vMerge w:val="restart"/>
            <w:tcBorders>
              <w:top w:val="nil"/>
              <w:left w:val="single" w:color="auto" w:sz="4" w:space="0"/>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 xml:space="preserve"> 母线槽A、B、C、N四相导体采用T2电解铜轧制的高导电率TMY 电工硬铜排，硬度HB≥65，N线、PE线的材料及制造工艺与相线相同，铜的纯度须达到99.95%以上，导电率达到97.5%以上(需提供相关检测报告)  ，铜排搭接处表面要求镀银处理 。 </w:t>
            </w:r>
          </w:p>
        </w:tc>
        <w:tc>
          <w:tcPr>
            <w:tcW w:w="1290" w:type="dxa"/>
            <w:vMerge w:val="restart"/>
            <w:tcBorders>
              <w:top w:val="nil"/>
              <w:left w:val="single" w:color="auto" w:sz="4" w:space="0"/>
              <w:bottom w:val="nil"/>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参照或相当于双菱</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广州电缆厂有限公司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参照或相当于威腾</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威腾电气集团有限公司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参照或相当于伊顿</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伊顿母线（江苏）有限公司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参照或相当于槽公</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广东思科通用电力科技有限公司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nil"/>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single" w:color="auto" w:sz="4" w:space="0"/>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3</w:t>
            </w:r>
            <w:r>
              <w:rPr>
                <w:rFonts w:ascii="等线" w:hAnsi="等线" w:eastAsia="等线" w:cs="宋体"/>
                <w:color w:val="auto"/>
                <w:sz w:val="20"/>
              </w:rPr>
              <w:t>4</w:t>
            </w:r>
          </w:p>
        </w:tc>
        <w:tc>
          <w:tcPr>
            <w:tcW w:w="127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变压器</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参照或相当于西门子</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西门子变压器有限公司</w:t>
            </w:r>
          </w:p>
        </w:tc>
        <w:tc>
          <w:tcPr>
            <w:tcW w:w="328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绝缘水平：工频耐压 50KV(高压)/3kV（低压），冲击耐压125kV 。接线组别：D，Yn-11。防护等级:IP40 。绝缘等级：F级。  正常使用寿命:达到30年及以上 。过载能力：具备过载≤120%长期运行 。最高温升：100k。 冷却方式：ANAF 。变压器材质：全铜、铜的纯度须达到99.95%以上</w:t>
            </w:r>
          </w:p>
        </w:tc>
        <w:tc>
          <w:tcPr>
            <w:tcW w:w="1290" w:type="dxa"/>
            <w:vMerge w:val="restart"/>
            <w:tcBorders>
              <w:top w:val="single" w:color="auto" w:sz="4" w:space="0"/>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参照或相当于天津特变</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天津市特变电工变压器有限公司</w:t>
            </w:r>
          </w:p>
        </w:tc>
        <w:tc>
          <w:tcPr>
            <w:tcW w:w="32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参照或相当于顺特</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顺特电气设备有限公司</w:t>
            </w:r>
          </w:p>
        </w:tc>
        <w:tc>
          <w:tcPr>
            <w:tcW w:w="32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参照或相当于江苏亚威</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江苏亚威变压器有限公司</w:t>
            </w:r>
          </w:p>
        </w:tc>
        <w:tc>
          <w:tcPr>
            <w:tcW w:w="32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参照或相当于江苏瑞恩</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江苏瑞恩电气股份有限公司</w:t>
            </w:r>
          </w:p>
        </w:tc>
        <w:tc>
          <w:tcPr>
            <w:tcW w:w="32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restart"/>
            <w:tcBorders>
              <w:top w:val="nil"/>
              <w:left w:val="single" w:color="auto" w:sz="8" w:space="0"/>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3</w:t>
            </w:r>
            <w:r>
              <w:rPr>
                <w:rFonts w:ascii="等线" w:hAnsi="等线" w:eastAsia="等线" w:cs="宋体"/>
                <w:color w:val="auto"/>
                <w:sz w:val="20"/>
              </w:rPr>
              <w:t>5</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冷却水塔</w:t>
            </w: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参照或相当于金日</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color w:val="auto"/>
              </w:rPr>
              <w:fldChar w:fldCharType="begin"/>
            </w:r>
            <w:r>
              <w:rPr>
                <w:color w:val="auto"/>
              </w:rPr>
              <w:instrText xml:space="preserve"> HYPERLINK "https://www.tianyancha.com/company/1051669699" </w:instrText>
            </w:r>
            <w:r>
              <w:rPr>
                <w:color w:val="auto"/>
              </w:rPr>
              <w:fldChar w:fldCharType="separate"/>
            </w:r>
            <w:r>
              <w:rPr>
                <w:rFonts w:hint="eastAsia" w:ascii="华文仿宋" w:hAnsi="华文仿宋" w:eastAsia="华文仿宋" w:cs="宋体"/>
                <w:color w:val="auto"/>
                <w:sz w:val="20"/>
              </w:rPr>
              <w:t>上海金日冷却设备有限公司</w:t>
            </w:r>
            <w:r>
              <w:rPr>
                <w:rFonts w:hint="eastAsia" w:ascii="华文仿宋" w:hAnsi="华文仿宋" w:eastAsia="华文仿宋" w:cs="宋体"/>
                <w:color w:val="auto"/>
                <w:sz w:val="20"/>
              </w:rPr>
              <w:fldChar w:fldCharType="end"/>
            </w:r>
          </w:p>
        </w:tc>
        <w:tc>
          <w:tcPr>
            <w:tcW w:w="3287" w:type="dxa"/>
            <w:vMerge w:val="restart"/>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1、蒸发损失≤0.83%。2、飘水损失≤0.0015%。3、标准测点Dm处噪音≤63dB（A）。4、播水方式冷却塔喷头布水。5、风机传动类型：齿轮传动。6、其余项目满足设计图纸及相关规范要求</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参照或相当于台佳</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台佳空调系统（江苏）有限公司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参照或相当于良机</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color w:val="auto"/>
              </w:rPr>
              <w:fldChar w:fldCharType="begin"/>
            </w:r>
            <w:r>
              <w:rPr>
                <w:color w:val="auto"/>
              </w:rPr>
              <w:instrText xml:space="preserve"> HYPERLINK "https://www.tianyancha.com/company/686520842" </w:instrText>
            </w:r>
            <w:r>
              <w:rPr>
                <w:color w:val="auto"/>
              </w:rPr>
              <w:fldChar w:fldCharType="separate"/>
            </w:r>
            <w:r>
              <w:rPr>
                <w:rFonts w:hint="eastAsia" w:ascii="华文仿宋" w:hAnsi="华文仿宋" w:eastAsia="华文仿宋" w:cs="宋体"/>
                <w:color w:val="auto"/>
                <w:sz w:val="20"/>
              </w:rPr>
              <w:t>上海良机冷却设备有限公司</w:t>
            </w:r>
            <w:r>
              <w:rPr>
                <w:rFonts w:hint="eastAsia" w:ascii="华文仿宋" w:hAnsi="华文仿宋" w:eastAsia="华文仿宋" w:cs="宋体"/>
                <w:color w:val="auto"/>
                <w:sz w:val="20"/>
              </w:rPr>
              <w:fldChar w:fldCharType="end"/>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参照或相当于海冷</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浙江海冷冷却科技有限公司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参照或相当于宏明</w:t>
            </w:r>
          </w:p>
        </w:tc>
        <w:tc>
          <w:tcPr>
            <w:tcW w:w="2305" w:type="dxa"/>
            <w:tcBorders>
              <w:top w:val="nil"/>
              <w:left w:val="nil"/>
              <w:bottom w:val="single" w:color="auto" w:sz="4" w:space="0"/>
              <w:right w:val="single" w:color="auto" w:sz="4" w:space="0"/>
            </w:tcBorders>
            <w:vAlign w:val="center"/>
          </w:tcPr>
          <w:p>
            <w:pPr>
              <w:widowControl/>
              <w:jc w:val="center"/>
              <w:rPr>
                <w:rFonts w:ascii="华文仿宋" w:hAnsi="华文仿宋" w:eastAsia="华文仿宋" w:cs="宋体"/>
                <w:color w:val="auto"/>
                <w:sz w:val="20"/>
              </w:rPr>
            </w:pPr>
            <w:r>
              <w:rPr>
                <w:rFonts w:hint="eastAsia" w:ascii="华文仿宋" w:hAnsi="华文仿宋" w:eastAsia="华文仿宋" w:cs="宋体"/>
                <w:color w:val="auto"/>
                <w:sz w:val="20"/>
              </w:rPr>
              <w:t>山西宏明空调科技有限公司</w:t>
            </w: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9870" w:type="dxa"/>
            <w:gridSpan w:val="6"/>
            <w:tcBorders>
              <w:top w:val="single" w:color="auto" w:sz="4" w:space="0"/>
              <w:left w:val="single" w:color="auto" w:sz="8" w:space="0"/>
              <w:bottom w:val="single" w:color="auto" w:sz="4" w:space="0"/>
              <w:right w:val="single" w:color="000000" w:sz="8" w:space="0"/>
            </w:tcBorders>
            <w:vAlign w:val="bottom"/>
          </w:tcPr>
          <w:p>
            <w:pPr>
              <w:widowControl/>
              <w:jc w:val="left"/>
              <w:rPr>
                <w:rFonts w:ascii="等线" w:hAnsi="等线" w:eastAsia="等线" w:cs="宋体"/>
                <w:b/>
                <w:bCs/>
                <w:color w:val="auto"/>
                <w:sz w:val="20"/>
              </w:rPr>
            </w:pPr>
            <w:r>
              <w:rPr>
                <w:rFonts w:hint="eastAsia" w:ascii="等线" w:hAnsi="等线" w:eastAsia="等线" w:cs="宋体"/>
                <w:b/>
                <w:bCs/>
                <w:color w:val="auto"/>
                <w:sz w:val="20"/>
              </w:rPr>
              <w:t>动力设备部分</w:t>
            </w:r>
          </w:p>
        </w:tc>
      </w:tr>
      <w:tr>
        <w:tblPrEx>
          <w:tblCellMar>
            <w:top w:w="0" w:type="dxa"/>
            <w:left w:w="108" w:type="dxa"/>
            <w:bottom w:w="0" w:type="dxa"/>
            <w:right w:w="108" w:type="dxa"/>
          </w:tblCellMar>
        </w:tblPrEx>
        <w:trPr>
          <w:trHeight w:val="40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冷水机</w:t>
            </w: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参照或相当于日立</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江森自控日立万宝空调（广州）有限公司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1、变频离心机IPLV（GB/T18430.1）≥8.1，定频离心机国标工况COP≥6.3，满足国家标准一级能效及以上。2、启动方式：软启动。</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等线" w:hAnsi="等线" w:eastAsia="等线" w:cs="宋体"/>
                <w:b/>
                <w:bCs/>
                <w:color w:val="auto"/>
                <w:sz w:val="20"/>
              </w:rPr>
            </w:pPr>
          </w:p>
        </w:tc>
      </w:tr>
      <w:tr>
        <w:tblPrEx>
          <w:tblCellMar>
            <w:top w:w="0" w:type="dxa"/>
            <w:left w:w="108" w:type="dxa"/>
            <w:bottom w:w="0" w:type="dxa"/>
            <w:right w:w="108" w:type="dxa"/>
          </w:tblCellMar>
        </w:tblPrEx>
        <w:trPr>
          <w:trHeight w:val="4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bottom"/>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参照或相当于约克</w:t>
            </w:r>
          </w:p>
        </w:tc>
        <w:tc>
          <w:tcPr>
            <w:tcW w:w="2305" w:type="dxa"/>
            <w:tcBorders>
              <w:top w:val="nil"/>
              <w:left w:val="nil"/>
              <w:bottom w:val="single" w:color="auto" w:sz="4" w:space="0"/>
              <w:right w:val="single" w:color="auto" w:sz="4" w:space="0"/>
            </w:tcBorders>
            <w:vAlign w:val="bottom"/>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约克（中国）商贸有限公司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等线" w:hAnsi="等线" w:eastAsia="等线" w:cs="宋体"/>
                <w:b/>
                <w:bCs/>
                <w:color w:val="auto"/>
                <w:sz w:val="20"/>
              </w:rPr>
            </w:pPr>
          </w:p>
        </w:tc>
      </w:tr>
      <w:tr>
        <w:tblPrEx>
          <w:tblCellMar>
            <w:top w:w="0" w:type="dxa"/>
            <w:left w:w="108" w:type="dxa"/>
            <w:bottom w:w="0" w:type="dxa"/>
            <w:right w:w="108" w:type="dxa"/>
          </w:tblCellMar>
        </w:tblPrEx>
        <w:trPr>
          <w:trHeight w:val="4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bottom"/>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参照或相当于特灵</w:t>
            </w:r>
          </w:p>
        </w:tc>
        <w:tc>
          <w:tcPr>
            <w:tcW w:w="2305" w:type="dxa"/>
            <w:tcBorders>
              <w:top w:val="nil"/>
              <w:left w:val="nil"/>
              <w:bottom w:val="single" w:color="auto" w:sz="4" w:space="0"/>
              <w:right w:val="single" w:color="auto" w:sz="4" w:space="0"/>
            </w:tcBorders>
            <w:vAlign w:val="bottom"/>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特灵空调系统（中国）有限公司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等线" w:hAnsi="等线" w:eastAsia="等线" w:cs="宋体"/>
                <w:b/>
                <w:bCs/>
                <w:color w:val="auto"/>
                <w:sz w:val="20"/>
              </w:rPr>
            </w:pPr>
          </w:p>
        </w:tc>
      </w:tr>
      <w:tr>
        <w:tblPrEx>
          <w:tblCellMar>
            <w:top w:w="0" w:type="dxa"/>
            <w:left w:w="108" w:type="dxa"/>
            <w:bottom w:w="0" w:type="dxa"/>
            <w:right w:w="108" w:type="dxa"/>
          </w:tblCellMar>
        </w:tblPrEx>
        <w:trPr>
          <w:trHeight w:val="68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2</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螺杆空压机</w:t>
            </w: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参照或相当于阿特拉斯</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阿特拉斯·科普柯上海贸易有限公司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1、电机品牌：ABB/西门子/空压机同品牌。2、变频器：ABB/西门子/施耐德。3、满足国家标准一级能效及以上。4、冷却方式：水冷。</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等线" w:hAnsi="等线" w:eastAsia="等线" w:cs="宋体"/>
                <w:color w:val="auto"/>
                <w:sz w:val="20"/>
              </w:rPr>
            </w:pPr>
          </w:p>
        </w:tc>
      </w:tr>
      <w:tr>
        <w:tblPrEx>
          <w:tblCellMar>
            <w:top w:w="0" w:type="dxa"/>
            <w:left w:w="108" w:type="dxa"/>
            <w:bottom w:w="0" w:type="dxa"/>
            <w:right w:w="108" w:type="dxa"/>
          </w:tblCellMar>
        </w:tblPrEx>
        <w:trPr>
          <w:trHeight w:val="4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参照或相当于英格索兰</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上海英格索兰压缩机有限公司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4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参照或相当于寿力</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日立压缩机（苏州）有限公司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64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3</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螺杆空压机</w:t>
            </w: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参照或相当于阿特拉斯</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阿特拉斯·科普柯上海贸易有限公司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1、电机品牌：ABB/西门子/空压机同品牌。2、高压启动柜高压真空断路器品牌：ABB/西门子/施耐德；3、满足国家标准一级能效及以上。4、冷却方式：水冷。</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ascii="等线" w:hAnsi="等线" w:eastAsia="等线" w:cs="宋体"/>
                <w:color w:val="auto"/>
                <w:sz w:val="20"/>
              </w:rPr>
            </w:pPr>
          </w:p>
        </w:tc>
      </w:tr>
      <w:tr>
        <w:tblPrEx>
          <w:tblCellMar>
            <w:top w:w="0" w:type="dxa"/>
            <w:left w:w="108" w:type="dxa"/>
            <w:bottom w:w="0" w:type="dxa"/>
            <w:right w:w="108" w:type="dxa"/>
          </w:tblCellMar>
        </w:tblPrEx>
        <w:trPr>
          <w:trHeight w:val="4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参照或相当于英格索兰</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上海英格索兰压缩机有限公司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77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参照或相当于寿力</w:t>
            </w:r>
          </w:p>
        </w:tc>
        <w:tc>
          <w:tcPr>
            <w:tcW w:w="2305"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color w:val="auto"/>
                <w:sz w:val="20"/>
              </w:rPr>
            </w:pPr>
            <w:r>
              <w:rPr>
                <w:rFonts w:hint="eastAsia" w:ascii="华文仿宋" w:hAnsi="华文仿宋" w:eastAsia="华文仿宋" w:cs="宋体"/>
                <w:color w:val="auto"/>
                <w:sz w:val="20"/>
              </w:rPr>
              <w:t>IHI寿力压缩技术（苏州）有限公司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0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4</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宋体" w:hAnsi="宋体" w:cs="宋体"/>
                <w:color w:val="auto"/>
                <w:sz w:val="20"/>
              </w:rPr>
              <w:t>压缩热再生干燥机</w:t>
            </w:r>
          </w:p>
        </w:tc>
        <w:tc>
          <w:tcPr>
            <w:tcW w:w="128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汉克森</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SPX空气处理设备（上海）有限公司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成品常压露点≤-60℃。2、自耗气量为≤3%。3、流量：适配离心机。4、压缩热再生干燥机匹配离心机空压机。5、吸咐剂：品牌/巴斯夫/环球UOP/美国铝业，粒径φ3—φ5mm，干燥剂寿命为5年及以上。6、自带在线露点检测装置，露点探头品牌瑞典VAISALA。</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宋体" w:hAnsi="宋体" w:eastAsia="宋体" w:cs="宋体"/>
                <w:color w:val="auto"/>
                <w:sz w:val="20"/>
                <w:lang w:eastAsia="zh-CN"/>
              </w:rPr>
            </w:pPr>
            <w:r>
              <w:rPr>
                <w:rFonts w:hint="eastAsia" w:ascii="等线" w:hAnsi="等线" w:eastAsia="等线" w:cs="宋体"/>
                <w:color w:val="auto"/>
                <w:sz w:val="20"/>
              </w:rPr>
              <w:t>或同档次产品</w:t>
            </w:r>
            <w:r>
              <w:rPr>
                <w:rFonts w:hint="eastAsia" w:ascii="宋体" w:hAnsi="宋体" w:cs="宋体"/>
                <w:color w:val="auto"/>
                <w:sz w:val="20"/>
                <w:lang w:eastAsia="zh-CN"/>
              </w:rPr>
              <w:t>，</w:t>
            </w:r>
            <w:r>
              <w:rPr>
                <w:rFonts w:hint="eastAsia" w:ascii="等线" w:hAnsi="等线" w:eastAsia="等线" w:cs="宋体"/>
                <w:color w:val="auto"/>
                <w:sz w:val="20"/>
              </w:rPr>
              <w:t>报甲方同意</w:t>
            </w:r>
          </w:p>
        </w:tc>
      </w:tr>
      <w:tr>
        <w:tblPrEx>
          <w:tblCellMar>
            <w:top w:w="0" w:type="dxa"/>
            <w:left w:w="108" w:type="dxa"/>
            <w:bottom w:w="0" w:type="dxa"/>
            <w:right w:w="108" w:type="dxa"/>
          </w:tblCellMar>
        </w:tblPrEx>
        <w:trPr>
          <w:trHeight w:val="5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多米尼克</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英国多米尼克</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auto"/>
                <w:sz w:val="20"/>
              </w:rPr>
            </w:pPr>
          </w:p>
        </w:tc>
      </w:tr>
      <w:tr>
        <w:tblPrEx>
          <w:tblCellMar>
            <w:top w:w="0" w:type="dxa"/>
            <w:left w:w="108" w:type="dxa"/>
            <w:bottom w:w="0" w:type="dxa"/>
            <w:right w:w="108" w:type="dxa"/>
          </w:tblCellMar>
        </w:tblPrEx>
        <w:trPr>
          <w:trHeight w:val="5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贝克欧</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德国贝克欧</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auto"/>
                <w:sz w:val="20"/>
              </w:rPr>
            </w:pPr>
          </w:p>
        </w:tc>
      </w:tr>
      <w:tr>
        <w:tblPrEx>
          <w:tblCellMar>
            <w:top w:w="0" w:type="dxa"/>
            <w:left w:w="108" w:type="dxa"/>
            <w:bottom w:w="0" w:type="dxa"/>
            <w:right w:w="108" w:type="dxa"/>
          </w:tblCellMar>
        </w:tblPrEx>
        <w:trPr>
          <w:trHeight w:val="60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5</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鼓风热再生吸附式干燥机</w:t>
            </w:r>
          </w:p>
        </w:tc>
        <w:tc>
          <w:tcPr>
            <w:tcW w:w="128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汉克森</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SPX空气处理设备（上海）有限公司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成品常压露点≤-60℃。2、自耗气量为≤3%。3、流量：Q≥匹配对应螺杆空压机产气量1.3倍。4、鼓风热再生吸附式干燥机匹配螺杆空压机。5、吸咐剂：品牌/巴斯夫/环球UOP/美国铝业，粒径φ3—φ5mm，干燥剂寿命为5年及以上。6、自带在线露点检测装置，露点探头品牌瑞典VAISALA。</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宋体" w:hAnsi="宋体" w:eastAsia="宋体" w:cs="宋体"/>
                <w:color w:val="auto"/>
                <w:sz w:val="20"/>
                <w:lang w:eastAsia="zh-CN"/>
              </w:rPr>
            </w:pPr>
            <w:r>
              <w:rPr>
                <w:rFonts w:hint="eastAsia" w:ascii="等线" w:hAnsi="等线" w:eastAsia="等线" w:cs="宋体"/>
                <w:color w:val="auto"/>
                <w:sz w:val="20"/>
              </w:rPr>
              <w:t>或同档次产品</w:t>
            </w:r>
            <w:r>
              <w:rPr>
                <w:rFonts w:hint="eastAsia" w:ascii="宋体" w:hAnsi="宋体" w:cs="宋体"/>
                <w:color w:val="auto"/>
                <w:sz w:val="20"/>
                <w:lang w:eastAsia="zh-CN"/>
              </w:rPr>
              <w:t>，</w:t>
            </w:r>
            <w:r>
              <w:rPr>
                <w:rFonts w:hint="eastAsia" w:ascii="等线" w:hAnsi="等线" w:eastAsia="等线" w:cs="宋体"/>
                <w:color w:val="auto"/>
                <w:sz w:val="20"/>
              </w:rPr>
              <w:t>报甲方同意</w:t>
            </w: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多米尼克</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英国多米尼克</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贝克欧</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德国贝克欧</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auto"/>
                <w:sz w:val="20"/>
              </w:rPr>
            </w:pPr>
          </w:p>
        </w:tc>
      </w:tr>
      <w:tr>
        <w:tblPrEx>
          <w:tblCellMar>
            <w:top w:w="0" w:type="dxa"/>
            <w:left w:w="108" w:type="dxa"/>
            <w:bottom w:w="0" w:type="dxa"/>
            <w:right w:w="108" w:type="dxa"/>
          </w:tblCellMar>
        </w:tblPrEx>
        <w:trPr>
          <w:trHeight w:val="77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6</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0"/>
              </w:rPr>
            </w:pPr>
            <w:r>
              <w:rPr>
                <w:rFonts w:hint="eastAsia" w:ascii="宋体" w:hAnsi="宋体" w:cs="宋体"/>
                <w:color w:val="auto"/>
                <w:sz w:val="20"/>
              </w:rPr>
              <w:t>压缩空气除尘过滤器</w:t>
            </w:r>
          </w:p>
        </w:tc>
        <w:tc>
          <w:tcPr>
            <w:tcW w:w="128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汉克森</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SPX空气处理设备（上海）有限公司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1、材质：SS304。2、处理量：≥匹配对应空压机产气量1.3倍。3、自带压差计、自动排水阀。</w:t>
            </w:r>
          </w:p>
        </w:tc>
        <w:tc>
          <w:tcPr>
            <w:tcW w:w="1290"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宋体" w:hAnsi="宋体" w:eastAsia="宋体" w:cs="宋体"/>
                <w:color w:val="auto"/>
                <w:sz w:val="20"/>
                <w:lang w:eastAsia="zh-CN"/>
              </w:rPr>
            </w:pPr>
            <w:r>
              <w:rPr>
                <w:rFonts w:hint="eastAsia" w:ascii="等线" w:hAnsi="等线" w:eastAsia="等线" w:cs="宋体"/>
                <w:color w:val="auto"/>
                <w:sz w:val="20"/>
              </w:rPr>
              <w:t>或同档次产品</w:t>
            </w:r>
            <w:r>
              <w:rPr>
                <w:rFonts w:hint="eastAsia" w:ascii="宋体" w:hAnsi="宋体" w:cs="宋体"/>
                <w:color w:val="auto"/>
                <w:sz w:val="20"/>
                <w:lang w:eastAsia="zh-CN"/>
              </w:rPr>
              <w:t>，</w:t>
            </w:r>
            <w:r>
              <w:rPr>
                <w:rFonts w:hint="eastAsia" w:ascii="等线" w:hAnsi="等线" w:eastAsia="等线" w:cs="宋体"/>
                <w:color w:val="auto"/>
                <w:sz w:val="20"/>
              </w:rPr>
              <w:t>报甲方同意</w:t>
            </w:r>
          </w:p>
        </w:tc>
      </w:tr>
      <w:tr>
        <w:tblPrEx>
          <w:tblCellMar>
            <w:top w:w="0" w:type="dxa"/>
            <w:left w:w="108" w:type="dxa"/>
            <w:bottom w:w="0" w:type="dxa"/>
            <w:right w:w="108" w:type="dxa"/>
          </w:tblCellMar>
        </w:tblPrEx>
        <w:trPr>
          <w:trHeight w:val="4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多米尼克</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英国多米尼克</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auto"/>
                <w:sz w:val="20"/>
              </w:rPr>
            </w:pPr>
          </w:p>
        </w:tc>
      </w:tr>
      <w:tr>
        <w:tblPrEx>
          <w:tblCellMar>
            <w:top w:w="0" w:type="dxa"/>
            <w:left w:w="108" w:type="dxa"/>
            <w:bottom w:w="0" w:type="dxa"/>
            <w:right w:w="108" w:type="dxa"/>
          </w:tblCellMar>
        </w:tblPrEx>
        <w:trPr>
          <w:trHeight w:val="4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贝克欧</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德国贝克欧</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s="宋体"/>
                <w:color w:val="auto"/>
                <w:sz w:val="20"/>
              </w:rPr>
            </w:pPr>
          </w:p>
        </w:tc>
      </w:tr>
      <w:tr>
        <w:tblPrEx>
          <w:tblCellMar>
            <w:top w:w="0" w:type="dxa"/>
            <w:left w:w="108" w:type="dxa"/>
            <w:bottom w:w="0" w:type="dxa"/>
            <w:right w:w="108" w:type="dxa"/>
          </w:tblCellMar>
        </w:tblPrEx>
        <w:trPr>
          <w:trHeight w:val="40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7</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压缩空气储气罐（含底座）</w:t>
            </w:r>
          </w:p>
        </w:tc>
        <w:tc>
          <w:tcPr>
            <w:tcW w:w="1288"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申牌</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上海申江压力容器有限公司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1、材质：SS304。2、自带压力表、安全阀、自动排水阀。</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4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nil"/>
              <w:right w:val="nil"/>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申江牌</w:t>
            </w:r>
          </w:p>
        </w:tc>
        <w:tc>
          <w:tcPr>
            <w:tcW w:w="2305" w:type="dxa"/>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上海市奉贤设备容器厂有限公司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4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青岛海空</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青岛海空压力容器有限公司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60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8</w:t>
            </w:r>
          </w:p>
        </w:tc>
        <w:tc>
          <w:tcPr>
            <w:tcW w:w="1273"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制氮机</w:t>
            </w:r>
          </w:p>
        </w:tc>
        <w:tc>
          <w:tcPr>
            <w:tcW w:w="1288"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杭州博大</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杭州博大净化设备有限公司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制氮机主机材质：碳钢。2、氮气常压露点：≤-60℃。3、氮气纯度：≥99.99%。4、氮气含油量：0。5、氮气含尘量：≤0.01μm。6、空氮比：≤5：1。6、碳分子筛寿命达到6-8年，提供不低于六年的质量承诺书。7、自带氮气分析仪品牌：上海昶艾/美国ADV或同档次品牌。8、电气元器件：ABB/西门子/施耐德。9、气缸/气动电磁阀/气管接头：SMC/CKD/FESTO。</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杭州天利</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杭州天利空分设备制造有限公司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杭州天跃</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杭州天跃全套设备制造有限公司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6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浙江正大</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浙江正大空分设备有限公司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400" w:hRule="atLeast"/>
        </w:trPr>
        <w:tc>
          <w:tcPr>
            <w:tcW w:w="427" w:type="dxa"/>
            <w:vMerge w:val="restart"/>
            <w:tcBorders>
              <w:top w:val="nil"/>
              <w:left w:val="single" w:color="auto" w:sz="8"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9</w:t>
            </w:r>
          </w:p>
        </w:tc>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氮气储气罐（含底座）</w:t>
            </w:r>
          </w:p>
        </w:tc>
        <w:tc>
          <w:tcPr>
            <w:tcW w:w="1288"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申牌</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上海申江压力容器有限公司</w:t>
            </w:r>
          </w:p>
        </w:tc>
        <w:tc>
          <w:tcPr>
            <w:tcW w:w="3287" w:type="dxa"/>
            <w:vMerge w:val="restart"/>
            <w:tcBorders>
              <w:top w:val="nil"/>
              <w:left w:val="single" w:color="auto" w:sz="4" w:space="0"/>
              <w:bottom w:val="single" w:color="000000"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1、材质：SS304。2、自带压力表、安全阀。。</w:t>
            </w:r>
          </w:p>
        </w:tc>
        <w:tc>
          <w:tcPr>
            <w:tcW w:w="1290" w:type="dxa"/>
            <w:vMerge w:val="restart"/>
            <w:tcBorders>
              <w:top w:val="nil"/>
              <w:left w:val="single" w:color="auto" w:sz="4" w:space="0"/>
              <w:bottom w:val="single" w:color="000000" w:sz="4" w:space="0"/>
              <w:right w:val="single" w:color="auto" w:sz="8"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或同档次产品，报甲方同意。</w:t>
            </w:r>
          </w:p>
        </w:tc>
      </w:tr>
      <w:tr>
        <w:tblPrEx>
          <w:tblCellMar>
            <w:top w:w="0" w:type="dxa"/>
            <w:left w:w="108" w:type="dxa"/>
            <w:bottom w:w="0" w:type="dxa"/>
            <w:right w:w="108" w:type="dxa"/>
          </w:tblCellMar>
        </w:tblPrEx>
        <w:trPr>
          <w:trHeight w:val="40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nil"/>
              <w:right w:val="nil"/>
            </w:tcBorders>
            <w:vAlign w:val="center"/>
          </w:tcPr>
          <w:p>
            <w:pPr>
              <w:widowControl/>
              <w:jc w:val="center"/>
              <w:rPr>
                <w:rFonts w:ascii="宋体" w:hAnsi="宋体" w:cs="宋体"/>
                <w:color w:val="auto"/>
                <w:sz w:val="20"/>
              </w:rPr>
            </w:pPr>
            <w:r>
              <w:rPr>
                <w:rFonts w:hint="eastAsia" w:ascii="华文仿宋" w:hAnsi="华文仿宋" w:eastAsia="华文仿宋" w:cs="宋体"/>
                <w:color w:val="auto"/>
                <w:sz w:val="20"/>
              </w:rPr>
              <w:t>参照或相当于</w:t>
            </w:r>
            <w:r>
              <w:rPr>
                <w:rFonts w:hint="eastAsia" w:ascii="宋体" w:hAnsi="宋体" w:cs="宋体"/>
                <w:color w:val="auto"/>
                <w:sz w:val="20"/>
              </w:rPr>
              <w:t>申江牌</w:t>
            </w:r>
          </w:p>
        </w:tc>
        <w:tc>
          <w:tcPr>
            <w:tcW w:w="2305" w:type="dxa"/>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上海市奉贤设备容器厂有限公司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280" w:hRule="atLeast"/>
        </w:trPr>
        <w:tc>
          <w:tcPr>
            <w:tcW w:w="427" w:type="dxa"/>
            <w:vMerge w:val="continue"/>
            <w:tcBorders>
              <w:top w:val="nil"/>
              <w:left w:val="single" w:color="auto" w:sz="8"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auto"/>
                <w:sz w:val="20"/>
              </w:rPr>
            </w:pPr>
          </w:p>
        </w:tc>
        <w:tc>
          <w:tcPr>
            <w:tcW w:w="1288"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青岛海空</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青岛海空压力容器有限公司</w:t>
            </w: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00" w:hRule="atLeast"/>
        </w:trPr>
        <w:tc>
          <w:tcPr>
            <w:tcW w:w="427" w:type="dxa"/>
            <w:vMerge w:val="restart"/>
            <w:tcBorders>
              <w:top w:val="nil"/>
              <w:left w:val="single" w:color="auto" w:sz="8" w:space="0"/>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10</w:t>
            </w:r>
          </w:p>
        </w:tc>
        <w:tc>
          <w:tcPr>
            <w:tcW w:w="1273" w:type="dxa"/>
            <w:vMerge w:val="restart"/>
            <w:tcBorders>
              <w:top w:val="nil"/>
              <w:left w:val="single" w:color="auto" w:sz="4" w:space="0"/>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水蓄冷水系统</w:t>
            </w:r>
          </w:p>
        </w:tc>
        <w:tc>
          <w:tcPr>
            <w:tcW w:w="1288"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日立</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江森自控日立万宝空调（广州）有限公司</w:t>
            </w:r>
          </w:p>
        </w:tc>
        <w:tc>
          <w:tcPr>
            <w:tcW w:w="3287" w:type="dxa"/>
            <w:vMerge w:val="restart"/>
            <w:tcBorders>
              <w:top w:val="nil"/>
              <w:left w:val="single" w:color="auto" w:sz="4" w:space="0"/>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罐体保温标准24小时温升(℃)≤0.2℃。2、蓄放冷效率＞90%。3、布水器及罐内水流阻力≤4m。4、布水器类型：环状（八角型）均压布水器。5、布水器材质：SS304。6、24小时冷损失率≤2%。6、温度测点/温度传感器：每隔500mm设置一个测温点。</w:t>
            </w:r>
          </w:p>
        </w:tc>
        <w:tc>
          <w:tcPr>
            <w:tcW w:w="1290" w:type="dxa"/>
            <w:vMerge w:val="restart"/>
            <w:tcBorders>
              <w:top w:val="nil"/>
              <w:left w:val="single" w:color="auto" w:sz="4" w:space="0"/>
              <w:bottom w:val="single" w:color="000000" w:sz="4" w:space="0"/>
              <w:right w:val="single" w:color="auto" w:sz="8" w:space="0"/>
            </w:tcBorders>
            <w:vAlign w:val="bottom"/>
          </w:tcPr>
          <w:p>
            <w:pPr>
              <w:widowControl/>
              <w:jc w:val="center"/>
              <w:rPr>
                <w:rFonts w:ascii="等线" w:hAnsi="等线" w:eastAsia="等线" w:cs="宋体"/>
                <w:color w:val="auto"/>
                <w:sz w:val="20"/>
              </w:rPr>
            </w:pPr>
            <w:r>
              <w:rPr>
                <w:rFonts w:hint="eastAsia" w:ascii="等线" w:hAnsi="等线" w:eastAsia="等线" w:cs="宋体"/>
                <w:color w:val="auto"/>
                <w:sz w:val="20"/>
              </w:rPr>
              <w:t>　</w:t>
            </w:r>
          </w:p>
        </w:tc>
      </w:tr>
      <w:tr>
        <w:tblPrEx>
          <w:tblCellMar>
            <w:top w:w="0" w:type="dxa"/>
            <w:left w:w="108" w:type="dxa"/>
            <w:bottom w:w="0" w:type="dxa"/>
            <w:right w:w="108" w:type="dxa"/>
          </w:tblCellMar>
        </w:tblPrEx>
        <w:trPr>
          <w:trHeight w:val="50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北京英沣特</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北京英沣特能源技术有限公司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0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深圳达实</w:t>
            </w:r>
          </w:p>
        </w:tc>
        <w:tc>
          <w:tcPr>
            <w:tcW w:w="2305"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深圳达实智能股份有限公司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500" w:hRule="atLeast"/>
        </w:trPr>
        <w:tc>
          <w:tcPr>
            <w:tcW w:w="427"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auto"/>
                <w:sz w:val="20"/>
              </w:rPr>
            </w:pPr>
          </w:p>
        </w:tc>
        <w:tc>
          <w:tcPr>
            <w:tcW w:w="1273"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88" w:type="dxa"/>
            <w:tcBorders>
              <w:top w:val="nil"/>
              <w:left w:val="nil"/>
              <w:bottom w:val="nil"/>
              <w:right w:val="single" w:color="auto" w:sz="4" w:space="0"/>
            </w:tcBorders>
            <w:vAlign w:val="center"/>
          </w:tcPr>
          <w:p>
            <w:pPr>
              <w:widowControl/>
              <w:jc w:val="center"/>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申凌</w:t>
            </w:r>
          </w:p>
        </w:tc>
        <w:tc>
          <w:tcPr>
            <w:tcW w:w="2305" w:type="dxa"/>
            <w:tcBorders>
              <w:top w:val="nil"/>
              <w:left w:val="nil"/>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广东申菱环境系统股份有限公司</w:t>
            </w:r>
          </w:p>
        </w:tc>
        <w:tc>
          <w:tcPr>
            <w:tcW w:w="3287" w:type="dxa"/>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sz w:val="20"/>
              </w:rPr>
            </w:pPr>
          </w:p>
        </w:tc>
        <w:tc>
          <w:tcPr>
            <w:tcW w:w="1290" w:type="dxa"/>
            <w:vMerge w:val="continue"/>
            <w:tcBorders>
              <w:top w:val="nil"/>
              <w:left w:val="single" w:color="auto" w:sz="4" w:space="0"/>
              <w:bottom w:val="single" w:color="000000" w:sz="4" w:space="0"/>
              <w:right w:val="single" w:color="auto" w:sz="8" w:space="0"/>
            </w:tcBorders>
            <w:vAlign w:val="center"/>
          </w:tcPr>
          <w:p>
            <w:pPr>
              <w:widowControl/>
              <w:jc w:val="left"/>
              <w:rPr>
                <w:rFonts w:ascii="等线" w:hAnsi="等线" w:eastAsia="等线" w:cs="宋体"/>
                <w:color w:val="auto"/>
                <w:sz w:val="20"/>
              </w:rPr>
            </w:pPr>
          </w:p>
        </w:tc>
      </w:tr>
      <w:tr>
        <w:tblPrEx>
          <w:tblCellMar>
            <w:top w:w="0" w:type="dxa"/>
            <w:left w:w="108" w:type="dxa"/>
            <w:bottom w:w="0" w:type="dxa"/>
            <w:right w:w="108" w:type="dxa"/>
          </w:tblCellMar>
        </w:tblPrEx>
        <w:trPr>
          <w:trHeight w:val="400" w:hRule="atLeast"/>
        </w:trPr>
        <w:tc>
          <w:tcPr>
            <w:tcW w:w="427" w:type="dxa"/>
            <w:tcBorders>
              <w:top w:val="single" w:color="auto" w:sz="4" w:space="0"/>
              <w:left w:val="single" w:color="auto" w:sz="8" w:space="0"/>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11</w:t>
            </w:r>
          </w:p>
        </w:tc>
        <w:tc>
          <w:tcPr>
            <w:tcW w:w="1273" w:type="dxa"/>
            <w:tcBorders>
              <w:top w:val="single" w:color="auto" w:sz="4" w:space="0"/>
              <w:left w:val="nil"/>
              <w:bottom w:val="nil"/>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载货电梯</w:t>
            </w:r>
          </w:p>
        </w:tc>
        <w:tc>
          <w:tcPr>
            <w:tcW w:w="6880" w:type="dxa"/>
            <w:gridSpan w:val="3"/>
            <w:tcBorders>
              <w:top w:val="single" w:color="auto" w:sz="4" w:space="0"/>
              <w:left w:val="nil"/>
              <w:bottom w:val="single" w:color="auto" w:sz="4" w:space="0"/>
              <w:right w:val="single" w:color="000000" w:sz="4" w:space="0"/>
            </w:tcBorders>
            <w:vAlign w:val="center"/>
          </w:tcPr>
          <w:p>
            <w:pPr>
              <w:widowControl/>
              <w:jc w:val="left"/>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西继迅达/富士达/广日/菱王/康力</w:t>
            </w:r>
          </w:p>
        </w:tc>
        <w:tc>
          <w:tcPr>
            <w:tcW w:w="1290" w:type="dxa"/>
            <w:tcBorders>
              <w:top w:val="nil"/>
              <w:left w:val="nil"/>
              <w:bottom w:val="single" w:color="auto" w:sz="4" w:space="0"/>
              <w:right w:val="single" w:color="auto" w:sz="8" w:space="0"/>
            </w:tcBorders>
            <w:vAlign w:val="bottom"/>
          </w:tcPr>
          <w:p>
            <w:pPr>
              <w:widowControl/>
              <w:jc w:val="left"/>
              <w:rPr>
                <w:rFonts w:ascii="等线" w:hAnsi="等线" w:eastAsia="等线" w:cs="宋体"/>
                <w:color w:val="auto"/>
                <w:sz w:val="20"/>
              </w:rPr>
            </w:pPr>
            <w:r>
              <w:rPr>
                <w:rFonts w:hint="eastAsia" w:ascii="等线" w:hAnsi="等线" w:eastAsia="等线" w:cs="宋体"/>
                <w:color w:val="auto"/>
                <w:sz w:val="20"/>
              </w:rPr>
              <w:t>　</w:t>
            </w:r>
          </w:p>
        </w:tc>
      </w:tr>
      <w:tr>
        <w:tblPrEx>
          <w:tblCellMar>
            <w:top w:w="0" w:type="dxa"/>
            <w:left w:w="108" w:type="dxa"/>
            <w:bottom w:w="0" w:type="dxa"/>
            <w:right w:w="108" w:type="dxa"/>
          </w:tblCellMar>
        </w:tblPrEx>
        <w:trPr>
          <w:trHeight w:val="400" w:hRule="atLeast"/>
        </w:trPr>
        <w:tc>
          <w:tcPr>
            <w:tcW w:w="42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12</w:t>
            </w:r>
          </w:p>
        </w:tc>
        <w:tc>
          <w:tcPr>
            <w:tcW w:w="1273" w:type="dxa"/>
            <w:tcBorders>
              <w:top w:val="single" w:color="auto" w:sz="4" w:space="0"/>
              <w:left w:val="nil"/>
              <w:bottom w:val="single" w:color="auto" w:sz="8" w:space="0"/>
              <w:right w:val="single" w:color="auto" w:sz="4" w:space="0"/>
            </w:tcBorders>
            <w:vAlign w:val="center"/>
          </w:tcPr>
          <w:p>
            <w:pPr>
              <w:widowControl/>
              <w:jc w:val="center"/>
              <w:rPr>
                <w:rFonts w:ascii="等线" w:hAnsi="等线" w:eastAsia="等线" w:cs="宋体"/>
                <w:color w:val="auto"/>
                <w:sz w:val="20"/>
              </w:rPr>
            </w:pPr>
            <w:r>
              <w:rPr>
                <w:rFonts w:hint="eastAsia" w:ascii="等线" w:hAnsi="等线" w:eastAsia="等线" w:cs="宋体"/>
                <w:color w:val="auto"/>
                <w:sz w:val="20"/>
              </w:rPr>
              <w:t>客梯</w:t>
            </w:r>
          </w:p>
        </w:tc>
        <w:tc>
          <w:tcPr>
            <w:tcW w:w="6880" w:type="dxa"/>
            <w:gridSpan w:val="3"/>
            <w:tcBorders>
              <w:top w:val="single" w:color="auto" w:sz="4" w:space="0"/>
              <w:left w:val="nil"/>
              <w:bottom w:val="single" w:color="auto" w:sz="8" w:space="0"/>
              <w:right w:val="single" w:color="auto" w:sz="4" w:space="0"/>
            </w:tcBorders>
            <w:vAlign w:val="center"/>
          </w:tcPr>
          <w:p>
            <w:pPr>
              <w:widowControl/>
              <w:jc w:val="left"/>
              <w:rPr>
                <w:rFonts w:ascii="等线" w:hAnsi="等线" w:eastAsia="等线" w:cs="宋体"/>
                <w:color w:val="auto"/>
                <w:sz w:val="20"/>
              </w:rPr>
            </w:pPr>
            <w:r>
              <w:rPr>
                <w:rFonts w:hint="eastAsia" w:ascii="华文仿宋" w:hAnsi="华文仿宋" w:eastAsia="华文仿宋" w:cs="宋体"/>
                <w:color w:val="auto"/>
                <w:sz w:val="20"/>
              </w:rPr>
              <w:t>参照或相当于</w:t>
            </w:r>
            <w:r>
              <w:rPr>
                <w:rFonts w:hint="eastAsia" w:ascii="等线" w:hAnsi="等线" w:eastAsia="等线" w:cs="宋体"/>
                <w:color w:val="auto"/>
                <w:sz w:val="20"/>
              </w:rPr>
              <w:t>通力/日立/上海三菱/蒂升/广日</w:t>
            </w:r>
          </w:p>
        </w:tc>
        <w:tc>
          <w:tcPr>
            <w:tcW w:w="1290" w:type="dxa"/>
            <w:tcBorders>
              <w:top w:val="nil"/>
              <w:left w:val="nil"/>
              <w:bottom w:val="single" w:color="auto" w:sz="8" w:space="0"/>
              <w:right w:val="single" w:color="auto" w:sz="8" w:space="0"/>
            </w:tcBorders>
            <w:vAlign w:val="bottom"/>
          </w:tcPr>
          <w:p>
            <w:pPr>
              <w:widowControl/>
              <w:jc w:val="left"/>
              <w:rPr>
                <w:rFonts w:ascii="等线" w:hAnsi="等线" w:eastAsia="等线" w:cs="宋体"/>
                <w:color w:val="auto"/>
                <w:sz w:val="20"/>
              </w:rPr>
            </w:pPr>
            <w:r>
              <w:rPr>
                <w:rFonts w:hint="eastAsia" w:ascii="等线" w:hAnsi="等线" w:eastAsia="等线" w:cs="宋体"/>
                <w:color w:val="auto"/>
                <w:sz w:val="20"/>
              </w:rPr>
              <w:t>　</w:t>
            </w:r>
          </w:p>
        </w:tc>
      </w:tr>
    </w:tbl>
    <w:p>
      <w:pPr>
        <w:rPr>
          <w:color w:val="auto"/>
        </w:rPr>
      </w:pPr>
    </w:p>
    <w:p>
      <w:pPr>
        <w:pStyle w:val="20"/>
        <w:jc w:val="center"/>
        <w:rPr>
          <w:rFonts w:hint="default" w:ascii="宋体" w:hAnsi="宋体" w:cs="宋体"/>
          <w:color w:val="auto"/>
          <w:sz w:val="24"/>
          <w:u w:val="single"/>
          <w:lang w:val="en-US" w:eastAsia="zh-CN"/>
        </w:rPr>
        <w:sectPr>
          <w:endnotePr>
            <w:numFmt w:val="decimal"/>
          </w:endnotePr>
          <w:pgSz w:w="11906" w:h="16838"/>
          <w:pgMar w:top="1440" w:right="1077" w:bottom="1440" w:left="1077" w:header="851" w:footer="992" w:gutter="0"/>
          <w:pgNumType w:fmt="decimal"/>
          <w:cols w:space="720" w:num="1"/>
          <w:docGrid w:linePitch="312" w:charSpace="0"/>
        </w:sectPr>
      </w:pPr>
    </w:p>
    <w:p>
      <w:pPr>
        <w:rPr>
          <w:color w:val="auto"/>
        </w:rPr>
      </w:pPr>
    </w:p>
    <w:p>
      <w:pPr>
        <w:pStyle w:val="4"/>
        <w:numPr>
          <w:ilvl w:val="0"/>
          <w:numId w:val="7"/>
        </w:numPr>
        <w:rPr>
          <w:rFonts w:ascii="宋体" w:hAnsi="宋体" w:cs="宋体"/>
          <w:b/>
          <w:bCs/>
          <w:color w:val="auto"/>
          <w:sz w:val="44"/>
          <w:szCs w:val="44"/>
          <w:highlight w:val="none"/>
        </w:rPr>
      </w:pPr>
      <w:bookmarkStart w:id="20" w:name="_Toc134541085"/>
      <w:bookmarkStart w:id="21" w:name="_Toc112397842"/>
      <w:r>
        <w:rPr>
          <w:rFonts w:hint="eastAsia" w:ascii="宋体" w:hAnsi="宋体" w:cs="宋体"/>
          <w:b/>
          <w:bCs/>
          <w:color w:val="auto"/>
          <w:sz w:val="44"/>
          <w:szCs w:val="44"/>
          <w:highlight w:val="none"/>
        </w:rPr>
        <w:t xml:space="preserve"> 投标文件格式</w:t>
      </w:r>
      <w:bookmarkEnd w:id="20"/>
    </w:p>
    <w:p>
      <w:pPr>
        <w:autoSpaceDE w:val="0"/>
        <w:autoSpaceDN w:val="0"/>
        <w:adjustRightInd w:val="0"/>
        <w:spacing w:line="360" w:lineRule="auto"/>
        <w:rPr>
          <w:rFonts w:ascii="宋体" w:hAnsi="宋体" w:cs="宋体"/>
          <w:color w:val="auto"/>
          <w:sz w:val="24"/>
          <w:szCs w:val="24"/>
          <w:highlight w:val="none"/>
        </w:rPr>
      </w:pPr>
    </w:p>
    <w:p>
      <w:pPr>
        <w:autoSpaceDE w:val="0"/>
        <w:autoSpaceDN w:val="0"/>
        <w:adjustRightInd w:val="0"/>
        <w:spacing w:line="360" w:lineRule="auto"/>
        <w:rPr>
          <w:rFonts w:ascii="宋体" w:hAnsi="宋体" w:cs="宋体"/>
          <w:color w:val="auto"/>
          <w:sz w:val="24"/>
          <w:szCs w:val="24"/>
          <w:highlight w:val="none"/>
        </w:rPr>
      </w:pPr>
      <w:r>
        <w:rPr>
          <w:rFonts w:ascii="宋体"/>
          <w:color w:val="auto"/>
          <w:sz w:val="44"/>
          <w:szCs w:val="44"/>
          <w:highlight w:val="none"/>
        </w:rPr>
        <w:t>一、技术标投标文件格式</w:t>
      </w:r>
    </w:p>
    <w:p>
      <w:pPr>
        <w:autoSpaceDE w:val="0"/>
        <w:autoSpaceDN w:val="0"/>
        <w:adjustRightInd w:val="0"/>
        <w:spacing w:line="360" w:lineRule="auto"/>
        <w:rPr>
          <w:rFonts w:ascii="宋体" w:hAnsi="宋体" w:cs="宋体"/>
          <w:color w:val="auto"/>
          <w:sz w:val="24"/>
          <w:szCs w:val="24"/>
          <w:highlight w:val="none"/>
        </w:rPr>
      </w:pPr>
    </w:p>
    <w:p>
      <w:pPr>
        <w:autoSpaceDE w:val="0"/>
        <w:autoSpaceDN w:val="0"/>
        <w:adjustRightInd w:val="0"/>
        <w:spacing w:line="360" w:lineRule="auto"/>
        <w:rPr>
          <w:rFonts w:ascii="宋体" w:hAnsi="宋体" w:cs="宋体"/>
          <w:bCs/>
          <w:color w:val="auto"/>
          <w:sz w:val="24"/>
          <w:szCs w:val="24"/>
          <w:highlight w:val="none"/>
        </w:rPr>
      </w:pPr>
      <w:r>
        <w:rPr>
          <w:rFonts w:hint="eastAsia" w:ascii="宋体"/>
          <w:color w:val="auto"/>
          <w:sz w:val="44"/>
          <w:szCs w:val="44"/>
          <w:highlight w:val="none"/>
        </w:rPr>
        <w:t xml:space="preserve"> </w:t>
      </w:r>
    </w:p>
    <w:p>
      <w:pPr>
        <w:pStyle w:val="5"/>
        <w:jc w:val="left"/>
        <w:rPr>
          <w:bCs/>
          <w:color w:val="auto"/>
          <w:spacing w:val="4"/>
          <w:kern w:val="0"/>
          <w:highlight w:val="none"/>
        </w:rPr>
      </w:pPr>
      <w:bookmarkStart w:id="22" w:name="_Toc6493845"/>
      <w:r>
        <w:rPr>
          <w:rFonts w:eastAsia="黑体"/>
          <w:bCs/>
          <w:color w:val="auto"/>
          <w:spacing w:val="4"/>
          <w:kern w:val="0"/>
          <w:highlight w:val="none"/>
        </w:rPr>
        <w:br w:type="page"/>
      </w:r>
      <w:r>
        <w:rPr>
          <w:rFonts w:hint="eastAsia"/>
          <w:bCs/>
          <w:color w:val="auto"/>
          <w:spacing w:val="4"/>
          <w:kern w:val="0"/>
          <w:highlight w:val="none"/>
        </w:rPr>
        <w:t>格式一</w:t>
      </w:r>
      <w:bookmarkEnd w:id="22"/>
    </w:p>
    <w:p>
      <w:pPr>
        <w:pStyle w:val="6"/>
        <w:jc w:val="center"/>
        <w:rPr>
          <w:color w:val="auto"/>
          <w:highlight w:val="none"/>
          <w:lang w:val="zh-CN"/>
        </w:rPr>
      </w:pPr>
      <w:bookmarkStart w:id="23" w:name="_Toc134541086"/>
      <w:r>
        <w:rPr>
          <w:rFonts w:hint="eastAsia"/>
          <w:color w:val="auto"/>
          <w:highlight w:val="none"/>
          <w:lang w:val="zh-CN"/>
        </w:rPr>
        <w:t>广州建设工程施工招标投标书（技术标）</w:t>
      </w:r>
      <w:bookmarkEnd w:id="23"/>
    </w:p>
    <w:tbl>
      <w:tblPr>
        <w:tblStyle w:val="37"/>
        <w:tblW w:w="7638" w:type="dxa"/>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211"/>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7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 程 名 称</w:t>
            </w:r>
          </w:p>
        </w:tc>
        <w:tc>
          <w:tcPr>
            <w:tcW w:w="490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490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lang w:val="zh-CN"/>
              </w:rPr>
              <w:t>工程质量标准</w:t>
            </w:r>
          </w:p>
        </w:tc>
        <w:tc>
          <w:tcPr>
            <w:tcW w:w="490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7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490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73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姓   名</w:t>
            </w:r>
          </w:p>
        </w:tc>
        <w:tc>
          <w:tcPr>
            <w:tcW w:w="26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73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委派的</w:t>
            </w:r>
            <w:r>
              <w:rPr>
                <w:rFonts w:hint="eastAsia" w:ascii="宋体" w:hAnsi="宋体" w:cs="宋体"/>
                <w:color w:val="auto"/>
                <w:sz w:val="24"/>
                <w:szCs w:val="24"/>
                <w:highlight w:val="none"/>
              </w:rPr>
              <w:t>技术负责人</w:t>
            </w: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姓   名</w:t>
            </w:r>
          </w:p>
        </w:tc>
        <w:tc>
          <w:tcPr>
            <w:tcW w:w="26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73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   名</w:t>
            </w:r>
          </w:p>
        </w:tc>
        <w:tc>
          <w:tcPr>
            <w:tcW w:w="26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bl>
    <w:p>
      <w:pPr>
        <w:pStyle w:val="5"/>
        <w:adjustRightInd w:val="0"/>
        <w:snapToGrid w:val="0"/>
        <w:spacing w:before="0" w:after="0" w:line="240" w:lineRule="auto"/>
        <w:jc w:val="left"/>
        <w:rPr>
          <w:rFonts w:cs="宋体"/>
          <w:snapToGrid w:val="0"/>
          <w:color w:val="auto"/>
          <w:spacing w:val="4"/>
          <w:kern w:val="0"/>
          <w:highlight w:val="none"/>
        </w:rPr>
      </w:pPr>
      <w:r>
        <w:rPr>
          <w:color w:val="auto"/>
          <w:highlight w:val="none"/>
        </w:rPr>
        <w:br w:type="page"/>
      </w:r>
      <w:r>
        <w:rPr>
          <w:rFonts w:hint="eastAsia" w:cs="宋体"/>
          <w:bCs/>
          <w:color w:val="auto"/>
          <w:highlight w:val="none"/>
        </w:rPr>
        <w:t>格式二</w:t>
      </w:r>
    </w:p>
    <w:p>
      <w:pPr>
        <w:topLinePunct/>
        <w:adjustRightInd w:val="0"/>
        <w:snapToGrid w:val="0"/>
        <w:spacing w:line="360" w:lineRule="auto"/>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投标函</w:t>
      </w:r>
    </w:p>
    <w:p>
      <w:pPr>
        <w:topLinePunct/>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snapToGrid w:val="0"/>
          <w:color w:val="auto"/>
          <w:spacing w:val="4"/>
          <w:kern w:val="0"/>
          <w:sz w:val="24"/>
          <w:szCs w:val="24"/>
          <w:highlight w:val="none"/>
          <w:u w:val="single"/>
        </w:rPr>
        <w:t xml:space="preserve"> （招标人名称） </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工程的招标文件，并已详细审核了全部招标文件及有关附件。</w:t>
      </w:r>
    </w:p>
    <w:p>
      <w:pPr>
        <w:adjustRightInd w:val="0"/>
        <w:snapToGrid w:val="0"/>
        <w:spacing w:line="360" w:lineRule="auto"/>
        <w:ind w:firstLine="523" w:firstLineChars="218"/>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4.我方理解贵方将不受必须接受你们所收到的最低标价</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任何投标文件的约束。</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日历天内完成并移交本工程，质量标准达到</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要求。</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pStyle w:val="172"/>
        <w:spacing w:line="360" w:lineRule="auto"/>
        <w:ind w:firstLine="481"/>
        <w:rPr>
          <w:rFonts w:ascii="宋体" w:hAnsi="宋体" w:eastAsia="宋体" w:cs="宋体"/>
          <w:snapToGrid w:val="0"/>
          <w:color w:val="auto"/>
          <w:spacing w:val="4"/>
          <w:kern w:val="0"/>
          <w:sz w:val="24"/>
          <w:szCs w:val="24"/>
          <w:highlight w:val="none"/>
        </w:rPr>
      </w:pPr>
    </w:p>
    <w:p>
      <w:pPr>
        <w:topLinePunct/>
        <w:adjustRightInd w:val="0"/>
        <w:snapToGrid w:val="0"/>
        <w:spacing w:line="360" w:lineRule="auto"/>
        <w:ind w:firstLine="691" w:firstLineChars="27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    （盖章）</w:t>
      </w:r>
    </w:p>
    <w:p>
      <w:pPr>
        <w:topLinePunct/>
        <w:adjustRightInd w:val="0"/>
        <w:snapToGrid w:val="0"/>
        <w:spacing w:line="360" w:lineRule="auto"/>
        <w:ind w:firstLine="691" w:firstLineChars="27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pPr>
        <w:topLinePunct/>
        <w:adjustRightInd w:val="0"/>
        <w:snapToGrid w:val="0"/>
        <w:spacing w:line="360" w:lineRule="auto"/>
        <w:ind w:firstLine="691" w:firstLineChars="279"/>
        <w:rPr>
          <w:rFonts w:ascii="宋体" w:hAnsi="宋体" w:cs="宋体"/>
          <w:b/>
          <w:color w:val="auto"/>
          <w:sz w:val="24"/>
          <w:szCs w:val="24"/>
          <w:highlight w:val="none"/>
        </w:rPr>
      </w:pPr>
      <w:r>
        <w:rPr>
          <w:rFonts w:hint="eastAsia" w:ascii="宋体" w:hAnsi="宋体" w:cs="宋体"/>
          <w:snapToGrid w:val="0"/>
          <w:color w:val="auto"/>
          <w:spacing w:val="4"/>
          <w:kern w:val="0"/>
          <w:sz w:val="24"/>
          <w:szCs w:val="24"/>
          <w:highlight w:val="none"/>
        </w:rPr>
        <w:t xml:space="preserve">日    期：    年    月    日 </w:t>
      </w:r>
    </w:p>
    <w:p>
      <w:pPr>
        <w:autoSpaceDE w:val="0"/>
        <w:autoSpaceDN w:val="0"/>
        <w:adjustRightInd w:val="0"/>
        <w:rPr>
          <w:rFonts w:ascii="宋体" w:hAnsi="宋体" w:cs="宋体"/>
          <w:color w:val="auto"/>
          <w:szCs w:val="21"/>
          <w:highlight w:val="none"/>
        </w:rPr>
      </w:pPr>
    </w:p>
    <w:p>
      <w:pPr>
        <w:autoSpaceDE w:val="0"/>
        <w:autoSpaceDN w:val="0"/>
        <w:adjustRightInd w:val="0"/>
        <w:rPr>
          <w:rFonts w:ascii="宋体" w:hAnsi="宋体" w:cs="宋体"/>
          <w:b/>
          <w:color w:val="auto"/>
          <w:sz w:val="24"/>
          <w:szCs w:val="24"/>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p>
    <w:p>
      <w:pPr>
        <w:pStyle w:val="5"/>
        <w:jc w:val="left"/>
        <w:rPr>
          <w:rFonts w:cs="宋体"/>
          <w:snapToGrid w:val="0"/>
          <w:color w:val="auto"/>
          <w:spacing w:val="4"/>
          <w:kern w:val="0"/>
          <w:highlight w:val="none"/>
        </w:rPr>
      </w:pPr>
      <w:bookmarkStart w:id="24" w:name="_Toc474749524"/>
      <w:bookmarkStart w:id="25" w:name="_Toc478375101"/>
      <w:r>
        <w:rPr>
          <w:rFonts w:hint="eastAsia" w:cs="宋体"/>
          <w:bCs/>
          <w:color w:val="auto"/>
          <w:highlight w:val="none"/>
        </w:rPr>
        <w:br w:type="page"/>
      </w:r>
      <w:r>
        <w:rPr>
          <w:rFonts w:hint="eastAsia" w:cs="宋体"/>
          <w:snapToGrid w:val="0"/>
          <w:color w:val="auto"/>
          <w:spacing w:val="4"/>
          <w:kern w:val="0"/>
          <w:highlight w:val="none"/>
        </w:rPr>
        <w:t>格式三</w:t>
      </w:r>
    </w:p>
    <w:p>
      <w:pPr>
        <w:tabs>
          <w:tab w:val="left" w:pos="720"/>
        </w:tabs>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标函承诺书</w:t>
      </w:r>
    </w:p>
    <w:p>
      <w:pPr>
        <w:pStyle w:val="208"/>
        <w:spacing w:line="360" w:lineRule="auto"/>
        <w:ind w:left="339" w:leftChars="101" w:hanging="127" w:hangingChars="53"/>
        <w:jc w:val="left"/>
        <w:rPr>
          <w:rFonts w:ascii="宋体" w:hAnsi="宋体" w:eastAsia="宋体" w:cs="宋体"/>
          <w:color w:val="auto"/>
          <w:sz w:val="24"/>
          <w:szCs w:val="24"/>
          <w:highlight w:val="none"/>
          <w:u w:val="single"/>
        </w:rPr>
      </w:pPr>
    </w:p>
    <w:p>
      <w:pPr>
        <w:pStyle w:val="208"/>
        <w:adjustRightInd w:val="0"/>
        <w:snapToGrid w:val="0"/>
        <w:spacing w:after="0" w:line="360" w:lineRule="auto"/>
        <w:ind w:left="340" w:leftChars="1" w:hanging="338" w:hangingChars="141"/>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w:t>
      </w:r>
      <w:r>
        <w:rPr>
          <w:rFonts w:hint="eastAsia" w:ascii="宋体" w:hAnsi="宋体" w:eastAsia="宋体" w:cs="宋体"/>
          <w:snapToGrid w:val="0"/>
          <w:color w:val="auto"/>
          <w:spacing w:val="4"/>
          <w:kern w:val="0"/>
          <w:sz w:val="24"/>
          <w:szCs w:val="24"/>
          <w:highlight w:val="none"/>
          <w:u w:val="single"/>
        </w:rPr>
        <w:t>（招标人名称）</w:t>
      </w: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如果在本招标工程中我司中标，我司将积极响应贵单位提出的合同条件及招标文件的要求，并做出如下承诺：</w:t>
      </w: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1、若我公司中标，我公司承诺按时交纳履约保证金。</w:t>
      </w: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2、在本工程施工期间，拟投入的人力不少于下表中的人数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pStyle w:val="101"/>
              <w:spacing w:line="240" w:lineRule="auto"/>
              <w:ind w:firstLine="420" w:firstLineChars="200"/>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工种</w:t>
            </w: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r>
              <w:rPr>
                <w:rFonts w:hint="eastAsia" w:ascii="宋体" w:hAnsi="宋体" w:cs="宋体"/>
                <w:color w:val="auto"/>
                <w:szCs w:val="21"/>
                <w:highlight w:val="none"/>
                <w:u w:val="single"/>
              </w:rPr>
              <w:t>施工</w:t>
            </w:r>
            <w:r>
              <w:rPr>
                <w:rFonts w:hint="eastAsia" w:ascii="宋体" w:hAnsi="宋体" w:cs="宋体"/>
                <w:color w:val="auto"/>
                <w:szCs w:val="21"/>
                <w:highlight w:val="none"/>
                <w:u w:val="single"/>
                <w:lang w:val="en-US" w:eastAsia="zh-CN"/>
              </w:rPr>
              <w:t>高</w:t>
            </w:r>
            <w:r>
              <w:rPr>
                <w:rFonts w:hint="eastAsia" w:ascii="宋体" w:hAnsi="宋体" w:cs="宋体"/>
                <w:color w:val="auto"/>
                <w:szCs w:val="21"/>
                <w:highlight w:val="none"/>
                <w:u w:val="single"/>
              </w:rPr>
              <w:t>峰期数量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left="-422" w:leftChars="-201" w:firstLine="420" w:firstLineChars="200"/>
              <w:jc w:val="center"/>
              <w:rPr>
                <w:rFonts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color w:val="auto"/>
                <w:kern w:val="0"/>
                <w:szCs w:val="21"/>
                <w:highlight w:val="none"/>
                <w:u w:val="single"/>
              </w:rPr>
            </w:pPr>
          </w:p>
        </w:tc>
      </w:tr>
    </w:tbl>
    <w:p>
      <w:pPr>
        <w:pStyle w:val="208"/>
        <w:adjustRightInd w:val="0"/>
        <w:snapToGrid w:val="0"/>
        <w:spacing w:before="0" w:beforeLines="-2147483648" w:after="0" w:afterLines="-2147483648" w:line="360" w:lineRule="auto"/>
        <w:ind w:left="441" w:leftChars="210" w:firstLine="480" w:firstLineChars="200"/>
        <w:jc w:val="left"/>
        <w:rPr>
          <w:rFonts w:ascii="宋体" w:hAnsi="宋体" w:eastAsia="宋体" w:cs="宋体"/>
          <w:color w:val="auto"/>
          <w:sz w:val="24"/>
          <w:szCs w:val="24"/>
          <w:highlight w:val="none"/>
          <w:u w:val="single"/>
        </w:rPr>
      </w:pP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3、在工程施工期间，拟投入的主要机械设备</w:t>
      </w:r>
      <w:r>
        <w:rPr>
          <w:rFonts w:hint="eastAsia" w:ascii="宋体" w:hAnsi="宋体" w:eastAsia="宋体" w:cs="宋体"/>
          <w:color w:val="auto"/>
          <w:sz w:val="24"/>
          <w:szCs w:val="24"/>
          <w:highlight w:val="none"/>
          <w:u w:val="single"/>
          <w:lang w:eastAsia="zh-CN"/>
        </w:rPr>
        <w:t>按</w:t>
      </w:r>
      <w:r>
        <w:rPr>
          <w:rFonts w:hint="eastAsia" w:ascii="宋体" w:hAnsi="宋体" w:eastAsia="宋体" w:cs="宋体"/>
          <w:color w:val="auto"/>
          <w:sz w:val="24"/>
          <w:szCs w:val="24"/>
          <w:highlight w:val="none"/>
          <w:u w:val="single"/>
        </w:rPr>
        <w:t>投标文件所附的《拟投入本工程施工的主要机械设备配备表》。</w:t>
      </w: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4、所选用的主要材料符合招标文件的要求。</w:t>
      </w: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5、拟投入到本工程的主要技术人员、经济和</w:t>
      </w:r>
      <w:r>
        <w:rPr>
          <w:rFonts w:hint="eastAsia" w:ascii="宋体" w:hAnsi="宋体" w:eastAsia="宋体" w:cs="宋体"/>
          <w:color w:val="auto"/>
          <w:sz w:val="24"/>
          <w:szCs w:val="24"/>
          <w:highlight w:val="none"/>
          <w:u w:val="single"/>
          <w:lang w:eastAsia="zh-CN"/>
        </w:rPr>
        <w:t>管理人员按</w:t>
      </w:r>
      <w:r>
        <w:rPr>
          <w:rFonts w:hint="eastAsia" w:ascii="宋体" w:hAnsi="宋体" w:eastAsia="宋体" w:cs="宋体"/>
          <w:color w:val="auto"/>
          <w:sz w:val="24"/>
          <w:szCs w:val="24"/>
          <w:highlight w:val="none"/>
          <w:u w:val="single"/>
        </w:rPr>
        <w:t>投标文件所附的《施工项目管理团队人员信息表》。</w:t>
      </w: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6、我公司保证拟派项目负责人应符合《广州市住房和城乡建设局关于加强建筑工程项目负责人管理的通知》（穗建规字〔</w:t>
      </w:r>
      <w:r>
        <w:rPr>
          <w:rFonts w:ascii="宋体" w:hAnsi="宋体" w:eastAsia="宋体" w:cs="宋体"/>
          <w:color w:val="auto"/>
          <w:sz w:val="24"/>
          <w:szCs w:val="24"/>
          <w:highlight w:val="none"/>
          <w:u w:val="single"/>
        </w:rPr>
        <w:t>2020〕32号）文的要求，</w:t>
      </w:r>
      <w:r>
        <w:rPr>
          <w:rFonts w:hint="eastAsia" w:ascii="宋体" w:hAnsi="宋体" w:eastAsia="宋体" w:cs="宋体"/>
          <w:color w:val="auto"/>
          <w:sz w:val="24"/>
          <w:szCs w:val="24"/>
          <w:highlight w:val="none"/>
          <w:u w:val="single"/>
        </w:rPr>
        <w:t>将严格按照招标文件要求，自签订合同之日起至工程竣工验收将常驻现场，严格按照有关工程项目管理的要求进行项目管理，如果不能够按照此要求实施，我方自愿接受贵单位的处罚措施。</w:t>
      </w: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7、本工程施工过程中，我司将严格按照国家、省、市有关施工及验收规范、标准进行施工，确保本工程质量达到           要求。</w:t>
      </w: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8、在确保工程质量的前提下，我司严格控制工程工期，确保工程在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日历天内完成。</w:t>
      </w: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严格按照国家、省、市有关安全生产、文明施工要求，积极制定安全生产、文明施工措施，并严格执行，确保施工中符合安全生产、文明施工要求。在施工过程中,若发生重大伤亡事故，我方自愿接受贵单位的经济处罚：在施工过程中发生安全事故的，除按照国家、省、市规定进行处理外。若导致人员伤亡的，承包人按下列办法支付违约金：如发生死亡事故，死亡1人，支付</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0万元；死亡2人，支付</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0万元；死亡3人或以上，支付</w:t>
      </w:r>
      <w:r>
        <w:rPr>
          <w:rFonts w:hint="eastAsia" w:ascii="宋体" w:hAnsi="宋体" w:eastAsia="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rPr>
        <w:t>0万元。如发生重伤事故，重伤1人，支付</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0万元；重伤2人，支付</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0万元；重伤3人或以上，支付</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0万元。因承包人原因发生一般安全事故，未造成人员伤亡或造成人员轻伤及轻微财产损失的，每发生一次，承包人支付违约金5000元。以上款项从工程款中扣除。</w:t>
      </w:r>
    </w:p>
    <w:p>
      <w:pPr>
        <w:pStyle w:val="208"/>
        <w:adjustRightInd w:val="0"/>
        <w:snapToGrid w:val="0"/>
        <w:spacing w:after="0" w:line="360" w:lineRule="auto"/>
        <w:ind w:left="0" w:leftChars="0"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10、按照发包人、监理工程师的要求及时为各专业工程（电信、电力管线、电力走廊、煤气、道路绿化、路灯、交通设施等）提供工作面，并为专业工程穿插施工所需各项配合工作给予方便。</w:t>
      </w:r>
    </w:p>
    <w:p>
      <w:pPr>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37"/>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u w:val="single"/>
              </w:rPr>
            </w:pPr>
            <w:r>
              <w:rPr>
                <w:rFonts w:hint="eastAsia" w:ascii="宋体" w:hAnsi="宋体" w:cs="宋体"/>
                <w:color w:val="auto"/>
                <w:szCs w:val="21"/>
                <w:highlight w:val="none"/>
                <w:u w:val="single"/>
              </w:rPr>
              <w:t>必须分包的专业工程内容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ind w:left="-105" w:leftChars="-50" w:firstLine="90" w:firstLineChars="43"/>
              <w:jc w:val="center"/>
              <w:rPr>
                <w:rFonts w:ascii="宋体" w:hAnsi="宋体" w:cs="宋体"/>
                <w:color w:val="auto"/>
                <w:szCs w:val="21"/>
                <w:highlight w:val="none"/>
                <w:u w:val="single"/>
              </w:rPr>
            </w:pPr>
            <w:r>
              <w:rPr>
                <w:rFonts w:hint="eastAsia" w:ascii="宋体" w:hAnsi="宋体" w:cs="宋体"/>
                <w:color w:val="auto"/>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u w:val="single"/>
              </w:rPr>
            </w:pPr>
            <w:r>
              <w:rPr>
                <w:rFonts w:hint="eastAsia" w:ascii="宋体" w:hAnsi="宋体" w:cs="宋体"/>
                <w:color w:val="auto"/>
                <w:szCs w:val="21"/>
                <w:highlight w:val="none"/>
                <w:u w:val="singl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u w:val="single"/>
              </w:rPr>
            </w:pPr>
          </w:p>
        </w:tc>
      </w:tr>
    </w:tbl>
    <w:p>
      <w:pPr>
        <w:tabs>
          <w:tab w:val="left" w:pos="0"/>
        </w:tabs>
        <w:spacing w:line="360" w:lineRule="auto"/>
        <w:ind w:firstLine="480" w:firstLineChars="200"/>
        <w:rPr>
          <w:rFonts w:ascii="宋体" w:hAnsi="宋体" w:cs="宋体"/>
          <w:color w:val="auto"/>
          <w:sz w:val="24"/>
          <w:szCs w:val="24"/>
          <w:highlight w:val="none"/>
          <w:u w:val="single"/>
        </w:rPr>
      </w:pPr>
      <w:r>
        <w:rPr>
          <w:rFonts w:hint="eastAsia" w:ascii="宋体" w:hAnsi="宋体"/>
          <w:color w:val="auto"/>
          <w:sz w:val="24"/>
          <w:szCs w:val="24"/>
          <w:highlight w:val="none"/>
          <w:u w:val="single"/>
        </w:rPr>
        <w:t>12、我司保证在中标后，严格按照 《广州市住房和城乡建设委员会关于印发&lt;广州市建筑施工实名制管理办法&gt;的通知》（穗建规字[2017]4号）、《关于印发广州市建设领域工人工资支付分</w:t>
      </w:r>
      <w:r>
        <w:rPr>
          <w:rFonts w:hint="eastAsia" w:ascii="宋体" w:hAnsi="宋体"/>
          <w:color w:val="auto"/>
          <w:sz w:val="24"/>
          <w:szCs w:val="24"/>
          <w:highlight w:val="none"/>
          <w:u w:val="single"/>
          <w:lang w:val="en-US" w:eastAsia="zh-CN"/>
        </w:rPr>
        <w:t>账</w:t>
      </w:r>
      <w:r>
        <w:rPr>
          <w:rFonts w:hint="eastAsia" w:ascii="宋体" w:hAnsi="宋体"/>
          <w:color w:val="auto"/>
          <w:sz w:val="24"/>
          <w:szCs w:val="24"/>
          <w:highlight w:val="none"/>
          <w:u w:val="single"/>
        </w:rPr>
        <w:t>管理实施细则的通知》（穗建规字[2017]10号）及广州市黄埔区、开发区对应出台的相关文件规定办理建筑工地实名制管理和工人工资支付</w:t>
      </w:r>
      <w:r>
        <w:rPr>
          <w:rFonts w:hint="eastAsia" w:ascii="宋体" w:hAnsi="宋体"/>
          <w:color w:val="auto"/>
          <w:sz w:val="24"/>
          <w:szCs w:val="24"/>
          <w:highlight w:val="none"/>
          <w:u w:val="single"/>
          <w:lang w:eastAsia="zh-CN"/>
        </w:rPr>
        <w:t>分账管理</w:t>
      </w:r>
      <w:r>
        <w:rPr>
          <w:rFonts w:hint="eastAsia" w:ascii="宋体" w:hAnsi="宋体"/>
          <w:color w:val="auto"/>
          <w:sz w:val="24"/>
          <w:szCs w:val="24"/>
          <w:highlight w:val="none"/>
          <w:u w:val="single"/>
        </w:rPr>
        <w:t>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tabs>
          <w:tab w:val="left" w:pos="315"/>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13、我司保证在中标后，根据工程特点，编制本工程详细的施工组织设计和施工方案，并报监理和发包人审核批准，并严格按审批的意见和要求组织施工。</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14、我司承诺积极响应并接受招标文件中合同专用专款关于合同价款的调整办法。</w:t>
      </w:r>
    </w:p>
    <w:p>
      <w:pPr>
        <w:pStyle w:val="149"/>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15、我司保证在中标后，施工现场严格按照《广州市建设工程文明施工管理规定》（广州市人民政府令62号）、《广州市建设工程现场文明施工管理办法》（穗建质〔2008〕937号）实施，施工围蔽严格按照《关于进一步加强我区建设工地文明施工管理的通知》（穗开规建[2006]74号）、广州市建委《关于进一步规范建设工程施工现场围蔽的通知》（穗建质[2008]1008号）、《关于完善广州市建设工程施工围蔽管理提升实施技术要求和标准图集的通知》（穗建质[2016]1085号）、《关于进一步提升黄埔区广州开发区建设工程施工围蔽管理的通知》（穗开建〔2017〕2号）、《关于进一步提升中新广州知识城建设工程施工围蔽管理的通知》（穗开建环知函〔2017〕127号）、广州开发区建设和交通局《关于在全区建设项目推广使用封闭式外脚手架金属防护网的通知》（房建工程及桥梁工程要求使用）、《广州市住房和城乡建设局等9部门关于印发广州市建设工程绿色施工围蔽指导图集（V2.0试行版）的通知》(穂建质〔2020〕1号)、《广州市住房和城乡建设委员会关于印发建设工程扬尘防治“6个100%”管理标准细化措施的通知》（穗建质〔2018〕1394号）、《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广州开发区建设和交通局关于进一步规范全区建设工程施工围蔽标准的通知》（穗埔建﹝2020﹞183号）、《黄埔区住房和城乡建设局 广州开发区建设和交通局关于进一步提升我区施工围蔽及土地围蔽建设标准的通知》（穗埔建〔2023〕56号）、《黄埔区住房和城乡建设局 广州开发区建设和交通局关于进一步提升我区施工围蔽及土地围蔽建设标准的补充通知》（穗埔建〔2023〕71号）、《广州开发区建设局中新广州知识城分局关于进一步提升中新广州知识城建设工程施工围蔽及土地围蔽建设标准的通知》（穗开建知发〔2023〕3号）</w:t>
      </w:r>
      <w:r>
        <w:rPr>
          <w:rFonts w:ascii="宋体" w:hAnsi="宋体"/>
          <w:color w:val="auto"/>
          <w:sz w:val="24"/>
          <w:szCs w:val="24"/>
          <w:highlight w:val="none"/>
          <w:u w:val="single"/>
        </w:rPr>
        <w:t>的相关文件要求</w:t>
      </w:r>
      <w:r>
        <w:rPr>
          <w:rFonts w:hint="eastAsia" w:ascii="宋体" w:hAnsi="宋体"/>
          <w:color w:val="auto"/>
          <w:sz w:val="24"/>
          <w:szCs w:val="24"/>
          <w:highlight w:val="none"/>
          <w:u w:val="single"/>
        </w:rPr>
        <w:t>实施。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pPr>
        <w:pStyle w:val="149"/>
        <w:spacing w:line="360" w:lineRule="auto"/>
        <w:ind w:firstLine="480" w:firstLineChars="200"/>
        <w:rPr>
          <w:rFonts w:hint="eastAsia" w:ascii="宋体" w:hAnsi="宋体" w:eastAsia="宋体"/>
          <w:color w:val="auto"/>
          <w:sz w:val="24"/>
          <w:szCs w:val="24"/>
          <w:highlight w:val="none"/>
          <w:u w:val="single"/>
          <w:lang w:val="en-US" w:eastAsia="zh-CN"/>
        </w:rPr>
      </w:pPr>
    </w:p>
    <w:p>
      <w:pPr>
        <w:pStyle w:val="14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szCs w:val="24"/>
          <w:highlight w:val="none"/>
          <w:u w:val="single"/>
        </w:rPr>
      </w:pPr>
    </w:p>
    <w:p>
      <w:pPr>
        <w:spacing w:line="360" w:lineRule="auto"/>
        <w:ind w:left="318"/>
        <w:rPr>
          <w:rFonts w:ascii="宋体" w:hAnsi="宋体" w:cs="宋体"/>
          <w:color w:val="auto"/>
          <w:sz w:val="24"/>
          <w:szCs w:val="24"/>
          <w:highlight w:val="none"/>
          <w:u w:val="single"/>
        </w:rPr>
      </w:pPr>
    </w:p>
    <w:p>
      <w:pPr>
        <w:pStyle w:val="208"/>
        <w:spacing w:line="360" w:lineRule="auto"/>
        <w:ind w:firstLine="5040" w:firstLineChars="21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投标单位：（公章）</w:t>
      </w:r>
    </w:p>
    <w:p>
      <w:pPr>
        <w:pStyle w:val="208"/>
        <w:spacing w:line="360" w:lineRule="auto"/>
        <w:ind w:firstLine="5040" w:firstLineChars="21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法人代表：（签名或盖章）</w:t>
      </w:r>
    </w:p>
    <w:p>
      <w:pPr>
        <w:pStyle w:val="208"/>
        <w:spacing w:line="360" w:lineRule="auto"/>
        <w:ind w:right="560" w:firstLine="5040" w:firstLineChars="2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pStyle w:val="208"/>
        <w:spacing w:line="360" w:lineRule="auto"/>
        <w:jc w:val="left"/>
        <w:rPr>
          <w:rFonts w:ascii="宋体" w:hAnsi="宋体" w:eastAsia="宋体" w:cs="宋体"/>
          <w:color w:val="auto"/>
          <w:sz w:val="24"/>
          <w:szCs w:val="24"/>
          <w:highlight w:val="none"/>
          <w:u w:val="single"/>
        </w:rPr>
      </w:pPr>
    </w:p>
    <w:p>
      <w:pPr>
        <w:tabs>
          <w:tab w:val="left" w:pos="72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pPr>
        <w:tabs>
          <w:tab w:val="left" w:pos="72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tabs>
          <w:tab w:val="left" w:pos="720"/>
        </w:tabs>
        <w:snapToGrid w:val="0"/>
        <w:spacing w:line="360" w:lineRule="auto"/>
        <w:rPr>
          <w:rFonts w:ascii="宋体" w:hAnsi="宋体" w:cs="宋体"/>
          <w:color w:val="auto"/>
          <w:szCs w:val="21"/>
          <w:highlight w:val="none"/>
        </w:rPr>
      </w:pPr>
      <w:r>
        <w:rPr>
          <w:rFonts w:ascii="宋体" w:hAnsi="宋体" w:cs="宋体"/>
          <w:color w:val="auto"/>
          <w:szCs w:val="21"/>
          <w:highlight w:val="none"/>
        </w:rPr>
        <w:t>2、《标函承诺书》第7条内容“确保本工程质量达到</w:t>
      </w:r>
      <w:r>
        <w:rPr>
          <w:rFonts w:ascii="宋体" w:hAnsi="宋体" w:cs="宋体"/>
          <w:color w:val="auto"/>
          <w:szCs w:val="21"/>
          <w:highlight w:val="none"/>
          <w:u w:val="single"/>
        </w:rPr>
        <w:t xml:space="preserve">        </w:t>
      </w:r>
      <w:r>
        <w:rPr>
          <w:rFonts w:ascii="宋体" w:hAnsi="宋体" w:cs="宋体"/>
          <w:color w:val="auto"/>
          <w:szCs w:val="21"/>
          <w:highlight w:val="none"/>
        </w:rPr>
        <w:t>要求” 横线上要求按照本工程《广州建设工程施工招标投标书（技术标）》承诺的质量标准填写，否则视作未按规定的格式填写，作无效标处理。</w:t>
      </w:r>
    </w:p>
    <w:p>
      <w:pPr>
        <w:tabs>
          <w:tab w:val="left" w:pos="720"/>
        </w:tabs>
        <w:snapToGrid w:val="0"/>
        <w:spacing w:line="360" w:lineRule="auto"/>
        <w:rPr>
          <w:rFonts w:ascii="宋体" w:hAnsi="宋体" w:cs="宋体"/>
          <w:color w:val="auto"/>
          <w:szCs w:val="21"/>
          <w:highlight w:val="none"/>
        </w:rPr>
      </w:pPr>
      <w:r>
        <w:rPr>
          <w:rFonts w:ascii="宋体" w:hAnsi="宋体" w:cs="宋体"/>
          <w:color w:val="auto"/>
          <w:szCs w:val="21"/>
          <w:highlight w:val="none"/>
        </w:rPr>
        <w:t>3、《标函承诺书》第8条内容“确保工程在</w:t>
      </w:r>
      <w:r>
        <w:rPr>
          <w:rFonts w:ascii="宋体" w:hAnsi="宋体" w:cs="宋体"/>
          <w:color w:val="auto"/>
          <w:szCs w:val="21"/>
          <w:highlight w:val="none"/>
          <w:u w:val="single"/>
        </w:rPr>
        <w:t xml:space="preserve">    </w:t>
      </w:r>
      <w:r>
        <w:rPr>
          <w:rFonts w:ascii="宋体" w:hAnsi="宋体" w:cs="宋体"/>
          <w:color w:val="auto"/>
          <w:szCs w:val="21"/>
          <w:highlight w:val="none"/>
        </w:rPr>
        <w:t>日历天内完成”横线上要求按照本工程《广州建设工程施工招标投标书（技术标）》承诺的投标总工期填写，否则视作未按规定的格式填写，作无效标处理。</w:t>
      </w:r>
    </w:p>
    <w:p>
      <w:pPr>
        <w:pStyle w:val="5"/>
        <w:jc w:val="left"/>
        <w:rPr>
          <w:rFonts w:cs="宋体"/>
          <w:color w:val="auto"/>
          <w:highlight w:val="none"/>
        </w:rPr>
      </w:pPr>
      <w:r>
        <w:rPr>
          <w:rFonts w:hint="eastAsia" w:cs="宋体"/>
          <w:color w:val="auto"/>
          <w:highlight w:val="none"/>
        </w:rPr>
        <w:br w:type="page"/>
      </w:r>
      <w:r>
        <w:rPr>
          <w:rFonts w:hint="eastAsia" w:cs="宋体"/>
          <w:color w:val="auto"/>
          <w:highlight w:val="none"/>
        </w:rPr>
        <w:t>格式四</w:t>
      </w:r>
    </w:p>
    <w:p>
      <w:pPr>
        <w:pStyle w:val="2"/>
        <w:spacing w:after="0" w:line="336" w:lineRule="auto"/>
        <w:ind w:left="-2" w:leftChars="-1" w:firstLine="2"/>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项目负责人驻场承诺书</w:t>
      </w:r>
    </w:p>
    <w:p>
      <w:pPr>
        <w:pStyle w:val="2"/>
        <w:spacing w:after="0" w:line="336" w:lineRule="auto"/>
        <w:ind w:left="-2" w:leftChars="-1" w:firstLineChars="175"/>
        <w:jc w:val="center"/>
        <w:rPr>
          <w:rFonts w:ascii="宋体" w:hAnsi="宋体" w:cs="宋体"/>
          <w:color w:val="auto"/>
          <w:sz w:val="24"/>
          <w:szCs w:val="24"/>
          <w:highlight w:val="none"/>
          <w:u w:val="single"/>
        </w:rPr>
      </w:pPr>
    </w:p>
    <w:p>
      <w:pPr>
        <w:spacing w:line="336"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致（业主）                                           ：</w:t>
      </w:r>
    </w:p>
    <w:p>
      <w:pPr>
        <w:spacing w:line="336" w:lineRule="auto"/>
        <w:rPr>
          <w:rFonts w:ascii="宋体" w:hAnsi="宋体" w:cs="宋体"/>
          <w:color w:val="auto"/>
          <w:sz w:val="24"/>
          <w:szCs w:val="24"/>
          <w:highlight w:val="none"/>
          <w:u w:val="single"/>
        </w:rPr>
      </w:pPr>
    </w:p>
    <w:p>
      <w:pPr>
        <w:spacing w:line="336" w:lineRule="auto"/>
        <w:ind w:firstLine="523" w:firstLineChars="218"/>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本人（姓名）              ，项目负责人证书注册编号：                   </w:t>
      </w:r>
    </w:p>
    <w:p>
      <w:pPr>
        <w:spacing w:line="336" w:lineRule="auto"/>
        <w:ind w:left="1"/>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受（投标人）                                                       委派，拟在（项目名称）                                                   担任项目负责人一职。为加强本工程项目管理，保证我公司在中标后严格履行与业主签定的工程建设承包合同，圆满的完成本项工程，我愿就此做出以下承诺；</w:t>
      </w:r>
    </w:p>
    <w:p>
      <w:pPr>
        <w:spacing w:line="336"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spacing w:line="336"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2．如果本招标工程我公司中标，我本人保证在工程签订合同之日起至工程竣工验收完成期间只担任此工程的项目经理，不参加其他任何工程的报名和任何工作，不在其他任何工程担任本职务。</w:t>
      </w:r>
    </w:p>
    <w:p>
      <w:pPr>
        <w:spacing w:line="336"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3．除非征得业主的书面批准，否则如果违背以上承诺，不能常驻施工现场，我自愿接受业主给予我本人的批评和处罚，并同意业主就此作为我个人的</w:t>
      </w:r>
      <w:r>
        <w:rPr>
          <w:rFonts w:hint="eastAsia" w:ascii="宋体" w:hAnsi="宋体" w:cs="宋体"/>
          <w:color w:val="auto"/>
          <w:sz w:val="24"/>
          <w:szCs w:val="24"/>
          <w:highlight w:val="none"/>
          <w:u w:val="single"/>
          <w:lang w:eastAsia="zh-CN"/>
        </w:rPr>
        <w:t>不良记录</w:t>
      </w:r>
      <w:r>
        <w:rPr>
          <w:rFonts w:hint="eastAsia" w:ascii="宋体" w:hAnsi="宋体" w:cs="宋体"/>
          <w:color w:val="auto"/>
          <w:sz w:val="24"/>
          <w:szCs w:val="24"/>
          <w:highlight w:val="none"/>
          <w:u w:val="single"/>
        </w:rPr>
        <w:t>进一步上报区行业主管部门，项目负责人证书注册、备案、审批机构，直至广州市建委等有关部门并接受上述部门给予的通报和相关职能部门给予的扣证等处罚。</w:t>
      </w:r>
    </w:p>
    <w:p>
      <w:pPr>
        <w:spacing w:line="336"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4．项目负责人本人身份证扫描件和两寸相片：</w:t>
      </w:r>
    </w:p>
    <w:tbl>
      <w:tblPr>
        <w:tblStyle w:val="37"/>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8"/>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5928"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color w:val="auto"/>
                <w:szCs w:val="21"/>
                <w:highlight w:val="none"/>
                <w:u w:val="single"/>
              </w:rPr>
            </w:pPr>
          </w:p>
          <w:p>
            <w:pPr>
              <w:spacing w:line="336" w:lineRule="auto"/>
              <w:jc w:val="center"/>
              <w:rPr>
                <w:rFonts w:ascii="宋体" w:hAnsi="宋体" w:cs="宋体"/>
                <w:color w:val="auto"/>
                <w:szCs w:val="21"/>
                <w:highlight w:val="none"/>
                <w:u w:val="single"/>
              </w:rPr>
            </w:pPr>
          </w:p>
          <w:p>
            <w:pPr>
              <w:spacing w:line="336" w:lineRule="auto"/>
              <w:jc w:val="center"/>
              <w:rPr>
                <w:rFonts w:ascii="宋体" w:hAnsi="宋体" w:cs="宋体"/>
                <w:color w:val="auto"/>
                <w:szCs w:val="21"/>
                <w:highlight w:val="none"/>
                <w:u w:val="single"/>
              </w:rPr>
            </w:pPr>
          </w:p>
          <w:p>
            <w:pPr>
              <w:spacing w:line="33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身份证扫描件</w:t>
            </w:r>
          </w:p>
        </w:tc>
        <w:tc>
          <w:tcPr>
            <w:tcW w:w="2492"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color w:val="auto"/>
                <w:szCs w:val="21"/>
                <w:highlight w:val="none"/>
                <w:u w:val="single"/>
              </w:rPr>
            </w:pPr>
          </w:p>
          <w:p>
            <w:pPr>
              <w:spacing w:line="336" w:lineRule="auto"/>
              <w:jc w:val="center"/>
              <w:rPr>
                <w:rFonts w:ascii="宋体" w:hAnsi="宋体" w:cs="宋体"/>
                <w:color w:val="auto"/>
                <w:szCs w:val="21"/>
                <w:highlight w:val="none"/>
                <w:u w:val="single"/>
              </w:rPr>
            </w:pPr>
          </w:p>
          <w:p>
            <w:pPr>
              <w:spacing w:line="336" w:lineRule="auto"/>
              <w:jc w:val="center"/>
              <w:rPr>
                <w:rFonts w:ascii="宋体" w:hAnsi="宋体" w:cs="宋体"/>
                <w:color w:val="auto"/>
                <w:szCs w:val="21"/>
                <w:highlight w:val="none"/>
                <w:u w:val="single"/>
              </w:rPr>
            </w:pPr>
          </w:p>
          <w:p>
            <w:pPr>
              <w:spacing w:line="33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相片扫描件</w:t>
            </w:r>
          </w:p>
        </w:tc>
      </w:tr>
    </w:tbl>
    <w:p>
      <w:pPr>
        <w:spacing w:line="336" w:lineRule="auto"/>
        <w:rPr>
          <w:rFonts w:ascii="宋体" w:hAnsi="宋体" w:cs="宋体"/>
          <w:color w:val="auto"/>
          <w:sz w:val="24"/>
          <w:szCs w:val="24"/>
          <w:highlight w:val="none"/>
          <w:u w:val="single"/>
        </w:rPr>
      </w:pPr>
    </w:p>
    <w:p>
      <w:pPr>
        <w:spacing w:line="336"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投标人：（盖章）</w:t>
      </w:r>
    </w:p>
    <w:p>
      <w:pPr>
        <w:spacing w:line="336"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项目负责人签名：                 </w:t>
      </w:r>
    </w:p>
    <w:p>
      <w:pPr>
        <w:tabs>
          <w:tab w:val="left" w:pos="720"/>
        </w:tabs>
        <w:snapToGrid w:val="0"/>
        <w:spacing w:line="336" w:lineRule="auto"/>
        <w:jc w:val="righ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年   月    日</w:t>
      </w:r>
    </w:p>
    <w:p>
      <w:pPr>
        <w:pStyle w:val="20"/>
        <w:rPr>
          <w:color w:val="auto"/>
          <w:highlight w:val="none"/>
        </w:rPr>
        <w:sectPr>
          <w:headerReference r:id="rId10" w:type="default"/>
          <w:footerReference r:id="rId11" w:type="default"/>
          <w:pgSz w:w="11906" w:h="16838"/>
          <w:pgMar w:top="1440" w:right="1633" w:bottom="1440" w:left="1633" w:header="851" w:footer="992" w:gutter="0"/>
          <w:cols w:space="720" w:num="1"/>
          <w:docGrid w:type="lines" w:linePitch="312" w:charSpace="0"/>
        </w:sectPr>
      </w:pPr>
    </w:p>
    <w:p>
      <w:pPr>
        <w:pStyle w:val="5"/>
        <w:jc w:val="left"/>
        <w:rPr>
          <w:rFonts w:cs="宋体"/>
          <w:snapToGrid w:val="0"/>
          <w:color w:val="auto"/>
          <w:spacing w:val="4"/>
          <w:kern w:val="0"/>
          <w:highlight w:val="none"/>
        </w:rPr>
      </w:pPr>
      <w:r>
        <w:rPr>
          <w:rFonts w:hint="eastAsia" w:cs="宋体"/>
          <w:bCs/>
          <w:color w:val="auto"/>
          <w:highlight w:val="none"/>
        </w:rPr>
        <w:t>格式五</w:t>
      </w:r>
      <w:r>
        <w:rPr>
          <w:rFonts w:hint="eastAsia" w:cs="宋体"/>
          <w:snapToGrid w:val="0"/>
          <w:color w:val="auto"/>
          <w:spacing w:val="4"/>
          <w:kern w:val="0"/>
          <w:highlight w:val="none"/>
        </w:rPr>
        <w:t xml:space="preserve">                     </w:t>
      </w:r>
    </w:p>
    <w:p>
      <w:pPr>
        <w:topLinePunct/>
        <w:adjustRightInd w:val="0"/>
        <w:snapToGrid w:val="0"/>
        <w:spacing w:line="360" w:lineRule="auto"/>
        <w:jc w:val="center"/>
        <w:rPr>
          <w:rFonts w:ascii="宋体" w:hAnsi="宋体" w:cs="宋体"/>
          <w:b/>
          <w:snapToGrid w:val="0"/>
          <w:color w:val="auto"/>
          <w:spacing w:val="4"/>
          <w:kern w:val="0"/>
          <w:sz w:val="24"/>
          <w:szCs w:val="24"/>
          <w:highlight w:val="none"/>
        </w:rPr>
      </w:pPr>
      <w:r>
        <w:rPr>
          <w:rFonts w:hint="eastAsia" w:ascii="宋体" w:hAnsi="宋体"/>
          <w:color w:val="auto"/>
          <w:sz w:val="24"/>
          <w:szCs w:val="24"/>
          <w:highlight w:val="none"/>
        </w:rPr>
        <w:t>施工项目管理团队人员信息表</w:t>
      </w:r>
    </w:p>
    <w:tbl>
      <w:tblPr>
        <w:tblStyle w:val="37"/>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824"/>
        <w:gridCol w:w="392"/>
        <w:gridCol w:w="2168"/>
        <w:gridCol w:w="404"/>
        <w:gridCol w:w="960"/>
        <w:gridCol w:w="850"/>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blHeader/>
          <w:jc w:val="center"/>
        </w:trPr>
        <w:tc>
          <w:tcPr>
            <w:tcW w:w="489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招标人要求（为最低要求）</w:t>
            </w:r>
          </w:p>
        </w:tc>
        <w:tc>
          <w:tcPr>
            <w:tcW w:w="419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投标人拟投入情况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序号</w:t>
            </w:r>
          </w:p>
        </w:tc>
        <w:tc>
          <w:tcPr>
            <w:tcW w:w="18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color w:val="auto"/>
                <w:kern w:val="44"/>
                <w:szCs w:val="21"/>
                <w:highlight w:val="none"/>
              </w:rPr>
            </w:pPr>
            <w:r>
              <w:rPr>
                <w:rFonts w:hint="eastAsia" w:ascii="宋体" w:hAnsi="宋体" w:cs="宋体"/>
                <w:b/>
                <w:bCs/>
                <w:color w:val="auto"/>
                <w:kern w:val="44"/>
                <w:szCs w:val="21"/>
                <w:highlight w:val="none"/>
              </w:rPr>
              <w:t>岗位</w:t>
            </w:r>
          </w:p>
        </w:tc>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kern w:val="44"/>
                <w:szCs w:val="21"/>
                <w:highlight w:val="none"/>
              </w:rPr>
            </w:pPr>
            <w:r>
              <w:rPr>
                <w:rFonts w:hint="eastAsia" w:ascii="宋体" w:hAnsi="宋体" w:cs="宋体"/>
                <w:b/>
                <w:color w:val="auto"/>
                <w:kern w:val="44"/>
                <w:szCs w:val="21"/>
                <w:highlight w:val="none"/>
              </w:rPr>
              <w:t>数量</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kern w:val="44"/>
                <w:szCs w:val="21"/>
                <w:highlight w:val="none"/>
              </w:rPr>
            </w:pPr>
            <w:r>
              <w:rPr>
                <w:rFonts w:hint="eastAsia" w:ascii="宋体" w:hAnsi="宋体" w:cs="宋体"/>
                <w:b/>
                <w:color w:val="auto"/>
                <w:kern w:val="44"/>
                <w:szCs w:val="21"/>
                <w:highlight w:val="none"/>
              </w:rPr>
              <w:t>基本要求</w:t>
            </w:r>
          </w:p>
        </w:tc>
        <w:tc>
          <w:tcPr>
            <w:tcW w:w="4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宋体" w:hAnsi="宋体" w:cs="宋体"/>
                <w:b/>
                <w:color w:val="auto"/>
                <w:kern w:val="44"/>
                <w:szCs w:val="21"/>
                <w:highlight w:val="none"/>
              </w:rPr>
            </w:pPr>
            <w:r>
              <w:rPr>
                <w:rFonts w:hint="eastAsia" w:ascii="宋体" w:hAnsi="宋体" w:cs="宋体"/>
                <w:b/>
                <w:color w:val="auto"/>
                <w:kern w:val="44"/>
                <w:szCs w:val="21"/>
                <w:highlight w:val="none"/>
              </w:rPr>
              <w:t>序号</w:t>
            </w: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姓名</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岗位</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职称</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r>
              <w:rPr>
                <w:rFonts w:hint="eastAsia" w:ascii="宋体" w:hAnsi="宋体" w:cs="宋体"/>
                <w:bCs/>
                <w:color w:val="auto"/>
                <w:spacing w:val="-10"/>
                <w:szCs w:val="21"/>
                <w:highlight w:val="none"/>
              </w:rPr>
              <w:t>1</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项目负责人</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1</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按招标公告要求</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r>
              <w:rPr>
                <w:rFonts w:hint="eastAsia" w:ascii="宋体" w:hAnsi="宋体" w:cs="宋体"/>
                <w:bCs/>
                <w:color w:val="auto"/>
                <w:spacing w:val="-10"/>
                <w:szCs w:val="21"/>
                <w:highlight w:val="none"/>
              </w:rPr>
              <w:t>2</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技术负责人</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1</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按招标公告要求</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r>
              <w:rPr>
                <w:rFonts w:hint="eastAsia" w:ascii="宋体" w:hAnsi="宋体" w:cs="宋体"/>
                <w:bCs/>
                <w:color w:val="auto"/>
                <w:spacing w:val="-10"/>
                <w:szCs w:val="21"/>
                <w:highlight w:val="none"/>
              </w:rPr>
              <w:t>3</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质量负责人</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1</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pacing w:val="-10"/>
                <w:szCs w:val="21"/>
                <w:highlight w:val="none"/>
                <w:lang w:eastAsia="zh-CN"/>
              </w:rPr>
            </w:pPr>
            <w:r>
              <w:rPr>
                <w:rFonts w:hint="eastAsia" w:ascii="宋体" w:hAnsi="宋体" w:cs="宋体"/>
                <w:color w:val="auto"/>
                <w:szCs w:val="21"/>
                <w:highlight w:val="none"/>
              </w:rPr>
              <w:t>具有</w:t>
            </w:r>
            <w:r>
              <w:rPr>
                <w:rFonts w:hint="eastAsia" w:ascii="宋体" w:hAnsi="宋体" w:cs="宋体"/>
                <w:color w:val="auto"/>
                <w:kern w:val="0"/>
                <w:szCs w:val="21"/>
                <w:lang w:val="en-US" w:eastAsia="zh-CN"/>
              </w:rPr>
              <w:t>机电</w:t>
            </w:r>
            <w:r>
              <w:rPr>
                <w:rFonts w:hint="eastAsia" w:ascii="宋体" w:hAnsi="宋体" w:cs="宋体"/>
                <w:color w:val="auto"/>
                <w:kern w:val="0"/>
                <w:szCs w:val="21"/>
              </w:rPr>
              <w:t>工程类</w:t>
            </w:r>
            <w:r>
              <w:rPr>
                <w:rFonts w:hint="eastAsia" w:ascii="宋体" w:hAnsi="宋体" w:cs="宋体"/>
                <w:color w:val="auto"/>
                <w:szCs w:val="21"/>
                <w:highlight w:val="none"/>
              </w:rPr>
              <w:t>工程师或以上技术职称</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r>
              <w:rPr>
                <w:rFonts w:hint="eastAsia" w:ascii="宋体" w:hAnsi="宋体" w:cs="宋体"/>
                <w:bCs/>
                <w:color w:val="auto"/>
                <w:spacing w:val="-10"/>
                <w:szCs w:val="21"/>
                <w:highlight w:val="none"/>
              </w:rPr>
              <w:t>4</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安全负责人</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dstrike/>
                <w:color w:val="auto"/>
                <w:spacing w:val="4"/>
                <w:kern w:val="0"/>
                <w:szCs w:val="21"/>
                <w:highlight w:val="none"/>
              </w:rPr>
            </w:pPr>
            <w:r>
              <w:rPr>
                <w:rFonts w:hint="eastAsia" w:ascii="宋体" w:hAnsi="宋体" w:cs="宋体"/>
                <w:color w:val="auto"/>
                <w:szCs w:val="21"/>
                <w:highlight w:val="none"/>
              </w:rPr>
              <w:t>1</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具有注册安全工程师证书</w:t>
            </w:r>
            <w:r>
              <w:rPr>
                <w:rFonts w:hint="eastAsia" w:ascii="宋体" w:hAnsi="宋体" w:cs="宋体"/>
                <w:color w:val="auto"/>
                <w:szCs w:val="21"/>
                <w:highlight w:val="none"/>
                <w:lang w:val="en-US" w:eastAsia="zh-CN"/>
              </w:rPr>
              <w:t>且在有效期内</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r>
              <w:rPr>
                <w:rFonts w:hint="eastAsia" w:ascii="宋体" w:hAnsi="宋体" w:cs="宋体"/>
                <w:bCs/>
                <w:color w:val="auto"/>
                <w:spacing w:val="-10"/>
                <w:szCs w:val="21"/>
                <w:highlight w:val="none"/>
              </w:rPr>
              <w:t>5</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造价负责人</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dstrike/>
                <w:color w:val="auto"/>
                <w:spacing w:val="4"/>
                <w:kern w:val="0"/>
                <w:szCs w:val="21"/>
                <w:highlight w:val="none"/>
              </w:rPr>
            </w:pPr>
            <w:r>
              <w:rPr>
                <w:rFonts w:hint="eastAsia" w:ascii="宋体" w:hAnsi="宋体" w:cs="宋体"/>
                <w:color w:val="auto"/>
                <w:szCs w:val="21"/>
                <w:highlight w:val="none"/>
              </w:rPr>
              <w:t>1</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ascii="宋体" w:hAnsi="宋体" w:cs="宋体"/>
                <w:color w:val="auto"/>
                <w:szCs w:val="21"/>
                <w:highlight w:val="none"/>
              </w:rPr>
              <w:t>具有一级注册造价工程师</w:t>
            </w:r>
            <w:r>
              <w:rPr>
                <w:rFonts w:hint="eastAsia" w:ascii="宋体" w:hAnsi="宋体" w:cs="宋体"/>
                <w:color w:val="auto"/>
                <w:szCs w:val="21"/>
                <w:highlight w:val="none"/>
                <w:lang w:val="en-US" w:eastAsia="zh-CN"/>
              </w:rPr>
              <w:t>资格且在有效期内</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r>
              <w:rPr>
                <w:rFonts w:hint="eastAsia" w:ascii="宋体" w:hAnsi="宋体" w:cs="宋体"/>
                <w:bCs/>
                <w:color w:val="auto"/>
                <w:spacing w:val="-10"/>
                <w:szCs w:val="21"/>
                <w:highlight w:val="none"/>
              </w:rPr>
              <w:t>6</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dstrike/>
                <w:color w:val="auto"/>
                <w:spacing w:val="4"/>
                <w:kern w:val="0"/>
                <w:szCs w:val="21"/>
                <w:highlight w:val="none"/>
              </w:rPr>
            </w:pPr>
            <w:r>
              <w:rPr>
                <w:rFonts w:hint="eastAsia" w:ascii="宋体" w:hAnsi="宋体" w:cs="宋体"/>
                <w:color w:val="auto"/>
                <w:szCs w:val="21"/>
                <w:highlight w:val="none"/>
                <w:lang w:val="en-US" w:eastAsia="zh-CN"/>
              </w:rPr>
              <w:t>专职安全员</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dstrike/>
                <w:color w:val="auto"/>
                <w:spacing w:val="4"/>
                <w:kern w:val="0"/>
                <w:szCs w:val="21"/>
                <w:highlight w:val="none"/>
              </w:rPr>
            </w:pPr>
            <w:r>
              <w:rPr>
                <w:rFonts w:hint="eastAsia" w:ascii="宋体" w:hAnsi="宋体" w:cs="宋体"/>
                <w:color w:val="auto"/>
                <w:szCs w:val="21"/>
                <w:highlight w:val="none"/>
                <w:lang w:val="en-US" w:eastAsia="zh-CN"/>
              </w:rPr>
              <w:t>1</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szCs w:val="21"/>
                <w:highlight w:val="none"/>
              </w:rPr>
            </w:pPr>
            <w:r>
              <w:rPr>
                <w:rFonts w:hint="eastAsia"/>
                <w:color w:val="auto"/>
                <w:highlight w:val="none"/>
              </w:rPr>
              <w:t>按招标公告要求</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Cs/>
                <w:color w:val="auto"/>
                <w:spacing w:val="-10"/>
                <w:szCs w:val="21"/>
                <w:highlight w:val="none"/>
                <w:lang w:val="en-US" w:eastAsia="zh-CN"/>
              </w:rPr>
            </w:pPr>
            <w:r>
              <w:rPr>
                <w:rFonts w:hint="eastAsia" w:ascii="宋体" w:hAnsi="宋体" w:cs="宋体"/>
                <w:bCs/>
                <w:color w:val="auto"/>
                <w:spacing w:val="-10"/>
                <w:szCs w:val="21"/>
                <w:highlight w:val="none"/>
                <w:lang w:val="en-US" w:eastAsia="zh-CN"/>
              </w:rPr>
              <w:t>7</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电气类</w:t>
            </w:r>
            <w:r>
              <w:rPr>
                <w:rFonts w:hint="eastAsia" w:ascii="宋体" w:hAnsi="宋体" w:cs="宋体"/>
                <w:color w:val="auto"/>
                <w:szCs w:val="21"/>
                <w:highlight w:val="none"/>
              </w:rPr>
              <w:t>专业</w:t>
            </w:r>
          </w:p>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负责人</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pacing w:val="-10"/>
                <w:szCs w:val="21"/>
                <w:highlight w:val="none"/>
              </w:rPr>
            </w:pPr>
            <w:r>
              <w:rPr>
                <w:rFonts w:hint="eastAsia" w:ascii="宋体" w:hAnsi="宋体" w:cs="宋体"/>
                <w:color w:val="auto"/>
                <w:szCs w:val="21"/>
                <w:highlight w:val="none"/>
              </w:rPr>
              <w:t>具有</w:t>
            </w:r>
            <w:r>
              <w:rPr>
                <w:rFonts w:hint="eastAsia" w:ascii="宋体" w:hAnsi="宋体" w:cs="宋体"/>
                <w:color w:val="auto"/>
                <w:szCs w:val="21"/>
                <w:highlight w:val="none"/>
                <w:lang w:val="en-US" w:eastAsia="zh-CN"/>
              </w:rPr>
              <w:t>电气类</w:t>
            </w:r>
            <w:r>
              <w:rPr>
                <w:rFonts w:hint="eastAsia" w:ascii="宋体" w:hAnsi="宋体" w:cs="宋体"/>
                <w:color w:val="auto"/>
                <w:szCs w:val="21"/>
                <w:highlight w:val="none"/>
              </w:rPr>
              <w:t>工程专业工程师或以上技术职称</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Cs/>
                <w:color w:val="auto"/>
                <w:spacing w:val="-10"/>
                <w:szCs w:val="21"/>
                <w:highlight w:val="none"/>
                <w:lang w:val="en-US" w:eastAsia="zh-CN"/>
              </w:rPr>
            </w:pPr>
            <w:r>
              <w:rPr>
                <w:rFonts w:hint="eastAsia" w:ascii="宋体" w:hAnsi="宋体" w:cs="宋体"/>
                <w:bCs/>
                <w:color w:val="auto"/>
                <w:spacing w:val="-10"/>
                <w:szCs w:val="21"/>
                <w:highlight w:val="none"/>
                <w:lang w:val="en-US" w:eastAsia="zh-CN"/>
              </w:rPr>
              <w:t>8</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rPr>
              <w:t>暖通</w:t>
            </w:r>
            <w:r>
              <w:rPr>
                <w:rFonts w:hint="eastAsia" w:ascii="宋体" w:hAnsi="宋体" w:cs="宋体"/>
                <w:color w:val="auto"/>
                <w:szCs w:val="21"/>
                <w:lang w:eastAsia="zh-CN"/>
              </w:rPr>
              <w:t>类专业负责人</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pacing w:val="-10"/>
                <w:szCs w:val="21"/>
                <w:highlight w:val="none"/>
              </w:rPr>
            </w:pPr>
            <w:r>
              <w:rPr>
                <w:rFonts w:hint="eastAsia" w:ascii="宋体" w:hAnsi="宋体" w:cs="宋体"/>
                <w:color w:val="auto"/>
                <w:szCs w:val="21"/>
                <w:highlight w:val="none"/>
              </w:rPr>
              <w:t>具有</w:t>
            </w:r>
            <w:r>
              <w:rPr>
                <w:rFonts w:hint="eastAsia" w:ascii="宋体" w:hAnsi="宋体" w:cs="宋体"/>
                <w:color w:val="auto"/>
                <w:szCs w:val="21"/>
              </w:rPr>
              <w:t>暖通</w:t>
            </w:r>
            <w:r>
              <w:rPr>
                <w:rFonts w:hint="eastAsia" w:ascii="宋体" w:hAnsi="宋体" w:cs="宋体"/>
                <w:color w:val="auto"/>
                <w:szCs w:val="21"/>
                <w:highlight w:val="none"/>
                <w:lang w:val="en-US" w:eastAsia="zh-CN"/>
              </w:rPr>
              <w:t>类</w:t>
            </w:r>
            <w:r>
              <w:rPr>
                <w:rFonts w:hint="eastAsia" w:ascii="宋体" w:hAnsi="宋体" w:cs="宋体"/>
                <w:color w:val="auto"/>
                <w:szCs w:val="21"/>
                <w:highlight w:val="none"/>
              </w:rPr>
              <w:t>工程专业工程师或以上技术职称</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Cs/>
                <w:color w:val="auto"/>
                <w:spacing w:val="-10"/>
                <w:szCs w:val="21"/>
                <w:highlight w:val="none"/>
                <w:lang w:val="en-US" w:eastAsia="zh-CN"/>
              </w:rPr>
            </w:pPr>
            <w:r>
              <w:rPr>
                <w:rFonts w:hint="eastAsia" w:ascii="宋体" w:hAnsi="宋体" w:cs="宋体"/>
                <w:bCs/>
                <w:color w:val="auto"/>
                <w:spacing w:val="-10"/>
                <w:szCs w:val="21"/>
                <w:highlight w:val="none"/>
                <w:lang w:val="en-US" w:eastAsia="zh-CN"/>
              </w:rPr>
              <w:t>9</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rPr>
              <w:t>给排水</w:t>
            </w:r>
            <w:r>
              <w:rPr>
                <w:rFonts w:hint="eastAsia" w:ascii="宋体" w:hAnsi="宋体" w:cs="宋体"/>
                <w:color w:val="auto"/>
                <w:szCs w:val="21"/>
                <w:lang w:eastAsia="zh-CN"/>
              </w:rPr>
              <w:t>类专业负责人</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pacing w:val="-10"/>
                <w:szCs w:val="21"/>
                <w:highlight w:val="none"/>
              </w:rPr>
            </w:pPr>
            <w:r>
              <w:rPr>
                <w:rFonts w:hint="eastAsia" w:ascii="宋体" w:hAnsi="宋体" w:cs="宋体"/>
                <w:color w:val="auto"/>
                <w:szCs w:val="21"/>
                <w:highlight w:val="none"/>
              </w:rPr>
              <w:t>具有</w:t>
            </w:r>
            <w:r>
              <w:rPr>
                <w:rFonts w:hint="eastAsia" w:ascii="宋体" w:hAnsi="宋体" w:cs="宋体"/>
                <w:color w:val="auto"/>
                <w:szCs w:val="21"/>
              </w:rPr>
              <w:t>给排水</w:t>
            </w:r>
            <w:r>
              <w:rPr>
                <w:rFonts w:hint="eastAsia" w:ascii="宋体" w:hAnsi="宋体" w:cs="宋体"/>
                <w:color w:val="auto"/>
                <w:szCs w:val="21"/>
                <w:highlight w:val="none"/>
                <w:lang w:val="en-US" w:eastAsia="zh-CN"/>
              </w:rPr>
              <w:t>类</w:t>
            </w:r>
            <w:r>
              <w:rPr>
                <w:rFonts w:hint="eastAsia" w:ascii="宋体" w:hAnsi="宋体" w:cs="宋体"/>
                <w:color w:val="auto"/>
                <w:szCs w:val="21"/>
                <w:highlight w:val="none"/>
              </w:rPr>
              <w:t>工程专业工程师或以上技术职称</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bCs/>
                <w:color w:val="auto"/>
                <w:spacing w:val="-10"/>
                <w:szCs w:val="21"/>
                <w:highlight w:val="none"/>
                <w:lang w:val="en-US" w:eastAsia="zh-CN"/>
              </w:rPr>
            </w:pPr>
            <w:r>
              <w:rPr>
                <w:rFonts w:hint="eastAsia" w:ascii="宋体" w:hAnsi="宋体" w:cs="宋体"/>
                <w:bCs/>
                <w:color w:val="auto"/>
                <w:spacing w:val="-10"/>
                <w:szCs w:val="21"/>
                <w:highlight w:val="none"/>
                <w:lang w:val="en-US" w:eastAsia="zh-CN"/>
              </w:rPr>
              <w:t>10</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档案员</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pacing w:val="-10"/>
                <w:szCs w:val="21"/>
                <w:highlight w:val="none"/>
              </w:rPr>
            </w:pPr>
            <w:r>
              <w:rPr>
                <w:rFonts w:hint="eastAsia"/>
                <w:color w:val="auto"/>
                <w:highlight w:val="none"/>
              </w:rPr>
              <w:t>具有</w:t>
            </w:r>
            <w:r>
              <w:rPr>
                <w:rFonts w:hint="eastAsia"/>
                <w:color w:val="auto"/>
                <w:highlight w:val="none"/>
                <w:lang w:eastAsia="zh-CN"/>
              </w:rPr>
              <w:t>档案</w:t>
            </w:r>
            <w:r>
              <w:rPr>
                <w:rFonts w:hint="eastAsia"/>
                <w:color w:val="auto"/>
                <w:highlight w:val="none"/>
              </w:rPr>
              <w:t>员的</w:t>
            </w:r>
            <w:r>
              <w:rPr>
                <w:rFonts w:hint="eastAsia" w:ascii="宋体" w:hAnsi="宋体" w:cs="宋体"/>
                <w:color w:val="auto"/>
                <w:kern w:val="0"/>
                <w:szCs w:val="21"/>
                <w:highlight w:val="none"/>
                <w:lang w:bidi="ar"/>
              </w:rPr>
              <w:t>上岗证（或培训合格证）</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bCs/>
                <w:color w:val="auto"/>
                <w:spacing w:val="-10"/>
                <w:szCs w:val="21"/>
                <w:highlight w:val="none"/>
                <w:lang w:val="en-US" w:eastAsia="zh-CN"/>
              </w:rPr>
            </w:pPr>
            <w:r>
              <w:rPr>
                <w:rFonts w:hint="eastAsia" w:ascii="宋体" w:hAnsi="宋体" w:cs="宋体"/>
                <w:bCs/>
                <w:color w:val="auto"/>
                <w:spacing w:val="-10"/>
                <w:szCs w:val="21"/>
                <w:highlight w:val="none"/>
                <w:lang w:val="en-US" w:eastAsia="zh-CN"/>
              </w:rPr>
              <w:t>11</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施工员</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color w:val="auto"/>
                <w:spacing w:val="-10"/>
                <w:szCs w:val="21"/>
                <w:highlight w:val="none"/>
              </w:rPr>
            </w:pPr>
            <w:r>
              <w:rPr>
                <w:rFonts w:hint="eastAsia"/>
                <w:color w:val="auto"/>
                <w:highlight w:val="none"/>
              </w:rPr>
              <w:t>具有施工员的</w:t>
            </w:r>
            <w:r>
              <w:rPr>
                <w:rFonts w:hint="eastAsia" w:ascii="宋体" w:hAnsi="宋体" w:cs="宋体"/>
                <w:color w:val="auto"/>
                <w:kern w:val="0"/>
                <w:szCs w:val="21"/>
                <w:highlight w:val="none"/>
                <w:lang w:bidi="ar"/>
              </w:rPr>
              <w:t>上岗证（或培训合格证）</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bCs/>
                <w:color w:val="auto"/>
                <w:spacing w:val="-10"/>
                <w:szCs w:val="21"/>
                <w:highlight w:val="none"/>
                <w:lang w:val="en-US" w:eastAsia="zh-CN"/>
              </w:rPr>
            </w:pPr>
            <w:r>
              <w:rPr>
                <w:rFonts w:hint="eastAsia" w:ascii="宋体" w:hAnsi="宋体" w:cs="宋体"/>
                <w:bCs/>
                <w:color w:val="auto"/>
                <w:spacing w:val="-10"/>
                <w:szCs w:val="21"/>
                <w:highlight w:val="none"/>
                <w:lang w:val="en-US" w:eastAsia="zh-CN"/>
              </w:rPr>
              <w:t>12</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质量员</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color w:val="auto"/>
                <w:highlight w:val="none"/>
              </w:rPr>
            </w:pPr>
            <w:r>
              <w:rPr>
                <w:rFonts w:hint="eastAsia"/>
                <w:color w:val="auto"/>
                <w:highlight w:val="none"/>
              </w:rPr>
              <w:t>具有质量</w:t>
            </w:r>
            <w:r>
              <w:rPr>
                <w:rFonts w:hint="eastAsia" w:ascii="宋体" w:hAnsi="宋体" w:cs="宋体"/>
                <w:color w:val="auto"/>
                <w:szCs w:val="21"/>
                <w:highlight w:val="none"/>
                <w:lang w:bidi="ar"/>
              </w:rPr>
              <w:t>（检）</w:t>
            </w:r>
            <w:r>
              <w:rPr>
                <w:rFonts w:hint="eastAsia"/>
                <w:color w:val="auto"/>
                <w:highlight w:val="none"/>
              </w:rPr>
              <w:t>员的</w:t>
            </w:r>
            <w:r>
              <w:rPr>
                <w:rFonts w:hint="eastAsia" w:ascii="宋体" w:hAnsi="宋体" w:cs="宋体"/>
                <w:color w:val="auto"/>
                <w:kern w:val="0"/>
                <w:szCs w:val="21"/>
                <w:highlight w:val="none"/>
                <w:lang w:bidi="ar"/>
              </w:rPr>
              <w:t>上岗证（或培训合格证）</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bCs/>
                <w:color w:val="auto"/>
                <w:spacing w:val="-10"/>
                <w:szCs w:val="21"/>
                <w:highlight w:val="none"/>
                <w:lang w:val="en-US" w:eastAsia="zh-CN"/>
              </w:rPr>
            </w:pPr>
            <w:r>
              <w:rPr>
                <w:rFonts w:hint="eastAsia" w:ascii="宋体" w:hAnsi="宋体" w:cs="宋体"/>
                <w:bCs/>
                <w:color w:val="auto"/>
                <w:spacing w:val="-10"/>
                <w:szCs w:val="21"/>
                <w:highlight w:val="none"/>
                <w:lang w:val="en-US" w:eastAsia="zh-CN"/>
              </w:rPr>
              <w:t>13</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资料员</w:t>
            </w:r>
          </w:p>
        </w:tc>
        <w:tc>
          <w:tcPr>
            <w:tcW w:w="3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color w:val="auto"/>
                <w:highlight w:val="none"/>
              </w:rPr>
            </w:pPr>
            <w:r>
              <w:rPr>
                <w:rFonts w:hint="eastAsia"/>
                <w:color w:val="auto"/>
                <w:highlight w:val="none"/>
              </w:rPr>
              <w:t>具有资料员的</w:t>
            </w:r>
            <w:r>
              <w:rPr>
                <w:rFonts w:hint="eastAsia" w:ascii="宋体" w:hAnsi="宋体" w:cs="宋体"/>
                <w:color w:val="auto"/>
                <w:kern w:val="0"/>
                <w:szCs w:val="21"/>
                <w:highlight w:val="none"/>
                <w:lang w:bidi="ar"/>
              </w:rPr>
              <w:t>上岗证（或培训合格证）</w:t>
            </w: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c>
          <w:tcPr>
            <w:tcW w:w="18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r>
              <w:rPr>
                <w:rFonts w:hint="eastAsia" w:ascii="宋体" w:hAnsi="宋体" w:cs="宋体"/>
                <w:bCs/>
                <w:color w:val="auto"/>
                <w:spacing w:val="-10"/>
                <w:szCs w:val="21"/>
                <w:highlight w:val="none"/>
              </w:rPr>
              <w:t>………</w:t>
            </w:r>
          </w:p>
        </w:tc>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c>
          <w:tcPr>
            <w:tcW w:w="404"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kern w:val="0"/>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kern w:val="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pacing w:val="-10"/>
                <w:szCs w:val="21"/>
                <w:highlight w:val="none"/>
              </w:rPr>
            </w:pPr>
          </w:p>
        </w:tc>
      </w:tr>
    </w:tbl>
    <w:p>
      <w:pPr>
        <w:topLinePunct/>
        <w:adjustRightInd w:val="0"/>
        <w:snapToGrid w:val="0"/>
        <w:rPr>
          <w:rFonts w:ascii="宋体" w:hAnsi="宋体" w:cs="宋体"/>
          <w:color w:val="auto"/>
          <w:spacing w:val="4"/>
          <w:kern w:val="0"/>
          <w:szCs w:val="21"/>
          <w:highlight w:val="none"/>
        </w:rPr>
      </w:pPr>
      <w:r>
        <w:rPr>
          <w:rFonts w:hint="eastAsia" w:ascii="宋体" w:hAnsi="宋体" w:cs="宋体"/>
          <w:color w:val="auto"/>
          <w:spacing w:val="4"/>
          <w:kern w:val="0"/>
          <w:szCs w:val="21"/>
          <w:highlight w:val="none"/>
        </w:rPr>
        <w:t>注：</w:t>
      </w:r>
    </w:p>
    <w:p>
      <w:pPr>
        <w:topLinePunct/>
        <w:adjustRightInd w:val="0"/>
        <w:snapToGrid w:val="0"/>
        <w:rPr>
          <w:rFonts w:ascii="宋体" w:hAnsi="宋体" w:cs="宋体"/>
          <w:color w:val="auto"/>
          <w:spacing w:val="4"/>
          <w:kern w:val="0"/>
          <w:szCs w:val="21"/>
          <w:highlight w:val="none"/>
        </w:rPr>
      </w:pPr>
      <w:r>
        <w:rPr>
          <w:rFonts w:ascii="宋体" w:hAnsi="宋体" w:cs="宋体"/>
          <w:color w:val="auto"/>
          <w:spacing w:val="4"/>
          <w:kern w:val="0"/>
          <w:szCs w:val="21"/>
          <w:highlight w:val="none"/>
        </w:rPr>
        <w:t>1. 投标人应根据本表的格式要求，填写本表“投标人拟投入情况”部分的“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pPr>
        <w:topLinePunct/>
        <w:adjustRightInd w:val="0"/>
        <w:snapToGrid w:val="0"/>
        <w:rPr>
          <w:rFonts w:ascii="宋体" w:hAnsi="宋体" w:cs="宋体"/>
          <w:color w:val="auto"/>
          <w:spacing w:val="4"/>
          <w:kern w:val="0"/>
          <w:szCs w:val="21"/>
          <w:highlight w:val="none"/>
        </w:rPr>
      </w:pPr>
      <w:r>
        <w:rPr>
          <w:rFonts w:ascii="宋体" w:hAnsi="宋体" w:cs="宋体"/>
          <w:color w:val="auto"/>
          <w:spacing w:val="4"/>
          <w:kern w:val="0"/>
          <w:szCs w:val="21"/>
          <w:highlight w:val="none"/>
        </w:rPr>
        <w:t>2.投标人拟投入的岗位、人数及资格均不得低于本表要求。</w:t>
      </w:r>
      <w:r>
        <w:rPr>
          <w:rFonts w:hint="eastAsia" w:ascii="宋体" w:hAnsi="宋体" w:cs="宋体"/>
          <w:color w:val="auto"/>
          <w:kern w:val="0"/>
          <w:szCs w:val="21"/>
          <w:highlight w:val="none"/>
        </w:rPr>
        <w:t>人员包括投标单位或投标单位非独立法人的分支机构人员，各岗位人员不得相互兼职。</w:t>
      </w:r>
      <w:r>
        <w:rPr>
          <w:rFonts w:hint="eastAsia" w:ascii="宋体" w:hAnsi="宋体" w:cs="宋体"/>
          <w:color w:val="auto"/>
          <w:spacing w:val="4"/>
          <w:kern w:val="0"/>
          <w:szCs w:val="21"/>
          <w:highlight w:val="none"/>
        </w:rPr>
        <w:t>并须提</w:t>
      </w:r>
      <w:r>
        <w:rPr>
          <w:rFonts w:hint="eastAsia" w:ascii="宋体" w:hAnsi="宋体" w:cs="宋体"/>
          <w:color w:val="auto"/>
          <w:szCs w:val="21"/>
          <w:highlight w:val="none"/>
          <w:u w:val="single"/>
        </w:rPr>
        <w:t>本项目招标公告发布第一天所在月的前一个月</w:t>
      </w:r>
      <w:r>
        <w:rPr>
          <w:rFonts w:hint="eastAsia" w:ascii="宋体" w:hAnsi="宋体" w:cs="宋体"/>
          <w:color w:val="auto"/>
          <w:spacing w:val="4"/>
          <w:kern w:val="0"/>
          <w:szCs w:val="21"/>
          <w:highlight w:val="none"/>
        </w:rPr>
        <w:t>有效社保证明资料扫描件。</w:t>
      </w:r>
    </w:p>
    <w:p>
      <w:pPr>
        <w:topLinePunct/>
        <w:adjustRightInd w:val="0"/>
        <w:snapToGrid w:val="0"/>
        <w:rPr>
          <w:rFonts w:ascii="宋体" w:hAnsi="宋体" w:cs="宋体"/>
          <w:color w:val="auto"/>
          <w:spacing w:val="4"/>
          <w:kern w:val="0"/>
          <w:szCs w:val="21"/>
          <w:highlight w:val="none"/>
        </w:rPr>
      </w:pPr>
      <w:r>
        <w:rPr>
          <w:rFonts w:ascii="宋体" w:hAnsi="宋体" w:cs="宋体"/>
          <w:color w:val="auto"/>
          <w:spacing w:val="4"/>
          <w:kern w:val="0"/>
          <w:szCs w:val="21"/>
          <w:highlight w:val="none"/>
        </w:rPr>
        <w:t>3、招标人已列明的岗位除外</w:t>
      </w:r>
      <w:r>
        <w:rPr>
          <w:rFonts w:hint="eastAsia" w:ascii="宋体" w:hAnsi="宋体" w:cs="宋体"/>
          <w:color w:val="auto"/>
          <w:spacing w:val="4"/>
          <w:kern w:val="0"/>
          <w:szCs w:val="21"/>
          <w:highlight w:val="none"/>
          <w:lang w:eastAsia="zh-CN"/>
        </w:rPr>
        <w:t>的其他</w:t>
      </w:r>
      <w:r>
        <w:rPr>
          <w:rFonts w:ascii="宋体" w:hAnsi="宋体" w:cs="宋体"/>
          <w:color w:val="auto"/>
          <w:spacing w:val="4"/>
          <w:kern w:val="0"/>
          <w:szCs w:val="21"/>
          <w:highlight w:val="none"/>
        </w:rPr>
        <w:t>岗位人员由投标人视本工程具体情况结合招标文件要求自行配备</w:t>
      </w:r>
      <w:r>
        <w:rPr>
          <w:rFonts w:hint="eastAsia" w:ascii="宋体" w:hAnsi="宋体" w:cs="宋体"/>
          <w:color w:val="auto"/>
          <w:spacing w:val="4"/>
          <w:kern w:val="0"/>
          <w:szCs w:val="21"/>
          <w:highlight w:val="none"/>
        </w:rPr>
        <w:t>。</w:t>
      </w:r>
    </w:p>
    <w:p>
      <w:pPr>
        <w:topLinePunct/>
        <w:adjustRightInd w:val="0"/>
        <w:snapToGrid w:val="0"/>
        <w:rPr>
          <w:rFonts w:ascii="宋体" w:hAnsi="宋体" w:cs="宋体"/>
          <w:color w:val="auto"/>
          <w:spacing w:val="4"/>
          <w:kern w:val="0"/>
          <w:szCs w:val="21"/>
          <w:highlight w:val="none"/>
        </w:rPr>
      </w:pPr>
      <w:r>
        <w:rPr>
          <w:rFonts w:hint="eastAsia" w:ascii="宋体" w:hAnsi="宋体" w:cs="宋体"/>
          <w:color w:val="auto"/>
          <w:spacing w:val="4"/>
          <w:kern w:val="0"/>
          <w:szCs w:val="21"/>
          <w:highlight w:val="none"/>
        </w:rPr>
        <w:t>4</w:t>
      </w:r>
      <w:r>
        <w:rPr>
          <w:rFonts w:ascii="宋体" w:hAnsi="宋体" w:cs="宋体"/>
          <w:color w:val="auto"/>
          <w:spacing w:val="4"/>
          <w:kern w:val="0"/>
          <w:szCs w:val="21"/>
          <w:highlight w:val="none"/>
        </w:rPr>
        <w:t>、本表中填报的所有人员均需按招标文件第四章《主要人员简历表》格式要求提交简历表。</w:t>
      </w:r>
      <w:r>
        <w:rPr>
          <w:rFonts w:hint="eastAsia" w:ascii="宋体" w:hAnsi="宋体" w:cs="宋体"/>
          <w:color w:val="auto"/>
          <w:spacing w:val="4"/>
          <w:kern w:val="0"/>
          <w:szCs w:val="21"/>
          <w:highlight w:val="none"/>
        </w:rPr>
        <w:t>同时，按照招标公告及招标文件第二章附表四《技术标详细审查评分表》评审标准及表后备注的要求，提供拟派相关人员的职称证（如有）、有效期内的注册证（如有）、岗位证（如有）或培训合格证（如有）等相关证明资料。所有资料为原件清晰扫描件并加盖投标人电子公章。</w:t>
      </w:r>
    </w:p>
    <w:p>
      <w:pPr>
        <w:topLinePunct/>
        <w:adjustRightInd w:val="0"/>
        <w:snapToGrid w:val="0"/>
        <w:rPr>
          <w:rFonts w:ascii="宋体" w:hAnsi="宋体"/>
          <w:color w:val="auto"/>
          <w:szCs w:val="21"/>
          <w:highlight w:val="none"/>
        </w:rPr>
      </w:pPr>
    </w:p>
    <w:p>
      <w:pPr>
        <w:topLinePunct/>
        <w:adjustRightInd w:val="0"/>
        <w:snapToGrid w:val="0"/>
        <w:ind w:firstLine="3270" w:firstLineChars="1500"/>
        <w:rPr>
          <w:rFonts w:ascii="宋体" w:hAnsi="宋体" w:cs="宋体"/>
          <w:color w:val="auto"/>
          <w:spacing w:val="4"/>
          <w:kern w:val="0"/>
          <w:szCs w:val="21"/>
          <w:highlight w:val="none"/>
        </w:rPr>
      </w:pPr>
    </w:p>
    <w:p>
      <w:pPr>
        <w:topLinePunct/>
        <w:adjustRightInd w:val="0"/>
        <w:snapToGrid w:val="0"/>
        <w:spacing w:line="360" w:lineRule="auto"/>
        <w:ind w:firstLine="3720" w:firstLineChars="15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　　（盖章）</w:t>
      </w:r>
    </w:p>
    <w:p>
      <w:pPr>
        <w:topLinePunct/>
        <w:adjustRightInd w:val="0"/>
        <w:snapToGrid w:val="0"/>
        <w:spacing w:line="360" w:lineRule="auto"/>
        <w:ind w:firstLine="3720" w:firstLineChars="15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法定代表人或授权代理人(签字或盖章)：</w:t>
      </w:r>
    </w:p>
    <w:p>
      <w:pPr>
        <w:topLinePunct/>
        <w:adjustRightInd w:val="0"/>
        <w:snapToGrid w:val="0"/>
        <w:spacing w:line="360" w:lineRule="auto"/>
        <w:jc w:val="left"/>
        <w:rPr>
          <w:rFonts w:ascii="宋体" w:hAnsi="宋体" w:cs="宋体"/>
          <w:color w:val="auto"/>
          <w:spacing w:val="4"/>
          <w:kern w:val="0"/>
          <w:szCs w:val="21"/>
          <w:highlight w:val="none"/>
        </w:rPr>
      </w:pPr>
      <w:r>
        <w:rPr>
          <w:rFonts w:hint="eastAsia" w:ascii="宋体" w:hAnsi="宋体" w:cs="宋体"/>
          <w:color w:val="auto"/>
          <w:spacing w:val="4"/>
          <w:kern w:val="0"/>
          <w:sz w:val="24"/>
          <w:szCs w:val="24"/>
          <w:highlight w:val="none"/>
        </w:rPr>
        <w:t xml:space="preserve">                             日   期：    年    月    日</w:t>
      </w:r>
    </w:p>
    <w:p>
      <w:pPr>
        <w:topLinePunct/>
        <w:adjustRightInd w:val="0"/>
        <w:snapToGrid w:val="0"/>
        <w:spacing w:line="360" w:lineRule="auto"/>
        <w:ind w:firstLine="3596"/>
        <w:jc w:val="left"/>
        <w:rPr>
          <w:rFonts w:ascii="宋体" w:hAnsi="宋体" w:cs="宋体"/>
          <w:color w:val="auto"/>
          <w:spacing w:val="4"/>
          <w:kern w:val="0"/>
          <w:sz w:val="24"/>
          <w:szCs w:val="24"/>
          <w:highlight w:val="none"/>
        </w:rPr>
      </w:pPr>
    </w:p>
    <w:p>
      <w:pPr>
        <w:topLinePunct/>
        <w:adjustRightInd w:val="0"/>
        <w:snapToGrid w:val="0"/>
        <w:spacing w:before="120" w:after="120" w:line="360" w:lineRule="auto"/>
        <w:ind w:firstLine="3596" w:firstLineChars="1450"/>
        <w:rPr>
          <w:rFonts w:ascii="宋体" w:hAnsi="宋体" w:cs="宋体"/>
          <w:color w:val="auto"/>
          <w:spacing w:val="4"/>
          <w:kern w:val="0"/>
          <w:sz w:val="24"/>
          <w:szCs w:val="24"/>
          <w:highlight w:val="none"/>
        </w:rPr>
      </w:pPr>
    </w:p>
    <w:p>
      <w:pPr>
        <w:pStyle w:val="5"/>
        <w:jc w:val="left"/>
        <w:rPr>
          <w:rFonts w:ascii="Times New Roman" w:hAnsi="Times New Roman" w:eastAsia="黑体"/>
          <w:snapToGrid w:val="0"/>
          <w:color w:val="auto"/>
          <w:spacing w:val="4"/>
          <w:kern w:val="0"/>
          <w:sz w:val="36"/>
          <w:szCs w:val="36"/>
          <w:highlight w:val="none"/>
        </w:rPr>
      </w:pPr>
      <w:r>
        <w:rPr>
          <w:rFonts w:cs="宋体"/>
          <w:snapToGrid w:val="0"/>
          <w:color w:val="auto"/>
          <w:spacing w:val="4"/>
          <w:kern w:val="0"/>
          <w:highlight w:val="none"/>
        </w:rPr>
        <w:br w:type="page"/>
      </w:r>
      <w:r>
        <w:rPr>
          <w:rFonts w:hint="eastAsia" w:cs="宋体"/>
          <w:bCs/>
          <w:color w:val="auto"/>
          <w:highlight w:val="none"/>
        </w:rPr>
        <w:t>格式六</w:t>
      </w:r>
    </w:p>
    <w:p>
      <w:pPr>
        <w:topLinePunct/>
        <w:adjustRightInd w:val="0"/>
        <w:snapToGrid w:val="0"/>
        <w:spacing w:line="360" w:lineRule="auto"/>
        <w:jc w:val="center"/>
        <w:rPr>
          <w:rFonts w:ascii="Times New Roman" w:hAnsi="Times New Roman" w:eastAsia="黑体"/>
          <w:b/>
          <w:snapToGrid w:val="0"/>
          <w:color w:val="auto"/>
          <w:spacing w:val="4"/>
          <w:kern w:val="0"/>
          <w:sz w:val="36"/>
          <w:szCs w:val="36"/>
          <w:highlight w:val="none"/>
        </w:rPr>
      </w:pPr>
      <w:r>
        <w:rPr>
          <w:rFonts w:hint="default" w:ascii="Times New Roman" w:hAnsi="Times New Roman" w:eastAsia="黑体"/>
          <w:b/>
          <w:snapToGrid w:val="0"/>
          <w:color w:val="auto"/>
          <w:spacing w:val="4"/>
          <w:kern w:val="0"/>
          <w:sz w:val="36"/>
          <w:szCs w:val="36"/>
          <w:highlight w:val="none"/>
          <w:lang w:val="en-US"/>
        </w:rPr>
        <w:t>主要人员</w:t>
      </w:r>
      <w:r>
        <w:rPr>
          <w:rFonts w:hint="eastAsia" w:ascii="Times New Roman" w:hAnsi="Times New Roman" w:eastAsia="黑体"/>
          <w:b/>
          <w:snapToGrid w:val="0"/>
          <w:color w:val="auto"/>
          <w:spacing w:val="4"/>
          <w:kern w:val="0"/>
          <w:sz w:val="36"/>
          <w:szCs w:val="36"/>
          <w:highlight w:val="none"/>
        </w:rPr>
        <w:t>简历表</w:t>
      </w:r>
    </w:p>
    <w:p>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 xml:space="preserve">工程名称： </w:t>
      </w:r>
    </w:p>
    <w:tbl>
      <w:tblPr>
        <w:tblStyle w:val="3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431"/>
        <w:gridCol w:w="1932"/>
        <w:gridCol w:w="299"/>
        <w:gridCol w:w="591"/>
        <w:gridCol w:w="892"/>
        <w:gridCol w:w="198"/>
        <w:gridCol w:w="1384"/>
        <w:gridCol w:w="1087"/>
        <w:gridCol w:w="37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724" w:type="pct"/>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姓名</w:t>
            </w:r>
          </w:p>
        </w:tc>
        <w:tc>
          <w:tcPr>
            <w:tcW w:w="977" w:type="pct"/>
            <w:vAlign w:val="center"/>
          </w:tcPr>
          <w:p>
            <w:pPr>
              <w:adjustRightInd w:val="0"/>
              <w:snapToGrid w:val="0"/>
              <w:jc w:val="left"/>
              <w:rPr>
                <w:rFonts w:ascii="宋体" w:hAnsi="宋体"/>
                <w:color w:val="auto"/>
                <w:sz w:val="24"/>
                <w:szCs w:val="24"/>
                <w:highlight w:val="none"/>
              </w:rPr>
            </w:pPr>
          </w:p>
        </w:tc>
        <w:tc>
          <w:tcPr>
            <w:tcW w:w="450" w:type="pct"/>
            <w:gridSpan w:val="2"/>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性别</w:t>
            </w:r>
          </w:p>
        </w:tc>
        <w:tc>
          <w:tcPr>
            <w:tcW w:w="1251" w:type="pct"/>
            <w:gridSpan w:val="3"/>
            <w:vAlign w:val="center"/>
          </w:tcPr>
          <w:p>
            <w:pPr>
              <w:adjustRightInd w:val="0"/>
              <w:snapToGrid w:val="0"/>
              <w:jc w:val="left"/>
              <w:rPr>
                <w:rFonts w:ascii="宋体" w:hAnsi="宋体"/>
                <w:color w:val="auto"/>
                <w:sz w:val="24"/>
                <w:szCs w:val="24"/>
                <w:highlight w:val="none"/>
              </w:rPr>
            </w:pPr>
          </w:p>
        </w:tc>
        <w:tc>
          <w:tcPr>
            <w:tcW w:w="739" w:type="pct"/>
            <w:gridSpan w:val="2"/>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年龄</w:t>
            </w:r>
          </w:p>
        </w:tc>
        <w:tc>
          <w:tcPr>
            <w:tcW w:w="859" w:type="pct"/>
            <w:vAlign w:val="center"/>
          </w:tcPr>
          <w:p>
            <w:pPr>
              <w:adjustRightInd w:val="0"/>
              <w:snapToGri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4" w:type="pct"/>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职务</w:t>
            </w:r>
          </w:p>
        </w:tc>
        <w:tc>
          <w:tcPr>
            <w:tcW w:w="977" w:type="pct"/>
            <w:vAlign w:val="center"/>
          </w:tcPr>
          <w:p>
            <w:pPr>
              <w:adjustRightInd w:val="0"/>
              <w:snapToGrid w:val="0"/>
              <w:jc w:val="left"/>
              <w:rPr>
                <w:rFonts w:ascii="宋体" w:hAnsi="宋体"/>
                <w:color w:val="auto"/>
                <w:sz w:val="24"/>
                <w:szCs w:val="24"/>
                <w:highlight w:val="none"/>
              </w:rPr>
            </w:pPr>
          </w:p>
        </w:tc>
        <w:tc>
          <w:tcPr>
            <w:tcW w:w="450" w:type="pct"/>
            <w:gridSpan w:val="2"/>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职称</w:t>
            </w:r>
          </w:p>
        </w:tc>
        <w:tc>
          <w:tcPr>
            <w:tcW w:w="1251" w:type="pct"/>
            <w:gridSpan w:val="3"/>
            <w:vAlign w:val="center"/>
          </w:tcPr>
          <w:p>
            <w:pPr>
              <w:adjustRightInd w:val="0"/>
              <w:snapToGrid w:val="0"/>
              <w:jc w:val="left"/>
              <w:rPr>
                <w:rFonts w:ascii="宋体" w:hAnsi="宋体"/>
                <w:color w:val="auto"/>
                <w:sz w:val="24"/>
                <w:szCs w:val="24"/>
                <w:highlight w:val="none"/>
              </w:rPr>
            </w:pPr>
          </w:p>
        </w:tc>
        <w:tc>
          <w:tcPr>
            <w:tcW w:w="739" w:type="pct"/>
            <w:gridSpan w:val="2"/>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学历</w:t>
            </w:r>
          </w:p>
        </w:tc>
        <w:tc>
          <w:tcPr>
            <w:tcW w:w="859" w:type="pct"/>
            <w:vAlign w:val="center"/>
          </w:tcPr>
          <w:p>
            <w:pPr>
              <w:adjustRightInd w:val="0"/>
              <w:snapToGri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852" w:type="pct"/>
            <w:gridSpan w:val="3"/>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参加工作时间</w:t>
            </w:r>
          </w:p>
        </w:tc>
        <w:tc>
          <w:tcPr>
            <w:tcW w:w="850" w:type="pct"/>
            <w:gridSpan w:val="3"/>
            <w:vAlign w:val="center"/>
          </w:tcPr>
          <w:p>
            <w:pPr>
              <w:adjustRightInd w:val="0"/>
              <w:snapToGrid w:val="0"/>
              <w:jc w:val="left"/>
              <w:rPr>
                <w:rFonts w:ascii="宋体" w:hAnsi="宋体"/>
                <w:color w:val="auto"/>
                <w:sz w:val="24"/>
                <w:szCs w:val="24"/>
                <w:highlight w:val="none"/>
              </w:rPr>
            </w:pPr>
          </w:p>
        </w:tc>
        <w:tc>
          <w:tcPr>
            <w:tcW w:w="1250" w:type="pct"/>
            <w:gridSpan w:val="2"/>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担任相应职务年限</w:t>
            </w:r>
          </w:p>
        </w:tc>
        <w:tc>
          <w:tcPr>
            <w:tcW w:w="1048" w:type="pct"/>
            <w:gridSpan w:val="2"/>
            <w:vAlign w:val="center"/>
          </w:tcPr>
          <w:p>
            <w:pPr>
              <w:adjustRightInd w:val="0"/>
              <w:snapToGri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852" w:type="pct"/>
            <w:gridSpan w:val="3"/>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毕业学校</w:t>
            </w:r>
          </w:p>
        </w:tc>
        <w:tc>
          <w:tcPr>
            <w:tcW w:w="3148" w:type="pct"/>
            <w:gridSpan w:val="7"/>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 xml:space="preserve">    年  月毕业于     学校    系，学制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852" w:type="pct"/>
            <w:gridSpan w:val="3"/>
            <w:vAlign w:val="center"/>
          </w:tcPr>
          <w:p>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资格证书号</w:t>
            </w:r>
          </w:p>
        </w:tc>
        <w:tc>
          <w:tcPr>
            <w:tcW w:w="3148" w:type="pct"/>
            <w:gridSpan w:val="7"/>
            <w:vAlign w:val="center"/>
          </w:tcPr>
          <w:p>
            <w:pPr>
              <w:adjustRightInd w:val="0"/>
              <w:snapToGri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000" w:type="pct"/>
            <w:gridSpan w:val="10"/>
            <w:vAlign w:val="center"/>
          </w:tcPr>
          <w:p>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4" w:type="pct"/>
            <w:vAlign w:val="center"/>
          </w:tcPr>
          <w:p>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建设单位</w:t>
            </w:r>
          </w:p>
        </w:tc>
        <w:tc>
          <w:tcPr>
            <w:tcW w:w="1128" w:type="pct"/>
            <w:gridSpan w:val="2"/>
            <w:vAlign w:val="center"/>
          </w:tcPr>
          <w:p>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750" w:type="pct"/>
            <w:gridSpan w:val="2"/>
            <w:vAlign w:val="center"/>
          </w:tcPr>
          <w:p>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建设规模</w:t>
            </w:r>
          </w:p>
        </w:tc>
        <w:tc>
          <w:tcPr>
            <w:tcW w:w="800" w:type="pct"/>
            <w:gridSpan w:val="2"/>
            <w:vAlign w:val="center"/>
          </w:tcPr>
          <w:p>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开、竣工日期</w:t>
            </w:r>
          </w:p>
        </w:tc>
        <w:tc>
          <w:tcPr>
            <w:tcW w:w="739" w:type="pct"/>
            <w:gridSpan w:val="2"/>
            <w:vAlign w:val="center"/>
          </w:tcPr>
          <w:p>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在建或已完工程质量</w:t>
            </w:r>
          </w:p>
        </w:tc>
        <w:tc>
          <w:tcPr>
            <w:tcW w:w="859" w:type="pct"/>
            <w:vAlign w:val="center"/>
          </w:tcPr>
          <w:p>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4" w:type="pct"/>
            <w:vAlign w:val="center"/>
          </w:tcPr>
          <w:p>
            <w:pPr>
              <w:adjustRightInd w:val="0"/>
              <w:snapToGrid w:val="0"/>
              <w:jc w:val="left"/>
              <w:rPr>
                <w:rFonts w:ascii="宋体" w:hAnsi="宋体"/>
                <w:color w:val="auto"/>
                <w:sz w:val="24"/>
                <w:szCs w:val="24"/>
                <w:highlight w:val="none"/>
              </w:rPr>
            </w:pPr>
          </w:p>
        </w:tc>
        <w:tc>
          <w:tcPr>
            <w:tcW w:w="1128" w:type="pct"/>
            <w:gridSpan w:val="2"/>
            <w:vAlign w:val="center"/>
          </w:tcPr>
          <w:p>
            <w:pPr>
              <w:adjustRightInd w:val="0"/>
              <w:snapToGrid w:val="0"/>
              <w:jc w:val="left"/>
              <w:rPr>
                <w:rFonts w:ascii="宋体" w:hAnsi="宋体"/>
                <w:color w:val="auto"/>
                <w:sz w:val="24"/>
                <w:szCs w:val="24"/>
                <w:highlight w:val="none"/>
              </w:rPr>
            </w:pPr>
          </w:p>
        </w:tc>
        <w:tc>
          <w:tcPr>
            <w:tcW w:w="750" w:type="pct"/>
            <w:gridSpan w:val="2"/>
            <w:vAlign w:val="center"/>
          </w:tcPr>
          <w:p>
            <w:pPr>
              <w:adjustRightInd w:val="0"/>
              <w:snapToGrid w:val="0"/>
              <w:jc w:val="left"/>
              <w:rPr>
                <w:rFonts w:ascii="宋体" w:hAnsi="宋体"/>
                <w:color w:val="auto"/>
                <w:sz w:val="24"/>
                <w:szCs w:val="24"/>
                <w:highlight w:val="none"/>
              </w:rPr>
            </w:pPr>
          </w:p>
        </w:tc>
        <w:tc>
          <w:tcPr>
            <w:tcW w:w="800" w:type="pct"/>
            <w:gridSpan w:val="2"/>
            <w:vAlign w:val="center"/>
          </w:tcPr>
          <w:p>
            <w:pPr>
              <w:adjustRightInd w:val="0"/>
              <w:snapToGrid w:val="0"/>
              <w:jc w:val="left"/>
              <w:rPr>
                <w:rFonts w:ascii="宋体" w:hAnsi="宋体"/>
                <w:color w:val="auto"/>
                <w:sz w:val="24"/>
                <w:szCs w:val="24"/>
                <w:highlight w:val="none"/>
              </w:rPr>
            </w:pPr>
          </w:p>
        </w:tc>
        <w:tc>
          <w:tcPr>
            <w:tcW w:w="739" w:type="pct"/>
            <w:gridSpan w:val="2"/>
            <w:vAlign w:val="center"/>
          </w:tcPr>
          <w:p>
            <w:pPr>
              <w:adjustRightInd w:val="0"/>
              <w:snapToGrid w:val="0"/>
              <w:jc w:val="left"/>
              <w:rPr>
                <w:rFonts w:ascii="宋体" w:hAnsi="宋体"/>
                <w:color w:val="auto"/>
                <w:sz w:val="24"/>
                <w:szCs w:val="24"/>
                <w:highlight w:val="none"/>
              </w:rPr>
            </w:pPr>
          </w:p>
        </w:tc>
        <w:tc>
          <w:tcPr>
            <w:tcW w:w="859" w:type="pct"/>
            <w:vAlign w:val="center"/>
          </w:tcPr>
          <w:p>
            <w:pPr>
              <w:adjustRightInd w:val="0"/>
              <w:snapToGri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4" w:type="pct"/>
            <w:vAlign w:val="center"/>
          </w:tcPr>
          <w:p>
            <w:pPr>
              <w:adjustRightInd w:val="0"/>
              <w:snapToGrid w:val="0"/>
              <w:jc w:val="left"/>
              <w:rPr>
                <w:rFonts w:ascii="宋体" w:hAnsi="宋体"/>
                <w:color w:val="auto"/>
                <w:sz w:val="24"/>
                <w:szCs w:val="24"/>
                <w:highlight w:val="none"/>
              </w:rPr>
            </w:pPr>
          </w:p>
        </w:tc>
        <w:tc>
          <w:tcPr>
            <w:tcW w:w="1128" w:type="pct"/>
            <w:gridSpan w:val="2"/>
            <w:vAlign w:val="center"/>
          </w:tcPr>
          <w:p>
            <w:pPr>
              <w:adjustRightInd w:val="0"/>
              <w:snapToGrid w:val="0"/>
              <w:jc w:val="left"/>
              <w:rPr>
                <w:rFonts w:ascii="宋体" w:hAnsi="宋体"/>
                <w:color w:val="auto"/>
                <w:sz w:val="24"/>
                <w:szCs w:val="24"/>
                <w:highlight w:val="none"/>
              </w:rPr>
            </w:pPr>
          </w:p>
        </w:tc>
        <w:tc>
          <w:tcPr>
            <w:tcW w:w="750" w:type="pct"/>
            <w:gridSpan w:val="2"/>
            <w:vAlign w:val="center"/>
          </w:tcPr>
          <w:p>
            <w:pPr>
              <w:adjustRightInd w:val="0"/>
              <w:snapToGrid w:val="0"/>
              <w:jc w:val="left"/>
              <w:rPr>
                <w:rFonts w:ascii="宋体" w:hAnsi="宋体"/>
                <w:color w:val="auto"/>
                <w:sz w:val="24"/>
                <w:szCs w:val="24"/>
                <w:highlight w:val="none"/>
              </w:rPr>
            </w:pPr>
          </w:p>
        </w:tc>
        <w:tc>
          <w:tcPr>
            <w:tcW w:w="800" w:type="pct"/>
            <w:gridSpan w:val="2"/>
            <w:vAlign w:val="center"/>
          </w:tcPr>
          <w:p>
            <w:pPr>
              <w:adjustRightInd w:val="0"/>
              <w:snapToGrid w:val="0"/>
              <w:jc w:val="left"/>
              <w:rPr>
                <w:rFonts w:ascii="宋体" w:hAnsi="宋体"/>
                <w:color w:val="auto"/>
                <w:sz w:val="24"/>
                <w:szCs w:val="24"/>
                <w:highlight w:val="none"/>
              </w:rPr>
            </w:pPr>
          </w:p>
        </w:tc>
        <w:tc>
          <w:tcPr>
            <w:tcW w:w="739" w:type="pct"/>
            <w:gridSpan w:val="2"/>
            <w:vAlign w:val="center"/>
          </w:tcPr>
          <w:p>
            <w:pPr>
              <w:adjustRightInd w:val="0"/>
              <w:snapToGrid w:val="0"/>
              <w:jc w:val="left"/>
              <w:rPr>
                <w:rFonts w:ascii="宋体" w:hAnsi="宋体"/>
                <w:color w:val="auto"/>
                <w:sz w:val="24"/>
                <w:szCs w:val="24"/>
                <w:highlight w:val="none"/>
              </w:rPr>
            </w:pPr>
          </w:p>
        </w:tc>
        <w:tc>
          <w:tcPr>
            <w:tcW w:w="859" w:type="pct"/>
            <w:vAlign w:val="center"/>
          </w:tcPr>
          <w:p>
            <w:pPr>
              <w:adjustRightInd w:val="0"/>
              <w:snapToGri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4" w:type="pct"/>
            <w:vAlign w:val="center"/>
          </w:tcPr>
          <w:p>
            <w:pPr>
              <w:adjustRightInd w:val="0"/>
              <w:snapToGrid w:val="0"/>
              <w:jc w:val="left"/>
              <w:rPr>
                <w:rFonts w:ascii="宋体" w:hAnsi="宋体"/>
                <w:color w:val="auto"/>
                <w:sz w:val="24"/>
                <w:szCs w:val="24"/>
                <w:highlight w:val="none"/>
              </w:rPr>
            </w:pPr>
          </w:p>
        </w:tc>
        <w:tc>
          <w:tcPr>
            <w:tcW w:w="1128" w:type="pct"/>
            <w:gridSpan w:val="2"/>
            <w:vAlign w:val="center"/>
          </w:tcPr>
          <w:p>
            <w:pPr>
              <w:adjustRightInd w:val="0"/>
              <w:snapToGrid w:val="0"/>
              <w:jc w:val="left"/>
              <w:rPr>
                <w:rFonts w:ascii="宋体" w:hAnsi="宋体"/>
                <w:color w:val="auto"/>
                <w:sz w:val="24"/>
                <w:szCs w:val="24"/>
                <w:highlight w:val="none"/>
              </w:rPr>
            </w:pPr>
          </w:p>
        </w:tc>
        <w:tc>
          <w:tcPr>
            <w:tcW w:w="750" w:type="pct"/>
            <w:gridSpan w:val="2"/>
            <w:vAlign w:val="center"/>
          </w:tcPr>
          <w:p>
            <w:pPr>
              <w:adjustRightInd w:val="0"/>
              <w:snapToGrid w:val="0"/>
              <w:jc w:val="left"/>
              <w:rPr>
                <w:rFonts w:ascii="宋体" w:hAnsi="宋体"/>
                <w:color w:val="auto"/>
                <w:sz w:val="24"/>
                <w:szCs w:val="24"/>
                <w:highlight w:val="none"/>
              </w:rPr>
            </w:pPr>
          </w:p>
        </w:tc>
        <w:tc>
          <w:tcPr>
            <w:tcW w:w="800" w:type="pct"/>
            <w:gridSpan w:val="2"/>
            <w:vAlign w:val="center"/>
          </w:tcPr>
          <w:p>
            <w:pPr>
              <w:adjustRightInd w:val="0"/>
              <w:snapToGrid w:val="0"/>
              <w:jc w:val="left"/>
              <w:rPr>
                <w:rFonts w:ascii="宋体" w:hAnsi="宋体"/>
                <w:color w:val="auto"/>
                <w:sz w:val="24"/>
                <w:szCs w:val="24"/>
                <w:highlight w:val="none"/>
              </w:rPr>
            </w:pPr>
          </w:p>
        </w:tc>
        <w:tc>
          <w:tcPr>
            <w:tcW w:w="739" w:type="pct"/>
            <w:gridSpan w:val="2"/>
            <w:vAlign w:val="center"/>
          </w:tcPr>
          <w:p>
            <w:pPr>
              <w:adjustRightInd w:val="0"/>
              <w:snapToGrid w:val="0"/>
              <w:jc w:val="left"/>
              <w:rPr>
                <w:rFonts w:ascii="宋体" w:hAnsi="宋体"/>
                <w:color w:val="auto"/>
                <w:sz w:val="24"/>
                <w:szCs w:val="24"/>
                <w:highlight w:val="none"/>
              </w:rPr>
            </w:pPr>
          </w:p>
        </w:tc>
        <w:tc>
          <w:tcPr>
            <w:tcW w:w="859" w:type="pct"/>
            <w:vAlign w:val="center"/>
          </w:tcPr>
          <w:p>
            <w:pPr>
              <w:adjustRightInd w:val="0"/>
              <w:snapToGrid w:val="0"/>
              <w:jc w:val="left"/>
              <w:rPr>
                <w:rFonts w:ascii="宋体" w:hAnsi="宋体"/>
                <w:color w:val="auto"/>
                <w:sz w:val="24"/>
                <w:szCs w:val="24"/>
                <w:highlight w:val="none"/>
              </w:rPr>
            </w:pPr>
          </w:p>
        </w:tc>
      </w:tr>
    </w:tbl>
    <w:p>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pPr>
        <w:topLinePunct/>
        <w:adjustRightInd w:val="0"/>
        <w:snapToGrid w:val="0"/>
        <w:spacing w:line="360" w:lineRule="auto"/>
        <w:ind w:firstLine="3597" w:firstLineChars="1650"/>
        <w:rPr>
          <w:rFonts w:ascii="宋体" w:hAnsi="宋体"/>
          <w:color w:val="auto"/>
          <w:spacing w:val="4"/>
          <w:kern w:val="0"/>
          <w:szCs w:val="21"/>
          <w:highlight w:val="none"/>
        </w:rPr>
      </w:pPr>
      <w:r>
        <w:rPr>
          <w:rFonts w:hint="eastAsia" w:ascii="宋体" w:hAnsi="宋体"/>
          <w:color w:val="auto"/>
          <w:spacing w:val="4"/>
          <w:kern w:val="0"/>
          <w:szCs w:val="21"/>
          <w:highlight w:val="none"/>
        </w:rPr>
        <w:t>投标人：　　（盖章）</w:t>
      </w:r>
    </w:p>
    <w:p>
      <w:pPr>
        <w:topLinePunct/>
        <w:adjustRightInd w:val="0"/>
        <w:snapToGrid w:val="0"/>
        <w:spacing w:line="360" w:lineRule="auto"/>
        <w:ind w:firstLine="3597" w:firstLineChars="1650"/>
        <w:rPr>
          <w:rFonts w:ascii="宋体" w:hAnsi="宋体"/>
          <w:color w:val="auto"/>
          <w:spacing w:val="4"/>
          <w:kern w:val="0"/>
          <w:szCs w:val="21"/>
          <w:highlight w:val="none"/>
        </w:rPr>
      </w:pPr>
      <w:r>
        <w:rPr>
          <w:rFonts w:hint="eastAsia" w:ascii="宋体" w:hAnsi="宋体"/>
          <w:color w:val="auto"/>
          <w:spacing w:val="4"/>
          <w:kern w:val="0"/>
          <w:szCs w:val="21"/>
          <w:highlight w:val="none"/>
        </w:rPr>
        <w:t>法定代表人或授权代理人(签字或盖章)：</w:t>
      </w:r>
    </w:p>
    <w:p>
      <w:pPr>
        <w:spacing w:before="120" w:after="120"/>
        <w:jc w:val="center"/>
        <w:rPr>
          <w:rFonts w:ascii="宋体" w:hAnsi="宋体"/>
          <w:b/>
          <w:color w:val="auto"/>
          <w:szCs w:val="21"/>
          <w:highlight w:val="none"/>
        </w:rPr>
      </w:pPr>
      <w:r>
        <w:rPr>
          <w:rFonts w:hint="eastAsia" w:ascii="宋体" w:hAnsi="宋体"/>
          <w:color w:val="auto"/>
          <w:szCs w:val="21"/>
          <w:highlight w:val="none"/>
        </w:rPr>
        <w:t xml:space="preserve">                 日   期：    年    月    日</w:t>
      </w:r>
    </w:p>
    <w:p>
      <w:pPr>
        <w:jc w:val="left"/>
        <w:rPr>
          <w:rFonts w:cs="宋体"/>
          <w:color w:val="auto"/>
          <w:highlight w:val="none"/>
        </w:rPr>
      </w:pPr>
      <w:r>
        <w:rPr>
          <w:rFonts w:cs="宋体"/>
          <w:color w:val="auto"/>
          <w:highlight w:val="none"/>
        </w:rPr>
        <w:br w:type="page"/>
      </w:r>
    </w:p>
    <w:p>
      <w:pPr>
        <w:pStyle w:val="5"/>
        <w:numPr>
          <w:ilvl w:val="0"/>
          <w:numId w:val="11"/>
        </w:numPr>
        <w:jc w:val="center"/>
        <w:rPr>
          <w:rFonts w:hint="eastAsia" w:cs="宋体"/>
          <w:color w:val="auto"/>
          <w:highlight w:val="none"/>
        </w:rPr>
      </w:pPr>
      <w:r>
        <w:rPr>
          <w:rFonts w:hint="eastAsia" w:cs="宋体"/>
          <w:color w:val="auto"/>
          <w:highlight w:val="none"/>
        </w:rPr>
        <w:t>格式七</w:t>
      </w:r>
    </w:p>
    <w:p>
      <w:pPr>
        <w:jc w:val="center"/>
        <w:rPr>
          <w:rFonts w:hint="eastAsia" w:ascii="宋体" w:hAnsi="宋体" w:cs="宋体"/>
          <w:b/>
          <w:color w:val="auto"/>
          <w:sz w:val="36"/>
          <w:szCs w:val="36"/>
        </w:rPr>
      </w:pPr>
      <w:r>
        <w:rPr>
          <w:rFonts w:hint="eastAsia" w:ascii="宋体" w:hAnsi="宋体" w:cs="宋体"/>
          <w:b/>
          <w:color w:val="auto"/>
          <w:sz w:val="36"/>
          <w:szCs w:val="36"/>
        </w:rPr>
        <w:t>企业类似工程业绩表</w:t>
      </w:r>
    </w:p>
    <w:tbl>
      <w:tblPr>
        <w:tblStyle w:val="38"/>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392"/>
        <w:gridCol w:w="1864"/>
        <w:gridCol w:w="1510"/>
        <w:gridCol w:w="1209"/>
        <w:gridCol w:w="892"/>
        <w:gridCol w:w="171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821" w:type="dxa"/>
            <w:vAlign w:val="center"/>
          </w:tcPr>
          <w:p>
            <w:pPr>
              <w:jc w:val="center"/>
              <w:rPr>
                <w:color w:val="auto"/>
                <w:sz w:val="24"/>
                <w:szCs w:val="24"/>
                <w:vertAlign w:val="baseline"/>
              </w:rPr>
            </w:pPr>
            <w:r>
              <w:rPr>
                <w:rFonts w:hint="eastAsia" w:asciiTheme="minorEastAsia" w:hAnsiTheme="minorEastAsia" w:eastAsiaTheme="minorEastAsia"/>
                <w:color w:val="auto"/>
                <w:sz w:val="24"/>
                <w:szCs w:val="24"/>
              </w:rPr>
              <w:t>序号</w:t>
            </w:r>
          </w:p>
        </w:tc>
        <w:tc>
          <w:tcPr>
            <w:tcW w:w="1392" w:type="dxa"/>
            <w:vAlign w:val="center"/>
          </w:tcPr>
          <w:p>
            <w:pPr>
              <w:jc w:val="center"/>
              <w:rPr>
                <w:color w:val="auto"/>
                <w:sz w:val="24"/>
                <w:szCs w:val="24"/>
                <w:vertAlign w:val="baseline"/>
              </w:rPr>
            </w:pPr>
            <w:r>
              <w:rPr>
                <w:rFonts w:hint="eastAsia" w:asciiTheme="minorEastAsia" w:hAnsiTheme="minorEastAsia" w:eastAsiaTheme="minorEastAsia"/>
                <w:color w:val="auto"/>
                <w:sz w:val="24"/>
                <w:szCs w:val="24"/>
              </w:rPr>
              <w:t>项目名称</w:t>
            </w:r>
          </w:p>
        </w:tc>
        <w:tc>
          <w:tcPr>
            <w:tcW w:w="1864" w:type="dxa"/>
            <w:vAlign w:val="center"/>
          </w:tcPr>
          <w:p>
            <w:pPr>
              <w:jc w:val="center"/>
              <w:rPr>
                <w:rFonts w:hint="eastAsia" w:eastAsiaTheme="minorEastAsia"/>
                <w:color w:val="auto"/>
                <w:sz w:val="24"/>
                <w:szCs w:val="24"/>
                <w:vertAlign w:val="baseline"/>
                <w:lang w:eastAsia="zh-CN"/>
              </w:rPr>
            </w:pPr>
            <w:r>
              <w:rPr>
                <w:rFonts w:hint="eastAsia" w:asciiTheme="minorEastAsia" w:hAnsiTheme="minorEastAsia" w:eastAsiaTheme="minorEastAsia"/>
                <w:color w:val="auto"/>
                <w:sz w:val="24"/>
                <w:szCs w:val="24"/>
              </w:rPr>
              <w:t>规模</w:t>
            </w:r>
            <w:r>
              <w:rPr>
                <w:rFonts w:hint="eastAsia" w:asciiTheme="minorEastAsia" w:hAnsiTheme="minorEastAsia" w:eastAsiaTheme="minorEastAsia"/>
                <w:color w:val="auto"/>
                <w:sz w:val="24"/>
                <w:szCs w:val="24"/>
                <w:lang w:eastAsia="zh-CN"/>
              </w:rPr>
              <w:t>（建筑面积等）</w:t>
            </w:r>
          </w:p>
        </w:tc>
        <w:tc>
          <w:tcPr>
            <w:tcW w:w="1510" w:type="dxa"/>
            <w:vAlign w:val="center"/>
          </w:tcPr>
          <w:p>
            <w:pPr>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合同价</w:t>
            </w:r>
          </w:p>
          <w:p>
            <w:pPr>
              <w:jc w:val="center"/>
              <w:rPr>
                <w:color w:val="auto"/>
                <w:sz w:val="24"/>
                <w:szCs w:val="24"/>
                <w:vertAlign w:val="baseline"/>
              </w:rPr>
            </w:pPr>
            <w:r>
              <w:rPr>
                <w:rFonts w:hint="eastAsia" w:asciiTheme="minorEastAsia" w:hAnsiTheme="minorEastAsia" w:eastAsiaTheme="minorEastAsia"/>
                <w:color w:val="auto"/>
                <w:sz w:val="24"/>
                <w:szCs w:val="24"/>
              </w:rPr>
              <w:t>（万元）</w:t>
            </w:r>
          </w:p>
        </w:tc>
        <w:tc>
          <w:tcPr>
            <w:tcW w:w="1209" w:type="dxa"/>
            <w:vAlign w:val="center"/>
          </w:tcPr>
          <w:p>
            <w:pPr>
              <w:jc w:val="center"/>
              <w:rPr>
                <w:color w:val="auto"/>
                <w:sz w:val="24"/>
                <w:szCs w:val="24"/>
                <w:vertAlign w:val="baseline"/>
              </w:rPr>
            </w:pPr>
            <w:r>
              <w:rPr>
                <w:rFonts w:hint="eastAsia" w:asciiTheme="minorEastAsia" w:hAnsiTheme="minorEastAsia" w:eastAsiaTheme="minorEastAsia"/>
                <w:color w:val="auto"/>
                <w:sz w:val="24"/>
                <w:szCs w:val="24"/>
              </w:rPr>
              <w:t>项目负责人姓名</w:t>
            </w:r>
          </w:p>
        </w:tc>
        <w:tc>
          <w:tcPr>
            <w:tcW w:w="892" w:type="dxa"/>
            <w:vAlign w:val="center"/>
          </w:tcPr>
          <w:p>
            <w:pPr>
              <w:jc w:val="center"/>
              <w:rPr>
                <w:color w:val="auto"/>
                <w:sz w:val="24"/>
                <w:szCs w:val="24"/>
                <w:vertAlign w:val="baseline"/>
              </w:rPr>
            </w:pPr>
            <w:r>
              <w:rPr>
                <w:rFonts w:hint="eastAsia" w:asciiTheme="minorEastAsia" w:hAnsiTheme="minorEastAsia" w:eastAsiaTheme="minorEastAsia"/>
                <w:color w:val="auto"/>
                <w:sz w:val="24"/>
                <w:szCs w:val="24"/>
              </w:rPr>
              <w:t>是否已完工</w:t>
            </w:r>
          </w:p>
        </w:tc>
        <w:tc>
          <w:tcPr>
            <w:tcW w:w="1718" w:type="dxa"/>
            <w:vAlign w:val="center"/>
          </w:tcPr>
          <w:p>
            <w:pPr>
              <w:jc w:val="center"/>
              <w:rPr>
                <w:color w:val="auto"/>
                <w:sz w:val="24"/>
                <w:szCs w:val="24"/>
                <w:vertAlign w:val="baseline"/>
              </w:rPr>
            </w:pPr>
            <w:r>
              <w:rPr>
                <w:rFonts w:hint="eastAsia" w:asciiTheme="minorEastAsia" w:hAnsiTheme="minorEastAsia" w:eastAsiaTheme="minorEastAsia"/>
                <w:color w:val="auto"/>
                <w:sz w:val="24"/>
                <w:szCs w:val="24"/>
              </w:rPr>
              <w:t>业主联系方式（业主名称、联系人姓名、联系电话）</w:t>
            </w:r>
          </w:p>
        </w:tc>
        <w:tc>
          <w:tcPr>
            <w:tcW w:w="941" w:type="dxa"/>
            <w:vAlign w:val="center"/>
          </w:tcPr>
          <w:p>
            <w:pPr>
              <w:jc w:val="center"/>
              <w:rPr>
                <w:color w:val="auto"/>
                <w:sz w:val="24"/>
                <w:szCs w:val="24"/>
                <w:vertAlign w:val="baseline"/>
              </w:rPr>
            </w:pPr>
            <w:r>
              <w:rPr>
                <w:rFonts w:hint="eastAsia" w:asciiTheme="minorEastAsia" w:hAnsiTheme="minorEastAsia" w:eastAsia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1" w:type="dxa"/>
          </w:tcPr>
          <w:p>
            <w:pPr>
              <w:pStyle w:val="20"/>
              <w:rPr>
                <w:color w:val="auto"/>
                <w:sz w:val="24"/>
                <w:szCs w:val="24"/>
                <w:vertAlign w:val="baseline"/>
              </w:rPr>
            </w:pPr>
          </w:p>
        </w:tc>
        <w:tc>
          <w:tcPr>
            <w:tcW w:w="1392" w:type="dxa"/>
          </w:tcPr>
          <w:p>
            <w:pPr>
              <w:pStyle w:val="20"/>
              <w:rPr>
                <w:color w:val="auto"/>
                <w:sz w:val="24"/>
                <w:szCs w:val="24"/>
                <w:vertAlign w:val="baseline"/>
              </w:rPr>
            </w:pPr>
          </w:p>
        </w:tc>
        <w:tc>
          <w:tcPr>
            <w:tcW w:w="1864" w:type="dxa"/>
          </w:tcPr>
          <w:p>
            <w:pPr>
              <w:pStyle w:val="20"/>
              <w:rPr>
                <w:color w:val="auto"/>
                <w:sz w:val="24"/>
                <w:szCs w:val="24"/>
                <w:vertAlign w:val="baseline"/>
              </w:rPr>
            </w:pPr>
          </w:p>
        </w:tc>
        <w:tc>
          <w:tcPr>
            <w:tcW w:w="1510" w:type="dxa"/>
          </w:tcPr>
          <w:p>
            <w:pPr>
              <w:pStyle w:val="20"/>
              <w:rPr>
                <w:color w:val="auto"/>
                <w:sz w:val="24"/>
                <w:szCs w:val="24"/>
                <w:vertAlign w:val="baseline"/>
              </w:rPr>
            </w:pPr>
          </w:p>
        </w:tc>
        <w:tc>
          <w:tcPr>
            <w:tcW w:w="1209" w:type="dxa"/>
          </w:tcPr>
          <w:p>
            <w:pPr>
              <w:pStyle w:val="20"/>
              <w:rPr>
                <w:color w:val="auto"/>
                <w:sz w:val="24"/>
                <w:szCs w:val="24"/>
                <w:vertAlign w:val="baseline"/>
              </w:rPr>
            </w:pPr>
          </w:p>
        </w:tc>
        <w:tc>
          <w:tcPr>
            <w:tcW w:w="892" w:type="dxa"/>
          </w:tcPr>
          <w:p>
            <w:pPr>
              <w:pStyle w:val="20"/>
              <w:rPr>
                <w:color w:val="auto"/>
                <w:sz w:val="24"/>
                <w:szCs w:val="24"/>
                <w:vertAlign w:val="baseline"/>
              </w:rPr>
            </w:pPr>
          </w:p>
        </w:tc>
        <w:tc>
          <w:tcPr>
            <w:tcW w:w="1718" w:type="dxa"/>
          </w:tcPr>
          <w:p>
            <w:pPr>
              <w:pStyle w:val="20"/>
              <w:rPr>
                <w:color w:val="auto"/>
                <w:sz w:val="24"/>
                <w:szCs w:val="24"/>
                <w:vertAlign w:val="baseline"/>
              </w:rPr>
            </w:pPr>
          </w:p>
        </w:tc>
        <w:tc>
          <w:tcPr>
            <w:tcW w:w="941" w:type="dxa"/>
          </w:tcPr>
          <w:p>
            <w:pPr>
              <w:pStyle w:val="20"/>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1" w:type="dxa"/>
          </w:tcPr>
          <w:p>
            <w:pPr>
              <w:pStyle w:val="20"/>
              <w:rPr>
                <w:color w:val="auto"/>
                <w:sz w:val="24"/>
                <w:szCs w:val="24"/>
                <w:vertAlign w:val="baseline"/>
              </w:rPr>
            </w:pPr>
          </w:p>
        </w:tc>
        <w:tc>
          <w:tcPr>
            <w:tcW w:w="1392" w:type="dxa"/>
          </w:tcPr>
          <w:p>
            <w:pPr>
              <w:pStyle w:val="20"/>
              <w:rPr>
                <w:color w:val="auto"/>
                <w:sz w:val="24"/>
                <w:szCs w:val="24"/>
                <w:vertAlign w:val="baseline"/>
              </w:rPr>
            </w:pPr>
          </w:p>
        </w:tc>
        <w:tc>
          <w:tcPr>
            <w:tcW w:w="1864" w:type="dxa"/>
          </w:tcPr>
          <w:p>
            <w:pPr>
              <w:pStyle w:val="20"/>
              <w:rPr>
                <w:color w:val="auto"/>
                <w:sz w:val="24"/>
                <w:szCs w:val="24"/>
                <w:vertAlign w:val="baseline"/>
              </w:rPr>
            </w:pPr>
          </w:p>
        </w:tc>
        <w:tc>
          <w:tcPr>
            <w:tcW w:w="1510" w:type="dxa"/>
          </w:tcPr>
          <w:p>
            <w:pPr>
              <w:pStyle w:val="20"/>
              <w:rPr>
                <w:color w:val="auto"/>
                <w:sz w:val="24"/>
                <w:szCs w:val="24"/>
                <w:vertAlign w:val="baseline"/>
              </w:rPr>
            </w:pPr>
          </w:p>
        </w:tc>
        <w:tc>
          <w:tcPr>
            <w:tcW w:w="1209" w:type="dxa"/>
          </w:tcPr>
          <w:p>
            <w:pPr>
              <w:pStyle w:val="20"/>
              <w:rPr>
                <w:color w:val="auto"/>
                <w:sz w:val="24"/>
                <w:szCs w:val="24"/>
                <w:vertAlign w:val="baseline"/>
              </w:rPr>
            </w:pPr>
          </w:p>
        </w:tc>
        <w:tc>
          <w:tcPr>
            <w:tcW w:w="892" w:type="dxa"/>
          </w:tcPr>
          <w:p>
            <w:pPr>
              <w:pStyle w:val="20"/>
              <w:rPr>
                <w:color w:val="auto"/>
                <w:sz w:val="24"/>
                <w:szCs w:val="24"/>
                <w:vertAlign w:val="baseline"/>
              </w:rPr>
            </w:pPr>
          </w:p>
        </w:tc>
        <w:tc>
          <w:tcPr>
            <w:tcW w:w="1718" w:type="dxa"/>
          </w:tcPr>
          <w:p>
            <w:pPr>
              <w:pStyle w:val="20"/>
              <w:rPr>
                <w:color w:val="auto"/>
                <w:sz w:val="24"/>
                <w:szCs w:val="24"/>
                <w:vertAlign w:val="baseline"/>
              </w:rPr>
            </w:pPr>
          </w:p>
        </w:tc>
        <w:tc>
          <w:tcPr>
            <w:tcW w:w="941" w:type="dxa"/>
          </w:tcPr>
          <w:p>
            <w:pPr>
              <w:pStyle w:val="20"/>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1" w:type="dxa"/>
          </w:tcPr>
          <w:p>
            <w:pPr>
              <w:pStyle w:val="20"/>
              <w:rPr>
                <w:color w:val="auto"/>
                <w:sz w:val="24"/>
                <w:szCs w:val="24"/>
                <w:vertAlign w:val="baseline"/>
              </w:rPr>
            </w:pPr>
          </w:p>
        </w:tc>
        <w:tc>
          <w:tcPr>
            <w:tcW w:w="1392" w:type="dxa"/>
          </w:tcPr>
          <w:p>
            <w:pPr>
              <w:pStyle w:val="20"/>
              <w:rPr>
                <w:color w:val="auto"/>
                <w:sz w:val="24"/>
                <w:szCs w:val="24"/>
                <w:vertAlign w:val="baseline"/>
              </w:rPr>
            </w:pPr>
          </w:p>
        </w:tc>
        <w:tc>
          <w:tcPr>
            <w:tcW w:w="1864" w:type="dxa"/>
          </w:tcPr>
          <w:p>
            <w:pPr>
              <w:pStyle w:val="20"/>
              <w:rPr>
                <w:color w:val="auto"/>
                <w:sz w:val="24"/>
                <w:szCs w:val="24"/>
                <w:vertAlign w:val="baseline"/>
              </w:rPr>
            </w:pPr>
          </w:p>
        </w:tc>
        <w:tc>
          <w:tcPr>
            <w:tcW w:w="1510" w:type="dxa"/>
          </w:tcPr>
          <w:p>
            <w:pPr>
              <w:pStyle w:val="20"/>
              <w:rPr>
                <w:color w:val="auto"/>
                <w:sz w:val="24"/>
                <w:szCs w:val="24"/>
                <w:vertAlign w:val="baseline"/>
              </w:rPr>
            </w:pPr>
          </w:p>
        </w:tc>
        <w:tc>
          <w:tcPr>
            <w:tcW w:w="1209" w:type="dxa"/>
          </w:tcPr>
          <w:p>
            <w:pPr>
              <w:pStyle w:val="20"/>
              <w:rPr>
                <w:color w:val="auto"/>
                <w:sz w:val="24"/>
                <w:szCs w:val="24"/>
                <w:vertAlign w:val="baseline"/>
              </w:rPr>
            </w:pPr>
          </w:p>
        </w:tc>
        <w:tc>
          <w:tcPr>
            <w:tcW w:w="892" w:type="dxa"/>
          </w:tcPr>
          <w:p>
            <w:pPr>
              <w:pStyle w:val="20"/>
              <w:rPr>
                <w:color w:val="auto"/>
                <w:sz w:val="24"/>
                <w:szCs w:val="24"/>
                <w:vertAlign w:val="baseline"/>
              </w:rPr>
            </w:pPr>
          </w:p>
        </w:tc>
        <w:tc>
          <w:tcPr>
            <w:tcW w:w="1718" w:type="dxa"/>
          </w:tcPr>
          <w:p>
            <w:pPr>
              <w:pStyle w:val="20"/>
              <w:rPr>
                <w:color w:val="auto"/>
                <w:sz w:val="24"/>
                <w:szCs w:val="24"/>
                <w:vertAlign w:val="baseline"/>
              </w:rPr>
            </w:pPr>
          </w:p>
        </w:tc>
        <w:tc>
          <w:tcPr>
            <w:tcW w:w="941" w:type="dxa"/>
          </w:tcPr>
          <w:p>
            <w:pPr>
              <w:pStyle w:val="20"/>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1" w:type="dxa"/>
          </w:tcPr>
          <w:p>
            <w:pPr>
              <w:pStyle w:val="20"/>
              <w:rPr>
                <w:color w:val="auto"/>
                <w:sz w:val="24"/>
                <w:szCs w:val="24"/>
                <w:vertAlign w:val="baseline"/>
              </w:rPr>
            </w:pPr>
          </w:p>
        </w:tc>
        <w:tc>
          <w:tcPr>
            <w:tcW w:w="1392" w:type="dxa"/>
          </w:tcPr>
          <w:p>
            <w:pPr>
              <w:pStyle w:val="20"/>
              <w:rPr>
                <w:color w:val="auto"/>
                <w:sz w:val="24"/>
                <w:szCs w:val="24"/>
                <w:vertAlign w:val="baseline"/>
              </w:rPr>
            </w:pPr>
          </w:p>
        </w:tc>
        <w:tc>
          <w:tcPr>
            <w:tcW w:w="1864" w:type="dxa"/>
          </w:tcPr>
          <w:p>
            <w:pPr>
              <w:pStyle w:val="20"/>
              <w:rPr>
                <w:color w:val="auto"/>
                <w:sz w:val="24"/>
                <w:szCs w:val="24"/>
                <w:vertAlign w:val="baseline"/>
              </w:rPr>
            </w:pPr>
          </w:p>
        </w:tc>
        <w:tc>
          <w:tcPr>
            <w:tcW w:w="1510" w:type="dxa"/>
          </w:tcPr>
          <w:p>
            <w:pPr>
              <w:pStyle w:val="20"/>
              <w:rPr>
                <w:color w:val="auto"/>
                <w:sz w:val="24"/>
                <w:szCs w:val="24"/>
                <w:vertAlign w:val="baseline"/>
              </w:rPr>
            </w:pPr>
          </w:p>
        </w:tc>
        <w:tc>
          <w:tcPr>
            <w:tcW w:w="1209" w:type="dxa"/>
          </w:tcPr>
          <w:p>
            <w:pPr>
              <w:pStyle w:val="20"/>
              <w:rPr>
                <w:color w:val="auto"/>
                <w:sz w:val="24"/>
                <w:szCs w:val="24"/>
                <w:vertAlign w:val="baseline"/>
              </w:rPr>
            </w:pPr>
          </w:p>
        </w:tc>
        <w:tc>
          <w:tcPr>
            <w:tcW w:w="892" w:type="dxa"/>
          </w:tcPr>
          <w:p>
            <w:pPr>
              <w:pStyle w:val="20"/>
              <w:rPr>
                <w:color w:val="auto"/>
                <w:sz w:val="24"/>
                <w:szCs w:val="24"/>
                <w:vertAlign w:val="baseline"/>
              </w:rPr>
            </w:pPr>
          </w:p>
        </w:tc>
        <w:tc>
          <w:tcPr>
            <w:tcW w:w="1718" w:type="dxa"/>
          </w:tcPr>
          <w:p>
            <w:pPr>
              <w:pStyle w:val="20"/>
              <w:rPr>
                <w:color w:val="auto"/>
                <w:sz w:val="24"/>
                <w:szCs w:val="24"/>
                <w:vertAlign w:val="baseline"/>
              </w:rPr>
            </w:pPr>
          </w:p>
        </w:tc>
        <w:tc>
          <w:tcPr>
            <w:tcW w:w="941" w:type="dxa"/>
          </w:tcPr>
          <w:p>
            <w:pPr>
              <w:pStyle w:val="20"/>
              <w:rPr>
                <w:color w:val="auto"/>
                <w:sz w:val="24"/>
                <w:szCs w:val="24"/>
                <w:vertAlign w:val="baseline"/>
              </w:rPr>
            </w:pPr>
          </w:p>
        </w:tc>
      </w:tr>
    </w:tbl>
    <w:p>
      <w:pPr>
        <w:pStyle w:val="20"/>
        <w:rPr>
          <w:color w:val="auto"/>
        </w:rPr>
      </w:pPr>
    </w:p>
    <w:p>
      <w:pPr>
        <w:spacing w:line="360" w:lineRule="auto"/>
        <w:jc w:val="center"/>
        <w:rPr>
          <w:rFonts w:ascii="宋体" w:hAnsi="宋体" w:cs="宋体"/>
          <w:b/>
          <w:strike/>
          <w:color w:val="auto"/>
          <w:sz w:val="24"/>
          <w:szCs w:val="24"/>
          <w:highlight w:val="none"/>
        </w:rPr>
      </w:pPr>
    </w:p>
    <w:p>
      <w:pPr>
        <w:rPr>
          <w:rFonts w:ascii="宋体" w:hAnsi="宋体"/>
          <w:color w:val="auto"/>
          <w:szCs w:val="24"/>
          <w:highlight w:val="none"/>
        </w:rPr>
      </w:pPr>
      <w:r>
        <w:rPr>
          <w:rFonts w:hint="eastAsia" w:ascii="宋体" w:hAnsi="宋体"/>
          <w:color w:val="auto"/>
          <w:szCs w:val="24"/>
          <w:highlight w:val="none"/>
        </w:rPr>
        <w:t>注：结合评标办法提供。</w:t>
      </w:r>
    </w:p>
    <w:p>
      <w:pPr>
        <w:spacing w:line="360" w:lineRule="auto"/>
        <w:jc w:val="left"/>
        <w:rPr>
          <w:rFonts w:ascii="Times New Roman" w:hAnsi="宋体" w:cs="宋体"/>
          <w:bCs/>
          <w:color w:val="auto"/>
          <w:szCs w:val="24"/>
          <w:highlight w:val="none"/>
        </w:rPr>
      </w:pPr>
    </w:p>
    <w:p>
      <w:pPr>
        <w:topLinePunct/>
        <w:adjustRightInd w:val="0"/>
        <w:snapToGrid w:val="0"/>
        <w:spacing w:line="360" w:lineRule="auto"/>
        <w:jc w:val="center"/>
        <w:rPr>
          <w:rFonts w:ascii="宋体" w:hAnsi="宋体" w:cs="宋体"/>
          <w:b/>
          <w:snapToGrid w:val="0"/>
          <w:color w:val="auto"/>
          <w:spacing w:val="4"/>
          <w:kern w:val="0"/>
          <w:sz w:val="24"/>
          <w:szCs w:val="24"/>
          <w:highlight w:val="none"/>
        </w:rPr>
      </w:pPr>
    </w:p>
    <w:bookmarkEnd w:id="24"/>
    <w:bookmarkEnd w:id="25"/>
    <w:p>
      <w:pPr>
        <w:pStyle w:val="126"/>
        <w:ind w:firstLine="496" w:firstLineChars="0"/>
        <w:rPr>
          <w:rFonts w:eastAsia="宋体" w:cs="宋体"/>
          <w:color w:val="auto"/>
          <w:highlight w:val="none"/>
        </w:rPr>
      </w:pPr>
    </w:p>
    <w:p>
      <w:pPr>
        <w:pStyle w:val="5"/>
        <w:jc w:val="left"/>
        <w:rPr>
          <w:rFonts w:cs="宋体"/>
          <w:bCs/>
          <w:color w:val="auto"/>
          <w:kern w:val="0"/>
          <w:highlight w:val="none"/>
        </w:rPr>
      </w:pPr>
      <w:r>
        <w:rPr>
          <w:rFonts w:cs="宋体"/>
          <w:color w:val="auto"/>
          <w:highlight w:val="none"/>
        </w:rPr>
        <w:br w:type="page"/>
      </w:r>
      <w:bookmarkStart w:id="26" w:name="_Toc89179881"/>
      <w:r>
        <w:rPr>
          <w:rFonts w:hint="eastAsia" w:cs="宋体"/>
          <w:color w:val="auto"/>
          <w:kern w:val="0"/>
          <w:highlight w:val="none"/>
        </w:rPr>
        <w:t>格式八</w:t>
      </w:r>
      <w:r>
        <w:rPr>
          <w:rFonts w:hint="eastAsia" w:cs="宋体"/>
          <w:bCs/>
          <w:color w:val="auto"/>
          <w:kern w:val="0"/>
          <w:highlight w:val="none"/>
        </w:rPr>
        <w:t xml:space="preserve"> </w:t>
      </w:r>
      <w:bookmarkEnd w:id="26"/>
    </w:p>
    <w:p>
      <w:pPr>
        <w:spacing w:line="271" w:lineRule="auto"/>
        <w:jc w:val="center"/>
        <w:rPr>
          <w:rFonts w:ascii="宋体" w:hAnsi="宋体"/>
          <w:b/>
          <w:bCs/>
          <w:color w:val="auto"/>
          <w:sz w:val="28"/>
          <w:szCs w:val="28"/>
          <w:highlight w:val="none"/>
        </w:rPr>
      </w:pPr>
      <w:r>
        <w:rPr>
          <w:rFonts w:hint="eastAsia" w:ascii="宋体" w:hAnsi="宋体"/>
          <w:b/>
          <w:bCs/>
          <w:color w:val="auto"/>
          <w:sz w:val="28"/>
          <w:szCs w:val="28"/>
          <w:highlight w:val="none"/>
        </w:rPr>
        <w:t>施工组织设计方案</w:t>
      </w:r>
    </w:p>
    <w:p>
      <w:pPr>
        <w:spacing w:line="400" w:lineRule="exact"/>
        <w:rPr>
          <w:rFonts w:ascii="宋体" w:hAnsi="宋体"/>
          <w:color w:val="auto"/>
          <w:sz w:val="24"/>
          <w:szCs w:val="24"/>
          <w:highlight w:val="none"/>
          <w:u w:val="single"/>
        </w:rPr>
      </w:pPr>
    </w:p>
    <w:p>
      <w:pPr>
        <w:spacing w:line="360" w:lineRule="auto"/>
        <w:ind w:firstLine="0" w:firstLineChars="0"/>
        <w:jc w:val="center"/>
        <w:rPr>
          <w:rFonts w:ascii="宋体" w:hAnsi="宋体"/>
          <w:color w:val="auto"/>
          <w:sz w:val="24"/>
          <w:szCs w:val="24"/>
          <w:highlight w:val="none"/>
          <w:u w:val="single"/>
        </w:rPr>
      </w:pPr>
      <w:r>
        <w:rPr>
          <w:rFonts w:hint="eastAsia" w:ascii="宋体" w:hAnsi="宋体"/>
          <w:color w:val="auto"/>
          <w:sz w:val="24"/>
          <w:szCs w:val="24"/>
          <w:highlight w:val="none"/>
        </w:rPr>
        <w:t>格式自拟</w:t>
      </w:r>
    </w:p>
    <w:p>
      <w:pPr>
        <w:autoSpaceDN w:val="0"/>
        <w:rPr>
          <w:rFonts w:ascii="宋体" w:hAnsi="宋体" w:cs="宋体"/>
          <w:color w:val="auto"/>
          <w:highlight w:val="none"/>
        </w:rPr>
      </w:pPr>
      <w:r>
        <w:rPr>
          <w:rFonts w:ascii="宋体" w:hAnsi="宋体" w:cs="宋体"/>
          <w:color w:val="auto"/>
          <w:highlight w:val="none"/>
        </w:rPr>
        <w:t xml:space="preserve"> </w:t>
      </w:r>
    </w:p>
    <w:p>
      <w:pPr>
        <w:jc w:val="left"/>
        <w:rPr>
          <w:rFonts w:ascii="宋体" w:hAnsi="宋体"/>
          <w:color w:val="auto"/>
          <w:sz w:val="36"/>
          <w:szCs w:val="36"/>
          <w:highlight w:val="none"/>
        </w:rPr>
      </w:pPr>
      <w:r>
        <w:rPr>
          <w:rFonts w:ascii="宋体" w:hAnsi="宋体"/>
          <w:color w:val="auto"/>
          <w:sz w:val="36"/>
          <w:szCs w:val="36"/>
          <w:highlight w:val="none"/>
        </w:rPr>
        <w:br w:type="page"/>
      </w:r>
    </w:p>
    <w:p>
      <w:pPr>
        <w:ind w:firstLine="480" w:firstLineChars="200"/>
        <w:rPr>
          <w:rFonts w:ascii="宋体" w:hAnsi="宋体" w:cs="宋体"/>
          <w:bCs/>
          <w:color w:val="auto"/>
          <w:sz w:val="24"/>
          <w:szCs w:val="24"/>
          <w:highlight w:val="none"/>
          <w:lang w:val="zh-CN"/>
        </w:rPr>
      </w:pPr>
      <w:r>
        <w:rPr>
          <w:rFonts w:hint="eastAsia" w:ascii="宋体" w:hAnsi="宋体" w:cs="宋体"/>
          <w:color w:val="auto"/>
          <w:sz w:val="24"/>
          <w:szCs w:val="24"/>
          <w:highlight w:val="none"/>
        </w:rPr>
        <w:t>格式九</w:t>
      </w:r>
    </w:p>
    <w:p>
      <w:pPr>
        <w:autoSpaceDE w:val="0"/>
        <w:autoSpaceDN w:val="0"/>
        <w:adjustRightIn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拟投入本工程施工的主要机械设备配备表</w:t>
      </w:r>
    </w:p>
    <w:tbl>
      <w:tblPr>
        <w:tblStyle w:val="37"/>
        <w:tblW w:w="85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3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序</w:t>
            </w:r>
          </w:p>
          <w:p>
            <w:pPr>
              <w:spacing w:line="2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号</w:t>
            </w: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来源</w:t>
            </w:r>
          </w:p>
          <w:p>
            <w:pPr>
              <w:spacing w:line="2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(自有/</w:t>
            </w:r>
          </w:p>
          <w:p>
            <w:pPr>
              <w:spacing w:line="2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租赁)</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c>
          <w:tcPr>
            <w:tcW w:w="1369" w:type="dxa"/>
            <w:tcBorders>
              <w:top w:val="single" w:color="auto" w:sz="4" w:space="0"/>
              <w:left w:val="single" w:color="auto" w:sz="4" w:space="0"/>
              <w:right w:val="single" w:color="auto" w:sz="4" w:space="0"/>
            </w:tcBorders>
            <w:vAlign w:val="center"/>
          </w:tcPr>
          <w:p>
            <w:pPr>
              <w:spacing w:line="240" w:lineRule="exact"/>
              <w:jc w:val="center"/>
              <w:textAlignment w:val="center"/>
              <w:rPr>
                <w:rFonts w:ascii="宋体" w:hAnsi="宋体" w:cs="宋体"/>
                <w:color w:val="auto"/>
                <w:szCs w:val="21"/>
                <w:highlight w:val="none"/>
              </w:rPr>
            </w:pPr>
          </w:p>
        </w:tc>
      </w:tr>
    </w:tbl>
    <w:p>
      <w:pPr>
        <w:tabs>
          <w:tab w:val="left" w:pos="720"/>
        </w:tabs>
        <w:snapToGrid w:val="0"/>
        <w:spacing w:line="360" w:lineRule="auto"/>
        <w:rPr>
          <w:rFonts w:ascii="Times New Roman" w:hAnsi="Times New Roman"/>
          <w:color w:val="auto"/>
          <w:highlight w:val="none"/>
        </w:rPr>
      </w:pPr>
    </w:p>
    <w:p>
      <w:pPr>
        <w:ind w:right="-130" w:rightChars="-62"/>
        <w:rPr>
          <w:rFonts w:ascii="Times New Roman" w:hAnsi="Times New Roman"/>
          <w:color w:val="auto"/>
          <w:highlight w:val="none"/>
        </w:rPr>
      </w:pPr>
      <w:r>
        <w:rPr>
          <w:rFonts w:hint="eastAsia" w:ascii="Times New Roman" w:hAnsi="Times New Roman"/>
          <w:color w:val="auto"/>
          <w:highlight w:val="none"/>
        </w:rPr>
        <w:t>注：</w:t>
      </w:r>
    </w:p>
    <w:p>
      <w:pPr>
        <w:numPr>
          <w:ilvl w:val="0"/>
          <w:numId w:val="12"/>
        </w:numPr>
        <w:ind w:right="-130" w:rightChars="-62"/>
        <w:rPr>
          <w:rFonts w:ascii="Times New Roman" w:hAnsi="Times New Roman"/>
          <w:color w:val="auto"/>
          <w:highlight w:val="none"/>
        </w:rPr>
      </w:pPr>
      <w:r>
        <w:rPr>
          <w:rFonts w:hint="eastAsia" w:ascii="Times New Roman" w:hAnsi="Times New Roman"/>
          <w:color w:val="auto"/>
          <w:highlight w:val="none"/>
        </w:rPr>
        <w:t>设备名称及要求数量由投标人视本工程具体情况结合招标人对本工程的具体要求自行配备</w:t>
      </w:r>
      <w:r>
        <w:rPr>
          <w:rFonts w:ascii="Times New Roman" w:hAnsi="Times New Roman"/>
          <w:color w:val="auto"/>
          <w:highlight w:val="none"/>
        </w:rPr>
        <w:t>,一旦中标，要求全部到位，否则严格按照合同条款执行。</w:t>
      </w:r>
    </w:p>
    <w:p>
      <w:pPr>
        <w:numPr>
          <w:ilvl w:val="0"/>
          <w:numId w:val="12"/>
        </w:numPr>
        <w:ind w:right="-130" w:rightChars="-62"/>
        <w:rPr>
          <w:rFonts w:ascii="Times New Roman" w:hAnsi="Times New Roman"/>
          <w:color w:val="auto"/>
          <w:highlight w:val="none"/>
        </w:rPr>
      </w:pPr>
      <w:r>
        <w:rPr>
          <w:rFonts w:hint="eastAsia" w:ascii="Times New Roman" w:hAnsi="Times New Roman"/>
          <w:color w:val="auto"/>
          <w:highlight w:val="none"/>
        </w:rPr>
        <w:t>为贯彻绿色发展理念，本项目鼓励投标人积极使用新能源建筑垃圾自卸车（渣土车）等新能源工程车及其他节能环保施工设备。</w:t>
      </w:r>
    </w:p>
    <w:p>
      <w:pPr>
        <w:topLinePunct/>
        <w:adjustRightInd w:val="0"/>
        <w:snapToGrid w:val="0"/>
        <w:spacing w:line="360" w:lineRule="auto"/>
        <w:ind w:firstLine="3161" w:firstLineChars="1450"/>
        <w:rPr>
          <w:rFonts w:ascii="Times New Roman" w:hAnsi="Times New Roman"/>
          <w:snapToGrid w:val="0"/>
          <w:color w:val="auto"/>
          <w:spacing w:val="4"/>
          <w:kern w:val="0"/>
          <w:szCs w:val="21"/>
          <w:highlight w:val="none"/>
        </w:rPr>
      </w:pPr>
    </w:p>
    <w:p>
      <w:pPr>
        <w:topLinePunct/>
        <w:adjustRightInd w:val="0"/>
        <w:snapToGrid w:val="0"/>
        <w:spacing w:line="360" w:lineRule="auto"/>
        <w:ind w:firstLine="3161" w:firstLineChars="1450"/>
        <w:rPr>
          <w:rFonts w:ascii="Times New Roman" w:hAnsi="Times New Roman"/>
          <w:snapToGrid w:val="0"/>
          <w:color w:val="auto"/>
          <w:spacing w:val="4"/>
          <w:kern w:val="0"/>
          <w:szCs w:val="21"/>
          <w:highlight w:val="none"/>
        </w:rPr>
      </w:pPr>
      <w:r>
        <w:rPr>
          <w:rFonts w:hint="eastAsia" w:ascii="Times New Roman" w:hAnsi="Times New Roman"/>
          <w:snapToGrid w:val="0"/>
          <w:color w:val="auto"/>
          <w:spacing w:val="4"/>
          <w:kern w:val="0"/>
          <w:szCs w:val="21"/>
          <w:highlight w:val="none"/>
        </w:rPr>
        <w:t>投标人：　　（盖章）</w:t>
      </w:r>
    </w:p>
    <w:p>
      <w:pPr>
        <w:topLinePunct/>
        <w:adjustRightInd w:val="0"/>
        <w:snapToGrid w:val="0"/>
        <w:spacing w:line="360" w:lineRule="auto"/>
        <w:ind w:firstLine="3161" w:firstLineChars="1450"/>
        <w:rPr>
          <w:rFonts w:ascii="Times New Roman" w:hAnsi="Times New Roman"/>
          <w:snapToGrid w:val="0"/>
          <w:color w:val="auto"/>
          <w:spacing w:val="4"/>
          <w:kern w:val="0"/>
          <w:szCs w:val="21"/>
          <w:highlight w:val="none"/>
        </w:rPr>
      </w:pPr>
      <w:r>
        <w:rPr>
          <w:rFonts w:hint="eastAsia" w:ascii="Times New Roman" w:hAnsi="Times New Roman"/>
          <w:snapToGrid w:val="0"/>
          <w:color w:val="auto"/>
          <w:spacing w:val="4"/>
          <w:kern w:val="0"/>
          <w:szCs w:val="21"/>
          <w:highlight w:val="none"/>
        </w:rPr>
        <w:t>法定代表人或授权代理人（签字或盖章）：</w:t>
      </w:r>
    </w:p>
    <w:p>
      <w:pPr>
        <w:topLinePunct/>
        <w:adjustRightInd w:val="0"/>
        <w:snapToGrid w:val="0"/>
        <w:spacing w:line="360" w:lineRule="auto"/>
        <w:ind w:firstLine="3161" w:firstLineChars="1450"/>
        <w:rPr>
          <w:rFonts w:ascii="Times New Roman" w:hAnsi="Times New Roman"/>
          <w:snapToGrid w:val="0"/>
          <w:color w:val="auto"/>
          <w:spacing w:val="4"/>
          <w:kern w:val="0"/>
          <w:szCs w:val="21"/>
          <w:highlight w:val="none"/>
        </w:rPr>
      </w:pPr>
      <w:r>
        <w:rPr>
          <w:rFonts w:hint="eastAsia" w:ascii="Times New Roman" w:hAnsi="Times New Roman"/>
          <w:snapToGrid w:val="0"/>
          <w:color w:val="auto"/>
          <w:spacing w:val="4"/>
          <w:kern w:val="0"/>
          <w:szCs w:val="21"/>
          <w:highlight w:val="none"/>
        </w:rPr>
        <w:t>日期：  年  月  日</w:t>
      </w:r>
    </w:p>
    <w:p>
      <w:pPr>
        <w:pStyle w:val="5"/>
        <w:jc w:val="left"/>
        <w:rPr>
          <w:rFonts w:cs="宋体"/>
          <w:color w:val="auto"/>
          <w:kern w:val="0"/>
          <w:highlight w:val="none"/>
        </w:rPr>
      </w:pPr>
      <w:r>
        <w:rPr>
          <w:rFonts w:cs="宋体"/>
          <w:color w:val="auto"/>
          <w:highlight w:val="none"/>
        </w:rPr>
        <w:br w:type="page"/>
      </w:r>
      <w:r>
        <w:rPr>
          <w:rFonts w:hint="eastAsia" w:cs="宋体"/>
          <w:b w:val="0"/>
          <w:color w:val="auto"/>
          <w:kern w:val="0"/>
          <w:highlight w:val="none"/>
        </w:rPr>
        <w:t>格</w:t>
      </w:r>
      <w:r>
        <w:rPr>
          <w:rFonts w:hint="eastAsia" w:cs="宋体"/>
          <w:color w:val="auto"/>
          <w:kern w:val="0"/>
          <w:highlight w:val="none"/>
        </w:rPr>
        <w:t>式十</w:t>
      </w:r>
    </w:p>
    <w:p>
      <w:pPr>
        <w:pStyle w:val="6"/>
        <w:jc w:val="center"/>
        <w:rPr>
          <w:color w:val="auto"/>
          <w:highlight w:val="none"/>
        </w:rPr>
      </w:pPr>
      <w:r>
        <w:rPr>
          <w:rFonts w:hint="eastAsia"/>
          <w:color w:val="auto"/>
          <w:highlight w:val="none"/>
        </w:rPr>
        <w:t>危险性较大的分部分项工程安全管理措施</w:t>
      </w:r>
    </w:p>
    <w:p>
      <w:pPr>
        <w:numPr>
          <w:ilvl w:val="0"/>
          <w:numId w:val="13"/>
        </w:numPr>
        <w:autoSpaceDE w:val="0"/>
        <w:autoSpaceDN w:val="0"/>
        <w:adjustRightInd w:val="0"/>
        <w:spacing w:line="360" w:lineRule="auto"/>
        <w:jc w:val="left"/>
        <w:rPr>
          <w:rFonts w:ascii="宋体" w:hAnsi="宋体"/>
          <w:snapToGrid w:val="0"/>
          <w:color w:val="auto"/>
          <w:spacing w:val="4"/>
          <w:kern w:val="0"/>
          <w:sz w:val="24"/>
          <w:szCs w:val="24"/>
          <w:highlight w:val="none"/>
        </w:rPr>
      </w:pPr>
      <w:r>
        <w:rPr>
          <w:rFonts w:hint="eastAsia" w:ascii="宋体" w:hAnsi="宋体"/>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numPr>
          <w:ilvl w:val="0"/>
          <w:numId w:val="13"/>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olor w:val="auto"/>
          <w:sz w:val="24"/>
          <w:szCs w:val="36"/>
          <w:highlight w:val="none"/>
        </w:rPr>
        <w:t>√”标识。</w:t>
      </w:r>
    </w:p>
    <w:p>
      <w:pPr>
        <w:numPr>
          <w:ilvl w:val="0"/>
          <w:numId w:val="1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投标单位同意建设单位在清单中标识的该项请在对应项打“</w:t>
      </w:r>
      <w:r>
        <w:rPr>
          <w:rFonts w:hint="eastAsia" w:ascii="宋体" w:hAnsi="宋体"/>
          <w:color w:val="auto"/>
          <w:sz w:val="24"/>
          <w:szCs w:val="36"/>
          <w:highlight w:val="none"/>
        </w:rPr>
        <w:t>√”标识，并与投标文件中提供相应的安全管理措施。</w:t>
      </w:r>
    </w:p>
    <w:p>
      <w:pPr>
        <w:numPr>
          <w:ilvl w:val="0"/>
          <w:numId w:val="1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投标单位对清单中认为需要补充的该项请在对应项打“</w:t>
      </w:r>
      <w:r>
        <w:rPr>
          <w:rFonts w:hint="eastAsia" w:ascii="宋体" w:hAnsi="宋体"/>
          <w:color w:val="auto"/>
          <w:sz w:val="24"/>
          <w:szCs w:val="36"/>
          <w:highlight w:val="none"/>
        </w:rPr>
        <w:t>√”标识，并与投标文件中提供相应的安全管理措施。</w:t>
      </w:r>
    </w:p>
    <w:p>
      <w:pPr>
        <w:numPr>
          <w:ilvl w:val="0"/>
          <w:numId w:val="14"/>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36"/>
          <w:highlight w:val="none"/>
        </w:rPr>
        <w:t>投标单位不同意建设单位</w:t>
      </w:r>
      <w:r>
        <w:rPr>
          <w:rFonts w:hint="eastAsia" w:ascii="宋体" w:hAnsi="宋体"/>
          <w:color w:val="auto"/>
          <w:sz w:val="24"/>
          <w:szCs w:val="28"/>
          <w:highlight w:val="none"/>
        </w:rPr>
        <w:t>在清单中标识的该项</w:t>
      </w:r>
      <w:r>
        <w:rPr>
          <w:rFonts w:hint="eastAsia" w:ascii="宋体" w:hAnsi="宋体"/>
          <w:color w:val="auto"/>
          <w:sz w:val="24"/>
          <w:szCs w:val="36"/>
          <w:highlight w:val="none"/>
        </w:rPr>
        <w:t>请在对应项打“×”标识，并在备注栏填上相关说明。</w:t>
      </w:r>
    </w:p>
    <w:p>
      <w:pPr>
        <w:numPr>
          <w:ilvl w:val="0"/>
          <w:numId w:val="13"/>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投标单位应当在投标时根据招标人提供的下述第5点清单，在投标文件中编制专项施工方案。</w:t>
      </w:r>
    </w:p>
    <w:p>
      <w:pPr>
        <w:numPr>
          <w:ilvl w:val="0"/>
          <w:numId w:val="13"/>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13"/>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危险性较大的分部分项工程清单及超过一定规模的危险性较大的分部分项工程清单（参考版）：</w:t>
      </w:r>
    </w:p>
    <w:p>
      <w:pPr>
        <w:autoSpaceDE w:val="0"/>
        <w:autoSpaceDN w:val="0"/>
        <w:adjustRightInd w:val="0"/>
        <w:spacing w:line="360" w:lineRule="auto"/>
        <w:jc w:val="left"/>
        <w:rPr>
          <w:rFonts w:ascii="宋体" w:hAnsi="宋体"/>
          <w:color w:val="auto"/>
          <w:sz w:val="24"/>
          <w:szCs w:val="28"/>
          <w:highlight w:val="none"/>
        </w:rPr>
      </w:pPr>
    </w:p>
    <w:tbl>
      <w:tblPr>
        <w:tblStyle w:val="37"/>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1416"/>
        <w:gridCol w:w="1416"/>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80"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b/>
                <w:color w:val="auto"/>
                <w:highlight w:val="none"/>
              </w:rPr>
            </w:pPr>
            <w:r>
              <w:rPr>
                <w:rFonts w:hint="eastAsia" w:ascii="宋体" w:hAnsi="宋体"/>
                <w:b/>
                <w:color w:val="auto"/>
                <w:highlight w:val="none"/>
              </w:rPr>
              <w:t>危险性较大的分部分项工程清单</w:t>
            </w:r>
          </w:p>
        </w:tc>
        <w:tc>
          <w:tcPr>
            <w:tcW w:w="1416" w:type="dxa"/>
            <w:tcBorders>
              <w:top w:val="single" w:color="auto" w:sz="4" w:space="0"/>
              <w:left w:val="nil"/>
              <w:bottom w:val="single" w:color="auto" w:sz="4" w:space="0"/>
              <w:right w:val="single" w:color="auto" w:sz="4" w:space="0"/>
            </w:tcBorders>
            <w:shd w:val="clear" w:color="auto" w:fill="D8D8D8"/>
            <w:vAlign w:val="center"/>
          </w:tcPr>
          <w:p>
            <w:pPr>
              <w:jc w:val="center"/>
              <w:rPr>
                <w:rFonts w:ascii="宋体" w:hAnsi="宋体"/>
                <w:b/>
                <w:color w:val="auto"/>
                <w:highlight w:val="none"/>
              </w:rPr>
            </w:pPr>
            <w:r>
              <w:rPr>
                <w:rFonts w:hint="eastAsia" w:ascii="宋体" w:hAnsi="宋体"/>
                <w:b/>
                <w:color w:val="auto"/>
                <w:highlight w:val="none"/>
              </w:rPr>
              <w:t>招标人</w:t>
            </w:r>
          </w:p>
        </w:tc>
        <w:tc>
          <w:tcPr>
            <w:tcW w:w="1416" w:type="dxa"/>
            <w:tcBorders>
              <w:top w:val="single" w:color="auto" w:sz="4" w:space="0"/>
              <w:left w:val="nil"/>
              <w:bottom w:val="single" w:color="auto" w:sz="4" w:space="0"/>
              <w:right w:val="single" w:color="auto" w:sz="4" w:space="0"/>
            </w:tcBorders>
            <w:shd w:val="clear" w:color="auto" w:fill="D8D8D8"/>
            <w:vAlign w:val="center"/>
          </w:tcPr>
          <w:p>
            <w:pPr>
              <w:jc w:val="center"/>
              <w:rPr>
                <w:rFonts w:ascii="宋体" w:hAnsi="宋体"/>
                <w:b/>
                <w:color w:val="auto"/>
                <w:highlight w:val="none"/>
              </w:rPr>
            </w:pPr>
            <w:r>
              <w:rPr>
                <w:rFonts w:hint="eastAsia" w:ascii="宋体" w:hAnsi="宋体"/>
                <w:b/>
                <w:color w:val="auto"/>
                <w:highlight w:val="none"/>
              </w:rPr>
              <w:t>投标单位</w:t>
            </w:r>
          </w:p>
        </w:tc>
        <w:tc>
          <w:tcPr>
            <w:tcW w:w="1106" w:type="dxa"/>
            <w:tcBorders>
              <w:top w:val="single" w:color="auto" w:sz="4" w:space="0"/>
              <w:left w:val="nil"/>
              <w:bottom w:val="single" w:color="auto" w:sz="4" w:space="0"/>
              <w:right w:val="single" w:color="auto" w:sz="4" w:space="0"/>
            </w:tcBorders>
            <w:shd w:val="clear" w:color="auto" w:fill="D8D8D8"/>
            <w:vAlign w:val="center"/>
          </w:tcPr>
          <w:p>
            <w:pPr>
              <w:jc w:val="center"/>
              <w:rPr>
                <w:rFonts w:ascii="宋体" w:hAnsi="宋体"/>
                <w:b/>
                <w:color w:val="auto"/>
                <w:highlight w:val="none"/>
              </w:rPr>
            </w:pPr>
            <w:r>
              <w:rPr>
                <w:rFonts w:hint="eastAsia" w:ascii="宋体"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r>
              <w:rPr>
                <w:rFonts w:hint="eastAsia" w:ascii="宋体" w:hAnsi="宋体"/>
                <w:b/>
                <w:color w:val="auto"/>
                <w:highlight w:val="none"/>
              </w:rPr>
              <w:t>一、基坑支护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（一）开挖深度超过3m（含3m）的基坑（槽）的土方开挖、支护、降水工程。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（二）开挖深度虽未超过3m，但地质条件、周围环境和地下管线复杂，或影响毗邻建、构筑物安全的基坑（槽）的土方开挖、支护、降水工程。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b/>
                <w:color w:val="auto"/>
                <w:highlight w:val="none"/>
              </w:rPr>
              <w:t>√</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b/>
                <w:color w:val="auto"/>
                <w:highlight w:val="none"/>
              </w:rPr>
              <w:t>二、模板工程及支撑体系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r>
              <w:rPr>
                <w:rFonts w:hint="eastAsia" w:ascii="宋体" w:hAnsi="宋体"/>
                <w:color w:val="auto"/>
                <w:highlight w:val="none"/>
              </w:rPr>
              <w:t>（三）承重支撑体系：用于钢结构安装等满堂支撑体系。</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b/>
                <w:color w:val="auto"/>
                <w:highlight w:val="none"/>
              </w:rPr>
              <w:t>三、起重吊装及起重机械安装拆卸工程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r>
              <w:rPr>
                <w:rFonts w:hint="eastAsia" w:ascii="宋体" w:hAnsi="宋体"/>
                <w:color w:val="auto"/>
                <w:highlight w:val="none"/>
              </w:rPr>
              <w:t>（一）采用非常规起重设备、方法，且单件起吊重量在10kN及以上的起重吊装工程。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b/>
                <w:color w:val="auto"/>
                <w:highlight w:val="none"/>
              </w:rPr>
              <w:t>√</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（二）采用起重机械进行安装的工程。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olor w:val="auto"/>
                <w:highlight w:val="none"/>
              </w:rPr>
              <w:t>（三）起重机械安装和拆卸工程。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b/>
                <w:color w:val="auto"/>
                <w:highlight w:val="none"/>
              </w:rPr>
              <w:t>√</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b/>
                <w:color w:val="auto"/>
                <w:highlight w:val="none"/>
              </w:rPr>
              <w:t>四、脚手架工程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（一）搭设高度24m及以上的落地式钢管脚手架工程（包括采光井、电梯井脚手架）。</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b/>
                <w:color w:val="auto"/>
                <w:highlight w:val="none"/>
              </w:rPr>
              <w:t>√</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（二）附着式升降脚手架工程。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（三）悬挑式脚手架工程。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（四）高处作业吊篮。</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（五）卸料平台、操作平台工程。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（六）异型脚手架工程。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b/>
                <w:color w:val="auto"/>
                <w:highlight w:val="none"/>
              </w:rPr>
              <w:t>五、拆除工程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可能影响行人、交通、电力设施、通讯设施或其它建、构筑物安全的拆除工程。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b/>
                <w:color w:val="auto"/>
                <w:highlight w:val="none"/>
              </w:rPr>
              <w:t>六、暗挖工程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采用矿山法、盾构法、顶管法施工的隧道、洞室工程。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b/>
                <w:color w:val="auto"/>
                <w:highlight w:val="none"/>
              </w:rPr>
              <w:t>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（一）建筑幕墙安装工程。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（二）钢结构、网架和索膜结构安装工程。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（三）人工挖孔桩工程。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（四）水下作业工程。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（五）装配式建筑混凝土预制构件安装工程。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980"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b/>
                <w:color w:val="auto"/>
                <w:highlight w:val="none"/>
              </w:rPr>
            </w:pPr>
            <w:r>
              <w:rPr>
                <w:rFonts w:hint="eastAsia" w:ascii="宋体" w:hAnsi="宋体"/>
                <w:b/>
                <w:color w:val="auto"/>
                <w:highlight w:val="none"/>
              </w:rPr>
              <w:t>超过一定规模的危险性较大的分部分项工程清单</w:t>
            </w:r>
          </w:p>
        </w:tc>
        <w:tc>
          <w:tcPr>
            <w:tcW w:w="1416" w:type="dxa"/>
            <w:tcBorders>
              <w:top w:val="single" w:color="auto" w:sz="4" w:space="0"/>
              <w:left w:val="nil"/>
              <w:bottom w:val="single" w:color="auto" w:sz="4" w:space="0"/>
              <w:right w:val="single" w:color="auto" w:sz="4" w:space="0"/>
            </w:tcBorders>
            <w:shd w:val="clear" w:color="auto" w:fill="D8D8D8"/>
            <w:vAlign w:val="center"/>
          </w:tcPr>
          <w:p>
            <w:pPr>
              <w:jc w:val="center"/>
              <w:rPr>
                <w:rFonts w:ascii="宋体" w:hAnsi="宋体"/>
                <w:b/>
                <w:color w:val="auto"/>
                <w:highlight w:val="none"/>
              </w:rPr>
            </w:pPr>
            <w:r>
              <w:rPr>
                <w:rFonts w:hint="eastAsia" w:ascii="宋体" w:hAnsi="宋体"/>
                <w:b/>
                <w:color w:val="auto"/>
                <w:highlight w:val="none"/>
              </w:rPr>
              <w:t>招标人</w:t>
            </w:r>
          </w:p>
        </w:tc>
        <w:tc>
          <w:tcPr>
            <w:tcW w:w="1416" w:type="dxa"/>
            <w:tcBorders>
              <w:top w:val="single" w:color="auto" w:sz="4" w:space="0"/>
              <w:left w:val="nil"/>
              <w:bottom w:val="single" w:color="auto" w:sz="4" w:space="0"/>
              <w:right w:val="single" w:color="auto" w:sz="4" w:space="0"/>
            </w:tcBorders>
            <w:shd w:val="clear" w:color="auto" w:fill="D8D8D8"/>
            <w:vAlign w:val="center"/>
          </w:tcPr>
          <w:p>
            <w:pPr>
              <w:jc w:val="center"/>
              <w:rPr>
                <w:rFonts w:ascii="宋体" w:hAnsi="宋体"/>
                <w:b/>
                <w:color w:val="auto"/>
                <w:highlight w:val="none"/>
              </w:rPr>
            </w:pPr>
            <w:r>
              <w:rPr>
                <w:rFonts w:hint="eastAsia" w:ascii="宋体" w:hAnsi="宋体"/>
                <w:b/>
                <w:color w:val="auto"/>
                <w:highlight w:val="none"/>
              </w:rPr>
              <w:t>投标单位</w:t>
            </w:r>
          </w:p>
        </w:tc>
        <w:tc>
          <w:tcPr>
            <w:tcW w:w="1106" w:type="dxa"/>
            <w:tcBorders>
              <w:top w:val="single" w:color="auto" w:sz="4" w:space="0"/>
              <w:left w:val="nil"/>
              <w:bottom w:val="single" w:color="auto" w:sz="4" w:space="0"/>
              <w:right w:val="single" w:color="auto" w:sz="4" w:space="0"/>
            </w:tcBorders>
            <w:shd w:val="clear" w:color="auto" w:fill="D8D8D8"/>
            <w:vAlign w:val="center"/>
          </w:tcPr>
          <w:p>
            <w:pPr>
              <w:jc w:val="center"/>
              <w:rPr>
                <w:rFonts w:ascii="宋体" w:hAnsi="宋体"/>
                <w:b/>
                <w:color w:val="auto"/>
                <w:highlight w:val="none"/>
              </w:rPr>
            </w:pPr>
            <w:r>
              <w:rPr>
                <w:rFonts w:hint="eastAsia" w:ascii="宋体"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r>
              <w:rPr>
                <w:rFonts w:hint="eastAsia" w:ascii="宋体" w:hAnsi="宋体"/>
                <w:b/>
                <w:color w:val="auto"/>
                <w:highlight w:val="none"/>
              </w:rPr>
              <w:t>一、深基坑工程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开挖深度超过5m（含5m）的基坑（槽）的土方开挖、支护、降水工程。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b/>
                <w:color w:val="auto"/>
                <w:highlight w:val="none"/>
              </w:rPr>
              <w:t>二、模板工程及支撑体系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（二）混凝土模板支撑工程：搭设高度8m及以上，或搭设跨度18m及以上，或施工总荷载（设计值）15kN/m2及以上，或集中线荷载（设计值）20kN/m及以上。</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（三）承重支撑体系：用于钢结构安装等满堂支撑体系，承受单点集中荷载7kN及以上。</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b/>
                <w:color w:val="auto"/>
                <w:highlight w:val="none"/>
              </w:rPr>
              <w:t>三、起重吊装及起重机械安装拆卸工程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（一）采用非常规起重设备、方法，且单件起吊重量在100kN及以上的起重吊装工程。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（二）起重量300kN及以上，或搭设总高度200m及以上，或搭设基础标高在200m及以上的起重机械安装和拆卸工程。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r>
              <w:rPr>
                <w:rFonts w:hint="eastAsia" w:ascii="宋体" w:hAnsi="宋体"/>
                <w:b/>
                <w:color w:val="auto"/>
                <w:highlight w:val="none"/>
              </w:rPr>
              <w:t>四、脚手架工程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（一）搭设高度50m及以上的落地式钢管脚手架工程。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（二）提升高度在150m及以上的附着式升降脚手架工程或附着式升降操作平台工程。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（三）分段架体搭设高度20m及以上的悬挑式脚手架工程。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r>
              <w:rPr>
                <w:rFonts w:hint="eastAsia" w:ascii="宋体" w:hAnsi="宋体"/>
                <w:b/>
                <w:color w:val="auto"/>
                <w:highlight w:val="none"/>
              </w:rPr>
              <w:t>五、拆除工程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（一）码头、桥梁、高架、烟囱、水塔或拆除中容易引起有毒有害气（液）体或粉尘扩散、易燃易爆事故发生的特殊建、构筑物的拆除工程。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（二）文物保护建筑、优秀历史建筑或历史文化风貌区影响范围内的拆除工程。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r>
              <w:rPr>
                <w:rFonts w:hint="eastAsia" w:ascii="宋体" w:hAnsi="宋体"/>
                <w:b/>
                <w:color w:val="auto"/>
                <w:highlight w:val="none"/>
              </w:rPr>
              <w:t>六、暗挖工程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采用矿山法、盾构法、顶管法施工的隧道、洞室工程。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r>
              <w:rPr>
                <w:rFonts w:hint="eastAsia" w:ascii="宋体" w:hAnsi="宋体"/>
                <w:b/>
                <w:color w:val="auto"/>
                <w:highlight w:val="none"/>
              </w:rPr>
              <w:t>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（一）施工高度50m及以上的建筑幕墙安装工程。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（二）跨度36m及以上的钢结构安装工程，或跨度60m及以上的网架和索膜结构安装工程。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（三）开挖深度16m及以上的人工挖孔桩工程。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（四）水下作业工程。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（五）重量1000kN及以上的大型结构整体顶升、平移、转体等施工工艺。</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b/>
                <w:color w:val="auto"/>
                <w:highlight w:val="none"/>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c>
          <w:tcPr>
            <w:tcW w:w="1106"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p>
        </w:tc>
      </w:tr>
    </w:tbl>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pPr>
        <w:spacing w:line="360" w:lineRule="auto"/>
        <w:ind w:firstLine="3120" w:firstLineChars="1300"/>
        <w:rPr>
          <w:rFonts w:ascii="宋体" w:hAnsi="宋体" w:cs="宋体"/>
          <w:color w:val="auto"/>
          <w:sz w:val="24"/>
          <w:szCs w:val="20"/>
          <w:highlight w:val="none"/>
        </w:rPr>
      </w:pPr>
      <w:r>
        <w:rPr>
          <w:rFonts w:hint="eastAsia" w:ascii="宋体" w:hAnsi="宋体" w:cs="宋体"/>
          <w:color w:val="auto"/>
          <w:sz w:val="24"/>
          <w:szCs w:val="20"/>
          <w:highlight w:val="none"/>
        </w:rPr>
        <w:t>法定代表人或被授权人（签字或盖章）：</w:t>
      </w:r>
    </w:p>
    <w:p>
      <w:pPr>
        <w:pStyle w:val="126"/>
        <w:wordWrap w:val="0"/>
        <w:ind w:firstLine="248" w:firstLineChars="100"/>
        <w:jc w:val="center"/>
        <w:rPr>
          <w:rFonts w:eastAsia="宋体" w:cs="宋体"/>
          <w:color w:val="auto"/>
          <w:highlight w:val="none"/>
        </w:rPr>
      </w:pPr>
      <w:r>
        <w:rPr>
          <w:rFonts w:hint="eastAsia" w:eastAsia="宋体" w:cs="宋体"/>
          <w:color w:val="auto"/>
          <w:szCs w:val="20"/>
          <w:highlight w:val="none"/>
        </w:rPr>
        <w:t xml:space="preserve">                              日期：   年  月  日　　　　　</w:t>
      </w:r>
    </w:p>
    <w:p>
      <w:pPr>
        <w:pStyle w:val="5"/>
        <w:jc w:val="left"/>
        <w:rPr>
          <w:rFonts w:cs="宋体"/>
          <w:color w:val="auto"/>
          <w:highlight w:val="none"/>
        </w:rPr>
      </w:pPr>
      <w:r>
        <w:rPr>
          <w:rFonts w:cs="宋体"/>
          <w:color w:val="auto"/>
          <w:highlight w:val="none"/>
        </w:rPr>
        <w:br w:type="page"/>
      </w:r>
      <w:r>
        <w:rPr>
          <w:rFonts w:hint="eastAsia" w:cs="宋体"/>
          <w:color w:val="auto"/>
          <w:highlight w:val="none"/>
        </w:rPr>
        <w:t>格式十一</w:t>
      </w:r>
    </w:p>
    <w:p>
      <w:pPr>
        <w:pStyle w:val="201"/>
        <w:ind w:firstLine="617"/>
        <w:rPr>
          <w:rFonts w:eastAsia="宋体" w:cs="宋体"/>
          <w:color w:val="auto"/>
          <w:sz w:val="24"/>
          <w:szCs w:val="24"/>
          <w:highlight w:val="none"/>
        </w:rPr>
      </w:pPr>
      <w:r>
        <w:rPr>
          <w:rFonts w:hint="eastAsia" w:eastAsia="宋体" w:cs="宋体"/>
          <w:color w:val="auto"/>
          <w:sz w:val="24"/>
          <w:szCs w:val="24"/>
          <w:highlight w:val="none"/>
        </w:rPr>
        <w:t>参与编制技术标投标文件人员名单</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1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204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auto"/>
                <w:szCs w:val="21"/>
                <w:highlight w:val="none"/>
              </w:rPr>
            </w:pPr>
          </w:p>
        </w:tc>
      </w:tr>
    </w:tbl>
    <w:p>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注：参与编制技术标书所有人员名单应包括如编制技术投标方案、负责清样校对、负责打印及复印等所有人员在内的人员名单。</w:t>
      </w:r>
    </w:p>
    <w:p>
      <w:pPr>
        <w:autoSpaceDE w:val="0"/>
        <w:autoSpaceDN w:val="0"/>
        <w:adjustRightInd w:val="0"/>
        <w:spacing w:line="360" w:lineRule="auto"/>
        <w:rPr>
          <w:rFonts w:ascii="宋体" w:hAnsi="宋体" w:cs="宋体"/>
          <w:bCs/>
          <w:color w:val="auto"/>
          <w:sz w:val="24"/>
          <w:szCs w:val="24"/>
          <w:highlight w:val="none"/>
        </w:rPr>
      </w:pPr>
    </w:p>
    <w:p>
      <w:pPr>
        <w:autoSpaceDE w:val="0"/>
        <w:autoSpaceDN w:val="0"/>
        <w:adjustRightInd w:val="0"/>
        <w:spacing w:line="360" w:lineRule="auto"/>
        <w:rPr>
          <w:rFonts w:ascii="宋体" w:hAnsi="宋体" w:cs="宋体"/>
          <w:bCs/>
          <w:color w:val="auto"/>
          <w:sz w:val="24"/>
          <w:szCs w:val="24"/>
          <w:highlight w:val="none"/>
        </w:rPr>
      </w:pPr>
    </w:p>
    <w:p>
      <w:pPr>
        <w:ind w:right="-130" w:rightChars="-62"/>
        <w:rPr>
          <w:rFonts w:ascii="Times New Roman" w:hAnsi="Times New Roman"/>
          <w:color w:val="auto"/>
          <w:highlight w:val="none"/>
        </w:rPr>
      </w:pPr>
    </w:p>
    <w:p>
      <w:pPr>
        <w:ind w:right="-130" w:rightChars="-62"/>
        <w:rPr>
          <w:rFonts w:ascii="Times New Roman" w:hAnsi="Times New Roman"/>
          <w:color w:val="auto"/>
          <w:highlight w:val="none"/>
        </w:rPr>
      </w:pPr>
      <w:r>
        <w:rPr>
          <w:rFonts w:ascii="宋体" w:hAnsi="宋体" w:cs="宋体"/>
          <w:bCs/>
          <w:color w:val="auto"/>
          <w:highlight w:val="none"/>
        </w:rPr>
        <w:br w:type="page"/>
      </w:r>
    </w:p>
    <w:p>
      <w:pPr>
        <w:ind w:right="-130" w:rightChars="-62"/>
        <w:rPr>
          <w:rFonts w:ascii="Times New Roman" w:hAnsi="Times New Roman"/>
          <w:color w:val="auto"/>
          <w:highlight w:val="none"/>
        </w:rPr>
      </w:pPr>
    </w:p>
    <w:p>
      <w:pPr>
        <w:topLinePunct/>
        <w:adjustRightInd w:val="0"/>
        <w:snapToGrid w:val="0"/>
        <w:spacing w:after="156" w:afterLines="50"/>
        <w:jc w:val="center"/>
        <w:outlineLvl w:val="1"/>
        <w:rPr>
          <w:rFonts w:ascii="宋体" w:hAnsi="宋体" w:eastAsia="黑体"/>
          <w:b/>
          <w:bCs/>
          <w:color w:val="auto"/>
          <w:spacing w:val="4"/>
          <w:kern w:val="0"/>
          <w:sz w:val="24"/>
          <w:szCs w:val="24"/>
          <w:highlight w:val="none"/>
        </w:rPr>
      </w:pPr>
      <w:bookmarkStart w:id="27" w:name="_Toc134541090"/>
      <w:r>
        <w:rPr>
          <w:rFonts w:hint="eastAsia" w:ascii="黑体" w:hAnsi="宋体" w:eastAsia="黑体"/>
          <w:color w:val="auto"/>
          <w:spacing w:val="4"/>
          <w:kern w:val="0"/>
          <w:sz w:val="44"/>
          <w:szCs w:val="44"/>
          <w:highlight w:val="none"/>
        </w:rPr>
        <w:t>二、经济标投标文件格式</w:t>
      </w:r>
      <w:bookmarkEnd w:id="27"/>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autoSpaceDE w:val="0"/>
        <w:autoSpaceDN w:val="0"/>
        <w:adjustRightInd w:val="0"/>
        <w:rPr>
          <w:rFonts w:ascii="宋体" w:hAnsi="宋体" w:cs="宋体"/>
          <w:b/>
          <w:bCs/>
          <w:color w:val="auto"/>
          <w:sz w:val="44"/>
          <w:szCs w:val="44"/>
          <w:highlight w:val="none"/>
          <w:lang w:val="zh-CN"/>
        </w:rPr>
      </w:pPr>
    </w:p>
    <w:p>
      <w:pPr>
        <w:pStyle w:val="5"/>
        <w:jc w:val="left"/>
        <w:rPr>
          <w:color w:val="auto"/>
          <w:highlight w:val="none"/>
          <w:lang w:val="zh-CN"/>
        </w:rPr>
      </w:pPr>
      <w:bookmarkStart w:id="28" w:name="_Toc6493862"/>
      <w:bookmarkStart w:id="29" w:name="_Toc134541091"/>
      <w:r>
        <w:rPr>
          <w:rFonts w:hint="eastAsia"/>
          <w:color w:val="auto"/>
          <w:highlight w:val="none"/>
        </w:rPr>
        <w:t>格式十</w:t>
      </w:r>
      <w:bookmarkEnd w:id="28"/>
      <w:r>
        <w:rPr>
          <w:rFonts w:hint="eastAsia"/>
          <w:color w:val="auto"/>
          <w:highlight w:val="none"/>
        </w:rPr>
        <w:t>二</w:t>
      </w:r>
      <w:bookmarkEnd w:id="29"/>
    </w:p>
    <w:p>
      <w:pPr>
        <w:autoSpaceDE w:val="0"/>
        <w:autoSpaceDN w:val="0"/>
        <w:adjustRightInd w:val="0"/>
        <w:jc w:val="center"/>
        <w:rPr>
          <w:rFonts w:ascii="宋体" w:hAnsi="宋体" w:cs="宋体"/>
          <w:b/>
          <w:bCs/>
          <w:color w:val="auto"/>
          <w:sz w:val="44"/>
          <w:szCs w:val="44"/>
          <w:highlight w:val="none"/>
          <w:lang w:val="zh-CN"/>
        </w:rPr>
      </w:pPr>
    </w:p>
    <w:p>
      <w:pPr>
        <w:pStyle w:val="6"/>
        <w:jc w:val="center"/>
        <w:rPr>
          <w:color w:val="auto"/>
          <w:highlight w:val="none"/>
        </w:rPr>
      </w:pPr>
      <w:bookmarkStart w:id="30" w:name="_Toc134541092"/>
      <w:r>
        <w:rPr>
          <w:rFonts w:hint="eastAsia"/>
          <w:color w:val="auto"/>
          <w:highlight w:val="none"/>
        </w:rPr>
        <w:t>广州建设工程施工招标投标书（经济标）</w:t>
      </w:r>
      <w:bookmarkEnd w:id="30"/>
    </w:p>
    <w:tbl>
      <w:tblPr>
        <w:tblStyle w:val="37"/>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 程 名 称</w:t>
            </w:r>
          </w:p>
        </w:tc>
        <w:tc>
          <w:tcPr>
            <w:tcW w:w="604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auto"/>
                <w:sz w:val="24"/>
                <w:szCs w:val="24"/>
                <w:highlight w:val="none"/>
                <w:lang w:val="zh-CN"/>
              </w:rPr>
            </w:pPr>
            <w:r>
              <w:rPr>
                <w:rFonts w:hint="eastAsia" w:ascii="宋体" w:hAnsi="宋体"/>
                <w:color w:val="auto"/>
                <w:sz w:val="24"/>
                <w:szCs w:val="24"/>
                <w:highlight w:val="none"/>
              </w:rPr>
              <w:t>大写：</w:t>
            </w:r>
            <w:r>
              <w:rPr>
                <w:rFonts w:ascii="宋体" w:hAnsi="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auto"/>
                <w:sz w:val="24"/>
                <w:szCs w:val="24"/>
                <w:highlight w:val="none"/>
                <w:lang w:val="zh-CN"/>
              </w:rPr>
            </w:pPr>
            <w:r>
              <w:rPr>
                <w:rFonts w:hint="eastAsia" w:ascii="宋体" w:hAnsi="宋体"/>
                <w:color w:val="auto"/>
                <w:sz w:val="24"/>
                <w:szCs w:val="24"/>
                <w:highlight w:val="none"/>
              </w:rPr>
              <w:t>小写：</w:t>
            </w:r>
            <w:r>
              <w:rPr>
                <w:rFonts w:ascii="宋体" w:hAnsi="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auto"/>
                <w:sz w:val="24"/>
                <w:szCs w:val="24"/>
                <w:highlight w:val="none"/>
                <w:lang w:val="zh-CN"/>
              </w:rPr>
            </w:pPr>
            <w:r>
              <w:rPr>
                <w:rFonts w:hint="eastAsia" w:ascii="宋体" w:hAnsi="宋体"/>
                <w:color w:val="auto"/>
                <w:sz w:val="24"/>
                <w:szCs w:val="24"/>
                <w:highlight w:val="none"/>
              </w:rPr>
              <w:t>大写：</w:t>
            </w:r>
            <w:r>
              <w:rPr>
                <w:rFonts w:ascii="宋体" w:hAnsi="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auto"/>
                <w:sz w:val="24"/>
                <w:szCs w:val="24"/>
                <w:highlight w:val="none"/>
                <w:lang w:val="zh-CN"/>
              </w:rPr>
            </w:pPr>
            <w:r>
              <w:rPr>
                <w:rFonts w:hint="eastAsia" w:ascii="宋体" w:hAnsi="宋体"/>
                <w:color w:val="auto"/>
                <w:sz w:val="24"/>
                <w:szCs w:val="24"/>
                <w:highlight w:val="none"/>
              </w:rPr>
              <w:t>小写：</w:t>
            </w:r>
            <w:r>
              <w:rPr>
                <w:rFonts w:ascii="宋体" w:hAnsi="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auto"/>
                <w:sz w:val="24"/>
                <w:szCs w:val="24"/>
                <w:highlight w:val="none"/>
                <w:lang w:val="zh-CN"/>
              </w:rPr>
            </w:pPr>
            <w:r>
              <w:rPr>
                <w:rFonts w:hint="eastAsia" w:ascii="宋体" w:hAnsi="宋体"/>
                <w:color w:val="auto"/>
                <w:sz w:val="24"/>
                <w:szCs w:val="24"/>
                <w:highlight w:val="none"/>
              </w:rPr>
              <w:t>大写：</w:t>
            </w:r>
            <w:r>
              <w:rPr>
                <w:rFonts w:ascii="宋体" w:hAnsi="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pPr>
              <w:widowControl/>
              <w:jc w:val="left"/>
              <w:rPr>
                <w:rFonts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auto"/>
                <w:sz w:val="24"/>
                <w:szCs w:val="24"/>
                <w:highlight w:val="none"/>
                <w:lang w:val="zh-CN"/>
              </w:rPr>
            </w:pPr>
            <w:r>
              <w:rPr>
                <w:rFonts w:hint="eastAsia" w:ascii="宋体" w:hAnsi="宋体"/>
                <w:color w:val="auto"/>
                <w:sz w:val="24"/>
                <w:szCs w:val="24"/>
                <w:highlight w:val="none"/>
              </w:rPr>
              <w:t>小写：</w:t>
            </w:r>
            <w:r>
              <w:rPr>
                <w:rFonts w:ascii="宋体" w:hAnsi="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vAlign w:val="center"/>
          </w:tcPr>
          <w:p>
            <w:pPr>
              <w:widowControl/>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 暂列金额</w:t>
            </w:r>
            <w:r>
              <w:rPr>
                <w:rFonts w:hint="eastAsia" w:ascii="宋体" w:hAnsi="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auto"/>
                <w:sz w:val="24"/>
                <w:szCs w:val="24"/>
                <w:highlight w:val="none"/>
                <w:lang w:val="zh-CN"/>
              </w:rPr>
            </w:pPr>
            <w:r>
              <w:rPr>
                <w:rFonts w:hint="eastAsia" w:ascii="宋体" w:hAnsi="宋体"/>
                <w:color w:val="auto"/>
                <w:sz w:val="24"/>
                <w:szCs w:val="24"/>
                <w:highlight w:val="none"/>
              </w:rPr>
              <w:t>大写：</w:t>
            </w:r>
            <w:r>
              <w:rPr>
                <w:rFonts w:ascii="宋体" w:hAnsi="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auto"/>
                <w:sz w:val="24"/>
                <w:szCs w:val="24"/>
                <w:highlight w:val="none"/>
                <w:lang w:val="zh-CN"/>
              </w:rPr>
            </w:pPr>
            <w:r>
              <w:rPr>
                <w:rFonts w:hint="eastAsia" w:ascii="宋体" w:hAnsi="宋体"/>
                <w:color w:val="auto"/>
                <w:sz w:val="24"/>
                <w:szCs w:val="24"/>
                <w:highlight w:val="none"/>
              </w:rPr>
              <w:t>小写：</w:t>
            </w:r>
            <w:r>
              <w:rPr>
                <w:rFonts w:ascii="宋体" w:hAnsi="宋体" w:cs="宋体"/>
                <w:bCs/>
                <w:color w:val="auto"/>
                <w:sz w:val="24"/>
                <w:szCs w:val="24"/>
                <w:highlight w:val="none"/>
                <w:lang w:val="zh-CN"/>
              </w:rPr>
              <w:t xml:space="preserve"> </w:t>
            </w:r>
          </w:p>
        </w:tc>
      </w:tr>
    </w:tbl>
    <w:p>
      <w:pPr>
        <w:pStyle w:val="5"/>
        <w:jc w:val="left"/>
        <w:rPr>
          <w:bCs/>
          <w:color w:val="auto"/>
          <w:kern w:val="0"/>
          <w:highlight w:val="none"/>
        </w:rPr>
      </w:pPr>
      <w:r>
        <w:rPr>
          <w:color w:val="auto"/>
          <w:kern w:val="0"/>
          <w:highlight w:val="none"/>
        </w:rPr>
        <w:br w:type="page"/>
      </w:r>
      <w:bookmarkStart w:id="31" w:name="_Toc6493863"/>
      <w:bookmarkStart w:id="32" w:name="_Toc134541093"/>
      <w:r>
        <w:rPr>
          <w:rFonts w:hint="eastAsia"/>
          <w:snapToGrid w:val="0"/>
          <w:color w:val="auto"/>
          <w:spacing w:val="4"/>
          <w:kern w:val="0"/>
          <w:highlight w:val="none"/>
        </w:rPr>
        <w:t>格式十</w:t>
      </w:r>
      <w:bookmarkEnd w:id="31"/>
      <w:r>
        <w:rPr>
          <w:rFonts w:hint="eastAsia"/>
          <w:snapToGrid w:val="0"/>
          <w:color w:val="auto"/>
          <w:spacing w:val="4"/>
          <w:kern w:val="0"/>
          <w:highlight w:val="none"/>
        </w:rPr>
        <w:t>三</w:t>
      </w:r>
      <w:bookmarkEnd w:id="32"/>
    </w:p>
    <w:p>
      <w:pPr>
        <w:pStyle w:val="6"/>
        <w:jc w:val="center"/>
        <w:rPr>
          <w:color w:val="auto"/>
          <w:highlight w:val="none"/>
        </w:rPr>
      </w:pPr>
      <w:bookmarkStart w:id="33" w:name="_Toc134541094"/>
      <w:r>
        <w:rPr>
          <w:rFonts w:hint="eastAsia"/>
          <w:color w:val="auto"/>
          <w:highlight w:val="none"/>
        </w:rPr>
        <w:t>参与编制经济标投标文件人员名单</w:t>
      </w:r>
      <w:bookmarkEnd w:id="33"/>
    </w:p>
    <w:tbl>
      <w:tblPr>
        <w:tblStyle w:val="37"/>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106"/>
        <w:gridCol w:w="322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849" w:type="dxa"/>
            <w:gridSpan w:val="5"/>
            <w:vAlign w:val="center"/>
          </w:tcPr>
          <w:p>
            <w:pPr>
              <w:tabs>
                <w:tab w:val="left" w:pos="720"/>
              </w:tabs>
              <w:snapToGrid w:val="0"/>
              <w:jc w:val="center"/>
              <w:rPr>
                <w:rFonts w:ascii="宋体" w:hAnsi="宋体"/>
                <w:color w:val="auto"/>
                <w:sz w:val="24"/>
                <w:szCs w:val="24"/>
                <w:highlight w:val="none"/>
              </w:rPr>
            </w:pPr>
            <w:r>
              <w:rPr>
                <w:rFonts w:hint="eastAsia" w:ascii="宋体" w:hAnsi="宋体"/>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vAlign w:val="center"/>
          </w:tcPr>
          <w:p>
            <w:pPr>
              <w:tabs>
                <w:tab w:val="left" w:pos="720"/>
              </w:tabs>
              <w:snapToGrid w:val="0"/>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1441" w:type="dxa"/>
            <w:vAlign w:val="center"/>
          </w:tcPr>
          <w:p>
            <w:pPr>
              <w:tabs>
                <w:tab w:val="left" w:pos="720"/>
              </w:tabs>
              <w:snapToGrid w:val="0"/>
              <w:jc w:val="center"/>
              <w:rPr>
                <w:rFonts w:ascii="宋体" w:hAnsi="宋体"/>
                <w:color w:val="auto"/>
                <w:sz w:val="24"/>
                <w:szCs w:val="24"/>
                <w:highlight w:val="none"/>
              </w:rPr>
            </w:pPr>
            <w:r>
              <w:rPr>
                <w:rFonts w:hint="eastAsia" w:ascii="宋体" w:hAnsi="宋体"/>
                <w:color w:val="auto"/>
                <w:sz w:val="24"/>
                <w:szCs w:val="24"/>
                <w:highlight w:val="none"/>
              </w:rPr>
              <w:t>职务</w:t>
            </w:r>
          </w:p>
        </w:tc>
        <w:tc>
          <w:tcPr>
            <w:tcW w:w="2106" w:type="dxa"/>
            <w:vAlign w:val="center"/>
          </w:tcPr>
          <w:p>
            <w:pPr>
              <w:tabs>
                <w:tab w:val="left" w:pos="720"/>
              </w:tabs>
              <w:snapToGrid w:val="0"/>
              <w:jc w:val="center"/>
              <w:rPr>
                <w:rFonts w:ascii="宋体" w:hAnsi="宋体"/>
                <w:color w:val="auto"/>
                <w:sz w:val="24"/>
                <w:szCs w:val="24"/>
                <w:highlight w:val="none"/>
              </w:rPr>
            </w:pPr>
            <w:r>
              <w:rPr>
                <w:rFonts w:hint="eastAsia" w:ascii="宋体" w:hAnsi="宋体"/>
                <w:color w:val="auto"/>
                <w:sz w:val="24"/>
                <w:szCs w:val="24"/>
                <w:highlight w:val="none"/>
              </w:rPr>
              <w:t>所承担工作</w:t>
            </w:r>
          </w:p>
        </w:tc>
        <w:tc>
          <w:tcPr>
            <w:tcW w:w="3226" w:type="dxa"/>
            <w:vAlign w:val="center"/>
          </w:tcPr>
          <w:p>
            <w:pPr>
              <w:tabs>
                <w:tab w:val="left" w:pos="720"/>
              </w:tabs>
              <w:snapToGrid w:val="0"/>
              <w:jc w:val="center"/>
              <w:rPr>
                <w:rFonts w:ascii="宋体" w:hAnsi="宋体"/>
                <w:color w:val="auto"/>
                <w:sz w:val="24"/>
                <w:szCs w:val="24"/>
                <w:highlight w:val="none"/>
              </w:rPr>
            </w:pPr>
            <w:r>
              <w:rPr>
                <w:rFonts w:hint="eastAsia" w:ascii="宋体" w:hAnsi="宋体"/>
                <w:color w:val="auto"/>
                <w:sz w:val="24"/>
                <w:szCs w:val="24"/>
                <w:highlight w:val="none"/>
              </w:rPr>
              <w:t>身份证号码</w:t>
            </w:r>
          </w:p>
        </w:tc>
        <w:tc>
          <w:tcPr>
            <w:tcW w:w="1837" w:type="dxa"/>
            <w:vAlign w:val="center"/>
          </w:tcPr>
          <w:p>
            <w:pPr>
              <w:tabs>
                <w:tab w:val="left" w:pos="720"/>
              </w:tabs>
              <w:snapToGrid w:val="0"/>
              <w:jc w:val="center"/>
              <w:rPr>
                <w:rFonts w:ascii="宋体" w:hAnsi="宋体"/>
                <w:color w:val="auto"/>
                <w:sz w:val="24"/>
                <w:szCs w:val="24"/>
                <w:highlight w:val="none"/>
              </w:rPr>
            </w:pPr>
            <w:r>
              <w:rPr>
                <w:rFonts w:hint="eastAsia" w:ascii="宋体" w:hAnsi="宋体"/>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vAlign w:val="center"/>
          </w:tcPr>
          <w:p>
            <w:pPr>
              <w:tabs>
                <w:tab w:val="left" w:pos="720"/>
              </w:tabs>
              <w:snapToGrid w:val="0"/>
              <w:jc w:val="center"/>
              <w:rPr>
                <w:rFonts w:ascii="宋体" w:hAnsi="宋体"/>
                <w:color w:val="auto"/>
                <w:sz w:val="24"/>
                <w:szCs w:val="24"/>
                <w:highlight w:val="none"/>
              </w:rPr>
            </w:pPr>
          </w:p>
        </w:tc>
        <w:tc>
          <w:tcPr>
            <w:tcW w:w="1441" w:type="dxa"/>
            <w:vAlign w:val="center"/>
          </w:tcPr>
          <w:p>
            <w:pPr>
              <w:tabs>
                <w:tab w:val="left" w:pos="720"/>
              </w:tabs>
              <w:snapToGrid w:val="0"/>
              <w:jc w:val="center"/>
              <w:rPr>
                <w:rFonts w:ascii="宋体" w:hAnsi="宋体"/>
                <w:color w:val="auto"/>
                <w:sz w:val="24"/>
                <w:szCs w:val="24"/>
                <w:highlight w:val="none"/>
              </w:rPr>
            </w:pPr>
          </w:p>
        </w:tc>
        <w:tc>
          <w:tcPr>
            <w:tcW w:w="2106" w:type="dxa"/>
            <w:vAlign w:val="center"/>
          </w:tcPr>
          <w:p>
            <w:pPr>
              <w:tabs>
                <w:tab w:val="left" w:pos="720"/>
              </w:tabs>
              <w:snapToGrid w:val="0"/>
              <w:jc w:val="center"/>
              <w:rPr>
                <w:rFonts w:ascii="宋体" w:hAnsi="宋体"/>
                <w:color w:val="auto"/>
                <w:sz w:val="24"/>
                <w:szCs w:val="24"/>
                <w:highlight w:val="none"/>
              </w:rPr>
            </w:pPr>
          </w:p>
        </w:tc>
        <w:tc>
          <w:tcPr>
            <w:tcW w:w="3226" w:type="dxa"/>
            <w:vAlign w:val="center"/>
          </w:tcPr>
          <w:p>
            <w:pPr>
              <w:tabs>
                <w:tab w:val="left" w:pos="720"/>
              </w:tabs>
              <w:snapToGrid w:val="0"/>
              <w:jc w:val="center"/>
              <w:rPr>
                <w:rFonts w:ascii="宋体" w:hAnsi="宋体"/>
                <w:color w:val="auto"/>
                <w:sz w:val="24"/>
                <w:szCs w:val="24"/>
                <w:highlight w:val="none"/>
              </w:rPr>
            </w:pPr>
          </w:p>
        </w:tc>
        <w:tc>
          <w:tcPr>
            <w:tcW w:w="1837" w:type="dxa"/>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jc w:val="center"/>
              <w:rPr>
                <w:rFonts w:ascii="宋体" w:hAnsi="宋体"/>
                <w:color w:val="auto"/>
                <w:sz w:val="24"/>
                <w:szCs w:val="24"/>
                <w:highlight w:val="none"/>
              </w:rPr>
            </w:pPr>
          </w:p>
        </w:tc>
        <w:tc>
          <w:tcPr>
            <w:tcW w:w="1441" w:type="dxa"/>
            <w:vAlign w:val="center"/>
          </w:tcPr>
          <w:p>
            <w:pPr>
              <w:tabs>
                <w:tab w:val="left" w:pos="720"/>
              </w:tabs>
              <w:snapToGrid w:val="0"/>
              <w:jc w:val="center"/>
              <w:rPr>
                <w:rFonts w:ascii="宋体" w:hAnsi="宋体"/>
                <w:color w:val="auto"/>
                <w:sz w:val="24"/>
                <w:szCs w:val="24"/>
                <w:highlight w:val="none"/>
              </w:rPr>
            </w:pPr>
          </w:p>
        </w:tc>
        <w:tc>
          <w:tcPr>
            <w:tcW w:w="2106" w:type="dxa"/>
            <w:vAlign w:val="center"/>
          </w:tcPr>
          <w:p>
            <w:pPr>
              <w:tabs>
                <w:tab w:val="left" w:pos="720"/>
              </w:tabs>
              <w:snapToGrid w:val="0"/>
              <w:jc w:val="center"/>
              <w:rPr>
                <w:rFonts w:ascii="宋体" w:hAnsi="宋体"/>
                <w:color w:val="auto"/>
                <w:sz w:val="24"/>
                <w:szCs w:val="24"/>
                <w:highlight w:val="none"/>
              </w:rPr>
            </w:pPr>
          </w:p>
        </w:tc>
        <w:tc>
          <w:tcPr>
            <w:tcW w:w="3226" w:type="dxa"/>
            <w:vAlign w:val="center"/>
          </w:tcPr>
          <w:p>
            <w:pPr>
              <w:tabs>
                <w:tab w:val="left" w:pos="720"/>
              </w:tabs>
              <w:snapToGrid w:val="0"/>
              <w:jc w:val="center"/>
              <w:rPr>
                <w:rFonts w:ascii="宋体" w:hAnsi="宋体"/>
                <w:color w:val="auto"/>
                <w:sz w:val="24"/>
                <w:szCs w:val="24"/>
                <w:highlight w:val="none"/>
              </w:rPr>
            </w:pPr>
          </w:p>
        </w:tc>
        <w:tc>
          <w:tcPr>
            <w:tcW w:w="1837" w:type="dxa"/>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jc w:val="center"/>
              <w:rPr>
                <w:rFonts w:ascii="宋体" w:hAnsi="宋体"/>
                <w:color w:val="auto"/>
                <w:sz w:val="24"/>
                <w:szCs w:val="24"/>
                <w:highlight w:val="none"/>
              </w:rPr>
            </w:pPr>
          </w:p>
        </w:tc>
        <w:tc>
          <w:tcPr>
            <w:tcW w:w="1441" w:type="dxa"/>
            <w:vAlign w:val="center"/>
          </w:tcPr>
          <w:p>
            <w:pPr>
              <w:tabs>
                <w:tab w:val="left" w:pos="720"/>
              </w:tabs>
              <w:snapToGrid w:val="0"/>
              <w:jc w:val="center"/>
              <w:rPr>
                <w:rFonts w:ascii="宋体" w:hAnsi="宋体"/>
                <w:color w:val="auto"/>
                <w:sz w:val="24"/>
                <w:szCs w:val="24"/>
                <w:highlight w:val="none"/>
              </w:rPr>
            </w:pPr>
          </w:p>
        </w:tc>
        <w:tc>
          <w:tcPr>
            <w:tcW w:w="2106" w:type="dxa"/>
            <w:vAlign w:val="center"/>
          </w:tcPr>
          <w:p>
            <w:pPr>
              <w:tabs>
                <w:tab w:val="left" w:pos="720"/>
              </w:tabs>
              <w:snapToGrid w:val="0"/>
              <w:jc w:val="center"/>
              <w:rPr>
                <w:rFonts w:ascii="宋体" w:hAnsi="宋体"/>
                <w:color w:val="auto"/>
                <w:sz w:val="24"/>
                <w:szCs w:val="24"/>
                <w:highlight w:val="none"/>
              </w:rPr>
            </w:pPr>
          </w:p>
        </w:tc>
        <w:tc>
          <w:tcPr>
            <w:tcW w:w="3226" w:type="dxa"/>
            <w:vAlign w:val="center"/>
          </w:tcPr>
          <w:p>
            <w:pPr>
              <w:tabs>
                <w:tab w:val="left" w:pos="720"/>
              </w:tabs>
              <w:snapToGrid w:val="0"/>
              <w:jc w:val="center"/>
              <w:rPr>
                <w:rFonts w:ascii="宋体" w:hAnsi="宋体"/>
                <w:color w:val="auto"/>
                <w:sz w:val="24"/>
                <w:szCs w:val="24"/>
                <w:highlight w:val="none"/>
              </w:rPr>
            </w:pPr>
          </w:p>
        </w:tc>
        <w:tc>
          <w:tcPr>
            <w:tcW w:w="1837" w:type="dxa"/>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jc w:val="center"/>
              <w:rPr>
                <w:rFonts w:ascii="宋体" w:hAnsi="宋体"/>
                <w:color w:val="auto"/>
                <w:sz w:val="24"/>
                <w:szCs w:val="24"/>
                <w:highlight w:val="none"/>
              </w:rPr>
            </w:pPr>
          </w:p>
        </w:tc>
        <w:tc>
          <w:tcPr>
            <w:tcW w:w="1441" w:type="dxa"/>
            <w:vAlign w:val="center"/>
          </w:tcPr>
          <w:p>
            <w:pPr>
              <w:tabs>
                <w:tab w:val="left" w:pos="720"/>
              </w:tabs>
              <w:snapToGrid w:val="0"/>
              <w:jc w:val="center"/>
              <w:rPr>
                <w:rFonts w:ascii="宋体" w:hAnsi="宋体"/>
                <w:color w:val="auto"/>
                <w:sz w:val="24"/>
                <w:szCs w:val="24"/>
                <w:highlight w:val="none"/>
              </w:rPr>
            </w:pPr>
          </w:p>
        </w:tc>
        <w:tc>
          <w:tcPr>
            <w:tcW w:w="2106" w:type="dxa"/>
            <w:vAlign w:val="center"/>
          </w:tcPr>
          <w:p>
            <w:pPr>
              <w:tabs>
                <w:tab w:val="left" w:pos="720"/>
              </w:tabs>
              <w:snapToGrid w:val="0"/>
              <w:jc w:val="center"/>
              <w:rPr>
                <w:rFonts w:ascii="宋体" w:hAnsi="宋体"/>
                <w:color w:val="auto"/>
                <w:sz w:val="24"/>
                <w:szCs w:val="24"/>
                <w:highlight w:val="none"/>
              </w:rPr>
            </w:pPr>
          </w:p>
        </w:tc>
        <w:tc>
          <w:tcPr>
            <w:tcW w:w="3226" w:type="dxa"/>
            <w:vAlign w:val="center"/>
          </w:tcPr>
          <w:p>
            <w:pPr>
              <w:tabs>
                <w:tab w:val="left" w:pos="720"/>
              </w:tabs>
              <w:snapToGrid w:val="0"/>
              <w:jc w:val="center"/>
              <w:rPr>
                <w:rFonts w:ascii="宋体" w:hAnsi="宋体"/>
                <w:color w:val="auto"/>
                <w:sz w:val="24"/>
                <w:szCs w:val="24"/>
                <w:highlight w:val="none"/>
              </w:rPr>
            </w:pPr>
          </w:p>
        </w:tc>
        <w:tc>
          <w:tcPr>
            <w:tcW w:w="1837" w:type="dxa"/>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jc w:val="center"/>
              <w:rPr>
                <w:rFonts w:ascii="宋体" w:hAnsi="宋体"/>
                <w:color w:val="auto"/>
                <w:sz w:val="24"/>
                <w:szCs w:val="24"/>
                <w:highlight w:val="none"/>
              </w:rPr>
            </w:pPr>
          </w:p>
        </w:tc>
        <w:tc>
          <w:tcPr>
            <w:tcW w:w="1441" w:type="dxa"/>
            <w:vAlign w:val="center"/>
          </w:tcPr>
          <w:p>
            <w:pPr>
              <w:tabs>
                <w:tab w:val="left" w:pos="720"/>
              </w:tabs>
              <w:snapToGrid w:val="0"/>
              <w:jc w:val="center"/>
              <w:rPr>
                <w:rFonts w:ascii="宋体" w:hAnsi="宋体"/>
                <w:color w:val="auto"/>
                <w:sz w:val="24"/>
                <w:szCs w:val="24"/>
                <w:highlight w:val="none"/>
              </w:rPr>
            </w:pPr>
          </w:p>
        </w:tc>
        <w:tc>
          <w:tcPr>
            <w:tcW w:w="2106" w:type="dxa"/>
            <w:vAlign w:val="center"/>
          </w:tcPr>
          <w:p>
            <w:pPr>
              <w:tabs>
                <w:tab w:val="left" w:pos="720"/>
              </w:tabs>
              <w:snapToGrid w:val="0"/>
              <w:jc w:val="center"/>
              <w:rPr>
                <w:rFonts w:ascii="宋体" w:hAnsi="宋体"/>
                <w:color w:val="auto"/>
                <w:sz w:val="24"/>
                <w:szCs w:val="24"/>
                <w:highlight w:val="none"/>
              </w:rPr>
            </w:pPr>
          </w:p>
        </w:tc>
        <w:tc>
          <w:tcPr>
            <w:tcW w:w="3226" w:type="dxa"/>
            <w:vAlign w:val="center"/>
          </w:tcPr>
          <w:p>
            <w:pPr>
              <w:tabs>
                <w:tab w:val="left" w:pos="720"/>
              </w:tabs>
              <w:snapToGrid w:val="0"/>
              <w:jc w:val="center"/>
              <w:rPr>
                <w:rFonts w:ascii="宋体" w:hAnsi="宋体"/>
                <w:color w:val="auto"/>
                <w:sz w:val="24"/>
                <w:szCs w:val="24"/>
                <w:highlight w:val="none"/>
              </w:rPr>
            </w:pPr>
          </w:p>
        </w:tc>
        <w:tc>
          <w:tcPr>
            <w:tcW w:w="1837" w:type="dxa"/>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jc w:val="center"/>
              <w:rPr>
                <w:rFonts w:ascii="宋体" w:hAnsi="宋体"/>
                <w:color w:val="auto"/>
                <w:sz w:val="24"/>
                <w:szCs w:val="24"/>
                <w:highlight w:val="none"/>
              </w:rPr>
            </w:pPr>
          </w:p>
        </w:tc>
        <w:tc>
          <w:tcPr>
            <w:tcW w:w="1441" w:type="dxa"/>
            <w:vAlign w:val="center"/>
          </w:tcPr>
          <w:p>
            <w:pPr>
              <w:tabs>
                <w:tab w:val="left" w:pos="720"/>
              </w:tabs>
              <w:snapToGrid w:val="0"/>
              <w:jc w:val="center"/>
              <w:rPr>
                <w:rFonts w:ascii="宋体" w:hAnsi="宋体"/>
                <w:color w:val="auto"/>
                <w:sz w:val="24"/>
                <w:szCs w:val="24"/>
                <w:highlight w:val="none"/>
              </w:rPr>
            </w:pPr>
          </w:p>
        </w:tc>
        <w:tc>
          <w:tcPr>
            <w:tcW w:w="2106" w:type="dxa"/>
            <w:vAlign w:val="center"/>
          </w:tcPr>
          <w:p>
            <w:pPr>
              <w:tabs>
                <w:tab w:val="left" w:pos="720"/>
              </w:tabs>
              <w:snapToGrid w:val="0"/>
              <w:jc w:val="center"/>
              <w:rPr>
                <w:rFonts w:ascii="宋体" w:hAnsi="宋体"/>
                <w:color w:val="auto"/>
                <w:sz w:val="24"/>
                <w:szCs w:val="24"/>
                <w:highlight w:val="none"/>
              </w:rPr>
            </w:pPr>
          </w:p>
        </w:tc>
        <w:tc>
          <w:tcPr>
            <w:tcW w:w="3226" w:type="dxa"/>
            <w:vAlign w:val="center"/>
          </w:tcPr>
          <w:p>
            <w:pPr>
              <w:tabs>
                <w:tab w:val="left" w:pos="720"/>
              </w:tabs>
              <w:snapToGrid w:val="0"/>
              <w:jc w:val="center"/>
              <w:rPr>
                <w:rFonts w:ascii="宋体" w:hAnsi="宋体"/>
                <w:color w:val="auto"/>
                <w:sz w:val="24"/>
                <w:szCs w:val="24"/>
                <w:highlight w:val="none"/>
              </w:rPr>
            </w:pPr>
          </w:p>
        </w:tc>
        <w:tc>
          <w:tcPr>
            <w:tcW w:w="1837" w:type="dxa"/>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vAlign w:val="center"/>
          </w:tcPr>
          <w:p>
            <w:pPr>
              <w:tabs>
                <w:tab w:val="left" w:pos="720"/>
              </w:tabs>
              <w:snapToGrid w:val="0"/>
              <w:jc w:val="center"/>
              <w:rPr>
                <w:rFonts w:ascii="宋体" w:hAnsi="宋体"/>
                <w:color w:val="auto"/>
                <w:sz w:val="24"/>
                <w:szCs w:val="24"/>
                <w:highlight w:val="none"/>
              </w:rPr>
            </w:pPr>
          </w:p>
        </w:tc>
        <w:tc>
          <w:tcPr>
            <w:tcW w:w="1441" w:type="dxa"/>
            <w:vAlign w:val="center"/>
          </w:tcPr>
          <w:p>
            <w:pPr>
              <w:tabs>
                <w:tab w:val="left" w:pos="720"/>
              </w:tabs>
              <w:snapToGrid w:val="0"/>
              <w:jc w:val="center"/>
              <w:rPr>
                <w:rFonts w:ascii="宋体" w:hAnsi="宋体"/>
                <w:color w:val="auto"/>
                <w:sz w:val="24"/>
                <w:szCs w:val="24"/>
                <w:highlight w:val="none"/>
              </w:rPr>
            </w:pPr>
          </w:p>
        </w:tc>
        <w:tc>
          <w:tcPr>
            <w:tcW w:w="2106" w:type="dxa"/>
            <w:vAlign w:val="center"/>
          </w:tcPr>
          <w:p>
            <w:pPr>
              <w:tabs>
                <w:tab w:val="left" w:pos="720"/>
              </w:tabs>
              <w:snapToGrid w:val="0"/>
              <w:jc w:val="center"/>
              <w:rPr>
                <w:rFonts w:ascii="宋体" w:hAnsi="宋体"/>
                <w:color w:val="auto"/>
                <w:sz w:val="24"/>
                <w:szCs w:val="24"/>
                <w:highlight w:val="none"/>
              </w:rPr>
            </w:pPr>
          </w:p>
        </w:tc>
        <w:tc>
          <w:tcPr>
            <w:tcW w:w="3226" w:type="dxa"/>
            <w:vAlign w:val="center"/>
          </w:tcPr>
          <w:p>
            <w:pPr>
              <w:tabs>
                <w:tab w:val="left" w:pos="720"/>
              </w:tabs>
              <w:snapToGrid w:val="0"/>
              <w:jc w:val="center"/>
              <w:rPr>
                <w:rFonts w:ascii="宋体" w:hAnsi="宋体"/>
                <w:color w:val="auto"/>
                <w:sz w:val="24"/>
                <w:szCs w:val="24"/>
                <w:highlight w:val="none"/>
              </w:rPr>
            </w:pPr>
          </w:p>
        </w:tc>
        <w:tc>
          <w:tcPr>
            <w:tcW w:w="1837" w:type="dxa"/>
            <w:vAlign w:val="center"/>
          </w:tcPr>
          <w:p>
            <w:pPr>
              <w:tabs>
                <w:tab w:val="left" w:pos="720"/>
              </w:tabs>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vAlign w:val="center"/>
          </w:tcPr>
          <w:p>
            <w:pPr>
              <w:tabs>
                <w:tab w:val="left" w:pos="720"/>
              </w:tabs>
              <w:snapToGrid w:val="0"/>
              <w:jc w:val="center"/>
              <w:rPr>
                <w:rFonts w:ascii="宋体" w:hAnsi="宋体"/>
                <w:color w:val="auto"/>
                <w:sz w:val="24"/>
                <w:szCs w:val="24"/>
                <w:highlight w:val="none"/>
              </w:rPr>
            </w:pPr>
          </w:p>
        </w:tc>
        <w:tc>
          <w:tcPr>
            <w:tcW w:w="1441" w:type="dxa"/>
            <w:vAlign w:val="center"/>
          </w:tcPr>
          <w:p>
            <w:pPr>
              <w:tabs>
                <w:tab w:val="left" w:pos="720"/>
              </w:tabs>
              <w:snapToGrid w:val="0"/>
              <w:jc w:val="center"/>
              <w:rPr>
                <w:rFonts w:ascii="宋体" w:hAnsi="宋体"/>
                <w:color w:val="auto"/>
                <w:sz w:val="24"/>
                <w:szCs w:val="24"/>
                <w:highlight w:val="none"/>
              </w:rPr>
            </w:pPr>
          </w:p>
        </w:tc>
        <w:tc>
          <w:tcPr>
            <w:tcW w:w="2106" w:type="dxa"/>
            <w:vAlign w:val="center"/>
          </w:tcPr>
          <w:p>
            <w:pPr>
              <w:tabs>
                <w:tab w:val="left" w:pos="720"/>
              </w:tabs>
              <w:snapToGrid w:val="0"/>
              <w:jc w:val="center"/>
              <w:rPr>
                <w:rFonts w:ascii="宋体" w:hAnsi="宋体"/>
                <w:color w:val="auto"/>
                <w:sz w:val="24"/>
                <w:szCs w:val="24"/>
                <w:highlight w:val="none"/>
              </w:rPr>
            </w:pPr>
          </w:p>
        </w:tc>
        <w:tc>
          <w:tcPr>
            <w:tcW w:w="3226" w:type="dxa"/>
            <w:vAlign w:val="center"/>
          </w:tcPr>
          <w:p>
            <w:pPr>
              <w:tabs>
                <w:tab w:val="left" w:pos="720"/>
              </w:tabs>
              <w:snapToGrid w:val="0"/>
              <w:jc w:val="center"/>
              <w:rPr>
                <w:rFonts w:ascii="宋体" w:hAnsi="宋体"/>
                <w:color w:val="auto"/>
                <w:sz w:val="24"/>
                <w:szCs w:val="24"/>
                <w:highlight w:val="none"/>
              </w:rPr>
            </w:pPr>
          </w:p>
        </w:tc>
        <w:tc>
          <w:tcPr>
            <w:tcW w:w="1837" w:type="dxa"/>
            <w:vAlign w:val="center"/>
          </w:tcPr>
          <w:p>
            <w:pPr>
              <w:tabs>
                <w:tab w:val="left" w:pos="720"/>
              </w:tabs>
              <w:snapToGrid w:val="0"/>
              <w:jc w:val="center"/>
              <w:rPr>
                <w:rFonts w:ascii="宋体" w:hAnsi="宋体"/>
                <w:color w:val="auto"/>
                <w:sz w:val="24"/>
                <w:szCs w:val="24"/>
                <w:highlight w:val="none"/>
              </w:rPr>
            </w:pPr>
          </w:p>
        </w:tc>
      </w:tr>
    </w:tbl>
    <w:p>
      <w:pPr>
        <w:tabs>
          <w:tab w:val="left" w:pos="720"/>
        </w:tabs>
        <w:snapToGrid w:val="0"/>
        <w:spacing w:line="360" w:lineRule="auto"/>
        <w:rPr>
          <w:rFonts w:ascii="宋体" w:hAnsi="宋体"/>
          <w:color w:val="auto"/>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注：参与编制经济标书所有人员名单应包括如编制各种专业工程量清单投标报价、负责清样校对、负责打印及复印等所有人员在内的人员名单。 </w:t>
      </w:r>
    </w:p>
    <w:p>
      <w:pPr>
        <w:autoSpaceDE w:val="0"/>
        <w:autoSpaceDN w:val="0"/>
        <w:adjustRightInd w:val="0"/>
        <w:rPr>
          <w:rFonts w:ascii="宋体" w:hAnsi="宋体" w:cs="宋体"/>
          <w:b/>
          <w:bCs/>
          <w:color w:val="auto"/>
          <w:sz w:val="44"/>
          <w:szCs w:val="44"/>
          <w:highlight w:val="none"/>
          <w:lang w:val="zh-CN"/>
        </w:rPr>
      </w:pPr>
    </w:p>
    <w:p>
      <w:pPr>
        <w:spacing w:line="320" w:lineRule="exact"/>
        <w:rPr>
          <w:rFonts w:ascii="仿宋_GB2312" w:hAnsi="楷体" w:eastAsia="仿宋_GB2312"/>
          <w:color w:val="auto"/>
          <w:szCs w:val="21"/>
          <w:highlight w:val="none"/>
        </w:rPr>
      </w:pPr>
    </w:p>
    <w:p>
      <w:pPr>
        <w:spacing w:line="320" w:lineRule="exact"/>
        <w:rPr>
          <w:rFonts w:ascii="仿宋_GB2312" w:hAnsi="楷体" w:eastAsia="仿宋_GB2312"/>
          <w:color w:val="auto"/>
          <w:szCs w:val="21"/>
          <w:highlight w:val="none"/>
        </w:rPr>
      </w:pPr>
    </w:p>
    <w:p>
      <w:pPr>
        <w:spacing w:line="320" w:lineRule="exact"/>
        <w:rPr>
          <w:rFonts w:ascii="仿宋_GB2312" w:hAnsi="楷体" w:eastAsia="仿宋_GB2312"/>
          <w:color w:val="auto"/>
          <w:szCs w:val="21"/>
          <w:highlight w:val="none"/>
        </w:rPr>
      </w:pPr>
    </w:p>
    <w:p>
      <w:pPr>
        <w:pStyle w:val="5"/>
        <w:jc w:val="left"/>
        <w:rPr>
          <w:color w:val="auto"/>
          <w:spacing w:val="4"/>
          <w:kern w:val="0"/>
          <w:highlight w:val="none"/>
        </w:rPr>
      </w:pPr>
      <w:r>
        <w:rPr>
          <w:rFonts w:eastAsia="黑体"/>
          <w:bCs/>
          <w:snapToGrid w:val="0"/>
          <w:color w:val="auto"/>
          <w:spacing w:val="4"/>
          <w:kern w:val="0"/>
          <w:highlight w:val="none"/>
        </w:rPr>
        <w:br w:type="page"/>
      </w:r>
      <w:r>
        <w:rPr>
          <w:rFonts w:hint="eastAsia"/>
          <w:bCs/>
          <w:snapToGrid w:val="0"/>
          <w:color w:val="auto"/>
          <w:spacing w:val="4"/>
          <w:kern w:val="0"/>
          <w:highlight w:val="none"/>
        </w:rPr>
        <w:t>格式十四</w:t>
      </w:r>
    </w:p>
    <w:p>
      <w:pPr>
        <w:pStyle w:val="6"/>
        <w:jc w:val="center"/>
        <w:rPr>
          <w:b/>
          <w:bCs/>
          <w:color w:val="auto"/>
          <w:highlight w:val="none"/>
        </w:rPr>
      </w:pPr>
      <w:bookmarkStart w:id="34" w:name="_Toc134541095"/>
      <w:r>
        <w:rPr>
          <w:rFonts w:hint="eastAsia"/>
          <w:b/>
          <w:bCs/>
          <w:color w:val="auto"/>
          <w:highlight w:val="none"/>
        </w:rPr>
        <w:t>对投标文件编制的承诺</w:t>
      </w:r>
      <w:bookmarkEnd w:id="34"/>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本公司授权</w:t>
      </w:r>
      <w:r>
        <w:rPr>
          <w:rFonts w:hint="eastAsia" w:ascii="宋体" w:hAnsi="宋体"/>
          <w:color w:val="auto"/>
          <w:kern w:val="0"/>
          <w:sz w:val="24"/>
          <w:szCs w:val="24"/>
          <w:highlight w:val="none"/>
          <w:u w:val="single"/>
        </w:rPr>
        <w:t xml:space="preserve">         （身份证号：               ）</w:t>
      </w:r>
      <w:r>
        <w:rPr>
          <w:rFonts w:hint="eastAsia" w:ascii="宋体" w:hAnsi="宋体"/>
          <w:color w:val="auto"/>
          <w:kern w:val="0"/>
          <w:sz w:val="24"/>
          <w:szCs w:val="24"/>
          <w:highlight w:val="none"/>
        </w:rPr>
        <w:t>负责对投标文件的编制及内容进行解释、说明，并承诺以下事项：</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1.被授权人清楚投标文件编制的具体情况，包括技术方案文件、工程量清单以及投标文件的加密打包的理解；</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2.在本项目开标至评标结束前，努力确保被授权人在项目评标所在地附近；</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3.从评标委员会要求澄清起二小时内，被授权人应如实地书面澄清。</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 xml:space="preserve">如由于未遵守上述承诺内容之一导致无法进行澄清的，我公司认可和接受评标委员会作出的评审结论。                                 </w:t>
      </w:r>
    </w:p>
    <w:p>
      <w:pPr>
        <w:spacing w:line="360" w:lineRule="auto"/>
        <w:ind w:firstLine="360" w:firstLineChars="150"/>
        <w:rPr>
          <w:rFonts w:ascii="宋体" w:hAnsi="宋体"/>
          <w:color w:val="auto"/>
          <w:kern w:val="0"/>
          <w:sz w:val="24"/>
          <w:szCs w:val="24"/>
          <w:highlight w:val="none"/>
        </w:rPr>
      </w:pPr>
      <w:r>
        <w:rPr>
          <w:rFonts w:hint="eastAsia" w:ascii="宋体" w:hAnsi="宋体"/>
          <w:color w:val="auto"/>
          <w:kern w:val="0"/>
          <w:sz w:val="24"/>
          <w:szCs w:val="24"/>
          <w:highlight w:val="none"/>
        </w:rPr>
        <w:t xml:space="preserve"> 附件：《投标文件编制情况》</w:t>
      </w:r>
    </w:p>
    <w:p>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pPr>
        <w:jc w:val="right"/>
        <w:rPr>
          <w:rFonts w:ascii="宋体" w:hAnsi="宋体"/>
          <w:color w:val="auto"/>
          <w:sz w:val="24"/>
          <w:szCs w:val="24"/>
          <w:highlight w:val="none"/>
        </w:rPr>
      </w:pPr>
      <w:r>
        <w:rPr>
          <w:rFonts w:hint="eastAsia" w:ascii="宋体" w:hAnsi="宋体"/>
          <w:color w:val="auto"/>
          <w:sz w:val="24"/>
          <w:szCs w:val="24"/>
          <w:highlight w:val="none"/>
        </w:rPr>
        <w:t xml:space="preserve"> </w:t>
      </w:r>
      <w:bookmarkStart w:id="35" w:name="_Toc134541096"/>
      <w:r>
        <w:rPr>
          <w:rFonts w:hint="eastAsia" w:ascii="宋体" w:hAnsi="宋体"/>
          <w:color w:val="auto"/>
          <w:sz w:val="24"/>
          <w:szCs w:val="24"/>
          <w:highlight w:val="none"/>
        </w:rPr>
        <w:t>日期：      年   月   日</w:t>
      </w:r>
      <w:bookmarkEnd w:id="35"/>
      <w:r>
        <w:rPr>
          <w:rFonts w:hint="eastAsia" w:ascii="宋体" w:hAnsi="宋体"/>
          <w:color w:val="auto"/>
          <w:sz w:val="24"/>
          <w:szCs w:val="24"/>
          <w:highlight w:val="none"/>
        </w:rPr>
        <w:t xml:space="preserve"> </w:t>
      </w:r>
      <w:r>
        <w:rPr>
          <w:rFonts w:hint="eastAsia" w:ascii="宋体" w:hAnsi="宋体"/>
          <w:color w:val="auto"/>
          <w:sz w:val="18"/>
          <w:szCs w:val="18"/>
          <w:highlight w:val="none"/>
        </w:rPr>
        <w:t xml:space="preserve"> </w:t>
      </w:r>
      <w:r>
        <w:rPr>
          <w:rFonts w:hint="eastAsia" w:ascii="宋体" w:hAnsi="宋体"/>
          <w:color w:val="auto"/>
          <w:sz w:val="24"/>
          <w:szCs w:val="24"/>
          <w:highlight w:val="none"/>
        </w:rPr>
        <w:t xml:space="preserve">    </w:t>
      </w:r>
    </w:p>
    <w:p>
      <w:pPr>
        <w:pStyle w:val="6"/>
        <w:jc w:val="center"/>
        <w:rPr>
          <w:b/>
          <w:bCs/>
          <w:color w:val="auto"/>
          <w:highlight w:val="none"/>
        </w:rPr>
      </w:pPr>
      <w:bookmarkStart w:id="36" w:name="_Toc134541097"/>
      <w:r>
        <w:rPr>
          <w:rFonts w:hint="eastAsia"/>
          <w:b/>
          <w:bCs/>
          <w:color w:val="auto"/>
          <w:highlight w:val="none"/>
        </w:rPr>
        <w:t>投标文件编制情况</w:t>
      </w:r>
      <w:bookmarkEnd w:id="36"/>
    </w:p>
    <w:p>
      <w:pPr>
        <w:spacing w:line="360" w:lineRule="auto"/>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rPr>
        <w:t>1.投标文件报价编制方式: □自行编制的，编制的负责人：</w:t>
      </w:r>
      <w:r>
        <w:rPr>
          <w:rFonts w:hint="eastAsia" w:ascii="宋体" w:hAnsi="宋体"/>
          <w:color w:val="auto"/>
          <w:kern w:val="0"/>
          <w:sz w:val="24"/>
          <w:szCs w:val="24"/>
          <w:highlight w:val="none"/>
          <w:u w:val="single"/>
        </w:rPr>
        <w:t xml:space="preserve"> （盖造价工程师执业专用章或全国建设工程造价员章，执业单位应与投标人一致） </w:t>
      </w:r>
      <w:r>
        <w:rPr>
          <w:rFonts w:hint="eastAsia" w:ascii="宋体" w:hAnsi="宋体"/>
          <w:color w:val="auto"/>
          <w:kern w:val="0"/>
          <w:sz w:val="24"/>
          <w:szCs w:val="24"/>
          <w:highlight w:val="none"/>
        </w:rPr>
        <w:t>。□委托编制的，受委托单位</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，编制的负责人：</w:t>
      </w:r>
      <w:r>
        <w:rPr>
          <w:rFonts w:hint="eastAsia" w:ascii="宋体" w:hAnsi="宋体"/>
          <w:color w:val="auto"/>
          <w:kern w:val="0"/>
          <w:sz w:val="24"/>
          <w:szCs w:val="24"/>
          <w:highlight w:val="none"/>
          <w:u w:val="single"/>
        </w:rPr>
        <w:t xml:space="preserve"> （盖造价工程师执业专用章或全国建设工程造价员章，执业单位应与受委托单位一致） </w:t>
      </w:r>
      <w:r>
        <w:rPr>
          <w:rFonts w:hint="eastAsia" w:ascii="宋体" w:hAnsi="宋体"/>
          <w:color w:val="auto"/>
          <w:kern w:val="0"/>
          <w:sz w:val="24"/>
          <w:szCs w:val="24"/>
          <w:highlight w:val="none"/>
        </w:rPr>
        <w:t>。</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2.投标文件加密打包的电脑情况</w:t>
      </w:r>
    </w:p>
    <w:tbl>
      <w:tblPr>
        <w:tblStyle w:val="37"/>
        <w:tblW w:w="0" w:type="auto"/>
        <w:tblInd w:w="0" w:type="dxa"/>
        <w:tblLayout w:type="fixed"/>
        <w:tblCellMar>
          <w:top w:w="0" w:type="dxa"/>
          <w:left w:w="108" w:type="dxa"/>
          <w:bottom w:w="0" w:type="dxa"/>
          <w:right w:w="108" w:type="dxa"/>
        </w:tblCellMar>
      </w:tblPr>
      <w:tblGrid>
        <w:gridCol w:w="8919"/>
      </w:tblGrid>
      <w:tr>
        <w:tblPrEx>
          <w:tblCellMar>
            <w:top w:w="0" w:type="dxa"/>
            <w:left w:w="108" w:type="dxa"/>
            <w:bottom w:w="0" w:type="dxa"/>
            <w:right w:w="108" w:type="dxa"/>
          </w:tblCellMar>
        </w:tblPrEx>
        <w:trPr>
          <w:trHeight w:val="2819" w:hRule="atLeast"/>
        </w:trPr>
        <w:tc>
          <w:tcPr>
            <w:tcW w:w="8919" w:type="dxa"/>
          </w:tcPr>
          <w:p>
            <w:pPr>
              <w:spacing w:line="360" w:lineRule="auto"/>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电脑类型</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电脑所属单位</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pPr>
        <w:rPr>
          <w:color w:val="auto"/>
          <w:highlight w:val="none"/>
        </w:rPr>
      </w:pPr>
    </w:p>
    <w:p>
      <w:pPr>
        <w:rPr>
          <w:color w:val="auto"/>
          <w:highlight w:val="none"/>
        </w:rPr>
      </w:pPr>
      <w:bookmarkStart w:id="37" w:name="_Toc21673"/>
    </w:p>
    <w:p>
      <w:pPr>
        <w:pStyle w:val="5"/>
        <w:jc w:val="left"/>
        <w:rPr>
          <w:color w:val="auto"/>
          <w:highlight w:val="none"/>
        </w:rPr>
      </w:pPr>
      <w:r>
        <w:rPr>
          <w:rFonts w:hint="eastAsia"/>
          <w:color w:val="auto"/>
          <w:highlight w:val="none"/>
        </w:rPr>
        <w:t>格式十五：</w:t>
      </w:r>
      <w:bookmarkEnd w:id="37"/>
    </w:p>
    <w:p>
      <w:pPr>
        <w:jc w:val="center"/>
        <w:rPr>
          <w:color w:val="auto"/>
          <w:highlight w:val="none"/>
        </w:rPr>
      </w:pPr>
      <w:r>
        <w:rPr>
          <w:rFonts w:hint="eastAsia" w:ascii="宋体" w:hAnsi="宋体" w:cs="宋体"/>
          <w:b/>
          <w:snapToGrid w:val="0"/>
          <w:color w:val="auto"/>
          <w:spacing w:val="4"/>
          <w:kern w:val="0"/>
          <w:sz w:val="24"/>
          <w:szCs w:val="24"/>
          <w:highlight w:val="none"/>
        </w:rPr>
        <w:t>投标人认为需要递交的其他资料（格式自拟）</w:t>
      </w:r>
    </w:p>
    <w:p>
      <w:pPr>
        <w:pStyle w:val="36"/>
        <w:rPr>
          <w:color w:val="auto"/>
          <w:highlight w:val="none"/>
        </w:rPr>
        <w:sectPr>
          <w:headerReference r:id="rId12" w:type="default"/>
          <w:footerReference r:id="rId13" w:type="default"/>
          <w:pgSz w:w="11906" w:h="16838"/>
          <w:pgMar w:top="1440" w:right="1080" w:bottom="1440" w:left="1080" w:header="851" w:footer="992" w:gutter="0"/>
          <w:cols w:space="720" w:num="1"/>
          <w:docGrid w:type="lines" w:linePitch="312" w:charSpace="0"/>
        </w:sectPr>
      </w:pPr>
    </w:p>
    <w:p>
      <w:pPr>
        <w:pStyle w:val="4"/>
        <w:rPr>
          <w:color w:val="auto"/>
          <w:highlight w:val="none"/>
        </w:rPr>
      </w:pPr>
      <w:bookmarkStart w:id="38" w:name="_Toc7266"/>
      <w:r>
        <w:rPr>
          <w:rFonts w:hint="eastAsia"/>
          <w:color w:val="auto"/>
          <w:highlight w:val="none"/>
        </w:rPr>
        <w:t>第五章  技术条件（工程建设标准）</w:t>
      </w:r>
      <w:bookmarkEnd w:id="21"/>
      <w:bookmarkEnd w:id="38"/>
    </w:p>
    <w:p>
      <w:pPr>
        <w:pStyle w:val="5"/>
        <w:rPr>
          <w:color w:val="auto"/>
          <w:highlight w:val="none"/>
        </w:rPr>
      </w:pPr>
      <w:bookmarkStart w:id="39" w:name="_Toc24612"/>
      <w:bookmarkStart w:id="40" w:name="_Toc60070637"/>
      <w:bookmarkStart w:id="41" w:name="_Toc132722717"/>
      <w:bookmarkStart w:id="42" w:name="_Toc112397843"/>
      <w:r>
        <w:rPr>
          <w:rFonts w:hint="eastAsia"/>
          <w:color w:val="auto"/>
          <w:highlight w:val="none"/>
        </w:rPr>
        <w:t>一、标准</w:t>
      </w:r>
      <w:bookmarkEnd w:id="39"/>
      <w:bookmarkEnd w:id="40"/>
      <w:bookmarkEnd w:id="41"/>
      <w:bookmarkEnd w:id="42"/>
    </w:p>
    <w:p>
      <w:pPr>
        <w:autoSpaceDE w:val="0"/>
        <w:autoSpaceDN w:val="0"/>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rPr>
        <w:t>以现行的中华人民共和国及有关部委颁布的标准、规范和规程。若施工时期建设主管部门颁布新的规范、标准，则按照新的规范、标准执行</w:t>
      </w:r>
      <w:r>
        <w:rPr>
          <w:rFonts w:hint="eastAsia" w:ascii="宋体" w:hAnsi="宋体" w:cs="宋体"/>
          <w:color w:val="auto"/>
          <w:sz w:val="24"/>
          <w:szCs w:val="24"/>
          <w:highlight w:val="none"/>
        </w:rPr>
        <w:t>。</w:t>
      </w:r>
    </w:p>
    <w:p>
      <w:pPr>
        <w:pStyle w:val="5"/>
        <w:numPr>
          <w:ilvl w:val="0"/>
          <w:numId w:val="15"/>
        </w:numPr>
        <w:rPr>
          <w:rFonts w:hint="eastAsia"/>
          <w:color w:val="auto"/>
          <w:highlight w:val="none"/>
          <w:lang w:val="en-US" w:eastAsia="zh-CN"/>
        </w:rPr>
      </w:pPr>
      <w:r>
        <w:rPr>
          <w:rFonts w:hint="eastAsia"/>
          <w:color w:val="auto"/>
          <w:highlight w:val="none"/>
          <w:lang w:val="en-US" w:eastAsia="zh-CN"/>
        </w:rPr>
        <w:t>技术规格书</w:t>
      </w:r>
    </w:p>
    <w:p>
      <w:pPr>
        <w:numPr>
          <w:ilvl w:val="0"/>
          <w:numId w:val="0"/>
        </w:numPr>
        <w:jc w:val="center"/>
        <w:rPr>
          <w:rFonts w:hint="default"/>
          <w:sz w:val="24"/>
          <w:szCs w:val="24"/>
          <w:lang w:val="en-US" w:eastAsia="zh-CN"/>
        </w:rPr>
      </w:pPr>
      <w:r>
        <w:rPr>
          <w:rFonts w:hint="eastAsia"/>
          <w:sz w:val="24"/>
          <w:szCs w:val="24"/>
          <w:lang w:val="en-US" w:eastAsia="zh-CN"/>
        </w:rPr>
        <w:t>（另册）</w:t>
      </w:r>
    </w:p>
    <w:p>
      <w:pPr>
        <w:autoSpaceDE w:val="0"/>
        <w:autoSpaceDN w:val="0"/>
        <w:adjustRightInd w:val="0"/>
        <w:spacing w:line="360" w:lineRule="auto"/>
        <w:ind w:firstLine="480" w:firstLineChars="200"/>
        <w:rPr>
          <w:rFonts w:hint="eastAsia" w:ascii="宋体" w:hAnsi="宋体" w:cs="宋体"/>
          <w:color w:val="auto"/>
          <w:sz w:val="24"/>
          <w:szCs w:val="24"/>
          <w:highlight w:val="none"/>
        </w:rPr>
      </w:pPr>
    </w:p>
    <w:p>
      <w:pPr>
        <w:pStyle w:val="4"/>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三、</w:t>
      </w:r>
      <w:r>
        <w:rPr>
          <w:rFonts w:hint="eastAsia" w:ascii="宋体" w:hAnsi="宋体" w:cs="宋体"/>
          <w:b/>
          <w:color w:val="auto"/>
          <w:sz w:val="24"/>
          <w:szCs w:val="24"/>
          <w:highlight w:val="none"/>
        </w:rPr>
        <w:t>建筑垃圾减量及利用要求</w:t>
      </w:r>
    </w:p>
    <w:p>
      <w:pPr>
        <w:topLinePunct/>
        <w:adjustRightInd w:val="0"/>
        <w:snapToGrid w:val="0"/>
        <w:spacing w:line="360" w:lineRule="auto"/>
        <w:ind w:firstLine="496" w:firstLineChars="200"/>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pPr>
        <w:topLinePunct/>
        <w:adjustRightInd w:val="0"/>
        <w:snapToGrid w:val="0"/>
        <w:spacing w:line="360" w:lineRule="auto"/>
        <w:ind w:firstLine="496" w:firstLineChars="200"/>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(一)工程概况和施工单位基本信息；</w:t>
      </w:r>
    </w:p>
    <w:p>
      <w:pPr>
        <w:topLinePunct/>
        <w:adjustRightInd w:val="0"/>
        <w:snapToGrid w:val="0"/>
        <w:spacing w:line="360" w:lineRule="auto"/>
        <w:ind w:firstLine="496" w:firstLineChars="200"/>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(二)建筑垃圾产生量与种类；</w:t>
      </w:r>
    </w:p>
    <w:p>
      <w:pPr>
        <w:topLinePunct/>
        <w:adjustRightInd w:val="0"/>
        <w:snapToGrid w:val="0"/>
        <w:spacing w:line="360" w:lineRule="auto"/>
        <w:ind w:firstLine="496" w:firstLineChars="200"/>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(三)建筑垃圾源头减量、分类收集、综合利用、污染防治的措施和目标；</w:t>
      </w:r>
    </w:p>
    <w:p>
      <w:pPr>
        <w:topLinePunct/>
        <w:adjustRightInd w:val="0"/>
        <w:snapToGrid w:val="0"/>
        <w:spacing w:line="360" w:lineRule="auto"/>
        <w:ind w:firstLine="496" w:firstLineChars="200"/>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(四)需要外运的建筑垃圾种类、数量与运输的时间、路线、方式和运输单位；</w:t>
      </w:r>
    </w:p>
    <w:p>
      <w:pPr>
        <w:topLinePunct/>
        <w:adjustRightInd w:val="0"/>
        <w:snapToGrid w:val="0"/>
        <w:spacing w:line="360" w:lineRule="auto"/>
        <w:ind w:firstLine="496" w:firstLineChars="200"/>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(五)建筑垃圾回填、消纳、综合利用场所名称；</w:t>
      </w:r>
    </w:p>
    <w:p>
      <w:pPr>
        <w:autoSpaceDE w:val="0"/>
        <w:autoSpaceDN w:val="0"/>
        <w:adjustRightInd w:val="0"/>
        <w:spacing w:line="360" w:lineRule="auto"/>
        <w:ind w:firstLine="496" w:firstLineChars="200"/>
        <w:rPr>
          <w:rFonts w:hint="eastAsia" w:ascii="宋体" w:hAnsi="宋体" w:cs="宋体"/>
          <w:color w:val="auto"/>
          <w:sz w:val="24"/>
          <w:szCs w:val="24"/>
          <w:highlight w:val="none"/>
        </w:rPr>
      </w:pPr>
      <w:r>
        <w:rPr>
          <w:rFonts w:hint="eastAsia" w:ascii="宋体" w:hAnsi="宋体"/>
          <w:color w:val="auto"/>
          <w:spacing w:val="4"/>
          <w:kern w:val="0"/>
          <w:sz w:val="24"/>
          <w:szCs w:val="24"/>
          <w:highlight w:val="none"/>
        </w:rPr>
        <w:t>(六)法律、法规规定的其他内容。</w:t>
      </w:r>
    </w:p>
    <w:p>
      <w:pPr>
        <w:rPr>
          <w:rFonts w:hint="eastAsia" w:ascii="宋体" w:hAnsi="宋体"/>
          <w:color w:val="auto"/>
          <w:highlight w:val="yellow"/>
        </w:rPr>
        <w:sectPr>
          <w:footerReference r:id="rId14" w:type="default"/>
          <w:pgSz w:w="11906" w:h="16838"/>
          <w:pgMar w:top="1440" w:right="1080" w:bottom="1440" w:left="1080" w:header="851" w:footer="992" w:gutter="0"/>
          <w:cols w:space="720" w:num="1"/>
          <w:docGrid w:type="lines" w:linePitch="312" w:charSpace="0"/>
        </w:sectPr>
      </w:pPr>
      <w:bookmarkStart w:id="43" w:name="_Toc2272569"/>
      <w:bookmarkStart w:id="44" w:name="_Toc13179"/>
    </w:p>
    <w:p>
      <w:pPr>
        <w:pStyle w:val="4"/>
        <w:jc w:val="center"/>
        <w:rPr>
          <w:rFonts w:ascii="宋体" w:hAnsi="宋体"/>
          <w:color w:val="auto"/>
          <w:highlight w:val="none"/>
        </w:rPr>
      </w:pPr>
      <w:r>
        <w:rPr>
          <w:rFonts w:hint="eastAsia" w:ascii="宋体" w:hAnsi="宋体"/>
          <w:color w:val="auto"/>
          <w:highlight w:val="none"/>
        </w:rPr>
        <w:t>第六章</w:t>
      </w:r>
      <w:r>
        <w:rPr>
          <w:rFonts w:ascii="宋体" w:hAnsi="宋体"/>
          <w:color w:val="auto"/>
          <w:highlight w:val="none"/>
        </w:rPr>
        <w:t xml:space="preserve">  </w:t>
      </w:r>
      <w:r>
        <w:rPr>
          <w:rFonts w:hint="eastAsia" w:ascii="宋体" w:hAnsi="宋体"/>
          <w:color w:val="auto"/>
          <w:highlight w:val="none"/>
        </w:rPr>
        <w:t>图纸及勘察资料</w:t>
      </w:r>
      <w:bookmarkEnd w:id="43"/>
      <w:bookmarkEnd w:id="44"/>
    </w:p>
    <w:p>
      <w:pPr>
        <w:rPr>
          <w:rFonts w:ascii="宋体" w:hAnsi="宋体"/>
          <w:b/>
          <w:color w:val="auto"/>
          <w:sz w:val="24"/>
          <w:szCs w:val="24"/>
          <w:highlight w:val="none"/>
        </w:rPr>
      </w:pPr>
      <w:r>
        <w:rPr>
          <w:rFonts w:hint="eastAsia" w:ascii="宋体" w:hAnsi="宋体"/>
          <w:color w:val="auto"/>
          <w:sz w:val="24"/>
          <w:szCs w:val="24"/>
          <w:highlight w:val="none"/>
        </w:rPr>
        <w:t>注：本章由招标人自行制定，另册。</w:t>
      </w:r>
    </w:p>
    <w:p>
      <w:pPr>
        <w:pStyle w:val="4"/>
        <w:jc w:val="center"/>
        <w:rPr>
          <w:rFonts w:ascii="宋体" w:hAnsi="宋体"/>
          <w:color w:val="auto"/>
          <w:highlight w:val="none"/>
        </w:rPr>
      </w:pPr>
      <w:r>
        <w:rPr>
          <w:rFonts w:ascii="宋体" w:hAnsi="宋体"/>
          <w:color w:val="auto"/>
          <w:sz w:val="24"/>
          <w:szCs w:val="24"/>
          <w:highlight w:val="none"/>
        </w:rPr>
        <w:br w:type="page"/>
      </w:r>
      <w:bookmarkStart w:id="45" w:name="_Toc2272570"/>
      <w:bookmarkStart w:id="46" w:name="_Toc11661"/>
      <w:r>
        <w:rPr>
          <w:rFonts w:hint="eastAsia" w:ascii="宋体" w:hAnsi="宋体"/>
          <w:color w:val="auto"/>
          <w:highlight w:val="none"/>
        </w:rPr>
        <w:t>第七章</w:t>
      </w:r>
      <w:r>
        <w:rPr>
          <w:rFonts w:ascii="宋体" w:hAnsi="宋体"/>
          <w:color w:val="auto"/>
          <w:highlight w:val="none"/>
        </w:rPr>
        <w:t xml:space="preserve">  </w:t>
      </w:r>
      <w:r>
        <w:rPr>
          <w:rFonts w:hint="eastAsia" w:ascii="宋体" w:hAnsi="宋体"/>
          <w:color w:val="auto"/>
          <w:highlight w:val="none"/>
        </w:rPr>
        <w:t>工程量清单</w:t>
      </w:r>
      <w:bookmarkEnd w:id="45"/>
      <w:bookmarkEnd w:id="46"/>
    </w:p>
    <w:p>
      <w:pPr>
        <w:rPr>
          <w:rFonts w:ascii="宋体" w:hAnsi="宋体"/>
          <w:b/>
          <w:color w:val="auto"/>
          <w:sz w:val="24"/>
          <w:szCs w:val="24"/>
          <w:highlight w:val="none"/>
        </w:rPr>
      </w:pPr>
      <w:r>
        <w:rPr>
          <w:rFonts w:hint="eastAsia" w:ascii="宋体" w:hAnsi="宋体"/>
          <w:color w:val="auto"/>
          <w:sz w:val="24"/>
          <w:szCs w:val="24"/>
          <w:highlight w:val="none"/>
        </w:rPr>
        <w:t>注：本章由招标人自行制定。</w:t>
      </w:r>
    </w:p>
    <w:p>
      <w:pPr>
        <w:pStyle w:val="2"/>
        <w:spacing w:after="0" w:line="360" w:lineRule="auto"/>
        <w:ind w:left="-2" w:leftChars="-1" w:firstLine="960" w:firstLineChars="400"/>
        <w:rPr>
          <w:rFonts w:ascii="宋体" w:hAnsi="宋体"/>
          <w:color w:val="auto"/>
          <w:sz w:val="24"/>
          <w:highlight w:val="none"/>
        </w:rPr>
      </w:pPr>
    </w:p>
    <w:p>
      <w:pPr>
        <w:pStyle w:val="4"/>
        <w:jc w:val="center"/>
        <w:rPr>
          <w:rFonts w:ascii="宋体" w:hAnsi="宋体"/>
          <w:color w:val="auto"/>
          <w:highlight w:val="none"/>
        </w:rPr>
      </w:pPr>
      <w:r>
        <w:rPr>
          <w:rFonts w:ascii="宋体" w:hAnsi="宋体"/>
          <w:color w:val="auto"/>
          <w:sz w:val="24"/>
          <w:szCs w:val="24"/>
          <w:highlight w:val="none"/>
        </w:rPr>
        <w:br w:type="page"/>
      </w:r>
      <w:bookmarkStart w:id="47" w:name="_Toc11184"/>
      <w:bookmarkStart w:id="48" w:name="_Toc2272571"/>
      <w:r>
        <w:rPr>
          <w:rFonts w:hint="eastAsia" w:ascii="宋体" w:hAnsi="宋体"/>
          <w:color w:val="auto"/>
          <w:highlight w:val="none"/>
        </w:rPr>
        <w:t>第八章</w:t>
      </w:r>
      <w:r>
        <w:rPr>
          <w:rFonts w:ascii="宋体" w:hAnsi="宋体"/>
          <w:color w:val="auto"/>
          <w:highlight w:val="none"/>
        </w:rPr>
        <w:t xml:space="preserve">  </w:t>
      </w:r>
      <w:r>
        <w:rPr>
          <w:rFonts w:hint="eastAsia" w:ascii="宋体" w:hAnsi="宋体"/>
          <w:color w:val="auto"/>
          <w:highlight w:val="none"/>
        </w:rPr>
        <w:t>最高投标限价</w:t>
      </w:r>
      <w:bookmarkEnd w:id="47"/>
      <w:bookmarkEnd w:id="48"/>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ind w:firstLine="480"/>
        <w:jc w:val="center"/>
        <w:rPr>
          <w:rFonts w:ascii="宋体" w:hAnsi="宋体"/>
          <w:color w:val="auto"/>
          <w:sz w:val="24"/>
          <w:szCs w:val="24"/>
          <w:highlight w:val="none"/>
          <w:u w:val="single"/>
        </w:rPr>
      </w:pPr>
      <w:r>
        <w:rPr>
          <w:rFonts w:hint="eastAsia" w:ascii="宋体" w:hAnsi="宋体"/>
          <w:color w:val="auto"/>
          <w:sz w:val="24"/>
          <w:szCs w:val="24"/>
          <w:highlight w:val="none"/>
          <w:u w:val="single"/>
        </w:rPr>
        <w:t>（另册）</w:t>
      </w:r>
    </w:p>
    <w:p>
      <w:pPr>
        <w:rPr>
          <w:rFonts w:ascii="宋体" w:hAnsi="宋体"/>
          <w:color w:val="auto"/>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rPr>
        <w:rStyle w:val="42"/>
      </w:rPr>
    </w:pPr>
    <w:r>
      <w:rPr>
        <w:rStyle w:val="42"/>
      </w:rPr>
      <w:fldChar w:fldCharType="begin"/>
    </w:r>
    <w:r>
      <w:rPr>
        <w:rStyle w:val="42"/>
      </w:rPr>
      <w:instrText xml:space="preserve">PAGE  </w:instrText>
    </w:r>
    <w:r>
      <w:rPr>
        <w:rStyle w:val="42"/>
      </w:rPr>
      <w:fldChar w:fldCharType="separate"/>
    </w:r>
    <w:r>
      <w:rPr>
        <w:rStyle w:val="42"/>
        <w:rFonts w:hint="eastAsia"/>
      </w:rPr>
      <w:t>一</w:t>
    </w:r>
    <w:r>
      <w:rPr>
        <w:rStyle w:val="42"/>
      </w:rPr>
      <w:t>–2</w:t>
    </w:r>
    <w:r>
      <w:rPr>
        <w:rStyle w:val="42"/>
      </w:rPr>
      <w:fldChar w:fldCharType="end"/>
    </w:r>
  </w:p>
  <w:p>
    <w:pPr>
      <w:pStyle w:val="25"/>
      <w:ind w:firstLine="392"/>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535"/>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53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92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end"/>
    </w:r>
  </w:p>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105</w:t>
                    </w:r>
                    <w:r>
                      <w:fldChar w:fldCharType="end"/>
                    </w:r>
                  </w:p>
                </w:txbxContent>
              </v:textbox>
            </v:shape>
          </w:pict>
        </mc:Fallback>
      </mc:AlternateContent>
    </w:r>
  </w:p>
  <w:p>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06F4"/>
    <w:multiLevelType w:val="singleLevel"/>
    <w:tmpl w:val="834506F4"/>
    <w:lvl w:ilvl="0" w:tentative="0">
      <w:start w:val="3"/>
      <w:numFmt w:val="chineseCounting"/>
      <w:suff w:val="nothing"/>
      <w:lvlText w:val="%1、"/>
      <w:lvlJc w:val="left"/>
      <w:rPr>
        <w:rFonts w:hint="eastAsia"/>
      </w:rPr>
    </w:lvl>
  </w:abstractNum>
  <w:abstractNum w:abstractNumId="1">
    <w:nsid w:val="F8E14405"/>
    <w:multiLevelType w:val="singleLevel"/>
    <w:tmpl w:val="F8E14405"/>
    <w:lvl w:ilvl="0" w:tentative="0">
      <w:start w:val="3"/>
      <w:numFmt w:val="chineseCounting"/>
      <w:suff w:val="space"/>
      <w:lvlText w:val="第%1章"/>
      <w:lvlJc w:val="left"/>
      <w:rPr>
        <w:rFonts w:hint="eastAsia"/>
      </w:r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0000009"/>
    <w:multiLevelType w:val="singleLevel"/>
    <w:tmpl w:val="00000009"/>
    <w:lvl w:ilvl="0" w:tentative="0">
      <w:start w:val="1"/>
      <w:numFmt w:val="decimal"/>
      <w:suff w:val="nothing"/>
      <w:lvlText w:val="（%1）"/>
      <w:lvlJc w:val="left"/>
    </w:lvl>
  </w:abstractNum>
  <w:abstractNum w:abstractNumId="4">
    <w:nsid w:val="0000000C"/>
    <w:multiLevelType w:val="singleLevel"/>
    <w:tmpl w:val="0000000C"/>
    <w:lvl w:ilvl="0" w:tentative="0">
      <w:start w:val="1"/>
      <w:numFmt w:val="decimal"/>
      <w:suff w:val="nothing"/>
      <w:lvlText w:val="（%1）"/>
      <w:lvlJc w:val="left"/>
    </w:lvl>
  </w:abstractNum>
  <w:abstractNum w:abstractNumId="5">
    <w:nsid w:val="0724CF32"/>
    <w:multiLevelType w:val="singleLevel"/>
    <w:tmpl w:val="0724CF32"/>
    <w:lvl w:ilvl="0" w:tentative="0">
      <w:start w:val="1"/>
      <w:numFmt w:val="decimal"/>
      <w:lvlText w:val="%1."/>
      <w:lvlJc w:val="left"/>
      <w:pPr>
        <w:tabs>
          <w:tab w:val="left" w:pos="312"/>
        </w:tabs>
      </w:pPr>
    </w:lvl>
  </w:abstractNum>
  <w:abstractNum w:abstractNumId="6">
    <w:nsid w:val="181BE3C2"/>
    <w:multiLevelType w:val="singleLevel"/>
    <w:tmpl w:val="181BE3C2"/>
    <w:lvl w:ilvl="0" w:tentative="0">
      <w:start w:val="1"/>
      <w:numFmt w:val="decimal"/>
      <w:lvlText w:val="%1."/>
      <w:lvlJc w:val="left"/>
      <w:pPr>
        <w:ind w:left="425" w:hanging="425"/>
      </w:pPr>
      <w:rPr>
        <w:rFonts w:hint="default"/>
      </w:rPr>
    </w:lvl>
  </w:abstractNum>
  <w:abstractNum w:abstractNumId="7">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259905B5"/>
    <w:multiLevelType w:val="multilevel"/>
    <w:tmpl w:val="259905B5"/>
    <w:lvl w:ilvl="0" w:tentative="0">
      <w:start w:val="1"/>
      <w:numFmt w:val="chineseCountingThousand"/>
      <w:pStyle w:val="10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1"/>
      <w:suff w:val="nothing"/>
      <w:lvlText w:val=""/>
      <w:lvlJc w:val="left"/>
      <w:rPr>
        <w:rFonts w:hint="eastAsia" w:cs="Times New Roman"/>
      </w:rPr>
    </w:lvl>
    <w:lvl w:ilvl="7" w:tentative="0">
      <w:start w:val="1"/>
      <w:numFmt w:val="none"/>
      <w:pStyle w:val="12"/>
      <w:suff w:val="nothing"/>
      <w:lvlText w:val=""/>
      <w:lvlJc w:val="left"/>
      <w:rPr>
        <w:rFonts w:hint="eastAsia" w:cs="Times New Roman"/>
      </w:rPr>
    </w:lvl>
    <w:lvl w:ilvl="8" w:tentative="0">
      <w:start w:val="1"/>
      <w:numFmt w:val="none"/>
      <w:pStyle w:val="13"/>
      <w:suff w:val="nothing"/>
      <w:lvlText w:val=""/>
      <w:lvlJc w:val="left"/>
      <w:rPr>
        <w:rFonts w:hint="eastAsia" w:cs="Times New Roman"/>
      </w:rPr>
    </w:lvl>
  </w:abstractNum>
  <w:abstractNum w:abstractNumId="9">
    <w:nsid w:val="4AB3511B"/>
    <w:multiLevelType w:val="singleLevel"/>
    <w:tmpl w:val="4AB3511B"/>
    <w:lvl w:ilvl="0" w:tentative="0">
      <w:start w:val="1"/>
      <w:numFmt w:val="decimal"/>
      <w:suff w:val="nothing"/>
      <w:lvlText w:val="%1、"/>
      <w:lvlJc w:val="left"/>
    </w:lvl>
  </w:abstractNum>
  <w:abstractNum w:abstractNumId="10">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05D455"/>
    <w:multiLevelType w:val="singleLevel"/>
    <w:tmpl w:val="6B05D455"/>
    <w:lvl w:ilvl="0" w:tentative="0">
      <w:start w:val="3"/>
      <w:numFmt w:val="chineseCounting"/>
      <w:suff w:val="nothing"/>
      <w:lvlText w:val="（%1）"/>
      <w:lvlJc w:val="left"/>
      <w:rPr>
        <w:rFonts w:hint="eastAsia"/>
      </w:rPr>
    </w:lvl>
  </w:abstractNum>
  <w:abstractNum w:abstractNumId="12">
    <w:nsid w:val="71B56C73"/>
    <w:multiLevelType w:val="singleLevel"/>
    <w:tmpl w:val="71B56C73"/>
    <w:lvl w:ilvl="0" w:tentative="0">
      <w:start w:val="1"/>
      <w:numFmt w:val="decimal"/>
      <w:suff w:val="nothing"/>
      <w:lvlText w:val="（%1）"/>
      <w:lvlJc w:val="left"/>
    </w:lvl>
  </w:abstractNum>
  <w:abstractNum w:abstractNumId="13">
    <w:nsid w:val="7239E6C5"/>
    <w:multiLevelType w:val="singleLevel"/>
    <w:tmpl w:val="7239E6C5"/>
    <w:lvl w:ilvl="0" w:tentative="0">
      <w:start w:val="2"/>
      <w:numFmt w:val="chineseCounting"/>
      <w:suff w:val="nothing"/>
      <w:lvlText w:val="%1、"/>
      <w:lvlJc w:val="left"/>
      <w:rPr>
        <w:rFonts w:hint="eastAsia"/>
      </w:rPr>
    </w:lvl>
  </w:abstractNum>
  <w:abstractNum w:abstractNumId="14">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0"/>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4"/>
  </w:num>
  <w:num w:numId="2">
    <w:abstractNumId w:val="8"/>
  </w:num>
  <w:num w:numId="3">
    <w:abstractNumId w:val="12"/>
  </w:num>
  <w:num w:numId="4">
    <w:abstractNumId w:val="9"/>
  </w:num>
  <w:num w:numId="5">
    <w:abstractNumId w:val="0"/>
  </w:num>
  <w:num w:numId="6">
    <w:abstractNumId w:val="6"/>
  </w:num>
  <w:num w:numId="7">
    <w:abstractNumId w:val="1"/>
  </w:num>
  <w:num w:numId="8">
    <w:abstractNumId w:val="4"/>
  </w:num>
  <w:num w:numId="9">
    <w:abstractNumId w:val="3"/>
  </w:num>
  <w:num w:numId="10">
    <w:abstractNumId w:val="2"/>
  </w:num>
  <w:num w:numId="11">
    <w:abstractNumId w:val="11"/>
  </w:num>
  <w:num w:numId="12">
    <w:abstractNumId w:val="5"/>
  </w:num>
  <w:num w:numId="13">
    <w:abstractNumId w:val="1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YzhlZWRkMTg2M2JmZTY5ZmY3N2JkOTQzYTVjNzgifQ=="/>
  </w:docVars>
  <w:rsids>
    <w:rsidRoot w:val="007B41BE"/>
    <w:rsid w:val="00015056"/>
    <w:rsid w:val="000200EE"/>
    <w:rsid w:val="00036942"/>
    <w:rsid w:val="000430E5"/>
    <w:rsid w:val="00051C65"/>
    <w:rsid w:val="000549CE"/>
    <w:rsid w:val="000559A8"/>
    <w:rsid w:val="000575F8"/>
    <w:rsid w:val="00063C7C"/>
    <w:rsid w:val="0007187C"/>
    <w:rsid w:val="000758A1"/>
    <w:rsid w:val="00082C4D"/>
    <w:rsid w:val="000A60D9"/>
    <w:rsid w:val="000B6059"/>
    <w:rsid w:val="000C1007"/>
    <w:rsid w:val="000C11E0"/>
    <w:rsid w:val="000C2710"/>
    <w:rsid w:val="000D396E"/>
    <w:rsid w:val="000E33CA"/>
    <w:rsid w:val="000F12CB"/>
    <w:rsid w:val="000F3392"/>
    <w:rsid w:val="000F782B"/>
    <w:rsid w:val="0010031F"/>
    <w:rsid w:val="0010481B"/>
    <w:rsid w:val="00106BE0"/>
    <w:rsid w:val="00110CCB"/>
    <w:rsid w:val="0012259D"/>
    <w:rsid w:val="0013576D"/>
    <w:rsid w:val="00136C12"/>
    <w:rsid w:val="00144024"/>
    <w:rsid w:val="001448F5"/>
    <w:rsid w:val="0015308B"/>
    <w:rsid w:val="00155DF6"/>
    <w:rsid w:val="00162432"/>
    <w:rsid w:val="0017582F"/>
    <w:rsid w:val="00175928"/>
    <w:rsid w:val="0018160E"/>
    <w:rsid w:val="00193606"/>
    <w:rsid w:val="001A1157"/>
    <w:rsid w:val="001A61A7"/>
    <w:rsid w:val="001A6D0F"/>
    <w:rsid w:val="001B0DD8"/>
    <w:rsid w:val="001B2E3B"/>
    <w:rsid w:val="001C0CA5"/>
    <w:rsid w:val="001D6A48"/>
    <w:rsid w:val="001E02C2"/>
    <w:rsid w:val="001F197C"/>
    <w:rsid w:val="00213DEC"/>
    <w:rsid w:val="00223662"/>
    <w:rsid w:val="002347F2"/>
    <w:rsid w:val="0025263D"/>
    <w:rsid w:val="00254D9F"/>
    <w:rsid w:val="00265653"/>
    <w:rsid w:val="002672C7"/>
    <w:rsid w:val="002820B2"/>
    <w:rsid w:val="00294C29"/>
    <w:rsid w:val="002A2F72"/>
    <w:rsid w:val="002A6FD5"/>
    <w:rsid w:val="002A7F65"/>
    <w:rsid w:val="002B1CE1"/>
    <w:rsid w:val="002B26FA"/>
    <w:rsid w:val="002C0AA0"/>
    <w:rsid w:val="002C29AF"/>
    <w:rsid w:val="002D02CB"/>
    <w:rsid w:val="002D113A"/>
    <w:rsid w:val="002D2EBD"/>
    <w:rsid w:val="002E39E2"/>
    <w:rsid w:val="002F3287"/>
    <w:rsid w:val="002F6B33"/>
    <w:rsid w:val="00306BC1"/>
    <w:rsid w:val="003130AB"/>
    <w:rsid w:val="003162A8"/>
    <w:rsid w:val="003312F8"/>
    <w:rsid w:val="003316B6"/>
    <w:rsid w:val="00336AA3"/>
    <w:rsid w:val="0033700E"/>
    <w:rsid w:val="00360FB3"/>
    <w:rsid w:val="0037328F"/>
    <w:rsid w:val="0037348E"/>
    <w:rsid w:val="00381839"/>
    <w:rsid w:val="00383351"/>
    <w:rsid w:val="003921A4"/>
    <w:rsid w:val="00393887"/>
    <w:rsid w:val="003A5415"/>
    <w:rsid w:val="003B0E78"/>
    <w:rsid w:val="003D2753"/>
    <w:rsid w:val="003D27A3"/>
    <w:rsid w:val="003D42BB"/>
    <w:rsid w:val="003D4533"/>
    <w:rsid w:val="003E2875"/>
    <w:rsid w:val="003F62FD"/>
    <w:rsid w:val="00402C17"/>
    <w:rsid w:val="004045B4"/>
    <w:rsid w:val="00407F26"/>
    <w:rsid w:val="00411ACE"/>
    <w:rsid w:val="004127CE"/>
    <w:rsid w:val="00422806"/>
    <w:rsid w:val="00427F88"/>
    <w:rsid w:val="004370EC"/>
    <w:rsid w:val="00441BB7"/>
    <w:rsid w:val="004424B8"/>
    <w:rsid w:val="004426E8"/>
    <w:rsid w:val="00443541"/>
    <w:rsid w:val="00445BDB"/>
    <w:rsid w:val="00446895"/>
    <w:rsid w:val="004626D4"/>
    <w:rsid w:val="00463576"/>
    <w:rsid w:val="00471B1C"/>
    <w:rsid w:val="00475C0B"/>
    <w:rsid w:val="00485826"/>
    <w:rsid w:val="004919C5"/>
    <w:rsid w:val="004A1391"/>
    <w:rsid w:val="004A4971"/>
    <w:rsid w:val="004B0428"/>
    <w:rsid w:val="004B18CA"/>
    <w:rsid w:val="004B295D"/>
    <w:rsid w:val="004C5132"/>
    <w:rsid w:val="004C63F1"/>
    <w:rsid w:val="004D0B09"/>
    <w:rsid w:val="004D6053"/>
    <w:rsid w:val="004D7561"/>
    <w:rsid w:val="004D7C51"/>
    <w:rsid w:val="004F4181"/>
    <w:rsid w:val="004F542A"/>
    <w:rsid w:val="00507724"/>
    <w:rsid w:val="00517117"/>
    <w:rsid w:val="0052156C"/>
    <w:rsid w:val="005362EC"/>
    <w:rsid w:val="00565DF5"/>
    <w:rsid w:val="00580DAE"/>
    <w:rsid w:val="005823A7"/>
    <w:rsid w:val="00584B6C"/>
    <w:rsid w:val="005866FB"/>
    <w:rsid w:val="00594778"/>
    <w:rsid w:val="005A17F3"/>
    <w:rsid w:val="005B3416"/>
    <w:rsid w:val="005C212B"/>
    <w:rsid w:val="005D1489"/>
    <w:rsid w:val="005D5976"/>
    <w:rsid w:val="005D5C3B"/>
    <w:rsid w:val="005D6A6D"/>
    <w:rsid w:val="005E5331"/>
    <w:rsid w:val="005E5D10"/>
    <w:rsid w:val="005F4849"/>
    <w:rsid w:val="005F5BF9"/>
    <w:rsid w:val="00600818"/>
    <w:rsid w:val="006036EF"/>
    <w:rsid w:val="006153DE"/>
    <w:rsid w:val="0061723A"/>
    <w:rsid w:val="00620D0B"/>
    <w:rsid w:val="00627063"/>
    <w:rsid w:val="00631285"/>
    <w:rsid w:val="00637314"/>
    <w:rsid w:val="00644E52"/>
    <w:rsid w:val="00656377"/>
    <w:rsid w:val="0065742F"/>
    <w:rsid w:val="00660105"/>
    <w:rsid w:val="00664C90"/>
    <w:rsid w:val="00665855"/>
    <w:rsid w:val="00673B83"/>
    <w:rsid w:val="006764E9"/>
    <w:rsid w:val="00676863"/>
    <w:rsid w:val="00680BFD"/>
    <w:rsid w:val="00681716"/>
    <w:rsid w:val="006837BE"/>
    <w:rsid w:val="00692FFF"/>
    <w:rsid w:val="006A0DA8"/>
    <w:rsid w:val="006A4182"/>
    <w:rsid w:val="006B6436"/>
    <w:rsid w:val="006B6B0D"/>
    <w:rsid w:val="006C105A"/>
    <w:rsid w:val="006E29CC"/>
    <w:rsid w:val="006E7520"/>
    <w:rsid w:val="006F3576"/>
    <w:rsid w:val="006F72CD"/>
    <w:rsid w:val="00722CD3"/>
    <w:rsid w:val="0073229B"/>
    <w:rsid w:val="00732B5A"/>
    <w:rsid w:val="00736306"/>
    <w:rsid w:val="00752535"/>
    <w:rsid w:val="00754A8C"/>
    <w:rsid w:val="00762487"/>
    <w:rsid w:val="0076493A"/>
    <w:rsid w:val="00780EC8"/>
    <w:rsid w:val="00780FE2"/>
    <w:rsid w:val="007870F8"/>
    <w:rsid w:val="0079591C"/>
    <w:rsid w:val="007A15C5"/>
    <w:rsid w:val="007B06E9"/>
    <w:rsid w:val="007B08DB"/>
    <w:rsid w:val="007B41BE"/>
    <w:rsid w:val="007C006F"/>
    <w:rsid w:val="007C2D7B"/>
    <w:rsid w:val="007C5B54"/>
    <w:rsid w:val="007C5F45"/>
    <w:rsid w:val="007D6D06"/>
    <w:rsid w:val="007F1E50"/>
    <w:rsid w:val="007F205E"/>
    <w:rsid w:val="007F4786"/>
    <w:rsid w:val="00800136"/>
    <w:rsid w:val="00814673"/>
    <w:rsid w:val="0081496B"/>
    <w:rsid w:val="0081609A"/>
    <w:rsid w:val="00830D5A"/>
    <w:rsid w:val="008352F7"/>
    <w:rsid w:val="00835C9E"/>
    <w:rsid w:val="008361BE"/>
    <w:rsid w:val="00841E21"/>
    <w:rsid w:val="0085318D"/>
    <w:rsid w:val="00866B57"/>
    <w:rsid w:val="00882106"/>
    <w:rsid w:val="00885E3E"/>
    <w:rsid w:val="00886149"/>
    <w:rsid w:val="00894074"/>
    <w:rsid w:val="008A232A"/>
    <w:rsid w:val="008B502B"/>
    <w:rsid w:val="008B7EE8"/>
    <w:rsid w:val="008C2232"/>
    <w:rsid w:val="008D2515"/>
    <w:rsid w:val="008D3965"/>
    <w:rsid w:val="008E4AD1"/>
    <w:rsid w:val="008E4FC1"/>
    <w:rsid w:val="008F5EF8"/>
    <w:rsid w:val="009018FC"/>
    <w:rsid w:val="009027DE"/>
    <w:rsid w:val="00904473"/>
    <w:rsid w:val="00920E49"/>
    <w:rsid w:val="0093036F"/>
    <w:rsid w:val="00931281"/>
    <w:rsid w:val="0095037C"/>
    <w:rsid w:val="00951789"/>
    <w:rsid w:val="00956F80"/>
    <w:rsid w:val="009873A6"/>
    <w:rsid w:val="00991949"/>
    <w:rsid w:val="009A704D"/>
    <w:rsid w:val="009B03E9"/>
    <w:rsid w:val="009B15B3"/>
    <w:rsid w:val="009B4736"/>
    <w:rsid w:val="009B5ECD"/>
    <w:rsid w:val="009B6768"/>
    <w:rsid w:val="009C0A8F"/>
    <w:rsid w:val="009C2E49"/>
    <w:rsid w:val="009D028C"/>
    <w:rsid w:val="009D76E7"/>
    <w:rsid w:val="009E5799"/>
    <w:rsid w:val="009E5983"/>
    <w:rsid w:val="009F6AA1"/>
    <w:rsid w:val="00A0387A"/>
    <w:rsid w:val="00A0619D"/>
    <w:rsid w:val="00A06298"/>
    <w:rsid w:val="00A07E3A"/>
    <w:rsid w:val="00A11AFF"/>
    <w:rsid w:val="00A20AF3"/>
    <w:rsid w:val="00A22C42"/>
    <w:rsid w:val="00A24363"/>
    <w:rsid w:val="00A2579D"/>
    <w:rsid w:val="00A368D4"/>
    <w:rsid w:val="00A3788D"/>
    <w:rsid w:val="00A50D34"/>
    <w:rsid w:val="00A616D2"/>
    <w:rsid w:val="00A64E29"/>
    <w:rsid w:val="00A64FC0"/>
    <w:rsid w:val="00A73675"/>
    <w:rsid w:val="00A822D8"/>
    <w:rsid w:val="00A84A67"/>
    <w:rsid w:val="00A87390"/>
    <w:rsid w:val="00A90A9F"/>
    <w:rsid w:val="00AA3133"/>
    <w:rsid w:val="00AA6E58"/>
    <w:rsid w:val="00AB14D4"/>
    <w:rsid w:val="00AC4F76"/>
    <w:rsid w:val="00AD3725"/>
    <w:rsid w:val="00AD3DEE"/>
    <w:rsid w:val="00AE1E82"/>
    <w:rsid w:val="00AE6009"/>
    <w:rsid w:val="00AE6846"/>
    <w:rsid w:val="00AF0CE0"/>
    <w:rsid w:val="00B0022E"/>
    <w:rsid w:val="00B24592"/>
    <w:rsid w:val="00B272E5"/>
    <w:rsid w:val="00B277D7"/>
    <w:rsid w:val="00B3500D"/>
    <w:rsid w:val="00B40E59"/>
    <w:rsid w:val="00B469ED"/>
    <w:rsid w:val="00B623C1"/>
    <w:rsid w:val="00B75BCD"/>
    <w:rsid w:val="00B8265D"/>
    <w:rsid w:val="00B96F4C"/>
    <w:rsid w:val="00B975E9"/>
    <w:rsid w:val="00B97710"/>
    <w:rsid w:val="00BA0298"/>
    <w:rsid w:val="00BA0B31"/>
    <w:rsid w:val="00BB35BC"/>
    <w:rsid w:val="00BB5C07"/>
    <w:rsid w:val="00BC5159"/>
    <w:rsid w:val="00BC7B91"/>
    <w:rsid w:val="00BD0DB1"/>
    <w:rsid w:val="00BD3899"/>
    <w:rsid w:val="00BE1732"/>
    <w:rsid w:val="00BE216D"/>
    <w:rsid w:val="00BE4713"/>
    <w:rsid w:val="00BF2E68"/>
    <w:rsid w:val="00BF45E1"/>
    <w:rsid w:val="00C046B6"/>
    <w:rsid w:val="00C11431"/>
    <w:rsid w:val="00C17E4B"/>
    <w:rsid w:val="00C22693"/>
    <w:rsid w:val="00C31EC6"/>
    <w:rsid w:val="00C32C1E"/>
    <w:rsid w:val="00C408D3"/>
    <w:rsid w:val="00C40EE2"/>
    <w:rsid w:val="00C42A5E"/>
    <w:rsid w:val="00C42B12"/>
    <w:rsid w:val="00C7447D"/>
    <w:rsid w:val="00C76D97"/>
    <w:rsid w:val="00C8078B"/>
    <w:rsid w:val="00C81F53"/>
    <w:rsid w:val="00C82C8A"/>
    <w:rsid w:val="00C87A4E"/>
    <w:rsid w:val="00C944F9"/>
    <w:rsid w:val="00CB52F8"/>
    <w:rsid w:val="00CB5880"/>
    <w:rsid w:val="00CB5DBF"/>
    <w:rsid w:val="00CC3ECD"/>
    <w:rsid w:val="00CC633D"/>
    <w:rsid w:val="00CD156B"/>
    <w:rsid w:val="00CD2D6C"/>
    <w:rsid w:val="00CD5D54"/>
    <w:rsid w:val="00CD710F"/>
    <w:rsid w:val="00CE26E0"/>
    <w:rsid w:val="00CE3054"/>
    <w:rsid w:val="00CE37E1"/>
    <w:rsid w:val="00CE44D4"/>
    <w:rsid w:val="00CF29F8"/>
    <w:rsid w:val="00CF4953"/>
    <w:rsid w:val="00CF6301"/>
    <w:rsid w:val="00D02FCB"/>
    <w:rsid w:val="00D03BFB"/>
    <w:rsid w:val="00D416E1"/>
    <w:rsid w:val="00D420FA"/>
    <w:rsid w:val="00D51E70"/>
    <w:rsid w:val="00D53B2F"/>
    <w:rsid w:val="00D603DD"/>
    <w:rsid w:val="00D60A13"/>
    <w:rsid w:val="00D61CDE"/>
    <w:rsid w:val="00D63889"/>
    <w:rsid w:val="00D75B45"/>
    <w:rsid w:val="00D84E64"/>
    <w:rsid w:val="00DB0FF8"/>
    <w:rsid w:val="00DB1E6E"/>
    <w:rsid w:val="00DB2686"/>
    <w:rsid w:val="00DB3759"/>
    <w:rsid w:val="00DC571A"/>
    <w:rsid w:val="00DD5E06"/>
    <w:rsid w:val="00DE14C1"/>
    <w:rsid w:val="00DE404F"/>
    <w:rsid w:val="00DE4ACF"/>
    <w:rsid w:val="00DF51A9"/>
    <w:rsid w:val="00E03D14"/>
    <w:rsid w:val="00E04178"/>
    <w:rsid w:val="00E22EAB"/>
    <w:rsid w:val="00E26F76"/>
    <w:rsid w:val="00E370F8"/>
    <w:rsid w:val="00E37B42"/>
    <w:rsid w:val="00E4262B"/>
    <w:rsid w:val="00E457F6"/>
    <w:rsid w:val="00E468DC"/>
    <w:rsid w:val="00E50ABA"/>
    <w:rsid w:val="00E52F9F"/>
    <w:rsid w:val="00E576FD"/>
    <w:rsid w:val="00E606DF"/>
    <w:rsid w:val="00E638F3"/>
    <w:rsid w:val="00E66EAA"/>
    <w:rsid w:val="00E7580B"/>
    <w:rsid w:val="00E76BD9"/>
    <w:rsid w:val="00E97736"/>
    <w:rsid w:val="00EA4CA0"/>
    <w:rsid w:val="00EB6530"/>
    <w:rsid w:val="00EC014E"/>
    <w:rsid w:val="00EC7B4B"/>
    <w:rsid w:val="00ED58B0"/>
    <w:rsid w:val="00EF58CA"/>
    <w:rsid w:val="00EF5E6C"/>
    <w:rsid w:val="00F07982"/>
    <w:rsid w:val="00F213A4"/>
    <w:rsid w:val="00F3059E"/>
    <w:rsid w:val="00F30864"/>
    <w:rsid w:val="00F32D6F"/>
    <w:rsid w:val="00F40301"/>
    <w:rsid w:val="00F449CC"/>
    <w:rsid w:val="00F47C25"/>
    <w:rsid w:val="00F60642"/>
    <w:rsid w:val="00F61992"/>
    <w:rsid w:val="00F82852"/>
    <w:rsid w:val="00F866EB"/>
    <w:rsid w:val="00F92690"/>
    <w:rsid w:val="00FA5926"/>
    <w:rsid w:val="00FB5A97"/>
    <w:rsid w:val="00FB7843"/>
    <w:rsid w:val="00FC5596"/>
    <w:rsid w:val="00FC5D6B"/>
    <w:rsid w:val="00FD5ECD"/>
    <w:rsid w:val="00FE1C3F"/>
    <w:rsid w:val="00FF5680"/>
    <w:rsid w:val="01157A76"/>
    <w:rsid w:val="01257D0C"/>
    <w:rsid w:val="014001AC"/>
    <w:rsid w:val="01507F02"/>
    <w:rsid w:val="01721607"/>
    <w:rsid w:val="01750E71"/>
    <w:rsid w:val="01DA2D9E"/>
    <w:rsid w:val="01E52DEC"/>
    <w:rsid w:val="02623454"/>
    <w:rsid w:val="027B6F98"/>
    <w:rsid w:val="02856F62"/>
    <w:rsid w:val="029D33DC"/>
    <w:rsid w:val="02AC1360"/>
    <w:rsid w:val="02B35DB8"/>
    <w:rsid w:val="02C82483"/>
    <w:rsid w:val="02F633F9"/>
    <w:rsid w:val="02F87AA3"/>
    <w:rsid w:val="036117EC"/>
    <w:rsid w:val="036C159D"/>
    <w:rsid w:val="038A1CB4"/>
    <w:rsid w:val="038E2A31"/>
    <w:rsid w:val="03AF7C98"/>
    <w:rsid w:val="03E017D2"/>
    <w:rsid w:val="03F449A5"/>
    <w:rsid w:val="03F937C9"/>
    <w:rsid w:val="042A46C1"/>
    <w:rsid w:val="0462668B"/>
    <w:rsid w:val="04A07102"/>
    <w:rsid w:val="04C02BDA"/>
    <w:rsid w:val="04DF55A0"/>
    <w:rsid w:val="04ED41A7"/>
    <w:rsid w:val="04F8120B"/>
    <w:rsid w:val="04FB45BF"/>
    <w:rsid w:val="0536356F"/>
    <w:rsid w:val="05467D5B"/>
    <w:rsid w:val="05791EDF"/>
    <w:rsid w:val="05850CD8"/>
    <w:rsid w:val="05B71F0C"/>
    <w:rsid w:val="062736E9"/>
    <w:rsid w:val="062D26B8"/>
    <w:rsid w:val="069A3EBB"/>
    <w:rsid w:val="06CA1DEC"/>
    <w:rsid w:val="06CE1A15"/>
    <w:rsid w:val="06F47E67"/>
    <w:rsid w:val="06F7130D"/>
    <w:rsid w:val="071F0864"/>
    <w:rsid w:val="072F44E3"/>
    <w:rsid w:val="074E7920"/>
    <w:rsid w:val="07741847"/>
    <w:rsid w:val="07EA0989"/>
    <w:rsid w:val="087C0A29"/>
    <w:rsid w:val="08FA3977"/>
    <w:rsid w:val="0923795D"/>
    <w:rsid w:val="094445B2"/>
    <w:rsid w:val="095C0ADE"/>
    <w:rsid w:val="0960107A"/>
    <w:rsid w:val="09950E46"/>
    <w:rsid w:val="09C810F2"/>
    <w:rsid w:val="09C95353"/>
    <w:rsid w:val="09CF031F"/>
    <w:rsid w:val="09EB41C0"/>
    <w:rsid w:val="0A65108F"/>
    <w:rsid w:val="0A8514D0"/>
    <w:rsid w:val="0A8F05EC"/>
    <w:rsid w:val="0A9E1170"/>
    <w:rsid w:val="0AAB2378"/>
    <w:rsid w:val="0ABF0394"/>
    <w:rsid w:val="0AC43F3D"/>
    <w:rsid w:val="0AC736EC"/>
    <w:rsid w:val="0AD95394"/>
    <w:rsid w:val="0B18592A"/>
    <w:rsid w:val="0B304DED"/>
    <w:rsid w:val="0B637545"/>
    <w:rsid w:val="0B641DC9"/>
    <w:rsid w:val="0B6D3D8F"/>
    <w:rsid w:val="0B73530D"/>
    <w:rsid w:val="0B756CA4"/>
    <w:rsid w:val="0B8E00D6"/>
    <w:rsid w:val="0BA15CEB"/>
    <w:rsid w:val="0BC6238D"/>
    <w:rsid w:val="0C0F5B9A"/>
    <w:rsid w:val="0C5535A6"/>
    <w:rsid w:val="0C587640"/>
    <w:rsid w:val="0C6E12D2"/>
    <w:rsid w:val="0C7B29E0"/>
    <w:rsid w:val="0CA038C3"/>
    <w:rsid w:val="0CB11F5E"/>
    <w:rsid w:val="0CE9576D"/>
    <w:rsid w:val="0D0D405D"/>
    <w:rsid w:val="0D6C2329"/>
    <w:rsid w:val="0D91442A"/>
    <w:rsid w:val="0D957AD2"/>
    <w:rsid w:val="0DAE66FF"/>
    <w:rsid w:val="0E321116"/>
    <w:rsid w:val="0ED134C6"/>
    <w:rsid w:val="0EE4486D"/>
    <w:rsid w:val="0F0E731B"/>
    <w:rsid w:val="0F2B200F"/>
    <w:rsid w:val="0F6C6F6F"/>
    <w:rsid w:val="0F7E4AB5"/>
    <w:rsid w:val="0F8753AA"/>
    <w:rsid w:val="0FC43D51"/>
    <w:rsid w:val="0FEF45D8"/>
    <w:rsid w:val="100552CD"/>
    <w:rsid w:val="101F1747"/>
    <w:rsid w:val="1034443E"/>
    <w:rsid w:val="10687EEF"/>
    <w:rsid w:val="1070385B"/>
    <w:rsid w:val="10A22C22"/>
    <w:rsid w:val="10A37525"/>
    <w:rsid w:val="10AF238B"/>
    <w:rsid w:val="10BB1C1F"/>
    <w:rsid w:val="10E036DF"/>
    <w:rsid w:val="1118710D"/>
    <w:rsid w:val="11553800"/>
    <w:rsid w:val="11CD270D"/>
    <w:rsid w:val="11E8746F"/>
    <w:rsid w:val="11E91682"/>
    <w:rsid w:val="11EF1F0E"/>
    <w:rsid w:val="11EF23A9"/>
    <w:rsid w:val="122705B8"/>
    <w:rsid w:val="12613924"/>
    <w:rsid w:val="12B57593"/>
    <w:rsid w:val="12FE7EC7"/>
    <w:rsid w:val="13175CC4"/>
    <w:rsid w:val="13324230"/>
    <w:rsid w:val="134F5C42"/>
    <w:rsid w:val="136C7CAE"/>
    <w:rsid w:val="13712F75"/>
    <w:rsid w:val="13763689"/>
    <w:rsid w:val="13A206DE"/>
    <w:rsid w:val="13CD729B"/>
    <w:rsid w:val="13E50081"/>
    <w:rsid w:val="14045069"/>
    <w:rsid w:val="14186D67"/>
    <w:rsid w:val="141C5057"/>
    <w:rsid w:val="14820C31"/>
    <w:rsid w:val="14D34591"/>
    <w:rsid w:val="14EB6229"/>
    <w:rsid w:val="15186213"/>
    <w:rsid w:val="1534197E"/>
    <w:rsid w:val="157B198B"/>
    <w:rsid w:val="15855B62"/>
    <w:rsid w:val="15B3614E"/>
    <w:rsid w:val="16155621"/>
    <w:rsid w:val="1670630E"/>
    <w:rsid w:val="16A60E91"/>
    <w:rsid w:val="16AB5C70"/>
    <w:rsid w:val="16AD43F8"/>
    <w:rsid w:val="1717115B"/>
    <w:rsid w:val="17172B75"/>
    <w:rsid w:val="172E77CB"/>
    <w:rsid w:val="176877CB"/>
    <w:rsid w:val="178C3CF3"/>
    <w:rsid w:val="178C784F"/>
    <w:rsid w:val="17900BFE"/>
    <w:rsid w:val="17E61BCE"/>
    <w:rsid w:val="17EC4BC3"/>
    <w:rsid w:val="180C7E4B"/>
    <w:rsid w:val="18100653"/>
    <w:rsid w:val="18151F96"/>
    <w:rsid w:val="181C07FE"/>
    <w:rsid w:val="183549D8"/>
    <w:rsid w:val="183E3BC5"/>
    <w:rsid w:val="18895484"/>
    <w:rsid w:val="18C84759"/>
    <w:rsid w:val="19061883"/>
    <w:rsid w:val="193038AD"/>
    <w:rsid w:val="195471D4"/>
    <w:rsid w:val="195B74BC"/>
    <w:rsid w:val="198222FA"/>
    <w:rsid w:val="198B06B4"/>
    <w:rsid w:val="1990570C"/>
    <w:rsid w:val="19993CD7"/>
    <w:rsid w:val="19C71013"/>
    <w:rsid w:val="19DB061A"/>
    <w:rsid w:val="19DE7E6B"/>
    <w:rsid w:val="19F811CC"/>
    <w:rsid w:val="1A2F4635"/>
    <w:rsid w:val="1A6051C4"/>
    <w:rsid w:val="1A775E4E"/>
    <w:rsid w:val="1B0911B7"/>
    <w:rsid w:val="1B095C2E"/>
    <w:rsid w:val="1B1444AE"/>
    <w:rsid w:val="1B17671D"/>
    <w:rsid w:val="1B53700D"/>
    <w:rsid w:val="1BAC442F"/>
    <w:rsid w:val="1BBA7072"/>
    <w:rsid w:val="1BC46F6E"/>
    <w:rsid w:val="1BD4651F"/>
    <w:rsid w:val="1BD663E1"/>
    <w:rsid w:val="1BD86F89"/>
    <w:rsid w:val="1BDD2D6F"/>
    <w:rsid w:val="1C2F181C"/>
    <w:rsid w:val="1C770AC4"/>
    <w:rsid w:val="1CA7308E"/>
    <w:rsid w:val="1CC01D49"/>
    <w:rsid w:val="1CEF76C0"/>
    <w:rsid w:val="1D092B8C"/>
    <w:rsid w:val="1D3D4EBE"/>
    <w:rsid w:val="1D61177E"/>
    <w:rsid w:val="1D927A0F"/>
    <w:rsid w:val="1D964330"/>
    <w:rsid w:val="1D964ABA"/>
    <w:rsid w:val="1E05210A"/>
    <w:rsid w:val="1E256946"/>
    <w:rsid w:val="1E3E74E8"/>
    <w:rsid w:val="1E3F42F9"/>
    <w:rsid w:val="1E450758"/>
    <w:rsid w:val="1E4C5F8A"/>
    <w:rsid w:val="1E4D3C4F"/>
    <w:rsid w:val="1E5B71FB"/>
    <w:rsid w:val="1E951CA6"/>
    <w:rsid w:val="1E962F0F"/>
    <w:rsid w:val="1EBA5A37"/>
    <w:rsid w:val="1EE00481"/>
    <w:rsid w:val="1EFD5D4F"/>
    <w:rsid w:val="1F3E47A0"/>
    <w:rsid w:val="1F525966"/>
    <w:rsid w:val="1F5F5356"/>
    <w:rsid w:val="1F6A30C1"/>
    <w:rsid w:val="1FE44638"/>
    <w:rsid w:val="201A3758"/>
    <w:rsid w:val="20360160"/>
    <w:rsid w:val="203D23C0"/>
    <w:rsid w:val="204851B5"/>
    <w:rsid w:val="209F5097"/>
    <w:rsid w:val="20B8213A"/>
    <w:rsid w:val="2106323F"/>
    <w:rsid w:val="210D0B42"/>
    <w:rsid w:val="211B39F2"/>
    <w:rsid w:val="213A34DF"/>
    <w:rsid w:val="2158623E"/>
    <w:rsid w:val="21D62F1D"/>
    <w:rsid w:val="22087AAA"/>
    <w:rsid w:val="221B4991"/>
    <w:rsid w:val="224334BB"/>
    <w:rsid w:val="2245430C"/>
    <w:rsid w:val="225C42C2"/>
    <w:rsid w:val="226F3F88"/>
    <w:rsid w:val="2288155B"/>
    <w:rsid w:val="2292652B"/>
    <w:rsid w:val="2293268A"/>
    <w:rsid w:val="229A5007"/>
    <w:rsid w:val="22A006E9"/>
    <w:rsid w:val="22BD2F56"/>
    <w:rsid w:val="22DB2268"/>
    <w:rsid w:val="235E4869"/>
    <w:rsid w:val="23733FB9"/>
    <w:rsid w:val="238B5786"/>
    <w:rsid w:val="239360D1"/>
    <w:rsid w:val="23AB5501"/>
    <w:rsid w:val="23B238F3"/>
    <w:rsid w:val="23D06375"/>
    <w:rsid w:val="23D53DEE"/>
    <w:rsid w:val="23DB7BF2"/>
    <w:rsid w:val="23DD7F1A"/>
    <w:rsid w:val="23E40A13"/>
    <w:rsid w:val="23EC0228"/>
    <w:rsid w:val="23F579A7"/>
    <w:rsid w:val="240739F0"/>
    <w:rsid w:val="247A6377"/>
    <w:rsid w:val="247F1A15"/>
    <w:rsid w:val="248024EA"/>
    <w:rsid w:val="248355C3"/>
    <w:rsid w:val="248C1A8E"/>
    <w:rsid w:val="24A972CC"/>
    <w:rsid w:val="24EB38E4"/>
    <w:rsid w:val="254867B0"/>
    <w:rsid w:val="25AB6C3C"/>
    <w:rsid w:val="25C66610"/>
    <w:rsid w:val="25EC30AC"/>
    <w:rsid w:val="25F06A9D"/>
    <w:rsid w:val="25FF77F0"/>
    <w:rsid w:val="26086301"/>
    <w:rsid w:val="261E19ED"/>
    <w:rsid w:val="262335C9"/>
    <w:rsid w:val="263C1A9E"/>
    <w:rsid w:val="264F0DE2"/>
    <w:rsid w:val="26870670"/>
    <w:rsid w:val="268768C3"/>
    <w:rsid w:val="268A2FA4"/>
    <w:rsid w:val="26A71F5F"/>
    <w:rsid w:val="26B37522"/>
    <w:rsid w:val="26C773DE"/>
    <w:rsid w:val="26E251BC"/>
    <w:rsid w:val="26E967AC"/>
    <w:rsid w:val="27554102"/>
    <w:rsid w:val="27783E7D"/>
    <w:rsid w:val="27955378"/>
    <w:rsid w:val="279F2525"/>
    <w:rsid w:val="27AC2E1E"/>
    <w:rsid w:val="27AD3984"/>
    <w:rsid w:val="28271AB8"/>
    <w:rsid w:val="285356F9"/>
    <w:rsid w:val="2856381D"/>
    <w:rsid w:val="28790229"/>
    <w:rsid w:val="28843D57"/>
    <w:rsid w:val="28942A08"/>
    <w:rsid w:val="28C17575"/>
    <w:rsid w:val="28D15A0A"/>
    <w:rsid w:val="28DE3C83"/>
    <w:rsid w:val="293B5644"/>
    <w:rsid w:val="294C22FF"/>
    <w:rsid w:val="29622B06"/>
    <w:rsid w:val="296B20B8"/>
    <w:rsid w:val="298B1022"/>
    <w:rsid w:val="298D3EF0"/>
    <w:rsid w:val="29AD4E49"/>
    <w:rsid w:val="29DE54C4"/>
    <w:rsid w:val="29E454A7"/>
    <w:rsid w:val="29EF62AD"/>
    <w:rsid w:val="2A0239A1"/>
    <w:rsid w:val="2A1F0659"/>
    <w:rsid w:val="2A2F2F97"/>
    <w:rsid w:val="2A6B6D01"/>
    <w:rsid w:val="2A77438F"/>
    <w:rsid w:val="2A7D5E5F"/>
    <w:rsid w:val="2AA01016"/>
    <w:rsid w:val="2AAA6513"/>
    <w:rsid w:val="2ADE216E"/>
    <w:rsid w:val="2B0D616E"/>
    <w:rsid w:val="2B1761E5"/>
    <w:rsid w:val="2B560448"/>
    <w:rsid w:val="2B607CC3"/>
    <w:rsid w:val="2B723D93"/>
    <w:rsid w:val="2B96153A"/>
    <w:rsid w:val="2BAA42F0"/>
    <w:rsid w:val="2BB93430"/>
    <w:rsid w:val="2BFA5DC9"/>
    <w:rsid w:val="2C1300E8"/>
    <w:rsid w:val="2C1B1B6C"/>
    <w:rsid w:val="2C82101B"/>
    <w:rsid w:val="2C834A28"/>
    <w:rsid w:val="2C8903AA"/>
    <w:rsid w:val="2C93273A"/>
    <w:rsid w:val="2CAC2CF3"/>
    <w:rsid w:val="2CCA6291"/>
    <w:rsid w:val="2D232795"/>
    <w:rsid w:val="2D917516"/>
    <w:rsid w:val="2D972CA6"/>
    <w:rsid w:val="2DA61C5E"/>
    <w:rsid w:val="2DC4660F"/>
    <w:rsid w:val="2DE57862"/>
    <w:rsid w:val="2E154CF5"/>
    <w:rsid w:val="2E175A54"/>
    <w:rsid w:val="2E37644C"/>
    <w:rsid w:val="2E3D5736"/>
    <w:rsid w:val="2E4051F0"/>
    <w:rsid w:val="2E41718E"/>
    <w:rsid w:val="2E5677C7"/>
    <w:rsid w:val="2E581FB4"/>
    <w:rsid w:val="2E812666"/>
    <w:rsid w:val="2EA817CB"/>
    <w:rsid w:val="2F564922"/>
    <w:rsid w:val="2F6B3D97"/>
    <w:rsid w:val="2F814510"/>
    <w:rsid w:val="2FDE27BA"/>
    <w:rsid w:val="301E07A3"/>
    <w:rsid w:val="304A20A9"/>
    <w:rsid w:val="30727BEC"/>
    <w:rsid w:val="308A13EE"/>
    <w:rsid w:val="3091782D"/>
    <w:rsid w:val="30997F39"/>
    <w:rsid w:val="309E6734"/>
    <w:rsid w:val="30C64D24"/>
    <w:rsid w:val="31435CBF"/>
    <w:rsid w:val="31484548"/>
    <w:rsid w:val="317B1609"/>
    <w:rsid w:val="31911919"/>
    <w:rsid w:val="319B3596"/>
    <w:rsid w:val="31A041CB"/>
    <w:rsid w:val="31F706CF"/>
    <w:rsid w:val="323A4620"/>
    <w:rsid w:val="323D5EBE"/>
    <w:rsid w:val="3279616C"/>
    <w:rsid w:val="32966712"/>
    <w:rsid w:val="32A64B81"/>
    <w:rsid w:val="32BF3509"/>
    <w:rsid w:val="32C056DF"/>
    <w:rsid w:val="32D55285"/>
    <w:rsid w:val="32E14A9C"/>
    <w:rsid w:val="32EC5C70"/>
    <w:rsid w:val="33526F65"/>
    <w:rsid w:val="33945FB2"/>
    <w:rsid w:val="339A0848"/>
    <w:rsid w:val="339A10EE"/>
    <w:rsid w:val="33A65CE5"/>
    <w:rsid w:val="33EF1446"/>
    <w:rsid w:val="33FF77B3"/>
    <w:rsid w:val="34266E0B"/>
    <w:rsid w:val="342706E0"/>
    <w:rsid w:val="34513A22"/>
    <w:rsid w:val="34577902"/>
    <w:rsid w:val="34A10CAB"/>
    <w:rsid w:val="34E02B31"/>
    <w:rsid w:val="34F211E2"/>
    <w:rsid w:val="350902DA"/>
    <w:rsid w:val="351266FD"/>
    <w:rsid w:val="35143368"/>
    <w:rsid w:val="3551312C"/>
    <w:rsid w:val="35753BC1"/>
    <w:rsid w:val="357D5686"/>
    <w:rsid w:val="358D454B"/>
    <w:rsid w:val="359260AE"/>
    <w:rsid w:val="359F0C3E"/>
    <w:rsid w:val="3600751A"/>
    <w:rsid w:val="36137588"/>
    <w:rsid w:val="364A49F0"/>
    <w:rsid w:val="365C2DC1"/>
    <w:rsid w:val="367106CF"/>
    <w:rsid w:val="36911E51"/>
    <w:rsid w:val="36A05164"/>
    <w:rsid w:val="36D13079"/>
    <w:rsid w:val="36DE2889"/>
    <w:rsid w:val="372001F5"/>
    <w:rsid w:val="37315C06"/>
    <w:rsid w:val="37360AD0"/>
    <w:rsid w:val="37506C2B"/>
    <w:rsid w:val="376D5FA1"/>
    <w:rsid w:val="37960C1E"/>
    <w:rsid w:val="37DD15AA"/>
    <w:rsid w:val="38026A6F"/>
    <w:rsid w:val="3836767E"/>
    <w:rsid w:val="38537416"/>
    <w:rsid w:val="385F6681"/>
    <w:rsid w:val="387B1C3A"/>
    <w:rsid w:val="38857815"/>
    <w:rsid w:val="38A60E3D"/>
    <w:rsid w:val="38AD11D5"/>
    <w:rsid w:val="38BC6826"/>
    <w:rsid w:val="38C53240"/>
    <w:rsid w:val="38F82D01"/>
    <w:rsid w:val="3927030C"/>
    <w:rsid w:val="39311BAD"/>
    <w:rsid w:val="39525491"/>
    <w:rsid w:val="397A7DBE"/>
    <w:rsid w:val="39C03EA5"/>
    <w:rsid w:val="39C15447"/>
    <w:rsid w:val="39DD4805"/>
    <w:rsid w:val="39F71127"/>
    <w:rsid w:val="39FE5F3F"/>
    <w:rsid w:val="3A1920C2"/>
    <w:rsid w:val="3A394BED"/>
    <w:rsid w:val="3A582B0C"/>
    <w:rsid w:val="3A654994"/>
    <w:rsid w:val="3A6D6BAF"/>
    <w:rsid w:val="3AC90768"/>
    <w:rsid w:val="3AE60A26"/>
    <w:rsid w:val="3B1C1246"/>
    <w:rsid w:val="3B2841A1"/>
    <w:rsid w:val="3B7C1E01"/>
    <w:rsid w:val="3B824942"/>
    <w:rsid w:val="3B8C1958"/>
    <w:rsid w:val="3BA4270A"/>
    <w:rsid w:val="3BB17CB9"/>
    <w:rsid w:val="3BB43151"/>
    <w:rsid w:val="3C011C0C"/>
    <w:rsid w:val="3C4C51DD"/>
    <w:rsid w:val="3C77121E"/>
    <w:rsid w:val="3CC72BC0"/>
    <w:rsid w:val="3CF214B2"/>
    <w:rsid w:val="3CF25AF7"/>
    <w:rsid w:val="3D175178"/>
    <w:rsid w:val="3D1C28FE"/>
    <w:rsid w:val="3D25536C"/>
    <w:rsid w:val="3D5A7466"/>
    <w:rsid w:val="3D60411F"/>
    <w:rsid w:val="3D7242CB"/>
    <w:rsid w:val="3D85660A"/>
    <w:rsid w:val="3D911A4B"/>
    <w:rsid w:val="3D915310"/>
    <w:rsid w:val="3DA07E19"/>
    <w:rsid w:val="3DD10748"/>
    <w:rsid w:val="3DEE732C"/>
    <w:rsid w:val="3E07406E"/>
    <w:rsid w:val="3E0E4BB3"/>
    <w:rsid w:val="3E165AA4"/>
    <w:rsid w:val="3E210442"/>
    <w:rsid w:val="3E6F60C9"/>
    <w:rsid w:val="3E7A4C59"/>
    <w:rsid w:val="3E8838D1"/>
    <w:rsid w:val="3E8D0CBB"/>
    <w:rsid w:val="3EAD5158"/>
    <w:rsid w:val="3EDB3824"/>
    <w:rsid w:val="3F2834B3"/>
    <w:rsid w:val="3F4701F8"/>
    <w:rsid w:val="3F946AA7"/>
    <w:rsid w:val="3FA81195"/>
    <w:rsid w:val="3FD17940"/>
    <w:rsid w:val="3FEB4EEA"/>
    <w:rsid w:val="400742E3"/>
    <w:rsid w:val="401526AE"/>
    <w:rsid w:val="406B6B98"/>
    <w:rsid w:val="40731EAD"/>
    <w:rsid w:val="40A24EE0"/>
    <w:rsid w:val="40C4039C"/>
    <w:rsid w:val="40D42C60"/>
    <w:rsid w:val="4148144B"/>
    <w:rsid w:val="41510EC9"/>
    <w:rsid w:val="419B683B"/>
    <w:rsid w:val="41B617E9"/>
    <w:rsid w:val="41E53E7C"/>
    <w:rsid w:val="41E657FF"/>
    <w:rsid w:val="41EA1068"/>
    <w:rsid w:val="42184098"/>
    <w:rsid w:val="422351C5"/>
    <w:rsid w:val="42392187"/>
    <w:rsid w:val="42A43E5F"/>
    <w:rsid w:val="42CF2B62"/>
    <w:rsid w:val="434626F9"/>
    <w:rsid w:val="43790D20"/>
    <w:rsid w:val="438C7E09"/>
    <w:rsid w:val="43947096"/>
    <w:rsid w:val="43B80092"/>
    <w:rsid w:val="43D26735"/>
    <w:rsid w:val="43E14186"/>
    <w:rsid w:val="440E3217"/>
    <w:rsid w:val="441A05E3"/>
    <w:rsid w:val="446F776A"/>
    <w:rsid w:val="44CB7C0A"/>
    <w:rsid w:val="44DB4361"/>
    <w:rsid w:val="4501325D"/>
    <w:rsid w:val="45062631"/>
    <w:rsid w:val="450B0BB7"/>
    <w:rsid w:val="452E0B9C"/>
    <w:rsid w:val="455813AE"/>
    <w:rsid w:val="457F7DA6"/>
    <w:rsid w:val="459C0CF6"/>
    <w:rsid w:val="459E38CB"/>
    <w:rsid w:val="45A20B66"/>
    <w:rsid w:val="45B12031"/>
    <w:rsid w:val="45B20519"/>
    <w:rsid w:val="45BB0108"/>
    <w:rsid w:val="45CE744B"/>
    <w:rsid w:val="460752C8"/>
    <w:rsid w:val="46115240"/>
    <w:rsid w:val="46130859"/>
    <w:rsid w:val="46184820"/>
    <w:rsid w:val="463B4444"/>
    <w:rsid w:val="466B7791"/>
    <w:rsid w:val="468A3044"/>
    <w:rsid w:val="46C10A14"/>
    <w:rsid w:val="46CF55A2"/>
    <w:rsid w:val="472A11A4"/>
    <w:rsid w:val="47372A84"/>
    <w:rsid w:val="476E3192"/>
    <w:rsid w:val="477B2FAE"/>
    <w:rsid w:val="47AB5220"/>
    <w:rsid w:val="47B933E7"/>
    <w:rsid w:val="47CF230D"/>
    <w:rsid w:val="47D0318C"/>
    <w:rsid w:val="47EC3C3B"/>
    <w:rsid w:val="480C2163"/>
    <w:rsid w:val="481567BE"/>
    <w:rsid w:val="483B47F6"/>
    <w:rsid w:val="4850347F"/>
    <w:rsid w:val="485645FD"/>
    <w:rsid w:val="4858686C"/>
    <w:rsid w:val="485C1CFC"/>
    <w:rsid w:val="4869254D"/>
    <w:rsid w:val="4869714A"/>
    <w:rsid w:val="48736B75"/>
    <w:rsid w:val="487A6CFD"/>
    <w:rsid w:val="488E0B1A"/>
    <w:rsid w:val="48C91E02"/>
    <w:rsid w:val="48F5667E"/>
    <w:rsid w:val="48F56F19"/>
    <w:rsid w:val="49041C08"/>
    <w:rsid w:val="49136257"/>
    <w:rsid w:val="493349F3"/>
    <w:rsid w:val="493E4CB7"/>
    <w:rsid w:val="49536D89"/>
    <w:rsid w:val="49614F05"/>
    <w:rsid w:val="496518FA"/>
    <w:rsid w:val="49756B54"/>
    <w:rsid w:val="499051FA"/>
    <w:rsid w:val="4A0B1FA6"/>
    <w:rsid w:val="4A577379"/>
    <w:rsid w:val="4A71334D"/>
    <w:rsid w:val="4A7F52A4"/>
    <w:rsid w:val="4AB71DF8"/>
    <w:rsid w:val="4ACC2178"/>
    <w:rsid w:val="4AD20FF4"/>
    <w:rsid w:val="4ADD7DE7"/>
    <w:rsid w:val="4AE55B03"/>
    <w:rsid w:val="4B6B7860"/>
    <w:rsid w:val="4C2866B2"/>
    <w:rsid w:val="4C2B6FD4"/>
    <w:rsid w:val="4C4F6AC2"/>
    <w:rsid w:val="4C820C46"/>
    <w:rsid w:val="4C820EBA"/>
    <w:rsid w:val="4C8632D0"/>
    <w:rsid w:val="4C8746A5"/>
    <w:rsid w:val="4C9D1897"/>
    <w:rsid w:val="4CC61D16"/>
    <w:rsid w:val="4CD62D3F"/>
    <w:rsid w:val="4D43556A"/>
    <w:rsid w:val="4D6B771C"/>
    <w:rsid w:val="4D822D95"/>
    <w:rsid w:val="4DA37F56"/>
    <w:rsid w:val="4DD77E96"/>
    <w:rsid w:val="4E152A9C"/>
    <w:rsid w:val="4E7844E6"/>
    <w:rsid w:val="4EA053B3"/>
    <w:rsid w:val="4EE67480"/>
    <w:rsid w:val="4F082854"/>
    <w:rsid w:val="4F147AA5"/>
    <w:rsid w:val="4F1F5DEC"/>
    <w:rsid w:val="4F371833"/>
    <w:rsid w:val="4F3C212E"/>
    <w:rsid w:val="4F5874FC"/>
    <w:rsid w:val="4FA54578"/>
    <w:rsid w:val="4FCF6062"/>
    <w:rsid w:val="501156EE"/>
    <w:rsid w:val="505C7A00"/>
    <w:rsid w:val="508916A6"/>
    <w:rsid w:val="50951BF3"/>
    <w:rsid w:val="50AE06A5"/>
    <w:rsid w:val="50C57353"/>
    <w:rsid w:val="50EC3E50"/>
    <w:rsid w:val="516A7EFA"/>
    <w:rsid w:val="51BD3C4C"/>
    <w:rsid w:val="51DB394A"/>
    <w:rsid w:val="51DB691D"/>
    <w:rsid w:val="51F554AC"/>
    <w:rsid w:val="51FB0B52"/>
    <w:rsid w:val="520D0A36"/>
    <w:rsid w:val="521175B1"/>
    <w:rsid w:val="521D6D1B"/>
    <w:rsid w:val="523504F0"/>
    <w:rsid w:val="526537D0"/>
    <w:rsid w:val="528C45CC"/>
    <w:rsid w:val="52900304"/>
    <w:rsid w:val="52B2665A"/>
    <w:rsid w:val="52BC6830"/>
    <w:rsid w:val="52DC5D1F"/>
    <w:rsid w:val="534D53DE"/>
    <w:rsid w:val="5352147A"/>
    <w:rsid w:val="53B814BB"/>
    <w:rsid w:val="53F10A8B"/>
    <w:rsid w:val="544218A6"/>
    <w:rsid w:val="545A24A8"/>
    <w:rsid w:val="54761066"/>
    <w:rsid w:val="54811829"/>
    <w:rsid w:val="548553F0"/>
    <w:rsid w:val="549C486F"/>
    <w:rsid w:val="54E620C1"/>
    <w:rsid w:val="54F97402"/>
    <w:rsid w:val="550D3751"/>
    <w:rsid w:val="556A6EF7"/>
    <w:rsid w:val="55897B38"/>
    <w:rsid w:val="55973A6B"/>
    <w:rsid w:val="55AA246D"/>
    <w:rsid w:val="55B17026"/>
    <w:rsid w:val="55C628FD"/>
    <w:rsid w:val="55E01E51"/>
    <w:rsid w:val="56064CB0"/>
    <w:rsid w:val="56286533"/>
    <w:rsid w:val="56296A8B"/>
    <w:rsid w:val="567A6813"/>
    <w:rsid w:val="56A86C06"/>
    <w:rsid w:val="56AF3657"/>
    <w:rsid w:val="56DA3A00"/>
    <w:rsid w:val="56E25F97"/>
    <w:rsid w:val="57107FE8"/>
    <w:rsid w:val="57524261"/>
    <w:rsid w:val="578253B1"/>
    <w:rsid w:val="57845ABB"/>
    <w:rsid w:val="578B5162"/>
    <w:rsid w:val="57CE11E3"/>
    <w:rsid w:val="57D60097"/>
    <w:rsid w:val="57F235B4"/>
    <w:rsid w:val="57F37A70"/>
    <w:rsid w:val="583374F3"/>
    <w:rsid w:val="58837C3A"/>
    <w:rsid w:val="58CD4FF7"/>
    <w:rsid w:val="59273ED9"/>
    <w:rsid w:val="592B0282"/>
    <w:rsid w:val="593C424C"/>
    <w:rsid w:val="596953D1"/>
    <w:rsid w:val="59AE7849"/>
    <w:rsid w:val="59C15123"/>
    <w:rsid w:val="59C9560C"/>
    <w:rsid w:val="59FC3EA3"/>
    <w:rsid w:val="5A132EDD"/>
    <w:rsid w:val="5A696FA1"/>
    <w:rsid w:val="5AA220B4"/>
    <w:rsid w:val="5AA97DE4"/>
    <w:rsid w:val="5AB852CB"/>
    <w:rsid w:val="5AD4607C"/>
    <w:rsid w:val="5AFA409D"/>
    <w:rsid w:val="5AFE72EF"/>
    <w:rsid w:val="5B2A71B4"/>
    <w:rsid w:val="5B2E3D47"/>
    <w:rsid w:val="5BB7103F"/>
    <w:rsid w:val="5BB92441"/>
    <w:rsid w:val="5BED37EE"/>
    <w:rsid w:val="5C042AC3"/>
    <w:rsid w:val="5C515CA6"/>
    <w:rsid w:val="5C723888"/>
    <w:rsid w:val="5C8F715E"/>
    <w:rsid w:val="5CB12E81"/>
    <w:rsid w:val="5CDF456F"/>
    <w:rsid w:val="5CEE0D64"/>
    <w:rsid w:val="5CFC0A90"/>
    <w:rsid w:val="5D376039"/>
    <w:rsid w:val="5D3E7177"/>
    <w:rsid w:val="5D6D0B56"/>
    <w:rsid w:val="5D9F06DA"/>
    <w:rsid w:val="5DCD289F"/>
    <w:rsid w:val="5E087859"/>
    <w:rsid w:val="5E3A59FA"/>
    <w:rsid w:val="5E4A4727"/>
    <w:rsid w:val="5E5454E9"/>
    <w:rsid w:val="5E5A7252"/>
    <w:rsid w:val="5E7549D3"/>
    <w:rsid w:val="5E7B3747"/>
    <w:rsid w:val="5E845A1C"/>
    <w:rsid w:val="5E8720EC"/>
    <w:rsid w:val="5E9B31EB"/>
    <w:rsid w:val="5EA52DB8"/>
    <w:rsid w:val="5EB01642"/>
    <w:rsid w:val="5EB17168"/>
    <w:rsid w:val="5F380E1E"/>
    <w:rsid w:val="5F4B72E8"/>
    <w:rsid w:val="5F845C9C"/>
    <w:rsid w:val="5F97010C"/>
    <w:rsid w:val="5FAF2C6F"/>
    <w:rsid w:val="5FD96977"/>
    <w:rsid w:val="5FF6297F"/>
    <w:rsid w:val="601D656F"/>
    <w:rsid w:val="603356F8"/>
    <w:rsid w:val="606B0839"/>
    <w:rsid w:val="609354CC"/>
    <w:rsid w:val="609E2A3D"/>
    <w:rsid w:val="60A206C0"/>
    <w:rsid w:val="60B56645"/>
    <w:rsid w:val="60B82B5E"/>
    <w:rsid w:val="60CE5DB0"/>
    <w:rsid w:val="60DF611D"/>
    <w:rsid w:val="60E8367D"/>
    <w:rsid w:val="61363955"/>
    <w:rsid w:val="61535DB4"/>
    <w:rsid w:val="615D19B1"/>
    <w:rsid w:val="619E04DC"/>
    <w:rsid w:val="620D2908"/>
    <w:rsid w:val="6253211C"/>
    <w:rsid w:val="626522EB"/>
    <w:rsid w:val="62AA0157"/>
    <w:rsid w:val="62C05BCC"/>
    <w:rsid w:val="62C444AD"/>
    <w:rsid w:val="62C751AC"/>
    <w:rsid w:val="62E908DB"/>
    <w:rsid w:val="62F2366F"/>
    <w:rsid w:val="6302471E"/>
    <w:rsid w:val="63224191"/>
    <w:rsid w:val="634C47F9"/>
    <w:rsid w:val="635457C4"/>
    <w:rsid w:val="63607F60"/>
    <w:rsid w:val="63814476"/>
    <w:rsid w:val="63BE16FF"/>
    <w:rsid w:val="63E97AE8"/>
    <w:rsid w:val="641F6922"/>
    <w:rsid w:val="642735EE"/>
    <w:rsid w:val="64494153"/>
    <w:rsid w:val="644A563F"/>
    <w:rsid w:val="645074EF"/>
    <w:rsid w:val="64C54241"/>
    <w:rsid w:val="65092509"/>
    <w:rsid w:val="653505E7"/>
    <w:rsid w:val="65807433"/>
    <w:rsid w:val="65C92281"/>
    <w:rsid w:val="65CB5907"/>
    <w:rsid w:val="664B33F6"/>
    <w:rsid w:val="664D23EF"/>
    <w:rsid w:val="66807B4C"/>
    <w:rsid w:val="66B47AA0"/>
    <w:rsid w:val="66BE2BFF"/>
    <w:rsid w:val="671619C4"/>
    <w:rsid w:val="672722B6"/>
    <w:rsid w:val="673213F0"/>
    <w:rsid w:val="675B2367"/>
    <w:rsid w:val="67931B01"/>
    <w:rsid w:val="679E2332"/>
    <w:rsid w:val="67B37FB5"/>
    <w:rsid w:val="67D22336"/>
    <w:rsid w:val="67D61795"/>
    <w:rsid w:val="67F553D6"/>
    <w:rsid w:val="6890741B"/>
    <w:rsid w:val="689A6532"/>
    <w:rsid w:val="68A50D3B"/>
    <w:rsid w:val="69190FD3"/>
    <w:rsid w:val="6927529F"/>
    <w:rsid w:val="694A15CE"/>
    <w:rsid w:val="69587F73"/>
    <w:rsid w:val="698536CB"/>
    <w:rsid w:val="699204E6"/>
    <w:rsid w:val="69C2248D"/>
    <w:rsid w:val="69C517DB"/>
    <w:rsid w:val="69D54D1C"/>
    <w:rsid w:val="69FA05DC"/>
    <w:rsid w:val="6AAE1BB0"/>
    <w:rsid w:val="6ABE79E4"/>
    <w:rsid w:val="6ABF04B4"/>
    <w:rsid w:val="6AF01A9B"/>
    <w:rsid w:val="6AFB56D6"/>
    <w:rsid w:val="6B4849B1"/>
    <w:rsid w:val="6B536809"/>
    <w:rsid w:val="6B7C4B02"/>
    <w:rsid w:val="6BA21A5E"/>
    <w:rsid w:val="6BBA06CE"/>
    <w:rsid w:val="6BC9468A"/>
    <w:rsid w:val="6BD36E57"/>
    <w:rsid w:val="6BD47AEB"/>
    <w:rsid w:val="6BDF058F"/>
    <w:rsid w:val="6BE2312B"/>
    <w:rsid w:val="6BE566A3"/>
    <w:rsid w:val="6BE9658F"/>
    <w:rsid w:val="6C1B20C5"/>
    <w:rsid w:val="6C2E004A"/>
    <w:rsid w:val="6C7107A3"/>
    <w:rsid w:val="6C7621DF"/>
    <w:rsid w:val="6C787452"/>
    <w:rsid w:val="6CB05F62"/>
    <w:rsid w:val="6CBE1C5F"/>
    <w:rsid w:val="6CEF132F"/>
    <w:rsid w:val="6D265DE3"/>
    <w:rsid w:val="6D4C1CEF"/>
    <w:rsid w:val="6D4F320D"/>
    <w:rsid w:val="6D5D0BE7"/>
    <w:rsid w:val="6D633D24"/>
    <w:rsid w:val="6DDD15C6"/>
    <w:rsid w:val="6DE327E9"/>
    <w:rsid w:val="6E330D58"/>
    <w:rsid w:val="6E402945"/>
    <w:rsid w:val="6E49116B"/>
    <w:rsid w:val="6E492E79"/>
    <w:rsid w:val="6E562EF4"/>
    <w:rsid w:val="6E6A0A60"/>
    <w:rsid w:val="6E760F18"/>
    <w:rsid w:val="6E9C2104"/>
    <w:rsid w:val="6ED165FC"/>
    <w:rsid w:val="6EDF0ABB"/>
    <w:rsid w:val="6EED5F9B"/>
    <w:rsid w:val="6EFC6C49"/>
    <w:rsid w:val="6F0D3F9D"/>
    <w:rsid w:val="6F1E33D4"/>
    <w:rsid w:val="6F71253B"/>
    <w:rsid w:val="6F9E1043"/>
    <w:rsid w:val="6FB67AB5"/>
    <w:rsid w:val="6FDC3ADE"/>
    <w:rsid w:val="70724925"/>
    <w:rsid w:val="70965B09"/>
    <w:rsid w:val="70AD1333"/>
    <w:rsid w:val="70BB2E58"/>
    <w:rsid w:val="70D64AC3"/>
    <w:rsid w:val="70D72ECB"/>
    <w:rsid w:val="70F92B77"/>
    <w:rsid w:val="712C4A33"/>
    <w:rsid w:val="713B287F"/>
    <w:rsid w:val="71497E68"/>
    <w:rsid w:val="717C43FF"/>
    <w:rsid w:val="71B2150C"/>
    <w:rsid w:val="71C32F10"/>
    <w:rsid w:val="71E76CD1"/>
    <w:rsid w:val="71FD51A9"/>
    <w:rsid w:val="726F7388"/>
    <w:rsid w:val="727E1A1D"/>
    <w:rsid w:val="7298446F"/>
    <w:rsid w:val="72B62B48"/>
    <w:rsid w:val="72BB4B1E"/>
    <w:rsid w:val="72C87BB3"/>
    <w:rsid w:val="72D07765"/>
    <w:rsid w:val="72DF3E4C"/>
    <w:rsid w:val="72E00CC9"/>
    <w:rsid w:val="72ED189F"/>
    <w:rsid w:val="72F36DF8"/>
    <w:rsid w:val="72F72457"/>
    <w:rsid w:val="731C3297"/>
    <w:rsid w:val="731E1905"/>
    <w:rsid w:val="73256D0E"/>
    <w:rsid w:val="736D27B1"/>
    <w:rsid w:val="73734E62"/>
    <w:rsid w:val="73A6177E"/>
    <w:rsid w:val="73B34DAA"/>
    <w:rsid w:val="73B431A9"/>
    <w:rsid w:val="73DC7D3D"/>
    <w:rsid w:val="73F160BD"/>
    <w:rsid w:val="74020E8F"/>
    <w:rsid w:val="740647DD"/>
    <w:rsid w:val="743B72F2"/>
    <w:rsid w:val="745368A0"/>
    <w:rsid w:val="74621B76"/>
    <w:rsid w:val="7476678F"/>
    <w:rsid w:val="747F42F4"/>
    <w:rsid w:val="749F3013"/>
    <w:rsid w:val="74B334BB"/>
    <w:rsid w:val="74D53759"/>
    <w:rsid w:val="74DD7B3A"/>
    <w:rsid w:val="75506B51"/>
    <w:rsid w:val="755653B5"/>
    <w:rsid w:val="75750A98"/>
    <w:rsid w:val="75B1130B"/>
    <w:rsid w:val="75D276BB"/>
    <w:rsid w:val="75D35AEF"/>
    <w:rsid w:val="75FF2649"/>
    <w:rsid w:val="76182881"/>
    <w:rsid w:val="761B3CEB"/>
    <w:rsid w:val="7637546A"/>
    <w:rsid w:val="764E693B"/>
    <w:rsid w:val="766D176F"/>
    <w:rsid w:val="76B928AB"/>
    <w:rsid w:val="76BE5E0A"/>
    <w:rsid w:val="76C45294"/>
    <w:rsid w:val="76D2351F"/>
    <w:rsid w:val="76FF3A3B"/>
    <w:rsid w:val="770349A8"/>
    <w:rsid w:val="7717402C"/>
    <w:rsid w:val="771B7E7C"/>
    <w:rsid w:val="77403068"/>
    <w:rsid w:val="774B1AB0"/>
    <w:rsid w:val="776E4559"/>
    <w:rsid w:val="777027EC"/>
    <w:rsid w:val="777776D4"/>
    <w:rsid w:val="77843214"/>
    <w:rsid w:val="778B4A79"/>
    <w:rsid w:val="77A51194"/>
    <w:rsid w:val="77AE2F0F"/>
    <w:rsid w:val="78042CF7"/>
    <w:rsid w:val="782567A5"/>
    <w:rsid w:val="78703488"/>
    <w:rsid w:val="78B31710"/>
    <w:rsid w:val="78C72852"/>
    <w:rsid w:val="78C73D44"/>
    <w:rsid w:val="78C86CD9"/>
    <w:rsid w:val="78CC12E9"/>
    <w:rsid w:val="78D24BEA"/>
    <w:rsid w:val="78F2641F"/>
    <w:rsid w:val="793E149F"/>
    <w:rsid w:val="796A24F0"/>
    <w:rsid w:val="79B967FF"/>
    <w:rsid w:val="79D25816"/>
    <w:rsid w:val="79E15743"/>
    <w:rsid w:val="7A012115"/>
    <w:rsid w:val="7A1E482C"/>
    <w:rsid w:val="7A1F7224"/>
    <w:rsid w:val="7A2036D1"/>
    <w:rsid w:val="7A446B0C"/>
    <w:rsid w:val="7A4A2C67"/>
    <w:rsid w:val="7A4A4B58"/>
    <w:rsid w:val="7A6B237A"/>
    <w:rsid w:val="7A783DE6"/>
    <w:rsid w:val="7AA73342"/>
    <w:rsid w:val="7AC744EB"/>
    <w:rsid w:val="7ADC31A8"/>
    <w:rsid w:val="7B0B038E"/>
    <w:rsid w:val="7B187F43"/>
    <w:rsid w:val="7B206E52"/>
    <w:rsid w:val="7B42766E"/>
    <w:rsid w:val="7B516A1C"/>
    <w:rsid w:val="7B705A93"/>
    <w:rsid w:val="7BDC3584"/>
    <w:rsid w:val="7C337CE7"/>
    <w:rsid w:val="7C43398C"/>
    <w:rsid w:val="7C5E184A"/>
    <w:rsid w:val="7C6C5425"/>
    <w:rsid w:val="7C8141C6"/>
    <w:rsid w:val="7C927620"/>
    <w:rsid w:val="7CEE2A88"/>
    <w:rsid w:val="7CFB0E69"/>
    <w:rsid w:val="7CFD384D"/>
    <w:rsid w:val="7D07537F"/>
    <w:rsid w:val="7D3B44E7"/>
    <w:rsid w:val="7D6300C4"/>
    <w:rsid w:val="7D6F33E0"/>
    <w:rsid w:val="7DCC58A6"/>
    <w:rsid w:val="7E360C75"/>
    <w:rsid w:val="7E486D4A"/>
    <w:rsid w:val="7E5B0EB7"/>
    <w:rsid w:val="7E6E636B"/>
    <w:rsid w:val="7EA81851"/>
    <w:rsid w:val="7EC60C53"/>
    <w:rsid w:val="7ED70C48"/>
    <w:rsid w:val="7EEE143E"/>
    <w:rsid w:val="7EFC7B34"/>
    <w:rsid w:val="7F1B26B0"/>
    <w:rsid w:val="7F3D6F27"/>
    <w:rsid w:val="7F626A68"/>
    <w:rsid w:val="7F662BB6"/>
    <w:rsid w:val="7F8249C4"/>
    <w:rsid w:val="7FB77874"/>
    <w:rsid w:val="7FCD7CB2"/>
    <w:rsid w:val="7FD268A7"/>
    <w:rsid w:val="7FD72921"/>
    <w:rsid w:val="7FF65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4"/>
    <w:autoRedefine/>
    <w:qFormat/>
    <w:uiPriority w:val="0"/>
    <w:pPr>
      <w:keepNext/>
      <w:keepLines/>
      <w:spacing w:after="120" w:line="360" w:lineRule="auto"/>
      <w:outlineLvl w:val="0"/>
    </w:pPr>
    <w:rPr>
      <w:kern w:val="44"/>
      <w:sz w:val="28"/>
      <w:szCs w:val="28"/>
    </w:rPr>
  </w:style>
  <w:style w:type="paragraph" w:styleId="5">
    <w:name w:val="heading 2"/>
    <w:basedOn w:val="1"/>
    <w:next w:val="1"/>
    <w:link w:val="57"/>
    <w:autoRedefine/>
    <w:qFormat/>
    <w:uiPriority w:val="0"/>
    <w:pPr>
      <w:keepNext/>
      <w:keepLines/>
      <w:spacing w:before="120" w:after="120" w:line="415" w:lineRule="auto"/>
      <w:jc w:val="center"/>
      <w:outlineLvl w:val="1"/>
    </w:pPr>
    <w:rPr>
      <w:rFonts w:ascii="宋体" w:hAnsi="宋体"/>
      <w:b/>
      <w:sz w:val="24"/>
      <w:szCs w:val="24"/>
    </w:rPr>
  </w:style>
  <w:style w:type="paragraph" w:styleId="6">
    <w:name w:val="heading 3"/>
    <w:basedOn w:val="1"/>
    <w:next w:val="1"/>
    <w:link w:val="58"/>
    <w:autoRedefine/>
    <w:qFormat/>
    <w:uiPriority w:val="0"/>
    <w:pPr>
      <w:widowControl/>
      <w:spacing w:before="100" w:beforeAutospacing="1" w:after="100" w:afterAutospacing="1"/>
      <w:jc w:val="left"/>
      <w:outlineLvl w:val="2"/>
    </w:pPr>
    <w:rPr>
      <w:rFonts w:ascii="宋体" w:hAnsi="宋体"/>
      <w:kern w:val="0"/>
      <w:sz w:val="27"/>
      <w:szCs w:val="27"/>
    </w:rPr>
  </w:style>
  <w:style w:type="paragraph" w:styleId="7">
    <w:name w:val="heading 4"/>
    <w:basedOn w:val="6"/>
    <w:next w:val="8"/>
    <w:link w:val="59"/>
    <w:autoRedefine/>
    <w:qFormat/>
    <w:uiPriority w:val="0"/>
    <w:pPr>
      <w:keepNext/>
      <w:keepLines/>
      <w:widowControl w:val="0"/>
      <w:spacing w:before="156" w:beforeLines="50" w:beforeAutospacing="0" w:after="156" w:afterLines="50" w:afterAutospacing="0" w:line="360" w:lineRule="auto"/>
      <w:outlineLvl w:val="3"/>
    </w:pPr>
    <w:rPr>
      <w:rFonts w:ascii="Arial" w:hAnsi="Arial"/>
      <w:color w:val="000000"/>
      <w:kern w:val="2"/>
      <w:sz w:val="21"/>
      <w:szCs w:val="21"/>
    </w:rPr>
  </w:style>
  <w:style w:type="paragraph" w:styleId="9">
    <w:name w:val="heading 5"/>
    <w:basedOn w:val="7"/>
    <w:next w:val="8"/>
    <w:link w:val="60"/>
    <w:autoRedefine/>
    <w:qFormat/>
    <w:uiPriority w:val="0"/>
    <w:pPr>
      <w:spacing w:line="240" w:lineRule="exact"/>
      <w:outlineLvl w:val="4"/>
    </w:pPr>
    <w:rPr>
      <w:kern w:val="0"/>
      <w:sz w:val="20"/>
    </w:rPr>
  </w:style>
  <w:style w:type="paragraph" w:styleId="10">
    <w:name w:val="heading 6"/>
    <w:basedOn w:val="1"/>
    <w:next w:val="1"/>
    <w:link w:val="61"/>
    <w:autoRedefine/>
    <w:qFormat/>
    <w:uiPriority w:val="0"/>
    <w:pPr>
      <w:keepNext/>
      <w:keepLines/>
      <w:numPr>
        <w:ilvl w:val="5"/>
        <w:numId w:val="1"/>
      </w:numPr>
      <w:spacing w:before="240" w:after="64" w:line="320" w:lineRule="auto"/>
      <w:outlineLvl w:val="5"/>
    </w:pPr>
    <w:rPr>
      <w:rFonts w:ascii="Arial" w:hAnsi="Arial" w:eastAsia="黑体"/>
      <w:b/>
      <w:bCs/>
      <w:kern w:val="0"/>
      <w:sz w:val="24"/>
      <w:szCs w:val="24"/>
    </w:rPr>
  </w:style>
  <w:style w:type="paragraph" w:styleId="11">
    <w:name w:val="heading 7"/>
    <w:basedOn w:val="1"/>
    <w:next w:val="8"/>
    <w:link w:val="62"/>
    <w:autoRedefine/>
    <w:qFormat/>
    <w:uiPriority w:val="0"/>
    <w:pPr>
      <w:keepNext/>
      <w:keepLines/>
      <w:numPr>
        <w:ilvl w:val="6"/>
        <w:numId w:val="2"/>
      </w:numPr>
      <w:spacing w:before="240" w:after="64" w:line="320" w:lineRule="auto"/>
      <w:outlineLvl w:val="6"/>
    </w:pPr>
    <w:rPr>
      <w:rFonts w:ascii="Times New Roman" w:hAnsi="Times New Roman"/>
      <w:b/>
      <w:kern w:val="0"/>
      <w:sz w:val="24"/>
      <w:szCs w:val="20"/>
    </w:rPr>
  </w:style>
  <w:style w:type="paragraph" w:styleId="12">
    <w:name w:val="heading 8"/>
    <w:basedOn w:val="1"/>
    <w:next w:val="8"/>
    <w:link w:val="63"/>
    <w:autoRedefine/>
    <w:qFormat/>
    <w:uiPriority w:val="0"/>
    <w:pPr>
      <w:keepNext/>
      <w:keepLines/>
      <w:numPr>
        <w:ilvl w:val="7"/>
        <w:numId w:val="2"/>
      </w:numPr>
      <w:spacing w:before="240" w:after="64" w:line="320" w:lineRule="auto"/>
      <w:outlineLvl w:val="7"/>
    </w:pPr>
    <w:rPr>
      <w:rFonts w:ascii="Arial" w:hAnsi="Arial" w:eastAsia="黑体"/>
      <w:kern w:val="0"/>
      <w:sz w:val="24"/>
      <w:szCs w:val="20"/>
    </w:rPr>
  </w:style>
  <w:style w:type="paragraph" w:styleId="13">
    <w:name w:val="heading 9"/>
    <w:basedOn w:val="1"/>
    <w:next w:val="8"/>
    <w:link w:val="64"/>
    <w:autoRedefine/>
    <w:qFormat/>
    <w:uiPriority w:val="0"/>
    <w:pPr>
      <w:keepNext/>
      <w:keepLines/>
      <w:numPr>
        <w:ilvl w:val="8"/>
        <w:numId w:val="2"/>
      </w:numPr>
      <w:spacing w:before="240" w:after="64" w:line="320" w:lineRule="auto"/>
      <w:outlineLvl w:val="8"/>
    </w:pPr>
    <w:rPr>
      <w:rFonts w:ascii="Arial" w:hAnsi="Arial" w:eastAsia="黑体"/>
      <w:kern w:val="0"/>
      <w:sz w:val="20"/>
      <w:szCs w:val="20"/>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56"/>
    <w:autoRedefine/>
    <w:qFormat/>
    <w:uiPriority w:val="0"/>
    <w:pPr>
      <w:ind w:firstLine="420"/>
    </w:pPr>
  </w:style>
  <w:style w:type="paragraph" w:styleId="3">
    <w:name w:val="Body Text"/>
    <w:basedOn w:val="1"/>
    <w:next w:val="1"/>
    <w:link w:val="55"/>
    <w:autoRedefine/>
    <w:qFormat/>
    <w:uiPriority w:val="0"/>
    <w:pPr>
      <w:spacing w:after="120"/>
    </w:pPr>
    <w:rPr>
      <w:rFonts w:ascii="Times New Roman" w:hAnsi="Times New Roman"/>
      <w:kern w:val="0"/>
      <w:sz w:val="20"/>
      <w:szCs w:val="20"/>
    </w:rPr>
  </w:style>
  <w:style w:type="paragraph" w:styleId="8">
    <w:name w:val="Normal Indent"/>
    <w:basedOn w:val="1"/>
    <w:autoRedefine/>
    <w:qFormat/>
    <w:uiPriority w:val="0"/>
    <w:pPr>
      <w:ind w:firstLine="420"/>
    </w:pPr>
    <w:rPr>
      <w:rFonts w:ascii="Times New Roman" w:hAnsi="Times New Roman"/>
      <w:szCs w:val="20"/>
    </w:rPr>
  </w:style>
  <w:style w:type="paragraph" w:styleId="14">
    <w:name w:val="Document Map"/>
    <w:basedOn w:val="1"/>
    <w:link w:val="65"/>
    <w:autoRedefine/>
    <w:qFormat/>
    <w:uiPriority w:val="0"/>
    <w:pPr>
      <w:shd w:val="clear" w:color="auto" w:fill="000080"/>
    </w:pPr>
    <w:rPr>
      <w:rFonts w:ascii="Times New Roman" w:hAnsi="Times New Roman"/>
      <w:kern w:val="0"/>
      <w:sz w:val="20"/>
      <w:szCs w:val="20"/>
    </w:rPr>
  </w:style>
  <w:style w:type="paragraph" w:styleId="15">
    <w:name w:val="annotation text"/>
    <w:basedOn w:val="1"/>
    <w:link w:val="66"/>
    <w:autoRedefine/>
    <w:qFormat/>
    <w:uiPriority w:val="0"/>
    <w:pPr>
      <w:spacing w:line="360" w:lineRule="auto"/>
      <w:ind w:firstLine="523" w:firstLineChars="218"/>
      <w:jc w:val="left"/>
    </w:pPr>
    <w:rPr>
      <w:rFonts w:ascii="宋体" w:hAnsi="宋体"/>
      <w:kern w:val="0"/>
      <w:sz w:val="24"/>
      <w:szCs w:val="24"/>
    </w:rPr>
  </w:style>
  <w:style w:type="paragraph" w:styleId="16">
    <w:name w:val="Salutation"/>
    <w:basedOn w:val="1"/>
    <w:next w:val="1"/>
    <w:autoRedefine/>
    <w:qFormat/>
    <w:uiPriority w:val="99"/>
    <w:pPr>
      <w:widowControl/>
      <w:jc w:val="left"/>
    </w:pPr>
    <w:rPr>
      <w:rFonts w:ascii="Arial" w:hAnsi="Arial" w:eastAsia="PMingLiUfalt" w:cs="Arial"/>
      <w:color w:val="000000"/>
      <w:kern w:val="0"/>
      <w:sz w:val="22"/>
      <w:lang w:eastAsia="zh-TW"/>
    </w:rPr>
  </w:style>
  <w:style w:type="paragraph" w:styleId="17">
    <w:name w:val="Body Text Indent"/>
    <w:basedOn w:val="1"/>
    <w:next w:val="18"/>
    <w:link w:val="67"/>
    <w:autoRedefine/>
    <w:qFormat/>
    <w:uiPriority w:val="0"/>
    <w:pPr>
      <w:ind w:firstLine="570"/>
    </w:pPr>
    <w:rPr>
      <w:rFonts w:ascii="Times New Roman" w:hAnsi="Times New Roman"/>
      <w:kern w:val="0"/>
      <w:sz w:val="28"/>
      <w:szCs w:val="20"/>
    </w:rPr>
  </w:style>
  <w:style w:type="paragraph" w:styleId="18">
    <w:name w:val="envelope return"/>
    <w:basedOn w:val="1"/>
    <w:autoRedefine/>
    <w:qFormat/>
    <w:uiPriority w:val="0"/>
    <w:pPr>
      <w:snapToGrid w:val="0"/>
    </w:pPr>
    <w:rPr>
      <w:rFonts w:ascii="Arial" w:hAnsi="Arial"/>
      <w:szCs w:val="24"/>
    </w:rPr>
  </w:style>
  <w:style w:type="paragraph" w:styleId="19">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link w:val="52"/>
    <w:autoRedefine/>
    <w:qFormat/>
    <w:uiPriority w:val="0"/>
    <w:rPr>
      <w:rFonts w:ascii="宋体" w:hAnsi="Courier New"/>
      <w:kern w:val="0"/>
      <w:sz w:val="20"/>
      <w:szCs w:val="20"/>
    </w:rPr>
  </w:style>
  <w:style w:type="paragraph" w:styleId="21">
    <w:name w:val="Date"/>
    <w:basedOn w:val="1"/>
    <w:next w:val="1"/>
    <w:link w:val="68"/>
    <w:autoRedefine/>
    <w:qFormat/>
    <w:uiPriority w:val="0"/>
    <w:rPr>
      <w:rFonts w:ascii="Times New Roman" w:hAnsi="Times New Roman"/>
      <w:kern w:val="0"/>
      <w:sz w:val="20"/>
      <w:szCs w:val="20"/>
    </w:rPr>
  </w:style>
  <w:style w:type="paragraph" w:styleId="22">
    <w:name w:val="Body Text Indent 2"/>
    <w:basedOn w:val="1"/>
    <w:link w:val="69"/>
    <w:autoRedefine/>
    <w:qFormat/>
    <w:uiPriority w:val="0"/>
    <w:pPr>
      <w:spacing w:line="400" w:lineRule="exact"/>
      <w:ind w:left="425"/>
    </w:pPr>
    <w:rPr>
      <w:rFonts w:ascii="Times New Roman" w:hAnsi="Times New Roman"/>
      <w:color w:val="000000"/>
      <w:kern w:val="0"/>
      <w:sz w:val="24"/>
      <w:szCs w:val="20"/>
    </w:rPr>
  </w:style>
  <w:style w:type="paragraph" w:styleId="23">
    <w:name w:val="endnote text"/>
    <w:basedOn w:val="1"/>
    <w:link w:val="70"/>
    <w:autoRedefine/>
    <w:qFormat/>
    <w:uiPriority w:val="0"/>
    <w:pPr>
      <w:snapToGrid w:val="0"/>
      <w:jc w:val="left"/>
    </w:pPr>
    <w:rPr>
      <w:rFonts w:ascii="Times New Roman" w:hAnsi="Times New Roman"/>
      <w:kern w:val="0"/>
      <w:sz w:val="20"/>
      <w:szCs w:val="20"/>
    </w:rPr>
  </w:style>
  <w:style w:type="paragraph" w:styleId="24">
    <w:name w:val="Balloon Text"/>
    <w:basedOn w:val="1"/>
    <w:link w:val="71"/>
    <w:autoRedefine/>
    <w:qFormat/>
    <w:uiPriority w:val="0"/>
    <w:rPr>
      <w:rFonts w:ascii="Times New Roman" w:hAnsi="Times New Roman"/>
      <w:kern w:val="0"/>
      <w:sz w:val="18"/>
      <w:szCs w:val="18"/>
    </w:rPr>
  </w:style>
  <w:style w:type="paragraph" w:styleId="25">
    <w:name w:val="footer"/>
    <w:basedOn w:val="1"/>
    <w:link w:val="72"/>
    <w:autoRedefine/>
    <w:unhideWhenUsed/>
    <w:qFormat/>
    <w:uiPriority w:val="0"/>
    <w:pPr>
      <w:tabs>
        <w:tab w:val="center" w:pos="4153"/>
        <w:tab w:val="right" w:pos="8306"/>
      </w:tabs>
      <w:snapToGrid w:val="0"/>
      <w:jc w:val="left"/>
    </w:pPr>
    <w:rPr>
      <w:kern w:val="0"/>
      <w:sz w:val="18"/>
      <w:szCs w:val="18"/>
    </w:rPr>
  </w:style>
  <w:style w:type="paragraph" w:styleId="26">
    <w:name w:val="header"/>
    <w:basedOn w:val="1"/>
    <w:link w:val="73"/>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74"/>
    <w:autoRedefine/>
    <w:qFormat/>
    <w:uiPriority w:val="0"/>
    <w:pPr>
      <w:snapToGrid w:val="0"/>
      <w:spacing w:line="360" w:lineRule="auto"/>
      <w:ind w:firstLine="523" w:firstLineChars="218"/>
      <w:jc w:val="left"/>
    </w:pPr>
    <w:rPr>
      <w:rFonts w:ascii="宋体" w:hAnsi="宋体"/>
      <w:kern w:val="0"/>
      <w:sz w:val="18"/>
      <w:szCs w:val="18"/>
    </w:rPr>
  </w:style>
  <w:style w:type="paragraph" w:styleId="29">
    <w:name w:val="Body Text Indent 3"/>
    <w:basedOn w:val="1"/>
    <w:next w:val="1"/>
    <w:link w:val="75"/>
    <w:autoRedefine/>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76"/>
    <w:autoRedefine/>
    <w:qFormat/>
    <w:uiPriority w:val="0"/>
    <w:rPr>
      <w:rFonts w:ascii="宋体" w:hAnsi="宋体"/>
      <w:kern w:val="0"/>
      <w:sz w:val="20"/>
      <w:szCs w:val="24"/>
      <w:u w:val="single"/>
    </w:rPr>
  </w:style>
  <w:style w:type="paragraph" w:styleId="32">
    <w:name w:val="Normal (Web)"/>
    <w:basedOn w:val="1"/>
    <w:autoRedefine/>
    <w:semiHidden/>
    <w:unhideWhenUsed/>
    <w:qFormat/>
    <w:uiPriority w:val="99"/>
    <w:pPr>
      <w:spacing w:beforeAutospacing="1" w:afterAutospacing="1"/>
      <w:jc w:val="left"/>
    </w:pPr>
    <w:rPr>
      <w:kern w:val="0"/>
      <w:sz w:val="24"/>
    </w:rPr>
  </w:style>
  <w:style w:type="paragraph" w:styleId="33">
    <w:name w:val="index 1"/>
    <w:basedOn w:val="1"/>
    <w:next w:val="1"/>
    <w:autoRedefine/>
    <w:qFormat/>
    <w:uiPriority w:val="0"/>
    <w:rPr>
      <w:rFonts w:ascii="Times New Roman" w:hAnsi="Times New Roman" w:eastAsia="仿宋_GB2312"/>
      <w:sz w:val="28"/>
      <w:szCs w:val="20"/>
    </w:rPr>
  </w:style>
  <w:style w:type="paragraph" w:styleId="34">
    <w:name w:val="Title"/>
    <w:basedOn w:val="1"/>
    <w:link w:val="53"/>
    <w:autoRedefine/>
    <w:qFormat/>
    <w:uiPriority w:val="0"/>
    <w:pPr>
      <w:spacing w:before="120" w:after="60"/>
      <w:jc w:val="center"/>
    </w:pPr>
    <w:rPr>
      <w:rFonts w:ascii="Arial" w:hAnsi="Arial"/>
      <w:b/>
      <w:kern w:val="0"/>
      <w:sz w:val="44"/>
      <w:szCs w:val="20"/>
    </w:rPr>
  </w:style>
  <w:style w:type="paragraph" w:styleId="35">
    <w:name w:val="annotation subject"/>
    <w:basedOn w:val="15"/>
    <w:next w:val="15"/>
    <w:link w:val="77"/>
    <w:autoRedefine/>
    <w:qFormat/>
    <w:uiPriority w:val="0"/>
    <w:rPr>
      <w:b/>
      <w:bCs/>
    </w:rPr>
  </w:style>
  <w:style w:type="paragraph" w:styleId="36">
    <w:name w:val="Body Text First Indent 2"/>
    <w:basedOn w:val="17"/>
    <w:link w:val="123"/>
    <w:autoRedefine/>
    <w:semiHidden/>
    <w:unhideWhenUsed/>
    <w:qFormat/>
    <w:uiPriority w:val="99"/>
    <w:pPr>
      <w:spacing w:after="120"/>
      <w:ind w:left="420" w:leftChars="200" w:firstLine="420" w:firstLineChars="200"/>
    </w:pPr>
    <w:rPr>
      <w:rFonts w:ascii="Calibri" w:hAnsi="Calibri"/>
      <w:kern w:val="2"/>
      <w:sz w:val="21"/>
      <w:szCs w:val="22"/>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endnote reference"/>
    <w:autoRedefine/>
    <w:qFormat/>
    <w:uiPriority w:val="0"/>
    <w:rPr>
      <w:vertAlign w:val="superscript"/>
    </w:rPr>
  </w:style>
  <w:style w:type="character" w:styleId="42">
    <w:name w:val="page number"/>
    <w:basedOn w:val="39"/>
    <w:autoRedefine/>
    <w:qFormat/>
    <w:uiPriority w:val="0"/>
    <w:rPr>
      <w:rFonts w:cs="Times New Roman"/>
    </w:rPr>
  </w:style>
  <w:style w:type="character" w:styleId="43">
    <w:name w:val="FollowedHyperlink"/>
    <w:autoRedefine/>
    <w:unhideWhenUsed/>
    <w:qFormat/>
    <w:uiPriority w:val="99"/>
    <w:rPr>
      <w:color w:val="954F72"/>
      <w:u w:val="single"/>
    </w:rPr>
  </w:style>
  <w:style w:type="character" w:styleId="44">
    <w:name w:val="HTML Definition"/>
    <w:basedOn w:val="39"/>
    <w:autoRedefine/>
    <w:semiHidden/>
    <w:unhideWhenUsed/>
    <w:qFormat/>
    <w:uiPriority w:val="99"/>
    <w:rPr>
      <w:i/>
      <w:iCs/>
    </w:rPr>
  </w:style>
  <w:style w:type="character" w:styleId="45">
    <w:name w:val="Hyperlink"/>
    <w:basedOn w:val="39"/>
    <w:autoRedefine/>
    <w:qFormat/>
    <w:uiPriority w:val="99"/>
    <w:rPr>
      <w:color w:val="0000FF"/>
      <w:u w:val="single"/>
    </w:rPr>
  </w:style>
  <w:style w:type="character" w:styleId="46">
    <w:name w:val="HTML Code"/>
    <w:basedOn w:val="39"/>
    <w:autoRedefine/>
    <w:semiHidden/>
    <w:unhideWhenUsed/>
    <w:qFormat/>
    <w:uiPriority w:val="99"/>
    <w:rPr>
      <w:rFonts w:hint="default" w:ascii="Consolas" w:hAnsi="Consolas" w:eastAsia="Consolas" w:cs="Consolas"/>
      <w:color w:val="C7254E"/>
      <w:sz w:val="21"/>
      <w:szCs w:val="21"/>
      <w:bdr w:val="single" w:color="E1E1E1" w:sz="6" w:space="0"/>
      <w:shd w:val="clear" w:fill="F9F2F4"/>
    </w:rPr>
  </w:style>
  <w:style w:type="character" w:styleId="47">
    <w:name w:val="annotation reference"/>
    <w:autoRedefine/>
    <w:qFormat/>
    <w:uiPriority w:val="0"/>
    <w:rPr>
      <w:sz w:val="21"/>
      <w:szCs w:val="21"/>
    </w:rPr>
  </w:style>
  <w:style w:type="character" w:styleId="48">
    <w:name w:val="footnote reference"/>
    <w:autoRedefine/>
    <w:qFormat/>
    <w:uiPriority w:val="0"/>
    <w:rPr>
      <w:vertAlign w:val="superscript"/>
    </w:rPr>
  </w:style>
  <w:style w:type="character" w:styleId="49">
    <w:name w:val="HTML Keyboard"/>
    <w:basedOn w:val="39"/>
    <w:autoRedefine/>
    <w:semiHidden/>
    <w:unhideWhenUsed/>
    <w:qFormat/>
    <w:uiPriority w:val="99"/>
    <w:rPr>
      <w:rFonts w:hint="default" w:ascii="Consolas" w:hAnsi="Consolas" w:eastAsia="Consolas" w:cs="Consolas"/>
      <w:color w:val="FFFFFF"/>
      <w:sz w:val="21"/>
      <w:szCs w:val="21"/>
      <w:shd w:val="clear" w:fill="333333"/>
    </w:rPr>
  </w:style>
  <w:style w:type="character" w:styleId="50">
    <w:name w:val="HTML Sample"/>
    <w:basedOn w:val="39"/>
    <w:autoRedefine/>
    <w:semiHidden/>
    <w:unhideWhenUsed/>
    <w:qFormat/>
    <w:uiPriority w:val="99"/>
    <w:rPr>
      <w:rFonts w:ascii="Consolas" w:hAnsi="Consolas" w:eastAsia="Consolas" w:cs="Consolas"/>
      <w:sz w:val="21"/>
      <w:szCs w:val="21"/>
    </w:rPr>
  </w:style>
  <w:style w:type="paragraph" w:customStyle="1" w:styleId="51">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纯文本 Char"/>
    <w:link w:val="20"/>
    <w:autoRedefine/>
    <w:qFormat/>
    <w:uiPriority w:val="0"/>
    <w:rPr>
      <w:rFonts w:ascii="宋体" w:hAnsi="Courier New" w:eastAsia="宋体" w:cs="Times New Roman"/>
      <w:szCs w:val="20"/>
    </w:rPr>
  </w:style>
  <w:style w:type="character" w:customStyle="1" w:styleId="53">
    <w:name w:val="标题 Char"/>
    <w:link w:val="34"/>
    <w:autoRedefine/>
    <w:qFormat/>
    <w:uiPriority w:val="0"/>
    <w:rPr>
      <w:rFonts w:ascii="Arial" w:hAnsi="Arial" w:eastAsia="宋体" w:cs="Times New Roman"/>
      <w:b/>
      <w:sz w:val="44"/>
      <w:szCs w:val="20"/>
    </w:rPr>
  </w:style>
  <w:style w:type="character" w:customStyle="1" w:styleId="54">
    <w:name w:val="标题 1 Char"/>
    <w:link w:val="4"/>
    <w:autoRedefine/>
    <w:qFormat/>
    <w:uiPriority w:val="0"/>
    <w:rPr>
      <w:rFonts w:ascii="Arial" w:hAnsi="Arial" w:eastAsia="宋体"/>
      <w:b/>
      <w:kern w:val="44"/>
      <w:sz w:val="28"/>
      <w:szCs w:val="28"/>
    </w:rPr>
  </w:style>
  <w:style w:type="character" w:customStyle="1" w:styleId="55">
    <w:name w:val="正文文本 Char"/>
    <w:link w:val="3"/>
    <w:autoRedefine/>
    <w:qFormat/>
    <w:uiPriority w:val="0"/>
    <w:rPr>
      <w:rFonts w:ascii="Times New Roman" w:hAnsi="Times New Roman" w:eastAsia="宋体" w:cs="Times New Roman"/>
      <w:szCs w:val="20"/>
    </w:rPr>
  </w:style>
  <w:style w:type="character" w:customStyle="1" w:styleId="56">
    <w:name w:val="正文首行缩进 Char"/>
    <w:link w:val="2"/>
    <w:autoRedefine/>
    <w:qFormat/>
    <w:uiPriority w:val="0"/>
  </w:style>
  <w:style w:type="character" w:customStyle="1" w:styleId="57">
    <w:name w:val="标题 2 Char"/>
    <w:link w:val="5"/>
    <w:autoRedefine/>
    <w:qFormat/>
    <w:uiPriority w:val="0"/>
    <w:rPr>
      <w:rFonts w:ascii="宋体" w:hAnsi="宋体" w:eastAsia="宋体"/>
      <w:b/>
      <w:kern w:val="2"/>
      <w:sz w:val="24"/>
      <w:szCs w:val="24"/>
    </w:rPr>
  </w:style>
  <w:style w:type="character" w:customStyle="1" w:styleId="58">
    <w:name w:val="标题 3 Char"/>
    <w:link w:val="6"/>
    <w:autoRedefine/>
    <w:qFormat/>
    <w:uiPriority w:val="0"/>
    <w:rPr>
      <w:rFonts w:ascii="宋体" w:hAnsi="宋体" w:eastAsia="宋体" w:cs="宋体"/>
      <w:kern w:val="0"/>
      <w:sz w:val="27"/>
      <w:szCs w:val="27"/>
    </w:rPr>
  </w:style>
  <w:style w:type="character" w:customStyle="1" w:styleId="59">
    <w:name w:val="标题 4 Char"/>
    <w:link w:val="7"/>
    <w:autoRedefine/>
    <w:qFormat/>
    <w:uiPriority w:val="0"/>
    <w:rPr>
      <w:rFonts w:ascii="Arial" w:hAnsi="Arial" w:eastAsia="宋体"/>
      <w:color w:val="000000"/>
      <w:kern w:val="2"/>
      <w:sz w:val="21"/>
      <w:szCs w:val="21"/>
    </w:rPr>
  </w:style>
  <w:style w:type="character" w:customStyle="1" w:styleId="60">
    <w:name w:val="标题 5 Char"/>
    <w:link w:val="9"/>
    <w:autoRedefine/>
    <w:qFormat/>
    <w:uiPriority w:val="0"/>
    <w:rPr>
      <w:rFonts w:ascii="Arial" w:hAnsi="Arial" w:eastAsia="宋体" w:cs="Times New Roman"/>
      <w:color w:val="000000"/>
      <w:szCs w:val="21"/>
    </w:rPr>
  </w:style>
  <w:style w:type="character" w:customStyle="1" w:styleId="61">
    <w:name w:val="标题 6 Char"/>
    <w:link w:val="10"/>
    <w:autoRedefine/>
    <w:qFormat/>
    <w:uiPriority w:val="0"/>
    <w:rPr>
      <w:rFonts w:ascii="Arial" w:hAnsi="Arial" w:eastAsia="黑体" w:cs="Times New Roman"/>
      <w:b/>
      <w:bCs/>
      <w:sz w:val="24"/>
      <w:szCs w:val="24"/>
    </w:rPr>
  </w:style>
  <w:style w:type="character" w:customStyle="1" w:styleId="62">
    <w:name w:val="标题 7 Char"/>
    <w:link w:val="11"/>
    <w:autoRedefine/>
    <w:qFormat/>
    <w:uiPriority w:val="0"/>
    <w:rPr>
      <w:rFonts w:ascii="Times New Roman" w:hAnsi="Times New Roman" w:eastAsia="宋体" w:cs="Times New Roman"/>
      <w:b/>
      <w:sz w:val="24"/>
      <w:szCs w:val="20"/>
    </w:rPr>
  </w:style>
  <w:style w:type="character" w:customStyle="1" w:styleId="63">
    <w:name w:val="标题 8 Char"/>
    <w:link w:val="12"/>
    <w:autoRedefine/>
    <w:qFormat/>
    <w:uiPriority w:val="0"/>
    <w:rPr>
      <w:rFonts w:ascii="Arial" w:hAnsi="Arial" w:eastAsia="黑体" w:cs="Times New Roman"/>
      <w:sz w:val="24"/>
      <w:szCs w:val="20"/>
    </w:rPr>
  </w:style>
  <w:style w:type="character" w:customStyle="1" w:styleId="64">
    <w:name w:val="标题 9 Char"/>
    <w:link w:val="13"/>
    <w:autoRedefine/>
    <w:qFormat/>
    <w:uiPriority w:val="0"/>
    <w:rPr>
      <w:rFonts w:ascii="Arial" w:hAnsi="Arial" w:eastAsia="黑体" w:cs="Times New Roman"/>
      <w:szCs w:val="20"/>
    </w:rPr>
  </w:style>
  <w:style w:type="character" w:customStyle="1" w:styleId="65">
    <w:name w:val="文档结构图 Char"/>
    <w:link w:val="14"/>
    <w:autoRedefine/>
    <w:qFormat/>
    <w:uiPriority w:val="0"/>
    <w:rPr>
      <w:rFonts w:ascii="Times New Roman" w:hAnsi="Times New Roman" w:eastAsia="宋体" w:cs="Times New Roman"/>
      <w:szCs w:val="20"/>
      <w:shd w:val="clear" w:color="auto" w:fill="000080"/>
    </w:rPr>
  </w:style>
  <w:style w:type="character" w:customStyle="1" w:styleId="66">
    <w:name w:val="批注文字 Char"/>
    <w:link w:val="15"/>
    <w:autoRedefine/>
    <w:qFormat/>
    <w:uiPriority w:val="0"/>
    <w:rPr>
      <w:rFonts w:ascii="宋体" w:hAnsi="宋体" w:eastAsia="宋体" w:cs="Times New Roman"/>
      <w:sz w:val="24"/>
      <w:szCs w:val="24"/>
    </w:rPr>
  </w:style>
  <w:style w:type="character" w:customStyle="1" w:styleId="67">
    <w:name w:val="正文文本缩进 Char"/>
    <w:link w:val="17"/>
    <w:autoRedefine/>
    <w:qFormat/>
    <w:uiPriority w:val="0"/>
    <w:rPr>
      <w:rFonts w:ascii="Times New Roman" w:hAnsi="Times New Roman" w:eastAsia="宋体" w:cs="Times New Roman"/>
      <w:sz w:val="28"/>
      <w:szCs w:val="20"/>
    </w:rPr>
  </w:style>
  <w:style w:type="character" w:customStyle="1" w:styleId="68">
    <w:name w:val="日期 Char"/>
    <w:link w:val="21"/>
    <w:autoRedefine/>
    <w:qFormat/>
    <w:uiPriority w:val="0"/>
    <w:rPr>
      <w:rFonts w:ascii="Times New Roman" w:hAnsi="Times New Roman" w:eastAsia="宋体" w:cs="Times New Roman"/>
      <w:szCs w:val="20"/>
    </w:rPr>
  </w:style>
  <w:style w:type="character" w:customStyle="1" w:styleId="69">
    <w:name w:val="正文文本缩进 2 Char"/>
    <w:link w:val="22"/>
    <w:autoRedefine/>
    <w:qFormat/>
    <w:uiPriority w:val="0"/>
    <w:rPr>
      <w:rFonts w:ascii="Times New Roman" w:hAnsi="Times New Roman" w:eastAsia="宋体" w:cs="Times New Roman"/>
      <w:color w:val="000000"/>
      <w:sz w:val="24"/>
      <w:szCs w:val="20"/>
    </w:rPr>
  </w:style>
  <w:style w:type="character" w:customStyle="1" w:styleId="70">
    <w:name w:val="尾注文本 Char"/>
    <w:link w:val="23"/>
    <w:autoRedefine/>
    <w:qFormat/>
    <w:uiPriority w:val="0"/>
    <w:rPr>
      <w:rFonts w:ascii="Times New Roman" w:hAnsi="Times New Roman" w:eastAsia="宋体" w:cs="Times New Roman"/>
      <w:szCs w:val="20"/>
    </w:rPr>
  </w:style>
  <w:style w:type="character" w:customStyle="1" w:styleId="71">
    <w:name w:val="批注框文本 Char"/>
    <w:link w:val="24"/>
    <w:autoRedefine/>
    <w:qFormat/>
    <w:uiPriority w:val="0"/>
    <w:rPr>
      <w:rFonts w:ascii="Times New Roman" w:hAnsi="Times New Roman" w:eastAsia="宋体" w:cs="Times New Roman"/>
      <w:sz w:val="18"/>
      <w:szCs w:val="18"/>
    </w:rPr>
  </w:style>
  <w:style w:type="character" w:customStyle="1" w:styleId="72">
    <w:name w:val="页脚 Char"/>
    <w:link w:val="25"/>
    <w:autoRedefine/>
    <w:qFormat/>
    <w:uiPriority w:val="0"/>
    <w:rPr>
      <w:rFonts w:ascii="Calibri" w:hAnsi="Calibri" w:eastAsia="宋体" w:cs="Times New Roman"/>
      <w:sz w:val="18"/>
      <w:szCs w:val="18"/>
    </w:rPr>
  </w:style>
  <w:style w:type="character" w:customStyle="1" w:styleId="73">
    <w:name w:val="页眉 Char"/>
    <w:link w:val="26"/>
    <w:autoRedefine/>
    <w:qFormat/>
    <w:uiPriority w:val="0"/>
    <w:rPr>
      <w:rFonts w:ascii="Calibri" w:hAnsi="Calibri" w:eastAsia="宋体" w:cs="Times New Roman"/>
      <w:sz w:val="18"/>
      <w:szCs w:val="18"/>
    </w:rPr>
  </w:style>
  <w:style w:type="character" w:customStyle="1" w:styleId="74">
    <w:name w:val="脚注文本 Char"/>
    <w:link w:val="28"/>
    <w:autoRedefine/>
    <w:qFormat/>
    <w:uiPriority w:val="0"/>
    <w:rPr>
      <w:rFonts w:ascii="宋体" w:hAnsi="宋体" w:eastAsia="宋体" w:cs="Times New Roman"/>
      <w:sz w:val="18"/>
      <w:szCs w:val="18"/>
    </w:rPr>
  </w:style>
  <w:style w:type="character" w:customStyle="1" w:styleId="75">
    <w:name w:val="正文文本缩进 3 Char"/>
    <w:link w:val="29"/>
    <w:autoRedefine/>
    <w:qFormat/>
    <w:uiPriority w:val="0"/>
    <w:rPr>
      <w:rFonts w:ascii="Times New Roman" w:hAnsi="Times New Roman" w:eastAsia="宋体" w:cs="Times New Roman"/>
      <w:color w:val="000000"/>
      <w:sz w:val="24"/>
      <w:szCs w:val="20"/>
    </w:rPr>
  </w:style>
  <w:style w:type="character" w:customStyle="1" w:styleId="76">
    <w:name w:val="正文文本 2 Char"/>
    <w:link w:val="31"/>
    <w:autoRedefine/>
    <w:qFormat/>
    <w:uiPriority w:val="0"/>
    <w:rPr>
      <w:rFonts w:ascii="宋体" w:hAnsi="宋体" w:eastAsia="宋体" w:cs="Times New Roman"/>
      <w:szCs w:val="24"/>
      <w:u w:val="single"/>
    </w:rPr>
  </w:style>
  <w:style w:type="character" w:customStyle="1" w:styleId="77">
    <w:name w:val="批注主题 Char"/>
    <w:link w:val="35"/>
    <w:autoRedefine/>
    <w:qFormat/>
    <w:uiPriority w:val="0"/>
    <w:rPr>
      <w:rFonts w:ascii="宋体" w:hAnsi="宋体" w:eastAsia="宋体" w:cs="Times New Roman"/>
      <w:b/>
      <w:bCs/>
      <w:sz w:val="24"/>
      <w:szCs w:val="24"/>
    </w:rPr>
  </w:style>
  <w:style w:type="character" w:customStyle="1" w:styleId="78">
    <w:name w:val="标题 1 字符"/>
    <w:autoRedefine/>
    <w:qFormat/>
    <w:uiPriority w:val="9"/>
    <w:rPr>
      <w:rFonts w:ascii="Calibri" w:hAnsi="Calibri" w:eastAsia="宋体" w:cs="Times New Roman"/>
      <w:b/>
      <w:bCs/>
      <w:kern w:val="44"/>
      <w:sz w:val="44"/>
      <w:szCs w:val="44"/>
    </w:rPr>
  </w:style>
  <w:style w:type="character" w:customStyle="1" w:styleId="79">
    <w:name w:val="标题 2 字符"/>
    <w:autoRedefine/>
    <w:semiHidden/>
    <w:qFormat/>
    <w:uiPriority w:val="9"/>
    <w:rPr>
      <w:rFonts w:ascii="等线 Light" w:hAnsi="等线 Light" w:eastAsia="等线 Light" w:cs="Times New Roman"/>
      <w:b/>
      <w:bCs/>
      <w:sz w:val="32"/>
      <w:szCs w:val="32"/>
    </w:rPr>
  </w:style>
  <w:style w:type="character" w:customStyle="1" w:styleId="80">
    <w:name w:val="标题 3 字符"/>
    <w:autoRedefine/>
    <w:semiHidden/>
    <w:qFormat/>
    <w:uiPriority w:val="9"/>
    <w:rPr>
      <w:rFonts w:ascii="Calibri" w:hAnsi="Calibri" w:eastAsia="宋体" w:cs="Times New Roman"/>
      <w:b/>
      <w:bCs/>
      <w:sz w:val="32"/>
      <w:szCs w:val="32"/>
    </w:rPr>
  </w:style>
  <w:style w:type="character" w:customStyle="1" w:styleId="81">
    <w:name w:val="标题 4 字符"/>
    <w:autoRedefine/>
    <w:semiHidden/>
    <w:qFormat/>
    <w:uiPriority w:val="9"/>
    <w:rPr>
      <w:rFonts w:ascii="等线 Light" w:hAnsi="等线 Light" w:eastAsia="等线 Light" w:cs="Times New Roman"/>
      <w:b/>
      <w:bCs/>
      <w:sz w:val="28"/>
      <w:szCs w:val="28"/>
    </w:rPr>
  </w:style>
  <w:style w:type="character" w:customStyle="1" w:styleId="82">
    <w:name w:val="标题 5 字符"/>
    <w:autoRedefine/>
    <w:semiHidden/>
    <w:qFormat/>
    <w:uiPriority w:val="9"/>
    <w:rPr>
      <w:rFonts w:ascii="Calibri" w:hAnsi="Calibri" w:eastAsia="宋体" w:cs="Times New Roman"/>
      <w:b/>
      <w:bCs/>
      <w:sz w:val="28"/>
      <w:szCs w:val="28"/>
    </w:rPr>
  </w:style>
  <w:style w:type="character" w:customStyle="1" w:styleId="83">
    <w:name w:val="标题 6 字符"/>
    <w:autoRedefine/>
    <w:semiHidden/>
    <w:qFormat/>
    <w:uiPriority w:val="9"/>
    <w:rPr>
      <w:rFonts w:ascii="等线 Light" w:hAnsi="等线 Light" w:eastAsia="等线 Light" w:cs="Times New Roman"/>
      <w:b/>
      <w:bCs/>
      <w:sz w:val="24"/>
      <w:szCs w:val="24"/>
    </w:rPr>
  </w:style>
  <w:style w:type="character" w:customStyle="1" w:styleId="84">
    <w:name w:val="标题 7 字符"/>
    <w:autoRedefine/>
    <w:semiHidden/>
    <w:qFormat/>
    <w:uiPriority w:val="9"/>
    <w:rPr>
      <w:rFonts w:ascii="Calibri" w:hAnsi="Calibri" w:eastAsia="宋体" w:cs="Times New Roman"/>
      <w:b/>
      <w:bCs/>
      <w:sz w:val="24"/>
      <w:szCs w:val="24"/>
    </w:rPr>
  </w:style>
  <w:style w:type="character" w:customStyle="1" w:styleId="85">
    <w:name w:val="标题 8 字符"/>
    <w:autoRedefine/>
    <w:semiHidden/>
    <w:qFormat/>
    <w:uiPriority w:val="9"/>
    <w:rPr>
      <w:rFonts w:ascii="等线 Light" w:hAnsi="等线 Light" w:eastAsia="等线 Light" w:cs="Times New Roman"/>
      <w:sz w:val="24"/>
      <w:szCs w:val="24"/>
    </w:rPr>
  </w:style>
  <w:style w:type="character" w:customStyle="1" w:styleId="86">
    <w:name w:val="标题 9 字符"/>
    <w:autoRedefine/>
    <w:semiHidden/>
    <w:qFormat/>
    <w:uiPriority w:val="9"/>
    <w:rPr>
      <w:rFonts w:ascii="等线 Light" w:hAnsi="等线 Light" w:eastAsia="等线 Light" w:cs="Times New Roman"/>
      <w:szCs w:val="21"/>
    </w:rPr>
  </w:style>
  <w:style w:type="character" w:customStyle="1" w:styleId="87">
    <w:name w:val="页眉 字符"/>
    <w:autoRedefine/>
    <w:semiHidden/>
    <w:qFormat/>
    <w:uiPriority w:val="99"/>
    <w:rPr>
      <w:rFonts w:ascii="Calibri" w:hAnsi="Calibri" w:eastAsia="宋体" w:cs="Times New Roman"/>
      <w:sz w:val="18"/>
      <w:szCs w:val="18"/>
    </w:rPr>
  </w:style>
  <w:style w:type="character" w:customStyle="1" w:styleId="88">
    <w:name w:val="页脚 字符"/>
    <w:autoRedefine/>
    <w:qFormat/>
    <w:uiPriority w:val="99"/>
    <w:rPr>
      <w:rFonts w:ascii="Calibri" w:hAnsi="Calibri" w:eastAsia="宋体" w:cs="Times New Roman"/>
      <w:sz w:val="18"/>
      <w:szCs w:val="18"/>
    </w:rPr>
  </w:style>
  <w:style w:type="character" w:customStyle="1" w:styleId="89">
    <w:name w:val="标题 字符"/>
    <w:autoRedefine/>
    <w:qFormat/>
    <w:uiPriority w:val="10"/>
    <w:rPr>
      <w:rFonts w:ascii="等线 Light" w:hAnsi="等线 Light" w:eastAsia="等线 Light" w:cs="Times New Roman"/>
      <w:b/>
      <w:bCs/>
      <w:sz w:val="32"/>
      <w:szCs w:val="32"/>
    </w:rPr>
  </w:style>
  <w:style w:type="character" w:customStyle="1" w:styleId="90">
    <w:name w:val="正文文本 字符"/>
    <w:autoRedefine/>
    <w:semiHidden/>
    <w:qFormat/>
    <w:uiPriority w:val="99"/>
    <w:rPr>
      <w:rFonts w:ascii="Calibri" w:hAnsi="Calibri" w:eastAsia="宋体" w:cs="Times New Roman"/>
    </w:rPr>
  </w:style>
  <w:style w:type="character" w:customStyle="1" w:styleId="91">
    <w:name w:val="正文首行缩进 字符"/>
    <w:basedOn w:val="90"/>
    <w:autoRedefine/>
    <w:semiHidden/>
    <w:qFormat/>
    <w:uiPriority w:val="99"/>
    <w:rPr>
      <w:rFonts w:ascii="Calibri" w:hAnsi="Calibri" w:eastAsia="宋体" w:cs="Times New Roman"/>
    </w:rPr>
  </w:style>
  <w:style w:type="character" w:customStyle="1" w:styleId="92">
    <w:name w:val="日期 字符"/>
    <w:autoRedefine/>
    <w:semiHidden/>
    <w:qFormat/>
    <w:uiPriority w:val="99"/>
    <w:rPr>
      <w:rFonts w:ascii="Calibri" w:hAnsi="Calibri" w:eastAsia="宋体" w:cs="Times New Roman"/>
    </w:rPr>
  </w:style>
  <w:style w:type="character" w:customStyle="1" w:styleId="93">
    <w:name w:val="正文文本缩进 字符"/>
    <w:autoRedefine/>
    <w:semiHidden/>
    <w:qFormat/>
    <w:uiPriority w:val="99"/>
    <w:rPr>
      <w:rFonts w:ascii="Calibri" w:hAnsi="Calibri" w:eastAsia="宋体" w:cs="Times New Roman"/>
    </w:rPr>
  </w:style>
  <w:style w:type="character" w:customStyle="1" w:styleId="94">
    <w:name w:val="文档结构图 字符"/>
    <w:autoRedefine/>
    <w:semiHidden/>
    <w:qFormat/>
    <w:uiPriority w:val="99"/>
    <w:rPr>
      <w:rFonts w:ascii="Microsoft YaHei UI" w:hAnsi="Calibri" w:eastAsia="Microsoft YaHei UI" w:cs="Times New Roman"/>
      <w:sz w:val="18"/>
      <w:szCs w:val="18"/>
    </w:rPr>
  </w:style>
  <w:style w:type="character" w:customStyle="1" w:styleId="95">
    <w:name w:val="纯文本 字符"/>
    <w:autoRedefine/>
    <w:semiHidden/>
    <w:qFormat/>
    <w:uiPriority w:val="99"/>
    <w:rPr>
      <w:rFonts w:ascii="等线" w:hAnsi="Courier New" w:cs="Courier New"/>
    </w:rPr>
  </w:style>
  <w:style w:type="character" w:customStyle="1" w:styleId="96">
    <w:name w:val="正文文本缩进 2 字符"/>
    <w:autoRedefine/>
    <w:semiHidden/>
    <w:qFormat/>
    <w:uiPriority w:val="99"/>
    <w:rPr>
      <w:rFonts w:ascii="Calibri" w:hAnsi="Calibri" w:eastAsia="宋体" w:cs="Times New Roman"/>
    </w:rPr>
  </w:style>
  <w:style w:type="character" w:customStyle="1" w:styleId="97">
    <w:name w:val="正文文本缩进 3 字符"/>
    <w:autoRedefine/>
    <w:semiHidden/>
    <w:qFormat/>
    <w:uiPriority w:val="99"/>
    <w:rPr>
      <w:rFonts w:ascii="Calibri" w:hAnsi="Calibri" w:eastAsia="宋体" w:cs="Times New Roman"/>
      <w:sz w:val="16"/>
      <w:szCs w:val="16"/>
    </w:rPr>
  </w:style>
  <w:style w:type="paragraph" w:customStyle="1" w:styleId="98">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9">
    <w:name w:val="_Style 69"/>
    <w:autoRedefine/>
    <w:qFormat/>
    <w:uiPriority w:val="0"/>
    <w:rPr>
      <w:rFonts w:ascii="等线" w:hAnsi="等线" w:eastAsia="等线" w:cs="Times New Roman"/>
      <w:lang w:val="en-US" w:eastAsia="zh-CN" w:bidi="ar-SA"/>
    </w:rPr>
  </w:style>
  <w:style w:type="character" w:customStyle="1" w:styleId="100">
    <w:name w:val="正文文本 2 字符"/>
    <w:autoRedefine/>
    <w:semiHidden/>
    <w:qFormat/>
    <w:uiPriority w:val="99"/>
    <w:rPr>
      <w:rFonts w:ascii="Calibri" w:hAnsi="Calibri" w:eastAsia="宋体" w:cs="Times New Roman"/>
    </w:rPr>
  </w:style>
  <w:style w:type="paragraph" w:customStyle="1" w:styleId="101">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102">
    <w:name w:val="尾注文本 字符"/>
    <w:autoRedefine/>
    <w:semiHidden/>
    <w:qFormat/>
    <w:uiPriority w:val="99"/>
    <w:rPr>
      <w:rFonts w:ascii="Calibri" w:hAnsi="Calibri" w:eastAsia="宋体" w:cs="Times New Roman"/>
    </w:rPr>
  </w:style>
  <w:style w:type="paragraph" w:customStyle="1" w:styleId="103">
    <w:name w:val="Char"/>
    <w:basedOn w:val="1"/>
    <w:autoRedefine/>
    <w:qFormat/>
    <w:uiPriority w:val="0"/>
    <w:rPr>
      <w:rFonts w:ascii="Tahoma" w:hAnsi="Tahoma"/>
      <w:sz w:val="24"/>
      <w:szCs w:val="20"/>
    </w:rPr>
  </w:style>
  <w:style w:type="paragraph" w:customStyle="1" w:styleId="104">
    <w:name w:val="Char1"/>
    <w:basedOn w:val="1"/>
    <w:autoRedefine/>
    <w:qFormat/>
    <w:uiPriority w:val="0"/>
    <w:pPr>
      <w:numPr>
        <w:ilvl w:val="0"/>
        <w:numId w:val="2"/>
      </w:numPr>
    </w:pPr>
    <w:rPr>
      <w:rFonts w:ascii="Times New Roman" w:hAnsi="Times New Roman"/>
      <w:sz w:val="24"/>
      <w:szCs w:val="24"/>
    </w:rPr>
  </w:style>
  <w:style w:type="paragraph" w:customStyle="1" w:styleId="105">
    <w:name w:val="公文抬头"/>
    <w:basedOn w:val="8"/>
    <w:autoRedefine/>
    <w:qFormat/>
    <w:uiPriority w:val="0"/>
    <w:pPr>
      <w:ind w:firstLine="0"/>
    </w:pPr>
    <w:rPr>
      <w:rFonts w:ascii="仿宋_GB2312" w:eastAsia="仿宋_GB2312"/>
      <w:sz w:val="30"/>
      <w:szCs w:val="24"/>
    </w:rPr>
  </w:style>
  <w:style w:type="paragraph" w:customStyle="1" w:styleId="106">
    <w:name w:val="Char Char Char1 Char"/>
    <w:basedOn w:val="14"/>
    <w:autoRedefine/>
    <w:qFormat/>
    <w:uiPriority w:val="0"/>
    <w:rPr>
      <w:rFonts w:ascii="Tahoma" w:hAnsi="Tahoma"/>
      <w:sz w:val="24"/>
      <w:szCs w:val="24"/>
    </w:rPr>
  </w:style>
  <w:style w:type="paragraph" w:customStyle="1" w:styleId="107">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8">
    <w:name w:val="公文标题"/>
    <w:basedOn w:val="6"/>
    <w:autoRedefine/>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09">
    <w:name w:val="发文落款"/>
    <w:basedOn w:val="107"/>
    <w:autoRedefine/>
    <w:qFormat/>
    <w:uiPriority w:val="0"/>
    <w:pPr>
      <w:ind w:left="4094" w:right="607" w:firstLine="0"/>
      <w:jc w:val="center"/>
    </w:pPr>
  </w:style>
  <w:style w:type="paragraph" w:customStyle="1" w:styleId="110">
    <w:name w:val="Char Char Char Char"/>
    <w:basedOn w:val="1"/>
    <w:autoRedefine/>
    <w:qFormat/>
    <w:uiPriority w:val="0"/>
    <w:rPr>
      <w:rFonts w:ascii="Times New Roman" w:hAnsi="Times New Roman"/>
      <w:sz w:val="30"/>
      <w:szCs w:val="24"/>
    </w:rPr>
  </w:style>
  <w:style w:type="character" w:customStyle="1" w:styleId="111">
    <w:name w:val="批注框文本 字符"/>
    <w:autoRedefine/>
    <w:semiHidden/>
    <w:qFormat/>
    <w:uiPriority w:val="99"/>
    <w:rPr>
      <w:rFonts w:ascii="Calibri" w:hAnsi="Calibri" w:eastAsia="宋体" w:cs="Times New Roman"/>
      <w:sz w:val="18"/>
      <w:szCs w:val="18"/>
    </w:rPr>
  </w:style>
  <w:style w:type="paragraph" w:customStyle="1" w:styleId="112">
    <w:name w:val="TOC 标题1"/>
    <w:basedOn w:val="4"/>
    <w:next w:val="1"/>
    <w:autoRedefine/>
    <w:unhideWhenUsed/>
    <w:qFormat/>
    <w:uiPriority w:val="39"/>
    <w:pPr>
      <w:widowControl/>
      <w:spacing w:before="480" w:after="0" w:line="276" w:lineRule="auto"/>
      <w:outlineLvl w:val="9"/>
    </w:pPr>
    <w:rPr>
      <w:rFonts w:ascii="Cambria" w:hAnsi="Cambria"/>
      <w:color w:val="365F91"/>
      <w:kern w:val="0"/>
    </w:rPr>
  </w:style>
  <w:style w:type="character" w:customStyle="1" w:styleId="113">
    <w:name w:val="批注文字 字符"/>
    <w:autoRedefine/>
    <w:semiHidden/>
    <w:qFormat/>
    <w:uiPriority w:val="99"/>
    <w:rPr>
      <w:rFonts w:ascii="Calibri" w:hAnsi="Calibri" w:eastAsia="宋体" w:cs="Times New Roman"/>
    </w:rPr>
  </w:style>
  <w:style w:type="character" w:customStyle="1" w:styleId="114">
    <w:name w:val="脚注文本 字符"/>
    <w:autoRedefine/>
    <w:semiHidden/>
    <w:qFormat/>
    <w:uiPriority w:val="99"/>
    <w:rPr>
      <w:rFonts w:ascii="Calibri" w:hAnsi="Calibri" w:eastAsia="宋体" w:cs="Times New Roman"/>
      <w:sz w:val="18"/>
      <w:szCs w:val="18"/>
    </w:rPr>
  </w:style>
  <w:style w:type="character" w:customStyle="1" w:styleId="115">
    <w:name w:val="批注主题 字符"/>
    <w:autoRedefine/>
    <w:semiHidden/>
    <w:qFormat/>
    <w:uiPriority w:val="99"/>
    <w:rPr>
      <w:rFonts w:ascii="Calibri" w:hAnsi="Calibri" w:eastAsia="宋体" w:cs="Times New Roman"/>
      <w:b/>
      <w:bCs/>
    </w:rPr>
  </w:style>
  <w:style w:type="paragraph" w:styleId="116">
    <w:name w:val="List Paragraph"/>
    <w:basedOn w:val="1"/>
    <w:autoRedefine/>
    <w:qFormat/>
    <w:uiPriority w:val="34"/>
    <w:pPr>
      <w:ind w:firstLine="420" w:firstLineChars="200"/>
    </w:pPr>
    <w:rPr>
      <w:rFonts w:ascii="Times New Roman" w:hAnsi="Times New Roman"/>
      <w:szCs w:val="20"/>
    </w:rPr>
  </w:style>
  <w:style w:type="paragraph" w:customStyle="1" w:styleId="117">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18">
    <w:name w:val="修订2"/>
    <w:autoRedefine/>
    <w:semiHidden/>
    <w:qFormat/>
    <w:uiPriority w:val="99"/>
    <w:rPr>
      <w:rFonts w:ascii="Calibri" w:hAnsi="Calibri" w:eastAsia="宋体" w:cs="Times New Roman"/>
      <w:kern w:val="2"/>
      <w:sz w:val="21"/>
      <w:szCs w:val="22"/>
      <w:lang w:val="en-US" w:eastAsia="zh-CN" w:bidi="ar-SA"/>
    </w:rPr>
  </w:style>
  <w:style w:type="paragraph" w:customStyle="1" w:styleId="119">
    <w:name w:val="正文 New New New New New New New New New New New"/>
    <w:autoRedefine/>
    <w:qFormat/>
    <w:uiPriority w:val="0"/>
    <w:pPr>
      <w:widowControl w:val="0"/>
      <w:jc w:val="both"/>
    </w:pPr>
    <w:rPr>
      <w:rFonts w:ascii="Calibri" w:hAnsi="Calibri" w:eastAsia="宋体" w:cs="Times New Roman"/>
      <w:kern w:val="2"/>
      <w:sz w:val="30"/>
      <w:szCs w:val="24"/>
      <w:lang w:val="en-US" w:eastAsia="zh-CN" w:bidi="ar-SA"/>
    </w:rPr>
  </w:style>
  <w:style w:type="character" w:customStyle="1" w:styleId="120">
    <w:name w:val="font11"/>
    <w:autoRedefine/>
    <w:qFormat/>
    <w:uiPriority w:val="0"/>
    <w:rPr>
      <w:rFonts w:hint="eastAsia" w:ascii="宋体" w:hAnsi="宋体" w:eastAsia="宋体"/>
      <w:color w:val="000000"/>
      <w:sz w:val="24"/>
      <w:szCs w:val="24"/>
      <w:u w:val="single"/>
    </w:rPr>
  </w:style>
  <w:style w:type="paragraph" w:customStyle="1" w:styleId="121">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122">
    <w:name w:val="Table Paragraph"/>
    <w:basedOn w:val="1"/>
    <w:autoRedefine/>
    <w:qFormat/>
    <w:uiPriority w:val="0"/>
    <w:rPr>
      <w:szCs w:val="24"/>
    </w:rPr>
  </w:style>
  <w:style w:type="character" w:customStyle="1" w:styleId="123">
    <w:name w:val="正文首行缩进 2 Char"/>
    <w:basedOn w:val="67"/>
    <w:link w:val="36"/>
    <w:autoRedefine/>
    <w:semiHidden/>
    <w:qFormat/>
    <w:uiPriority w:val="99"/>
    <w:rPr>
      <w:rFonts w:ascii="Calibri" w:hAnsi="Calibri" w:eastAsia="宋体" w:cs="Times New Roman"/>
      <w:kern w:val="2"/>
      <w:sz w:val="21"/>
      <w:szCs w:val="22"/>
    </w:rPr>
  </w:style>
  <w:style w:type="character" w:customStyle="1" w:styleId="124">
    <w:name w:val="标题 1 Char1"/>
    <w:autoRedefine/>
    <w:qFormat/>
    <w:uiPriority w:val="0"/>
    <w:rPr>
      <w:rFonts w:ascii="Arial" w:hAnsi="Arial" w:eastAsia="宋体"/>
      <w:b/>
      <w:kern w:val="44"/>
      <w:sz w:val="28"/>
      <w:szCs w:val="28"/>
    </w:rPr>
  </w:style>
  <w:style w:type="character" w:customStyle="1" w:styleId="125">
    <w:name w:val="文一 Char Char"/>
    <w:link w:val="126"/>
    <w:autoRedefine/>
    <w:qFormat/>
    <w:uiPriority w:val="0"/>
    <w:rPr>
      <w:rFonts w:ascii="宋体" w:hAnsi="宋体"/>
      <w:spacing w:val="4"/>
      <w:sz w:val="24"/>
      <w:szCs w:val="24"/>
    </w:rPr>
  </w:style>
  <w:style w:type="paragraph" w:customStyle="1" w:styleId="126">
    <w:name w:val="文一"/>
    <w:basedOn w:val="1"/>
    <w:next w:val="1"/>
    <w:link w:val="125"/>
    <w:autoRedefine/>
    <w:qFormat/>
    <w:uiPriority w:val="0"/>
    <w:pPr>
      <w:topLinePunct/>
      <w:adjustRightInd w:val="0"/>
      <w:snapToGrid w:val="0"/>
      <w:spacing w:line="360" w:lineRule="auto"/>
      <w:ind w:firstLine="200" w:firstLineChars="200"/>
    </w:pPr>
    <w:rPr>
      <w:rFonts w:ascii="宋体" w:hAnsi="宋体" w:eastAsia="等线"/>
      <w:spacing w:val="4"/>
      <w:kern w:val="0"/>
      <w:sz w:val="24"/>
      <w:szCs w:val="24"/>
    </w:rPr>
  </w:style>
  <w:style w:type="paragraph" w:customStyle="1" w:styleId="127">
    <w:name w:val="正文缩进1"/>
    <w:basedOn w:val="1"/>
    <w:autoRedefine/>
    <w:qFormat/>
    <w:uiPriority w:val="0"/>
    <w:pPr>
      <w:ind w:firstLine="420" w:firstLineChars="200"/>
    </w:pPr>
    <w:rPr>
      <w:rFonts w:ascii="Times New Roman" w:hAnsi="Times New Roman"/>
      <w:sz w:val="30"/>
      <w:szCs w:val="24"/>
    </w:rPr>
  </w:style>
  <w:style w:type="character" w:customStyle="1" w:styleId="128">
    <w:name w:val="页码1"/>
    <w:basedOn w:val="39"/>
    <w:autoRedefine/>
    <w:qFormat/>
    <w:uiPriority w:val="0"/>
  </w:style>
  <w:style w:type="character" w:customStyle="1" w:styleId="129">
    <w:name w:val="标题 3 Char Char"/>
    <w:autoRedefine/>
    <w:qFormat/>
    <w:uiPriority w:val="0"/>
    <w:rPr>
      <w:rFonts w:ascii="宋体" w:hAnsi="宋体" w:eastAsia="宋体"/>
      <w:b/>
      <w:bCs/>
      <w:color w:val="FF0000"/>
      <w:kern w:val="2"/>
      <w:sz w:val="24"/>
      <w:szCs w:val="24"/>
      <w:lang w:val="zh-CN" w:eastAsia="zh-CN" w:bidi="ar-SA"/>
    </w:rPr>
  </w:style>
  <w:style w:type="paragraph" w:customStyle="1" w:styleId="130">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
    <w:name w:val="正文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正文文本缩进1"/>
    <w:basedOn w:val="1"/>
    <w:autoRedefine/>
    <w:qFormat/>
    <w:uiPriority w:val="0"/>
    <w:pPr>
      <w:ind w:firstLine="480"/>
    </w:pPr>
    <w:rPr>
      <w:rFonts w:ascii="Times New Roman" w:hAnsi="Times New Roman"/>
      <w:sz w:val="24"/>
      <w:szCs w:val="20"/>
    </w:rPr>
  </w:style>
  <w:style w:type="paragraph" w:customStyle="1" w:styleId="133">
    <w:name w:val="页脚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34">
    <w:name w:val="普通(网站)1"/>
    <w:basedOn w:val="1"/>
    <w:autoRedefine/>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135">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Char1 Char Char Char Char Char Char1"/>
    <w:basedOn w:val="1"/>
    <w:autoRedefine/>
    <w:qFormat/>
    <w:uiPriority w:val="0"/>
    <w:rPr>
      <w:rFonts w:ascii="Times New Roman" w:hAnsi="Times New Roman"/>
      <w:sz w:val="30"/>
      <w:szCs w:val="24"/>
    </w:rPr>
  </w:style>
  <w:style w:type="paragraph" w:customStyle="1" w:styleId="137">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文本缩进 31"/>
    <w:basedOn w:val="1"/>
    <w:autoRedefine/>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139">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41">
    <w:name w:val="页眉 New"/>
    <w:basedOn w:val="142"/>
    <w:autoRedefine/>
    <w:qFormat/>
    <w:uiPriority w:val="0"/>
    <w:pPr>
      <w:pBdr>
        <w:bottom w:val="single" w:color="auto" w:sz="6" w:space="1"/>
      </w:pBdr>
      <w:tabs>
        <w:tab w:val="center" w:pos="4153"/>
        <w:tab w:val="right" w:pos="8306"/>
      </w:tabs>
      <w:snapToGrid w:val="0"/>
      <w:jc w:val="center"/>
    </w:pPr>
    <w:rPr>
      <w:sz w:val="18"/>
    </w:rPr>
  </w:style>
  <w:style w:type="paragraph" w:customStyle="1" w:styleId="142">
    <w:name w:val="正文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页脚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44">
    <w:name w:val="页脚 New New New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45">
    <w:name w:val="页脚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46">
    <w:name w:val="Char1 Char Char Char Char Char Char1 Char Char Char"/>
    <w:basedOn w:val="1"/>
    <w:autoRedefine/>
    <w:qFormat/>
    <w:uiPriority w:val="0"/>
    <w:rPr>
      <w:rFonts w:ascii="Times New Roman" w:hAnsi="Times New Roman"/>
      <w:sz w:val="30"/>
      <w:szCs w:val="24"/>
    </w:rPr>
  </w:style>
  <w:style w:type="paragraph" w:customStyle="1" w:styleId="147">
    <w:name w:val="页脚 New New New New New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48">
    <w:name w:val="标题 2 New"/>
    <w:basedOn w:val="140"/>
    <w:next w:val="140"/>
    <w:autoRedefine/>
    <w:qFormat/>
    <w:uiPriority w:val="0"/>
    <w:pPr>
      <w:keepNext/>
      <w:keepLines/>
      <w:spacing w:before="260" w:after="260" w:line="416" w:lineRule="auto"/>
      <w:outlineLvl w:val="1"/>
    </w:pPr>
    <w:rPr>
      <w:rFonts w:ascii="Arial" w:hAnsi="Arial" w:eastAsia="仿宋_GB2312"/>
      <w:b/>
      <w:bCs/>
      <w:sz w:val="32"/>
    </w:rPr>
  </w:style>
  <w:style w:type="paragraph" w:customStyle="1" w:styleId="149">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50">
    <w:name w:val="页脚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51">
    <w:name w:val="正文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文本缩进 21"/>
    <w:basedOn w:val="1"/>
    <w:autoRedefine/>
    <w:qFormat/>
    <w:uiPriority w:val="0"/>
    <w:pPr>
      <w:spacing w:line="420" w:lineRule="exact"/>
      <w:ind w:firstLine="480"/>
    </w:pPr>
    <w:rPr>
      <w:rFonts w:ascii="Times New Roman" w:hAnsi="Times New Roman"/>
      <w:b/>
      <w:sz w:val="24"/>
      <w:szCs w:val="20"/>
    </w:rPr>
  </w:style>
  <w:style w:type="paragraph" w:customStyle="1" w:styleId="153">
    <w:name w:val="Char1 Char Char Char Char Char Char11"/>
    <w:basedOn w:val="154"/>
    <w:autoRedefine/>
    <w:qFormat/>
    <w:uiPriority w:val="0"/>
  </w:style>
  <w:style w:type="paragraph" w:customStyle="1" w:styleId="154">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55">
    <w:name w:val="正文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6">
    <w:name w:val="纯文本1"/>
    <w:basedOn w:val="1"/>
    <w:autoRedefine/>
    <w:qFormat/>
    <w:uiPriority w:val="0"/>
    <w:rPr>
      <w:rFonts w:ascii="宋体" w:hAnsi="Courier New"/>
      <w:sz w:val="24"/>
      <w:szCs w:val="20"/>
    </w:rPr>
  </w:style>
  <w:style w:type="paragraph" w:customStyle="1" w:styleId="157">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8">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页脚 New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60">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61">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页脚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63">
    <w:name w:val="页脚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64">
    <w:name w:val="页脚 New New New New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65">
    <w:name w:val="页脚 New"/>
    <w:basedOn w:val="142"/>
    <w:autoRedefine/>
    <w:qFormat/>
    <w:uiPriority w:val="0"/>
    <w:pPr>
      <w:tabs>
        <w:tab w:val="center" w:pos="4153"/>
        <w:tab w:val="right" w:pos="8306"/>
      </w:tabs>
      <w:snapToGrid w:val="0"/>
      <w:jc w:val="left"/>
    </w:pPr>
    <w:rPr>
      <w:sz w:val="18"/>
    </w:rPr>
  </w:style>
  <w:style w:type="paragraph" w:customStyle="1" w:styleId="166">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7">
    <w:name w:val="正文首行缩进1"/>
    <w:basedOn w:val="3"/>
    <w:autoRedefine/>
    <w:qFormat/>
    <w:uiPriority w:val="0"/>
    <w:pPr>
      <w:ind w:firstLine="420" w:firstLineChars="100"/>
    </w:pPr>
    <w:rPr>
      <w:kern w:val="2"/>
      <w:sz w:val="30"/>
      <w:szCs w:val="24"/>
    </w:rPr>
  </w:style>
  <w:style w:type="paragraph" w:customStyle="1" w:styleId="168">
    <w:name w:val="页脚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69">
    <w:name w:val="页眉 New New"/>
    <w:basedOn w:val="139"/>
    <w:autoRedefine/>
    <w:qFormat/>
    <w:uiPriority w:val="0"/>
    <w:pPr>
      <w:pBdr>
        <w:bottom w:val="single" w:color="auto" w:sz="6" w:space="1"/>
      </w:pBdr>
      <w:tabs>
        <w:tab w:val="center" w:pos="4153"/>
        <w:tab w:val="right" w:pos="8306"/>
      </w:tabs>
      <w:snapToGrid w:val="0"/>
      <w:jc w:val="center"/>
    </w:pPr>
    <w:rPr>
      <w:sz w:val="18"/>
    </w:rPr>
  </w:style>
  <w:style w:type="paragraph" w:customStyle="1" w:styleId="170">
    <w:name w:val="页脚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71">
    <w:name w:val="正文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73">
    <w:name w:val="Char2"/>
    <w:basedOn w:val="1"/>
    <w:autoRedefine/>
    <w:qFormat/>
    <w:uiPriority w:val="0"/>
    <w:pPr>
      <w:widowControl/>
      <w:spacing w:after="160" w:line="240" w:lineRule="exact"/>
      <w:jc w:val="left"/>
    </w:pPr>
    <w:rPr>
      <w:rFonts w:ascii="Times New Roman" w:hAnsi="Times New Roman"/>
      <w:sz w:val="30"/>
      <w:szCs w:val="24"/>
    </w:rPr>
  </w:style>
  <w:style w:type="paragraph" w:customStyle="1" w:styleId="174">
    <w:name w:val="正文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75">
    <w:name w:val="纯文本 New"/>
    <w:basedOn w:val="121"/>
    <w:autoRedefine/>
    <w:qFormat/>
    <w:uiPriority w:val="0"/>
    <w:rPr>
      <w:rFonts w:ascii="宋体" w:hAnsi="Courier New" w:eastAsia="宋体"/>
      <w:kern w:val="2"/>
      <w:sz w:val="24"/>
    </w:rPr>
  </w:style>
  <w:style w:type="paragraph" w:customStyle="1" w:styleId="176">
    <w:name w:val="正文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7">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正文文本 New"/>
    <w:basedOn w:val="121"/>
    <w:autoRedefine/>
    <w:qFormat/>
    <w:uiPriority w:val="0"/>
    <w:pPr>
      <w:spacing w:after="120"/>
    </w:pPr>
    <w:rPr>
      <w:rFonts w:eastAsia="宋体"/>
      <w:kern w:val="2"/>
      <w:sz w:val="30"/>
      <w:szCs w:val="24"/>
    </w:rPr>
  </w:style>
  <w:style w:type="paragraph" w:customStyle="1" w:styleId="179">
    <w:name w:val="文档结构图1"/>
    <w:basedOn w:val="1"/>
    <w:autoRedefine/>
    <w:qFormat/>
    <w:uiPriority w:val="0"/>
    <w:pPr>
      <w:shd w:val="clear" w:color="auto" w:fill="000080"/>
    </w:pPr>
    <w:rPr>
      <w:rFonts w:ascii="Times New Roman" w:hAnsi="Times New Roman"/>
      <w:sz w:val="30"/>
      <w:szCs w:val="24"/>
    </w:rPr>
  </w:style>
  <w:style w:type="paragraph" w:customStyle="1" w:styleId="180">
    <w:name w:val="页脚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81">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页脚 New New"/>
    <w:basedOn w:val="139"/>
    <w:autoRedefine/>
    <w:qFormat/>
    <w:uiPriority w:val="0"/>
    <w:pPr>
      <w:tabs>
        <w:tab w:val="center" w:pos="4153"/>
        <w:tab w:val="right" w:pos="8306"/>
      </w:tabs>
      <w:snapToGrid w:val="0"/>
      <w:jc w:val="left"/>
    </w:pPr>
    <w:rPr>
      <w:sz w:val="18"/>
    </w:rPr>
  </w:style>
  <w:style w:type="paragraph" w:customStyle="1" w:styleId="183">
    <w:name w:val="页脚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84">
    <w:name w:val="页脚 New New New New New New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85">
    <w:name w:val="正文首行缩进 New"/>
    <w:basedOn w:val="178"/>
    <w:autoRedefine/>
    <w:qFormat/>
    <w:uiPriority w:val="0"/>
    <w:pPr>
      <w:ind w:firstLine="420" w:firstLineChars="100"/>
    </w:pPr>
  </w:style>
  <w:style w:type="paragraph" w:customStyle="1" w:styleId="186">
    <w:name w:val="正文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87">
    <w:name w:val="页脚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88">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9">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页脚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91">
    <w:name w:val="页脚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92">
    <w:name w:val="正文缩进 New"/>
    <w:basedOn w:val="140"/>
    <w:autoRedefine/>
    <w:qFormat/>
    <w:uiPriority w:val="0"/>
    <w:pPr>
      <w:ind w:firstLine="420"/>
    </w:pPr>
    <w:rPr>
      <w:rFonts w:ascii="Times New Roman" w:hAnsi="Times New Roman" w:cs="Times New Roman"/>
      <w:snapToGrid/>
      <w:kern w:val="2"/>
      <w:szCs w:val="20"/>
    </w:rPr>
  </w:style>
  <w:style w:type="paragraph" w:customStyle="1" w:styleId="193">
    <w:name w:val="正文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94">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页脚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97">
    <w:name w:val="_Style 189"/>
    <w:autoRedefine/>
    <w:qFormat/>
    <w:uiPriority w:val="0"/>
    <w:rPr>
      <w:rFonts w:ascii="Times New Roman" w:hAnsi="Times New Roman" w:eastAsia="宋体" w:cs="Times New Roman"/>
      <w:kern w:val="2"/>
      <w:sz w:val="30"/>
      <w:szCs w:val="24"/>
      <w:lang w:val="en-US" w:eastAsia="zh-CN" w:bidi="ar-SA"/>
    </w:rPr>
  </w:style>
  <w:style w:type="paragraph" w:customStyle="1" w:styleId="198">
    <w:name w:val="页脚 New New New New New New New New New New New New New"/>
    <w:basedOn w:val="1"/>
    <w:autoRedefine/>
    <w:qFormat/>
    <w:uiPriority w:val="0"/>
    <w:pPr>
      <w:tabs>
        <w:tab w:val="center" w:pos="4153"/>
        <w:tab w:val="right" w:pos="8306"/>
      </w:tabs>
      <w:snapToGrid w:val="0"/>
      <w:jc w:val="left"/>
    </w:pPr>
    <w:rPr>
      <w:rFonts w:ascii="Times New Roman" w:hAnsi="Times New Roman"/>
      <w:sz w:val="18"/>
      <w:szCs w:val="18"/>
    </w:rPr>
  </w:style>
  <w:style w:type="paragraph" w:customStyle="1" w:styleId="199">
    <w:name w:val="正文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1">
    <w:name w:val="正题"/>
    <w:basedOn w:val="126"/>
    <w:next w:val="126"/>
    <w:autoRedefine/>
    <w:qFormat/>
    <w:uiPriority w:val="0"/>
    <w:pPr>
      <w:ind w:firstLine="0" w:firstLineChars="0"/>
      <w:jc w:val="center"/>
    </w:pPr>
    <w:rPr>
      <w:rFonts w:eastAsia="黑体"/>
      <w:b/>
      <w:sz w:val="36"/>
      <w:szCs w:val="36"/>
    </w:rPr>
  </w:style>
  <w:style w:type="paragraph" w:customStyle="1" w:styleId="202">
    <w:name w:val="章节三"/>
    <w:basedOn w:val="1"/>
    <w:next w:val="1"/>
    <w:autoRedefine/>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styleId="203">
    <w:name w:val="No Spacing"/>
    <w:autoRedefine/>
    <w:qFormat/>
    <w:uiPriority w:val="1"/>
    <w:pPr>
      <w:widowControl w:val="0"/>
      <w:contextualSpacing/>
      <w:jc w:val="both"/>
    </w:pPr>
    <w:rPr>
      <w:rFonts w:eastAsia="仿宋" w:asciiTheme="minorHAnsi" w:hAnsiTheme="minorHAnsi" w:cstheme="minorBidi"/>
      <w:kern w:val="2"/>
      <w:sz w:val="24"/>
      <w:szCs w:val="22"/>
      <w:lang w:val="en-US" w:eastAsia="zh-CN" w:bidi="ar-SA"/>
    </w:rPr>
  </w:style>
  <w:style w:type="character" w:customStyle="1" w:styleId="204">
    <w:name w:val="NormalCharacter"/>
    <w:autoRedefine/>
    <w:qFormat/>
    <w:uiPriority w:val="0"/>
  </w:style>
  <w:style w:type="paragraph" w:customStyle="1" w:styleId="205">
    <w:name w:val="封二"/>
    <w:basedOn w:val="126"/>
    <w:next w:val="126"/>
    <w:autoRedefine/>
    <w:qFormat/>
    <w:uiPriority w:val="0"/>
    <w:pPr>
      <w:ind w:firstLine="0" w:firstLineChars="0"/>
      <w:jc w:val="center"/>
    </w:pPr>
    <w:rPr>
      <w:rFonts w:eastAsia="黑体"/>
      <w:b/>
      <w:sz w:val="36"/>
      <w:szCs w:val="36"/>
    </w:rPr>
  </w:style>
  <w:style w:type="paragraph" w:customStyle="1" w:styleId="206">
    <w:name w:val="封一"/>
    <w:basedOn w:val="126"/>
    <w:next w:val="126"/>
    <w:autoRedefine/>
    <w:qFormat/>
    <w:uiPriority w:val="0"/>
    <w:pPr>
      <w:ind w:firstLine="0" w:firstLineChars="0"/>
      <w:jc w:val="center"/>
    </w:pPr>
    <w:rPr>
      <w:rFonts w:eastAsia="黑体"/>
      <w:b/>
      <w:sz w:val="84"/>
      <w:szCs w:val="84"/>
    </w:rPr>
  </w:style>
  <w:style w:type="paragraph" w:customStyle="1" w:styleId="207">
    <w:name w:val="封四"/>
    <w:basedOn w:val="126"/>
    <w:next w:val="126"/>
    <w:autoRedefine/>
    <w:qFormat/>
    <w:uiPriority w:val="0"/>
    <w:pPr>
      <w:jc w:val="left"/>
    </w:pPr>
    <w:rPr>
      <w:sz w:val="30"/>
      <w:szCs w:val="30"/>
    </w:rPr>
  </w:style>
  <w:style w:type="paragraph" w:customStyle="1" w:styleId="208">
    <w:name w:val="正文文本缩进 New New"/>
    <w:basedOn w:val="1"/>
    <w:autoRedefine/>
    <w:qFormat/>
    <w:uiPriority w:val="0"/>
    <w:pPr>
      <w:spacing w:after="120"/>
      <w:ind w:left="420" w:leftChars="200"/>
    </w:pPr>
    <w:rPr>
      <w:rFonts w:ascii="Times New Roman" w:eastAsia="楷体_GB2312"/>
      <w:szCs w:val="20"/>
    </w:rPr>
  </w:style>
  <w:style w:type="paragraph" w:customStyle="1" w:styleId="209">
    <w:name w:val="正文文本3"/>
    <w:basedOn w:val="1"/>
    <w:autoRedefine/>
    <w:qFormat/>
    <w:uiPriority w:val="0"/>
    <w:pPr>
      <w:shd w:val="clear" w:color="auto" w:fill="FFFFFF"/>
      <w:spacing w:line="0" w:lineRule="atLeast"/>
      <w:jc w:val="left"/>
    </w:pPr>
    <w:rPr>
      <w:rFonts w:ascii="宋体" w:hAnsi="宋体"/>
      <w:kern w:val="0"/>
      <w:sz w:val="19"/>
      <w:szCs w:val="19"/>
    </w:rPr>
  </w:style>
  <w:style w:type="character" w:customStyle="1" w:styleId="210">
    <w:name w:val="正文文本 + Century Schoolbook"/>
    <w:autoRedefine/>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211">
    <w:name w:val="样式 宋体 行距: 1.5 倍行距"/>
    <w:basedOn w:val="1"/>
    <w:autoRedefine/>
    <w:qFormat/>
    <w:uiPriority w:val="0"/>
    <w:pPr>
      <w:jc w:val="center"/>
    </w:pPr>
    <w:rPr>
      <w:b/>
    </w:rPr>
  </w:style>
  <w:style w:type="paragraph" w:customStyle="1" w:styleId="212">
    <w:name w:val="表格文字"/>
    <w:basedOn w:val="1"/>
    <w:autoRedefine/>
    <w:qFormat/>
    <w:uiPriority w:val="0"/>
    <w:pPr>
      <w:spacing w:before="25" w:after="25"/>
      <w:jc w:val="left"/>
    </w:pPr>
    <w:rPr>
      <w:rFonts w:ascii="Times New Roman" w:hAnsi="Times New Roman" w:eastAsia="宋体" w:cs="Times New Roman"/>
      <w:bCs/>
      <w:spacing w:val="10"/>
      <w:kern w:val="0"/>
      <w:sz w:val="24"/>
    </w:rPr>
  </w:style>
  <w:style w:type="character" w:customStyle="1" w:styleId="213">
    <w:name w:val="username"/>
    <w:basedOn w:val="39"/>
    <w:autoRedefine/>
    <w:qFormat/>
    <w:uiPriority w:val="0"/>
  </w:style>
  <w:style w:type="character" w:customStyle="1" w:styleId="214">
    <w:name w:val="title26"/>
    <w:basedOn w:val="39"/>
    <w:autoRedefine/>
    <w:qFormat/>
    <w:uiPriority w:val="0"/>
  </w:style>
  <w:style w:type="character" w:customStyle="1" w:styleId="215">
    <w:name w:val="title24"/>
    <w:basedOn w:val="3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202</Pages>
  <Words>126816</Words>
  <Characters>133713</Characters>
  <Lines>1066</Lines>
  <Paragraphs>300</Paragraphs>
  <TotalTime>89</TotalTime>
  <ScaleCrop>false</ScaleCrop>
  <LinksUpToDate>false</LinksUpToDate>
  <CharactersWithSpaces>139955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2023-04-11T03:17:00Z</dcterms:created>
  <dc:creator>管理员</dc:creator>
  <cp:lastModifiedBy>陈</cp:lastModifiedBy>
  <cp:lastPrinted>2023-12-13T08:40:00Z</cp:lastPrinted>
  <dcterms:modified xsi:type="dcterms:W3CDTF">2023-12-29T07:03:11Z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D9A10B83EC614B2AA97AECF654210B7E_13</vt:lpwstr>
  </property>
</Properties>
</file>