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left="1" w:hanging="1"/>
        <w:rPr>
          <w:rFonts w:ascii="等线" w:hAnsi="等线" w:eastAsia="等线"/>
          <w:highlight w:val="none"/>
        </w:rPr>
      </w:pPr>
    </w:p>
    <w:p>
      <w:pPr>
        <w:pStyle w:val="9"/>
        <w:ind w:left="1" w:hanging="1"/>
        <w:jc w:val="center"/>
        <w:rPr>
          <w:rFonts w:hint="eastAsia" w:ascii="等线" w:hAnsi="等线" w:eastAsia="等线"/>
          <w:b/>
          <w:sz w:val="32"/>
          <w:szCs w:val="32"/>
          <w:highlight w:val="none"/>
        </w:rPr>
      </w:pPr>
    </w:p>
    <w:p>
      <w:pPr>
        <w:pStyle w:val="9"/>
        <w:ind w:left="1" w:hanging="1"/>
        <w:jc w:val="center"/>
        <w:rPr>
          <w:rFonts w:hint="eastAsia" w:ascii="等线" w:hAnsi="等线" w:eastAsia="等线"/>
          <w:b/>
          <w:sz w:val="32"/>
          <w:szCs w:val="32"/>
          <w:highlight w:val="none"/>
        </w:rPr>
      </w:pPr>
    </w:p>
    <w:p>
      <w:pPr>
        <w:pStyle w:val="9"/>
        <w:ind w:left="1" w:hanging="1"/>
        <w:jc w:val="center"/>
        <w:rPr>
          <w:rFonts w:hint="eastAsia" w:ascii="等线" w:hAnsi="等线" w:eastAsia="等线"/>
          <w:b/>
          <w:sz w:val="32"/>
          <w:szCs w:val="32"/>
          <w:highlight w:val="none"/>
        </w:rPr>
      </w:pPr>
    </w:p>
    <w:p>
      <w:pPr>
        <w:pStyle w:val="9"/>
        <w:ind w:left="1" w:hanging="1"/>
        <w:jc w:val="center"/>
        <w:rPr>
          <w:rFonts w:hint="eastAsia" w:ascii="等线" w:hAnsi="等线" w:eastAsia="等线"/>
          <w:b/>
          <w:sz w:val="32"/>
          <w:szCs w:val="32"/>
          <w:highlight w:val="none"/>
        </w:rPr>
      </w:pPr>
    </w:p>
    <w:p>
      <w:pPr>
        <w:pStyle w:val="9"/>
        <w:ind w:left="1" w:hanging="1"/>
        <w:jc w:val="center"/>
        <w:rPr>
          <w:rFonts w:ascii="等线" w:hAnsi="等线" w:eastAsia="等线"/>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567" w:right="1134" w:bottom="567" w:left="1134" w:header="851" w:footer="731" w:gutter="284"/>
          <w:pgNumType w:fmt="decimal"/>
          <w:cols w:space="720" w:num="1"/>
          <w:titlePg/>
          <w:docGrid w:type="lines" w:linePitch="326" w:charSpace="0"/>
        </w:sectPr>
      </w:pPr>
      <w:r>
        <w:rPr>
          <w:rFonts w:hint="eastAsia" w:ascii="等线" w:hAnsi="等线" w:eastAsia="等线"/>
          <w:b/>
          <w:sz w:val="32"/>
          <w:szCs w:val="32"/>
          <w:highlight w:val="none"/>
        </w:rPr>
        <w:t>技术规格书</w:t>
      </w:r>
    </w:p>
    <w:p>
      <w:pPr>
        <w:pStyle w:val="2"/>
        <w:rPr>
          <w:highlight w:val="none"/>
        </w:rPr>
      </w:pPr>
      <w:bookmarkStart w:id="0" w:name="_Toc133335278"/>
      <w:r>
        <w:rPr>
          <w:highlight w:val="none"/>
        </w:rPr>
        <mc:AlternateContent>
          <mc:Choice Requires="wps">
            <w:drawing>
              <wp:anchor distT="0" distB="0" distL="114300" distR="114300" simplePos="0" relativeHeight="251671552" behindDoc="0" locked="0" layoutInCell="1" allowOverlap="1">
                <wp:simplePos x="0" y="0"/>
                <wp:positionH relativeFrom="column">
                  <wp:posOffset>8255</wp:posOffset>
                </wp:positionH>
                <wp:positionV relativeFrom="paragraph">
                  <wp:posOffset>4407535</wp:posOffset>
                </wp:positionV>
                <wp:extent cx="635" cy="0"/>
                <wp:effectExtent l="0" t="4445" r="0" b="5080"/>
                <wp:wrapNone/>
                <wp:docPr id="53" name="直接连接符 53"/>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65pt;margin-top:347.05pt;height:0pt;width:0.05pt;z-index:251671552;mso-width-relative:page;mso-height-relative:page;" filled="f" stroked="t" coordsize="21600,21600" o:gfxdata="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KQTjHSAAAABwEA&#10;AA8AAAAAAAAAAQAgAAAAIgAAAGRycy9kb3ducmV2LnhtbFBLAQIUABQAAAAIAIdO4kBRr69r5wEA&#10;ALYDAAAOAAAAAAAAAAEAIAAAACEBAABkcnMvZTJvRG9jLnhtbFBLBQYAAAAABgAGAFkBAAB6BQAA&#10;AAA=&#10;">
                <v:fill on="f" focussize="0,0"/>
                <v:stroke color="#000000" joinstyle="round"/>
                <v:imagedata o:title=""/>
                <o:lock v:ext="edit" aspectratio="f"/>
              </v:line>
            </w:pict>
          </mc:Fallback>
        </mc:AlternateContent>
      </w:r>
      <w:r>
        <w:rPr>
          <w:highlight w:val="none"/>
        </w:rPr>
        <w:t>一、项目概述</w:t>
      </w:r>
      <w:bookmarkEnd w:id="0"/>
    </w:p>
    <w:p>
      <w:pPr>
        <w:ind w:firstLine="480" w:firstLineChars="200"/>
        <w:rPr>
          <w:sz w:val="24"/>
          <w:szCs w:val="24"/>
          <w:highlight w:val="none"/>
        </w:rPr>
      </w:pPr>
      <w:r>
        <w:rPr>
          <w:rFonts w:hint="eastAsia"/>
          <w:sz w:val="24"/>
          <w:szCs w:val="24"/>
          <w:highlight w:val="none"/>
        </w:rPr>
        <w:t>广州</w:t>
      </w:r>
      <w:r>
        <w:rPr>
          <w:sz w:val="24"/>
          <w:szCs w:val="24"/>
          <w:highlight w:val="none"/>
        </w:rPr>
        <w:t>孚能科技</w:t>
      </w:r>
      <w:r>
        <w:rPr>
          <w:rFonts w:hint="eastAsia"/>
          <w:sz w:val="24"/>
          <w:szCs w:val="24"/>
          <w:highlight w:val="none"/>
        </w:rPr>
        <w:t>年产</w:t>
      </w:r>
      <w:r>
        <w:rPr>
          <w:sz w:val="24"/>
          <w:szCs w:val="24"/>
          <w:highlight w:val="none"/>
        </w:rPr>
        <w:t>30GWh项目</w:t>
      </w:r>
      <w:r>
        <w:rPr>
          <w:rFonts w:hint="eastAsia"/>
          <w:sz w:val="24"/>
          <w:szCs w:val="24"/>
          <w:highlight w:val="none"/>
        </w:rPr>
        <w:t>动力站、食堂1、食堂2、计量中心、电芯车间1、化成车间1、P</w:t>
      </w:r>
      <w:r>
        <w:rPr>
          <w:sz w:val="24"/>
          <w:szCs w:val="24"/>
          <w:highlight w:val="none"/>
        </w:rPr>
        <w:t>ACK</w:t>
      </w:r>
      <w:r>
        <w:rPr>
          <w:rFonts w:hint="eastAsia"/>
          <w:sz w:val="24"/>
          <w:szCs w:val="24"/>
          <w:highlight w:val="none"/>
        </w:rPr>
        <w:t>车间1、电解液库、拆解房极片回收及危废库、固废库、室外管廊动力管道、N</w:t>
      </w:r>
      <w:r>
        <w:rPr>
          <w:sz w:val="24"/>
          <w:szCs w:val="24"/>
          <w:highlight w:val="none"/>
        </w:rPr>
        <w:t>MP</w:t>
      </w:r>
      <w:r>
        <w:rPr>
          <w:rFonts w:hint="eastAsia"/>
          <w:sz w:val="24"/>
          <w:szCs w:val="24"/>
          <w:highlight w:val="none"/>
        </w:rPr>
        <w:t>罐区、中央控制室（自控）部分等</w:t>
      </w:r>
      <w:r>
        <w:rPr>
          <w:sz w:val="24"/>
          <w:szCs w:val="24"/>
          <w:highlight w:val="none"/>
        </w:rPr>
        <w:t>涉及机电消防及洁净装修工程，</w:t>
      </w:r>
      <w:r>
        <w:rPr>
          <w:rFonts w:hint="eastAsia"/>
          <w:sz w:val="24"/>
          <w:szCs w:val="24"/>
          <w:highlight w:val="none"/>
        </w:rPr>
        <w:t>厂房</w:t>
      </w:r>
      <w:r>
        <w:rPr>
          <w:sz w:val="24"/>
          <w:szCs w:val="24"/>
          <w:highlight w:val="none"/>
        </w:rPr>
        <w:t>为工业建筑</w:t>
      </w:r>
      <w:r>
        <w:rPr>
          <w:rFonts w:hint="eastAsia"/>
          <w:sz w:val="24"/>
          <w:szCs w:val="24"/>
          <w:highlight w:val="none"/>
        </w:rPr>
        <w:t>。</w:t>
      </w:r>
      <w:r>
        <w:rPr>
          <w:sz w:val="24"/>
          <w:szCs w:val="24"/>
          <w:highlight w:val="none"/>
        </w:rPr>
        <w:t>周边道路管网现已基本建设完成，完全具备机电消防及洁净厂房二次净化装修工程的安装施工的条件。本次机电消防及洁净装修工程施工必须配合土建和生产设备安装的施工进度进行。</w:t>
      </w:r>
      <w:bookmarkStart w:id="1" w:name="_Toc133335279"/>
    </w:p>
    <w:p>
      <w:pPr>
        <w:pStyle w:val="3"/>
        <w:rPr>
          <w:sz w:val="28"/>
          <w:szCs w:val="28"/>
          <w:highlight w:val="none"/>
        </w:rPr>
      </w:pPr>
      <w:r>
        <w:rPr>
          <w:sz w:val="28"/>
          <w:szCs w:val="28"/>
          <w:highlight w:val="none"/>
        </w:rPr>
        <w:t>二、技</w:t>
      </w:r>
      <w:bookmarkStart w:id="370" w:name="_GoBack"/>
      <w:bookmarkEnd w:id="370"/>
      <w:r>
        <w:rPr>
          <w:sz w:val="28"/>
          <w:szCs w:val="28"/>
          <w:highlight w:val="none"/>
        </w:rPr>
        <w:t>术及质量标准</w:t>
      </w:r>
      <w:bookmarkEnd w:id="1"/>
    </w:p>
    <w:p>
      <w:pPr>
        <w:pStyle w:val="19"/>
        <w:spacing w:before="0" w:beforeAutospacing="0" w:after="0" w:afterAutospacing="0" w:line="360" w:lineRule="auto"/>
        <w:jc w:val="both"/>
        <w:rPr>
          <w:rFonts w:hint="eastAsia" w:ascii="宋体" w:hAnsi="宋体" w:eastAsia="宋体" w:cs="宋体"/>
          <w:highlight w:val="none"/>
        </w:rPr>
      </w:pPr>
      <w:r>
        <w:rPr>
          <w:rFonts w:hint="eastAsia" w:ascii="宋体" w:hAnsi="宋体" w:eastAsia="宋体" w:cs="宋体"/>
          <w:color w:val="000000"/>
          <w:highlight w:val="none"/>
        </w:rPr>
        <w:t>2.1技术标准：满足本文件各章节及附件要求、满足设计施工图纸要求、满足国标和地标（广东省及广州市本地）相关内容的技术要求。</w:t>
      </w:r>
    </w:p>
    <w:p>
      <w:pPr>
        <w:pStyle w:val="19"/>
        <w:spacing w:before="0" w:beforeAutospacing="0" w:after="0" w:afterAutospacing="0" w:line="360" w:lineRule="auto"/>
        <w:jc w:val="both"/>
        <w:rPr>
          <w:rFonts w:hint="eastAsia" w:ascii="宋体" w:hAnsi="宋体" w:eastAsia="宋体" w:cs="宋体"/>
          <w:highlight w:val="none"/>
        </w:rPr>
      </w:pPr>
      <w:r>
        <w:rPr>
          <w:rFonts w:hint="eastAsia" w:ascii="宋体" w:hAnsi="宋体" w:eastAsia="宋体" w:cs="宋体"/>
          <w:color w:val="000000"/>
          <w:highlight w:val="none"/>
        </w:rPr>
        <w:t>2.2 质量标准：</w:t>
      </w:r>
      <w:r>
        <w:rPr>
          <w:rFonts w:hint="eastAsia" w:ascii="宋体" w:hAnsi="宋体" w:eastAsia="宋体" w:cs="宋体"/>
          <w:color w:val="auto"/>
          <w:szCs w:val="21"/>
          <w:highlight w:val="none"/>
          <w:u w:val="single"/>
        </w:rPr>
        <w:t>工程规模符合申报“</w:t>
      </w:r>
      <w:r>
        <w:rPr>
          <w:rFonts w:hint="eastAsia" w:ascii="宋体" w:hAnsi="宋体" w:eastAsia="宋体" w:cs="宋体"/>
          <w:color w:val="auto"/>
          <w:szCs w:val="21"/>
          <w:highlight w:val="none"/>
          <w:u w:val="single"/>
          <w:lang w:eastAsia="zh-CN"/>
        </w:rPr>
        <w:t>广东省建设工程优质奖</w:t>
      </w:r>
      <w:r>
        <w:rPr>
          <w:rFonts w:hint="eastAsia" w:ascii="宋体" w:hAnsi="宋体" w:eastAsia="宋体" w:cs="宋体"/>
          <w:color w:val="auto"/>
          <w:szCs w:val="21"/>
          <w:highlight w:val="none"/>
          <w:u w:val="single"/>
        </w:rPr>
        <w:t>”的，需达到“</w:t>
      </w:r>
      <w:r>
        <w:rPr>
          <w:rFonts w:hint="eastAsia" w:ascii="宋体" w:hAnsi="宋体" w:eastAsia="宋体" w:cs="宋体"/>
          <w:color w:val="auto"/>
          <w:szCs w:val="21"/>
          <w:highlight w:val="none"/>
          <w:u w:val="single"/>
          <w:lang w:eastAsia="zh-CN"/>
        </w:rPr>
        <w:t>广东省建设工程优质奖</w:t>
      </w:r>
      <w:r>
        <w:rPr>
          <w:rFonts w:hint="eastAsia" w:ascii="宋体" w:hAnsi="宋体" w:eastAsia="宋体" w:cs="宋体"/>
          <w:color w:val="auto"/>
          <w:szCs w:val="21"/>
          <w:highlight w:val="none"/>
          <w:u w:val="single"/>
        </w:rPr>
        <w:t>”的质量标准；工程规模不符合申报“</w:t>
      </w:r>
      <w:r>
        <w:rPr>
          <w:rFonts w:hint="eastAsia" w:ascii="宋体" w:hAnsi="宋体" w:eastAsia="宋体" w:cs="宋体"/>
          <w:color w:val="auto"/>
          <w:szCs w:val="21"/>
          <w:highlight w:val="none"/>
          <w:u w:val="single"/>
          <w:lang w:eastAsia="zh-CN"/>
        </w:rPr>
        <w:t>广东省建设工程优质奖</w:t>
      </w:r>
      <w:r>
        <w:rPr>
          <w:rFonts w:hint="eastAsia" w:ascii="宋体" w:hAnsi="宋体" w:eastAsia="宋体" w:cs="宋体"/>
          <w:color w:val="auto"/>
          <w:szCs w:val="21"/>
          <w:highlight w:val="none"/>
          <w:u w:val="single"/>
        </w:rPr>
        <w:t>”但符合申报“广州市优良样板工程”的，需达到“广州市优良样板工程”的质量标准；工程规模不符合申报“</w:t>
      </w:r>
      <w:r>
        <w:rPr>
          <w:rFonts w:hint="eastAsia" w:ascii="宋体" w:hAnsi="宋体" w:eastAsia="宋体" w:cs="宋体"/>
          <w:color w:val="auto"/>
          <w:szCs w:val="21"/>
          <w:highlight w:val="none"/>
          <w:u w:val="single"/>
          <w:lang w:eastAsia="zh-CN"/>
        </w:rPr>
        <w:t>广东省建设工程优质奖</w:t>
      </w:r>
      <w:r>
        <w:rPr>
          <w:rFonts w:hint="eastAsia" w:ascii="宋体" w:hAnsi="宋体" w:eastAsia="宋体" w:cs="宋体"/>
          <w:color w:val="auto"/>
          <w:szCs w:val="21"/>
          <w:highlight w:val="none"/>
          <w:u w:val="single"/>
        </w:rPr>
        <w:t>”及“广州市优良样板工程”的，工程质量达到国家或行业质量检验评定的合格标准</w:t>
      </w:r>
      <w:r>
        <w:rPr>
          <w:rFonts w:hint="eastAsia" w:ascii="宋体" w:hAnsi="宋体" w:eastAsia="宋体" w:cs="宋体"/>
          <w:color w:val="000000"/>
          <w:highlight w:val="none"/>
        </w:rPr>
        <w:t>。</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2.3 主要遵循包括但不仅限于下列规范：</w:t>
      </w:r>
    </w:p>
    <w:tbl>
      <w:tblPr>
        <w:tblStyle w:val="16"/>
        <w:tblW w:w="934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4"/>
        <w:gridCol w:w="2268"/>
        <w:gridCol w:w="63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restart"/>
            <w:noWrap w:val="0"/>
            <w:vAlign w:val="center"/>
          </w:tcPr>
          <w:p>
            <w:pPr>
              <w:jc w:val="center"/>
              <w:rPr>
                <w:szCs w:val="21"/>
                <w:highlight w:val="none"/>
              </w:rPr>
            </w:pPr>
            <w:r>
              <w:rPr>
                <w:szCs w:val="21"/>
                <w:highlight w:val="none"/>
              </w:rPr>
              <w:t>设</w:t>
            </w:r>
          </w:p>
          <w:p>
            <w:pPr>
              <w:jc w:val="center"/>
              <w:rPr>
                <w:szCs w:val="21"/>
                <w:highlight w:val="none"/>
              </w:rPr>
            </w:pPr>
            <w:r>
              <w:rPr>
                <w:szCs w:val="21"/>
                <w:highlight w:val="none"/>
              </w:rPr>
              <w:t>备</w:t>
            </w:r>
          </w:p>
          <w:p>
            <w:pPr>
              <w:jc w:val="center"/>
              <w:rPr>
                <w:szCs w:val="21"/>
                <w:highlight w:val="none"/>
              </w:rPr>
            </w:pPr>
            <w:r>
              <w:rPr>
                <w:szCs w:val="21"/>
                <w:highlight w:val="none"/>
              </w:rPr>
              <w:t>专</w:t>
            </w:r>
          </w:p>
          <w:p>
            <w:pPr>
              <w:jc w:val="center"/>
              <w:rPr>
                <w:szCs w:val="21"/>
                <w:highlight w:val="none"/>
              </w:rPr>
            </w:pPr>
            <w:r>
              <w:rPr>
                <w:szCs w:val="21"/>
                <w:highlight w:val="none"/>
              </w:rPr>
              <w:t>业</w:t>
            </w:r>
          </w:p>
        </w:tc>
        <w:tc>
          <w:tcPr>
            <w:tcW w:w="2268" w:type="dxa"/>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GB50231-2009</w:t>
            </w:r>
          </w:p>
        </w:tc>
        <w:tc>
          <w:tcPr>
            <w:tcW w:w="6372" w:type="dxa"/>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机械设备安装工程施工及验收通用规范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GB50275-2010</w:t>
            </w:r>
          </w:p>
        </w:tc>
        <w:tc>
          <w:tcPr>
            <w:tcW w:w="6372" w:type="dxa"/>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压缩机、风机、泵安装工程施工验收规范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GB50274-2010</w:t>
            </w:r>
          </w:p>
        </w:tc>
        <w:tc>
          <w:tcPr>
            <w:tcW w:w="6372" w:type="dxa"/>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制冷设备、风机、泵安装工程施工及验收规范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GB50243-2016</w:t>
            </w:r>
          </w:p>
        </w:tc>
        <w:tc>
          <w:tcPr>
            <w:tcW w:w="6372" w:type="dxa"/>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通风与空调工程施工质量验收规范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GB50236-2011</w:t>
            </w:r>
          </w:p>
        </w:tc>
        <w:tc>
          <w:tcPr>
            <w:tcW w:w="6372" w:type="dxa"/>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现场设备、工业管道焊接工程施工及验收规范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GB50273-2009</w:t>
            </w:r>
          </w:p>
        </w:tc>
        <w:tc>
          <w:tcPr>
            <w:tcW w:w="6372" w:type="dxa"/>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锅炉安装工程施工及验收规范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restart"/>
            <w:noWrap w:val="0"/>
            <w:vAlign w:val="center"/>
          </w:tcPr>
          <w:p>
            <w:pPr>
              <w:jc w:val="center"/>
              <w:rPr>
                <w:szCs w:val="21"/>
                <w:highlight w:val="none"/>
              </w:rPr>
            </w:pPr>
            <w:r>
              <w:rPr>
                <w:szCs w:val="21"/>
                <w:highlight w:val="none"/>
              </w:rPr>
              <w:t>暖</w:t>
            </w:r>
          </w:p>
          <w:p>
            <w:pPr>
              <w:jc w:val="center"/>
              <w:rPr>
                <w:szCs w:val="21"/>
                <w:highlight w:val="none"/>
              </w:rPr>
            </w:pPr>
            <w:r>
              <w:rPr>
                <w:szCs w:val="21"/>
                <w:highlight w:val="none"/>
              </w:rPr>
              <w:t>通</w:t>
            </w:r>
          </w:p>
          <w:p>
            <w:pPr>
              <w:jc w:val="center"/>
              <w:rPr>
                <w:szCs w:val="21"/>
                <w:highlight w:val="none"/>
              </w:rPr>
            </w:pPr>
            <w:r>
              <w:rPr>
                <w:szCs w:val="21"/>
                <w:highlight w:val="none"/>
              </w:rPr>
              <w:t>专</w:t>
            </w:r>
          </w:p>
          <w:p>
            <w:pPr>
              <w:jc w:val="center"/>
              <w:rPr>
                <w:szCs w:val="21"/>
                <w:highlight w:val="none"/>
              </w:rPr>
            </w:pPr>
            <w:r>
              <w:rPr>
                <w:szCs w:val="21"/>
                <w:highlight w:val="none"/>
              </w:rPr>
              <w:t>业</w:t>
            </w:r>
          </w:p>
        </w:tc>
        <w:tc>
          <w:tcPr>
            <w:tcW w:w="2268" w:type="dxa"/>
            <w:tcBorders>
              <w:top w:val="single" w:color="auto" w:sz="4"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GB50243-2016</w:t>
            </w:r>
          </w:p>
        </w:tc>
        <w:tc>
          <w:tcPr>
            <w:tcW w:w="6372" w:type="dxa"/>
            <w:tcBorders>
              <w:top w:val="single" w:color="auto" w:sz="4"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通风与空调工程施工质量验收规范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JGJ141-2017</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通风管道施工技术规程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QBNT-1-2009</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风管保温施工工艺标准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GB50736-2012</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民用建筑供暖通风与空气调节设计规范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GB50019-2015</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工业建筑供暖通风与空气调节设计规范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GB51377-2019</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锂离子电池工厂设计标准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GB51110-2015</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洁净厂房施工及质量验收规范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GB50316-2008</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工业金属管道设计规范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restart"/>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给</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排</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水</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专</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业</w:t>
            </w:r>
          </w:p>
          <w:p>
            <w:pPr>
              <w:ind w:firstLine="480"/>
              <w:jc w:val="center"/>
              <w:rPr>
                <w:szCs w:val="21"/>
                <w:highlight w:val="none"/>
              </w:rPr>
            </w:pPr>
          </w:p>
        </w:tc>
        <w:tc>
          <w:tcPr>
            <w:tcW w:w="2268" w:type="dxa"/>
            <w:tcBorders>
              <w:top w:val="single" w:color="auto" w:sz="4"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GB50242-2019</w:t>
            </w:r>
          </w:p>
        </w:tc>
        <w:tc>
          <w:tcPr>
            <w:tcW w:w="6372" w:type="dxa"/>
            <w:tcBorders>
              <w:top w:val="single" w:color="auto" w:sz="4"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建筑给水排水及采暖工程施工质量验收规范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GB50236-98</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现场设备、工业管道焊接工程施工及验收规范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GB50231-98</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机械设备安装工程施工及验收通用规范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GB50235-2010</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工业金属管道工程施工及验收规范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GB50268-97</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给排水管道工程施工及验收规范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GB50185-2008</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工业设备及管道绝热工程质量检验评定标准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GB50184-93</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工业金属管道工程质量检验评定标准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GB50300-2013</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建筑工程质量检验评定标准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04S520</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埋地塑料排水管道施工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CECS181-2005</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给水钢丝网骨架塑料（聚乙烯）复合管管道工程技术规范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GB50974-2014</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消防给水及消火栓系统技术规范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GB8978-1996</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污水综合排放标准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GB50498-2009</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固定消防炮灭火系统施工和验收规范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GB25204-2010</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自动跟踪定位射流灭火系统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CECS 245-2008</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自动消防炮灭火系统技术规程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GB50261-2017</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自动喷水灭火系统施工及验收规范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GB50300-2001</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建筑工程施工质量验收统一标准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CECS 10：90</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室外硬聚氯乙烯给水管道工程施工及验收规程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CJJ/T98-2003</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建筑给水聚乙烯类管道工程技术规程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GB50788-2012</w:t>
            </w:r>
          </w:p>
        </w:tc>
        <w:tc>
          <w:tcPr>
            <w:tcW w:w="6372" w:type="dxa"/>
            <w:tcBorders>
              <w:top w:val="single" w:color="auto" w:sz="6" w:space="0"/>
              <w:left w:val="single" w:color="auto" w:sz="6" w:space="0"/>
              <w:bottom w:val="single" w:color="auto" w:sz="6" w:space="0"/>
              <w:right w:val="single" w:color="auto" w:sz="4"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城镇给水排水技术规范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restart"/>
            <w:tcBorders>
              <w:top w:val="single" w:color="auto" w:sz="4" w:space="0"/>
              <w:left w:val="single" w:color="auto" w:sz="4"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消</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防</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专</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业</w:t>
            </w:r>
          </w:p>
        </w:tc>
        <w:tc>
          <w:tcPr>
            <w:tcW w:w="2268" w:type="dxa"/>
            <w:tcBorders>
              <w:top w:val="single" w:color="auto" w:sz="4"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GB50140-2005</w:t>
            </w:r>
          </w:p>
        </w:tc>
        <w:tc>
          <w:tcPr>
            <w:tcW w:w="6372" w:type="dxa"/>
            <w:tcBorders>
              <w:top w:val="single" w:color="auto" w:sz="4"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建筑灭火器配置设计规范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GB50016-2014</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建筑设计防火规范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GB50166-2019</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火灾自动报警系统施工及验收规范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GB51377-201</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锂离子电池工厂设计标准》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GB51251-2017</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建筑防烟排烟系统技术标准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GB51309-2018</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消防应急照明和疏散指示系统技术标准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GB50261-2017</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自动喷水灭火系统施工及验收规范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GB50498-2009</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自动跟踪定位射流灭火系统</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GB50263-2007</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气体灭火系统施工及验收规范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GB23864-2009</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防火封堵材料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jc w:val="center"/>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GB50877-2014</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防火卷帘、防火门、防火窗施工及验收规范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restart"/>
            <w:tcBorders>
              <w:top w:val="single" w:color="auto" w:sz="4" w:space="0"/>
              <w:left w:val="single" w:color="auto" w:sz="4"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内</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装</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修</w:t>
            </w:r>
          </w:p>
        </w:tc>
        <w:tc>
          <w:tcPr>
            <w:tcW w:w="2268" w:type="dxa"/>
            <w:tcBorders>
              <w:top w:val="single" w:color="auto" w:sz="4"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GB50354-2005</w:t>
            </w:r>
          </w:p>
        </w:tc>
        <w:tc>
          <w:tcPr>
            <w:tcW w:w="6372" w:type="dxa"/>
            <w:tcBorders>
              <w:top w:val="single" w:color="auto" w:sz="4"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建筑内部装修防火施工及验收规范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 50210-2018</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建筑装饰装修工程质量验收标准 附规范条文</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JGJ/T 304-2013</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住宅室内装饰装修工程质量验收规范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 50209-2010</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建筑地面工程施工质量验收规范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 50210-2018</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建筑装饰装修工程质量验收标准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GB/T 50589-2010</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环氧树脂自流平地面工程技术规范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JGJ/T 175-2018</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自流平地面工程技术规程</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GB/T22374-2018</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地坪涂装材料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JC/T 2158-2012</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渗透型液体硬化剂</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JC/T984-2001</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聚合物水泥防水砂浆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 18242-2008</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弹性体改性沥青防水卷材</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GB/T 23445-2009</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聚合物水泥防水涂料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GB/T11981-2008</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建筑用轻钢龙骨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JC/T 558-2007</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建筑用轻钢龙骨配件</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JC/T 997-2006</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装饰纸面石膏板</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 6566-2010</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建筑材料放射性核素限量</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JC/T 997-2017</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装饰纸面石膏板标准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GB/T 9756-2018</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合成树脂乳液内墙涂料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 18582-2008</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室内装饰装修材料内墙涂料中有害物质限量</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GB/T 1741-2007</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漆膜耐霉菌性测定法</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JG/T172-2014</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弹性建筑涂料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05" w:hRule="atLeast"/>
          <w:jc w:val="center"/>
        </w:trPr>
        <w:tc>
          <w:tcPr>
            <w:tcW w:w="704" w:type="dxa"/>
            <w:vMerge w:val="continue"/>
            <w:tcBorders>
              <w:top w:val="single" w:color="auto" w:sz="4" w:space="0"/>
              <w:left w:val="single" w:color="auto" w:sz="4" w:space="0"/>
              <w:bottom w:val="single" w:color="auto" w:sz="6" w:space="0"/>
              <w:right w:val="single" w:color="auto" w:sz="6" w:space="0"/>
            </w:tcBorders>
            <w:noWrap w:val="0"/>
            <w:vAlign w:val="center"/>
          </w:tcPr>
          <w:p>
            <w:pPr>
              <w:widowControl/>
              <w:rPr>
                <w:szCs w:val="21"/>
                <w:highlight w:val="none"/>
              </w:rPr>
            </w:pPr>
          </w:p>
        </w:tc>
        <w:tc>
          <w:tcPr>
            <w:tcW w:w="2268" w:type="dxa"/>
            <w:tcBorders>
              <w:top w:val="single" w:color="auto" w:sz="6" w:space="0"/>
              <w:left w:val="single" w:color="auto" w:sz="6" w:space="0"/>
              <w:bottom w:val="single" w:color="auto" w:sz="6" w:space="0"/>
              <w:right w:val="single" w:color="auto"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HJ2537-2014</w:t>
            </w:r>
          </w:p>
        </w:tc>
        <w:tc>
          <w:tcPr>
            <w:tcW w:w="6372" w:type="dxa"/>
            <w:tcBorders>
              <w:top w:val="single" w:color="auto" w:sz="6" w:space="0"/>
              <w:left w:val="single" w:color="auto" w:sz="6" w:space="0"/>
              <w:bottom w:val="single" w:color="auto" w:sz="6"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环境标志产品技术要求 水性涂料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restart"/>
            <w:noWrap w:val="0"/>
            <w:vAlign w:val="center"/>
          </w:tcPr>
          <w:p>
            <w:pPr>
              <w:rPr>
                <w:szCs w:val="21"/>
                <w:highlight w:val="none"/>
              </w:rPr>
            </w:pPr>
            <w:r>
              <w:rPr>
                <w:szCs w:val="21"/>
                <w:highlight w:val="none"/>
              </w:rPr>
              <w:t>电</w:t>
            </w:r>
          </w:p>
          <w:p>
            <w:pPr>
              <w:rPr>
                <w:szCs w:val="21"/>
                <w:highlight w:val="none"/>
              </w:rPr>
            </w:pPr>
            <w:r>
              <w:rPr>
                <w:szCs w:val="21"/>
                <w:highlight w:val="none"/>
              </w:rPr>
              <w:t>气</w:t>
            </w:r>
          </w:p>
          <w:p>
            <w:pPr>
              <w:rPr>
                <w:szCs w:val="21"/>
                <w:highlight w:val="none"/>
              </w:rPr>
            </w:pPr>
            <w:r>
              <w:rPr>
                <w:szCs w:val="21"/>
                <w:highlight w:val="none"/>
              </w:rPr>
              <w:t>专</w:t>
            </w:r>
          </w:p>
          <w:p>
            <w:pPr>
              <w:rPr>
                <w:szCs w:val="21"/>
                <w:highlight w:val="none"/>
              </w:rPr>
            </w:pPr>
            <w:r>
              <w:rPr>
                <w:szCs w:val="21"/>
                <w:highlight w:val="none"/>
              </w:rPr>
              <w:t>业</w:t>
            </w: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GB50149-2010</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电气装置安装工程母线装置施工及验收规范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GB50168-2018</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电气装置安装工程电缆线路施工及验收规范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GB50169-2016</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电气装置安装工程接地装置施工及验收规范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GB50171-2012</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电气装置安装工程盘、柜及二次回路接线施工及验收规范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GB50254-2014</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电气装置安装工程低压电器施工及验收规范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GB50303-2002</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建筑电气工程施工质量验收规范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GB50194-2014</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建设工程施工现场供电安全规范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GB50150-2016</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电器装置安装工程电气设备交接试验标准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TJ305-88</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电气安装工程质量检验评定标准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GB50147-2010</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电气装置安装工程高压电器施工及验收规范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GB50148-2010</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电气装置安装工程电力变压器油浸电抗器互感器施工及验收规范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GB50149-2010</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电气装置安装工程母线装置施工及验收规范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GB50150-2016</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电气装置安装工程电气设备交接试验标准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GB50168-2018</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电气装置安装工程电缆线路施工及验收规范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GB50169-2016</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电气装置安装工程接地装置施工及验收规范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GB50170-2018</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电气装置安装工程旋转电机施工及验收规范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GB50171-2012</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电气装置安装工程盘、柜及二次回路结线施工及验收规范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GB50172-2012</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电气装置安装工程蓄电池施工及验收规范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GB50254-2014</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电气装置安装工程低电器施工及验收规范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GB50255-2014</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电气装置安装工程电力变流设备施工及验收规范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GB50256-2014</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电气装置安装工程起重机电气装置施工及验收规范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GB50303-2015</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电气装置安装工程1kV及以下配线工程施工及验收规范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04" w:type="dxa"/>
            <w:vMerge w:val="continue"/>
            <w:noWrap w:val="0"/>
            <w:vAlign w:val="center"/>
          </w:tcPr>
          <w:p>
            <w:pPr>
              <w:ind w:firstLine="480"/>
              <w:rPr>
                <w:szCs w:val="21"/>
                <w:highlight w:val="none"/>
              </w:rPr>
            </w:pPr>
          </w:p>
        </w:tc>
        <w:tc>
          <w:tcPr>
            <w:tcW w:w="2268" w:type="dxa"/>
            <w:noWrap w:val="0"/>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GB50147-2010</w:t>
            </w:r>
          </w:p>
        </w:tc>
        <w:tc>
          <w:tcPr>
            <w:tcW w:w="6372" w:type="dxa"/>
            <w:noWrap w:val="0"/>
            <w:vAlign w:val="top"/>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电气装置安装工程高压电器施工及验收规范</w:t>
            </w:r>
          </w:p>
        </w:tc>
      </w:tr>
    </w:tbl>
    <w:p>
      <w:pPr>
        <w:rPr>
          <w:highlight w:val="none"/>
        </w:rPr>
      </w:pPr>
      <w:r>
        <w:rPr>
          <w:szCs w:val="24"/>
          <w:highlight w:val="none"/>
        </w:rPr>
        <w:t>2.2</w:t>
      </w:r>
      <w:r>
        <w:rPr>
          <w:highlight w:val="none"/>
        </w:rPr>
        <w:t xml:space="preserve"> 当国家或</w:t>
      </w:r>
      <w:r>
        <w:rPr>
          <w:rFonts w:hint="eastAsia"/>
          <w:highlight w:val="none"/>
        </w:rPr>
        <w:t>广东</w:t>
      </w:r>
      <w:r>
        <w:rPr>
          <w:highlight w:val="none"/>
        </w:rPr>
        <w:t>省发行新的技术规范、标准或对现有技术规范、标准进行更新时，投标人必须无条件执行新的技术规范、标准或现有技术规范、标准的最新版本；如果出现对于同一对象有两个或两个以上规定的，执行最高级别的规定；如有不确定或相矛盾的地方，需与</w:t>
      </w:r>
      <w:r>
        <w:rPr>
          <w:rFonts w:hint="eastAsia"/>
          <w:highlight w:val="none"/>
          <w:lang w:val="en-US" w:eastAsia="zh-CN"/>
        </w:rPr>
        <w:t>发包人</w:t>
      </w:r>
      <w:r>
        <w:rPr>
          <w:highlight w:val="none"/>
        </w:rPr>
        <w:t>进行协商，由</w:t>
      </w:r>
      <w:r>
        <w:rPr>
          <w:rFonts w:hint="eastAsia"/>
          <w:highlight w:val="none"/>
          <w:lang w:val="en-US" w:eastAsia="zh-CN"/>
        </w:rPr>
        <w:t>发包人</w:t>
      </w:r>
      <w:r>
        <w:rPr>
          <w:rFonts w:hint="default"/>
          <w:highlight w:val="none"/>
          <w:lang w:val="en-US"/>
        </w:rPr>
        <w:t>书</w:t>
      </w:r>
      <w:r>
        <w:rPr>
          <w:highlight w:val="none"/>
        </w:rPr>
        <w:t>面认可后方可执行；由投标人承担以上标准和规范变更产生的费用包含在投标报价中。</w:t>
      </w:r>
    </w:p>
    <w:p>
      <w:pPr>
        <w:pStyle w:val="3"/>
        <w:rPr>
          <w:sz w:val="28"/>
          <w:szCs w:val="28"/>
          <w:highlight w:val="none"/>
        </w:rPr>
      </w:pPr>
      <w:bookmarkStart w:id="2" w:name="_Toc133335280"/>
      <w:r>
        <w:rPr>
          <w:sz w:val="28"/>
          <w:szCs w:val="28"/>
          <w:highlight w:val="none"/>
        </w:rPr>
        <w:t>三、主要工作范围</w:t>
      </w:r>
      <w:bookmarkEnd w:id="2"/>
      <w:r>
        <w:rPr>
          <w:sz w:val="28"/>
          <w:szCs w:val="28"/>
          <w:highlight w:val="none"/>
        </w:rPr>
        <w:tab/>
      </w:r>
    </w:p>
    <w:p>
      <w:pPr>
        <w:pStyle w:val="12"/>
        <w:rPr>
          <w:sz w:val="24"/>
          <w:szCs w:val="24"/>
          <w:highlight w:val="none"/>
        </w:rPr>
      </w:pPr>
      <w:bookmarkStart w:id="3" w:name="_Toc133335281"/>
      <w:r>
        <w:rPr>
          <w:sz w:val="24"/>
          <w:szCs w:val="24"/>
          <w:highlight w:val="none"/>
        </w:rPr>
        <w:t>3.1 设备部分</w:t>
      </w:r>
      <w:bookmarkEnd w:id="3"/>
    </w:p>
    <w:p>
      <w:pPr>
        <w:rPr>
          <w:highlight w:val="none"/>
        </w:rPr>
      </w:pPr>
      <w:r>
        <w:rPr>
          <w:highlight w:val="none"/>
        </w:rPr>
        <w:t>3.1.1 根据环境工艺要求，为满足环境工艺参数的设计图纸所涉及的所有设备及安装。</w:t>
      </w:r>
    </w:p>
    <w:p>
      <w:pPr>
        <w:rPr>
          <w:highlight w:val="none"/>
        </w:rPr>
      </w:pPr>
      <w:r>
        <w:rPr>
          <w:highlight w:val="none"/>
        </w:rPr>
        <w:t>3.1.2 根据工艺冷却水要求，为满足工艺冷却水参数的设计图纸所涉及的所有设备及安装。</w:t>
      </w:r>
    </w:p>
    <w:p>
      <w:pPr>
        <w:rPr>
          <w:highlight w:val="none"/>
        </w:rPr>
      </w:pPr>
      <w:r>
        <w:rPr>
          <w:highlight w:val="none"/>
        </w:rPr>
        <w:t>3.1.3 根据工艺压缩空气、氮气、真空、蒸汽要求，为满足工艺参数的设计图纸所涉及的所有</w:t>
      </w:r>
      <w:r>
        <w:rPr>
          <w:rFonts w:hint="eastAsia"/>
          <w:highlight w:val="none"/>
        </w:rPr>
        <w:t>设备、</w:t>
      </w:r>
      <w:r>
        <w:rPr>
          <w:highlight w:val="none"/>
        </w:rPr>
        <w:t>管道及安装。</w:t>
      </w:r>
    </w:p>
    <w:p>
      <w:pPr>
        <w:rPr>
          <w:highlight w:val="none"/>
        </w:rPr>
      </w:pPr>
      <w:r>
        <w:rPr>
          <w:highlight w:val="none"/>
        </w:rPr>
        <w:t>3.1.4 根据工艺配电要求，为满足工艺参数的设计图纸所涉及的所有母线、电缆、桥架及配电柜安装。</w:t>
      </w:r>
    </w:p>
    <w:p>
      <w:pPr>
        <w:pStyle w:val="12"/>
        <w:rPr>
          <w:sz w:val="24"/>
          <w:szCs w:val="24"/>
          <w:highlight w:val="none"/>
        </w:rPr>
      </w:pPr>
      <w:bookmarkStart w:id="4" w:name="_Toc133335282"/>
      <w:r>
        <w:rPr>
          <w:sz w:val="24"/>
          <w:szCs w:val="24"/>
          <w:highlight w:val="none"/>
        </w:rPr>
        <w:t xml:space="preserve">3.2 </w:t>
      </w:r>
      <w:r>
        <w:rPr>
          <w:rFonts w:hint="eastAsia"/>
          <w:sz w:val="24"/>
          <w:szCs w:val="24"/>
          <w:highlight w:val="none"/>
        </w:rPr>
        <w:t>暖通</w:t>
      </w:r>
      <w:r>
        <w:rPr>
          <w:sz w:val="24"/>
          <w:szCs w:val="24"/>
          <w:highlight w:val="none"/>
        </w:rPr>
        <w:t>部分</w:t>
      </w:r>
      <w:bookmarkEnd w:id="4"/>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szCs w:val="20"/>
          <w:highlight w:val="none"/>
        </w:rPr>
        <w:t xml:space="preserve">3.2.1 </w:t>
      </w:r>
      <w:r>
        <w:rPr>
          <w:rFonts w:ascii="Times New Roman" w:hAnsi="Times New Roman" w:eastAsia="宋体"/>
          <w:color w:val="000000"/>
          <w:highlight w:val="none"/>
        </w:rPr>
        <w:t>包含消防防排烟系统、消防补风系统、事故排风系统、环境除湿及空调通风系统、工艺生产通风系统、工艺生产除尘净化系统等设备、风管及配套设施辅材和安装。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szCs w:val="20"/>
          <w:highlight w:val="none"/>
        </w:rPr>
        <w:t xml:space="preserve">3.2.2 </w:t>
      </w:r>
      <w:r>
        <w:rPr>
          <w:rFonts w:hint="eastAsia" w:ascii="Times New Roman" w:hAnsi="Times New Roman" w:eastAsia="宋体"/>
          <w:szCs w:val="20"/>
          <w:highlight w:val="none"/>
        </w:rPr>
        <w:t>设备点位接驳</w:t>
      </w:r>
      <w:r>
        <w:rPr>
          <w:rFonts w:ascii="Times New Roman" w:hAnsi="Times New Roman" w:eastAsia="宋体"/>
          <w:color w:val="000000"/>
          <w:highlight w:val="none"/>
        </w:rPr>
        <w:t>系统：各区域环境除湿及空调通风系统、工艺生产通风系统、工艺生产除尘净化系统的管道与设备接口的连接为本次招标范围，具体数量位置按照图纸中标注的设备点位确定，包括风管、风阀、支架等所有材料及安装和辅材。</w:t>
      </w:r>
    </w:p>
    <w:p>
      <w:pPr>
        <w:pStyle w:val="12"/>
        <w:rPr>
          <w:sz w:val="24"/>
          <w:szCs w:val="24"/>
          <w:highlight w:val="none"/>
        </w:rPr>
      </w:pPr>
      <w:bookmarkStart w:id="5" w:name="_Toc133335283"/>
      <w:r>
        <w:rPr>
          <w:sz w:val="24"/>
          <w:szCs w:val="24"/>
          <w:highlight w:val="none"/>
        </w:rPr>
        <w:t>3.3 给排水部分</w:t>
      </w:r>
      <w:bookmarkEnd w:id="5"/>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3.3.1 本项目给排水工程包含</w:t>
      </w:r>
      <w:r>
        <w:rPr>
          <w:rFonts w:hint="eastAsia" w:ascii="Times New Roman" w:hAnsi="Times New Roman" w:eastAsia="宋体"/>
          <w:color w:val="000000"/>
          <w:highlight w:val="none"/>
        </w:rPr>
        <w:t>厂房内</w:t>
      </w:r>
      <w:r>
        <w:rPr>
          <w:rFonts w:ascii="Times New Roman" w:hAnsi="Times New Roman" w:eastAsia="宋体"/>
          <w:color w:val="000000"/>
          <w:highlight w:val="none"/>
        </w:rPr>
        <w:t>给水系统（生活、生产给水系统）、排水系统（生活污水系统、生产废水系统、消防事故排水系统）、消防水系统（消防栓系统、喷淋系统、消防水炮等）等管道、支架、仪表、阀件的安装、调试工作。</w:t>
      </w:r>
      <w:r>
        <w:rPr>
          <w:rFonts w:ascii="Times New Roman" w:hAnsi="Times New Roman" w:eastAsia="宋体"/>
          <w:highlight w:val="none"/>
        </w:rPr>
        <w:t xml:space="preserve"> </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3.3.2 出入户工作范围：给排水管道室外界限应以建筑出外墙至第一个接入井，入口处设阀门者以阀门为界。</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szCs w:val="20"/>
          <w:highlight w:val="none"/>
        </w:rPr>
        <w:t xml:space="preserve">3.3.3 </w:t>
      </w:r>
      <w:r>
        <w:rPr>
          <w:rFonts w:hint="eastAsia" w:ascii="Times New Roman" w:hAnsi="Times New Roman" w:eastAsia="宋体"/>
          <w:szCs w:val="20"/>
          <w:highlight w:val="none"/>
        </w:rPr>
        <w:t>设备点位接驳</w:t>
      </w:r>
      <w:r>
        <w:rPr>
          <w:rFonts w:ascii="Times New Roman" w:hAnsi="Times New Roman" w:eastAsia="宋体"/>
          <w:color w:val="000000"/>
          <w:highlight w:val="none"/>
        </w:rPr>
        <w:t>系统：</w:t>
      </w:r>
      <w:r>
        <w:rPr>
          <w:rFonts w:hint="eastAsia" w:ascii="Times New Roman" w:hAnsi="Times New Roman" w:eastAsia="宋体"/>
          <w:color w:val="000000"/>
          <w:highlight w:val="none"/>
        </w:rPr>
        <w:t>厂房内</w:t>
      </w:r>
      <w:r>
        <w:rPr>
          <w:rFonts w:ascii="Times New Roman" w:hAnsi="Times New Roman" w:eastAsia="宋体"/>
          <w:color w:val="000000"/>
          <w:highlight w:val="none"/>
        </w:rPr>
        <w:t>各区域给水系统（生活、生产给水系统）、排水系统（生活污水系统、生产废水系统、消防事故排水系统）、消防水系统（消防栓系统、喷淋系统、消防水炮等）的管道与设备接口的连接为本次招标范围，具体数量位置按照图纸中标注的设备点位确定，包括管道、支架、仪表、阀件等所有材料及安装和辅材。</w:t>
      </w:r>
    </w:p>
    <w:p>
      <w:pPr>
        <w:pStyle w:val="12"/>
        <w:rPr>
          <w:sz w:val="24"/>
          <w:szCs w:val="24"/>
          <w:highlight w:val="none"/>
        </w:rPr>
      </w:pPr>
      <w:bookmarkStart w:id="6" w:name="_Toc133335284"/>
      <w:r>
        <w:rPr>
          <w:sz w:val="24"/>
          <w:szCs w:val="24"/>
          <w:highlight w:val="none"/>
        </w:rPr>
        <w:t>3.4 气动部分</w:t>
      </w:r>
      <w:bookmarkEnd w:id="6"/>
    </w:p>
    <w:p>
      <w:pPr>
        <w:pStyle w:val="19"/>
        <w:spacing w:before="0" w:beforeAutospacing="0" w:after="0" w:afterAutospacing="0" w:line="360" w:lineRule="auto"/>
        <w:jc w:val="both"/>
        <w:rPr>
          <w:rFonts w:ascii="Times New Roman" w:hAnsi="Times New Roman" w:eastAsia="宋体"/>
          <w:szCs w:val="20"/>
          <w:highlight w:val="none"/>
        </w:rPr>
      </w:pPr>
      <w:r>
        <w:rPr>
          <w:rFonts w:ascii="Times New Roman" w:hAnsi="Times New Roman" w:eastAsia="宋体"/>
          <w:szCs w:val="20"/>
          <w:highlight w:val="none"/>
        </w:rPr>
        <w:t xml:space="preserve">3.4.1 </w:t>
      </w:r>
      <w:r>
        <w:rPr>
          <w:rFonts w:ascii="Times New Roman" w:hAnsi="Times New Roman" w:eastAsia="宋体"/>
          <w:color w:val="000000"/>
          <w:highlight w:val="none"/>
        </w:rPr>
        <w:t>包含</w:t>
      </w:r>
      <w:r>
        <w:rPr>
          <w:rFonts w:hint="eastAsia" w:ascii="Times New Roman" w:hAnsi="Times New Roman" w:eastAsia="宋体"/>
          <w:color w:val="000000"/>
          <w:highlight w:val="none"/>
        </w:rPr>
        <w:t>厂区市政蒸汽入户接口至动力站蒸汽总管、厂房内</w:t>
      </w:r>
      <w:r>
        <w:rPr>
          <w:rFonts w:ascii="Times New Roman" w:hAnsi="Times New Roman" w:eastAsia="宋体"/>
          <w:color w:val="000000"/>
          <w:highlight w:val="none"/>
        </w:rPr>
        <w:t>蒸汽系统、</w:t>
      </w:r>
      <w:r>
        <w:rPr>
          <w:rFonts w:hint="eastAsia" w:ascii="Times New Roman" w:hAnsi="Times New Roman" w:eastAsia="宋体"/>
          <w:color w:val="000000"/>
          <w:highlight w:val="none"/>
        </w:rPr>
        <w:t>压缩空气系统、</w:t>
      </w:r>
      <w:r>
        <w:rPr>
          <w:rFonts w:ascii="Times New Roman" w:hAnsi="Times New Roman" w:eastAsia="宋体"/>
          <w:color w:val="000000"/>
          <w:highlight w:val="none"/>
        </w:rPr>
        <w:t>氮气系统、真空系统等设备、管道及配套设施辅材和安装。</w:t>
      </w:r>
    </w:p>
    <w:p>
      <w:pPr>
        <w:pStyle w:val="19"/>
        <w:spacing w:before="0" w:beforeAutospacing="0" w:after="0" w:afterAutospacing="0" w:line="360" w:lineRule="auto"/>
        <w:jc w:val="both"/>
        <w:rPr>
          <w:rFonts w:ascii="Times New Roman" w:hAnsi="Times New Roman" w:eastAsia="宋体"/>
          <w:szCs w:val="20"/>
          <w:highlight w:val="none"/>
        </w:rPr>
      </w:pPr>
      <w:r>
        <w:rPr>
          <w:rFonts w:ascii="Times New Roman" w:hAnsi="Times New Roman" w:eastAsia="宋体"/>
          <w:szCs w:val="20"/>
          <w:highlight w:val="none"/>
        </w:rPr>
        <w:t xml:space="preserve">3.4.2 </w:t>
      </w:r>
      <w:r>
        <w:rPr>
          <w:rFonts w:hint="eastAsia" w:ascii="Times New Roman" w:hAnsi="Times New Roman" w:eastAsia="宋体"/>
          <w:szCs w:val="20"/>
          <w:highlight w:val="none"/>
        </w:rPr>
        <w:t>设备点位接驳</w:t>
      </w:r>
      <w:r>
        <w:rPr>
          <w:rFonts w:ascii="Times New Roman" w:hAnsi="Times New Roman" w:eastAsia="宋体"/>
          <w:color w:val="000000"/>
          <w:highlight w:val="none"/>
        </w:rPr>
        <w:t>系统</w:t>
      </w:r>
      <w:r>
        <w:rPr>
          <w:rFonts w:ascii="Times New Roman" w:hAnsi="Times New Roman" w:eastAsia="宋体"/>
          <w:szCs w:val="20"/>
          <w:highlight w:val="none"/>
        </w:rPr>
        <w:t>：包含压缩空气系统、氮气系统、真空系统、蒸汽系统与工艺生产设备接口连接；具体数量位置按照图纸中标注的设备点位确定，包括设备、水管、阀门、</w:t>
      </w:r>
      <w:r>
        <w:rPr>
          <w:rFonts w:hint="eastAsia" w:ascii="Times New Roman" w:hAnsi="Times New Roman" w:eastAsia="宋体"/>
          <w:szCs w:val="20"/>
          <w:highlight w:val="none"/>
        </w:rPr>
        <w:t>仪表、</w:t>
      </w:r>
      <w:r>
        <w:rPr>
          <w:rFonts w:ascii="Times New Roman" w:hAnsi="Times New Roman" w:eastAsia="宋体"/>
          <w:szCs w:val="20"/>
          <w:highlight w:val="none"/>
        </w:rPr>
        <w:t>支架等所有材料及安装和辅材。</w:t>
      </w:r>
    </w:p>
    <w:p>
      <w:pPr>
        <w:pStyle w:val="12"/>
        <w:rPr>
          <w:sz w:val="21"/>
          <w:szCs w:val="21"/>
          <w:highlight w:val="none"/>
        </w:rPr>
      </w:pPr>
      <w:bookmarkStart w:id="7" w:name="_Toc133335285"/>
      <w:r>
        <w:rPr>
          <w:sz w:val="24"/>
          <w:szCs w:val="24"/>
          <w:highlight w:val="none"/>
        </w:rPr>
        <w:t>3.5 室内装修部分</w:t>
      </w:r>
      <w:bookmarkEnd w:id="7"/>
    </w:p>
    <w:p>
      <w:pPr>
        <w:rPr>
          <w:highlight w:val="none"/>
        </w:rPr>
      </w:pPr>
      <w:r>
        <w:rPr>
          <w:highlight w:val="none"/>
        </w:rPr>
        <w:t>3.5.1地面装饰部分：厂房内所有地面除金刚砂及固化施工内容以外部分都在本次招标范围，包括：地面防水、瓷砖、大理石、环氧地坪、不锈钢地坪、聚氨酯地坪、PVC塑胶地板、防静电架空地面等。</w:t>
      </w:r>
    </w:p>
    <w:p>
      <w:pPr>
        <w:rPr>
          <w:highlight w:val="none"/>
        </w:rPr>
      </w:pPr>
      <w:r>
        <w:rPr>
          <w:highlight w:val="none"/>
        </w:rPr>
        <w:t>3.5.2内墙装饰部分：内隔墙除实体墙以外所有隔墙、卫生间瓷砖墙面、清洗间瓷砖墙面等都在本次招标范围。</w:t>
      </w:r>
    </w:p>
    <w:p>
      <w:pPr>
        <w:rPr>
          <w:highlight w:val="none"/>
        </w:rPr>
      </w:pPr>
      <w:r>
        <w:rPr>
          <w:highlight w:val="none"/>
        </w:rPr>
        <w:t>3.5.3门窗装饰工程部分：厂房内除防火卷帘门以外所有室内门窗均在本次招标范围。厂房所有外墙门窗不在本次招标范围。</w:t>
      </w:r>
    </w:p>
    <w:p>
      <w:pPr>
        <w:rPr>
          <w:highlight w:val="none"/>
        </w:rPr>
      </w:pPr>
      <w:r>
        <w:rPr>
          <w:highlight w:val="none"/>
        </w:rPr>
        <w:t>3.5.4吊顶装饰部分：厂房内所有吊顶均在本次招标范围。</w:t>
      </w:r>
    </w:p>
    <w:p>
      <w:pPr>
        <w:rPr>
          <w:highlight w:val="none"/>
        </w:rPr>
      </w:pPr>
      <w:r>
        <w:rPr>
          <w:highlight w:val="none"/>
        </w:rPr>
        <w:t>3.5.5卫生间隔板、洁具均在本次招标范围。</w:t>
      </w:r>
    </w:p>
    <w:p>
      <w:pPr>
        <w:pStyle w:val="12"/>
        <w:rPr>
          <w:sz w:val="24"/>
          <w:szCs w:val="24"/>
          <w:highlight w:val="none"/>
        </w:rPr>
      </w:pPr>
      <w:bookmarkStart w:id="8" w:name="_Toc133335286"/>
      <w:r>
        <w:rPr>
          <w:sz w:val="24"/>
          <w:szCs w:val="24"/>
          <w:highlight w:val="none"/>
        </w:rPr>
        <w:t>3.6 电气部分</w:t>
      </w:r>
      <w:bookmarkEnd w:id="8"/>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3.6.1 照明系统：包含应急照明系统所有照明系统都在本次招标范围内，包括各区域照明一级配电箱开关出线端至灯具的线路控制开关、电缆、线管、灯具等材料及安装。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 xml:space="preserve">3.6.2 </w:t>
      </w:r>
      <w:r>
        <w:rPr>
          <w:rFonts w:hint="eastAsia" w:ascii="Times New Roman" w:hAnsi="Times New Roman" w:eastAsia="宋体"/>
          <w:szCs w:val="20"/>
          <w:highlight w:val="none"/>
        </w:rPr>
        <w:t>设备点位接驳</w:t>
      </w:r>
      <w:r>
        <w:rPr>
          <w:rFonts w:ascii="Times New Roman" w:hAnsi="Times New Roman" w:eastAsia="宋体"/>
          <w:color w:val="000000"/>
          <w:highlight w:val="none"/>
        </w:rPr>
        <w:t>系统：各区域动力配电箱（柜）和母线插接箱开关出线端至设备配电箱（柜）的连接为本次招标范围，具体数量位置按照图纸中标注的设备点位确定，包括电缆、线槽、线管等所有材料及安装和辅材。</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 xml:space="preserve">3.6.3 </w:t>
      </w:r>
      <w:r>
        <w:rPr>
          <w:rFonts w:hint="eastAsia" w:ascii="Times New Roman" w:hAnsi="Times New Roman" w:eastAsia="宋体"/>
          <w:color w:val="000000"/>
          <w:highlight w:val="none"/>
        </w:rPr>
        <w:t>电力工程包含</w:t>
      </w:r>
      <w:r>
        <w:rPr>
          <w:rFonts w:ascii="Times New Roman" w:hAnsi="Times New Roman" w:eastAsia="宋体"/>
          <w:color w:val="000000"/>
          <w:highlight w:val="none"/>
        </w:rPr>
        <w:t>220KV</w:t>
      </w:r>
      <w:r>
        <w:rPr>
          <w:rFonts w:hint="eastAsia" w:ascii="Times New Roman" w:hAnsi="Times New Roman" w:eastAsia="宋体"/>
          <w:color w:val="000000"/>
          <w:highlight w:val="none"/>
        </w:rPr>
        <w:t>变电站至各车间变电房的室外高压电缆敷设、各车间变电</w:t>
      </w:r>
      <w:r>
        <w:rPr>
          <w:rFonts w:ascii="Times New Roman" w:hAnsi="Times New Roman" w:eastAsia="宋体"/>
          <w:color w:val="000000"/>
          <w:highlight w:val="none"/>
        </w:rPr>
        <w:t>房所有设备</w:t>
      </w:r>
      <w:r>
        <w:rPr>
          <w:rFonts w:hint="eastAsia" w:ascii="Times New Roman" w:hAnsi="Times New Roman" w:eastAsia="宋体"/>
          <w:color w:val="000000"/>
          <w:highlight w:val="none"/>
        </w:rPr>
        <w:t>采购及</w:t>
      </w:r>
      <w:r>
        <w:rPr>
          <w:rFonts w:ascii="Times New Roman" w:hAnsi="Times New Roman" w:eastAsia="宋体"/>
          <w:color w:val="000000"/>
          <w:highlight w:val="none"/>
        </w:rPr>
        <w:t>安装、调试及辅材，包括电缆、桥架线槽、控制线的材料及安装，系统调试</w:t>
      </w:r>
      <w:r>
        <w:rPr>
          <w:rFonts w:hint="eastAsia" w:ascii="Times New Roman" w:hAnsi="Times New Roman" w:eastAsia="宋体"/>
          <w:highlight w:val="none"/>
        </w:rPr>
        <w:t>（</w:t>
      </w:r>
      <w:r>
        <w:rPr>
          <w:rFonts w:ascii="Times New Roman" w:hAnsi="Times New Roman" w:eastAsia="宋体"/>
          <w:highlight w:val="none"/>
        </w:rPr>
        <w:t>配电房内所有</w:t>
      </w:r>
      <w:r>
        <w:rPr>
          <w:rFonts w:ascii="Times New Roman" w:hAnsi="Times New Roman" w:eastAsia="宋体"/>
          <w:color w:val="000000"/>
          <w:highlight w:val="none"/>
        </w:rPr>
        <w:t>环网柜及高压成套设备</w:t>
      </w:r>
      <w:r>
        <w:rPr>
          <w:rFonts w:ascii="Times New Roman" w:hAnsi="Times New Roman" w:eastAsia="宋体"/>
          <w:highlight w:val="none"/>
        </w:rPr>
        <w:t>及配电柜内连接铜排</w:t>
      </w:r>
      <w:r>
        <w:rPr>
          <w:rFonts w:hint="eastAsia" w:ascii="Times New Roman" w:hAnsi="Times New Roman" w:eastAsia="宋体"/>
          <w:highlight w:val="none"/>
        </w:rPr>
        <w:t>、</w:t>
      </w:r>
      <w:r>
        <w:rPr>
          <w:rFonts w:ascii="Times New Roman" w:hAnsi="Times New Roman" w:eastAsia="宋体"/>
          <w:color w:val="000000"/>
          <w:highlight w:val="none"/>
        </w:rPr>
        <w:t>变压器及连接铜排、10KV高压电缆及桥架</w:t>
      </w:r>
      <w:r>
        <w:rPr>
          <w:rFonts w:ascii="Times New Roman" w:hAnsi="Times New Roman" w:eastAsia="宋体"/>
          <w:highlight w:val="none"/>
        </w:rPr>
        <w:t>等在此次招标范围内</w:t>
      </w:r>
      <w:r>
        <w:rPr>
          <w:rFonts w:ascii="Times New Roman" w:hAnsi="Times New Roman" w:eastAsia="宋体"/>
          <w:color w:val="000000"/>
          <w:highlight w:val="none"/>
        </w:rPr>
        <w:t>）。</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3.6.4 车间内所有配电柜（箱）</w:t>
      </w:r>
      <w:r>
        <w:rPr>
          <w:rFonts w:hint="eastAsia" w:ascii="Times New Roman" w:hAnsi="Times New Roman" w:eastAsia="宋体"/>
          <w:color w:val="000000"/>
          <w:highlight w:val="none"/>
        </w:rPr>
        <w:t>采购及</w:t>
      </w:r>
      <w:r>
        <w:rPr>
          <w:rFonts w:ascii="Times New Roman" w:hAnsi="Times New Roman" w:eastAsia="宋体"/>
          <w:color w:val="000000"/>
          <w:highlight w:val="none"/>
        </w:rPr>
        <w:t>安装</w:t>
      </w:r>
      <w:r>
        <w:rPr>
          <w:rFonts w:hint="eastAsia" w:ascii="Times New Roman" w:hAnsi="Times New Roman" w:eastAsia="宋体"/>
          <w:color w:val="000000"/>
          <w:highlight w:val="none"/>
        </w:rPr>
        <w:t>和</w:t>
      </w:r>
      <w:r>
        <w:rPr>
          <w:rFonts w:ascii="Times New Roman" w:hAnsi="Times New Roman" w:eastAsia="宋体"/>
          <w:color w:val="000000"/>
          <w:highlight w:val="none"/>
        </w:rPr>
        <w:t>辅材（电照配电箱系统图中所有配电柜（箱））。</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3.6.5 从配电房至车间各区域配电柜（箱）的照明及动力电缆、桥架线槽、线管、密集母线及插接箱等材料及安装和辅材。</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3.6.6 IT及安防电气系统不在本次招标范围。</w:t>
      </w:r>
    </w:p>
    <w:p>
      <w:pPr>
        <w:pStyle w:val="12"/>
        <w:rPr>
          <w:sz w:val="28"/>
          <w:szCs w:val="28"/>
          <w:highlight w:val="none"/>
        </w:rPr>
      </w:pPr>
      <w:bookmarkStart w:id="9" w:name="_Toc133335287"/>
      <w:r>
        <w:rPr>
          <w:sz w:val="28"/>
          <w:szCs w:val="28"/>
          <w:highlight w:val="none"/>
        </w:rPr>
        <w:t>3.7 主要材料品牌要求</w:t>
      </w:r>
      <w:bookmarkEnd w:id="9"/>
    </w:p>
    <w:p>
      <w:pPr>
        <w:ind w:firstLine="480"/>
        <w:rPr>
          <w:b/>
          <w:highlight w:val="none"/>
        </w:rPr>
      </w:pPr>
      <w:r>
        <w:rPr>
          <w:highlight w:val="none"/>
        </w:rPr>
        <w:t>详情请见附件1主要材料品牌清单。</w:t>
      </w:r>
    </w:p>
    <w:p>
      <w:pPr>
        <w:pStyle w:val="3"/>
        <w:rPr>
          <w:sz w:val="28"/>
          <w:szCs w:val="28"/>
          <w:highlight w:val="none"/>
        </w:rPr>
      </w:pPr>
      <w:bookmarkStart w:id="10" w:name="_Toc133335288"/>
      <w:r>
        <w:rPr>
          <w:sz w:val="28"/>
          <w:szCs w:val="28"/>
          <w:highlight w:val="none"/>
        </w:rPr>
        <w:t>四、总体技术要求</w:t>
      </w:r>
      <w:bookmarkEnd w:id="10"/>
    </w:p>
    <w:p>
      <w:pPr>
        <w:pStyle w:val="12"/>
        <w:rPr>
          <w:sz w:val="24"/>
          <w:szCs w:val="24"/>
          <w:highlight w:val="none"/>
        </w:rPr>
      </w:pPr>
      <w:bookmarkStart w:id="11" w:name="_Toc133335289"/>
      <w:r>
        <w:rPr>
          <w:sz w:val="24"/>
          <w:szCs w:val="24"/>
          <w:highlight w:val="none"/>
        </w:rPr>
        <w:t>4.1 各车间温湿度、清洁度要求</w:t>
      </w:r>
      <w:bookmarkEnd w:id="11"/>
    </w:p>
    <w:p>
      <w:pPr>
        <w:rPr>
          <w:highlight w:val="none"/>
        </w:rPr>
      </w:pPr>
      <w:r>
        <w:rPr>
          <w:highlight w:val="none"/>
        </w:rPr>
        <w:t>4.1.1 各车间环境要求，详见见下表：</w:t>
      </w:r>
    </w:p>
    <w:tbl>
      <w:tblPr>
        <w:tblStyle w:val="16"/>
        <w:tblW w:w="5146" w:type="pct"/>
        <w:tblInd w:w="-163" w:type="dxa"/>
        <w:tblLayout w:type="fixed"/>
        <w:tblCellMar>
          <w:top w:w="0" w:type="dxa"/>
          <w:left w:w="108" w:type="dxa"/>
          <w:bottom w:w="0" w:type="dxa"/>
          <w:right w:w="108" w:type="dxa"/>
        </w:tblCellMar>
      </w:tblPr>
      <w:tblGrid>
        <w:gridCol w:w="446"/>
        <w:gridCol w:w="797"/>
        <w:gridCol w:w="1366"/>
        <w:gridCol w:w="680"/>
        <w:gridCol w:w="980"/>
        <w:gridCol w:w="763"/>
        <w:gridCol w:w="1019"/>
        <w:gridCol w:w="850"/>
        <w:gridCol w:w="899"/>
        <w:gridCol w:w="970"/>
      </w:tblGrid>
      <w:tr>
        <w:tblPrEx>
          <w:tblCellMar>
            <w:top w:w="0" w:type="dxa"/>
            <w:left w:w="108" w:type="dxa"/>
            <w:bottom w:w="0" w:type="dxa"/>
            <w:right w:w="108" w:type="dxa"/>
          </w:tblCellMar>
        </w:tblPrEx>
        <w:trPr>
          <w:trHeight w:val="45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广州30Gwh项目前15GWh电芯、化成车间房间环境需求提资表</w:t>
            </w:r>
          </w:p>
        </w:tc>
      </w:tr>
      <w:tr>
        <w:tblPrEx>
          <w:tblCellMar>
            <w:top w:w="0" w:type="dxa"/>
            <w:left w:w="108" w:type="dxa"/>
            <w:bottom w:w="0" w:type="dxa"/>
            <w:right w:w="108" w:type="dxa"/>
          </w:tblCellMar>
        </w:tblPrEx>
        <w:trPr>
          <w:trHeight w:val="438" w:hRule="atLeast"/>
        </w:trPr>
        <w:tc>
          <w:tcPr>
            <w:tcW w:w="2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序号</w:t>
            </w:r>
          </w:p>
        </w:tc>
        <w:tc>
          <w:tcPr>
            <w:tcW w:w="12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车间名称</w:t>
            </w: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楼层</w:t>
            </w:r>
          </w:p>
        </w:tc>
        <w:tc>
          <w:tcPr>
            <w:tcW w:w="55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房间\区域</w:t>
            </w:r>
          </w:p>
        </w:tc>
        <w:tc>
          <w:tcPr>
            <w:tcW w:w="1501"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温湿度需求</w:t>
            </w:r>
          </w:p>
        </w:tc>
        <w:tc>
          <w:tcPr>
            <w:tcW w:w="51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温湿度（露点）监控点数</w:t>
            </w:r>
          </w:p>
        </w:tc>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洁净度</w:t>
            </w:r>
            <w:r>
              <w:rPr>
                <w:rFonts w:hint="eastAsia" w:ascii="宋体" w:hAnsi="宋体" w:cs="宋体"/>
                <w:b/>
                <w:bCs/>
                <w:color w:val="000000"/>
                <w:sz w:val="16"/>
                <w:szCs w:val="16"/>
                <w:highlight w:val="none"/>
                <w:lang w:bidi="ar"/>
              </w:rPr>
              <w:br w:type="textWrapping"/>
            </w:r>
            <w:r>
              <w:rPr>
                <w:rFonts w:hint="eastAsia" w:ascii="宋体" w:hAnsi="宋体" w:cs="宋体"/>
                <w:b/>
                <w:bCs/>
                <w:color w:val="000000"/>
                <w:sz w:val="16"/>
                <w:szCs w:val="16"/>
                <w:highlight w:val="none"/>
                <w:lang w:bidi="ar"/>
              </w:rPr>
              <w:t>（K）</w:t>
            </w:r>
          </w:p>
        </w:tc>
      </w:tr>
      <w:tr>
        <w:tblPrEx>
          <w:tblCellMar>
            <w:top w:w="0" w:type="dxa"/>
            <w:left w:w="108" w:type="dxa"/>
            <w:bottom w:w="0" w:type="dxa"/>
            <w:right w:w="108" w:type="dxa"/>
          </w:tblCellMar>
        </w:tblPrEx>
        <w:trPr>
          <w:trHeight w:val="247" w:hRule="atLeast"/>
        </w:trPr>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b/>
                <w:bCs/>
                <w:color w:val="000000"/>
                <w:sz w:val="16"/>
                <w:szCs w:val="16"/>
                <w:highlight w:val="none"/>
              </w:rPr>
            </w:pPr>
          </w:p>
        </w:tc>
        <w:tc>
          <w:tcPr>
            <w:tcW w:w="12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b/>
                <w:bCs/>
                <w:color w:val="000000"/>
                <w:sz w:val="16"/>
                <w:szCs w:val="16"/>
                <w:highlight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b/>
                <w:bCs/>
                <w:color w:val="000000"/>
                <w:sz w:val="16"/>
                <w:szCs w:val="16"/>
                <w:highlight w:val="none"/>
              </w:rPr>
            </w:pPr>
          </w:p>
        </w:tc>
        <w:tc>
          <w:tcPr>
            <w:tcW w:w="559"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b/>
                <w:bCs/>
                <w:color w:val="000000"/>
                <w:sz w:val="16"/>
                <w:szCs w:val="16"/>
                <w:highlight w:val="none"/>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RH（%）</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16"/>
                <w:szCs w:val="16"/>
                <w:highlight w:val="none"/>
              </w:rPr>
            </w:pPr>
            <w:r>
              <w:rPr>
                <w:rFonts w:hint="eastAsia" w:ascii="宋体" w:hAnsi="宋体" w:cs="宋体"/>
                <w:b/>
                <w:bCs/>
                <w:color w:val="000000"/>
                <w:sz w:val="16"/>
                <w:szCs w:val="16"/>
                <w:highlight w:val="none"/>
                <w:lang w:bidi="ar"/>
              </w:rPr>
              <w:t>露点（℃）</w:t>
            </w:r>
          </w:p>
        </w:tc>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b/>
                <w:bCs/>
                <w:color w:val="000000"/>
                <w:sz w:val="16"/>
                <w:szCs w:val="16"/>
                <w:highlight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b/>
                <w:bCs/>
                <w:color w:val="000000"/>
                <w:sz w:val="16"/>
                <w:szCs w:val="16"/>
                <w:highlight w:val="none"/>
              </w:rPr>
            </w:pPr>
          </w:p>
        </w:tc>
      </w:tr>
      <w:tr>
        <w:tblPrEx>
          <w:tblCellMar>
            <w:top w:w="0" w:type="dxa"/>
            <w:left w:w="108" w:type="dxa"/>
            <w:bottom w:w="0" w:type="dxa"/>
            <w:right w:w="108" w:type="dxa"/>
          </w:tblCellMar>
        </w:tblPrEx>
        <w:trPr>
          <w:trHeight w:val="1196"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正极配料车间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正极加料</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1551"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CNTS制浆车间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179"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二次更衣</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546"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正极货淋及材料拆包间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≤60%</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class9</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物流通道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63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正极配料车间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1633"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质检间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76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NMP加料间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class9</w:t>
            </w:r>
          </w:p>
        </w:tc>
      </w:tr>
      <w:tr>
        <w:tblPrEx>
          <w:tblCellMar>
            <w:top w:w="0" w:type="dxa"/>
            <w:left w:w="108" w:type="dxa"/>
            <w:bottom w:w="0" w:type="dxa"/>
            <w:right w:w="108" w:type="dxa"/>
          </w:tblCellMar>
        </w:tblPrEx>
        <w:trPr>
          <w:trHeight w:val="68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NMP加料间-缓冲间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53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10</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清洗间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26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11</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清洗间-干燥间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12</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正极更衣茶歇</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门厅</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25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13</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男女一更室</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35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14</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二次更衣室</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53"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15</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茶水间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22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16</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卫生间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141"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17</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正极涂布车间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正极涂布机头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class6</w:t>
            </w:r>
          </w:p>
        </w:tc>
      </w:tr>
      <w:tr>
        <w:tblPrEx>
          <w:tblCellMar>
            <w:top w:w="0" w:type="dxa"/>
            <w:left w:w="108" w:type="dxa"/>
            <w:bottom w:w="0" w:type="dxa"/>
            <w:right w:w="108" w:type="dxa"/>
          </w:tblCellMar>
        </w:tblPrEx>
        <w:trPr>
          <w:trHeight w:val="80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18</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机尾至机头洁净通道（若设置，则按该标准）</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30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19</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正极涂布烘箱段</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20</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789"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21</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正极涂布机尾</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class6</w:t>
            </w:r>
          </w:p>
        </w:tc>
      </w:tr>
      <w:tr>
        <w:tblPrEx>
          <w:tblCellMar>
            <w:top w:w="0" w:type="dxa"/>
            <w:left w:w="108" w:type="dxa"/>
            <w:bottom w:w="0" w:type="dxa"/>
            <w:right w:w="108" w:type="dxa"/>
          </w:tblCellMar>
        </w:tblPrEx>
        <w:trPr>
          <w:trHeight w:val="24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22</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正极NMP回收间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171"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23</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正极辊分车间及辅房</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正极辊分车间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30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24</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正极废料间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34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正极废料缓冲间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26</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办公室</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843"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27</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质检间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518"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28</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备辊间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22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29</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备辊缓存间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288"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负极配料车间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负极加料</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436"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31</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二次更衣</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65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32</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负极货淋室及材料拆包间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≤60%</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class9</w:t>
            </w:r>
          </w:p>
        </w:tc>
      </w:tr>
      <w:tr>
        <w:tblPrEx>
          <w:tblCellMar>
            <w:top w:w="0" w:type="dxa"/>
            <w:left w:w="108" w:type="dxa"/>
            <w:bottom w:w="0" w:type="dxa"/>
            <w:right w:w="108" w:type="dxa"/>
          </w:tblCellMar>
        </w:tblPrEx>
        <w:trPr>
          <w:trHeight w:val="491"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33</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负极预留间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316"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34</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纯水间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35</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预留间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263"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36</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负极配料车间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37</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负极质检间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301"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38</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清洗间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30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39</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清洗间-干燥间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6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40</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负极更衣茶歇</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门厅</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6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41</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男女一更室</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47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42</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二次更衣室</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45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43</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茶水间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37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44</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卫生间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57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负极涂布车间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负极涂布机头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≤30%（送回风管道，除湿机组的冷水、蒸汽管道及冷凝水管道按≤10%制作，除湿机组安装空间按≤10%预留）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class6</w:t>
            </w:r>
          </w:p>
        </w:tc>
      </w:tr>
      <w:tr>
        <w:tblPrEx>
          <w:tblCellMar>
            <w:top w:w="0" w:type="dxa"/>
            <w:left w:w="108" w:type="dxa"/>
            <w:bottom w:w="0" w:type="dxa"/>
            <w:right w:w="108" w:type="dxa"/>
          </w:tblCellMar>
        </w:tblPrEx>
        <w:trPr>
          <w:trHeight w:val="939"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46</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机尾至机头洁净通道（若设置，则按该标准）</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22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47</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负极涂布机烘箱段</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操作侧</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303"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48</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维修侧</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49</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负极涂布机尾</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≤30%（送回风管道，除湿机组的冷水、蒸汽管道及冷凝水管道按≤10%制作，除湿机组安装空间按≤10%预留）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class6</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50</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负极NMP回收间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51</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负极辊分一体机车间及辅房</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负极辊分车间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≤30%（送回风管道，除湿机组的冷水、蒸汽管道及冷凝水管道按≤10%制作，除湿机组安装空间按≤10%预留）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21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52</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负极废料缓冲间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class9</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53</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负极废料间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54</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办公室</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073"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55</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质检间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≤30%（送回风管道，除湿机组的冷水、蒸汽管道及冷凝水管道按≤10%制作，除湿机组安装空间按≤10%预留）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408"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56</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备辊间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441"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57</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备辊缓存间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58</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参观</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通道</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正极与辅房间通道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59</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负极与辅房间通道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60</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参观通道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61</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参观通道缓冲间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电极车间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439"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62</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冲叠</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339"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63</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冷热压</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25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64</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TAB焊接/x-ray</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24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65</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缓存机</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31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66</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封装</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67</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电芯烘烤（上料区）</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10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68</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电芯烘烤(烘箱段）</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常规</w:t>
            </w:r>
          </w:p>
        </w:tc>
      </w:tr>
      <w:tr>
        <w:tblPrEx>
          <w:tblCellMar>
            <w:top w:w="0" w:type="dxa"/>
            <w:left w:w="108" w:type="dxa"/>
            <w:bottom w:w="0" w:type="dxa"/>
            <w:right w:w="108" w:type="dxa"/>
          </w:tblCellMar>
        </w:tblPrEx>
        <w:trPr>
          <w:trHeight w:val="9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69</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电芯烘烤(下料区）</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216"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70</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注液</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50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71</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品质检验室</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≤30%（送回风管道，除湿机组的冷水、蒸汽管道及冷凝水管道按≤2%制作，除湿机组安装空间按≤2%预留）</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28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72</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品质检验室</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注液车间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189"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73</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废料缓冲间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class9</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74</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废料间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75</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二次更衣室</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25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76</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门厅及一更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入口登记门厅</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77</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男一更区</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62"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78</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女一更区</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79</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电解液</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电解液搬入缓冲间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80</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电解液房</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常规</w:t>
            </w:r>
          </w:p>
        </w:tc>
      </w:tr>
      <w:tr>
        <w:tblPrEx>
          <w:tblCellMar>
            <w:top w:w="0" w:type="dxa"/>
            <w:left w:w="108" w:type="dxa"/>
            <w:bottom w:w="0" w:type="dxa"/>
            <w:right w:w="108" w:type="dxa"/>
          </w:tblCellMar>
        </w:tblPrEx>
        <w:trPr>
          <w:trHeight w:val="9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81</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材料间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组装段材料拆包间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≤60%</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class9</w:t>
            </w:r>
          </w:p>
        </w:tc>
      </w:tr>
      <w:tr>
        <w:tblPrEx>
          <w:tblCellMar>
            <w:top w:w="0" w:type="dxa"/>
            <w:left w:w="108" w:type="dxa"/>
            <w:bottom w:w="0" w:type="dxa"/>
            <w:right w:w="108" w:type="dxa"/>
          </w:tblCellMar>
        </w:tblPrEx>
        <w:trPr>
          <w:trHeight w:val="189"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82</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组装段材料缓存间</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2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83</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正极极卷库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22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84</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负极极卷库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≤30%</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ISO class7</w:t>
            </w:r>
          </w:p>
        </w:tc>
      </w:tr>
      <w:tr>
        <w:tblPrEx>
          <w:tblCellMar>
            <w:top w:w="0" w:type="dxa"/>
            <w:left w:w="108" w:type="dxa"/>
            <w:bottom w:w="0" w:type="dxa"/>
            <w:right w:w="108" w:type="dxa"/>
          </w:tblCellMar>
        </w:tblPrEx>
        <w:trPr>
          <w:trHeight w:val="9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85</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通道</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组装段参观通道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216"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86</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组装段与北侧辅房间通道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4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87</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组装段材料区通道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40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88</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color w:val="000000"/>
                <w:sz w:val="16"/>
                <w:szCs w:val="16"/>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组装段与南侧辅房通道</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装配</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311"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89</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活化</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活化</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45±5℃</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可调25~50℃</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每个房间1个，共4个</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618"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90</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每个房间2个，共8个</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class9</w:t>
            </w:r>
          </w:p>
        </w:tc>
      </w:tr>
      <w:tr>
        <w:tblPrEx>
          <w:tblCellMar>
            <w:top w:w="0" w:type="dxa"/>
            <w:left w:w="108" w:type="dxa"/>
            <w:bottom w:w="0" w:type="dxa"/>
            <w:right w:w="108" w:type="dxa"/>
          </w:tblCellMar>
        </w:tblPrEx>
        <w:trPr>
          <w:trHeight w:val="58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91</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OCV1测试+挑选</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8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92</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老化车间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老化</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每个房间1个，共4个</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97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93</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DEGAS车间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DEGAS</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1093"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94</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分容车间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分容</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每个房间2个，共2个</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class9</w:t>
            </w:r>
          </w:p>
        </w:tc>
      </w:tr>
      <w:tr>
        <w:tblPrEx>
          <w:tblCellMar>
            <w:top w:w="0" w:type="dxa"/>
            <w:left w:w="108" w:type="dxa"/>
            <w:bottom w:w="0" w:type="dxa"/>
            <w:right w:w="108" w:type="dxa"/>
          </w:tblCellMar>
        </w:tblPrEx>
        <w:trPr>
          <w:trHeight w:val="80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95</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常温</w:t>
            </w:r>
            <w:r>
              <w:rPr>
                <w:rFonts w:hint="eastAsia" w:ascii="宋体" w:hAnsi="宋体" w:cs="宋体"/>
                <w:color w:val="000000"/>
                <w:sz w:val="16"/>
                <w:szCs w:val="16"/>
                <w:highlight w:val="none"/>
                <w:lang w:bidi="ar"/>
              </w:rPr>
              <w:br w:type="textWrapping"/>
            </w:r>
            <w:r>
              <w:rPr>
                <w:rFonts w:hint="eastAsia" w:ascii="宋体" w:hAnsi="宋体" w:cs="宋体"/>
                <w:color w:val="000000"/>
                <w:sz w:val="16"/>
                <w:szCs w:val="16"/>
                <w:highlight w:val="none"/>
                <w:lang w:bidi="ar"/>
              </w:rPr>
              <w:t>静置库</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常温静置</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24个测温点（加显示屏）</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466"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96</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分选车间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分档</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共2个</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399"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97</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分选车间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分档</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共2个</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2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98</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成品库</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共2个</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507"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99</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男/女更衣区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r>
        <w:tblPrEx>
          <w:tblCellMar>
            <w:top w:w="0" w:type="dxa"/>
            <w:left w:w="108" w:type="dxa"/>
            <w:bottom w:w="0" w:type="dxa"/>
            <w:right w:w="108" w:type="dxa"/>
          </w:tblCellMar>
        </w:tblPrEx>
        <w:trPr>
          <w:trHeight w:val="51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100</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中控室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一层</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化成车间</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25±5℃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6"/>
                <w:szCs w:val="16"/>
                <w:highlight w:val="none"/>
              </w:rPr>
            </w:pPr>
            <w:r>
              <w:rPr>
                <w:rFonts w:hint="eastAsia" w:ascii="宋体" w:hAnsi="宋体" w:cs="宋体"/>
                <w:color w:val="000000"/>
                <w:sz w:val="16"/>
                <w:szCs w:val="16"/>
                <w:highlight w:val="none"/>
                <w:lang w:bidi="ar"/>
              </w:rPr>
              <w:t>/</w:t>
            </w:r>
          </w:p>
        </w:tc>
      </w:tr>
    </w:tbl>
    <w:p>
      <w:pPr>
        <w:pStyle w:val="9"/>
        <w:ind w:left="0"/>
        <w:rPr>
          <w:highlight w:val="none"/>
        </w:rPr>
      </w:pPr>
    </w:p>
    <w:tbl>
      <w:tblPr>
        <w:tblStyle w:val="16"/>
        <w:tblW w:w="5000" w:type="pct"/>
        <w:tblInd w:w="0" w:type="dxa"/>
        <w:tblLayout w:type="autofit"/>
        <w:tblCellMar>
          <w:top w:w="0" w:type="dxa"/>
          <w:left w:w="108" w:type="dxa"/>
          <w:bottom w:w="0" w:type="dxa"/>
          <w:right w:w="108" w:type="dxa"/>
        </w:tblCellMar>
      </w:tblPr>
      <w:tblGrid>
        <w:gridCol w:w="616"/>
        <w:gridCol w:w="1035"/>
        <w:gridCol w:w="2685"/>
        <w:gridCol w:w="1301"/>
        <w:gridCol w:w="1210"/>
        <w:gridCol w:w="1675"/>
      </w:tblGrid>
      <w:tr>
        <w:tblPrEx>
          <w:tblCellMar>
            <w:top w:w="0" w:type="dxa"/>
            <w:left w:w="108" w:type="dxa"/>
            <w:bottom w:w="0" w:type="dxa"/>
            <w:right w:w="108" w:type="dxa"/>
          </w:tblCellMar>
        </w:tblPrEx>
        <w:trPr>
          <w:trHeight w:val="59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20"/>
                <w:highlight w:val="none"/>
              </w:rPr>
            </w:pPr>
            <w:r>
              <w:rPr>
                <w:rFonts w:hint="eastAsia" w:ascii="宋体" w:hAnsi="宋体" w:cs="宋体"/>
                <w:b/>
                <w:bCs/>
                <w:color w:val="000000"/>
                <w:sz w:val="28"/>
                <w:szCs w:val="28"/>
                <w:highlight w:val="none"/>
                <w:lang w:bidi="ar"/>
              </w:rPr>
              <w:t>广州PACK工厂房间条件表</w:t>
            </w:r>
          </w:p>
        </w:tc>
      </w:tr>
      <w:tr>
        <w:tblPrEx>
          <w:tblCellMar>
            <w:top w:w="0" w:type="dxa"/>
            <w:left w:w="108" w:type="dxa"/>
            <w:bottom w:w="0" w:type="dxa"/>
            <w:right w:w="108" w:type="dxa"/>
          </w:tblCellMar>
        </w:tblPrEx>
        <w:trPr>
          <w:trHeight w:val="408" w:hRule="atLeast"/>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序号</w:t>
            </w:r>
          </w:p>
        </w:tc>
        <w:tc>
          <w:tcPr>
            <w:tcW w:w="62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20"/>
                <w:highlight w:val="none"/>
              </w:rPr>
            </w:pPr>
            <w:r>
              <w:rPr>
                <w:rFonts w:hint="eastAsia" w:ascii="宋体" w:hAnsi="宋体" w:cs="宋体"/>
                <w:b/>
                <w:bCs/>
                <w:color w:val="000000"/>
                <w:sz w:val="20"/>
                <w:highlight w:val="none"/>
                <w:lang w:bidi="ar"/>
              </w:rPr>
              <w:t>楼层</w:t>
            </w:r>
          </w:p>
        </w:tc>
        <w:tc>
          <w:tcPr>
            <w:tcW w:w="1590"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20"/>
                <w:highlight w:val="none"/>
              </w:rPr>
            </w:pPr>
            <w:r>
              <w:rPr>
                <w:rFonts w:hint="eastAsia" w:ascii="宋体" w:hAnsi="宋体" w:cs="宋体"/>
                <w:b/>
                <w:bCs/>
                <w:color w:val="000000"/>
                <w:sz w:val="20"/>
                <w:highlight w:val="none"/>
                <w:lang w:bidi="ar"/>
              </w:rPr>
              <w:t>区域名称</w:t>
            </w:r>
          </w:p>
        </w:tc>
        <w:tc>
          <w:tcPr>
            <w:tcW w:w="2497"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20"/>
                <w:highlight w:val="none"/>
              </w:rPr>
            </w:pPr>
            <w:r>
              <w:rPr>
                <w:rFonts w:hint="eastAsia" w:ascii="宋体" w:hAnsi="宋体" w:cs="宋体"/>
                <w:b/>
                <w:bCs/>
                <w:color w:val="000000"/>
                <w:sz w:val="20"/>
                <w:highlight w:val="none"/>
                <w:lang w:bidi="ar"/>
              </w:rPr>
              <w:t>空调和净化参数</w:t>
            </w:r>
          </w:p>
        </w:tc>
      </w:tr>
      <w:tr>
        <w:tblPrEx>
          <w:tblCellMar>
            <w:top w:w="0" w:type="dxa"/>
            <w:left w:w="108" w:type="dxa"/>
            <w:bottom w:w="0" w:type="dxa"/>
            <w:right w:w="108" w:type="dxa"/>
          </w:tblCellMar>
        </w:tblPrEx>
        <w:trPr>
          <w:trHeight w:val="330" w:hRule="atLeast"/>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highlight w:val="none"/>
              </w:rPr>
            </w:pPr>
          </w:p>
        </w:tc>
        <w:tc>
          <w:tcPr>
            <w:tcW w:w="6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b/>
                <w:bCs/>
                <w:color w:val="000000"/>
                <w:sz w:val="20"/>
                <w:highlight w:val="none"/>
              </w:rPr>
            </w:pPr>
          </w:p>
        </w:tc>
        <w:tc>
          <w:tcPr>
            <w:tcW w:w="1590"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宋体" w:hAnsi="宋体" w:cs="宋体"/>
                <w:b/>
                <w:bCs/>
                <w:color w:val="000000"/>
                <w:sz w:val="20"/>
                <w:highlight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20"/>
                <w:highlight w:val="none"/>
              </w:rPr>
            </w:pPr>
            <w:r>
              <w:rPr>
                <w:rFonts w:hint="eastAsia" w:ascii="宋体" w:hAnsi="宋体" w:cs="宋体"/>
                <w:b/>
                <w:bCs/>
                <w:color w:val="000000"/>
                <w:sz w:val="20"/>
                <w:highlight w:val="none"/>
                <w:lang w:bidi="ar"/>
              </w:rPr>
              <w:t>温度要求(℃)</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20"/>
                <w:highlight w:val="none"/>
              </w:rPr>
            </w:pPr>
            <w:r>
              <w:rPr>
                <w:rFonts w:hint="eastAsia" w:ascii="宋体" w:hAnsi="宋体" w:cs="宋体"/>
                <w:b/>
                <w:bCs/>
                <w:color w:val="000000"/>
                <w:sz w:val="20"/>
                <w:highlight w:val="none"/>
                <w:lang w:bidi="ar"/>
              </w:rPr>
              <w:t>湿度要求(%)</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b/>
                <w:bCs/>
                <w:color w:val="000000"/>
                <w:sz w:val="20"/>
                <w:highlight w:val="none"/>
              </w:rPr>
            </w:pPr>
            <w:r>
              <w:rPr>
                <w:rFonts w:hint="eastAsia" w:ascii="宋体" w:hAnsi="宋体" w:cs="宋体"/>
                <w:b/>
                <w:bCs/>
                <w:color w:val="000000"/>
                <w:sz w:val="20"/>
                <w:highlight w:val="none"/>
                <w:lang w:bidi="ar"/>
              </w:rPr>
              <w:t>洁净等级</w:t>
            </w:r>
          </w:p>
        </w:tc>
      </w:tr>
      <w:tr>
        <w:tblPrEx>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1F夹层</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总监办公室、会议室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1F夹层</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茶水间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1F夹层</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办公区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1F夹层</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门厅</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电芯连廊</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SPS车间电芯处理段</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7</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SPS车间焊接段</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SPS车间组装段</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9</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补焊间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PACK返修房</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不良品间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预留</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生产耗材室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14</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IT机房</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设备室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工艺室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4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17</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生产储藏室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工艺实验室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19</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设备备件库</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生产耗材室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厂商办公室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学习岛</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SPS静置测试区域</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24</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SPS包装区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PACK返修区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客诉拆解分析室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1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27</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三坐标室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20±2</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&lt;65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ISO Class 9</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原材料检验区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29</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原材料拆包区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原材料仓</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PACK包装原材区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成品暂存区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PACK大件原材区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34</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空压氮气存储</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门厅</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清洁间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37</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配电房</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基建确认</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预留光伏变电所</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基建确认</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39</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预留（二厂北侧）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预组装线区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过道</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报警阀室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基建确认</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弱电间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44</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预留（二厂东侧）</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共同</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楼梯间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共同</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更衣室、休息室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47</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共同</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卫生间</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共同</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参观通道</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49</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共同</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机房、真空泵房</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基建确认</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r>
        <w:tblPrEx>
          <w:tblCellMar>
            <w:top w:w="0" w:type="dxa"/>
            <w:left w:w="108" w:type="dxa"/>
            <w:bottom w:w="0" w:type="dxa"/>
            <w:right w:w="108" w:type="dxa"/>
          </w:tblCellMar>
        </w:tblPrEx>
        <w:trPr>
          <w:trHeight w:val="3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50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共同</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消防室</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&lt;85</w:t>
            </w:r>
          </w:p>
        </w:tc>
        <w:tc>
          <w:tcPr>
            <w:tcW w:w="9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20"/>
                <w:highlight w:val="none"/>
              </w:rPr>
            </w:pPr>
            <w:r>
              <w:rPr>
                <w:rFonts w:hint="eastAsia" w:ascii="宋体" w:hAnsi="宋体" w:cs="宋体"/>
                <w:color w:val="000000"/>
                <w:sz w:val="20"/>
                <w:highlight w:val="none"/>
                <w:lang w:bidi="ar"/>
              </w:rPr>
              <w:t>一般干净环境</w:t>
            </w:r>
          </w:p>
        </w:tc>
      </w:tr>
    </w:tbl>
    <w:p>
      <w:pPr>
        <w:rPr>
          <w:highlight w:val="none"/>
        </w:rPr>
      </w:pPr>
      <w:r>
        <w:rPr>
          <w:highlight w:val="none"/>
        </w:rPr>
        <w:t>4.1.2 其他未列区域以满足实际使用要求为准。</w:t>
      </w:r>
    </w:p>
    <w:p>
      <w:pPr>
        <w:pStyle w:val="3"/>
        <w:rPr>
          <w:sz w:val="28"/>
          <w:szCs w:val="28"/>
          <w:highlight w:val="none"/>
        </w:rPr>
      </w:pPr>
      <w:bookmarkStart w:id="12" w:name="_Toc133335290"/>
      <w:r>
        <w:rPr>
          <w:sz w:val="28"/>
          <w:szCs w:val="28"/>
          <w:highlight w:val="none"/>
        </w:rPr>
        <w:t>4.2 工程总体要求及指标</w:t>
      </w:r>
      <w:bookmarkEnd w:id="12"/>
    </w:p>
    <w:p>
      <w:pPr>
        <w:pStyle w:val="4"/>
        <w:rPr>
          <w:sz w:val="24"/>
          <w:szCs w:val="24"/>
          <w:highlight w:val="none"/>
        </w:rPr>
      </w:pPr>
      <w:bookmarkStart w:id="13" w:name="_Toc133335291"/>
      <w:r>
        <w:rPr>
          <w:sz w:val="24"/>
          <w:szCs w:val="24"/>
          <w:highlight w:val="none"/>
        </w:rPr>
        <w:t>4.2.1 施工空间管理</w:t>
      </w:r>
      <w:bookmarkEnd w:id="13"/>
    </w:p>
    <w:p>
      <w:pPr>
        <w:rPr>
          <w:highlight w:val="none"/>
        </w:rPr>
      </w:pPr>
      <w:r>
        <w:rPr>
          <w:highlight w:val="none"/>
        </w:rPr>
        <w:t xml:space="preserve">4.2.1.1 </w:t>
      </w:r>
      <w:r>
        <w:rPr>
          <w:rFonts w:hint="eastAsia"/>
          <w:highlight w:val="none"/>
        </w:rPr>
        <w:t>各</w:t>
      </w:r>
      <w:r>
        <w:rPr>
          <w:highlight w:val="none"/>
        </w:rPr>
        <w:t>类管道及厂房结构要求采用BIM技术进行空间管理，施工之前完成BIM建模及评审工作；</w:t>
      </w:r>
    </w:p>
    <w:p>
      <w:pPr>
        <w:rPr>
          <w:highlight w:val="none"/>
        </w:rPr>
      </w:pPr>
      <w:r>
        <w:rPr>
          <w:highlight w:val="none"/>
        </w:rPr>
        <w:t>4.2.1.2 BIM文件应该满足现场施工的要求；</w:t>
      </w:r>
    </w:p>
    <w:p>
      <w:pPr>
        <w:rPr>
          <w:highlight w:val="none"/>
        </w:rPr>
      </w:pPr>
      <w:r>
        <w:rPr>
          <w:highlight w:val="none"/>
        </w:rPr>
        <w:t>4.2.1.3 各类管道的布局</w:t>
      </w:r>
      <w:r>
        <w:rPr>
          <w:rFonts w:hint="eastAsia"/>
          <w:highlight w:val="none"/>
        </w:rPr>
        <w:t>应</w:t>
      </w:r>
      <w:r>
        <w:rPr>
          <w:highlight w:val="none"/>
        </w:rPr>
        <w:t>满足安全要求、使用方便性要求、</w:t>
      </w:r>
      <w:r>
        <w:rPr>
          <w:rFonts w:hint="eastAsia"/>
          <w:highlight w:val="none"/>
        </w:rPr>
        <w:t>维护便捷性要求及</w:t>
      </w:r>
      <w:r>
        <w:rPr>
          <w:highlight w:val="none"/>
        </w:rPr>
        <w:t>施工</w:t>
      </w:r>
      <w:r>
        <w:rPr>
          <w:rFonts w:hint="eastAsia"/>
          <w:highlight w:val="none"/>
        </w:rPr>
        <w:t>规范</w:t>
      </w:r>
      <w:r>
        <w:rPr>
          <w:highlight w:val="none"/>
        </w:rPr>
        <w:t>要求；</w:t>
      </w:r>
    </w:p>
    <w:p>
      <w:pPr>
        <w:rPr>
          <w:highlight w:val="none"/>
        </w:rPr>
      </w:pPr>
      <w:r>
        <w:rPr>
          <w:highlight w:val="none"/>
        </w:rPr>
        <w:t>4.2.1.4 考虑系统兼容性要求BIM设计软件为Revit2016、NavisWorks2016、Fuzor；</w:t>
      </w:r>
    </w:p>
    <w:p>
      <w:pPr>
        <w:rPr>
          <w:highlight w:val="none"/>
        </w:rPr>
      </w:pPr>
      <w:r>
        <w:rPr>
          <w:highlight w:val="none"/>
        </w:rPr>
        <w:t>4.2.1.5 本项目BIM文件免费提供给甲方；</w:t>
      </w:r>
    </w:p>
    <w:p>
      <w:pPr>
        <w:rPr>
          <w:highlight w:val="none"/>
        </w:rPr>
      </w:pPr>
      <w:r>
        <w:rPr>
          <w:highlight w:val="none"/>
        </w:rPr>
        <w:t>4.2.1.6 室内环境监控和显示系统采购及其安装，在每个除湿净化房间安装温度、湿度、压差显示屏，安装密度按照每200平米配置一套标准进行配置。</w:t>
      </w:r>
    </w:p>
    <w:p>
      <w:pPr>
        <w:pStyle w:val="4"/>
        <w:rPr>
          <w:sz w:val="24"/>
          <w:szCs w:val="24"/>
          <w:highlight w:val="none"/>
        </w:rPr>
      </w:pPr>
      <w:bookmarkStart w:id="14" w:name="_Toc133335292"/>
      <w:r>
        <w:rPr>
          <w:sz w:val="24"/>
          <w:szCs w:val="24"/>
          <w:highlight w:val="none"/>
        </w:rPr>
        <w:t>4.2.2 施工质量要求</w:t>
      </w:r>
      <w:bookmarkEnd w:id="14"/>
    </w:p>
    <w:p>
      <w:pPr>
        <w:rPr>
          <w:highlight w:val="none"/>
        </w:rPr>
      </w:pPr>
      <w:r>
        <w:rPr>
          <w:highlight w:val="none"/>
        </w:rPr>
        <w:t>4.2.2.1 洁净厂房装修所用到的所有材料必须通过送样检验，达标后方可施工；</w:t>
      </w:r>
    </w:p>
    <w:p>
      <w:pPr>
        <w:rPr>
          <w:highlight w:val="none"/>
        </w:rPr>
      </w:pPr>
      <w:r>
        <w:rPr>
          <w:highlight w:val="none"/>
        </w:rPr>
        <w:t>4.2.2.2 任何材料进场必须提供相应的检测报告，合格证，否则不允许施工；</w:t>
      </w:r>
    </w:p>
    <w:p>
      <w:pPr>
        <w:rPr>
          <w:highlight w:val="none"/>
        </w:rPr>
      </w:pPr>
      <w:r>
        <w:rPr>
          <w:highlight w:val="none"/>
        </w:rPr>
        <w:t>4.2.2.3 角钢法兰镀锌风管送回风露点差值控制在7个露点值；</w:t>
      </w:r>
    </w:p>
    <w:p>
      <w:pPr>
        <w:rPr>
          <w:highlight w:val="none"/>
        </w:rPr>
      </w:pPr>
      <w:r>
        <w:rPr>
          <w:highlight w:val="none"/>
        </w:rPr>
        <w:t>4.2.2.4 注液车间不锈钢风管送回风露点差值控制在5个露点值；</w:t>
      </w:r>
    </w:p>
    <w:p>
      <w:pPr>
        <w:rPr>
          <w:highlight w:val="none"/>
        </w:rPr>
      </w:pPr>
      <w:r>
        <w:rPr>
          <w:highlight w:val="none"/>
        </w:rPr>
        <w:t>4.2.2.5 车间总漏风量≤10%V/H，V为被测试区域体积。测试方法为：恒压法，测试压力：正压10Pa</w:t>
      </w:r>
      <w:r>
        <w:rPr>
          <w:rFonts w:hint="eastAsia"/>
          <w:highlight w:val="none"/>
        </w:rPr>
        <w:t>；</w:t>
      </w:r>
      <w:r>
        <w:rPr>
          <w:highlight w:val="none"/>
        </w:rPr>
        <w:t xml:space="preserve"> </w:t>
      </w:r>
    </w:p>
    <w:p>
      <w:pPr>
        <w:rPr>
          <w:highlight w:val="none"/>
        </w:rPr>
      </w:pPr>
      <w:r>
        <w:rPr>
          <w:highlight w:val="none"/>
        </w:rPr>
        <w:t>4.2.2.6 管道布置要求：线管、风管布置需在符合安全规范的前提下尽量走线整齐美观。</w:t>
      </w:r>
    </w:p>
    <w:p>
      <w:pPr>
        <w:rPr>
          <w:highlight w:val="none"/>
        </w:rPr>
      </w:pPr>
      <w:r>
        <w:rPr>
          <w:highlight w:val="none"/>
        </w:rPr>
        <w:t>4.2.2.7 每天施工结束后及时清理施工现场；</w:t>
      </w:r>
    </w:p>
    <w:p>
      <w:pPr>
        <w:rPr>
          <w:highlight w:val="none"/>
        </w:rPr>
      </w:pPr>
      <w:r>
        <w:rPr>
          <w:highlight w:val="none"/>
        </w:rPr>
        <w:t>4.2.2.8 按招标图纸和《GB50981-2014建筑机电工程抗震设计规范》要求，设备、风管、水管、事故排风等需要设置抗震支架。</w:t>
      </w:r>
    </w:p>
    <w:p>
      <w:pPr>
        <w:pStyle w:val="3"/>
        <w:rPr>
          <w:sz w:val="28"/>
          <w:szCs w:val="28"/>
          <w:highlight w:val="none"/>
        </w:rPr>
      </w:pPr>
      <w:bookmarkStart w:id="15" w:name="_Toc133335293"/>
      <w:r>
        <w:rPr>
          <w:sz w:val="28"/>
          <w:szCs w:val="28"/>
          <w:highlight w:val="none"/>
        </w:rPr>
        <w:t>五、设备技术要求</w:t>
      </w:r>
      <w:bookmarkEnd w:id="15"/>
    </w:p>
    <w:p>
      <w:pPr>
        <w:pStyle w:val="12"/>
        <w:rPr>
          <w:sz w:val="24"/>
          <w:szCs w:val="24"/>
          <w:highlight w:val="none"/>
        </w:rPr>
      </w:pPr>
      <w:bookmarkStart w:id="16" w:name="_Toc133335294"/>
      <w:r>
        <w:rPr>
          <w:sz w:val="24"/>
          <w:szCs w:val="24"/>
          <w:highlight w:val="none"/>
        </w:rPr>
        <w:t>5.1 相关设备总体要求</w:t>
      </w:r>
      <w:bookmarkEnd w:id="16"/>
    </w:p>
    <w:p>
      <w:pPr>
        <w:rPr>
          <w:highlight w:val="none"/>
        </w:rPr>
      </w:pPr>
      <w:r>
        <w:rPr>
          <w:highlight w:val="none"/>
        </w:rPr>
        <w:t>5.1.1 根据甲方使用情况，设备应设计如下几种模式，可实现自动切换：</w:t>
      </w:r>
    </w:p>
    <w:p>
      <w:pPr>
        <w:rPr>
          <w:highlight w:val="none"/>
        </w:rPr>
      </w:pPr>
      <w:r>
        <w:rPr>
          <w:highlight w:val="none"/>
        </w:rPr>
        <w:t>5.1.1.1 冬天模式/夏天模式，利用冬天的外部低温环境，减少能耗，化成分容可根据室外温度自动调节新风量大小；</w:t>
      </w:r>
    </w:p>
    <w:p>
      <w:pPr>
        <w:rPr>
          <w:highlight w:val="none"/>
        </w:rPr>
      </w:pPr>
      <w:r>
        <w:rPr>
          <w:highlight w:val="none"/>
        </w:rPr>
        <w:t>5.1.1.2 白天模式/晚上模式，利用晚上的外部相对低温环境，减少能耗，化成分容可根据室外温度自动调节新风量大小；</w:t>
      </w:r>
    </w:p>
    <w:p>
      <w:pPr>
        <w:rPr>
          <w:highlight w:val="none"/>
        </w:rPr>
      </w:pPr>
      <w:r>
        <w:rPr>
          <w:highlight w:val="none"/>
        </w:rPr>
        <w:t>5.1.1.3 千级模式/万级模式/十万级模式，根据车间内的不同清洁度要求，可实现万级模式、十万级模式切换（涂布区实现千级、万级模式切换），FFU可单独启停；</w:t>
      </w:r>
    </w:p>
    <w:p>
      <w:pPr>
        <w:rPr>
          <w:highlight w:val="none"/>
        </w:rPr>
      </w:pPr>
      <w:r>
        <w:rPr>
          <w:highlight w:val="none"/>
        </w:rPr>
        <w:t>5.1.1.4 以上各模式可单独切换或同时切换。</w:t>
      </w:r>
    </w:p>
    <w:p>
      <w:pPr>
        <w:rPr>
          <w:highlight w:val="none"/>
        </w:rPr>
      </w:pPr>
      <w:r>
        <w:rPr>
          <w:highlight w:val="none"/>
        </w:rPr>
        <w:t>5.1.2 冷水机可自动加载/卸载、低露点除湿机采用变频控制，实现节能；</w:t>
      </w:r>
    </w:p>
    <w:p>
      <w:pPr>
        <w:rPr>
          <w:highlight w:val="none"/>
        </w:rPr>
      </w:pPr>
      <w:r>
        <w:rPr>
          <w:highlight w:val="none"/>
        </w:rPr>
        <w:t>5.1.3 各除湿机温湿度可自动调节，空调机温度可自动调节并实现自动闭环控制。</w:t>
      </w:r>
    </w:p>
    <w:p>
      <w:pPr>
        <w:pStyle w:val="12"/>
        <w:rPr>
          <w:sz w:val="28"/>
          <w:szCs w:val="28"/>
          <w:highlight w:val="none"/>
        </w:rPr>
      </w:pPr>
      <w:bookmarkStart w:id="17" w:name="_Toc133335295"/>
      <w:r>
        <w:rPr>
          <w:sz w:val="28"/>
          <w:szCs w:val="28"/>
          <w:highlight w:val="none"/>
        </w:rPr>
        <w:t>5.2 组合式除湿机</w:t>
      </w:r>
      <w:bookmarkEnd w:id="17"/>
    </w:p>
    <w:p>
      <w:pPr>
        <w:pStyle w:val="14"/>
        <w:ind w:firstLine="525"/>
        <w:rPr>
          <w:sz w:val="24"/>
          <w:szCs w:val="24"/>
          <w:highlight w:val="none"/>
        </w:rPr>
      </w:pPr>
      <w:bookmarkStart w:id="18" w:name="_Toc133335296"/>
      <w:r>
        <w:rPr>
          <w:sz w:val="24"/>
          <w:szCs w:val="24"/>
          <w:highlight w:val="none"/>
        </w:rPr>
        <w:t>5.2.1 转轮</w:t>
      </w:r>
      <w:bookmarkEnd w:id="18"/>
    </w:p>
    <w:p>
      <w:pPr>
        <w:rPr>
          <w:highlight w:val="none"/>
        </w:rPr>
      </w:pPr>
      <w:r>
        <w:rPr>
          <w:highlight w:val="none"/>
        </w:rPr>
        <w:t>5.2.1.1 除湿机组的除湿转轮采用瑞典PROFLUTE</w:t>
      </w:r>
      <w:r>
        <w:rPr>
          <w:rFonts w:hint="eastAsia"/>
          <w:highlight w:val="none"/>
        </w:rPr>
        <w:t>或</w:t>
      </w:r>
      <w:r>
        <w:rPr>
          <w:highlight w:val="none"/>
        </w:rPr>
        <w:t>日本Nichias公司超级硅胶介质转轮</w:t>
      </w:r>
      <w:r>
        <w:rPr>
          <w:rFonts w:hint="eastAsia"/>
          <w:highlight w:val="none"/>
        </w:rPr>
        <w:t>；</w:t>
      </w:r>
    </w:p>
    <w:p>
      <w:pPr>
        <w:rPr>
          <w:highlight w:val="none"/>
        </w:rPr>
      </w:pPr>
      <w:r>
        <w:rPr>
          <w:highlight w:val="none"/>
        </w:rPr>
        <w:t>5.2.1.2 燃烧指数与发烟指数为0；</w:t>
      </w:r>
    </w:p>
    <w:p>
      <w:pPr>
        <w:rPr>
          <w:highlight w:val="none"/>
        </w:rPr>
      </w:pPr>
      <w:r>
        <w:rPr>
          <w:highlight w:val="none"/>
        </w:rPr>
        <w:t>5.2.1.3 转轮可清洗，转轮的蜂窝小孔由于灰尘的污染而吸湿能力下降，但经清洗后，转轮可以重复使用，延长了使用寿命；</w:t>
      </w:r>
    </w:p>
    <w:p>
      <w:pPr>
        <w:rPr>
          <w:highlight w:val="none"/>
        </w:rPr>
      </w:pPr>
      <w:r>
        <w:rPr>
          <w:highlight w:val="none"/>
        </w:rPr>
        <w:t>5.2.1.4 转轮强度大，其表面抗压强度超过200KPa；</w:t>
      </w:r>
    </w:p>
    <w:p>
      <w:pPr>
        <w:rPr>
          <w:highlight w:val="none"/>
        </w:rPr>
      </w:pPr>
      <w:r>
        <w:rPr>
          <w:highlight w:val="none"/>
        </w:rPr>
        <w:t>5.2.1.5 超长的使用寿命，使用寿命不得低于10年；</w:t>
      </w:r>
    </w:p>
    <w:p>
      <w:pPr>
        <w:rPr>
          <w:highlight w:val="none"/>
        </w:rPr>
      </w:pPr>
      <w:r>
        <w:rPr>
          <w:highlight w:val="none"/>
        </w:rPr>
        <w:t>5.2.1.6 转轮驱动采用优质减速电机+不锈钢链条/皮带，需满足结构紧凑、运转平稳效率高，驱动系统寿命大于2年（投入使用2年内免维护）；</w:t>
      </w:r>
    </w:p>
    <w:p>
      <w:pPr>
        <w:rPr>
          <w:highlight w:val="none"/>
        </w:rPr>
      </w:pPr>
      <w:r>
        <w:rPr>
          <w:highlight w:val="none"/>
        </w:rPr>
        <w:t>5.2.1.7 转轮隔区及圆周采用瑞典VITRON进口密封件密封转轮隔区及圆周采用进口密封件密封，密封件在两侧压差达到1500Pa到2000Pa的情况下，不会产生串风；</w:t>
      </w:r>
    </w:p>
    <w:p>
      <w:pPr>
        <w:rPr>
          <w:highlight w:val="none"/>
        </w:rPr>
      </w:pPr>
      <w:r>
        <w:rPr>
          <w:highlight w:val="none"/>
        </w:rPr>
        <w:t>5.2.1.8 转轮轴承采用原厂进口 SKF/ NSK轴承，要求便于维修和检查。</w:t>
      </w:r>
    </w:p>
    <w:p>
      <w:pPr>
        <w:pStyle w:val="14"/>
        <w:ind w:firstLine="525"/>
        <w:rPr>
          <w:sz w:val="24"/>
          <w:szCs w:val="24"/>
          <w:highlight w:val="none"/>
        </w:rPr>
      </w:pPr>
      <w:bookmarkStart w:id="19" w:name="_Toc133335297"/>
      <w:r>
        <w:rPr>
          <w:sz w:val="24"/>
          <w:szCs w:val="24"/>
          <w:highlight w:val="none"/>
        </w:rPr>
        <w:t>5.2.2 机组箱体</w:t>
      </w:r>
      <w:bookmarkEnd w:id="19"/>
    </w:p>
    <w:p>
      <w:pPr>
        <w:rPr>
          <w:highlight w:val="none"/>
        </w:rPr>
      </w:pPr>
      <w:r>
        <w:rPr>
          <w:highlight w:val="none"/>
        </w:rPr>
        <w:t>5.2.2.1 箱体厚度、防冷桥设计应保证外表面不结露，机组的箱体承压值应根据实际情况确定，一般为机组工作压力的1.5倍，但不低于1000Pa；</w:t>
      </w:r>
    </w:p>
    <w:p>
      <w:pPr>
        <w:rPr>
          <w:highlight w:val="none"/>
        </w:rPr>
      </w:pPr>
      <w:r>
        <w:rPr>
          <w:highlight w:val="none"/>
        </w:rPr>
        <w:t>5.2.2.2 机组箱体表面在机房相对湿≥95%时无冷凝水产生；</w:t>
      </w:r>
    </w:p>
    <w:p>
      <w:pPr>
        <w:rPr>
          <w:highlight w:val="none"/>
        </w:rPr>
      </w:pPr>
      <w:r>
        <w:rPr>
          <w:highlight w:val="none"/>
        </w:rPr>
        <w:t>5.2.2.3 采用节能型双层防冷桥硬质铝合金结构，框架材料为高强度硬质铝型材，中间为高效热隔断体，采用先进的钝化保护工艺，机体具有良好的防腐性和绝热节能性；</w:t>
      </w:r>
    </w:p>
    <w:p>
      <w:pPr>
        <w:rPr>
          <w:highlight w:val="none"/>
        </w:rPr>
      </w:pPr>
      <w:r>
        <w:rPr>
          <w:highlight w:val="none"/>
        </w:rPr>
        <w:t>5.2.2.4 设备内部内底板采用≥1.0mm，304不锈钢板。壁板外部底座及联接直角周边均配装铝合金型材，具备较高强度和刚度，壁板机械强度确保机组在空调箱内静压为2000Pa时能正常工作，具备隔声（隔声15-20dB）、阻燃、防潮、表面不起尘等特点。壁板导热系数λ＝0.79w/(m2*k)，容重大于45kg/m</w:t>
      </w:r>
      <w:r>
        <w:rPr>
          <w:highlight w:val="none"/>
          <w:vertAlign w:val="subscript"/>
        </w:rPr>
        <w:t>3</w:t>
      </w:r>
      <w:r>
        <w:rPr>
          <w:highlight w:val="none"/>
        </w:rPr>
        <w:t>，热阻为2.1㎡K/W，并能提供检测报告。壁板四周有PVC骨架密封，壁板内的聚氨酯不外漏，内外钢板不直接连接，防止冷桥现象，外表面另贴塑料薄膜，在运输及运行过程中不会出现任何变形；</w:t>
      </w:r>
    </w:p>
    <w:p>
      <w:pPr>
        <w:rPr>
          <w:highlight w:val="none"/>
        </w:rPr>
      </w:pPr>
      <w:r>
        <w:rPr>
          <w:highlight w:val="none"/>
        </w:rPr>
        <w:t>5.2.2.5 机组漏风率：在1000Pa标准工况下机组漏风率小于0.1%；</w:t>
      </w:r>
    </w:p>
    <w:p>
      <w:pPr>
        <w:rPr>
          <w:highlight w:val="none"/>
        </w:rPr>
      </w:pPr>
      <w:r>
        <w:rPr>
          <w:highlight w:val="none"/>
        </w:rPr>
        <w:t>5.2.2.6 考虑设备的强度及使用寿命，采用框架结构，多级的防冷桥框架结构，面板采用先镀锌再喷塑、内板采用镀铝锌板的双层保护工艺，机体具有良好的防腐性和绝缘性，隔热材料符合消防安全标准；板厚应满足下表要求</w:t>
      </w:r>
    </w:p>
    <w:p>
      <w:pPr>
        <w:jc w:val="center"/>
        <w:rPr>
          <w:highlight w:val="none"/>
        </w:rPr>
      </w:pPr>
      <w:r>
        <w:rPr>
          <w:highlight w:val="none"/>
        </w:rPr>
        <w:drawing>
          <wp:inline distT="0" distB="0" distL="114300" distR="114300">
            <wp:extent cx="3060065" cy="920750"/>
            <wp:effectExtent l="0" t="0" r="6985" b="12700"/>
            <wp:docPr id="11" name="图片 1" descr="https://wdcdn.qpic.cn/MTY4ODg1NDQ2NjQ1NTcwNA_891405_0-cm8RSDGNrfmNDY_1681979398?w=321&amp;h=97&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https://wdcdn.qpic.cn/MTY4ODg1NDQ2NjQ1NTcwNA_891405_0-cm8RSDGNrfmNDY_1681979398?w=321&amp;h=97&amp;type=image/png"/>
                    <pic:cNvPicPr>
                      <a:picLocks noChangeAspect="1"/>
                    </pic:cNvPicPr>
                  </pic:nvPicPr>
                  <pic:blipFill>
                    <a:blip r:embed="rId11"/>
                    <a:stretch>
                      <a:fillRect/>
                    </a:stretch>
                  </pic:blipFill>
                  <pic:spPr>
                    <a:xfrm>
                      <a:off x="0" y="0"/>
                      <a:ext cx="3060065" cy="920750"/>
                    </a:xfrm>
                    <a:prstGeom prst="rect">
                      <a:avLst/>
                    </a:prstGeom>
                    <a:noFill/>
                    <a:ln>
                      <a:noFill/>
                    </a:ln>
                  </pic:spPr>
                </pic:pic>
              </a:graphicData>
            </a:graphic>
          </wp:inline>
        </w:drawing>
      </w:r>
    </w:p>
    <w:p>
      <w:pPr>
        <w:rPr>
          <w:highlight w:val="none"/>
        </w:rPr>
      </w:pPr>
      <w:r>
        <w:rPr>
          <w:highlight w:val="none"/>
        </w:rPr>
        <w:t>5.2.2.7 设备自带机座，机座高度已考虑排水的要求，必须保证冷凝水排水顺畅，干净；</w:t>
      </w:r>
    </w:p>
    <w:p>
      <w:pPr>
        <w:rPr>
          <w:highlight w:val="none"/>
        </w:rPr>
      </w:pPr>
      <w:r>
        <w:rPr>
          <w:highlight w:val="none"/>
        </w:rPr>
        <w:t>5.2.2.8 所有设备机箱在适合、统一的位置增加甲方公司的logo。</w:t>
      </w:r>
    </w:p>
    <w:p>
      <w:pPr>
        <w:pStyle w:val="4"/>
        <w:rPr>
          <w:sz w:val="24"/>
          <w:szCs w:val="24"/>
          <w:highlight w:val="none"/>
        </w:rPr>
      </w:pPr>
      <w:bookmarkStart w:id="20" w:name="_Toc133335298"/>
      <w:r>
        <w:rPr>
          <w:sz w:val="24"/>
          <w:szCs w:val="24"/>
          <w:highlight w:val="none"/>
        </w:rPr>
        <w:t>5.2.3 机组内置过滤器要求</w:t>
      </w:r>
      <w:bookmarkEnd w:id="20"/>
    </w:p>
    <w:p>
      <w:pPr>
        <w:rPr>
          <w:highlight w:val="none"/>
        </w:rPr>
      </w:pPr>
      <w:r>
        <w:rPr>
          <w:highlight w:val="none"/>
        </w:rPr>
        <w:t>5.2.3.1 除湿机入口配置两级过滤器（型式为：一级为板式过滤器、另一级为袋式过滤器），且在前端增加钢丝网过滤器；板式过滤器为G4，过滤器设计成快换结构，实现不停机更换初效过滤器；</w:t>
      </w:r>
    </w:p>
    <w:p>
      <w:pPr>
        <w:rPr>
          <w:highlight w:val="none"/>
        </w:rPr>
      </w:pPr>
      <w:r>
        <w:rPr>
          <w:highlight w:val="none"/>
        </w:rPr>
        <w:t>5.2.3.2 中效过滤器为F8，各级过滤器设计有压差报警功能；</w:t>
      </w:r>
    </w:p>
    <w:p>
      <w:pPr>
        <w:rPr>
          <w:highlight w:val="none"/>
        </w:rPr>
      </w:pPr>
      <w:r>
        <w:rPr>
          <w:highlight w:val="none"/>
        </w:rPr>
        <w:t>5.2.3.3 设备各初效、中效过滤器均需要有压差检测及超差报警功能，当压差达到设定值；能预警进行过滤器保养或更换；</w:t>
      </w:r>
    </w:p>
    <w:p>
      <w:pPr>
        <w:rPr>
          <w:highlight w:val="none"/>
        </w:rPr>
      </w:pPr>
      <w:r>
        <w:rPr>
          <w:highlight w:val="none"/>
        </w:rPr>
        <w:t>5.2.3.4 空气过滤器为板式或者袋式，铝合金框架，可清洗，可更换滤料；</w:t>
      </w:r>
    </w:p>
    <w:p>
      <w:pPr>
        <w:rPr>
          <w:highlight w:val="none"/>
        </w:rPr>
      </w:pPr>
      <w:r>
        <w:rPr>
          <w:highlight w:val="none"/>
        </w:rPr>
        <w:t>5.2.3.5 F8过滤器对于≥0.5μ的粒子，过滤效率≥99％。</w:t>
      </w:r>
    </w:p>
    <w:p>
      <w:pPr>
        <w:pStyle w:val="4"/>
        <w:rPr>
          <w:sz w:val="24"/>
          <w:szCs w:val="24"/>
          <w:highlight w:val="none"/>
        </w:rPr>
      </w:pPr>
      <w:bookmarkStart w:id="21" w:name="_Toc133335299"/>
      <w:r>
        <w:rPr>
          <w:sz w:val="24"/>
          <w:szCs w:val="24"/>
          <w:highlight w:val="none"/>
        </w:rPr>
        <w:t>5.2.4 机组内置制冷及加热段要求</w:t>
      </w:r>
      <w:bookmarkEnd w:id="21"/>
    </w:p>
    <w:p>
      <w:pPr>
        <w:rPr>
          <w:highlight w:val="none"/>
        </w:rPr>
      </w:pPr>
      <w:r>
        <w:rPr>
          <w:highlight w:val="none"/>
        </w:rPr>
        <w:t>5.2.4.1 表冷器采用高效脱氧优质铜管，机械胀接亲水膜铝翅片；</w:t>
      </w:r>
    </w:p>
    <w:p>
      <w:pPr>
        <w:rPr>
          <w:highlight w:val="none"/>
        </w:rPr>
      </w:pPr>
      <w:r>
        <w:rPr>
          <w:highlight w:val="none"/>
        </w:rPr>
        <w:t>5.2.4.2 表冷器应该满足如下技术要求；</w:t>
      </w:r>
    </w:p>
    <w:tbl>
      <w:tblPr>
        <w:tblStyle w:val="16"/>
        <w:tblW w:w="5565" w:type="dxa"/>
        <w:jc w:val="center"/>
        <w:tblLayout w:type="fixed"/>
        <w:tblCellMar>
          <w:top w:w="15" w:type="dxa"/>
          <w:left w:w="15" w:type="dxa"/>
          <w:bottom w:w="15" w:type="dxa"/>
          <w:right w:w="15" w:type="dxa"/>
        </w:tblCellMar>
      </w:tblPr>
      <w:tblGrid>
        <w:gridCol w:w="960"/>
        <w:gridCol w:w="1455"/>
        <w:gridCol w:w="2190"/>
        <w:gridCol w:w="960"/>
      </w:tblGrid>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序号</w:t>
            </w:r>
          </w:p>
        </w:tc>
        <w:tc>
          <w:tcPr>
            <w:tcW w:w="145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项目</w:t>
            </w:r>
          </w:p>
        </w:tc>
        <w:tc>
          <w:tcPr>
            <w:tcW w:w="21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技术要求</w:t>
            </w:r>
          </w:p>
        </w:tc>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备注</w:t>
            </w:r>
          </w:p>
        </w:tc>
      </w:tr>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1</w:t>
            </w:r>
          </w:p>
        </w:tc>
        <w:tc>
          <w:tcPr>
            <w:tcW w:w="145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铜管壁厚</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≥0.5mm</w:t>
            </w:r>
          </w:p>
        </w:tc>
        <w:tc>
          <w:tcPr>
            <w:tcW w:w="9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2</w:t>
            </w:r>
          </w:p>
        </w:tc>
        <w:tc>
          <w:tcPr>
            <w:tcW w:w="145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铜管直径</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15-18mm</w:t>
            </w:r>
          </w:p>
        </w:tc>
        <w:tc>
          <w:tcPr>
            <w:tcW w:w="9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3</w:t>
            </w:r>
          </w:p>
        </w:tc>
        <w:tc>
          <w:tcPr>
            <w:tcW w:w="145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翅片片距</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1.5-2.7mm</w:t>
            </w:r>
          </w:p>
        </w:tc>
        <w:tc>
          <w:tcPr>
            <w:tcW w:w="9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r>
              <w:rPr>
                <w:color w:val="000000"/>
                <w:szCs w:val="21"/>
                <w:highlight w:val="none"/>
              </w:rPr>
              <w:t>4</w:t>
            </w:r>
          </w:p>
        </w:tc>
        <w:tc>
          <w:tcPr>
            <w:tcW w:w="145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r>
              <w:rPr>
                <w:color w:val="000000"/>
                <w:szCs w:val="21"/>
                <w:highlight w:val="none"/>
              </w:rPr>
              <w:t>设计面风速</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r>
              <w:rPr>
                <w:color w:val="000000"/>
                <w:szCs w:val="21"/>
                <w:highlight w:val="none"/>
              </w:rPr>
              <w:t>前表冷≤2.0m/s</w:t>
            </w:r>
          </w:p>
        </w:tc>
        <w:tc>
          <w:tcPr>
            <w:tcW w:w="960"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vMerge w:val="continue"/>
            <w:tcBorders>
              <w:top w:val="single" w:color="000000" w:sz="6" w:space="0"/>
              <w:left w:val="single" w:color="000000" w:sz="6" w:space="0"/>
              <w:bottom w:val="single" w:color="000000" w:sz="6" w:space="0"/>
              <w:right w:val="single" w:color="000000" w:sz="6" w:space="0"/>
            </w:tcBorders>
            <w:noWrap w:val="0"/>
            <w:vAlign w:val="center"/>
          </w:tcPr>
          <w:p>
            <w:pPr>
              <w:rPr>
                <w:szCs w:val="21"/>
                <w:highlight w:val="none"/>
              </w:rPr>
            </w:pPr>
          </w:p>
        </w:tc>
        <w:tc>
          <w:tcPr>
            <w:tcW w:w="1455" w:type="dxa"/>
            <w:vMerge w:val="continue"/>
            <w:tcBorders>
              <w:top w:val="single" w:color="CBCDD1" w:sz="6" w:space="0"/>
              <w:left w:val="single" w:color="000000" w:sz="6" w:space="0"/>
              <w:bottom w:val="single" w:color="000000" w:sz="6" w:space="0"/>
              <w:right w:val="single" w:color="000000" w:sz="6" w:space="0"/>
            </w:tcBorders>
            <w:noWrap w:val="0"/>
            <w:vAlign w:val="center"/>
          </w:tcPr>
          <w:p>
            <w:pPr>
              <w:rPr>
                <w:szCs w:val="21"/>
                <w:highlight w:val="none"/>
              </w:rPr>
            </w:pPr>
          </w:p>
        </w:tc>
        <w:tc>
          <w:tcPr>
            <w:tcW w:w="21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r>
              <w:rPr>
                <w:color w:val="000000"/>
                <w:szCs w:val="21"/>
                <w:highlight w:val="none"/>
              </w:rPr>
              <w:t>中表冷≤2.5m/s</w:t>
            </w:r>
          </w:p>
        </w:tc>
        <w:tc>
          <w:tcPr>
            <w:tcW w:w="960" w:type="dxa"/>
            <w:vMerge w:val="continue"/>
            <w:tcBorders>
              <w:top w:val="single" w:color="CBCDD1" w:sz="6" w:space="0"/>
              <w:left w:val="single" w:color="000000" w:sz="6" w:space="0"/>
              <w:bottom w:val="single" w:color="000000" w:sz="6" w:space="0"/>
              <w:right w:val="single" w:color="000000" w:sz="6" w:space="0"/>
            </w:tcBorders>
            <w:noWrap w:val="0"/>
            <w:vAlign w:val="center"/>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5</w:t>
            </w:r>
          </w:p>
        </w:tc>
        <w:tc>
          <w:tcPr>
            <w:tcW w:w="145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翅片倒片率</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＜1%</w:t>
            </w:r>
          </w:p>
        </w:tc>
        <w:tc>
          <w:tcPr>
            <w:tcW w:w="9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bl>
    <w:p>
      <w:pPr>
        <w:rPr>
          <w:bCs/>
          <w:szCs w:val="24"/>
          <w:highlight w:val="none"/>
        </w:rPr>
      </w:pPr>
      <w:r>
        <w:rPr>
          <w:bCs/>
          <w:szCs w:val="24"/>
          <w:highlight w:val="none"/>
        </w:rPr>
        <w:t>5.2.4.3 表冷器需要设置冬季排水阀，符合 GB/T 14296-2008 国家规范要求；</w:t>
      </w:r>
    </w:p>
    <w:p>
      <w:pPr>
        <w:rPr>
          <w:bCs/>
          <w:szCs w:val="24"/>
          <w:highlight w:val="none"/>
        </w:rPr>
      </w:pPr>
      <w:r>
        <w:rPr>
          <w:bCs/>
          <w:szCs w:val="24"/>
          <w:highlight w:val="none"/>
        </w:rPr>
        <w:t>5.2.4.4 前表冷器之后配置温度传感器；</w:t>
      </w:r>
    </w:p>
    <w:p>
      <w:pPr>
        <w:rPr>
          <w:bCs/>
          <w:szCs w:val="24"/>
          <w:highlight w:val="none"/>
        </w:rPr>
      </w:pPr>
      <w:r>
        <w:rPr>
          <w:bCs/>
          <w:szCs w:val="24"/>
          <w:highlight w:val="none"/>
        </w:rPr>
        <w:t>5.2.4.5 前表冷器设计留有30%余量，保证极端天气下，仍能满足要求；</w:t>
      </w:r>
    </w:p>
    <w:p>
      <w:pPr>
        <w:rPr>
          <w:bCs/>
          <w:szCs w:val="24"/>
          <w:highlight w:val="none"/>
        </w:rPr>
      </w:pPr>
      <w:r>
        <w:rPr>
          <w:bCs/>
          <w:szCs w:val="24"/>
          <w:highlight w:val="none"/>
        </w:rPr>
        <w:t>5.2.4.6 前段表冷器须配置三级冷凝，并做好防漏水，冷凝排水管做坡度自动排入厂区排</w:t>
      </w:r>
      <w:r>
        <w:rPr>
          <w:rFonts w:hint="eastAsia"/>
          <w:bCs/>
          <w:szCs w:val="24"/>
          <w:highlight w:val="none"/>
        </w:rPr>
        <w:t>水</w:t>
      </w:r>
      <w:r>
        <w:rPr>
          <w:bCs/>
          <w:szCs w:val="24"/>
          <w:highlight w:val="none"/>
        </w:rPr>
        <w:t>管；</w:t>
      </w:r>
    </w:p>
    <w:p>
      <w:pPr>
        <w:rPr>
          <w:bCs/>
          <w:szCs w:val="24"/>
          <w:highlight w:val="none"/>
        </w:rPr>
      </w:pPr>
      <w:r>
        <w:rPr>
          <w:bCs/>
          <w:szCs w:val="24"/>
          <w:highlight w:val="none"/>
        </w:rPr>
        <w:t>5.2.4.7 积水盘需能及时排除凝结水，表冷段配置 1.2mm 厚 304 不锈钢“干式水盘”，高位积水盘设计可以及时将冷凝水排走，外置配有压差弯设计，冷凝水排至招标方指定地点；</w:t>
      </w:r>
    </w:p>
    <w:p>
      <w:pPr>
        <w:rPr>
          <w:bCs/>
          <w:szCs w:val="24"/>
          <w:highlight w:val="none"/>
        </w:rPr>
      </w:pPr>
      <w:r>
        <w:rPr>
          <w:bCs/>
          <w:szCs w:val="24"/>
          <w:highlight w:val="none"/>
        </w:rPr>
        <w:t>5.2.4.8 低露点除湿机内部要求防止前段高湿度空气进入后段低湿区域；</w:t>
      </w:r>
    </w:p>
    <w:p>
      <w:pPr>
        <w:rPr>
          <w:bCs/>
          <w:szCs w:val="24"/>
          <w:highlight w:val="none"/>
        </w:rPr>
      </w:pPr>
      <w:r>
        <w:rPr>
          <w:bCs/>
          <w:szCs w:val="24"/>
          <w:highlight w:val="none"/>
        </w:rPr>
        <w:t>5.2.4.8 可能产生冷凝水的区域须具备自动排水功能，具有积水检测功能，若出现积水则进行报警；</w:t>
      </w:r>
    </w:p>
    <w:p>
      <w:pPr>
        <w:rPr>
          <w:bCs/>
          <w:szCs w:val="24"/>
          <w:highlight w:val="none"/>
        </w:rPr>
      </w:pPr>
      <w:r>
        <w:rPr>
          <w:bCs/>
          <w:szCs w:val="24"/>
          <w:highlight w:val="none"/>
        </w:rPr>
        <w:t>5.2.4.9 表冷器设计为抽屉式，方便检修或者更换；</w:t>
      </w:r>
    </w:p>
    <w:p>
      <w:pPr>
        <w:rPr>
          <w:bCs/>
          <w:szCs w:val="24"/>
          <w:highlight w:val="none"/>
        </w:rPr>
      </w:pPr>
      <w:r>
        <w:rPr>
          <w:bCs/>
          <w:szCs w:val="24"/>
          <w:highlight w:val="none"/>
        </w:rPr>
        <w:t>5.2.4.10 蒸汽盘管材质：SUS304不锈钢钢管铝翅片，具体依据介质类型(热水、蒸汽)选型，盘管置于水中以空气试压，试验压力为2.0MPa，换热盘管应提供出厂打压试漏报告，盘管接口为丝扣即可；</w:t>
      </w:r>
    </w:p>
    <w:p>
      <w:pPr>
        <w:rPr>
          <w:bCs/>
          <w:szCs w:val="24"/>
          <w:highlight w:val="none"/>
        </w:rPr>
      </w:pPr>
      <w:r>
        <w:rPr>
          <w:bCs/>
          <w:szCs w:val="24"/>
          <w:highlight w:val="none"/>
        </w:rPr>
        <w:t>5.2.4.11 盘管管径≥∅16mm，厚度≥1mm，翅片厚度≥0.25mm，盘管为不锈钢框架，厚度≥1.5mm，设计压力1.0MPa，需满足最大工作蒸汽压力0.8MPa。</w:t>
      </w:r>
    </w:p>
    <w:p>
      <w:pPr>
        <w:pStyle w:val="4"/>
        <w:rPr>
          <w:sz w:val="24"/>
          <w:szCs w:val="24"/>
          <w:highlight w:val="none"/>
        </w:rPr>
      </w:pPr>
      <w:bookmarkStart w:id="22" w:name="_Toc133335300"/>
      <w:r>
        <w:rPr>
          <w:sz w:val="24"/>
          <w:szCs w:val="24"/>
          <w:highlight w:val="none"/>
        </w:rPr>
        <w:t>5.2.5 机组内置风机要求</w:t>
      </w:r>
      <w:bookmarkEnd w:id="22"/>
    </w:p>
    <w:p>
      <w:pPr>
        <w:rPr>
          <w:highlight w:val="none"/>
        </w:rPr>
      </w:pPr>
      <w:r>
        <w:rPr>
          <w:highlight w:val="none"/>
        </w:rPr>
        <w:t>5.2.5.1 处理风机应为高效风机，能效等级不低于2级，F级绝缘，IP54防护等级，三相异步电机。风机和电机应安装在装有减震器的钢支架上，减振器采用优质弹簧减振器，钢支架四个角可上下自由震动；</w:t>
      </w:r>
    </w:p>
    <w:p>
      <w:pPr>
        <w:rPr>
          <w:highlight w:val="none"/>
        </w:rPr>
      </w:pPr>
      <w:r>
        <w:rPr>
          <w:highlight w:val="none"/>
        </w:rPr>
        <w:t>5.2.5.2 所有处理风机采用变频器控制；风机轴承采用免维护轴承。所有机组均采用变频调节控制系统；特别要求做好机组的减震，处理风机出厂前做好动平衡，底座采用弹簧减震，整机减震，风机风口与箱体</w:t>
      </w:r>
      <w:r>
        <w:rPr>
          <w:rFonts w:hint="eastAsia"/>
          <w:highlight w:val="none"/>
        </w:rPr>
        <w:t>采用软</w:t>
      </w:r>
      <w:r>
        <w:rPr>
          <w:highlight w:val="none"/>
        </w:rPr>
        <w:t>连接，标准人站在1.0米处无明显震感，噪音≤75DB；</w:t>
      </w:r>
    </w:p>
    <w:p>
      <w:pPr>
        <w:rPr>
          <w:highlight w:val="none"/>
        </w:rPr>
      </w:pPr>
      <w:r>
        <w:rPr>
          <w:highlight w:val="none"/>
        </w:rPr>
        <w:t>5.2.5.3 再生风机要求耐高温，耐腐蚀，绝缘等级不低于F级；</w:t>
      </w:r>
    </w:p>
    <w:p>
      <w:pPr>
        <w:rPr>
          <w:highlight w:val="none"/>
        </w:rPr>
      </w:pPr>
      <w:r>
        <w:rPr>
          <w:highlight w:val="none"/>
        </w:rPr>
        <w:t>5.2.5.4 电机额定功率应至少超过负载轴功率的15%；</w:t>
      </w:r>
    </w:p>
    <w:p>
      <w:pPr>
        <w:pStyle w:val="4"/>
        <w:rPr>
          <w:sz w:val="24"/>
          <w:szCs w:val="24"/>
          <w:highlight w:val="none"/>
        </w:rPr>
      </w:pPr>
      <w:bookmarkStart w:id="23" w:name="_Toc133335301"/>
      <w:r>
        <w:rPr>
          <w:sz w:val="24"/>
          <w:szCs w:val="24"/>
          <w:highlight w:val="none"/>
        </w:rPr>
        <w:t>5.2.6 机组配置风阀要求</w:t>
      </w:r>
      <w:bookmarkEnd w:id="23"/>
    </w:p>
    <w:p>
      <w:pPr>
        <w:rPr>
          <w:highlight w:val="none"/>
        </w:rPr>
      </w:pPr>
      <w:r>
        <w:rPr>
          <w:highlight w:val="none"/>
        </w:rPr>
        <w:t>5.2.6.1 除湿机</w:t>
      </w:r>
      <w:r>
        <w:rPr>
          <w:rFonts w:hint="eastAsia"/>
          <w:highlight w:val="none"/>
        </w:rPr>
        <w:t>前、</w:t>
      </w:r>
      <w:r>
        <w:rPr>
          <w:highlight w:val="none"/>
        </w:rPr>
        <w:t>后表冷器的冷冻水管道</w:t>
      </w:r>
      <w:r>
        <w:rPr>
          <w:rFonts w:hint="eastAsia"/>
          <w:highlight w:val="none"/>
        </w:rPr>
        <w:t>需安装</w:t>
      </w:r>
      <w:r>
        <w:rPr>
          <w:highlight w:val="none"/>
        </w:rPr>
        <w:t>比例调节阀控制冷冻水流量，可以根据温度自动调节冷冻水流量的大小；</w:t>
      </w:r>
    </w:p>
    <w:p>
      <w:pPr>
        <w:rPr>
          <w:highlight w:val="none"/>
        </w:rPr>
      </w:pPr>
      <w:r>
        <w:rPr>
          <w:highlight w:val="none"/>
        </w:rPr>
        <w:t>5.2.6.2 进</w:t>
      </w:r>
      <w:r>
        <w:rPr>
          <w:rFonts w:hint="eastAsia"/>
          <w:highlight w:val="none"/>
        </w:rPr>
        <w:t>风</w:t>
      </w:r>
      <w:r>
        <w:rPr>
          <w:highlight w:val="none"/>
        </w:rPr>
        <w:t>口、回风口、再生风出口、处理风出口采用法兰式低泄漏调节阀，阀体材质铝合金，阀杆采用蜗轮蜗杆，轴与刻度显示盘齿轮连接；</w:t>
      </w:r>
    </w:p>
    <w:p>
      <w:pPr>
        <w:pStyle w:val="4"/>
        <w:rPr>
          <w:sz w:val="24"/>
          <w:szCs w:val="24"/>
          <w:highlight w:val="none"/>
        </w:rPr>
      </w:pPr>
      <w:bookmarkStart w:id="24" w:name="_Toc133335303"/>
      <w:r>
        <w:rPr>
          <w:sz w:val="24"/>
          <w:szCs w:val="24"/>
          <w:highlight w:val="none"/>
        </w:rPr>
        <w:t>5.2.7 机组电气技术要求</w:t>
      </w:r>
      <w:bookmarkEnd w:id="24"/>
    </w:p>
    <w:p>
      <w:pPr>
        <w:rPr>
          <w:highlight w:val="none"/>
        </w:rPr>
      </w:pPr>
      <w:r>
        <w:rPr>
          <w:highlight w:val="none"/>
        </w:rPr>
        <w:t>5.2.7.1 电源：380V±7%，50HZ±5%，三相五线（要求与安装位置的电源参数相符）；应保证所供设备及零配件不属于工信部颁布的《国家高耗能落后机电设备淘汰目录》中被淘汰的落后机电产品，否则甲方有权要求乙方对落后产品进行更换或做退货处理；</w:t>
      </w:r>
    </w:p>
    <w:p>
      <w:pPr>
        <w:rPr>
          <w:highlight w:val="none"/>
        </w:rPr>
      </w:pPr>
      <w:r>
        <w:rPr>
          <w:highlight w:val="none"/>
        </w:rPr>
        <w:t>5.2.7.2 送风温度控制要求：可编程处理器根据出风口/回风温度传感器反馈数据对冷水电动阀开度进行控制，以实现对送风温度的自动控制，最终使送风温度趋近设定值，温度控制精度±2℃；</w:t>
      </w:r>
    </w:p>
    <w:p>
      <w:pPr>
        <w:rPr>
          <w:highlight w:val="none"/>
        </w:rPr>
      </w:pPr>
      <w:r>
        <w:rPr>
          <w:highlight w:val="none"/>
        </w:rPr>
        <w:t>5.2.7.3 掉电情况下的保护：电控系统及组件必须能够适应工厂电网上的电压波动和脉冲干扰；在电压干扰和掉电之后，被中断的程序必须能再次重新执行；电源系统的一相或两相掉电时，所有设备电源必须随之自动断开；在电源断电或设备急停时，为了避免设备损坏或人身伤害，不允许设备有任何运动；</w:t>
      </w:r>
    </w:p>
    <w:p>
      <w:pPr>
        <w:rPr>
          <w:highlight w:val="none"/>
        </w:rPr>
      </w:pPr>
      <w:r>
        <w:rPr>
          <w:highlight w:val="none"/>
        </w:rPr>
        <w:t>5.2.7.4 在电机过载情况下的保护：必须采用过载保护装置，而且要防止它自动再次接通；三相电机的电流过载保护器必须分别安装在三相线路上；电机热保护开关接入控制回路中</w:t>
      </w:r>
      <w:r>
        <w:rPr>
          <w:rFonts w:hint="eastAsia"/>
          <w:highlight w:val="none"/>
        </w:rPr>
        <w:t>；</w:t>
      </w:r>
    </w:p>
    <w:p>
      <w:pPr>
        <w:rPr>
          <w:highlight w:val="none"/>
        </w:rPr>
      </w:pPr>
      <w:r>
        <w:rPr>
          <w:rFonts w:hint="eastAsia"/>
          <w:highlight w:val="none"/>
        </w:rPr>
        <w:t>5</w:t>
      </w:r>
      <w:r>
        <w:rPr>
          <w:highlight w:val="none"/>
        </w:rPr>
        <w:t>.2.7.5 电控箱内主要电气元器件采用ABB、西门子或施耐德品牌；</w:t>
      </w:r>
    </w:p>
    <w:p>
      <w:pPr>
        <w:pStyle w:val="4"/>
        <w:rPr>
          <w:sz w:val="24"/>
          <w:szCs w:val="24"/>
          <w:highlight w:val="none"/>
        </w:rPr>
      </w:pPr>
      <w:bookmarkStart w:id="25" w:name="_Toc133335304"/>
      <w:r>
        <w:rPr>
          <w:sz w:val="24"/>
          <w:szCs w:val="24"/>
          <w:highlight w:val="none"/>
        </w:rPr>
        <w:t>5.2.8 机组主控柜</w:t>
      </w:r>
      <w:bookmarkEnd w:id="25"/>
    </w:p>
    <w:p>
      <w:pPr>
        <w:rPr>
          <w:highlight w:val="none"/>
        </w:rPr>
      </w:pPr>
      <w:r>
        <w:rPr>
          <w:highlight w:val="none"/>
        </w:rPr>
        <w:t>5.2.8.1 主控柜为碳钢材质，IP54，具备变频器，配散热风扇级粉尘过滤网；</w:t>
      </w:r>
    </w:p>
    <w:p>
      <w:pPr>
        <w:rPr>
          <w:highlight w:val="none"/>
        </w:rPr>
      </w:pPr>
      <w:r>
        <w:rPr>
          <w:highlight w:val="none"/>
        </w:rPr>
        <w:t>5.2.8.2 带电源、运行、故障计3个指示灯；</w:t>
      </w:r>
    </w:p>
    <w:p>
      <w:pPr>
        <w:rPr>
          <w:highlight w:val="none"/>
        </w:rPr>
      </w:pPr>
      <w:r>
        <w:rPr>
          <w:highlight w:val="none"/>
        </w:rPr>
        <w:t>5.2.8.3 紧急停机按钮自带保护罩盖；</w:t>
      </w:r>
    </w:p>
    <w:p>
      <w:pPr>
        <w:rPr>
          <w:highlight w:val="none"/>
        </w:rPr>
      </w:pPr>
      <w:r>
        <w:rPr>
          <w:highlight w:val="none"/>
        </w:rPr>
        <w:t>5.2.8.4 控制器为PLC；</w:t>
      </w:r>
    </w:p>
    <w:p>
      <w:pPr>
        <w:rPr>
          <w:highlight w:val="none"/>
        </w:rPr>
      </w:pPr>
      <w:r>
        <w:rPr>
          <w:highlight w:val="none"/>
        </w:rPr>
        <w:t>5.2.8.5 机组自带控制柜需与机组一体式；</w:t>
      </w:r>
    </w:p>
    <w:p>
      <w:pPr>
        <w:rPr>
          <w:highlight w:val="none"/>
        </w:rPr>
      </w:pPr>
      <w:r>
        <w:rPr>
          <w:highlight w:val="none"/>
        </w:rPr>
        <w:t>5.2.8.6 电控箱内主要电气元器件采用ABB、西门子或施耐德品牌；</w:t>
      </w:r>
    </w:p>
    <w:p>
      <w:pPr>
        <w:rPr>
          <w:highlight w:val="none"/>
        </w:rPr>
      </w:pPr>
      <w:r>
        <w:rPr>
          <w:highlight w:val="none"/>
        </w:rPr>
        <w:t>5.2.8.7 每台除湿机控制柜里面安装一个220V/AC，总功率≥1000W的电源插座，可满足用于外接电脑、吸尘器或照明灯；</w:t>
      </w:r>
    </w:p>
    <w:p>
      <w:pPr>
        <w:rPr>
          <w:highlight w:val="none"/>
        </w:rPr>
      </w:pPr>
      <w:r>
        <w:rPr>
          <w:highlight w:val="none"/>
        </w:rPr>
        <w:t>5.2.8.8 电气控制柜预留消防信号连锁接口，当有消防报警时，应能强切机组部分控制电路。</w:t>
      </w:r>
    </w:p>
    <w:p>
      <w:pPr>
        <w:rPr>
          <w:highlight w:val="none"/>
        </w:rPr>
      </w:pPr>
      <w:r>
        <w:rPr>
          <w:highlight w:val="none"/>
        </w:rPr>
        <w:t>5.2.8.9 带变频器控制柜内设置散热风扇，保证变频器正常运转；</w:t>
      </w:r>
    </w:p>
    <w:p>
      <w:pPr>
        <w:rPr>
          <w:highlight w:val="none"/>
        </w:rPr>
      </w:pPr>
      <w:r>
        <w:rPr>
          <w:highlight w:val="none"/>
        </w:rPr>
        <w:t>5.2.8.10 柜内所有电气原件及柜体本身，在未正式验收前如有损坏，需乙方自行负责修复处理。</w:t>
      </w:r>
    </w:p>
    <w:p>
      <w:pPr>
        <w:pStyle w:val="4"/>
        <w:rPr>
          <w:sz w:val="24"/>
          <w:szCs w:val="24"/>
          <w:highlight w:val="none"/>
        </w:rPr>
      </w:pPr>
      <w:bookmarkStart w:id="26" w:name="_Toc133335305"/>
      <w:r>
        <w:rPr>
          <w:sz w:val="24"/>
          <w:szCs w:val="24"/>
          <w:highlight w:val="none"/>
        </w:rPr>
        <w:t>5.2.10 机组主要部件清单</w:t>
      </w:r>
      <w:bookmarkEnd w:id="26"/>
    </w:p>
    <w:p>
      <w:pPr>
        <w:rPr>
          <w:highlight w:val="none"/>
        </w:rPr>
      </w:pPr>
      <w:r>
        <w:rPr>
          <w:highlight w:val="none"/>
        </w:rPr>
        <w:t>并提供关键部件采购合同</w:t>
      </w:r>
    </w:p>
    <w:tbl>
      <w:tblPr>
        <w:tblStyle w:val="16"/>
        <w:tblW w:w="9144" w:type="dxa"/>
        <w:jc w:val="center"/>
        <w:tblLayout w:type="fixed"/>
        <w:tblCellMar>
          <w:top w:w="15" w:type="dxa"/>
          <w:left w:w="15" w:type="dxa"/>
          <w:bottom w:w="15" w:type="dxa"/>
          <w:right w:w="15" w:type="dxa"/>
        </w:tblCellMar>
      </w:tblPr>
      <w:tblGrid>
        <w:gridCol w:w="856"/>
        <w:gridCol w:w="1767"/>
        <w:gridCol w:w="6521"/>
      </w:tblGrid>
      <w:tr>
        <w:tblPrEx>
          <w:tblCellMar>
            <w:top w:w="15" w:type="dxa"/>
            <w:left w:w="15" w:type="dxa"/>
            <w:bottom w:w="15" w:type="dxa"/>
            <w:right w:w="15" w:type="dxa"/>
          </w:tblCellMar>
        </w:tblPrEx>
        <w:trPr>
          <w:trHeight w:val="619"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序号</w:t>
            </w:r>
          </w:p>
        </w:tc>
        <w:tc>
          <w:tcPr>
            <w:tcW w:w="1767"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名称</w:t>
            </w:r>
          </w:p>
        </w:tc>
        <w:tc>
          <w:tcPr>
            <w:tcW w:w="6521"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默认配置</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1</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初效过滤器</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板式过滤器G4，过滤器框架铝合金型材</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2</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中效过滤器</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袋式过滤器F8，过滤器框架铝合金型材</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3</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风阀</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铝合金型材</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4</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钢框架</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新型铝合金/钢框架型材</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5</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槽钢底座</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槽钢</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6</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PUP面板</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外侧彩/内侧镀锌板、聚氨酯高压发泡，保温板厚度：50mm。</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7</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表冷器</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铜管套亲水铝翅片</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8</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挡水板</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铝合金材质</w:t>
            </w:r>
          </w:p>
        </w:tc>
      </w:tr>
      <w:tr>
        <w:tblPrEx>
          <w:tblCellMar>
            <w:top w:w="15" w:type="dxa"/>
            <w:left w:w="15" w:type="dxa"/>
            <w:bottom w:w="15" w:type="dxa"/>
            <w:right w:w="15" w:type="dxa"/>
          </w:tblCellMar>
        </w:tblPrEx>
        <w:trPr>
          <w:trHeight w:val="47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9</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积水盘</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rPr>
                <w:szCs w:val="21"/>
                <w:highlight w:val="none"/>
              </w:rPr>
            </w:pPr>
            <w:r>
              <w:rPr>
                <w:color w:val="000000"/>
                <w:szCs w:val="21"/>
                <w:highlight w:val="none"/>
              </w:rPr>
              <w:t>材料：304不锈钢，厚度：1.2快排式结构（配沉水弯头）</w:t>
            </w:r>
          </w:p>
        </w:tc>
      </w:tr>
      <w:tr>
        <w:tblPrEx>
          <w:tblCellMar>
            <w:top w:w="15" w:type="dxa"/>
            <w:left w:w="15" w:type="dxa"/>
            <w:bottom w:w="15" w:type="dxa"/>
            <w:right w:w="15" w:type="dxa"/>
          </w:tblCellMar>
        </w:tblPrEx>
        <w:trPr>
          <w:trHeight w:val="519"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10</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除湿转轮</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rFonts w:hint="eastAsia"/>
                <w:szCs w:val="21"/>
                <w:highlight w:val="none"/>
                <w:lang w:val="en-US" w:eastAsia="zh-CN"/>
              </w:rPr>
              <w:t>参照或相当于</w:t>
            </w:r>
            <w:r>
              <w:rPr>
                <w:szCs w:val="21"/>
                <w:highlight w:val="none"/>
              </w:rPr>
              <w:t>瑞典PROFLUTE</w:t>
            </w:r>
            <w:r>
              <w:rPr>
                <w:rFonts w:hint="eastAsia"/>
                <w:szCs w:val="21"/>
                <w:highlight w:val="none"/>
              </w:rPr>
              <w:t>或</w:t>
            </w:r>
            <w:r>
              <w:rPr>
                <w:szCs w:val="21"/>
                <w:highlight w:val="none"/>
              </w:rPr>
              <w:t>日本Nichias</w:t>
            </w:r>
          </w:p>
        </w:tc>
      </w:tr>
      <w:tr>
        <w:tblPrEx>
          <w:tblCellMar>
            <w:top w:w="15" w:type="dxa"/>
            <w:left w:w="15" w:type="dxa"/>
            <w:bottom w:w="15" w:type="dxa"/>
            <w:right w:w="15" w:type="dxa"/>
          </w:tblCellMar>
        </w:tblPrEx>
        <w:trPr>
          <w:trHeight w:val="656"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11</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转轮密封件</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耐高温硅氟橡胶</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12</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转轮减速电机</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rFonts w:hint="eastAsia"/>
                <w:szCs w:val="21"/>
                <w:highlight w:val="none"/>
                <w:lang w:val="en-US" w:eastAsia="zh-CN"/>
              </w:rPr>
              <w:t>参照或相当于</w:t>
            </w:r>
            <w:r>
              <w:rPr>
                <w:color w:val="000000"/>
                <w:szCs w:val="21"/>
                <w:highlight w:val="none"/>
              </w:rPr>
              <w:t>本都电机/日本精工或同等品牌</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13</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控制系统</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jc w:val="center"/>
              <w:rPr>
                <w:szCs w:val="21"/>
                <w:highlight w:val="none"/>
              </w:rPr>
            </w:pPr>
            <w:r>
              <w:rPr>
                <w:rFonts w:hint="eastAsia"/>
                <w:szCs w:val="21"/>
                <w:highlight w:val="none"/>
                <w:lang w:val="en-US" w:eastAsia="zh-CN"/>
              </w:rPr>
              <w:t>参照或相当于</w:t>
            </w:r>
            <w:r>
              <w:rPr>
                <w:szCs w:val="21"/>
                <w:highlight w:val="none"/>
              </w:rPr>
              <w:t>ABB、西门子或施耐德品牌</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14</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电器原器件</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jc w:val="center"/>
              <w:rPr>
                <w:szCs w:val="21"/>
                <w:highlight w:val="none"/>
              </w:rPr>
            </w:pPr>
            <w:r>
              <w:rPr>
                <w:rFonts w:hint="eastAsia"/>
                <w:szCs w:val="21"/>
                <w:highlight w:val="none"/>
                <w:lang w:val="en-US" w:eastAsia="zh-CN"/>
              </w:rPr>
              <w:t>参照或相当于</w:t>
            </w:r>
            <w:r>
              <w:rPr>
                <w:szCs w:val="21"/>
                <w:highlight w:val="none"/>
              </w:rPr>
              <w:t>ABB、西门子或施耐德品牌</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18</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人机界面</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rFonts w:hint="eastAsia"/>
                <w:szCs w:val="21"/>
                <w:highlight w:val="none"/>
                <w:lang w:val="en-US" w:eastAsia="zh-CN"/>
              </w:rPr>
              <w:t>参照或相当于</w:t>
            </w:r>
            <w:r>
              <w:rPr>
                <w:color w:val="000000"/>
                <w:szCs w:val="21"/>
                <w:highlight w:val="none"/>
              </w:rPr>
              <w:t>Siemens/ 施耐德等 触摸屏</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19</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压差计</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DWYER-5000/2000型圆盘式</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20</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湿度传感器</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jc w:val="center"/>
              <w:rPr>
                <w:szCs w:val="21"/>
                <w:highlight w:val="none"/>
              </w:rPr>
            </w:pPr>
            <w:r>
              <w:rPr>
                <w:rFonts w:hint="eastAsia"/>
                <w:szCs w:val="21"/>
                <w:highlight w:val="none"/>
                <w:lang w:val="en-US" w:eastAsia="zh-CN"/>
              </w:rPr>
              <w:t>参照或相当于</w:t>
            </w:r>
            <w:r>
              <w:rPr>
                <w:rFonts w:hint="eastAsia" w:ascii="宋体" w:hAnsi="宋体" w:cs="宋体"/>
                <w:color w:val="000000"/>
                <w:szCs w:val="21"/>
                <w:highlight w:val="none"/>
              </w:rPr>
              <w:t>美国Omega/西门子/E+H</w:t>
            </w:r>
            <w:r>
              <w:rPr>
                <w:rFonts w:ascii="宋体" w:hAnsi="宋体" w:cs="宋体"/>
                <w:color w:val="000000"/>
                <w:szCs w:val="21"/>
                <w:highlight w:val="none"/>
              </w:rPr>
              <w:t>/</w:t>
            </w:r>
            <w:r>
              <w:rPr>
                <w:rFonts w:hint="eastAsia" w:ascii="宋体" w:hAnsi="宋体" w:cs="宋体"/>
                <w:color w:val="000000"/>
                <w:szCs w:val="21"/>
                <w:highlight w:val="none"/>
              </w:rPr>
              <w:t>丹佛斯同档次品牌</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21</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露点探头</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jc w:val="center"/>
              <w:rPr>
                <w:szCs w:val="21"/>
                <w:highlight w:val="none"/>
              </w:rPr>
            </w:pPr>
            <w:r>
              <w:rPr>
                <w:rFonts w:hint="eastAsia"/>
                <w:szCs w:val="21"/>
                <w:highlight w:val="none"/>
                <w:lang w:val="en-US" w:eastAsia="zh-CN"/>
              </w:rPr>
              <w:t>参照或相当于</w:t>
            </w:r>
            <w:r>
              <w:rPr>
                <w:rFonts w:hint="eastAsia"/>
                <w:szCs w:val="21"/>
                <w:highlight w:val="none"/>
              </w:rPr>
              <w:t>瑞典V</w:t>
            </w:r>
            <w:r>
              <w:rPr>
                <w:szCs w:val="21"/>
                <w:highlight w:val="none"/>
              </w:rPr>
              <w:t>AISALA</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22</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电动阀件</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jc w:val="center"/>
              <w:rPr>
                <w:szCs w:val="21"/>
                <w:highlight w:val="none"/>
              </w:rPr>
            </w:pPr>
            <w:r>
              <w:rPr>
                <w:rFonts w:hint="eastAsia"/>
                <w:szCs w:val="21"/>
                <w:highlight w:val="none"/>
                <w:lang w:val="en-US" w:eastAsia="zh-CN"/>
              </w:rPr>
              <w:t>参照或相当于</w:t>
            </w:r>
            <w:r>
              <w:rPr>
                <w:rFonts w:hint="eastAsia"/>
                <w:szCs w:val="21"/>
                <w:highlight w:val="none"/>
              </w:rPr>
              <w:t>西门子、丹佛斯、霍尼韦尔</w:t>
            </w:r>
          </w:p>
        </w:tc>
      </w:tr>
      <w:tr>
        <w:tblPrEx>
          <w:tblCellMar>
            <w:top w:w="15" w:type="dxa"/>
            <w:left w:w="15" w:type="dxa"/>
            <w:bottom w:w="15" w:type="dxa"/>
            <w:right w:w="15" w:type="dxa"/>
          </w:tblCellMar>
        </w:tblPrEx>
        <w:trPr>
          <w:trHeight w:val="504" w:hRule="atLeast"/>
          <w:jc w:val="center"/>
        </w:trPr>
        <w:tc>
          <w:tcPr>
            <w:tcW w:w="856" w:type="dxa"/>
            <w:tcBorders>
              <w:top w:val="single" w:color="000000"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23</w:t>
            </w:r>
          </w:p>
        </w:tc>
        <w:tc>
          <w:tcPr>
            <w:tcW w:w="1767"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widowControl/>
              <w:jc w:val="center"/>
              <w:rPr>
                <w:szCs w:val="21"/>
                <w:highlight w:val="none"/>
              </w:rPr>
            </w:pPr>
            <w:r>
              <w:rPr>
                <w:color w:val="000000"/>
                <w:szCs w:val="21"/>
                <w:highlight w:val="none"/>
              </w:rPr>
              <w:t>风机</w:t>
            </w:r>
          </w:p>
        </w:tc>
        <w:tc>
          <w:tcPr>
            <w:tcW w:w="6521" w:type="dxa"/>
            <w:tcBorders>
              <w:top w:val="single" w:color="CBCDD1" w:sz="6" w:space="0"/>
              <w:left w:val="single" w:color="000000" w:sz="6" w:space="0"/>
              <w:bottom w:val="single" w:color="000000" w:sz="6" w:space="0"/>
              <w:right w:val="single" w:color="000000" w:sz="6" w:space="0"/>
            </w:tcBorders>
            <w:noWrap w:val="0"/>
            <w:tcMar>
              <w:top w:w="10" w:type="dxa"/>
              <w:left w:w="10" w:type="dxa"/>
              <w:bottom w:w="0" w:type="dxa"/>
              <w:right w:w="10" w:type="dxa"/>
            </w:tcMar>
            <w:vAlign w:val="center"/>
          </w:tcPr>
          <w:p>
            <w:pPr>
              <w:jc w:val="center"/>
              <w:rPr>
                <w:szCs w:val="21"/>
                <w:highlight w:val="none"/>
              </w:rPr>
            </w:pPr>
            <w:r>
              <w:rPr>
                <w:rFonts w:hint="eastAsia"/>
                <w:color w:val="000000"/>
                <w:szCs w:val="21"/>
                <w:highlight w:val="none"/>
              </w:rPr>
              <w:t>电机：A</w:t>
            </w:r>
            <w:r>
              <w:rPr>
                <w:color w:val="000000"/>
                <w:szCs w:val="21"/>
                <w:highlight w:val="none"/>
              </w:rPr>
              <w:t>BB/</w:t>
            </w:r>
            <w:r>
              <w:rPr>
                <w:rFonts w:hint="eastAsia"/>
                <w:color w:val="000000"/>
                <w:szCs w:val="21"/>
                <w:highlight w:val="none"/>
              </w:rPr>
              <w:t>西门子或同等档次，</w:t>
            </w:r>
            <w:r>
              <w:rPr>
                <w:color w:val="000000"/>
                <w:szCs w:val="21"/>
                <w:highlight w:val="none"/>
              </w:rPr>
              <w:t>防护等级不低于IP55，新国标IE4 能效等级，绝缘等级为 F 级</w:t>
            </w:r>
          </w:p>
        </w:tc>
      </w:tr>
    </w:tbl>
    <w:p>
      <w:pPr>
        <w:pStyle w:val="4"/>
        <w:rPr>
          <w:sz w:val="24"/>
          <w:szCs w:val="24"/>
          <w:highlight w:val="none"/>
        </w:rPr>
      </w:pPr>
      <w:bookmarkStart w:id="27" w:name="_Toc133335306"/>
      <w:r>
        <w:rPr>
          <w:sz w:val="24"/>
          <w:szCs w:val="24"/>
          <w:highlight w:val="none"/>
        </w:rPr>
        <w:t>5.2.11 提供机组主要技术参数（选型报告）</w:t>
      </w:r>
      <w:bookmarkEnd w:id="27"/>
    </w:p>
    <w:p>
      <w:pPr>
        <w:rPr>
          <w:highlight w:val="none"/>
        </w:rPr>
      </w:pPr>
      <w:r>
        <w:rPr>
          <w:highlight w:val="none"/>
        </w:rPr>
        <w:t>具体根据项目实际设计条件情况及甲方确定</w:t>
      </w:r>
    </w:p>
    <w:p>
      <w:pPr>
        <w:pStyle w:val="3"/>
        <w:rPr>
          <w:sz w:val="28"/>
          <w:szCs w:val="28"/>
          <w:highlight w:val="none"/>
        </w:rPr>
      </w:pPr>
      <w:bookmarkStart w:id="28" w:name="_Toc133335307"/>
      <w:r>
        <w:rPr>
          <w:sz w:val="28"/>
          <w:szCs w:val="28"/>
          <w:highlight w:val="none"/>
        </w:rPr>
        <w:t>5.3 组合式空调箱</w:t>
      </w:r>
      <w:bookmarkEnd w:id="28"/>
    </w:p>
    <w:p>
      <w:pPr>
        <w:pStyle w:val="4"/>
        <w:rPr>
          <w:sz w:val="24"/>
          <w:szCs w:val="24"/>
          <w:highlight w:val="none"/>
        </w:rPr>
      </w:pPr>
      <w:bookmarkStart w:id="29" w:name="_Toc133335308"/>
      <w:r>
        <w:rPr>
          <w:sz w:val="24"/>
          <w:szCs w:val="24"/>
          <w:highlight w:val="none"/>
        </w:rPr>
        <w:t>5.3.1 机组性能要求</w:t>
      </w:r>
      <w:bookmarkEnd w:id="29"/>
    </w:p>
    <w:p>
      <w:pPr>
        <w:widowControl/>
        <w:spacing w:before="40" w:line="349" w:lineRule="auto"/>
        <w:ind w:left="125" w:right="41" w:firstLine="480"/>
        <w:jc w:val="left"/>
        <w:rPr>
          <w:szCs w:val="24"/>
          <w:highlight w:val="none"/>
        </w:rPr>
      </w:pPr>
      <w:r>
        <w:rPr>
          <w:color w:val="231F20"/>
          <w:szCs w:val="24"/>
          <w:highlight w:val="none"/>
        </w:rPr>
        <w:t>组合式</w:t>
      </w:r>
      <w:r>
        <w:rPr>
          <w:rFonts w:hint="eastAsia"/>
          <w:color w:val="231F20"/>
          <w:szCs w:val="24"/>
          <w:highlight w:val="none"/>
        </w:rPr>
        <w:t>空调箱需自带控制电柜</w:t>
      </w:r>
      <w:r>
        <w:rPr>
          <w:color w:val="231F20"/>
          <w:szCs w:val="24"/>
          <w:highlight w:val="none"/>
        </w:rPr>
        <w:t>，</w:t>
      </w:r>
      <w:r>
        <w:rPr>
          <w:rFonts w:hint="eastAsia"/>
          <w:color w:val="231F20"/>
          <w:szCs w:val="24"/>
          <w:highlight w:val="none"/>
        </w:rPr>
        <w:t>控制电柜具备以下功能：配置进线断路器、启动控制装置（含降压软启动功能）、温度传感器、压力传感器、自控系统及4</w:t>
      </w:r>
      <w:r>
        <w:rPr>
          <w:color w:val="231F20"/>
          <w:szCs w:val="24"/>
          <w:highlight w:val="none"/>
        </w:rPr>
        <w:t>85</w:t>
      </w:r>
      <w:r>
        <w:rPr>
          <w:rFonts w:hint="eastAsia"/>
          <w:color w:val="231F20"/>
          <w:szCs w:val="24"/>
          <w:highlight w:val="none"/>
        </w:rPr>
        <w:t>通讯接口，开放通讯协议。</w:t>
      </w:r>
    </w:p>
    <w:p>
      <w:pPr>
        <w:pStyle w:val="4"/>
        <w:rPr>
          <w:sz w:val="24"/>
          <w:szCs w:val="24"/>
          <w:highlight w:val="none"/>
        </w:rPr>
      </w:pPr>
      <w:bookmarkStart w:id="30" w:name="_Toc133335309"/>
      <w:r>
        <w:rPr>
          <w:sz w:val="24"/>
          <w:szCs w:val="24"/>
          <w:highlight w:val="none"/>
        </w:rPr>
        <w:t>5.3.2 箱体</w:t>
      </w:r>
      <w:bookmarkEnd w:id="30"/>
    </w:p>
    <w:p>
      <w:pPr>
        <w:rPr>
          <w:highlight w:val="none"/>
        </w:rPr>
      </w:pPr>
      <w:r>
        <w:rPr>
          <w:highlight w:val="none"/>
        </w:rPr>
        <w:t>5.3.2.1 空调箱体外面板采用双层金属保温面板，机组结构坚固，在2600Pa以上的风机静压情况下，仍然能够保证机组箱体不变形，面板外层采用0.6mm铝锌烤漆钢板，内面板采用0.6mm环氧树脂烤漆钢板组成，中间充注50kg/m3聚氨酯发泡材料，面板厚度≥50mm，其热阻系数(Tmin/Tair) Kb&gt;0.85；</w:t>
      </w:r>
    </w:p>
    <w:p>
      <w:pPr>
        <w:rPr>
          <w:highlight w:val="none"/>
        </w:rPr>
      </w:pPr>
      <w:r>
        <w:rPr>
          <w:highlight w:val="none"/>
        </w:rPr>
        <w:t>5.3.2.2 所有钢板使用螺丝、垫圈、螺帽等不易松脱的零件加以组合锁紧。整个结构符合气密要求，所有零件便于替换，使后续增加的零件可容易安装；</w:t>
      </w:r>
    </w:p>
    <w:p>
      <w:pPr>
        <w:rPr>
          <w:highlight w:val="none"/>
        </w:rPr>
      </w:pPr>
      <w:r>
        <w:rPr>
          <w:highlight w:val="none"/>
        </w:rPr>
        <w:t>5.3.2.3 内部保持绝对平滑，连接处不阻挡气流的流动，不会有凝结水滴在底板上造成腐蚀，外壳内的任何组合式零件均可拆卸；</w:t>
      </w:r>
    </w:p>
    <w:p>
      <w:pPr>
        <w:rPr>
          <w:highlight w:val="none"/>
        </w:rPr>
      </w:pPr>
      <w:r>
        <w:rPr>
          <w:highlight w:val="none"/>
        </w:rPr>
        <w:t>5.3.2.4 检修门;每个功能段(过滤、风机、加湿器、盘管等)均有配置检修门，所有检修门均有适当的尺度大小，以便让维修人员能携带工具进出更换组件，并符合下列要求：</w:t>
      </w:r>
    </w:p>
    <w:p>
      <w:pPr>
        <w:pStyle w:val="20"/>
        <w:numPr>
          <w:ilvl w:val="0"/>
          <w:numId w:val="1"/>
        </w:numPr>
        <w:spacing w:line="360" w:lineRule="auto"/>
        <w:ind w:firstLineChars="0"/>
        <w:rPr>
          <w:sz w:val="24"/>
          <w:highlight w:val="none"/>
        </w:rPr>
      </w:pPr>
      <w:r>
        <w:rPr>
          <w:color w:val="231F20"/>
          <w:sz w:val="24"/>
          <w:highlight w:val="none"/>
        </w:rPr>
        <w:t>绝对气密的扣紧装置。</w:t>
      </w:r>
    </w:p>
    <w:p>
      <w:pPr>
        <w:pStyle w:val="20"/>
        <w:numPr>
          <w:ilvl w:val="0"/>
          <w:numId w:val="1"/>
        </w:numPr>
        <w:spacing w:line="360" w:lineRule="auto"/>
        <w:ind w:firstLineChars="0"/>
        <w:rPr>
          <w:sz w:val="24"/>
          <w:highlight w:val="none"/>
        </w:rPr>
      </w:pPr>
      <w:r>
        <w:rPr>
          <w:color w:val="231F20"/>
          <w:sz w:val="24"/>
          <w:highlight w:val="none"/>
        </w:rPr>
        <w:t>绝对防止结露的开启装置(非螺丝或螺栓锁紧)。</w:t>
      </w:r>
    </w:p>
    <w:p>
      <w:pPr>
        <w:pStyle w:val="20"/>
        <w:numPr>
          <w:ilvl w:val="0"/>
          <w:numId w:val="1"/>
        </w:numPr>
        <w:spacing w:line="360" w:lineRule="auto"/>
        <w:ind w:firstLineChars="0"/>
        <w:rPr>
          <w:sz w:val="24"/>
          <w:highlight w:val="none"/>
        </w:rPr>
      </w:pPr>
      <w:r>
        <w:rPr>
          <w:color w:val="231F20"/>
          <w:sz w:val="24"/>
          <w:highlight w:val="none"/>
        </w:rPr>
        <w:t>检修门能承受2600Pa以上风压，无变形顾虑。</w:t>
      </w:r>
    </w:p>
    <w:p>
      <w:pPr>
        <w:pStyle w:val="20"/>
        <w:numPr>
          <w:ilvl w:val="0"/>
          <w:numId w:val="1"/>
        </w:numPr>
        <w:spacing w:line="360" w:lineRule="auto"/>
        <w:ind w:firstLineChars="0"/>
        <w:rPr>
          <w:sz w:val="24"/>
          <w:highlight w:val="none"/>
        </w:rPr>
      </w:pPr>
      <w:r>
        <w:rPr>
          <w:color w:val="231F20"/>
          <w:sz w:val="24"/>
          <w:highlight w:val="none"/>
        </w:rPr>
        <w:t>三明治夹心板保温结构，热绝缘性与库板相同。</w:t>
      </w:r>
    </w:p>
    <w:p>
      <w:pPr>
        <w:pStyle w:val="20"/>
        <w:numPr>
          <w:ilvl w:val="0"/>
          <w:numId w:val="1"/>
        </w:numPr>
        <w:spacing w:line="360" w:lineRule="auto"/>
        <w:ind w:firstLineChars="0"/>
        <w:rPr>
          <w:sz w:val="24"/>
          <w:highlight w:val="none"/>
        </w:rPr>
      </w:pPr>
      <w:r>
        <w:rPr>
          <w:color w:val="231F20"/>
          <w:sz w:val="24"/>
          <w:highlight w:val="none"/>
        </w:rPr>
        <w:t>每个检修门均配置一个四层强化玻璃气密检查窗，以防止结雾。</w:t>
      </w:r>
    </w:p>
    <w:p>
      <w:pPr>
        <w:pStyle w:val="20"/>
        <w:numPr>
          <w:ilvl w:val="0"/>
          <w:numId w:val="1"/>
        </w:numPr>
        <w:spacing w:line="360" w:lineRule="auto"/>
        <w:ind w:firstLineChars="0"/>
        <w:rPr>
          <w:sz w:val="24"/>
          <w:highlight w:val="none"/>
        </w:rPr>
      </w:pPr>
      <w:r>
        <w:rPr>
          <w:color w:val="231F20"/>
          <w:sz w:val="24"/>
          <w:highlight w:val="none"/>
        </w:rPr>
        <w:t>每个检修门对应的箱体内均配置有一盏IP65以上照明灯，该照明灯预先在箱内配线并接至外置开关。</w:t>
      </w:r>
    </w:p>
    <w:p>
      <w:pPr>
        <w:pStyle w:val="20"/>
        <w:numPr>
          <w:ilvl w:val="0"/>
          <w:numId w:val="1"/>
        </w:numPr>
        <w:spacing w:line="360" w:lineRule="auto"/>
        <w:ind w:firstLineChars="0"/>
        <w:rPr>
          <w:sz w:val="24"/>
          <w:highlight w:val="none"/>
        </w:rPr>
      </w:pPr>
      <w:r>
        <w:rPr>
          <w:color w:val="231F20"/>
          <w:sz w:val="24"/>
          <w:highlight w:val="none"/>
        </w:rPr>
        <w:t>检修门的气密压条，为可更换式。</w:t>
      </w:r>
    </w:p>
    <w:p>
      <w:pPr>
        <w:rPr>
          <w:highlight w:val="none"/>
        </w:rPr>
      </w:pPr>
      <w:r>
        <w:rPr>
          <w:highlight w:val="none"/>
        </w:rPr>
        <w:t>5.3.2.5 总长度为考虑内部各组件的有效利用长度，不能以任何理由缩减各组件最适当的利用长度；</w:t>
      </w:r>
    </w:p>
    <w:p>
      <w:pPr>
        <w:rPr>
          <w:highlight w:val="none"/>
        </w:rPr>
      </w:pPr>
      <w:r>
        <w:rPr>
          <w:highlight w:val="none"/>
        </w:rPr>
        <w:t>5.3.2.6 仪表、配线、配管甚至检测孔等处， 考虑空调箱整体外观的美感，均在箱体适当处开口，并提供充分的气密处理。</w:t>
      </w:r>
    </w:p>
    <w:p>
      <w:pPr>
        <w:pStyle w:val="4"/>
        <w:rPr>
          <w:sz w:val="24"/>
          <w:szCs w:val="24"/>
          <w:highlight w:val="none"/>
        </w:rPr>
      </w:pPr>
      <w:bookmarkStart w:id="31" w:name="_Toc133335310"/>
      <w:r>
        <w:rPr>
          <w:sz w:val="24"/>
          <w:szCs w:val="24"/>
          <w:highlight w:val="none"/>
        </w:rPr>
        <w:t>5.3.3 盘管</w:t>
      </w:r>
      <w:bookmarkEnd w:id="31"/>
    </w:p>
    <w:p>
      <w:pPr>
        <w:rPr>
          <w:highlight w:val="none"/>
        </w:rPr>
      </w:pPr>
      <w:r>
        <w:rPr>
          <w:highlight w:val="none"/>
        </w:rPr>
        <w:t>5.3.3.1 表冷器采用高效脱氧优质铜管，机械胀接亲水膜铝翅片；</w:t>
      </w:r>
    </w:p>
    <w:p>
      <w:pPr>
        <w:rPr>
          <w:highlight w:val="none"/>
        </w:rPr>
      </w:pPr>
      <w:r>
        <w:rPr>
          <w:highlight w:val="none"/>
        </w:rPr>
        <w:t>5.3.3.2 表冷器应该满足如下技术要求</w:t>
      </w:r>
    </w:p>
    <w:tbl>
      <w:tblPr>
        <w:tblStyle w:val="16"/>
        <w:tblW w:w="5565" w:type="dxa"/>
        <w:jc w:val="center"/>
        <w:tblLayout w:type="fixed"/>
        <w:tblCellMar>
          <w:top w:w="15" w:type="dxa"/>
          <w:left w:w="15" w:type="dxa"/>
          <w:bottom w:w="15" w:type="dxa"/>
          <w:right w:w="15" w:type="dxa"/>
        </w:tblCellMar>
      </w:tblPr>
      <w:tblGrid>
        <w:gridCol w:w="960"/>
        <w:gridCol w:w="1455"/>
        <w:gridCol w:w="2190"/>
        <w:gridCol w:w="960"/>
      </w:tblGrid>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序号</w:t>
            </w:r>
          </w:p>
        </w:tc>
        <w:tc>
          <w:tcPr>
            <w:tcW w:w="145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项目</w:t>
            </w:r>
          </w:p>
        </w:tc>
        <w:tc>
          <w:tcPr>
            <w:tcW w:w="21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技术要求</w:t>
            </w:r>
          </w:p>
        </w:tc>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备注</w:t>
            </w:r>
          </w:p>
        </w:tc>
      </w:tr>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1</w:t>
            </w:r>
          </w:p>
        </w:tc>
        <w:tc>
          <w:tcPr>
            <w:tcW w:w="145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铜管壁厚</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≥0.5mm</w:t>
            </w:r>
          </w:p>
        </w:tc>
        <w:tc>
          <w:tcPr>
            <w:tcW w:w="9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2</w:t>
            </w:r>
          </w:p>
        </w:tc>
        <w:tc>
          <w:tcPr>
            <w:tcW w:w="145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铜管直径</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15-18mm</w:t>
            </w:r>
          </w:p>
        </w:tc>
        <w:tc>
          <w:tcPr>
            <w:tcW w:w="9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3</w:t>
            </w:r>
          </w:p>
        </w:tc>
        <w:tc>
          <w:tcPr>
            <w:tcW w:w="145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翅片片距</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1.5-2.7mm</w:t>
            </w:r>
          </w:p>
        </w:tc>
        <w:tc>
          <w:tcPr>
            <w:tcW w:w="9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r>
              <w:rPr>
                <w:color w:val="000000"/>
                <w:szCs w:val="21"/>
                <w:highlight w:val="none"/>
              </w:rPr>
              <w:t>4</w:t>
            </w:r>
          </w:p>
        </w:tc>
        <w:tc>
          <w:tcPr>
            <w:tcW w:w="145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r>
              <w:rPr>
                <w:color w:val="000000"/>
                <w:szCs w:val="21"/>
                <w:highlight w:val="none"/>
              </w:rPr>
              <w:t>设计面风速</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r>
              <w:rPr>
                <w:color w:val="000000"/>
                <w:szCs w:val="21"/>
                <w:highlight w:val="none"/>
              </w:rPr>
              <w:t>前表冷≤2.0m/s</w:t>
            </w:r>
          </w:p>
        </w:tc>
        <w:tc>
          <w:tcPr>
            <w:tcW w:w="960"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vMerge w:val="continue"/>
            <w:tcBorders>
              <w:top w:val="single" w:color="000000" w:sz="6" w:space="0"/>
              <w:left w:val="single" w:color="000000" w:sz="6" w:space="0"/>
              <w:bottom w:val="single" w:color="000000" w:sz="6" w:space="0"/>
              <w:right w:val="single" w:color="000000" w:sz="6" w:space="0"/>
            </w:tcBorders>
            <w:noWrap w:val="0"/>
            <w:vAlign w:val="center"/>
          </w:tcPr>
          <w:p>
            <w:pPr>
              <w:rPr>
                <w:szCs w:val="21"/>
                <w:highlight w:val="none"/>
              </w:rPr>
            </w:pPr>
          </w:p>
        </w:tc>
        <w:tc>
          <w:tcPr>
            <w:tcW w:w="1455" w:type="dxa"/>
            <w:vMerge w:val="continue"/>
            <w:tcBorders>
              <w:top w:val="single" w:color="CBCDD1" w:sz="6" w:space="0"/>
              <w:left w:val="single" w:color="000000" w:sz="6" w:space="0"/>
              <w:bottom w:val="single" w:color="000000" w:sz="6" w:space="0"/>
              <w:right w:val="single" w:color="000000" w:sz="6" w:space="0"/>
            </w:tcBorders>
            <w:noWrap w:val="0"/>
            <w:vAlign w:val="center"/>
          </w:tcPr>
          <w:p>
            <w:pPr>
              <w:rPr>
                <w:szCs w:val="21"/>
                <w:highlight w:val="none"/>
              </w:rPr>
            </w:pPr>
          </w:p>
        </w:tc>
        <w:tc>
          <w:tcPr>
            <w:tcW w:w="21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r>
              <w:rPr>
                <w:color w:val="000000"/>
                <w:szCs w:val="21"/>
                <w:highlight w:val="none"/>
              </w:rPr>
              <w:t>中表冷≤2.5m/s</w:t>
            </w:r>
          </w:p>
        </w:tc>
        <w:tc>
          <w:tcPr>
            <w:tcW w:w="960" w:type="dxa"/>
            <w:vMerge w:val="continue"/>
            <w:tcBorders>
              <w:top w:val="single" w:color="CBCDD1" w:sz="6" w:space="0"/>
              <w:left w:val="single" w:color="000000" w:sz="6" w:space="0"/>
              <w:bottom w:val="single" w:color="000000" w:sz="6" w:space="0"/>
              <w:right w:val="single" w:color="000000" w:sz="6" w:space="0"/>
            </w:tcBorders>
            <w:noWrap w:val="0"/>
            <w:vAlign w:val="center"/>
          </w:tcPr>
          <w:p>
            <w:pPr>
              <w:rPr>
                <w:szCs w:val="21"/>
                <w:highlight w:val="none"/>
              </w:rPr>
            </w:pPr>
          </w:p>
        </w:tc>
      </w:tr>
      <w:tr>
        <w:tblPrEx>
          <w:tblCellMar>
            <w:top w:w="15" w:type="dxa"/>
            <w:left w:w="15" w:type="dxa"/>
            <w:bottom w:w="15" w:type="dxa"/>
            <w:right w:w="15" w:type="dxa"/>
          </w:tblCellMar>
        </w:tblPrEx>
        <w:trPr>
          <w:trHeight w:val="440"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5</w:t>
            </w:r>
          </w:p>
        </w:tc>
        <w:tc>
          <w:tcPr>
            <w:tcW w:w="145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翅片倒片率</w:t>
            </w:r>
          </w:p>
        </w:tc>
        <w:tc>
          <w:tcPr>
            <w:tcW w:w="2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r>
              <w:rPr>
                <w:color w:val="000000"/>
                <w:szCs w:val="21"/>
                <w:highlight w:val="none"/>
              </w:rPr>
              <w:t>＜1%</w:t>
            </w:r>
          </w:p>
        </w:tc>
        <w:tc>
          <w:tcPr>
            <w:tcW w:w="9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bl>
    <w:p>
      <w:pPr>
        <w:rPr>
          <w:highlight w:val="none"/>
        </w:rPr>
      </w:pPr>
      <w:r>
        <w:rPr>
          <w:highlight w:val="none"/>
        </w:rPr>
        <w:t>5.3.3.3 表冷器需要设置冬季排水阀，符合 GB/T 14296-2008 国家规范要求；</w:t>
      </w:r>
    </w:p>
    <w:p>
      <w:pPr>
        <w:rPr>
          <w:highlight w:val="none"/>
        </w:rPr>
      </w:pPr>
      <w:r>
        <w:rPr>
          <w:highlight w:val="none"/>
        </w:rPr>
        <w:t>5.3.3.4 积水盘需能及时排除凝结水，表冷段配置 1.2mm 厚 304 不锈钢“干式水盘”，高位积水盘设计可以及时将冷凝水排走，外置配有压差弯设计，冷凝水排至招标方指定地点</w:t>
      </w:r>
    </w:p>
    <w:p>
      <w:pPr>
        <w:rPr>
          <w:highlight w:val="none"/>
        </w:rPr>
      </w:pPr>
      <w:r>
        <w:rPr>
          <w:highlight w:val="none"/>
        </w:rPr>
        <w:t>5.3.3.5 表冷器设计为抽屉式，方便检修或者更换；</w:t>
      </w:r>
    </w:p>
    <w:p>
      <w:pPr>
        <w:rPr>
          <w:highlight w:val="none"/>
        </w:rPr>
      </w:pPr>
      <w:r>
        <w:rPr>
          <w:highlight w:val="none"/>
        </w:rPr>
        <w:t>5.3.3.6 蒸汽盘管材质：SUS304不锈钢钢管铝翅片，具体依据介质类型(热水、蒸汽)选型，盘管置于水中以空气试压，试验压力为2.0MPa，换热盘管应提供出厂打压试漏报告，盘管接口为丝扣即可；</w:t>
      </w:r>
    </w:p>
    <w:p>
      <w:pPr>
        <w:rPr>
          <w:highlight w:val="none"/>
        </w:rPr>
      </w:pPr>
      <w:r>
        <w:rPr>
          <w:highlight w:val="none"/>
        </w:rPr>
        <w:t>5.3.3.7 盘管管径≥∅16mm</w:t>
      </w:r>
      <w:r>
        <w:rPr>
          <w:rFonts w:hint="eastAsia"/>
          <w:highlight w:val="none"/>
        </w:rPr>
        <w:t>，</w:t>
      </w:r>
      <w:r>
        <w:rPr>
          <w:highlight w:val="none"/>
        </w:rPr>
        <w:t>厚度≥1mm，翅片厚度≥0.25mm，盘管为不锈钢框架，厚度≥1.5mm，设计压力1.0MPa，需满足最大工作蒸汽压力0.8MPa。</w:t>
      </w:r>
    </w:p>
    <w:p>
      <w:pPr>
        <w:pStyle w:val="4"/>
        <w:rPr>
          <w:sz w:val="24"/>
          <w:szCs w:val="24"/>
          <w:highlight w:val="none"/>
        </w:rPr>
      </w:pPr>
      <w:bookmarkStart w:id="32" w:name="_Toc133335311"/>
      <w:r>
        <w:rPr>
          <w:sz w:val="24"/>
          <w:szCs w:val="24"/>
          <w:highlight w:val="none"/>
        </w:rPr>
        <w:t>5.3.4 风机</w:t>
      </w:r>
      <w:bookmarkEnd w:id="32"/>
    </w:p>
    <w:p>
      <w:pPr>
        <w:rPr>
          <w:highlight w:val="none"/>
        </w:rPr>
      </w:pPr>
      <w:r>
        <w:rPr>
          <w:highlight w:val="none"/>
        </w:rPr>
        <w:t>5.3.4.1 风机静压根据洁净室室压、机内静压以及进出风风管压损来选择；</w:t>
      </w:r>
    </w:p>
    <w:p>
      <w:pPr>
        <w:rPr>
          <w:highlight w:val="none"/>
        </w:rPr>
      </w:pPr>
      <w:r>
        <w:rPr>
          <w:highlight w:val="none"/>
        </w:rPr>
        <w:t>5.3.4.2 叶轮型式为后倾离心，轴心为碳钢材质；</w:t>
      </w:r>
    </w:p>
    <w:p>
      <w:pPr>
        <w:rPr>
          <w:highlight w:val="none"/>
        </w:rPr>
      </w:pPr>
      <w:r>
        <w:rPr>
          <w:highlight w:val="none"/>
        </w:rPr>
        <w:t>5.3.4.3 风机与电机装在箱体内钢制基座上， 基座附可调整风机水平、垂直及前后移动机构，并附固定螺丝。基座与箱体间以减震器隔离振动。而风机出口与空调箱间有挠性接头同时隔离振动；</w:t>
      </w:r>
    </w:p>
    <w:p>
      <w:pPr>
        <w:rPr>
          <w:highlight w:val="none"/>
        </w:rPr>
      </w:pPr>
      <w:r>
        <w:rPr>
          <w:highlight w:val="none"/>
        </w:rPr>
        <w:t>5.3.4.4 风机与电机连结采用直联式，组合后整体动平衡值为G2.5以下；</w:t>
      </w:r>
    </w:p>
    <w:p>
      <w:pPr>
        <w:rPr>
          <w:highlight w:val="none"/>
        </w:rPr>
      </w:pPr>
      <w:r>
        <w:rPr>
          <w:highlight w:val="none"/>
        </w:rPr>
        <w:t>5.3.4.5 风机出厂附风机性能曲线，并清楚标示操作运转点及动平衡报告；</w:t>
      </w:r>
    </w:p>
    <w:p>
      <w:pPr>
        <w:rPr>
          <w:highlight w:val="none"/>
        </w:rPr>
      </w:pPr>
      <w:r>
        <w:rPr>
          <w:highlight w:val="none"/>
        </w:rPr>
        <w:t>5.3.4.6 采用变频电机，为全密封闭冷却型(TEFC)，且符合IP55与NEMA F级绝缘；</w:t>
      </w:r>
    </w:p>
    <w:p>
      <w:pPr>
        <w:rPr>
          <w:highlight w:val="none"/>
        </w:rPr>
      </w:pPr>
      <w:r>
        <w:rPr>
          <w:highlight w:val="none"/>
        </w:rPr>
        <w:t>5.3.4.7 风机轴承寿命大于40,000小时。</w:t>
      </w:r>
    </w:p>
    <w:p>
      <w:pPr>
        <w:pStyle w:val="4"/>
        <w:rPr>
          <w:sz w:val="24"/>
          <w:szCs w:val="24"/>
          <w:highlight w:val="none"/>
        </w:rPr>
      </w:pPr>
      <w:bookmarkStart w:id="33" w:name="_Toc133335312"/>
      <w:r>
        <w:rPr>
          <w:sz w:val="24"/>
          <w:szCs w:val="24"/>
          <w:highlight w:val="none"/>
        </w:rPr>
        <w:t>5.3.5 空气过滤器</w:t>
      </w:r>
      <w:bookmarkEnd w:id="33"/>
    </w:p>
    <w:p>
      <w:pPr>
        <w:ind w:firstLine="420" w:firstLineChars="200"/>
        <w:rPr>
          <w:highlight w:val="none"/>
        </w:rPr>
      </w:pPr>
      <w:r>
        <w:rPr>
          <w:highlight w:val="none"/>
        </w:rPr>
        <w:t>依照设计需求，提供如下不同等级之空气过滤器</w:t>
      </w:r>
    </w:p>
    <w:p>
      <w:pPr>
        <w:rPr>
          <w:bCs/>
          <w:szCs w:val="24"/>
          <w:highlight w:val="none"/>
        </w:rPr>
      </w:pPr>
      <w:r>
        <w:rPr>
          <w:bCs/>
          <w:szCs w:val="24"/>
          <w:highlight w:val="none"/>
        </w:rPr>
        <w:t>5.3.5.1 初效过滤器：AHSRAE 52-76除尘效率35%，材质为纸质(丢弃式)，或铝质(可洗式)；</w:t>
      </w:r>
    </w:p>
    <w:p>
      <w:pPr>
        <w:rPr>
          <w:bCs/>
          <w:szCs w:val="24"/>
          <w:highlight w:val="none"/>
        </w:rPr>
      </w:pPr>
      <w:r>
        <w:rPr>
          <w:bCs/>
          <w:szCs w:val="24"/>
          <w:highlight w:val="none"/>
        </w:rPr>
        <w:t>5.3.5.2 中效过滤器：AHSRAE 52-76除尘效率85%，型式为袋式；</w:t>
      </w:r>
    </w:p>
    <w:p>
      <w:pPr>
        <w:rPr>
          <w:bCs/>
          <w:szCs w:val="24"/>
          <w:highlight w:val="none"/>
        </w:rPr>
      </w:pPr>
      <w:r>
        <w:rPr>
          <w:bCs/>
          <w:szCs w:val="24"/>
          <w:highlight w:val="none"/>
        </w:rPr>
        <w:t>5.3.5.3 高效过滤器：HEPA，MIL-STD-282 DOP除尘效率99.97%@0.3μm；</w:t>
      </w:r>
    </w:p>
    <w:p>
      <w:pPr>
        <w:rPr>
          <w:bCs/>
          <w:szCs w:val="24"/>
          <w:highlight w:val="none"/>
        </w:rPr>
      </w:pPr>
      <w:r>
        <w:rPr>
          <w:bCs/>
          <w:szCs w:val="24"/>
          <w:highlight w:val="none"/>
        </w:rPr>
        <w:t>5.3.5.4 过滤器制作上所用的材料</w:t>
      </w:r>
      <w:r>
        <w:rPr>
          <w:rFonts w:hint="eastAsia"/>
          <w:bCs/>
          <w:szCs w:val="24"/>
          <w:highlight w:val="none"/>
        </w:rPr>
        <w:t>（</w:t>
      </w:r>
      <w:r>
        <w:rPr>
          <w:bCs/>
          <w:szCs w:val="24"/>
          <w:highlight w:val="none"/>
        </w:rPr>
        <w:t>含滤料材质、密封胶、垫圈等</w:t>
      </w:r>
      <w:r>
        <w:rPr>
          <w:rFonts w:hint="eastAsia"/>
          <w:bCs/>
          <w:szCs w:val="24"/>
          <w:highlight w:val="none"/>
        </w:rPr>
        <w:t>）</w:t>
      </w:r>
      <w:r>
        <w:rPr>
          <w:bCs/>
          <w:szCs w:val="24"/>
          <w:highlight w:val="none"/>
        </w:rPr>
        <w:t>不含有害元素，并且不发生泄漏现象；</w:t>
      </w:r>
    </w:p>
    <w:p>
      <w:pPr>
        <w:rPr>
          <w:bCs/>
          <w:szCs w:val="24"/>
          <w:highlight w:val="none"/>
        </w:rPr>
      </w:pPr>
      <w:r>
        <w:rPr>
          <w:bCs/>
          <w:szCs w:val="24"/>
          <w:highlight w:val="none"/>
        </w:rPr>
        <w:t>5.3.5.5 所有过滤器框架采用后取式，以便于空调箱运转中仍然能够更换滤网，滤网框架具有足够的强度，与滤网接合处达到很好的气密性，不致于风机运转时发生变形，致使尘粒泄漏。</w:t>
      </w:r>
    </w:p>
    <w:p>
      <w:pPr>
        <w:pStyle w:val="4"/>
        <w:rPr>
          <w:sz w:val="24"/>
          <w:szCs w:val="24"/>
          <w:highlight w:val="none"/>
        </w:rPr>
      </w:pPr>
      <w:bookmarkStart w:id="34" w:name="_Toc133335313"/>
      <w:r>
        <w:rPr>
          <w:sz w:val="24"/>
          <w:szCs w:val="24"/>
          <w:highlight w:val="none"/>
        </w:rPr>
        <w:t>5.3.6 承水盘</w:t>
      </w:r>
      <w:bookmarkEnd w:id="34"/>
    </w:p>
    <w:p>
      <w:pPr>
        <w:widowControl/>
        <w:ind w:firstLine="480" w:firstLineChars="200"/>
        <w:jc w:val="left"/>
        <w:rPr>
          <w:szCs w:val="24"/>
          <w:highlight w:val="none"/>
        </w:rPr>
      </w:pPr>
      <w:r>
        <w:rPr>
          <w:color w:val="231F20"/>
          <w:spacing w:val="15"/>
          <w:szCs w:val="24"/>
          <w:highlight w:val="none"/>
        </w:rPr>
        <w:t>盘管与加湿器都配有不锈钢材质承水</w:t>
      </w:r>
      <w:r>
        <w:rPr>
          <w:color w:val="231F20"/>
          <w:spacing w:val="-1"/>
          <w:szCs w:val="24"/>
          <w:highlight w:val="none"/>
        </w:rPr>
        <w:t>盘。承水盘采用</w:t>
      </w:r>
      <w:r>
        <w:rPr>
          <w:color w:val="231F20"/>
          <w:szCs w:val="24"/>
          <w:highlight w:val="none"/>
        </w:rPr>
        <w:t>1.5mm(16#)的不锈钢板</w:t>
      </w:r>
      <w:r>
        <w:rPr>
          <w:color w:val="231F20"/>
          <w:spacing w:val="-3"/>
          <w:szCs w:val="24"/>
          <w:highlight w:val="none"/>
        </w:rPr>
        <w:t xml:space="preserve">焊制而成，其底部具有5度的倾斜坡度， </w:t>
      </w:r>
      <w:r>
        <w:rPr>
          <w:color w:val="231F20"/>
          <w:szCs w:val="24"/>
          <w:highlight w:val="none"/>
        </w:rPr>
        <w:t>以利排水。</w:t>
      </w:r>
    </w:p>
    <w:p>
      <w:pPr>
        <w:pStyle w:val="4"/>
        <w:rPr>
          <w:sz w:val="24"/>
          <w:szCs w:val="24"/>
          <w:highlight w:val="none"/>
        </w:rPr>
      </w:pPr>
      <w:bookmarkStart w:id="35" w:name="_Toc133335314"/>
      <w:r>
        <w:rPr>
          <w:sz w:val="24"/>
          <w:szCs w:val="24"/>
          <w:highlight w:val="none"/>
        </w:rPr>
        <w:t>5.3.7 电气</w:t>
      </w:r>
      <w:bookmarkEnd w:id="35"/>
    </w:p>
    <w:p>
      <w:pPr>
        <w:widowControl/>
        <w:ind w:firstLine="420" w:firstLineChars="200"/>
        <w:rPr>
          <w:szCs w:val="24"/>
          <w:highlight w:val="none"/>
        </w:rPr>
      </w:pPr>
      <w:r>
        <w:rPr>
          <w:color w:val="231F20"/>
          <w:szCs w:val="24"/>
          <w:highlight w:val="none"/>
        </w:rPr>
        <w:t>空调箱具有防水防潮检修照明用灯具， 其电源为独立回路，以免维修时关断空调箱电源，而影响照明。</w:t>
      </w:r>
    </w:p>
    <w:p>
      <w:pPr>
        <w:pStyle w:val="4"/>
        <w:rPr>
          <w:sz w:val="24"/>
          <w:szCs w:val="24"/>
          <w:highlight w:val="none"/>
        </w:rPr>
      </w:pPr>
      <w:bookmarkStart w:id="36" w:name="_Toc133335315"/>
      <w:r>
        <w:rPr>
          <w:sz w:val="24"/>
          <w:szCs w:val="24"/>
          <w:highlight w:val="none"/>
        </w:rPr>
        <w:t>5.3.8 密封</w:t>
      </w:r>
      <w:bookmarkEnd w:id="36"/>
    </w:p>
    <w:p>
      <w:pPr>
        <w:widowControl/>
        <w:ind w:firstLine="420" w:firstLineChars="200"/>
        <w:rPr>
          <w:szCs w:val="24"/>
          <w:highlight w:val="none"/>
        </w:rPr>
      </w:pPr>
      <w:r>
        <w:rPr>
          <w:color w:val="231F20"/>
          <w:szCs w:val="24"/>
          <w:highlight w:val="none"/>
        </w:rPr>
        <w:t>为避免未经处理的空气产生旁通现象， 包括盘管与外壳之间、过滤器与外壳之间隙，以及面板与面板之间，均用硅胶充注，以保持良好的气密性。</w:t>
      </w:r>
    </w:p>
    <w:p>
      <w:pPr>
        <w:pStyle w:val="4"/>
        <w:rPr>
          <w:sz w:val="24"/>
          <w:szCs w:val="24"/>
          <w:highlight w:val="none"/>
        </w:rPr>
      </w:pPr>
      <w:bookmarkStart w:id="37" w:name="_Toc133335316"/>
      <w:r>
        <w:rPr>
          <w:sz w:val="24"/>
          <w:szCs w:val="24"/>
          <w:highlight w:val="none"/>
        </w:rPr>
        <w:t>5.3.9 风阀</w:t>
      </w:r>
      <w:bookmarkEnd w:id="37"/>
    </w:p>
    <w:p>
      <w:pPr>
        <w:widowControl/>
        <w:ind w:firstLine="420" w:firstLineChars="200"/>
        <w:jc w:val="left"/>
        <w:rPr>
          <w:szCs w:val="24"/>
          <w:highlight w:val="none"/>
        </w:rPr>
      </w:pPr>
      <w:r>
        <w:rPr>
          <w:color w:val="231F20"/>
          <w:szCs w:val="24"/>
          <w:highlight w:val="none"/>
        </w:rPr>
        <w:t>空调箱出口处安装有逆止风阀，逆止风阀采用翼截式叶片，反向排列，泄漏率</w:t>
      </w:r>
      <w:r>
        <w:rPr>
          <w:color w:val="231F20"/>
          <w:spacing w:val="-3"/>
          <w:szCs w:val="24"/>
          <w:highlight w:val="none"/>
        </w:rPr>
        <w:t>2%以下@风速=10m/s，压差=1Kpa。以</w:t>
      </w:r>
      <w:r>
        <w:rPr>
          <w:color w:val="231F20"/>
          <w:szCs w:val="24"/>
          <w:highlight w:val="none"/>
        </w:rPr>
        <w:t>防止送气回灌现象的产生。系统操作压</w:t>
      </w:r>
      <w:r>
        <w:rPr>
          <w:color w:val="231F20"/>
          <w:spacing w:val="-1"/>
          <w:szCs w:val="24"/>
          <w:highlight w:val="none"/>
        </w:rPr>
        <w:t>力大于2500Pa</w:t>
      </w:r>
      <w:r>
        <w:rPr>
          <w:color w:val="231F20"/>
          <w:szCs w:val="24"/>
          <w:highlight w:val="none"/>
        </w:rPr>
        <w:t>以上时，空调箱配有泄压风阀，以保护箱体结构。泄压风阀的开启以气动阀配合连杆工作，来达到精确的开启控制。</w:t>
      </w:r>
    </w:p>
    <w:p>
      <w:pPr>
        <w:pStyle w:val="4"/>
        <w:rPr>
          <w:sz w:val="24"/>
          <w:szCs w:val="24"/>
          <w:highlight w:val="none"/>
        </w:rPr>
      </w:pPr>
      <w:bookmarkStart w:id="38" w:name="_Toc133335317"/>
      <w:r>
        <w:rPr>
          <w:sz w:val="24"/>
          <w:szCs w:val="24"/>
          <w:highlight w:val="none"/>
        </w:rPr>
        <w:t>5.3.10 设备形状</w:t>
      </w:r>
      <w:bookmarkEnd w:id="38"/>
    </w:p>
    <w:p>
      <w:pPr>
        <w:rPr>
          <w:highlight w:val="none"/>
        </w:rPr>
      </w:pPr>
      <w:r>
        <w:rPr>
          <w:highlight w:val="none"/>
        </w:rPr>
        <w:t>具体根据项目需求设计确定，施工前提供出厂一比一承认图，正视图，俯视图等。</w:t>
      </w:r>
    </w:p>
    <w:p>
      <w:pPr>
        <w:pStyle w:val="4"/>
        <w:rPr>
          <w:sz w:val="24"/>
          <w:szCs w:val="24"/>
          <w:highlight w:val="none"/>
        </w:rPr>
      </w:pPr>
      <w:bookmarkStart w:id="39" w:name="_Toc133335318"/>
      <w:r>
        <w:rPr>
          <w:sz w:val="24"/>
          <w:szCs w:val="24"/>
          <w:highlight w:val="none"/>
        </w:rPr>
        <w:t>5.3.11 提供主要技术参数</w:t>
      </w:r>
      <w:bookmarkEnd w:id="39"/>
    </w:p>
    <w:p>
      <w:pPr>
        <w:rPr>
          <w:highlight w:val="none"/>
        </w:rPr>
      </w:pPr>
      <w:r>
        <w:rPr>
          <w:highlight w:val="none"/>
        </w:rPr>
        <w:t>具体根据项目需求设计确定，参照如下表格内容：</w:t>
      </w:r>
    </w:p>
    <w:tbl>
      <w:tblPr>
        <w:tblStyle w:val="16"/>
        <w:tblW w:w="9344" w:type="dxa"/>
        <w:tblInd w:w="0" w:type="dxa"/>
        <w:tblLayout w:type="fixed"/>
        <w:tblCellMar>
          <w:top w:w="0" w:type="dxa"/>
          <w:left w:w="108" w:type="dxa"/>
          <w:bottom w:w="0" w:type="dxa"/>
          <w:right w:w="108" w:type="dxa"/>
        </w:tblCellMar>
      </w:tblPr>
      <w:tblGrid>
        <w:gridCol w:w="565"/>
        <w:gridCol w:w="914"/>
        <w:gridCol w:w="565"/>
        <w:gridCol w:w="614"/>
        <w:gridCol w:w="614"/>
        <w:gridCol w:w="565"/>
        <w:gridCol w:w="565"/>
        <w:gridCol w:w="565"/>
        <w:gridCol w:w="604"/>
        <w:gridCol w:w="391"/>
        <w:gridCol w:w="565"/>
        <w:gridCol w:w="488"/>
        <w:gridCol w:w="488"/>
        <w:gridCol w:w="488"/>
        <w:gridCol w:w="788"/>
        <w:gridCol w:w="565"/>
      </w:tblGrid>
      <w:tr>
        <w:tblPrEx>
          <w:tblCellMar>
            <w:top w:w="0" w:type="dxa"/>
            <w:left w:w="108" w:type="dxa"/>
            <w:bottom w:w="0" w:type="dxa"/>
            <w:right w:w="108" w:type="dxa"/>
          </w:tblCellMar>
        </w:tblPrEx>
        <w:trPr>
          <w:trHeight w:val="864" w:hRule="atLeast"/>
        </w:trPr>
        <w:tc>
          <w:tcPr>
            <w:tcW w:w="56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序号</w:t>
            </w:r>
          </w:p>
        </w:tc>
        <w:tc>
          <w:tcPr>
            <w:tcW w:w="91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型</w:t>
            </w:r>
          </w:p>
          <w:p>
            <w:pPr>
              <w:widowControl/>
              <w:jc w:val="center"/>
              <w:textAlignment w:val="center"/>
              <w:rPr>
                <w:color w:val="000000"/>
                <w:szCs w:val="21"/>
                <w:highlight w:val="none"/>
              </w:rPr>
            </w:pPr>
            <w:r>
              <w:rPr>
                <w:color w:val="000000"/>
                <w:szCs w:val="21"/>
                <w:highlight w:val="none"/>
                <w:lang w:bidi="ar"/>
              </w:rPr>
              <w:t>号</w:t>
            </w:r>
          </w:p>
        </w:tc>
        <w:tc>
          <w:tcPr>
            <w:tcW w:w="56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安</w:t>
            </w:r>
          </w:p>
          <w:p>
            <w:pPr>
              <w:widowControl/>
              <w:jc w:val="center"/>
              <w:textAlignment w:val="center"/>
              <w:rPr>
                <w:color w:val="000000"/>
                <w:szCs w:val="21"/>
                <w:highlight w:val="none"/>
                <w:lang w:bidi="ar"/>
              </w:rPr>
            </w:pPr>
            <w:r>
              <w:rPr>
                <w:color w:val="000000"/>
                <w:szCs w:val="21"/>
                <w:highlight w:val="none"/>
                <w:lang w:bidi="ar"/>
              </w:rPr>
              <w:t>装</w:t>
            </w:r>
          </w:p>
          <w:p>
            <w:pPr>
              <w:widowControl/>
              <w:jc w:val="center"/>
              <w:textAlignment w:val="center"/>
              <w:rPr>
                <w:color w:val="000000"/>
                <w:szCs w:val="21"/>
                <w:highlight w:val="none"/>
              </w:rPr>
            </w:pPr>
            <w:r>
              <w:rPr>
                <w:color w:val="000000"/>
                <w:szCs w:val="21"/>
                <w:highlight w:val="none"/>
                <w:lang w:bidi="ar"/>
              </w:rPr>
              <w:t>形式</w:t>
            </w:r>
          </w:p>
        </w:tc>
        <w:tc>
          <w:tcPr>
            <w:tcW w:w="6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送</w:t>
            </w:r>
          </w:p>
          <w:p>
            <w:pPr>
              <w:widowControl/>
              <w:jc w:val="center"/>
              <w:textAlignment w:val="center"/>
              <w:rPr>
                <w:color w:val="000000"/>
                <w:szCs w:val="21"/>
                <w:highlight w:val="none"/>
              </w:rPr>
            </w:pPr>
            <w:r>
              <w:rPr>
                <w:color w:val="000000"/>
                <w:szCs w:val="21"/>
                <w:highlight w:val="none"/>
                <w:lang w:bidi="ar"/>
              </w:rPr>
              <w:t>风量</w:t>
            </w:r>
          </w:p>
        </w:tc>
        <w:tc>
          <w:tcPr>
            <w:tcW w:w="6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新</w:t>
            </w:r>
          </w:p>
          <w:p>
            <w:pPr>
              <w:widowControl/>
              <w:jc w:val="center"/>
              <w:textAlignment w:val="center"/>
              <w:rPr>
                <w:color w:val="000000"/>
                <w:szCs w:val="21"/>
                <w:highlight w:val="none"/>
              </w:rPr>
            </w:pPr>
            <w:r>
              <w:rPr>
                <w:color w:val="000000"/>
                <w:szCs w:val="21"/>
                <w:highlight w:val="none"/>
                <w:lang w:bidi="ar"/>
              </w:rPr>
              <w:t>风量</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总</w:t>
            </w:r>
          </w:p>
          <w:p>
            <w:pPr>
              <w:widowControl/>
              <w:jc w:val="center"/>
              <w:textAlignment w:val="center"/>
              <w:rPr>
                <w:color w:val="000000"/>
                <w:szCs w:val="21"/>
                <w:highlight w:val="none"/>
              </w:rPr>
            </w:pPr>
            <w:r>
              <w:rPr>
                <w:color w:val="000000"/>
                <w:szCs w:val="21"/>
                <w:highlight w:val="none"/>
                <w:lang w:bidi="ar"/>
              </w:rPr>
              <w:t>冷量</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总</w:t>
            </w:r>
          </w:p>
          <w:p>
            <w:pPr>
              <w:widowControl/>
              <w:jc w:val="center"/>
              <w:textAlignment w:val="center"/>
              <w:rPr>
                <w:color w:val="000000"/>
                <w:szCs w:val="21"/>
                <w:highlight w:val="none"/>
              </w:rPr>
            </w:pPr>
            <w:r>
              <w:rPr>
                <w:color w:val="000000"/>
                <w:szCs w:val="21"/>
                <w:highlight w:val="none"/>
                <w:lang w:bidi="ar"/>
              </w:rPr>
              <w:t>热量</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加</w:t>
            </w:r>
          </w:p>
          <w:p>
            <w:pPr>
              <w:widowControl/>
              <w:jc w:val="center"/>
              <w:textAlignment w:val="center"/>
              <w:rPr>
                <w:color w:val="000000"/>
                <w:szCs w:val="21"/>
                <w:highlight w:val="none"/>
              </w:rPr>
            </w:pPr>
            <w:r>
              <w:rPr>
                <w:color w:val="000000"/>
                <w:szCs w:val="21"/>
                <w:highlight w:val="none"/>
                <w:lang w:bidi="ar"/>
              </w:rPr>
              <w:t>热量</w:t>
            </w:r>
          </w:p>
        </w:tc>
        <w:tc>
          <w:tcPr>
            <w:tcW w:w="60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加</w:t>
            </w:r>
          </w:p>
          <w:p>
            <w:pPr>
              <w:widowControl/>
              <w:jc w:val="center"/>
              <w:textAlignment w:val="center"/>
              <w:rPr>
                <w:color w:val="000000"/>
                <w:szCs w:val="21"/>
                <w:highlight w:val="none"/>
              </w:rPr>
            </w:pPr>
            <w:r>
              <w:rPr>
                <w:color w:val="000000"/>
                <w:szCs w:val="21"/>
                <w:highlight w:val="none"/>
                <w:lang w:bidi="ar"/>
              </w:rPr>
              <w:t>湿量</w:t>
            </w:r>
          </w:p>
        </w:tc>
        <w:tc>
          <w:tcPr>
            <w:tcW w:w="3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机外</w:t>
            </w:r>
            <w:r>
              <w:rPr>
                <w:color w:val="000000"/>
                <w:szCs w:val="21"/>
                <w:highlight w:val="none"/>
                <w:lang w:bidi="ar"/>
              </w:rPr>
              <w:br w:type="textWrapping"/>
            </w:r>
            <w:r>
              <w:rPr>
                <w:color w:val="000000"/>
                <w:szCs w:val="21"/>
                <w:highlight w:val="none"/>
                <w:lang w:bidi="ar"/>
              </w:rPr>
              <w:t>余压</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功率</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冷盘接管</w:t>
            </w:r>
            <w:r>
              <w:rPr>
                <w:color w:val="000000"/>
                <w:szCs w:val="21"/>
                <w:highlight w:val="none"/>
                <w:lang w:bidi="ar"/>
              </w:rPr>
              <w:br w:type="textWrapping"/>
            </w:r>
            <w:r>
              <w:rPr>
                <w:color w:val="000000"/>
                <w:szCs w:val="21"/>
                <w:highlight w:val="none"/>
                <w:lang w:bidi="ar"/>
              </w:rPr>
              <w:t>尺寸</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热盘接管</w:t>
            </w:r>
            <w:r>
              <w:rPr>
                <w:color w:val="000000"/>
                <w:szCs w:val="21"/>
                <w:highlight w:val="none"/>
                <w:lang w:bidi="ar"/>
              </w:rPr>
              <w:br w:type="textWrapping"/>
            </w:r>
            <w:r>
              <w:rPr>
                <w:color w:val="000000"/>
                <w:szCs w:val="21"/>
                <w:highlight w:val="none"/>
                <w:lang w:bidi="ar"/>
              </w:rPr>
              <w:t>尺寸</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加湿接管</w:t>
            </w:r>
            <w:r>
              <w:rPr>
                <w:color w:val="000000"/>
                <w:szCs w:val="21"/>
                <w:highlight w:val="none"/>
                <w:lang w:bidi="ar"/>
              </w:rPr>
              <w:br w:type="textWrapping"/>
            </w:r>
            <w:r>
              <w:rPr>
                <w:color w:val="000000"/>
                <w:szCs w:val="21"/>
                <w:highlight w:val="none"/>
                <w:lang w:bidi="ar"/>
              </w:rPr>
              <w:t>尺寸</w:t>
            </w:r>
          </w:p>
        </w:tc>
        <w:tc>
          <w:tcPr>
            <w:tcW w:w="7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外</w:t>
            </w:r>
          </w:p>
          <w:p>
            <w:pPr>
              <w:widowControl/>
              <w:jc w:val="center"/>
              <w:textAlignment w:val="center"/>
              <w:rPr>
                <w:color w:val="000000"/>
                <w:szCs w:val="21"/>
                <w:highlight w:val="none"/>
                <w:lang w:bidi="ar"/>
              </w:rPr>
            </w:pPr>
            <w:r>
              <w:rPr>
                <w:color w:val="000000"/>
                <w:szCs w:val="21"/>
                <w:highlight w:val="none"/>
                <w:lang w:bidi="ar"/>
              </w:rPr>
              <w:t>形</w:t>
            </w:r>
          </w:p>
          <w:p>
            <w:pPr>
              <w:widowControl/>
              <w:jc w:val="center"/>
              <w:textAlignment w:val="center"/>
              <w:rPr>
                <w:color w:val="000000"/>
                <w:szCs w:val="21"/>
                <w:highlight w:val="none"/>
                <w:lang w:bidi="ar"/>
              </w:rPr>
            </w:pPr>
            <w:r>
              <w:rPr>
                <w:color w:val="000000"/>
                <w:szCs w:val="21"/>
                <w:highlight w:val="none"/>
                <w:lang w:bidi="ar"/>
              </w:rPr>
              <w:t>尺</w:t>
            </w:r>
          </w:p>
          <w:p>
            <w:pPr>
              <w:widowControl/>
              <w:jc w:val="center"/>
              <w:textAlignment w:val="center"/>
              <w:rPr>
                <w:color w:val="000000"/>
                <w:szCs w:val="21"/>
                <w:highlight w:val="none"/>
              </w:rPr>
            </w:pPr>
            <w:r>
              <w:rPr>
                <w:color w:val="000000"/>
                <w:szCs w:val="21"/>
                <w:highlight w:val="none"/>
                <w:lang w:bidi="ar"/>
              </w:rPr>
              <w:t>寸</w:t>
            </w:r>
          </w:p>
        </w:tc>
        <w:tc>
          <w:tcPr>
            <w:tcW w:w="56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color w:val="000000"/>
                <w:szCs w:val="21"/>
                <w:highlight w:val="none"/>
              </w:rPr>
            </w:pPr>
            <w:r>
              <w:rPr>
                <w:color w:val="000000"/>
                <w:szCs w:val="21"/>
                <w:highlight w:val="none"/>
                <w:lang w:bidi="ar"/>
              </w:rPr>
              <w:t>备注</w:t>
            </w:r>
          </w:p>
        </w:tc>
      </w:tr>
      <w:tr>
        <w:tblPrEx>
          <w:tblCellMar>
            <w:top w:w="0" w:type="dxa"/>
            <w:left w:w="108" w:type="dxa"/>
            <w:bottom w:w="0" w:type="dxa"/>
            <w:right w:w="108" w:type="dxa"/>
          </w:tblCellMar>
        </w:tblPrEx>
        <w:trPr>
          <w:trHeight w:val="440" w:hRule="atLeast"/>
        </w:trPr>
        <w:tc>
          <w:tcPr>
            <w:tcW w:w="5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91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CHM</w:t>
            </w:r>
          </w:p>
        </w:tc>
        <w:tc>
          <w:tcPr>
            <w:tcW w:w="6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CHM</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KW</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KW</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KW</w:t>
            </w:r>
          </w:p>
        </w:tc>
        <w:tc>
          <w:tcPr>
            <w:tcW w:w="60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KG/h</w:t>
            </w:r>
          </w:p>
        </w:tc>
        <w:tc>
          <w:tcPr>
            <w:tcW w:w="3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pa</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kw</w:t>
            </w:r>
          </w:p>
        </w:tc>
        <w:tc>
          <w:tcPr>
            <w:tcW w:w="4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mm</w:t>
            </w:r>
          </w:p>
        </w:tc>
        <w:tc>
          <w:tcPr>
            <w:tcW w:w="4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mm</w:t>
            </w:r>
          </w:p>
        </w:tc>
        <w:tc>
          <w:tcPr>
            <w:tcW w:w="4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mm</w:t>
            </w:r>
          </w:p>
        </w:tc>
        <w:tc>
          <w:tcPr>
            <w:tcW w:w="7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L*W*H</w:t>
            </w:r>
          </w:p>
        </w:tc>
        <w:tc>
          <w:tcPr>
            <w:tcW w:w="565" w:type="dxa"/>
            <w:vMerge w:val="continue"/>
            <w:tcBorders>
              <w:top w:val="single" w:color="000000" w:sz="4" w:space="0"/>
              <w:left w:val="single" w:color="000000" w:sz="4" w:space="0"/>
              <w:bottom w:val="single" w:color="000000" w:sz="4" w:space="0"/>
              <w:right w:val="single" w:color="000000" w:sz="4" w:space="0"/>
            </w:tcBorders>
            <w:noWrap/>
            <w:vAlign w:val="center"/>
          </w:tcPr>
          <w:p>
            <w:pPr>
              <w:jc w:val="left"/>
              <w:rPr>
                <w:color w:val="000000"/>
                <w:szCs w:val="21"/>
                <w:highlight w:val="none"/>
              </w:rPr>
            </w:pPr>
          </w:p>
        </w:tc>
      </w:tr>
      <w:tr>
        <w:tblPrEx>
          <w:tblCellMar>
            <w:top w:w="0" w:type="dxa"/>
            <w:left w:w="108" w:type="dxa"/>
            <w:bottom w:w="0" w:type="dxa"/>
            <w:right w:w="108" w:type="dxa"/>
          </w:tblCellMar>
        </w:tblPrEx>
        <w:trPr>
          <w:trHeight w:val="520" w:hRule="atLeast"/>
        </w:trPr>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1</w:t>
            </w:r>
          </w:p>
        </w:tc>
        <w:tc>
          <w:tcPr>
            <w:tcW w:w="9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AHU-101</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卧式</w:t>
            </w:r>
          </w:p>
        </w:tc>
        <w:tc>
          <w:tcPr>
            <w:tcW w:w="614"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604"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39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488"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488"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488"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jc w:val="left"/>
              <w:rPr>
                <w:color w:val="000000"/>
                <w:szCs w:val="21"/>
                <w:highlight w:val="none"/>
              </w:rPr>
            </w:pPr>
          </w:p>
        </w:tc>
      </w:tr>
      <w:tr>
        <w:tblPrEx>
          <w:tblCellMar>
            <w:top w:w="0" w:type="dxa"/>
            <w:left w:w="108" w:type="dxa"/>
            <w:bottom w:w="0" w:type="dxa"/>
            <w:right w:w="108" w:type="dxa"/>
          </w:tblCellMar>
        </w:tblPrEx>
        <w:trPr>
          <w:trHeight w:val="700" w:hRule="atLeast"/>
        </w:trPr>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2</w:t>
            </w:r>
          </w:p>
        </w:tc>
        <w:tc>
          <w:tcPr>
            <w:tcW w:w="9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AHU-102</w:t>
            </w:r>
          </w:p>
        </w:tc>
        <w:tc>
          <w:tcPr>
            <w:tcW w:w="5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卧式</w:t>
            </w:r>
          </w:p>
        </w:tc>
        <w:tc>
          <w:tcPr>
            <w:tcW w:w="614"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614"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604"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39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488"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488"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488"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szCs w:val="21"/>
                <w:highlight w:val="none"/>
              </w:rPr>
            </w:pPr>
          </w:p>
        </w:tc>
        <w:tc>
          <w:tcPr>
            <w:tcW w:w="565" w:type="dxa"/>
            <w:tcBorders>
              <w:top w:val="single" w:color="000000" w:sz="4" w:space="0"/>
              <w:left w:val="single" w:color="000000" w:sz="4" w:space="0"/>
              <w:bottom w:val="single" w:color="000000" w:sz="4" w:space="0"/>
              <w:right w:val="single" w:color="000000" w:sz="4" w:space="0"/>
            </w:tcBorders>
            <w:noWrap w:val="0"/>
            <w:vAlign w:val="center"/>
          </w:tcPr>
          <w:p>
            <w:pPr>
              <w:jc w:val="left"/>
              <w:rPr>
                <w:color w:val="000000"/>
                <w:szCs w:val="21"/>
                <w:highlight w:val="none"/>
              </w:rPr>
            </w:pPr>
          </w:p>
        </w:tc>
      </w:tr>
    </w:tbl>
    <w:p>
      <w:pPr>
        <w:pStyle w:val="4"/>
        <w:rPr>
          <w:sz w:val="24"/>
          <w:szCs w:val="24"/>
          <w:highlight w:val="none"/>
        </w:rPr>
      </w:pPr>
      <w:bookmarkStart w:id="40" w:name="_Toc133335319"/>
      <w:r>
        <w:rPr>
          <w:sz w:val="24"/>
          <w:szCs w:val="24"/>
          <w:highlight w:val="none"/>
        </w:rPr>
        <w:t>5.3.11 设备主要配置</w:t>
      </w:r>
      <w:r>
        <w:rPr>
          <w:rFonts w:hint="eastAsia"/>
          <w:sz w:val="24"/>
          <w:szCs w:val="24"/>
          <w:highlight w:val="none"/>
        </w:rPr>
        <w:t>品牌要求</w:t>
      </w:r>
      <w:r>
        <w:rPr>
          <w:sz w:val="24"/>
          <w:szCs w:val="24"/>
          <w:highlight w:val="none"/>
        </w:rPr>
        <w:t>清单</w:t>
      </w:r>
      <w:bookmarkEnd w:id="40"/>
    </w:p>
    <w:p>
      <w:pPr>
        <w:rPr>
          <w:highlight w:val="none"/>
        </w:rPr>
      </w:pPr>
      <w:r>
        <w:rPr>
          <w:rFonts w:hint="eastAsia"/>
          <w:highlight w:val="none"/>
        </w:rPr>
        <w:t>设备主要配置品牌要求，</w:t>
      </w:r>
      <w:r>
        <w:rPr>
          <w:highlight w:val="none"/>
        </w:rPr>
        <w:t>供货时须甲方确认，并提供关键部件采购合同，参照如下表格：</w:t>
      </w:r>
    </w:p>
    <w:tbl>
      <w:tblPr>
        <w:tblStyle w:val="16"/>
        <w:tblW w:w="8359" w:type="dxa"/>
        <w:jc w:val="center"/>
        <w:tblLayout w:type="fixed"/>
        <w:tblCellMar>
          <w:top w:w="0" w:type="dxa"/>
          <w:left w:w="108" w:type="dxa"/>
          <w:bottom w:w="0" w:type="dxa"/>
          <w:right w:w="108" w:type="dxa"/>
        </w:tblCellMar>
      </w:tblPr>
      <w:tblGrid>
        <w:gridCol w:w="704"/>
        <w:gridCol w:w="1418"/>
        <w:gridCol w:w="4819"/>
        <w:gridCol w:w="1418"/>
      </w:tblGrid>
      <w:tr>
        <w:tblPrEx>
          <w:tblCellMar>
            <w:top w:w="0" w:type="dxa"/>
            <w:left w:w="108" w:type="dxa"/>
            <w:bottom w:w="0" w:type="dxa"/>
            <w:right w:w="108" w:type="dxa"/>
          </w:tblCellMar>
        </w:tblPrEx>
        <w:trPr>
          <w:trHeight w:val="44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bCs/>
                <w:color w:val="000000"/>
                <w:szCs w:val="21"/>
                <w:highlight w:val="none"/>
              </w:rPr>
            </w:pPr>
            <w:r>
              <w:rPr>
                <w:bCs/>
                <w:color w:val="000000"/>
                <w:szCs w:val="21"/>
                <w:highlight w:val="none"/>
                <w:lang w:bidi="ar"/>
              </w:rPr>
              <w:t>序号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bCs/>
                <w:color w:val="000000"/>
                <w:szCs w:val="21"/>
                <w:highlight w:val="none"/>
              </w:rPr>
            </w:pPr>
            <w:r>
              <w:rPr>
                <w:bCs/>
                <w:color w:val="000000"/>
                <w:szCs w:val="21"/>
                <w:highlight w:val="none"/>
                <w:lang w:bidi="ar"/>
              </w:rPr>
              <w:t>名 称</w:t>
            </w:r>
          </w:p>
        </w:tc>
        <w:tc>
          <w:tcPr>
            <w:tcW w:w="48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bCs/>
                <w:color w:val="000000"/>
                <w:szCs w:val="21"/>
                <w:highlight w:val="none"/>
              </w:rPr>
            </w:pPr>
            <w:r>
              <w:rPr>
                <w:bCs/>
                <w:color w:val="000000"/>
                <w:szCs w:val="21"/>
                <w:highlight w:val="none"/>
                <w:lang w:bidi="ar"/>
              </w:rPr>
              <w:t>品 牌</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bCs/>
                <w:color w:val="000000"/>
                <w:szCs w:val="21"/>
                <w:highlight w:val="none"/>
              </w:rPr>
            </w:pPr>
            <w:r>
              <w:rPr>
                <w:bCs/>
                <w:color w:val="000000"/>
                <w:szCs w:val="21"/>
                <w:highlight w:val="none"/>
                <w:lang w:bidi="ar"/>
              </w:rPr>
              <w:t>备 注</w:t>
            </w:r>
          </w:p>
        </w:tc>
      </w:tr>
      <w:tr>
        <w:tblPrEx>
          <w:tblCellMar>
            <w:top w:w="0" w:type="dxa"/>
            <w:left w:w="108" w:type="dxa"/>
            <w:bottom w:w="0" w:type="dxa"/>
            <w:right w:w="108" w:type="dxa"/>
          </w:tblCellMar>
        </w:tblPrEx>
        <w:trPr>
          <w:trHeight w:val="44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1</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风 机</w:t>
            </w:r>
          </w:p>
        </w:tc>
        <w:tc>
          <w:tcPr>
            <w:tcW w:w="481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highlight w:val="none"/>
              </w:rPr>
            </w:pPr>
            <w:r>
              <w:rPr>
                <w:rFonts w:hint="eastAsia"/>
                <w:color w:val="333333"/>
                <w:sz w:val="20"/>
                <w:szCs w:val="20"/>
                <w:highlight w:val="none"/>
              </w:rPr>
              <w:t>参照或相当于</w:t>
            </w:r>
            <w:r>
              <w:rPr>
                <w:rFonts w:hint="eastAsia"/>
                <w:color w:val="000000"/>
                <w:szCs w:val="21"/>
                <w:highlight w:val="none"/>
              </w:rPr>
              <w:t>亿利达</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jc w:val="center"/>
              <w:rPr>
                <w:bCs/>
                <w:color w:val="000000"/>
                <w:szCs w:val="21"/>
                <w:highlight w:val="none"/>
              </w:rPr>
            </w:pPr>
          </w:p>
        </w:tc>
      </w:tr>
      <w:tr>
        <w:tblPrEx>
          <w:tblCellMar>
            <w:top w:w="0" w:type="dxa"/>
            <w:left w:w="108" w:type="dxa"/>
            <w:bottom w:w="0" w:type="dxa"/>
            <w:right w:w="108" w:type="dxa"/>
          </w:tblCellMar>
        </w:tblPrEx>
        <w:trPr>
          <w:trHeight w:val="44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2</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电 机</w:t>
            </w:r>
          </w:p>
        </w:tc>
        <w:tc>
          <w:tcPr>
            <w:tcW w:w="481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highlight w:val="none"/>
              </w:rPr>
            </w:pPr>
            <w:r>
              <w:rPr>
                <w:rFonts w:hint="eastAsia"/>
                <w:color w:val="000000"/>
                <w:szCs w:val="21"/>
                <w:highlight w:val="none"/>
              </w:rPr>
              <w:t>国产一线品牌，</w:t>
            </w:r>
            <w:r>
              <w:rPr>
                <w:color w:val="000000"/>
                <w:szCs w:val="21"/>
                <w:highlight w:val="none"/>
              </w:rPr>
              <w:t>防护等级不低于IP55，新国标IE4 能效等级，绝缘等级为 F 级</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highlight w:val="none"/>
              </w:rPr>
            </w:pPr>
          </w:p>
        </w:tc>
      </w:tr>
      <w:tr>
        <w:tblPrEx>
          <w:tblCellMar>
            <w:top w:w="0" w:type="dxa"/>
            <w:left w:w="108" w:type="dxa"/>
            <w:bottom w:w="0" w:type="dxa"/>
            <w:right w:w="108" w:type="dxa"/>
          </w:tblCellMar>
        </w:tblPrEx>
        <w:trPr>
          <w:trHeight w:val="44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3</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过 滤 器</w:t>
            </w:r>
          </w:p>
        </w:tc>
        <w:tc>
          <w:tcPr>
            <w:tcW w:w="481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highlight w:val="none"/>
              </w:rPr>
            </w:pPr>
            <w:r>
              <w:rPr>
                <w:rFonts w:hint="eastAsia"/>
                <w:color w:val="333333"/>
                <w:sz w:val="20"/>
                <w:szCs w:val="20"/>
                <w:highlight w:val="none"/>
              </w:rPr>
              <w:t>参照或相当于</w:t>
            </w:r>
            <w:r>
              <w:rPr>
                <w:color w:val="000000"/>
                <w:szCs w:val="21"/>
                <w:highlight w:val="none"/>
              </w:rPr>
              <w:t>AAF</w:t>
            </w:r>
            <w:r>
              <w:rPr>
                <w:rFonts w:hint="eastAsia"/>
                <w:color w:val="000000"/>
                <w:szCs w:val="21"/>
                <w:highlight w:val="none"/>
              </w:rPr>
              <w:t>/康霏尔/美埃/苏州国立</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highlight w:val="none"/>
              </w:rPr>
            </w:pPr>
          </w:p>
        </w:tc>
      </w:tr>
      <w:tr>
        <w:tblPrEx>
          <w:tblCellMar>
            <w:top w:w="0" w:type="dxa"/>
            <w:left w:w="108" w:type="dxa"/>
            <w:bottom w:w="0" w:type="dxa"/>
            <w:right w:w="108" w:type="dxa"/>
          </w:tblCellMar>
        </w:tblPrEx>
        <w:trPr>
          <w:trHeight w:val="44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22</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变频器</w:t>
            </w:r>
          </w:p>
        </w:tc>
        <w:tc>
          <w:tcPr>
            <w:tcW w:w="481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highlight w:val="none"/>
              </w:rPr>
            </w:pPr>
            <w:r>
              <w:rPr>
                <w:rFonts w:hint="eastAsia"/>
                <w:color w:val="333333"/>
                <w:sz w:val="20"/>
                <w:szCs w:val="20"/>
                <w:highlight w:val="none"/>
              </w:rPr>
              <w:t>参照或相当于</w:t>
            </w:r>
            <w:r>
              <w:rPr>
                <w:rFonts w:hint="eastAsia"/>
                <w:color w:val="000000"/>
                <w:szCs w:val="21"/>
                <w:highlight w:val="none"/>
              </w:rPr>
              <w:t>ABB、西门子、施耐德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highlight w:val="none"/>
              </w:rPr>
            </w:pPr>
          </w:p>
        </w:tc>
      </w:tr>
      <w:tr>
        <w:tblPrEx>
          <w:tblCellMar>
            <w:top w:w="0" w:type="dxa"/>
            <w:left w:w="108" w:type="dxa"/>
            <w:bottom w:w="0" w:type="dxa"/>
            <w:right w:w="108" w:type="dxa"/>
          </w:tblCellMar>
        </w:tblPrEx>
        <w:trPr>
          <w:trHeight w:val="44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23</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执行元器件</w:t>
            </w:r>
          </w:p>
        </w:tc>
        <w:tc>
          <w:tcPr>
            <w:tcW w:w="4819"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highlight w:val="none"/>
              </w:rPr>
            </w:pPr>
            <w:r>
              <w:rPr>
                <w:rFonts w:hint="eastAsia"/>
                <w:color w:val="333333"/>
                <w:sz w:val="20"/>
                <w:szCs w:val="20"/>
                <w:highlight w:val="none"/>
              </w:rPr>
              <w:t>参照或相当于</w:t>
            </w:r>
            <w:r>
              <w:rPr>
                <w:rFonts w:hint="eastAsia"/>
                <w:color w:val="000000"/>
                <w:szCs w:val="21"/>
                <w:highlight w:val="none"/>
              </w:rPr>
              <w:t>施耐德</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000000"/>
                <w:szCs w:val="21"/>
                <w:highlight w:val="none"/>
              </w:rPr>
            </w:pPr>
          </w:p>
        </w:tc>
      </w:tr>
    </w:tbl>
    <w:p>
      <w:pPr>
        <w:pStyle w:val="3"/>
        <w:rPr>
          <w:sz w:val="28"/>
          <w:szCs w:val="28"/>
          <w:highlight w:val="none"/>
        </w:rPr>
      </w:pPr>
      <w:bookmarkStart w:id="41" w:name="_Toc133335320"/>
      <w:r>
        <w:rPr>
          <w:sz w:val="28"/>
          <w:szCs w:val="28"/>
          <w:highlight w:val="none"/>
        </w:rPr>
        <w:t>5.4 风机盘管</w:t>
      </w:r>
      <w:bookmarkEnd w:id="41"/>
    </w:p>
    <w:p>
      <w:pPr>
        <w:pStyle w:val="4"/>
        <w:rPr>
          <w:sz w:val="24"/>
          <w:szCs w:val="24"/>
          <w:highlight w:val="none"/>
        </w:rPr>
      </w:pPr>
      <w:bookmarkStart w:id="42" w:name="_Toc133335321"/>
      <w:r>
        <w:rPr>
          <w:sz w:val="24"/>
          <w:szCs w:val="24"/>
          <w:highlight w:val="none"/>
        </w:rPr>
        <w:t>5.4.1 产品简介及特点</w:t>
      </w:r>
      <w:bookmarkEnd w:id="42"/>
    </w:p>
    <w:p>
      <w:pPr>
        <w:rPr>
          <w:highlight w:val="none"/>
        </w:rPr>
      </w:pPr>
      <w:r>
        <w:rPr>
          <w:highlight w:val="none"/>
        </w:rPr>
        <w:t>5.4.1.1 风机盘管主要由风机、盘管、凝结水盘、控制和手动放气阀等组成，具有结构简单、节能、噪音低、耗电省及安装维护简便、操作方便等优点</w:t>
      </w:r>
    </w:p>
    <w:p>
      <w:pPr>
        <w:rPr>
          <w:highlight w:val="none"/>
        </w:rPr>
      </w:pPr>
      <w:r>
        <w:rPr>
          <w:highlight w:val="none"/>
        </w:rPr>
        <w:t>5.4.1.2 可提供用户多种规格及型式选择，标准工况下风量340m3/h~2380m3/h，机组余压12 Pa~30pa~50pa；</w:t>
      </w:r>
    </w:p>
    <w:p>
      <w:pPr>
        <w:rPr>
          <w:highlight w:val="none"/>
        </w:rPr>
      </w:pPr>
      <w:r>
        <w:rPr>
          <w:highlight w:val="none"/>
        </w:rPr>
        <w:t>5.4.1.3 型式有：普通型卧式/立式暗装、超薄型卧式/立式/明装/暗装、嵌入式等形式。</w:t>
      </w:r>
    </w:p>
    <w:p>
      <w:pPr>
        <w:rPr>
          <w:highlight w:val="none"/>
        </w:rPr>
      </w:pPr>
      <w:r>
        <w:rPr>
          <w:highlight w:val="none"/>
        </w:rPr>
        <w:t>5.4.1.4 电机可选用：交流电机、直流无刷电机</w:t>
      </w:r>
    </w:p>
    <w:p>
      <w:pPr>
        <w:rPr>
          <w:highlight w:val="none"/>
        </w:rPr>
      </w:pPr>
      <w:r>
        <w:rPr>
          <w:highlight w:val="none"/>
        </w:rPr>
        <w:t>5.4.1.5 机型具有2排管，3排管，3+1排管可选</w:t>
      </w:r>
    </w:p>
    <w:p>
      <w:pPr>
        <w:rPr>
          <w:highlight w:val="none"/>
        </w:rPr>
      </w:pPr>
      <w:r>
        <w:rPr>
          <w:highlight w:val="none"/>
        </w:rPr>
        <w:t>5.4.1.6 机型具备左右接管可选，或是现场可调整左右接管</w:t>
      </w:r>
    </w:p>
    <w:p>
      <w:pPr>
        <w:rPr>
          <w:highlight w:val="none"/>
        </w:rPr>
      </w:pPr>
      <w:r>
        <w:rPr>
          <w:highlight w:val="none"/>
        </w:rPr>
        <w:t>5.4.1.7 机型具备高中低三挡可调</w:t>
      </w:r>
    </w:p>
    <w:p>
      <w:pPr>
        <w:rPr>
          <w:highlight w:val="none"/>
        </w:rPr>
      </w:pPr>
      <w:r>
        <w:rPr>
          <w:highlight w:val="none"/>
        </w:rPr>
        <w:t>5.4.1.8 机型具备自带回风箱可选（下回、后回）</w:t>
      </w:r>
    </w:p>
    <w:p>
      <w:pPr>
        <w:pStyle w:val="4"/>
        <w:rPr>
          <w:sz w:val="24"/>
          <w:szCs w:val="24"/>
          <w:highlight w:val="none"/>
        </w:rPr>
      </w:pPr>
      <w:bookmarkStart w:id="43" w:name="_Toc133335322"/>
      <w:r>
        <w:rPr>
          <w:sz w:val="24"/>
          <w:szCs w:val="24"/>
          <w:highlight w:val="none"/>
        </w:rPr>
        <w:t>5.4.2 提供主要性能参数</w:t>
      </w:r>
      <w:bookmarkEnd w:id="43"/>
    </w:p>
    <w:p>
      <w:pPr>
        <w:rPr>
          <w:highlight w:val="none"/>
        </w:rPr>
      </w:pPr>
      <w:r>
        <w:rPr>
          <w:highlight w:val="none"/>
        </w:rPr>
        <w:t>须提供产品主要技术参数，并由甲方确定</w:t>
      </w:r>
    </w:p>
    <w:p>
      <w:pPr>
        <w:pStyle w:val="4"/>
        <w:rPr>
          <w:sz w:val="24"/>
          <w:szCs w:val="24"/>
          <w:highlight w:val="none"/>
        </w:rPr>
      </w:pPr>
      <w:bookmarkStart w:id="44" w:name="_Toc133335323"/>
      <w:r>
        <w:rPr>
          <w:sz w:val="24"/>
          <w:szCs w:val="24"/>
          <w:highlight w:val="none"/>
        </w:rPr>
        <w:t>5.4.3 提供主要部件清单</w:t>
      </w:r>
      <w:bookmarkEnd w:id="44"/>
    </w:p>
    <w:p>
      <w:pPr>
        <w:rPr>
          <w:highlight w:val="none"/>
        </w:rPr>
      </w:pPr>
      <w:r>
        <w:rPr>
          <w:highlight w:val="none"/>
        </w:rPr>
        <w:t>所选产品供货时须甲方确认，并提供关键部件采购合同</w:t>
      </w:r>
    </w:p>
    <w:p>
      <w:pPr>
        <w:pStyle w:val="3"/>
        <w:rPr>
          <w:sz w:val="28"/>
          <w:szCs w:val="28"/>
          <w:highlight w:val="none"/>
        </w:rPr>
      </w:pPr>
      <w:bookmarkStart w:id="45" w:name="_Toc133335324"/>
      <w:r>
        <w:rPr>
          <w:sz w:val="28"/>
          <w:szCs w:val="28"/>
          <w:highlight w:val="none"/>
        </w:rPr>
        <w:t>5.5 分体空调及多联机</w:t>
      </w:r>
      <w:bookmarkEnd w:id="45"/>
    </w:p>
    <w:p>
      <w:pPr>
        <w:pStyle w:val="4"/>
        <w:rPr>
          <w:sz w:val="24"/>
          <w:szCs w:val="24"/>
          <w:highlight w:val="none"/>
        </w:rPr>
      </w:pPr>
      <w:bookmarkStart w:id="46" w:name="_Toc133335325"/>
      <w:r>
        <w:rPr>
          <w:sz w:val="24"/>
          <w:szCs w:val="24"/>
          <w:highlight w:val="none"/>
        </w:rPr>
        <w:t>5.5.1 通用技术要求</w:t>
      </w:r>
      <w:bookmarkEnd w:id="46"/>
    </w:p>
    <w:p>
      <w:pPr>
        <w:rPr>
          <w:highlight w:val="none"/>
        </w:rPr>
      </w:pPr>
      <w:r>
        <w:rPr>
          <w:highlight w:val="none"/>
        </w:rPr>
        <w:t>5.5.1.1 夏季制冷及冬季制热工况，应提供产品性能参数曲线。</w:t>
      </w:r>
    </w:p>
    <w:p>
      <w:pPr>
        <w:rPr>
          <w:highlight w:val="none"/>
        </w:rPr>
      </w:pPr>
      <w:r>
        <w:rPr>
          <w:highlight w:val="none"/>
        </w:rPr>
        <w:t>5.5.1.2 提供合肥通用机械研究院或国家日用电器质量监督检验中心的检测报告。</w:t>
      </w:r>
    </w:p>
    <w:p>
      <w:pPr>
        <w:rPr>
          <w:highlight w:val="none"/>
        </w:rPr>
      </w:pPr>
      <w:r>
        <w:rPr>
          <w:highlight w:val="none"/>
        </w:rPr>
        <w:t>5.5.1.3 每台机组须附有原厂的标志牌，标明厂家的名称、设备的编号、型号及有关的技术数据。</w:t>
      </w:r>
    </w:p>
    <w:p>
      <w:pPr>
        <w:rPr>
          <w:highlight w:val="none"/>
        </w:rPr>
      </w:pPr>
      <w:r>
        <w:rPr>
          <w:highlight w:val="none"/>
        </w:rPr>
        <w:t>5.5.1.4 所有用作消音及保温的材料不可含有石棉或石棉产品而且必须符合当地消防局的最新要求。</w:t>
      </w:r>
    </w:p>
    <w:p>
      <w:pPr>
        <w:rPr>
          <w:highlight w:val="none"/>
        </w:rPr>
      </w:pPr>
      <w:r>
        <w:rPr>
          <w:highlight w:val="none"/>
        </w:rPr>
        <w:t>5.5.1.5 应由同一厂家整体装配生产的最新型号，其中包括压缩机、电动机、蒸发器、冷凝器、恒温膨胀阀，电动机起动器以及有关机组操作及温度控制器</w:t>
      </w:r>
    </w:p>
    <w:p>
      <w:pPr>
        <w:rPr>
          <w:highlight w:val="none"/>
        </w:rPr>
      </w:pPr>
      <w:r>
        <w:rPr>
          <w:highlight w:val="none"/>
        </w:rPr>
        <w:t>5.5.1.6 室外机部分</w:t>
      </w:r>
    </w:p>
    <w:p>
      <w:pPr>
        <w:pStyle w:val="20"/>
        <w:numPr>
          <w:ilvl w:val="0"/>
          <w:numId w:val="2"/>
        </w:numPr>
        <w:spacing w:line="360" w:lineRule="auto"/>
        <w:ind w:firstLineChars="0"/>
        <w:rPr>
          <w:sz w:val="24"/>
          <w:highlight w:val="none"/>
        </w:rPr>
      </w:pPr>
      <w:r>
        <w:rPr>
          <w:color w:val="000000"/>
          <w:sz w:val="24"/>
          <w:highlight w:val="none"/>
        </w:rPr>
        <w:t>压缩机需要带减震装置，维修方便，在运行中有良好的润滑保障。压缩机运转平稳，使用寿命长，工作效率高。应具备夜间静音功能，必须满足快速维修需要。</w:t>
      </w:r>
    </w:p>
    <w:p>
      <w:pPr>
        <w:pStyle w:val="20"/>
        <w:numPr>
          <w:ilvl w:val="0"/>
          <w:numId w:val="2"/>
        </w:numPr>
        <w:spacing w:line="360" w:lineRule="auto"/>
        <w:ind w:firstLineChars="0"/>
        <w:rPr>
          <w:sz w:val="24"/>
          <w:highlight w:val="none"/>
        </w:rPr>
      </w:pPr>
      <w:r>
        <w:rPr>
          <w:color w:val="000000"/>
          <w:sz w:val="24"/>
          <w:highlight w:val="none"/>
        </w:rPr>
        <w:t>具有良好的防尘、防雨、防腐和安全防护性能。</w:t>
      </w:r>
    </w:p>
    <w:p>
      <w:pPr>
        <w:rPr>
          <w:highlight w:val="none"/>
        </w:rPr>
      </w:pPr>
      <w:r>
        <w:rPr>
          <w:highlight w:val="none"/>
        </w:rPr>
        <w:t>5.5.1.7 室内机部分</w:t>
      </w:r>
    </w:p>
    <w:p>
      <w:pPr>
        <w:ind w:firstLine="420" w:firstLineChars="200"/>
        <w:rPr>
          <w:highlight w:val="none"/>
        </w:rPr>
      </w:pPr>
      <w:r>
        <w:rPr>
          <w:highlight w:val="none"/>
        </w:rPr>
        <w:t>卧式暗装风管机须自带回风箱，提供底部回风及后部回风两种模式，可选配提升水泵（壁挂机无此要求）。</w:t>
      </w:r>
    </w:p>
    <w:p>
      <w:pPr>
        <w:pStyle w:val="4"/>
        <w:rPr>
          <w:sz w:val="24"/>
          <w:szCs w:val="24"/>
          <w:highlight w:val="none"/>
        </w:rPr>
      </w:pPr>
      <w:bookmarkStart w:id="47" w:name="_Toc133335326"/>
      <w:r>
        <w:rPr>
          <w:sz w:val="24"/>
          <w:szCs w:val="24"/>
          <w:highlight w:val="none"/>
        </w:rPr>
        <w:t>5.5.2 控制应具有以下功能</w:t>
      </w:r>
      <w:bookmarkEnd w:id="47"/>
    </w:p>
    <w:p>
      <w:pPr>
        <w:rPr>
          <w:highlight w:val="none"/>
        </w:rPr>
      </w:pPr>
      <w:r>
        <w:rPr>
          <w:highlight w:val="none"/>
        </w:rPr>
        <w:t>5.5.2.1 独立控制：每台室内机应具备独立液晶线控器（家用空调配遥控器）。</w:t>
      </w:r>
    </w:p>
    <w:p>
      <w:pPr>
        <w:rPr>
          <w:highlight w:val="none"/>
        </w:rPr>
      </w:pPr>
      <w:r>
        <w:rPr>
          <w:highlight w:val="none"/>
        </w:rPr>
        <w:t>5.5.2.2 集中控制：具备统一设置不同区域空调开/关、温度、风量等操作功能。</w:t>
      </w:r>
    </w:p>
    <w:p>
      <w:pPr>
        <w:rPr>
          <w:highlight w:val="none"/>
        </w:rPr>
      </w:pPr>
      <w:r>
        <w:rPr>
          <w:highlight w:val="none"/>
        </w:rPr>
        <w:t>5.5.2.3 故障检测：自动检测空调系统的运行 ，并对故障进行报警，方便及时维修。</w:t>
      </w:r>
    </w:p>
    <w:p>
      <w:pPr>
        <w:pStyle w:val="4"/>
        <w:rPr>
          <w:sz w:val="24"/>
          <w:szCs w:val="24"/>
          <w:highlight w:val="none"/>
        </w:rPr>
      </w:pPr>
      <w:bookmarkStart w:id="48" w:name="_Toc133335327"/>
      <w:r>
        <w:rPr>
          <w:sz w:val="24"/>
          <w:szCs w:val="24"/>
          <w:highlight w:val="none"/>
        </w:rPr>
        <w:t>5.5.3 中央空调系统具有来电自动重启功能。</w:t>
      </w:r>
      <w:bookmarkEnd w:id="48"/>
    </w:p>
    <w:p>
      <w:pPr>
        <w:pStyle w:val="4"/>
        <w:rPr>
          <w:sz w:val="24"/>
          <w:szCs w:val="24"/>
          <w:highlight w:val="none"/>
        </w:rPr>
      </w:pPr>
      <w:bookmarkStart w:id="49" w:name="_Toc133335328"/>
      <w:r>
        <w:rPr>
          <w:sz w:val="24"/>
          <w:szCs w:val="24"/>
          <w:highlight w:val="none"/>
        </w:rPr>
        <w:t>5.5.4 机组应具备以下保护装置（包含但不限于）</w:t>
      </w:r>
      <w:bookmarkEnd w:id="49"/>
    </w:p>
    <w:p>
      <w:pPr>
        <w:rPr>
          <w:highlight w:val="none"/>
        </w:rPr>
      </w:pPr>
      <w:r>
        <w:rPr>
          <w:highlight w:val="none"/>
        </w:rPr>
        <w:t>5.5.4.1 制冷剂高/低压保护</w:t>
      </w:r>
    </w:p>
    <w:p>
      <w:pPr>
        <w:rPr>
          <w:highlight w:val="none"/>
        </w:rPr>
      </w:pPr>
      <w:r>
        <w:rPr>
          <w:highlight w:val="none"/>
        </w:rPr>
        <w:t>5.5.4.2 压缩机高温保护</w:t>
      </w:r>
    </w:p>
    <w:p>
      <w:pPr>
        <w:rPr>
          <w:highlight w:val="none"/>
        </w:rPr>
      </w:pPr>
      <w:r>
        <w:rPr>
          <w:highlight w:val="none"/>
        </w:rPr>
        <w:t>5.5.4.3 电流过载保护</w:t>
      </w:r>
    </w:p>
    <w:p>
      <w:pPr>
        <w:rPr>
          <w:highlight w:val="none"/>
        </w:rPr>
      </w:pPr>
      <w:r>
        <w:rPr>
          <w:highlight w:val="none"/>
        </w:rPr>
        <w:t>5.5.4.4 室外散热器防结霜（冰）保护</w:t>
      </w:r>
    </w:p>
    <w:p>
      <w:pPr>
        <w:rPr>
          <w:highlight w:val="none"/>
        </w:rPr>
      </w:pPr>
      <w:r>
        <w:rPr>
          <w:highlight w:val="none"/>
        </w:rPr>
        <w:t>5.5.4.5 系统超载保护</w:t>
      </w:r>
    </w:p>
    <w:p>
      <w:pPr>
        <w:pStyle w:val="4"/>
        <w:rPr>
          <w:sz w:val="24"/>
          <w:szCs w:val="24"/>
          <w:highlight w:val="none"/>
        </w:rPr>
      </w:pPr>
      <w:bookmarkStart w:id="50" w:name="_Toc133335329"/>
      <w:r>
        <w:rPr>
          <w:sz w:val="24"/>
          <w:szCs w:val="24"/>
          <w:highlight w:val="none"/>
        </w:rPr>
        <w:t>5.5.5 专有技术要求</w:t>
      </w:r>
      <w:bookmarkEnd w:id="50"/>
    </w:p>
    <w:p>
      <w:pPr>
        <w:rPr>
          <w:highlight w:val="none"/>
        </w:rPr>
      </w:pPr>
      <w:r>
        <w:rPr>
          <w:highlight w:val="none"/>
        </w:rPr>
        <w:t>5.5.5.1 商用多联机</w:t>
      </w:r>
    </w:p>
    <w:p>
      <w:pPr>
        <w:widowControl/>
        <w:numPr>
          <w:ilvl w:val="0"/>
          <w:numId w:val="3"/>
        </w:numPr>
        <w:spacing w:line="360" w:lineRule="auto"/>
        <w:jc w:val="left"/>
        <w:rPr>
          <w:szCs w:val="24"/>
          <w:highlight w:val="none"/>
        </w:rPr>
      </w:pPr>
      <w:r>
        <w:rPr>
          <w:color w:val="000000"/>
          <w:szCs w:val="24"/>
          <w:highlight w:val="none"/>
        </w:rPr>
        <w:t>空调设备采用知名品牌。生产企业在国内具有研发、测试、生产、服务等机构</w:t>
      </w:r>
    </w:p>
    <w:p>
      <w:pPr>
        <w:widowControl/>
        <w:numPr>
          <w:ilvl w:val="0"/>
          <w:numId w:val="3"/>
        </w:numPr>
        <w:spacing w:line="360" w:lineRule="auto"/>
        <w:jc w:val="left"/>
        <w:rPr>
          <w:szCs w:val="24"/>
          <w:highlight w:val="none"/>
        </w:rPr>
      </w:pPr>
      <w:r>
        <w:rPr>
          <w:color w:val="000000"/>
          <w:szCs w:val="24"/>
          <w:highlight w:val="none"/>
        </w:rPr>
        <w:t>空调设备取得有效国家节能认证, IPLV不小于8.0</w:t>
      </w:r>
    </w:p>
    <w:p>
      <w:pPr>
        <w:widowControl/>
        <w:numPr>
          <w:ilvl w:val="0"/>
          <w:numId w:val="3"/>
        </w:numPr>
        <w:spacing w:line="360" w:lineRule="auto"/>
        <w:jc w:val="left"/>
        <w:rPr>
          <w:szCs w:val="24"/>
          <w:highlight w:val="none"/>
        </w:rPr>
      </w:pPr>
      <w:r>
        <w:rPr>
          <w:color w:val="000000"/>
          <w:szCs w:val="24"/>
          <w:highlight w:val="none"/>
        </w:rPr>
        <w:t>空调设备使用直流变频涡旋压缩机，运行温度-20</w:t>
      </w:r>
      <w:r>
        <w:rPr>
          <w:color w:val="000000"/>
          <w:szCs w:val="24"/>
          <w:highlight w:val="none"/>
          <w:vertAlign w:val="superscript"/>
        </w:rPr>
        <w:t>0</w:t>
      </w:r>
      <w:r>
        <w:rPr>
          <w:color w:val="000000"/>
          <w:szCs w:val="24"/>
          <w:highlight w:val="none"/>
        </w:rPr>
        <w:t>C～50</w:t>
      </w:r>
      <w:r>
        <w:rPr>
          <w:color w:val="000000"/>
          <w:szCs w:val="24"/>
          <w:highlight w:val="none"/>
          <w:vertAlign w:val="superscript"/>
        </w:rPr>
        <w:t>0</w:t>
      </w:r>
      <w:r>
        <w:rPr>
          <w:color w:val="000000"/>
          <w:szCs w:val="24"/>
          <w:highlight w:val="none"/>
        </w:rPr>
        <w:t>C，室内温度控制精度±1℃。</w:t>
      </w:r>
    </w:p>
    <w:p>
      <w:pPr>
        <w:widowControl/>
        <w:numPr>
          <w:ilvl w:val="0"/>
          <w:numId w:val="3"/>
        </w:numPr>
        <w:spacing w:line="360" w:lineRule="auto"/>
        <w:jc w:val="left"/>
        <w:rPr>
          <w:szCs w:val="24"/>
          <w:highlight w:val="none"/>
        </w:rPr>
      </w:pPr>
      <w:r>
        <w:rPr>
          <w:color w:val="000000"/>
          <w:szCs w:val="24"/>
          <w:highlight w:val="none"/>
        </w:rPr>
        <w:t>18HP以上室外机必须采用模块组合方式，现场拼接。室外机具有双后备应急运转功能</w:t>
      </w:r>
    </w:p>
    <w:p>
      <w:pPr>
        <w:widowControl/>
        <w:numPr>
          <w:ilvl w:val="0"/>
          <w:numId w:val="3"/>
        </w:numPr>
        <w:spacing w:line="360" w:lineRule="auto"/>
        <w:jc w:val="left"/>
        <w:rPr>
          <w:szCs w:val="24"/>
          <w:highlight w:val="none"/>
        </w:rPr>
      </w:pPr>
      <w:r>
        <w:rPr>
          <w:color w:val="000000"/>
          <w:szCs w:val="24"/>
          <w:highlight w:val="none"/>
        </w:rPr>
        <w:t>室外机排风静压大于80Pa</w:t>
      </w:r>
    </w:p>
    <w:p>
      <w:pPr>
        <w:widowControl/>
        <w:numPr>
          <w:ilvl w:val="0"/>
          <w:numId w:val="3"/>
        </w:numPr>
        <w:spacing w:line="360" w:lineRule="auto"/>
        <w:jc w:val="left"/>
        <w:rPr>
          <w:szCs w:val="24"/>
          <w:highlight w:val="none"/>
        </w:rPr>
      </w:pPr>
      <w:r>
        <w:rPr>
          <w:color w:val="000000"/>
          <w:szCs w:val="24"/>
          <w:highlight w:val="none"/>
        </w:rPr>
        <w:t>室外机采用智能回油技术，智能除霜技术，多重智能静音技术</w:t>
      </w:r>
    </w:p>
    <w:p>
      <w:pPr>
        <w:widowControl/>
        <w:numPr>
          <w:ilvl w:val="0"/>
          <w:numId w:val="3"/>
        </w:numPr>
        <w:spacing w:line="360" w:lineRule="auto"/>
        <w:jc w:val="left"/>
        <w:rPr>
          <w:szCs w:val="24"/>
          <w:highlight w:val="none"/>
        </w:rPr>
      </w:pPr>
      <w:r>
        <w:rPr>
          <w:color w:val="000000"/>
          <w:szCs w:val="24"/>
          <w:highlight w:val="none"/>
        </w:rPr>
        <w:t>室外机具备故障自检，采用7段式LED故障代码显示，室内机采用液晶控制器</w:t>
      </w:r>
    </w:p>
    <w:p>
      <w:pPr>
        <w:widowControl/>
        <w:numPr>
          <w:ilvl w:val="0"/>
          <w:numId w:val="3"/>
        </w:numPr>
        <w:spacing w:line="360" w:lineRule="auto"/>
        <w:jc w:val="left"/>
        <w:rPr>
          <w:szCs w:val="24"/>
          <w:highlight w:val="none"/>
        </w:rPr>
      </w:pPr>
      <w:r>
        <w:rPr>
          <w:color w:val="000000"/>
          <w:szCs w:val="24"/>
          <w:highlight w:val="none"/>
        </w:rPr>
        <w:t xml:space="preserve"> 室内机最小厚度不大于250mm，最小运转音不大于30d B</w:t>
      </w:r>
    </w:p>
    <w:p>
      <w:pPr>
        <w:widowControl/>
        <w:numPr>
          <w:ilvl w:val="0"/>
          <w:numId w:val="3"/>
        </w:numPr>
        <w:spacing w:line="360" w:lineRule="auto"/>
        <w:jc w:val="left"/>
        <w:rPr>
          <w:szCs w:val="24"/>
          <w:highlight w:val="none"/>
        </w:rPr>
      </w:pPr>
      <w:r>
        <w:rPr>
          <w:color w:val="000000"/>
          <w:szCs w:val="24"/>
          <w:highlight w:val="none"/>
        </w:rPr>
        <w:t>风管式室内机出风静压可调，最大静压大于50 Pa</w:t>
      </w:r>
    </w:p>
    <w:p>
      <w:pPr>
        <w:widowControl/>
        <w:numPr>
          <w:ilvl w:val="0"/>
          <w:numId w:val="3"/>
        </w:numPr>
        <w:spacing w:line="360" w:lineRule="auto"/>
        <w:jc w:val="left"/>
        <w:rPr>
          <w:szCs w:val="24"/>
          <w:highlight w:val="none"/>
        </w:rPr>
      </w:pPr>
      <w:r>
        <w:rPr>
          <w:color w:val="000000"/>
          <w:szCs w:val="24"/>
          <w:highlight w:val="none"/>
        </w:rPr>
        <w:t>系统最大单管长度大于180米，室内外机高低差大于50米，同系统内机高差大于15米</w:t>
      </w:r>
    </w:p>
    <w:p>
      <w:pPr>
        <w:widowControl/>
        <w:numPr>
          <w:ilvl w:val="0"/>
          <w:numId w:val="3"/>
        </w:numPr>
        <w:spacing w:line="360" w:lineRule="auto"/>
        <w:jc w:val="left"/>
        <w:rPr>
          <w:szCs w:val="24"/>
          <w:highlight w:val="none"/>
        </w:rPr>
      </w:pPr>
      <w:r>
        <w:rPr>
          <w:color w:val="000000"/>
          <w:szCs w:val="24"/>
          <w:highlight w:val="none"/>
        </w:rPr>
        <w:t>系统须具有管长自适应功能，防止制冷剂偏流。布线简单，具有自动地址设定功能</w:t>
      </w:r>
    </w:p>
    <w:p>
      <w:pPr>
        <w:widowControl/>
        <w:numPr>
          <w:ilvl w:val="0"/>
          <w:numId w:val="3"/>
        </w:numPr>
        <w:spacing w:line="360" w:lineRule="auto"/>
        <w:jc w:val="left"/>
        <w:rPr>
          <w:szCs w:val="24"/>
          <w:highlight w:val="none"/>
        </w:rPr>
      </w:pPr>
      <w:r>
        <w:rPr>
          <w:color w:val="000000"/>
          <w:szCs w:val="24"/>
          <w:highlight w:val="none"/>
        </w:rPr>
        <w:t>具有掉电记忆恢复功能</w:t>
      </w:r>
    </w:p>
    <w:p>
      <w:pPr>
        <w:widowControl/>
        <w:numPr>
          <w:ilvl w:val="0"/>
          <w:numId w:val="3"/>
        </w:numPr>
        <w:spacing w:line="360" w:lineRule="auto"/>
        <w:jc w:val="left"/>
        <w:rPr>
          <w:szCs w:val="24"/>
          <w:highlight w:val="none"/>
        </w:rPr>
      </w:pPr>
      <w:r>
        <w:rPr>
          <w:color w:val="000000"/>
          <w:szCs w:val="24"/>
          <w:highlight w:val="none"/>
        </w:rPr>
        <w:t>室外机模块之间自动轮换运转技术</w:t>
      </w:r>
    </w:p>
    <w:p>
      <w:pPr>
        <w:widowControl/>
        <w:numPr>
          <w:ilvl w:val="0"/>
          <w:numId w:val="3"/>
        </w:numPr>
        <w:spacing w:line="360" w:lineRule="auto"/>
        <w:jc w:val="left"/>
        <w:rPr>
          <w:szCs w:val="24"/>
          <w:highlight w:val="none"/>
        </w:rPr>
      </w:pPr>
      <w:r>
        <w:rPr>
          <w:color w:val="000000"/>
          <w:szCs w:val="24"/>
          <w:highlight w:val="none"/>
        </w:rPr>
        <w:t>室外机具有自动除尘技术</w:t>
      </w:r>
    </w:p>
    <w:p>
      <w:pPr>
        <w:widowControl/>
        <w:numPr>
          <w:ilvl w:val="0"/>
          <w:numId w:val="3"/>
        </w:numPr>
        <w:spacing w:line="360" w:lineRule="auto"/>
        <w:jc w:val="left"/>
        <w:rPr>
          <w:szCs w:val="24"/>
          <w:highlight w:val="none"/>
        </w:rPr>
      </w:pPr>
      <w:r>
        <w:rPr>
          <w:color w:val="000000"/>
          <w:szCs w:val="24"/>
          <w:highlight w:val="none"/>
        </w:rPr>
        <w:t>系统室内机按冷热负荷要求自由搭配</w:t>
      </w:r>
    </w:p>
    <w:p>
      <w:pPr>
        <w:widowControl/>
        <w:numPr>
          <w:ilvl w:val="0"/>
          <w:numId w:val="3"/>
        </w:numPr>
        <w:spacing w:line="360" w:lineRule="auto"/>
        <w:jc w:val="left"/>
        <w:rPr>
          <w:szCs w:val="24"/>
          <w:highlight w:val="none"/>
        </w:rPr>
      </w:pPr>
      <w:r>
        <w:rPr>
          <w:color w:val="000000"/>
          <w:szCs w:val="24"/>
          <w:highlight w:val="none"/>
        </w:rPr>
        <w:t>系统可配置智能分户计量系统</w:t>
      </w:r>
    </w:p>
    <w:p>
      <w:pPr>
        <w:rPr>
          <w:highlight w:val="none"/>
        </w:rPr>
      </w:pPr>
      <w:r>
        <w:rPr>
          <w:highlight w:val="none"/>
        </w:rPr>
        <w:t>5.5.5.2 家用分体空调</w:t>
      </w:r>
    </w:p>
    <w:p>
      <w:pPr>
        <w:widowControl/>
        <w:numPr>
          <w:ilvl w:val="0"/>
          <w:numId w:val="4"/>
        </w:numPr>
        <w:spacing w:line="360" w:lineRule="auto"/>
        <w:jc w:val="left"/>
        <w:rPr>
          <w:szCs w:val="24"/>
          <w:highlight w:val="none"/>
        </w:rPr>
      </w:pPr>
      <w:r>
        <w:rPr>
          <w:color w:val="000000"/>
          <w:szCs w:val="24"/>
          <w:highlight w:val="none"/>
        </w:rPr>
        <w:t>冷暖两用型（特殊情况可采用单冷型）</w:t>
      </w:r>
    </w:p>
    <w:p>
      <w:pPr>
        <w:widowControl/>
        <w:numPr>
          <w:ilvl w:val="0"/>
          <w:numId w:val="4"/>
        </w:numPr>
        <w:spacing w:line="360" w:lineRule="auto"/>
        <w:jc w:val="left"/>
        <w:rPr>
          <w:szCs w:val="24"/>
          <w:highlight w:val="none"/>
        </w:rPr>
      </w:pPr>
      <w:r>
        <w:rPr>
          <w:color w:val="000000"/>
          <w:szCs w:val="24"/>
          <w:highlight w:val="none"/>
        </w:rPr>
        <w:t>机组采用高效变频涡旋或旋转式压缩机，内螺纹铜管亲水铝箔换热器</w:t>
      </w:r>
    </w:p>
    <w:p>
      <w:pPr>
        <w:widowControl/>
        <w:numPr>
          <w:ilvl w:val="0"/>
          <w:numId w:val="4"/>
        </w:numPr>
        <w:spacing w:line="360" w:lineRule="auto"/>
        <w:jc w:val="left"/>
        <w:rPr>
          <w:szCs w:val="24"/>
          <w:highlight w:val="none"/>
        </w:rPr>
      </w:pPr>
      <w:r>
        <w:rPr>
          <w:color w:val="000000"/>
          <w:szCs w:val="24"/>
          <w:highlight w:val="none"/>
        </w:rPr>
        <w:t>能效达到国家2级以上标准</w:t>
      </w:r>
    </w:p>
    <w:p>
      <w:pPr>
        <w:widowControl/>
        <w:numPr>
          <w:ilvl w:val="0"/>
          <w:numId w:val="4"/>
        </w:numPr>
        <w:spacing w:line="360" w:lineRule="auto"/>
        <w:jc w:val="left"/>
        <w:rPr>
          <w:szCs w:val="24"/>
          <w:highlight w:val="none"/>
        </w:rPr>
      </w:pPr>
      <w:r>
        <w:rPr>
          <w:color w:val="000000"/>
          <w:szCs w:val="24"/>
          <w:highlight w:val="none"/>
        </w:rPr>
        <w:t>最小运转音不大于30d B</w:t>
      </w:r>
    </w:p>
    <w:p>
      <w:pPr>
        <w:widowControl/>
        <w:numPr>
          <w:ilvl w:val="0"/>
          <w:numId w:val="4"/>
        </w:numPr>
        <w:spacing w:line="360" w:lineRule="auto"/>
        <w:jc w:val="left"/>
        <w:rPr>
          <w:szCs w:val="24"/>
          <w:highlight w:val="none"/>
        </w:rPr>
      </w:pPr>
      <w:r>
        <w:rPr>
          <w:color w:val="000000"/>
          <w:szCs w:val="24"/>
          <w:highlight w:val="none"/>
        </w:rPr>
        <w:t>最大配管长度大于15米，室内外机高差大于5米</w:t>
      </w:r>
    </w:p>
    <w:p>
      <w:pPr>
        <w:pStyle w:val="3"/>
        <w:rPr>
          <w:sz w:val="28"/>
          <w:szCs w:val="28"/>
          <w:highlight w:val="none"/>
        </w:rPr>
      </w:pPr>
      <w:bookmarkStart w:id="51" w:name="_Toc133335338"/>
      <w:r>
        <w:rPr>
          <w:sz w:val="28"/>
          <w:szCs w:val="28"/>
          <w:highlight w:val="none"/>
        </w:rPr>
        <w:t>5.6 水泵</w:t>
      </w:r>
      <w:bookmarkEnd w:id="51"/>
    </w:p>
    <w:p>
      <w:pPr>
        <w:pStyle w:val="4"/>
        <w:rPr>
          <w:sz w:val="24"/>
          <w:szCs w:val="24"/>
          <w:highlight w:val="none"/>
        </w:rPr>
      </w:pPr>
      <w:bookmarkStart w:id="52" w:name="_Toc133335339"/>
      <w:r>
        <w:rPr>
          <w:sz w:val="24"/>
          <w:szCs w:val="24"/>
          <w:highlight w:val="none"/>
        </w:rPr>
        <w:t>5.6.1 整体技术要求</w:t>
      </w:r>
      <w:bookmarkEnd w:id="52"/>
    </w:p>
    <w:p>
      <w:pPr>
        <w:rPr>
          <w:highlight w:val="none"/>
        </w:rPr>
      </w:pPr>
      <w:r>
        <w:rPr>
          <w:highlight w:val="none"/>
        </w:rPr>
        <w:t>5.6.1.1 提供的设备必须是制造商原厂原装、全新未经使用、无任何质量缺陷、技术成熟、性能可靠稳定、操作和保养维护简便的设备</w:t>
      </w:r>
    </w:p>
    <w:p>
      <w:pPr>
        <w:rPr>
          <w:highlight w:val="none"/>
        </w:rPr>
      </w:pPr>
      <w:r>
        <w:rPr>
          <w:highlight w:val="none"/>
        </w:rPr>
        <w:t>5.6.1.2 电机防护等级：不低于IP54；绝缘等级：不低于F级</w:t>
      </w:r>
    </w:p>
    <w:p>
      <w:pPr>
        <w:rPr>
          <w:highlight w:val="none"/>
        </w:rPr>
      </w:pPr>
      <w:r>
        <w:rPr>
          <w:highlight w:val="none"/>
        </w:rPr>
        <w:t>5.6.1.3 水泵运行工况点的效率不得低于额定效率的85%</w:t>
      </w:r>
    </w:p>
    <w:p>
      <w:pPr>
        <w:rPr>
          <w:highlight w:val="none"/>
        </w:rPr>
      </w:pPr>
      <w:r>
        <w:rPr>
          <w:highlight w:val="none"/>
        </w:rPr>
        <w:t>5.6.1.4 水泵转子、叶轮与轴固定处设计有一套叶轮锁定装置，保证即使意外停机，水泵转子高速反转，水泵叶轮不会松动</w:t>
      </w:r>
      <w:r>
        <w:rPr>
          <w:rFonts w:hint="eastAsia"/>
          <w:highlight w:val="none"/>
        </w:rPr>
        <w:t>，水泵叶轮材质为3</w:t>
      </w:r>
      <w:r>
        <w:rPr>
          <w:highlight w:val="none"/>
        </w:rPr>
        <w:t>04</w:t>
      </w:r>
      <w:r>
        <w:rPr>
          <w:rFonts w:hint="eastAsia"/>
          <w:highlight w:val="none"/>
        </w:rPr>
        <w:t>不锈钢。</w:t>
      </w:r>
    </w:p>
    <w:p>
      <w:pPr>
        <w:rPr>
          <w:highlight w:val="none"/>
        </w:rPr>
      </w:pPr>
      <w:r>
        <w:rPr>
          <w:highlight w:val="none"/>
        </w:rPr>
        <w:t>5.6.1.5 在泵厂内进行性能试验。试验提供包括关死扬程至额定点整个连续工作范围内的扬程/流量，泵效率/流量，泵轴功率/流量，必需汽蚀余量/流量的绘制曲线和测试数据及泵机组振动、噪声、轴承温度的测试，以证明泵机组符合规定性能和设计要求，在所有运行工况下，水泵应能有效的防止汽蚀，安全运行。</w:t>
      </w:r>
    </w:p>
    <w:p>
      <w:pPr>
        <w:rPr>
          <w:highlight w:val="none"/>
        </w:rPr>
      </w:pPr>
      <w:r>
        <w:rPr>
          <w:highlight w:val="none"/>
        </w:rPr>
        <w:t>5.6.1.6 泵体承压不小于1.6MPa，泵壳应有足够的厚度以承受负载，包括必须的水压试验和连续的工作压力。水泵壳体要能承受150%的设计静压力的试验，试验时间30分钟；水压试验时泵壳与泵盖不得出现渗水和漏水，不得出现任何损坏</w:t>
      </w:r>
    </w:p>
    <w:p>
      <w:pPr>
        <w:rPr>
          <w:highlight w:val="none"/>
        </w:rPr>
      </w:pPr>
      <w:r>
        <w:rPr>
          <w:highlight w:val="none"/>
        </w:rPr>
        <w:t>5.6.1.7 水泵轴封采用免维护集成式机械密封；轴承采用SKF轴承或相同品质的轴承，轴承工作寿命大于100000小时；</w:t>
      </w:r>
    </w:p>
    <w:p>
      <w:pPr>
        <w:rPr>
          <w:highlight w:val="none"/>
        </w:rPr>
      </w:pPr>
      <w:r>
        <w:rPr>
          <w:highlight w:val="none"/>
        </w:rPr>
        <w:t>5.6.1.8 水泵噪音应符合国家标准要求，在水泵外壳1m处噪声不大于70dB(A)</w:t>
      </w:r>
    </w:p>
    <w:p>
      <w:pPr>
        <w:rPr>
          <w:highlight w:val="none"/>
        </w:rPr>
      </w:pPr>
      <w:r>
        <w:rPr>
          <w:highlight w:val="none"/>
        </w:rPr>
        <w:t>5.6.1.9 除特殊注明外，水泵均采用380V、3Ph、50HZ的电源等级</w:t>
      </w:r>
    </w:p>
    <w:p>
      <w:pPr>
        <w:rPr>
          <w:highlight w:val="none"/>
        </w:rPr>
      </w:pPr>
      <w:r>
        <w:rPr>
          <w:highlight w:val="none"/>
        </w:rPr>
        <w:t>5.6.1.10 配电箱要求元器件使用相当于西门子、施耐德、ABB或同档次产品</w:t>
      </w:r>
    </w:p>
    <w:p>
      <w:pPr>
        <w:rPr>
          <w:highlight w:val="none"/>
        </w:rPr>
      </w:pPr>
      <w:r>
        <w:rPr>
          <w:highlight w:val="none"/>
        </w:rPr>
        <w:t>5.6.1.11 水泵需要达到二级能效（优先选用一级能效）；</w:t>
      </w:r>
    </w:p>
    <w:p>
      <w:pPr>
        <w:rPr>
          <w:highlight w:val="none"/>
        </w:rPr>
      </w:pPr>
      <w:r>
        <w:rPr>
          <w:highlight w:val="none"/>
        </w:rPr>
        <w:t>5.6.1.12 水泵电机采用变频电机。</w:t>
      </w:r>
    </w:p>
    <w:p>
      <w:pPr>
        <w:rPr>
          <w:highlight w:val="none"/>
        </w:rPr>
      </w:pPr>
      <w:r>
        <w:rPr>
          <w:highlight w:val="none"/>
        </w:rPr>
        <w:t>5.6.1.13 整机性能参数符合设计要求，提供性能曲线；水泵性能参数应包括但不限于以下资料</w:t>
      </w:r>
    </w:p>
    <w:p>
      <w:pPr>
        <w:pStyle w:val="20"/>
        <w:numPr>
          <w:ilvl w:val="0"/>
          <w:numId w:val="5"/>
        </w:numPr>
        <w:spacing w:line="360" w:lineRule="auto"/>
        <w:ind w:firstLineChars="0"/>
        <w:rPr>
          <w:sz w:val="24"/>
          <w:highlight w:val="none"/>
        </w:rPr>
      </w:pPr>
      <w:r>
        <w:rPr>
          <w:color w:val="000000"/>
          <w:sz w:val="24"/>
          <w:highlight w:val="none"/>
        </w:rPr>
        <w:t>转速（rpm）</w:t>
      </w:r>
    </w:p>
    <w:p>
      <w:pPr>
        <w:pStyle w:val="20"/>
        <w:numPr>
          <w:ilvl w:val="0"/>
          <w:numId w:val="5"/>
        </w:numPr>
        <w:spacing w:line="360" w:lineRule="auto"/>
        <w:ind w:firstLineChars="0"/>
        <w:rPr>
          <w:sz w:val="24"/>
          <w:highlight w:val="none"/>
        </w:rPr>
      </w:pPr>
      <w:r>
        <w:rPr>
          <w:color w:val="000000"/>
          <w:sz w:val="24"/>
          <w:highlight w:val="none"/>
        </w:rPr>
        <w:t>流量（m³/h）</w:t>
      </w:r>
    </w:p>
    <w:p>
      <w:pPr>
        <w:pStyle w:val="20"/>
        <w:numPr>
          <w:ilvl w:val="0"/>
          <w:numId w:val="5"/>
        </w:numPr>
        <w:spacing w:line="360" w:lineRule="auto"/>
        <w:ind w:firstLineChars="0"/>
        <w:rPr>
          <w:sz w:val="24"/>
          <w:highlight w:val="none"/>
        </w:rPr>
      </w:pPr>
      <w:r>
        <w:rPr>
          <w:color w:val="000000"/>
          <w:sz w:val="24"/>
          <w:highlight w:val="none"/>
        </w:rPr>
        <w:t>扬程（m）</w:t>
      </w:r>
    </w:p>
    <w:p>
      <w:pPr>
        <w:pStyle w:val="20"/>
        <w:numPr>
          <w:ilvl w:val="0"/>
          <w:numId w:val="5"/>
        </w:numPr>
        <w:spacing w:line="360" w:lineRule="auto"/>
        <w:ind w:firstLineChars="0"/>
        <w:rPr>
          <w:sz w:val="24"/>
          <w:highlight w:val="none"/>
        </w:rPr>
      </w:pPr>
      <w:r>
        <w:rPr>
          <w:color w:val="000000"/>
          <w:sz w:val="24"/>
          <w:highlight w:val="none"/>
        </w:rPr>
        <w:t>效率（%）</w:t>
      </w:r>
    </w:p>
    <w:p>
      <w:pPr>
        <w:pStyle w:val="20"/>
        <w:numPr>
          <w:ilvl w:val="0"/>
          <w:numId w:val="5"/>
        </w:numPr>
        <w:spacing w:line="360" w:lineRule="auto"/>
        <w:ind w:firstLineChars="0"/>
        <w:rPr>
          <w:sz w:val="24"/>
          <w:highlight w:val="none"/>
        </w:rPr>
      </w:pPr>
      <w:r>
        <w:rPr>
          <w:color w:val="000000"/>
          <w:sz w:val="24"/>
          <w:highlight w:val="none"/>
        </w:rPr>
        <w:t>轴功率/电机功率</w:t>
      </w:r>
    </w:p>
    <w:p>
      <w:pPr>
        <w:pStyle w:val="20"/>
        <w:numPr>
          <w:ilvl w:val="0"/>
          <w:numId w:val="5"/>
        </w:numPr>
        <w:spacing w:line="360" w:lineRule="auto"/>
        <w:ind w:firstLineChars="0"/>
        <w:rPr>
          <w:sz w:val="24"/>
          <w:highlight w:val="none"/>
        </w:rPr>
      </w:pPr>
      <w:r>
        <w:rPr>
          <w:color w:val="000000"/>
          <w:sz w:val="24"/>
          <w:highlight w:val="none"/>
        </w:rPr>
        <w:t>水泵运行的噪音</w:t>
      </w:r>
    </w:p>
    <w:p>
      <w:pPr>
        <w:pStyle w:val="20"/>
        <w:numPr>
          <w:ilvl w:val="0"/>
          <w:numId w:val="5"/>
        </w:numPr>
        <w:spacing w:line="360" w:lineRule="auto"/>
        <w:ind w:firstLineChars="0"/>
        <w:rPr>
          <w:sz w:val="24"/>
          <w:highlight w:val="none"/>
        </w:rPr>
      </w:pPr>
      <w:r>
        <w:rPr>
          <w:color w:val="000000"/>
          <w:sz w:val="24"/>
          <w:highlight w:val="none"/>
        </w:rPr>
        <w:t>叶轮动平衡试验数据</w:t>
      </w:r>
    </w:p>
    <w:p>
      <w:pPr>
        <w:pStyle w:val="20"/>
        <w:numPr>
          <w:ilvl w:val="0"/>
          <w:numId w:val="5"/>
        </w:numPr>
        <w:spacing w:line="360" w:lineRule="auto"/>
        <w:ind w:firstLineChars="0"/>
        <w:rPr>
          <w:sz w:val="24"/>
          <w:highlight w:val="none"/>
        </w:rPr>
      </w:pPr>
      <w:r>
        <w:rPr>
          <w:color w:val="000000"/>
          <w:sz w:val="24"/>
          <w:highlight w:val="none"/>
        </w:rPr>
        <w:t>轴承、联轴器的性能参数</w:t>
      </w:r>
    </w:p>
    <w:p>
      <w:pPr>
        <w:pStyle w:val="4"/>
        <w:rPr>
          <w:sz w:val="24"/>
          <w:szCs w:val="24"/>
          <w:highlight w:val="none"/>
        </w:rPr>
      </w:pPr>
      <w:bookmarkStart w:id="53" w:name="_Toc133335340"/>
      <w:r>
        <w:rPr>
          <w:sz w:val="24"/>
          <w:szCs w:val="24"/>
          <w:highlight w:val="none"/>
        </w:rPr>
        <w:t>5.6.2 设备交货应提供的技术文件</w:t>
      </w:r>
      <w:bookmarkEnd w:id="53"/>
    </w:p>
    <w:p>
      <w:pPr>
        <w:rPr>
          <w:highlight w:val="none"/>
        </w:rPr>
      </w:pPr>
      <w:r>
        <w:rPr>
          <w:highlight w:val="none"/>
        </w:rPr>
        <w:t>5.6.2.1 中文版的设备运行、维修、保养手册（含安装基础尺寸图、使用说明书、软件说明书、控制程序清单及备份拷贝、整机的结构图、主要易损零件分解图册）</w:t>
      </w:r>
    </w:p>
    <w:p>
      <w:pPr>
        <w:rPr>
          <w:highlight w:val="none"/>
        </w:rPr>
      </w:pPr>
      <w:r>
        <w:rPr>
          <w:highlight w:val="none"/>
        </w:rPr>
        <w:t>5.6.2.2 主机、辅机、附件及配件的清单</w:t>
      </w:r>
    </w:p>
    <w:p>
      <w:pPr>
        <w:rPr>
          <w:highlight w:val="none"/>
        </w:rPr>
      </w:pPr>
      <w:r>
        <w:rPr>
          <w:highlight w:val="none"/>
        </w:rPr>
        <w:t>5.6.2.3 随机的易损件、配件及特殊专用工具清单</w:t>
      </w:r>
    </w:p>
    <w:p>
      <w:pPr>
        <w:rPr>
          <w:highlight w:val="none"/>
        </w:rPr>
      </w:pPr>
      <w:r>
        <w:rPr>
          <w:highlight w:val="none"/>
        </w:rPr>
        <w:t>5.6.2.4 产品的检验合格证书</w:t>
      </w:r>
    </w:p>
    <w:p>
      <w:pPr>
        <w:rPr>
          <w:highlight w:val="none"/>
        </w:rPr>
      </w:pPr>
      <w:r>
        <w:rPr>
          <w:highlight w:val="none"/>
        </w:rPr>
        <w:t>5.6.2.5 原产地证明书</w:t>
      </w:r>
    </w:p>
    <w:p>
      <w:pPr>
        <w:rPr>
          <w:highlight w:val="none"/>
        </w:rPr>
      </w:pPr>
      <w:r>
        <w:rPr>
          <w:highlight w:val="none"/>
        </w:rPr>
        <w:t>5.6.2.6 主要元器件的出厂合格证/安装使用说明书</w:t>
      </w:r>
    </w:p>
    <w:p>
      <w:pPr>
        <w:rPr>
          <w:highlight w:val="none"/>
        </w:rPr>
      </w:pPr>
      <w:r>
        <w:rPr>
          <w:highlight w:val="none"/>
        </w:rPr>
        <w:t>5.6.2.7 出厂时机组接管有密封盲板</w:t>
      </w:r>
    </w:p>
    <w:p>
      <w:pPr>
        <w:pStyle w:val="4"/>
        <w:rPr>
          <w:sz w:val="24"/>
          <w:szCs w:val="24"/>
          <w:highlight w:val="none"/>
        </w:rPr>
      </w:pPr>
      <w:bookmarkStart w:id="54" w:name="_Toc133335341"/>
      <w:r>
        <w:rPr>
          <w:sz w:val="24"/>
          <w:szCs w:val="24"/>
          <w:highlight w:val="none"/>
        </w:rPr>
        <w:t>5.6.3 离心、卧式水泵技术规格及要求</w:t>
      </w:r>
      <w:bookmarkEnd w:id="54"/>
    </w:p>
    <w:p>
      <w:pPr>
        <w:rPr>
          <w:highlight w:val="none"/>
        </w:rPr>
      </w:pPr>
      <w:r>
        <w:rPr>
          <w:highlight w:val="none"/>
        </w:rPr>
        <w:t>5.6.3.1 叶轮：材质为不锈钢304</w:t>
      </w:r>
    </w:p>
    <w:p>
      <w:pPr>
        <w:rPr>
          <w:highlight w:val="none"/>
        </w:rPr>
      </w:pPr>
      <w:r>
        <w:rPr>
          <w:highlight w:val="none"/>
        </w:rPr>
        <w:t>5.6.3.2 泵轴：材质为不锈钢304，轴承采用轴承钢，轴承最高温度按GB307《滚动轴承技术条件》不超过75℃</w:t>
      </w:r>
    </w:p>
    <w:p>
      <w:pPr>
        <w:rPr>
          <w:highlight w:val="none"/>
        </w:rPr>
      </w:pPr>
      <w:r>
        <w:rPr>
          <w:highlight w:val="none"/>
        </w:rPr>
        <w:t>5.6.3.3 水泵的导流器、外筒为不锈钢</w:t>
      </w:r>
    </w:p>
    <w:p>
      <w:pPr>
        <w:rPr>
          <w:highlight w:val="none"/>
        </w:rPr>
      </w:pPr>
      <w:r>
        <w:rPr>
          <w:highlight w:val="none"/>
        </w:rPr>
        <w:t>5.6.3.4 轴承润滑：采用油脂润滑，可更换润滑剂</w:t>
      </w:r>
    </w:p>
    <w:p>
      <w:pPr>
        <w:rPr>
          <w:highlight w:val="none"/>
        </w:rPr>
      </w:pPr>
      <w:r>
        <w:rPr>
          <w:highlight w:val="none"/>
        </w:rPr>
        <w:t>5.6.3.5 联轴器应设置护罩，护罩应罩住联轴器的所有旋转零件</w:t>
      </w:r>
    </w:p>
    <w:p>
      <w:pPr>
        <w:rPr>
          <w:highlight w:val="none"/>
        </w:rPr>
      </w:pPr>
      <w:r>
        <w:rPr>
          <w:highlight w:val="none"/>
        </w:rPr>
        <w:t>5.6.3.6 变频电机需带独立的散热风扇，确保电机安全运行</w:t>
      </w:r>
    </w:p>
    <w:p>
      <w:pPr>
        <w:rPr>
          <w:highlight w:val="none"/>
        </w:rPr>
      </w:pPr>
      <w:r>
        <w:rPr>
          <w:highlight w:val="none"/>
        </w:rPr>
        <w:t>5.6.3.7 设备出厂前必须保证电机和泵的联轴器所连接的两根转动轴的旋转中心严格的保证同心，联轴器必须精确地进行找正、对中</w:t>
      </w:r>
    </w:p>
    <w:p>
      <w:pPr>
        <w:rPr>
          <w:highlight w:val="none"/>
        </w:rPr>
      </w:pPr>
      <w:r>
        <w:rPr>
          <w:highlight w:val="none"/>
        </w:rPr>
        <w:t>5.6.3.8 电缆接线端子盒与电机的外壳框架稳固安装在一起或铸为一体，全封闭防水、防潮、防盐雾、耐腐蚀，经得起撞冲，盒内应有联接电机绕组抽头的端子，它们是大小适当的双头螺钉，且按标准标明端子之间的关系，电缆是由接线盒的底部进入并用密封垫圈加以密封，用于电机绕组测温元件引出接点的端子应与电机绕组电缆接线的端子适当隔离</w:t>
      </w:r>
    </w:p>
    <w:p>
      <w:pPr>
        <w:rPr>
          <w:highlight w:val="none"/>
        </w:rPr>
      </w:pPr>
      <w:r>
        <w:rPr>
          <w:highlight w:val="none"/>
        </w:rPr>
        <w:t>5.6.3.9 接线端子盒至马达控制的电缆均采用柔性电缆连接</w:t>
      </w:r>
    </w:p>
    <w:p>
      <w:pPr>
        <w:pStyle w:val="3"/>
        <w:rPr>
          <w:sz w:val="28"/>
          <w:szCs w:val="28"/>
          <w:highlight w:val="none"/>
        </w:rPr>
      </w:pPr>
      <w:bookmarkStart w:id="55" w:name="_Toc133335342"/>
      <w:r>
        <w:rPr>
          <w:sz w:val="28"/>
          <w:szCs w:val="28"/>
          <w:highlight w:val="none"/>
        </w:rPr>
        <w:t>5.7 高效过滤器HEPA</w:t>
      </w:r>
      <w:bookmarkEnd w:id="55"/>
    </w:p>
    <w:p>
      <w:pPr>
        <w:pStyle w:val="4"/>
        <w:rPr>
          <w:sz w:val="24"/>
          <w:szCs w:val="24"/>
          <w:highlight w:val="none"/>
        </w:rPr>
      </w:pPr>
      <w:bookmarkStart w:id="56" w:name="_Toc133335343"/>
      <w:r>
        <w:rPr>
          <w:sz w:val="24"/>
          <w:szCs w:val="24"/>
          <w:highlight w:val="none"/>
        </w:rPr>
        <w:t>5.7.1 适用标准</w:t>
      </w:r>
      <w:bookmarkEnd w:id="56"/>
    </w:p>
    <w:p>
      <w:pPr>
        <w:rPr>
          <w:highlight w:val="none"/>
        </w:rPr>
      </w:pPr>
      <w:r>
        <w:rPr>
          <w:highlight w:val="none"/>
        </w:rPr>
        <w:t>5.7.1.1 GB/T 14295-2008 空气过滤器</w:t>
      </w:r>
    </w:p>
    <w:p>
      <w:pPr>
        <w:rPr>
          <w:highlight w:val="none"/>
        </w:rPr>
      </w:pPr>
      <w:r>
        <w:rPr>
          <w:highlight w:val="none"/>
        </w:rPr>
        <w:t>5.7.1.2 GB10080-2001 空调用通风机安全要求</w:t>
      </w:r>
    </w:p>
    <w:p>
      <w:pPr>
        <w:rPr>
          <w:highlight w:val="none"/>
        </w:rPr>
      </w:pPr>
      <w:r>
        <w:rPr>
          <w:highlight w:val="none"/>
        </w:rPr>
        <w:t>5.7.1.3 GB/T 1236-2000 工业通风机 用标准化风道进行性能试验</w:t>
      </w:r>
    </w:p>
    <w:p>
      <w:pPr>
        <w:rPr>
          <w:highlight w:val="none"/>
        </w:rPr>
      </w:pPr>
      <w:r>
        <w:rPr>
          <w:highlight w:val="none"/>
        </w:rPr>
        <w:t>5.7.1.4 JG/T 22-1999 一般通风空气过滤器性能试验方法</w:t>
      </w:r>
    </w:p>
    <w:p>
      <w:pPr>
        <w:rPr>
          <w:highlight w:val="none"/>
        </w:rPr>
      </w:pPr>
      <w:r>
        <w:rPr>
          <w:highlight w:val="none"/>
        </w:rPr>
        <w:t>5.7.1.5 GB13554-2008 高效空气过滤器</w:t>
      </w:r>
    </w:p>
    <w:p>
      <w:pPr>
        <w:rPr>
          <w:highlight w:val="none"/>
        </w:rPr>
      </w:pPr>
      <w:r>
        <w:rPr>
          <w:highlight w:val="none"/>
        </w:rPr>
        <w:t>5.7.1.6 GB 6165-2008 高效空气过滤器性能试验方法 透过率和阻力</w:t>
      </w:r>
    </w:p>
    <w:p>
      <w:pPr>
        <w:pStyle w:val="4"/>
        <w:rPr>
          <w:sz w:val="24"/>
          <w:szCs w:val="24"/>
          <w:highlight w:val="none"/>
        </w:rPr>
      </w:pPr>
      <w:bookmarkStart w:id="57" w:name="_Toc133335344"/>
      <w:r>
        <w:rPr>
          <w:sz w:val="24"/>
          <w:szCs w:val="24"/>
          <w:highlight w:val="none"/>
        </w:rPr>
        <w:t>5.7.2 选用要求</w:t>
      </w:r>
      <w:bookmarkEnd w:id="57"/>
    </w:p>
    <w:p>
      <w:pPr>
        <w:rPr>
          <w:highlight w:val="none"/>
        </w:rPr>
      </w:pPr>
      <w:r>
        <w:rPr>
          <w:highlight w:val="none"/>
        </w:rPr>
        <w:t>5.7.2.1 高效空气过滤器选用的主要控制参数过滤效率、额定风量、额定风量下的初阻力、容尘量等</w:t>
      </w:r>
    </w:p>
    <w:p>
      <w:pPr>
        <w:rPr>
          <w:highlight w:val="none"/>
        </w:rPr>
      </w:pPr>
      <w:r>
        <w:rPr>
          <w:highlight w:val="none"/>
        </w:rPr>
        <w:t>5.7.2.2 按GB/T6165-2021《高效空气过滤器性能试验方法 透过率和阻力》规定的方法检验，其透过率≤0.1%（即效率≥99.9%）或对粒径≥0.1μm微粒的计数透过率≤0.001%（即效率≥99.999%）的过滤器为高效空气过滤器</w:t>
      </w:r>
    </w:p>
    <w:p>
      <w:pPr>
        <w:rPr>
          <w:highlight w:val="none"/>
        </w:rPr>
      </w:pPr>
      <w:r>
        <w:rPr>
          <w:highlight w:val="none"/>
        </w:rPr>
        <w:t>5.7.2.3 高效空气过滤器常用滤料有超细玻璃纤维等</w:t>
      </w:r>
    </w:p>
    <w:p>
      <w:pPr>
        <w:rPr>
          <w:highlight w:val="none"/>
        </w:rPr>
      </w:pPr>
      <w:r>
        <w:rPr>
          <w:highlight w:val="none"/>
        </w:rPr>
        <w:t>5.7.2.4 设计时，可按初阻力的二倍为终阻力，作为过滤器的计算阻力</w:t>
      </w:r>
    </w:p>
    <w:p>
      <w:pPr>
        <w:rPr>
          <w:highlight w:val="none"/>
        </w:rPr>
      </w:pPr>
      <w:r>
        <w:rPr>
          <w:highlight w:val="none"/>
        </w:rPr>
        <w:t>5.7.2.5 高效空气过滤器初阻力不得超过产品样本阻力的10%。</w:t>
      </w:r>
    </w:p>
    <w:p>
      <w:pPr>
        <w:rPr>
          <w:highlight w:val="none"/>
        </w:rPr>
      </w:pPr>
      <w:r>
        <w:rPr>
          <w:highlight w:val="none"/>
        </w:rPr>
        <w:t>5.7.2.6 高效空气过滤器不宜单独使用，高效空气过滤器宜设置在净化空调系统的末端。</w:t>
      </w:r>
    </w:p>
    <w:p>
      <w:pPr>
        <w:rPr>
          <w:highlight w:val="none"/>
        </w:rPr>
      </w:pPr>
      <w:r>
        <w:rPr>
          <w:highlight w:val="none"/>
        </w:rPr>
        <w:t>5.7.2.7 容尘量厂家应提供。高效过滤器出厂时应检漏。</w:t>
      </w:r>
    </w:p>
    <w:p>
      <w:pPr>
        <w:pStyle w:val="4"/>
        <w:rPr>
          <w:sz w:val="24"/>
          <w:szCs w:val="24"/>
          <w:highlight w:val="none"/>
        </w:rPr>
      </w:pPr>
      <w:bookmarkStart w:id="58" w:name="_Toc133335345"/>
      <w:r>
        <w:rPr>
          <w:sz w:val="24"/>
          <w:szCs w:val="24"/>
          <w:highlight w:val="none"/>
        </w:rPr>
        <w:t>5.7.3 过滤等级划分</w:t>
      </w:r>
      <w:bookmarkEnd w:id="58"/>
    </w:p>
    <w:p>
      <w:pPr>
        <w:widowControl/>
        <w:rPr>
          <w:color w:val="000000"/>
          <w:szCs w:val="24"/>
          <w:highlight w:val="none"/>
        </w:rPr>
      </w:pPr>
      <w:r>
        <w:rPr>
          <w:color w:val="000000"/>
          <w:szCs w:val="24"/>
          <w:highlight w:val="none"/>
        </w:rPr>
        <w:t>具体选型采用级别，需要根据设计资料确定，须满足洁净室净化级别要求。</w:t>
      </w:r>
    </w:p>
    <w:tbl>
      <w:tblPr>
        <w:tblStyle w:val="16"/>
        <w:tblW w:w="9344" w:type="dxa"/>
        <w:tblInd w:w="-147" w:type="dxa"/>
        <w:tblLayout w:type="fixed"/>
        <w:tblCellMar>
          <w:top w:w="0" w:type="dxa"/>
          <w:left w:w="108" w:type="dxa"/>
          <w:bottom w:w="0" w:type="dxa"/>
          <w:right w:w="108" w:type="dxa"/>
        </w:tblCellMar>
      </w:tblPr>
      <w:tblGrid>
        <w:gridCol w:w="727"/>
        <w:gridCol w:w="1052"/>
        <w:gridCol w:w="824"/>
        <w:gridCol w:w="1078"/>
        <w:gridCol w:w="1047"/>
        <w:gridCol w:w="768"/>
        <w:gridCol w:w="768"/>
        <w:gridCol w:w="1981"/>
        <w:gridCol w:w="1099"/>
      </w:tblGrid>
      <w:tr>
        <w:tblPrEx>
          <w:tblCellMar>
            <w:top w:w="0" w:type="dxa"/>
            <w:left w:w="108" w:type="dxa"/>
            <w:bottom w:w="0" w:type="dxa"/>
            <w:right w:w="108" w:type="dxa"/>
          </w:tblCellMar>
        </w:tblPrEx>
        <w:trPr>
          <w:trHeight w:val="57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序号</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名称</w:t>
            </w:r>
          </w:p>
        </w:tc>
        <w:tc>
          <w:tcPr>
            <w:tcW w:w="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效率级别</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color w:val="000000"/>
                <w:szCs w:val="21"/>
                <w:highlight w:val="none"/>
              </w:rPr>
            </w:pPr>
            <w:r>
              <w:rPr>
                <w:color w:val="000000"/>
                <w:szCs w:val="21"/>
                <w:highlight w:val="none"/>
                <w:lang w:bidi="ar"/>
              </w:rPr>
              <w:t>连续运行温度</w:t>
            </w:r>
          </w:p>
        </w:tc>
        <w:tc>
          <w:tcPr>
            <w:tcW w:w="104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耐湿型</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初阻力</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终阻力</w:t>
            </w:r>
          </w:p>
        </w:tc>
        <w:tc>
          <w:tcPr>
            <w:tcW w:w="19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过滤效率</w:t>
            </w:r>
          </w:p>
        </w:tc>
        <w:tc>
          <w:tcPr>
            <w:tcW w:w="109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过滤材质</w:t>
            </w:r>
          </w:p>
        </w:tc>
      </w:tr>
      <w:tr>
        <w:tblPrEx>
          <w:tblCellMar>
            <w:top w:w="0" w:type="dxa"/>
            <w:left w:w="108" w:type="dxa"/>
            <w:bottom w:w="0" w:type="dxa"/>
            <w:right w:w="108" w:type="dxa"/>
          </w:tblCellMar>
        </w:tblPrEx>
        <w:trPr>
          <w:trHeight w:val="44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1</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亚高效过滤器</w:t>
            </w:r>
          </w:p>
        </w:tc>
        <w:tc>
          <w:tcPr>
            <w:tcW w:w="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H11</w:t>
            </w:r>
          </w:p>
        </w:tc>
        <w:tc>
          <w:tcPr>
            <w:tcW w:w="107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＜70℃</w:t>
            </w:r>
          </w:p>
        </w:tc>
        <w:tc>
          <w:tcPr>
            <w:tcW w:w="104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RH≤100%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150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350</w:t>
            </w:r>
          </w:p>
        </w:tc>
        <w:tc>
          <w:tcPr>
            <w:tcW w:w="19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≥99%@0.3μm</w:t>
            </w:r>
          </w:p>
        </w:tc>
        <w:tc>
          <w:tcPr>
            <w:tcW w:w="109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PTFE或</w:t>
            </w:r>
          </w:p>
          <w:p>
            <w:pPr>
              <w:widowControl/>
              <w:jc w:val="center"/>
              <w:textAlignment w:val="center"/>
              <w:rPr>
                <w:color w:val="000000"/>
                <w:szCs w:val="21"/>
                <w:highlight w:val="none"/>
              </w:rPr>
            </w:pPr>
            <w:r>
              <w:rPr>
                <w:color w:val="000000"/>
                <w:szCs w:val="21"/>
                <w:highlight w:val="none"/>
                <w:lang w:bidi="ar"/>
              </w:rPr>
              <w:t>玻纤</w:t>
            </w:r>
          </w:p>
        </w:tc>
      </w:tr>
      <w:tr>
        <w:tblPrEx>
          <w:tblCellMar>
            <w:top w:w="0" w:type="dxa"/>
            <w:left w:w="108" w:type="dxa"/>
            <w:bottom w:w="0" w:type="dxa"/>
            <w:right w:w="108" w:type="dxa"/>
          </w:tblCellMar>
        </w:tblPrEx>
        <w:trPr>
          <w:trHeight w:val="44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2</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亚高效过滤器</w:t>
            </w:r>
          </w:p>
        </w:tc>
        <w:tc>
          <w:tcPr>
            <w:tcW w:w="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H12</w:t>
            </w:r>
          </w:p>
        </w:tc>
        <w:tc>
          <w:tcPr>
            <w:tcW w:w="107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＜70℃</w:t>
            </w:r>
          </w:p>
        </w:tc>
        <w:tc>
          <w:tcPr>
            <w:tcW w:w="104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RH≤100%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150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350</w:t>
            </w:r>
          </w:p>
        </w:tc>
        <w:tc>
          <w:tcPr>
            <w:tcW w:w="19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≥99.9%@0.3μm</w:t>
            </w:r>
          </w:p>
        </w:tc>
        <w:tc>
          <w:tcPr>
            <w:tcW w:w="109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PTFE或</w:t>
            </w:r>
          </w:p>
          <w:p>
            <w:pPr>
              <w:widowControl/>
              <w:jc w:val="center"/>
              <w:textAlignment w:val="center"/>
              <w:rPr>
                <w:color w:val="000000"/>
                <w:szCs w:val="21"/>
                <w:highlight w:val="none"/>
              </w:rPr>
            </w:pPr>
            <w:r>
              <w:rPr>
                <w:color w:val="000000"/>
                <w:szCs w:val="21"/>
                <w:highlight w:val="none"/>
                <w:lang w:bidi="ar"/>
              </w:rPr>
              <w:t>玻纤</w:t>
            </w:r>
          </w:p>
        </w:tc>
      </w:tr>
      <w:tr>
        <w:tblPrEx>
          <w:tblCellMar>
            <w:top w:w="0" w:type="dxa"/>
            <w:left w:w="108" w:type="dxa"/>
            <w:bottom w:w="0" w:type="dxa"/>
            <w:right w:w="108" w:type="dxa"/>
          </w:tblCellMar>
        </w:tblPrEx>
        <w:trPr>
          <w:trHeight w:val="44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3</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高效过滤器</w:t>
            </w:r>
          </w:p>
        </w:tc>
        <w:tc>
          <w:tcPr>
            <w:tcW w:w="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H13</w:t>
            </w:r>
          </w:p>
        </w:tc>
        <w:tc>
          <w:tcPr>
            <w:tcW w:w="107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＜70℃</w:t>
            </w:r>
          </w:p>
        </w:tc>
        <w:tc>
          <w:tcPr>
            <w:tcW w:w="104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RH≤100%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200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400</w:t>
            </w:r>
          </w:p>
        </w:tc>
        <w:tc>
          <w:tcPr>
            <w:tcW w:w="19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≥99.99%@0.3μm</w:t>
            </w:r>
          </w:p>
        </w:tc>
        <w:tc>
          <w:tcPr>
            <w:tcW w:w="109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PTFE或</w:t>
            </w:r>
          </w:p>
          <w:p>
            <w:pPr>
              <w:widowControl/>
              <w:jc w:val="center"/>
              <w:textAlignment w:val="center"/>
              <w:rPr>
                <w:color w:val="000000"/>
                <w:szCs w:val="21"/>
                <w:highlight w:val="none"/>
              </w:rPr>
            </w:pPr>
            <w:r>
              <w:rPr>
                <w:color w:val="000000"/>
                <w:szCs w:val="21"/>
                <w:highlight w:val="none"/>
                <w:lang w:bidi="ar"/>
              </w:rPr>
              <w:t>玻纤</w:t>
            </w:r>
          </w:p>
        </w:tc>
      </w:tr>
      <w:tr>
        <w:tblPrEx>
          <w:tblCellMar>
            <w:top w:w="0" w:type="dxa"/>
            <w:left w:w="108" w:type="dxa"/>
            <w:bottom w:w="0" w:type="dxa"/>
            <w:right w:w="108" w:type="dxa"/>
          </w:tblCellMar>
        </w:tblPrEx>
        <w:trPr>
          <w:trHeight w:val="44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4</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高效过滤器</w:t>
            </w:r>
          </w:p>
        </w:tc>
        <w:tc>
          <w:tcPr>
            <w:tcW w:w="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H14</w:t>
            </w:r>
          </w:p>
        </w:tc>
        <w:tc>
          <w:tcPr>
            <w:tcW w:w="107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＜70℃</w:t>
            </w:r>
          </w:p>
        </w:tc>
        <w:tc>
          <w:tcPr>
            <w:tcW w:w="104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RH≤100%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200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400</w:t>
            </w:r>
          </w:p>
        </w:tc>
        <w:tc>
          <w:tcPr>
            <w:tcW w:w="19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≥99.995%@0.3μm</w:t>
            </w:r>
          </w:p>
        </w:tc>
        <w:tc>
          <w:tcPr>
            <w:tcW w:w="109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PTFE或</w:t>
            </w:r>
          </w:p>
          <w:p>
            <w:pPr>
              <w:widowControl/>
              <w:jc w:val="center"/>
              <w:textAlignment w:val="center"/>
              <w:rPr>
                <w:color w:val="000000"/>
                <w:szCs w:val="21"/>
                <w:highlight w:val="none"/>
              </w:rPr>
            </w:pPr>
            <w:r>
              <w:rPr>
                <w:color w:val="000000"/>
                <w:szCs w:val="21"/>
                <w:highlight w:val="none"/>
                <w:lang w:bidi="ar"/>
              </w:rPr>
              <w:t>玻纤</w:t>
            </w:r>
          </w:p>
        </w:tc>
      </w:tr>
      <w:tr>
        <w:tblPrEx>
          <w:tblCellMar>
            <w:top w:w="0" w:type="dxa"/>
            <w:left w:w="108" w:type="dxa"/>
            <w:bottom w:w="0" w:type="dxa"/>
            <w:right w:w="108" w:type="dxa"/>
          </w:tblCellMar>
        </w:tblPrEx>
        <w:trPr>
          <w:trHeight w:val="44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5</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超高效过滤器</w:t>
            </w:r>
          </w:p>
        </w:tc>
        <w:tc>
          <w:tcPr>
            <w:tcW w:w="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U15</w:t>
            </w:r>
          </w:p>
        </w:tc>
        <w:tc>
          <w:tcPr>
            <w:tcW w:w="107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＜70℃</w:t>
            </w:r>
          </w:p>
        </w:tc>
        <w:tc>
          <w:tcPr>
            <w:tcW w:w="104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RH≤100%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300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600</w:t>
            </w:r>
          </w:p>
        </w:tc>
        <w:tc>
          <w:tcPr>
            <w:tcW w:w="19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≥99.995%@0.12μm</w:t>
            </w:r>
          </w:p>
        </w:tc>
        <w:tc>
          <w:tcPr>
            <w:tcW w:w="109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PTFE或</w:t>
            </w:r>
          </w:p>
          <w:p>
            <w:pPr>
              <w:widowControl/>
              <w:jc w:val="center"/>
              <w:textAlignment w:val="center"/>
              <w:rPr>
                <w:color w:val="000000"/>
                <w:szCs w:val="21"/>
                <w:highlight w:val="none"/>
              </w:rPr>
            </w:pPr>
            <w:r>
              <w:rPr>
                <w:color w:val="000000"/>
                <w:szCs w:val="21"/>
                <w:highlight w:val="none"/>
                <w:lang w:bidi="ar"/>
              </w:rPr>
              <w:t>玻纤</w:t>
            </w:r>
          </w:p>
        </w:tc>
      </w:tr>
      <w:tr>
        <w:tblPrEx>
          <w:tblCellMar>
            <w:top w:w="0" w:type="dxa"/>
            <w:left w:w="108" w:type="dxa"/>
            <w:bottom w:w="0" w:type="dxa"/>
            <w:right w:w="108" w:type="dxa"/>
          </w:tblCellMar>
        </w:tblPrEx>
        <w:trPr>
          <w:trHeight w:val="44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6</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超高效过滤器</w:t>
            </w:r>
          </w:p>
        </w:tc>
        <w:tc>
          <w:tcPr>
            <w:tcW w:w="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U16</w:t>
            </w:r>
          </w:p>
        </w:tc>
        <w:tc>
          <w:tcPr>
            <w:tcW w:w="107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＜70℃</w:t>
            </w:r>
          </w:p>
        </w:tc>
        <w:tc>
          <w:tcPr>
            <w:tcW w:w="104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RH≤100%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300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600</w:t>
            </w:r>
          </w:p>
        </w:tc>
        <w:tc>
          <w:tcPr>
            <w:tcW w:w="19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≥99.9995%@0.12μm</w:t>
            </w:r>
          </w:p>
        </w:tc>
        <w:tc>
          <w:tcPr>
            <w:tcW w:w="109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PTFE或</w:t>
            </w:r>
          </w:p>
          <w:p>
            <w:pPr>
              <w:widowControl/>
              <w:jc w:val="center"/>
              <w:textAlignment w:val="center"/>
              <w:rPr>
                <w:color w:val="000000"/>
                <w:szCs w:val="21"/>
                <w:highlight w:val="none"/>
              </w:rPr>
            </w:pPr>
            <w:r>
              <w:rPr>
                <w:color w:val="000000"/>
                <w:szCs w:val="21"/>
                <w:highlight w:val="none"/>
                <w:lang w:bidi="ar"/>
              </w:rPr>
              <w:t>玻纤</w:t>
            </w:r>
          </w:p>
        </w:tc>
      </w:tr>
      <w:tr>
        <w:tblPrEx>
          <w:tblCellMar>
            <w:top w:w="0" w:type="dxa"/>
            <w:left w:w="108" w:type="dxa"/>
            <w:bottom w:w="0" w:type="dxa"/>
            <w:right w:w="108" w:type="dxa"/>
          </w:tblCellMar>
        </w:tblPrEx>
        <w:trPr>
          <w:trHeight w:val="44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7</w:t>
            </w:r>
          </w:p>
        </w:tc>
        <w:tc>
          <w:tcPr>
            <w:tcW w:w="10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超高效过滤器</w:t>
            </w:r>
          </w:p>
        </w:tc>
        <w:tc>
          <w:tcPr>
            <w:tcW w:w="8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U17</w:t>
            </w:r>
          </w:p>
        </w:tc>
        <w:tc>
          <w:tcPr>
            <w:tcW w:w="107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＜70℃</w:t>
            </w:r>
          </w:p>
        </w:tc>
        <w:tc>
          <w:tcPr>
            <w:tcW w:w="104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RH≤100%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300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600</w:t>
            </w:r>
          </w:p>
        </w:tc>
        <w:tc>
          <w:tcPr>
            <w:tcW w:w="198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≥99.99995%@0.12μm</w:t>
            </w:r>
          </w:p>
        </w:tc>
        <w:tc>
          <w:tcPr>
            <w:tcW w:w="109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lang w:bidi="ar"/>
              </w:rPr>
            </w:pPr>
            <w:r>
              <w:rPr>
                <w:color w:val="000000"/>
                <w:szCs w:val="21"/>
                <w:highlight w:val="none"/>
                <w:lang w:bidi="ar"/>
              </w:rPr>
              <w:t>PTFE或</w:t>
            </w:r>
          </w:p>
          <w:p>
            <w:pPr>
              <w:widowControl/>
              <w:jc w:val="center"/>
              <w:textAlignment w:val="center"/>
              <w:rPr>
                <w:color w:val="000000"/>
                <w:szCs w:val="21"/>
                <w:highlight w:val="none"/>
              </w:rPr>
            </w:pPr>
            <w:r>
              <w:rPr>
                <w:color w:val="000000"/>
                <w:szCs w:val="21"/>
                <w:highlight w:val="none"/>
                <w:lang w:bidi="ar"/>
              </w:rPr>
              <w:t>玻纤</w:t>
            </w:r>
          </w:p>
        </w:tc>
      </w:tr>
    </w:tbl>
    <w:p>
      <w:pPr>
        <w:pStyle w:val="4"/>
        <w:rPr>
          <w:sz w:val="24"/>
          <w:szCs w:val="24"/>
          <w:highlight w:val="none"/>
        </w:rPr>
      </w:pPr>
      <w:bookmarkStart w:id="59" w:name="_Toc133335346"/>
      <w:r>
        <w:rPr>
          <w:sz w:val="24"/>
          <w:szCs w:val="24"/>
          <w:highlight w:val="none"/>
        </w:rPr>
        <w:t>5.7.4 提供性能说明文件</w:t>
      </w:r>
      <w:bookmarkEnd w:id="59"/>
    </w:p>
    <w:p>
      <w:pPr>
        <w:widowControl/>
        <w:rPr>
          <w:color w:val="000000"/>
          <w:szCs w:val="24"/>
          <w:highlight w:val="none"/>
        </w:rPr>
      </w:pPr>
      <w:r>
        <w:rPr>
          <w:color w:val="000000"/>
          <w:szCs w:val="24"/>
          <w:highlight w:val="none"/>
        </w:rPr>
        <w:t>具体选型采用级别，需要根据设计资料确定，须满足洁净室净化级别要求：</w:t>
      </w:r>
    </w:p>
    <w:p>
      <w:pPr>
        <w:widowControl/>
        <w:rPr>
          <w:color w:val="000000"/>
          <w:szCs w:val="24"/>
          <w:highlight w:val="none"/>
        </w:rPr>
      </w:pPr>
    </w:p>
    <w:tbl>
      <w:tblPr>
        <w:tblStyle w:val="16"/>
        <w:tblW w:w="9354" w:type="dxa"/>
        <w:tblInd w:w="0" w:type="dxa"/>
        <w:tblLayout w:type="fixed"/>
        <w:tblCellMar>
          <w:top w:w="0" w:type="dxa"/>
          <w:left w:w="108" w:type="dxa"/>
          <w:bottom w:w="0" w:type="dxa"/>
          <w:right w:w="108" w:type="dxa"/>
        </w:tblCellMar>
      </w:tblPr>
      <w:tblGrid>
        <w:gridCol w:w="2025"/>
        <w:gridCol w:w="935"/>
        <w:gridCol w:w="754"/>
        <w:gridCol w:w="2432"/>
        <w:gridCol w:w="3208"/>
      </w:tblGrid>
      <w:tr>
        <w:tblPrEx>
          <w:tblCellMar>
            <w:top w:w="0" w:type="dxa"/>
            <w:left w:w="108" w:type="dxa"/>
            <w:bottom w:w="0" w:type="dxa"/>
            <w:right w:w="108" w:type="dxa"/>
          </w:tblCellMar>
        </w:tblPrEx>
        <w:trPr>
          <w:trHeight w:val="440" w:hRule="atLeast"/>
        </w:trPr>
        <w:tc>
          <w:tcPr>
            <w:tcW w:w="9354" w:type="dxa"/>
            <w:gridSpan w:val="5"/>
            <w:tcBorders>
              <w:top w:val="nil"/>
              <w:left w:val="nil"/>
              <w:bottom w:val="nil"/>
              <w:right w:val="nil"/>
            </w:tcBorders>
            <w:noWrap/>
            <w:vAlign w:val="center"/>
          </w:tcPr>
          <w:p>
            <w:pPr>
              <w:widowControl/>
              <w:jc w:val="center"/>
              <w:textAlignment w:val="center"/>
              <w:rPr>
                <w:color w:val="000000"/>
                <w:sz w:val="22"/>
                <w:highlight w:val="none"/>
              </w:rPr>
            </w:pPr>
            <w:r>
              <w:rPr>
                <w:color w:val="000000"/>
                <w:sz w:val="22"/>
                <w:highlight w:val="none"/>
                <w:lang w:bidi="ar"/>
              </w:rPr>
              <w:t>性能说明</w:t>
            </w:r>
          </w:p>
        </w:tc>
      </w:tr>
      <w:tr>
        <w:tblPrEx>
          <w:tblCellMar>
            <w:top w:w="0" w:type="dxa"/>
            <w:left w:w="108" w:type="dxa"/>
            <w:bottom w:w="0" w:type="dxa"/>
            <w:right w:w="108" w:type="dxa"/>
          </w:tblCellMar>
        </w:tblPrEx>
        <w:trPr>
          <w:trHeight w:val="440" w:hRule="atLeast"/>
        </w:trPr>
        <w:tc>
          <w:tcPr>
            <w:tcW w:w="2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外框</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滤料分隔</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密封胶</w:t>
            </w:r>
          </w:p>
        </w:tc>
        <w:tc>
          <w:tcPr>
            <w:tcW w:w="24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密封垫</w:t>
            </w:r>
          </w:p>
        </w:tc>
        <w:tc>
          <w:tcPr>
            <w:tcW w:w="3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保护网</w:t>
            </w:r>
          </w:p>
        </w:tc>
      </w:tr>
      <w:tr>
        <w:tblPrEx>
          <w:tblCellMar>
            <w:top w:w="0" w:type="dxa"/>
            <w:left w:w="108" w:type="dxa"/>
            <w:bottom w:w="0" w:type="dxa"/>
            <w:right w:w="108" w:type="dxa"/>
          </w:tblCellMar>
        </w:tblPrEx>
        <w:trPr>
          <w:trHeight w:val="440" w:hRule="atLeast"/>
        </w:trPr>
        <w:tc>
          <w:tcPr>
            <w:tcW w:w="2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w:t>
            </w:r>
          </w:p>
        </w:tc>
        <w:tc>
          <w:tcPr>
            <w:tcW w:w="24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厚度≥6mm</w:t>
            </w:r>
          </w:p>
        </w:tc>
        <w:tc>
          <w:tcPr>
            <w:tcW w:w="3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w:t>
            </w:r>
          </w:p>
        </w:tc>
      </w:tr>
      <w:tr>
        <w:tblPrEx>
          <w:tblCellMar>
            <w:top w:w="0" w:type="dxa"/>
            <w:left w:w="108" w:type="dxa"/>
            <w:bottom w:w="0" w:type="dxa"/>
            <w:right w:w="108" w:type="dxa"/>
          </w:tblCellMar>
        </w:tblPrEx>
        <w:trPr>
          <w:trHeight w:val="440" w:hRule="atLeast"/>
        </w:trPr>
        <w:tc>
          <w:tcPr>
            <w:tcW w:w="2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阳极铝型材，表面氧化</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热熔胶</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聚氨酯</w:t>
            </w:r>
          </w:p>
        </w:tc>
        <w:tc>
          <w:tcPr>
            <w:tcW w:w="24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低化学挥发性双面EPDM/EVA</w:t>
            </w:r>
          </w:p>
        </w:tc>
        <w:tc>
          <w:tcPr>
            <w:tcW w:w="3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双面喷塑钢板网/表面阳极氧化铝网板</w:t>
            </w:r>
          </w:p>
        </w:tc>
      </w:tr>
      <w:tr>
        <w:tblPrEx>
          <w:tblCellMar>
            <w:top w:w="0" w:type="dxa"/>
            <w:left w:w="108" w:type="dxa"/>
            <w:bottom w:w="0" w:type="dxa"/>
            <w:right w:w="108" w:type="dxa"/>
          </w:tblCellMar>
        </w:tblPrEx>
        <w:trPr>
          <w:trHeight w:val="440" w:hRule="atLeast"/>
        </w:trPr>
        <w:tc>
          <w:tcPr>
            <w:tcW w:w="2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阳极铝型材，表面氧化</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热熔胶</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聚氨酯</w:t>
            </w:r>
          </w:p>
        </w:tc>
        <w:tc>
          <w:tcPr>
            <w:tcW w:w="24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低化学挥发性双面EPDM/EVA</w:t>
            </w:r>
          </w:p>
        </w:tc>
        <w:tc>
          <w:tcPr>
            <w:tcW w:w="3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双面喷塑钢板网/表面阳极氧化铝网板</w:t>
            </w:r>
          </w:p>
        </w:tc>
      </w:tr>
      <w:tr>
        <w:tblPrEx>
          <w:tblCellMar>
            <w:top w:w="0" w:type="dxa"/>
            <w:left w:w="108" w:type="dxa"/>
            <w:bottom w:w="0" w:type="dxa"/>
            <w:right w:w="108" w:type="dxa"/>
          </w:tblCellMar>
        </w:tblPrEx>
        <w:trPr>
          <w:trHeight w:val="440" w:hRule="atLeast"/>
        </w:trPr>
        <w:tc>
          <w:tcPr>
            <w:tcW w:w="2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阳极铝型材，表面氧化</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热熔胶</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聚氨酯</w:t>
            </w:r>
          </w:p>
        </w:tc>
        <w:tc>
          <w:tcPr>
            <w:tcW w:w="24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低化学挥发性双面EPDM/EVA</w:t>
            </w:r>
          </w:p>
        </w:tc>
        <w:tc>
          <w:tcPr>
            <w:tcW w:w="3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双面喷塑钢板网/表面阳极氧化铝网板</w:t>
            </w:r>
          </w:p>
        </w:tc>
      </w:tr>
      <w:tr>
        <w:tblPrEx>
          <w:tblCellMar>
            <w:top w:w="0" w:type="dxa"/>
            <w:left w:w="108" w:type="dxa"/>
            <w:bottom w:w="0" w:type="dxa"/>
            <w:right w:w="108" w:type="dxa"/>
          </w:tblCellMar>
        </w:tblPrEx>
        <w:trPr>
          <w:trHeight w:val="440" w:hRule="atLeast"/>
        </w:trPr>
        <w:tc>
          <w:tcPr>
            <w:tcW w:w="2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阳极铝型材，表面氧化</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热熔胶</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聚氨酯</w:t>
            </w:r>
          </w:p>
        </w:tc>
        <w:tc>
          <w:tcPr>
            <w:tcW w:w="24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低化学挥发性双面EPDM/EVA</w:t>
            </w:r>
          </w:p>
        </w:tc>
        <w:tc>
          <w:tcPr>
            <w:tcW w:w="3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双面喷塑钢板网/表面阳极氧化铝网板</w:t>
            </w:r>
          </w:p>
        </w:tc>
      </w:tr>
      <w:tr>
        <w:tblPrEx>
          <w:tblCellMar>
            <w:top w:w="0" w:type="dxa"/>
            <w:left w:w="108" w:type="dxa"/>
            <w:bottom w:w="0" w:type="dxa"/>
            <w:right w:w="108" w:type="dxa"/>
          </w:tblCellMar>
        </w:tblPrEx>
        <w:trPr>
          <w:trHeight w:val="440" w:hRule="atLeast"/>
        </w:trPr>
        <w:tc>
          <w:tcPr>
            <w:tcW w:w="2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阳极铝型材，表面氧化</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热熔胶</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聚氨酯</w:t>
            </w:r>
          </w:p>
        </w:tc>
        <w:tc>
          <w:tcPr>
            <w:tcW w:w="24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低化学挥发性双面EPDM/EVA</w:t>
            </w:r>
          </w:p>
        </w:tc>
        <w:tc>
          <w:tcPr>
            <w:tcW w:w="3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双面喷塑钢板网/表面阳极氧化铝网板</w:t>
            </w:r>
          </w:p>
        </w:tc>
      </w:tr>
      <w:tr>
        <w:tblPrEx>
          <w:tblCellMar>
            <w:top w:w="0" w:type="dxa"/>
            <w:left w:w="108" w:type="dxa"/>
            <w:bottom w:w="0" w:type="dxa"/>
            <w:right w:w="108" w:type="dxa"/>
          </w:tblCellMar>
        </w:tblPrEx>
        <w:trPr>
          <w:trHeight w:val="440" w:hRule="atLeast"/>
        </w:trPr>
        <w:tc>
          <w:tcPr>
            <w:tcW w:w="2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阳极铝型材，表面氧化</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热熔胶</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聚氨酯</w:t>
            </w:r>
          </w:p>
        </w:tc>
        <w:tc>
          <w:tcPr>
            <w:tcW w:w="24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低化学挥发性双面EPDM/EVA</w:t>
            </w:r>
          </w:p>
        </w:tc>
        <w:tc>
          <w:tcPr>
            <w:tcW w:w="3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双面喷塑钢板网/表面阳极氧化铝网板</w:t>
            </w:r>
          </w:p>
        </w:tc>
      </w:tr>
      <w:tr>
        <w:tblPrEx>
          <w:tblCellMar>
            <w:top w:w="0" w:type="dxa"/>
            <w:left w:w="108" w:type="dxa"/>
            <w:bottom w:w="0" w:type="dxa"/>
            <w:right w:w="108" w:type="dxa"/>
          </w:tblCellMar>
        </w:tblPrEx>
        <w:trPr>
          <w:trHeight w:val="440" w:hRule="atLeast"/>
        </w:trPr>
        <w:tc>
          <w:tcPr>
            <w:tcW w:w="2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阳极铝型材，表面氧化</w:t>
            </w:r>
          </w:p>
        </w:tc>
        <w:tc>
          <w:tcPr>
            <w:tcW w:w="9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热熔胶</w:t>
            </w:r>
          </w:p>
        </w:tc>
        <w:tc>
          <w:tcPr>
            <w:tcW w:w="7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聚氨酯</w:t>
            </w:r>
          </w:p>
        </w:tc>
        <w:tc>
          <w:tcPr>
            <w:tcW w:w="24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低化学挥发性双面EPDM/EVA</w:t>
            </w:r>
          </w:p>
        </w:tc>
        <w:tc>
          <w:tcPr>
            <w:tcW w:w="32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000000"/>
                <w:szCs w:val="21"/>
                <w:highlight w:val="none"/>
              </w:rPr>
            </w:pPr>
            <w:r>
              <w:rPr>
                <w:color w:val="000000"/>
                <w:szCs w:val="21"/>
                <w:highlight w:val="none"/>
                <w:lang w:bidi="ar"/>
              </w:rPr>
              <w:t>双面喷塑钢板网/表面阳极氧化铝网板</w:t>
            </w:r>
          </w:p>
        </w:tc>
      </w:tr>
    </w:tbl>
    <w:p>
      <w:pPr>
        <w:pStyle w:val="4"/>
        <w:rPr>
          <w:sz w:val="24"/>
          <w:szCs w:val="24"/>
          <w:highlight w:val="none"/>
        </w:rPr>
      </w:pPr>
      <w:bookmarkStart w:id="60" w:name="_Toc133335347"/>
      <w:r>
        <w:rPr>
          <w:sz w:val="24"/>
          <w:szCs w:val="24"/>
          <w:highlight w:val="none"/>
        </w:rPr>
        <w:t>5.7.5 高效无隔板过滤器效率的选择</w:t>
      </w:r>
      <w:bookmarkEnd w:id="60"/>
    </w:p>
    <w:tbl>
      <w:tblPr>
        <w:tblStyle w:val="16"/>
        <w:tblW w:w="9336" w:type="dxa"/>
        <w:tblInd w:w="0" w:type="dxa"/>
        <w:tblLayout w:type="fixed"/>
        <w:tblCellMar>
          <w:top w:w="15" w:type="dxa"/>
          <w:left w:w="15" w:type="dxa"/>
          <w:bottom w:w="15" w:type="dxa"/>
          <w:right w:w="15" w:type="dxa"/>
        </w:tblCellMar>
      </w:tblPr>
      <w:tblGrid>
        <w:gridCol w:w="1220"/>
        <w:gridCol w:w="2272"/>
        <w:gridCol w:w="2877"/>
        <w:gridCol w:w="1456"/>
        <w:gridCol w:w="1511"/>
      </w:tblGrid>
      <w:tr>
        <w:tblPrEx>
          <w:tblCellMar>
            <w:top w:w="15" w:type="dxa"/>
            <w:left w:w="15" w:type="dxa"/>
            <w:bottom w:w="15" w:type="dxa"/>
            <w:right w:w="15" w:type="dxa"/>
          </w:tblCellMar>
        </w:tblPrEx>
        <w:trPr>
          <w:trHeight w:val="585" w:hRule="atLeast"/>
        </w:trPr>
        <w:tc>
          <w:tcPr>
            <w:tcW w:w="6369" w:type="dxa"/>
            <w:gridSpan w:val="3"/>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spacing w:line="345" w:lineRule="auto"/>
              <w:ind w:right="3405"/>
              <w:jc w:val="center"/>
              <w:rPr>
                <w:szCs w:val="21"/>
                <w:highlight w:val="none"/>
              </w:rPr>
            </w:pPr>
            <w:r>
              <w:rPr>
                <w:color w:val="000000"/>
                <w:szCs w:val="21"/>
                <w:highlight w:val="none"/>
              </w:rPr>
              <w:t>过滤器效率</w:t>
            </w:r>
          </w:p>
        </w:tc>
        <w:tc>
          <w:tcPr>
            <w:tcW w:w="2967" w:type="dxa"/>
            <w:gridSpan w:val="2"/>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spacing w:line="345" w:lineRule="auto"/>
              <w:jc w:val="center"/>
              <w:rPr>
                <w:szCs w:val="21"/>
                <w:highlight w:val="none"/>
              </w:rPr>
            </w:pPr>
            <w:r>
              <w:rPr>
                <w:color w:val="000000"/>
                <w:szCs w:val="21"/>
                <w:highlight w:val="none"/>
              </w:rPr>
              <w:t>建议使用环境</w:t>
            </w:r>
          </w:p>
        </w:tc>
      </w:tr>
      <w:tr>
        <w:tblPrEx>
          <w:tblCellMar>
            <w:top w:w="15" w:type="dxa"/>
            <w:left w:w="15" w:type="dxa"/>
            <w:bottom w:w="15" w:type="dxa"/>
            <w:right w:w="15" w:type="dxa"/>
          </w:tblCellMar>
        </w:tblPrEx>
        <w:trPr>
          <w:trHeight w:val="795" w:hRule="atLeast"/>
        </w:trPr>
        <w:tc>
          <w:tcPr>
            <w:tcW w:w="1220"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4"/>
                <w:highlight w:val="none"/>
              </w:rPr>
            </w:pPr>
            <w:r>
              <w:rPr>
                <w:color w:val="000000"/>
                <w:szCs w:val="24"/>
                <w:highlight w:val="none"/>
              </w:rPr>
              <w:t>欧标EN1822</w:t>
            </w:r>
          </w:p>
        </w:tc>
        <w:tc>
          <w:tcPr>
            <w:tcW w:w="227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美国IEST标准</w:t>
            </w:r>
          </w:p>
        </w:tc>
        <w:tc>
          <w:tcPr>
            <w:tcW w:w="2877"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CRAA标准草案</w:t>
            </w:r>
          </w:p>
        </w:tc>
        <w:tc>
          <w:tcPr>
            <w:tcW w:w="1456"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ISO14644</w:t>
            </w:r>
          </w:p>
        </w:tc>
        <w:tc>
          <w:tcPr>
            <w:tcW w:w="1511"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FS209E</w:t>
            </w:r>
          </w:p>
        </w:tc>
      </w:tr>
      <w:tr>
        <w:tblPrEx>
          <w:tblCellMar>
            <w:top w:w="15" w:type="dxa"/>
            <w:left w:w="15" w:type="dxa"/>
            <w:bottom w:w="15" w:type="dxa"/>
            <w:right w:w="15" w:type="dxa"/>
          </w:tblCellMar>
        </w:tblPrEx>
        <w:trPr>
          <w:trHeight w:val="585" w:hRule="atLeast"/>
        </w:trPr>
        <w:tc>
          <w:tcPr>
            <w:tcW w:w="1220"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4"/>
                <w:highlight w:val="none"/>
              </w:rPr>
            </w:pPr>
            <w:r>
              <w:rPr>
                <w:color w:val="000000"/>
                <w:szCs w:val="24"/>
                <w:highlight w:val="none"/>
              </w:rPr>
              <w:t>H13</w:t>
            </w:r>
          </w:p>
        </w:tc>
        <w:tc>
          <w:tcPr>
            <w:tcW w:w="227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99.99@0.3</w:t>
            </w:r>
            <w:r>
              <w:rPr>
                <w:color w:val="000000"/>
                <w:spacing w:val="-60"/>
                <w:szCs w:val="21"/>
                <w:highlight w:val="none"/>
              </w:rPr>
              <w:t>µm</w:t>
            </w:r>
          </w:p>
        </w:tc>
        <w:tc>
          <w:tcPr>
            <w:tcW w:w="2877"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MPPS效率≥99.95%</w:t>
            </w:r>
          </w:p>
        </w:tc>
        <w:tc>
          <w:tcPr>
            <w:tcW w:w="1456"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5级或以下</w:t>
            </w:r>
          </w:p>
        </w:tc>
        <w:tc>
          <w:tcPr>
            <w:tcW w:w="1511"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100级或以下</w:t>
            </w:r>
          </w:p>
        </w:tc>
      </w:tr>
      <w:tr>
        <w:tblPrEx>
          <w:tblCellMar>
            <w:top w:w="15" w:type="dxa"/>
            <w:left w:w="15" w:type="dxa"/>
            <w:bottom w:w="15" w:type="dxa"/>
            <w:right w:w="15" w:type="dxa"/>
          </w:tblCellMar>
        </w:tblPrEx>
        <w:trPr>
          <w:trHeight w:val="585" w:hRule="atLeast"/>
        </w:trPr>
        <w:tc>
          <w:tcPr>
            <w:tcW w:w="1220"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4"/>
                <w:highlight w:val="none"/>
              </w:rPr>
            </w:pPr>
            <w:r>
              <w:rPr>
                <w:color w:val="000000"/>
                <w:szCs w:val="24"/>
                <w:highlight w:val="none"/>
              </w:rPr>
              <w:t>H14</w:t>
            </w:r>
          </w:p>
        </w:tc>
        <w:tc>
          <w:tcPr>
            <w:tcW w:w="227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99.999@0.3</w:t>
            </w:r>
            <w:r>
              <w:rPr>
                <w:color w:val="000000"/>
                <w:spacing w:val="-60"/>
                <w:szCs w:val="21"/>
                <w:highlight w:val="none"/>
              </w:rPr>
              <w:t>µm</w:t>
            </w:r>
          </w:p>
        </w:tc>
        <w:tc>
          <w:tcPr>
            <w:tcW w:w="2877"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MPPS效率≥99.995%</w:t>
            </w:r>
          </w:p>
        </w:tc>
        <w:tc>
          <w:tcPr>
            <w:tcW w:w="1456"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5-6级</w:t>
            </w:r>
          </w:p>
        </w:tc>
        <w:tc>
          <w:tcPr>
            <w:tcW w:w="1511"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100/1000级</w:t>
            </w:r>
          </w:p>
        </w:tc>
      </w:tr>
      <w:tr>
        <w:tblPrEx>
          <w:tblCellMar>
            <w:top w:w="15" w:type="dxa"/>
            <w:left w:w="15" w:type="dxa"/>
            <w:bottom w:w="15" w:type="dxa"/>
            <w:right w:w="15" w:type="dxa"/>
          </w:tblCellMar>
        </w:tblPrEx>
        <w:trPr>
          <w:trHeight w:val="585" w:hRule="atLeast"/>
        </w:trPr>
        <w:tc>
          <w:tcPr>
            <w:tcW w:w="1220"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4"/>
                <w:highlight w:val="none"/>
              </w:rPr>
            </w:pPr>
            <w:r>
              <w:rPr>
                <w:color w:val="000000"/>
                <w:szCs w:val="24"/>
                <w:highlight w:val="none"/>
              </w:rPr>
              <w:t>U15</w:t>
            </w:r>
          </w:p>
        </w:tc>
        <w:tc>
          <w:tcPr>
            <w:tcW w:w="227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99.9995@0.12</w:t>
            </w:r>
            <w:r>
              <w:rPr>
                <w:color w:val="000000"/>
                <w:spacing w:val="-60"/>
                <w:szCs w:val="21"/>
                <w:highlight w:val="none"/>
              </w:rPr>
              <w:t>µm</w:t>
            </w:r>
          </w:p>
        </w:tc>
        <w:tc>
          <w:tcPr>
            <w:tcW w:w="2877"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MPPS效率≥99.9995%</w:t>
            </w:r>
          </w:p>
        </w:tc>
        <w:tc>
          <w:tcPr>
            <w:tcW w:w="1456"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4-5级</w:t>
            </w:r>
          </w:p>
        </w:tc>
        <w:tc>
          <w:tcPr>
            <w:tcW w:w="1511"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10/100级</w:t>
            </w:r>
          </w:p>
        </w:tc>
      </w:tr>
      <w:tr>
        <w:tblPrEx>
          <w:tblCellMar>
            <w:top w:w="15" w:type="dxa"/>
            <w:left w:w="15" w:type="dxa"/>
            <w:bottom w:w="15" w:type="dxa"/>
            <w:right w:w="15" w:type="dxa"/>
          </w:tblCellMar>
        </w:tblPrEx>
        <w:trPr>
          <w:trHeight w:val="585" w:hRule="atLeast"/>
        </w:trPr>
        <w:tc>
          <w:tcPr>
            <w:tcW w:w="1220"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4"/>
                <w:highlight w:val="none"/>
              </w:rPr>
            </w:pPr>
            <w:r>
              <w:rPr>
                <w:color w:val="000000"/>
                <w:szCs w:val="24"/>
                <w:highlight w:val="none"/>
              </w:rPr>
              <w:t>U16</w:t>
            </w:r>
          </w:p>
        </w:tc>
        <w:tc>
          <w:tcPr>
            <w:tcW w:w="227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99.99995@0.12</w:t>
            </w:r>
            <w:r>
              <w:rPr>
                <w:color w:val="000000"/>
                <w:spacing w:val="-60"/>
                <w:szCs w:val="21"/>
                <w:highlight w:val="none"/>
              </w:rPr>
              <w:t>µm</w:t>
            </w:r>
          </w:p>
        </w:tc>
        <w:tc>
          <w:tcPr>
            <w:tcW w:w="2877"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MPPS效率≥99.99995%</w:t>
            </w:r>
          </w:p>
        </w:tc>
        <w:tc>
          <w:tcPr>
            <w:tcW w:w="1456"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4级</w:t>
            </w:r>
          </w:p>
        </w:tc>
        <w:tc>
          <w:tcPr>
            <w:tcW w:w="1511"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10级</w:t>
            </w:r>
          </w:p>
        </w:tc>
      </w:tr>
      <w:tr>
        <w:tblPrEx>
          <w:tblCellMar>
            <w:top w:w="15" w:type="dxa"/>
            <w:left w:w="15" w:type="dxa"/>
            <w:bottom w:w="15" w:type="dxa"/>
            <w:right w:w="15" w:type="dxa"/>
          </w:tblCellMar>
        </w:tblPrEx>
        <w:trPr>
          <w:trHeight w:val="585" w:hRule="atLeast"/>
        </w:trPr>
        <w:tc>
          <w:tcPr>
            <w:tcW w:w="1220"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4"/>
                <w:highlight w:val="none"/>
              </w:rPr>
            </w:pPr>
            <w:r>
              <w:rPr>
                <w:color w:val="000000"/>
                <w:szCs w:val="24"/>
                <w:highlight w:val="none"/>
              </w:rPr>
              <w:t>U17</w:t>
            </w:r>
          </w:p>
        </w:tc>
        <w:tc>
          <w:tcPr>
            <w:tcW w:w="227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99.999995@0.12</w:t>
            </w:r>
            <w:r>
              <w:rPr>
                <w:color w:val="000000"/>
                <w:spacing w:val="-60"/>
                <w:szCs w:val="21"/>
                <w:highlight w:val="none"/>
              </w:rPr>
              <w:t>µm</w:t>
            </w:r>
          </w:p>
        </w:tc>
        <w:tc>
          <w:tcPr>
            <w:tcW w:w="2877"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MPPS效率≥99.999995%</w:t>
            </w:r>
          </w:p>
        </w:tc>
        <w:tc>
          <w:tcPr>
            <w:tcW w:w="1456"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1-3级</w:t>
            </w:r>
          </w:p>
        </w:tc>
        <w:tc>
          <w:tcPr>
            <w:tcW w:w="1511"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widowControl/>
              <w:jc w:val="center"/>
              <w:rPr>
                <w:szCs w:val="21"/>
                <w:highlight w:val="none"/>
              </w:rPr>
            </w:pPr>
            <w:r>
              <w:rPr>
                <w:color w:val="000000"/>
                <w:szCs w:val="21"/>
                <w:highlight w:val="none"/>
              </w:rPr>
              <w:t>1级</w:t>
            </w:r>
          </w:p>
        </w:tc>
      </w:tr>
    </w:tbl>
    <w:p>
      <w:pPr>
        <w:pStyle w:val="3"/>
        <w:rPr>
          <w:sz w:val="28"/>
          <w:szCs w:val="28"/>
          <w:highlight w:val="none"/>
        </w:rPr>
      </w:pPr>
      <w:bookmarkStart w:id="61" w:name="_Toc133335348"/>
      <w:r>
        <w:rPr>
          <w:sz w:val="28"/>
          <w:szCs w:val="28"/>
          <w:highlight w:val="none"/>
        </w:rPr>
        <w:t>5.8 风机过滤单元FFU</w:t>
      </w:r>
      <w:bookmarkEnd w:id="61"/>
    </w:p>
    <w:p>
      <w:pPr>
        <w:pStyle w:val="4"/>
        <w:rPr>
          <w:sz w:val="24"/>
          <w:szCs w:val="24"/>
          <w:highlight w:val="none"/>
        </w:rPr>
      </w:pPr>
      <w:bookmarkStart w:id="62" w:name="_Toc133335349"/>
      <w:r>
        <w:rPr>
          <w:sz w:val="24"/>
          <w:szCs w:val="24"/>
          <w:highlight w:val="none"/>
        </w:rPr>
        <w:t>5.8.1 整体要求</w:t>
      </w:r>
      <w:bookmarkEnd w:id="62"/>
    </w:p>
    <w:p>
      <w:pPr>
        <w:rPr>
          <w:highlight w:val="none"/>
        </w:rPr>
      </w:pPr>
      <w:r>
        <w:rPr>
          <w:highlight w:val="none"/>
        </w:rPr>
        <w:t xml:space="preserve">5.8.1.1 风速均匀度: 符合IEC-RP-CC-002中的标准，各点风速与平均风速的差值的绝对值≤平均面风速×20%，如现场测试结果与投标时提供的数据偏差超过5%，由此造成的后果，由投标方全部承担。 </w:t>
      </w:r>
    </w:p>
    <w:p>
      <w:pPr>
        <w:rPr>
          <w:highlight w:val="none"/>
        </w:rPr>
      </w:pPr>
      <w:r>
        <w:rPr>
          <w:highlight w:val="none"/>
        </w:rPr>
        <w:t>5.8.1.2 噪音：≤53dBA（断面风速0.45m/s，机外余压90Pa的条件下，距离单台FFU正下方1.5m处）。</w:t>
      </w:r>
    </w:p>
    <w:p>
      <w:pPr>
        <w:rPr>
          <w:highlight w:val="none"/>
        </w:rPr>
      </w:pPr>
      <w:r>
        <w:rPr>
          <w:highlight w:val="none"/>
        </w:rPr>
        <w:t>5.8.1.3 机外静压：EC FFU系列≥90Pa（在断面风速为0.45m/s时）。</w:t>
      </w:r>
    </w:p>
    <w:p>
      <w:pPr>
        <w:rPr>
          <w:highlight w:val="none"/>
        </w:rPr>
      </w:pPr>
      <w:r>
        <w:rPr>
          <w:highlight w:val="none"/>
        </w:rPr>
        <w:t>5.8.1.4 FFU维护方式：上维护式，即在洁净室上夹层内，无须翻转FFU箱体即可实现对FFU风机的维修。（空间受限时，可提供下维护式结构产品）</w:t>
      </w:r>
    </w:p>
    <w:p>
      <w:pPr>
        <w:pStyle w:val="4"/>
        <w:rPr>
          <w:sz w:val="24"/>
          <w:szCs w:val="24"/>
          <w:highlight w:val="none"/>
        </w:rPr>
      </w:pPr>
      <w:bookmarkStart w:id="63" w:name="_Toc133335350"/>
      <w:r>
        <w:rPr>
          <w:sz w:val="24"/>
          <w:szCs w:val="24"/>
          <w:highlight w:val="none"/>
        </w:rPr>
        <w:t>5.8.2 设备基本技术要求</w:t>
      </w:r>
      <w:bookmarkEnd w:id="63"/>
    </w:p>
    <w:p>
      <w:pPr>
        <w:rPr>
          <w:highlight w:val="none"/>
        </w:rPr>
      </w:pPr>
      <w:r>
        <w:rPr>
          <w:highlight w:val="none"/>
        </w:rPr>
        <w:t>5.8.2.1 风机过滤单元（FFU）设备结构设计合理，外型美观，用材优良，经久耐用；高效节能，运行平稳、可靠，噪音低；设备的使用、操作、维修方便，售后服务方便快捷，服务质量优良。</w:t>
      </w:r>
    </w:p>
    <w:p>
      <w:pPr>
        <w:rPr>
          <w:highlight w:val="none"/>
        </w:rPr>
      </w:pPr>
      <w:r>
        <w:rPr>
          <w:highlight w:val="none"/>
        </w:rPr>
        <w:t>5.8.2.2 风机过滤单元（FFU）必须满足设计要求，其数量、性能参数要求须满足设备招标性能表及本规格书。FFU在尺寸上须与吊顶龙骨尺寸相适配。</w:t>
      </w:r>
    </w:p>
    <w:p>
      <w:pPr>
        <w:pStyle w:val="4"/>
        <w:rPr>
          <w:sz w:val="24"/>
          <w:szCs w:val="24"/>
          <w:highlight w:val="none"/>
        </w:rPr>
      </w:pPr>
      <w:bookmarkStart w:id="64" w:name="_Toc133335351"/>
      <w:r>
        <w:rPr>
          <w:sz w:val="24"/>
          <w:szCs w:val="24"/>
          <w:highlight w:val="none"/>
        </w:rPr>
        <w:t>5.8.3 箱体结构要求</w:t>
      </w:r>
      <w:bookmarkEnd w:id="64"/>
    </w:p>
    <w:p>
      <w:pPr>
        <w:rPr>
          <w:highlight w:val="none"/>
        </w:rPr>
      </w:pPr>
      <w:r>
        <w:rPr>
          <w:highlight w:val="none"/>
        </w:rPr>
        <w:t>5.8.3.1 风机过滤单元（FFU）的外形尺寸:满足设计要求，能与吊顶龙骨配合安装。</w:t>
      </w:r>
    </w:p>
    <w:p>
      <w:pPr>
        <w:rPr>
          <w:highlight w:val="none"/>
        </w:rPr>
      </w:pPr>
      <w:r>
        <w:rPr>
          <w:highlight w:val="none"/>
        </w:rPr>
        <w:t>5.8.3.2 FFU箱体采用sus304钢板制作,箱体上带提起把手，FFU厚度应不低于1.2mm，并有加强筋，箱体承重≥120kg。</w:t>
      </w:r>
    </w:p>
    <w:p>
      <w:pPr>
        <w:rPr>
          <w:highlight w:val="none"/>
        </w:rPr>
      </w:pPr>
      <w:r>
        <w:rPr>
          <w:highlight w:val="none"/>
        </w:rPr>
        <w:t>5.8.3.3 运行时箱体振动小于等于0.8mm/s。</w:t>
      </w:r>
    </w:p>
    <w:p>
      <w:pPr>
        <w:pStyle w:val="4"/>
        <w:rPr>
          <w:sz w:val="24"/>
          <w:szCs w:val="24"/>
          <w:highlight w:val="none"/>
        </w:rPr>
      </w:pPr>
      <w:bookmarkStart w:id="65" w:name="_Toc133335352"/>
      <w:r>
        <w:rPr>
          <w:sz w:val="24"/>
          <w:szCs w:val="24"/>
          <w:highlight w:val="none"/>
        </w:rPr>
        <w:t>5.8.4 风机</w:t>
      </w:r>
      <w:bookmarkEnd w:id="65"/>
    </w:p>
    <w:p>
      <w:pPr>
        <w:rPr>
          <w:highlight w:val="none"/>
        </w:rPr>
      </w:pPr>
      <w:r>
        <w:rPr>
          <w:highlight w:val="none"/>
        </w:rPr>
        <w:t>5.8.4.1 风机品牌：采用一体式一线品牌电机、风机，低噪音、寿命长、免维护，须提供与原产采购合同证明文件以及原产地证明。</w:t>
      </w:r>
    </w:p>
    <w:p>
      <w:pPr>
        <w:rPr>
          <w:highlight w:val="none"/>
        </w:rPr>
      </w:pPr>
      <w:r>
        <w:rPr>
          <w:highlight w:val="none"/>
        </w:rPr>
        <w:t xml:space="preserve">5.8.4.2 后倾式叶轮, 叶轮要求采用铝合金。 </w:t>
      </w:r>
    </w:p>
    <w:p>
      <w:pPr>
        <w:rPr>
          <w:highlight w:val="none"/>
        </w:rPr>
      </w:pPr>
      <w:r>
        <w:rPr>
          <w:highlight w:val="none"/>
        </w:rPr>
        <w:t>5.8.4.3 轴承封闭式,L10&gt;100000小时。</w:t>
      </w:r>
    </w:p>
    <w:p>
      <w:pPr>
        <w:rPr>
          <w:highlight w:val="none"/>
        </w:rPr>
      </w:pPr>
      <w:r>
        <w:rPr>
          <w:highlight w:val="none"/>
        </w:rPr>
        <w:t>5.8.4.4 风机动平衡等级为G2.5。</w:t>
      </w:r>
    </w:p>
    <w:p>
      <w:pPr>
        <w:rPr>
          <w:highlight w:val="none"/>
        </w:rPr>
      </w:pPr>
      <w:r>
        <w:rPr>
          <w:highlight w:val="none"/>
        </w:rPr>
        <w:t>5.8.4.5 电机绝缘等级:B级及以上, 防护等级:IP42及以上,带过载保护。</w:t>
      </w:r>
    </w:p>
    <w:p>
      <w:pPr>
        <w:rPr>
          <w:highlight w:val="none"/>
        </w:rPr>
      </w:pPr>
      <w:r>
        <w:rPr>
          <w:highlight w:val="none"/>
        </w:rPr>
        <w:t>5.8.4.6 电源: 220V，50Hz</w:t>
      </w:r>
    </w:p>
    <w:p>
      <w:pPr>
        <w:rPr>
          <w:highlight w:val="none"/>
        </w:rPr>
      </w:pPr>
      <w:r>
        <w:rPr>
          <w:highlight w:val="none"/>
        </w:rPr>
        <w:t>5.8.4.7 电机功率: 50-~300W优先选用一级能效电机。</w:t>
      </w:r>
    </w:p>
    <w:p>
      <w:pPr>
        <w:rPr>
          <w:highlight w:val="none"/>
        </w:rPr>
      </w:pPr>
      <w:r>
        <w:rPr>
          <w:highlight w:val="none"/>
        </w:rPr>
        <w:t>5.8.4.8 电机转速可调节。</w:t>
      </w:r>
    </w:p>
    <w:p>
      <w:pPr>
        <w:pStyle w:val="4"/>
        <w:rPr>
          <w:sz w:val="24"/>
          <w:szCs w:val="24"/>
          <w:highlight w:val="none"/>
        </w:rPr>
      </w:pPr>
      <w:bookmarkStart w:id="66" w:name="_Toc133335353"/>
      <w:r>
        <w:rPr>
          <w:sz w:val="24"/>
          <w:szCs w:val="24"/>
          <w:highlight w:val="none"/>
        </w:rPr>
        <w:t>5.8.5 控制模块、接线盒/端子、状态指示灯、预过滤器</w:t>
      </w:r>
      <w:bookmarkEnd w:id="66"/>
    </w:p>
    <w:p>
      <w:pPr>
        <w:rPr>
          <w:highlight w:val="none"/>
        </w:rPr>
      </w:pPr>
      <w:r>
        <w:rPr>
          <w:highlight w:val="none"/>
        </w:rPr>
        <w:t>5.8.5.1 控制模块：风速0-0.55m/s，EC FFU/EFU系列的控制模块集成在风机内部，采用无级调速模块。</w:t>
      </w:r>
    </w:p>
    <w:p>
      <w:pPr>
        <w:rPr>
          <w:highlight w:val="none"/>
        </w:rPr>
      </w:pPr>
      <w:r>
        <w:rPr>
          <w:highlight w:val="none"/>
        </w:rPr>
        <w:t>5.8.5.2 接线端子：FFU的接线盒/端子须带保护措施，每一相须提供两个并联端口以利于连接下一台FFU，且该FFU的接线盒/端子须带开关功能。</w:t>
      </w:r>
    </w:p>
    <w:p>
      <w:pPr>
        <w:rPr>
          <w:highlight w:val="none"/>
        </w:rPr>
      </w:pPr>
      <w:r>
        <w:rPr>
          <w:highlight w:val="none"/>
        </w:rPr>
        <w:t>5.8.5.3 状态指示灯：每台FFU配备故障、运行指示灯。</w:t>
      </w:r>
    </w:p>
    <w:p>
      <w:pPr>
        <w:rPr>
          <w:highlight w:val="none"/>
        </w:rPr>
      </w:pPr>
      <w:r>
        <w:rPr>
          <w:highlight w:val="none"/>
        </w:rPr>
        <w:t>5.8.5.4 每台FFU配备可丢弃式效率G4的预过滤器，以利于安装调试阶段保护FFU的高效过滤器。</w:t>
      </w:r>
    </w:p>
    <w:p>
      <w:pPr>
        <w:rPr>
          <w:highlight w:val="none"/>
        </w:rPr>
      </w:pPr>
      <w:r>
        <w:rPr>
          <w:highlight w:val="none"/>
        </w:rPr>
        <w:t>5.8.5.5 可单台控制，可现场及远程电脑网络集中控制，可远程监控</w:t>
      </w:r>
    </w:p>
    <w:p>
      <w:pPr>
        <w:rPr>
          <w:highlight w:val="none"/>
        </w:rPr>
      </w:pPr>
      <w:r>
        <w:rPr>
          <w:highlight w:val="none"/>
        </w:rPr>
        <w:t>5.8.5.6 系统至少支持Ethernet/IP、ProfiNet、ModbusTCP/IP 标准通讯协议其中之一，通过协议将本系统的运行情况、状态上传至FMCS系统，并提供完整资料，以便自控承包商集成.</w:t>
      </w:r>
    </w:p>
    <w:p>
      <w:pPr>
        <w:rPr>
          <w:highlight w:val="none"/>
        </w:rPr>
      </w:pPr>
      <w:r>
        <w:rPr>
          <w:highlight w:val="none"/>
        </w:rPr>
        <w:t>5.8.5.7 设备主要参数表详见设计图纸（具体供货时须提供，且有甲方确认）</w:t>
      </w:r>
    </w:p>
    <w:p>
      <w:pPr>
        <w:pStyle w:val="3"/>
        <w:rPr>
          <w:sz w:val="28"/>
          <w:szCs w:val="28"/>
          <w:highlight w:val="none"/>
        </w:rPr>
      </w:pPr>
      <w:bookmarkStart w:id="67" w:name="_Toc133335354"/>
      <w:r>
        <w:rPr>
          <w:sz w:val="28"/>
          <w:szCs w:val="28"/>
          <w:highlight w:val="none"/>
        </w:rPr>
        <w:t>5.9 产品售后服务</w:t>
      </w:r>
      <w:bookmarkEnd w:id="67"/>
    </w:p>
    <w:tbl>
      <w:tblPr>
        <w:tblStyle w:val="16"/>
        <w:tblW w:w="9082" w:type="dxa"/>
        <w:jc w:val="center"/>
        <w:tblLayout w:type="fixed"/>
        <w:tblCellMar>
          <w:top w:w="15" w:type="dxa"/>
          <w:left w:w="15" w:type="dxa"/>
          <w:bottom w:w="15" w:type="dxa"/>
          <w:right w:w="15" w:type="dxa"/>
        </w:tblCellMar>
      </w:tblPr>
      <w:tblGrid>
        <w:gridCol w:w="937"/>
        <w:gridCol w:w="2220"/>
        <w:gridCol w:w="5190"/>
        <w:gridCol w:w="735"/>
      </w:tblGrid>
      <w:tr>
        <w:tblPrEx>
          <w:tblCellMar>
            <w:top w:w="15" w:type="dxa"/>
            <w:left w:w="15" w:type="dxa"/>
            <w:bottom w:w="15" w:type="dxa"/>
            <w:right w:w="15" w:type="dxa"/>
          </w:tblCellMar>
        </w:tblPrEx>
        <w:trPr>
          <w:trHeight w:val="440"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序号</w:t>
            </w:r>
          </w:p>
        </w:tc>
        <w:tc>
          <w:tcPr>
            <w:tcW w:w="22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名称</w:t>
            </w:r>
          </w:p>
        </w:tc>
        <w:tc>
          <w:tcPr>
            <w:tcW w:w="51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售后要求</w:t>
            </w:r>
          </w:p>
        </w:tc>
        <w:tc>
          <w:tcPr>
            <w:tcW w:w="7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备注</w:t>
            </w:r>
          </w:p>
        </w:tc>
      </w:tr>
      <w:tr>
        <w:tblPrEx>
          <w:tblCellMar>
            <w:top w:w="15" w:type="dxa"/>
            <w:left w:w="15" w:type="dxa"/>
            <w:bottom w:w="15" w:type="dxa"/>
            <w:right w:w="15" w:type="dxa"/>
          </w:tblCellMar>
        </w:tblPrEx>
        <w:trPr>
          <w:trHeight w:val="1760"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1</w:t>
            </w:r>
          </w:p>
        </w:tc>
        <w:tc>
          <w:tcPr>
            <w:tcW w:w="22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组合式除湿机</w:t>
            </w:r>
          </w:p>
        </w:tc>
        <w:tc>
          <w:tcPr>
            <w:tcW w:w="5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left"/>
              <w:rPr>
                <w:szCs w:val="21"/>
                <w:highlight w:val="none"/>
              </w:rPr>
            </w:pPr>
            <w:r>
              <w:rPr>
                <w:color w:val="000000"/>
                <w:szCs w:val="21"/>
                <w:highlight w:val="none"/>
              </w:rPr>
              <w:t>24小时服务热线，现场服务期间可根据用户需要或实际情况提供24小时不间断服务工作。在全国各营销中心设有售后服务网点，保证在接到故障通知后2小时内响应，现场服务期间提供24小时不间断服务，直至问题解决</w:t>
            </w:r>
          </w:p>
        </w:tc>
        <w:tc>
          <w:tcPr>
            <w:tcW w:w="7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760"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2</w:t>
            </w:r>
          </w:p>
        </w:tc>
        <w:tc>
          <w:tcPr>
            <w:tcW w:w="22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组合式空调箱</w:t>
            </w:r>
          </w:p>
        </w:tc>
        <w:tc>
          <w:tcPr>
            <w:tcW w:w="5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left"/>
              <w:rPr>
                <w:szCs w:val="21"/>
                <w:highlight w:val="none"/>
              </w:rPr>
            </w:pPr>
            <w:r>
              <w:rPr>
                <w:color w:val="000000"/>
                <w:szCs w:val="21"/>
                <w:highlight w:val="none"/>
              </w:rPr>
              <w:t>24小时服务热线，现场服务期间可根据用户需要或实际情况提供24小时不间断服务工作。在全国各营销中心设有售后服务网点，保证在接到故障通知后2小时内响应，现场服务期间提供24小时不间断服务，直至问题解决</w:t>
            </w:r>
            <w:r>
              <w:rPr>
                <w:rFonts w:hint="eastAsia"/>
                <w:szCs w:val="21"/>
                <w:highlight w:val="none"/>
              </w:rPr>
              <w:t>。</w:t>
            </w:r>
          </w:p>
        </w:tc>
        <w:tc>
          <w:tcPr>
            <w:tcW w:w="7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760"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3</w:t>
            </w:r>
          </w:p>
        </w:tc>
        <w:tc>
          <w:tcPr>
            <w:tcW w:w="22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风机盘管</w:t>
            </w:r>
          </w:p>
        </w:tc>
        <w:tc>
          <w:tcPr>
            <w:tcW w:w="5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left"/>
              <w:rPr>
                <w:szCs w:val="21"/>
                <w:highlight w:val="none"/>
              </w:rPr>
            </w:pPr>
            <w:r>
              <w:rPr>
                <w:color w:val="000000"/>
                <w:szCs w:val="21"/>
                <w:highlight w:val="none"/>
              </w:rPr>
              <w:t>24小时服务热线，现场服务期间可根据用户需要或实际情况提供24小时不间断服务工作。在全国各营销中心设有售后服务网点，保证在接到故障通知后2小时内响应，现场服务期间提供24小时不间断服务，直至问题解决</w:t>
            </w:r>
            <w:r>
              <w:rPr>
                <w:rFonts w:hint="eastAsia"/>
                <w:szCs w:val="21"/>
                <w:highlight w:val="none"/>
              </w:rPr>
              <w:t>。</w:t>
            </w:r>
          </w:p>
        </w:tc>
        <w:tc>
          <w:tcPr>
            <w:tcW w:w="7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808"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4</w:t>
            </w:r>
          </w:p>
        </w:tc>
        <w:tc>
          <w:tcPr>
            <w:tcW w:w="22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分体及多联机</w:t>
            </w:r>
          </w:p>
        </w:tc>
        <w:tc>
          <w:tcPr>
            <w:tcW w:w="5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left"/>
              <w:rPr>
                <w:szCs w:val="21"/>
                <w:highlight w:val="none"/>
              </w:rPr>
            </w:pPr>
            <w:r>
              <w:rPr>
                <w:color w:val="000000"/>
                <w:szCs w:val="21"/>
                <w:highlight w:val="none"/>
              </w:rPr>
              <w:t>① 24小时服务热线，现场服务期间可根据用户需要或实际情况提供24小时不间断服务工作。在全国各营销中心设有售后服务网点，保证在接到故障通知后2小时内响应，现场服务期间提供24小时不间断服务，直至问题解决</w:t>
            </w:r>
          </w:p>
          <w:p>
            <w:pPr>
              <w:widowControl/>
              <w:jc w:val="left"/>
              <w:rPr>
                <w:szCs w:val="21"/>
                <w:highlight w:val="none"/>
              </w:rPr>
            </w:pPr>
            <w:r>
              <w:rPr>
                <w:color w:val="000000"/>
                <w:szCs w:val="21"/>
                <w:highlight w:val="none"/>
              </w:rPr>
              <w:t>② VRF设备保修期为 2 年，关键零部件（压缩机，变频器等）提供 5年质保</w:t>
            </w:r>
          </w:p>
          <w:p>
            <w:pPr>
              <w:widowControl/>
              <w:jc w:val="left"/>
              <w:rPr>
                <w:szCs w:val="21"/>
                <w:highlight w:val="none"/>
              </w:rPr>
            </w:pPr>
            <w:r>
              <w:rPr>
                <w:color w:val="000000"/>
                <w:szCs w:val="21"/>
                <w:highlight w:val="none"/>
              </w:rPr>
              <w:t>③ 分体空调质保6年</w:t>
            </w:r>
          </w:p>
        </w:tc>
        <w:tc>
          <w:tcPr>
            <w:tcW w:w="7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760"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5</w:t>
            </w:r>
          </w:p>
        </w:tc>
        <w:tc>
          <w:tcPr>
            <w:tcW w:w="22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冷却水塔</w:t>
            </w:r>
          </w:p>
        </w:tc>
        <w:tc>
          <w:tcPr>
            <w:tcW w:w="5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left"/>
              <w:rPr>
                <w:szCs w:val="21"/>
                <w:highlight w:val="none"/>
              </w:rPr>
            </w:pPr>
            <w:r>
              <w:rPr>
                <w:color w:val="000000"/>
                <w:szCs w:val="21"/>
                <w:highlight w:val="none"/>
              </w:rPr>
              <w:t>① 24小时服务热线，现场服务期间可根据用户需要或实际情况提供24小时不间断服务工作。在全国各营销中心设有售后服务网点，保证在接到故障通知后2小时内响应，现场服务期间提供24小时不间断服务，直至问题解决</w:t>
            </w:r>
            <w:r>
              <w:rPr>
                <w:rFonts w:hint="eastAsia"/>
                <w:szCs w:val="21"/>
                <w:highlight w:val="none"/>
              </w:rPr>
              <w:t>。</w:t>
            </w:r>
          </w:p>
        </w:tc>
        <w:tc>
          <w:tcPr>
            <w:tcW w:w="7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760"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6</w:t>
            </w:r>
          </w:p>
        </w:tc>
        <w:tc>
          <w:tcPr>
            <w:tcW w:w="22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水泵</w:t>
            </w:r>
          </w:p>
        </w:tc>
        <w:tc>
          <w:tcPr>
            <w:tcW w:w="5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left"/>
              <w:rPr>
                <w:szCs w:val="21"/>
                <w:highlight w:val="none"/>
              </w:rPr>
            </w:pPr>
            <w:r>
              <w:rPr>
                <w:color w:val="000000"/>
                <w:szCs w:val="21"/>
                <w:highlight w:val="none"/>
              </w:rPr>
              <w:t>24小时服务热线，现场服务期间可根据用户需要或实际情况提供24小时不间断服务工作。在全国各营销中心设有售后服务网点，保证在接到故障通知后2小时内响应，现场服务期间提供24小时不间断服务，直至问题解决</w:t>
            </w:r>
            <w:r>
              <w:rPr>
                <w:rFonts w:hint="eastAsia"/>
                <w:szCs w:val="21"/>
                <w:highlight w:val="none"/>
              </w:rPr>
              <w:t>。</w:t>
            </w:r>
          </w:p>
        </w:tc>
        <w:tc>
          <w:tcPr>
            <w:tcW w:w="7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760"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7</w:t>
            </w:r>
          </w:p>
        </w:tc>
        <w:tc>
          <w:tcPr>
            <w:tcW w:w="22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制冷主机</w:t>
            </w:r>
          </w:p>
        </w:tc>
        <w:tc>
          <w:tcPr>
            <w:tcW w:w="5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left"/>
              <w:rPr>
                <w:szCs w:val="21"/>
                <w:highlight w:val="none"/>
              </w:rPr>
            </w:pPr>
            <w:r>
              <w:rPr>
                <w:color w:val="000000"/>
                <w:szCs w:val="21"/>
                <w:highlight w:val="none"/>
              </w:rPr>
              <w:t>24小时服务热线，现场服务期间可根据用户需要或实际情况提供24小时不间断服务工作。在全国各营销中心设有售后服务网点，保证在接到故障通知后2小时内响应，现场服务期间提供24小时不间断服务，直至问题解决</w:t>
            </w:r>
            <w:r>
              <w:rPr>
                <w:rFonts w:hint="eastAsia"/>
                <w:szCs w:val="21"/>
                <w:highlight w:val="none"/>
              </w:rPr>
              <w:t>。</w:t>
            </w:r>
          </w:p>
        </w:tc>
        <w:tc>
          <w:tcPr>
            <w:tcW w:w="7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066"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8</w:t>
            </w:r>
          </w:p>
        </w:tc>
        <w:tc>
          <w:tcPr>
            <w:tcW w:w="22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高效过滤器HEPA</w:t>
            </w:r>
          </w:p>
        </w:tc>
        <w:tc>
          <w:tcPr>
            <w:tcW w:w="5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left"/>
              <w:rPr>
                <w:color w:val="000000"/>
                <w:szCs w:val="21"/>
                <w:highlight w:val="none"/>
              </w:rPr>
            </w:pPr>
            <w:r>
              <w:rPr>
                <w:color w:val="000000"/>
                <w:szCs w:val="21"/>
                <w:highlight w:val="none"/>
              </w:rPr>
              <w:t>24小时服务热线，现场服务期间可根据用户需要或实际情况提供24小时不间断服务工作。在全国各营销中心设有售后服务网点，保证在接到故障通知后2小时内响应，现场服务期间提供24小时不间断服务，直至问题解决</w:t>
            </w:r>
            <w:r>
              <w:rPr>
                <w:rFonts w:hint="eastAsia"/>
                <w:color w:val="000000"/>
                <w:szCs w:val="21"/>
                <w:highlight w:val="none"/>
              </w:rPr>
              <w:t>。</w:t>
            </w:r>
          </w:p>
        </w:tc>
        <w:tc>
          <w:tcPr>
            <w:tcW w:w="7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760" w:hRule="atLeast"/>
          <w:jc w:val="center"/>
        </w:trPr>
        <w:tc>
          <w:tcPr>
            <w:tcW w:w="93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9</w:t>
            </w:r>
          </w:p>
        </w:tc>
        <w:tc>
          <w:tcPr>
            <w:tcW w:w="22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center"/>
              <w:rPr>
                <w:szCs w:val="21"/>
                <w:highlight w:val="none"/>
              </w:rPr>
            </w:pPr>
            <w:r>
              <w:rPr>
                <w:color w:val="000000"/>
                <w:szCs w:val="21"/>
                <w:highlight w:val="none"/>
              </w:rPr>
              <w:t>风机过滤单元FFU</w:t>
            </w:r>
          </w:p>
        </w:tc>
        <w:tc>
          <w:tcPr>
            <w:tcW w:w="51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jc w:val="left"/>
              <w:rPr>
                <w:szCs w:val="21"/>
                <w:highlight w:val="none"/>
              </w:rPr>
            </w:pPr>
            <w:r>
              <w:rPr>
                <w:color w:val="000000"/>
                <w:szCs w:val="21"/>
                <w:highlight w:val="none"/>
              </w:rPr>
              <w:t>① 24小时服务热线，现场服务期间可根据用户需要或实际情况提供24小时不间断服务工作。在全国各营销中心设有售后服务网点，保证在接到故障通知后2小时内响应，现场服务期间提供24小时不间断服务，直至问题解决</w:t>
            </w:r>
          </w:p>
          <w:p>
            <w:pPr>
              <w:widowControl/>
              <w:jc w:val="left"/>
              <w:rPr>
                <w:szCs w:val="21"/>
                <w:highlight w:val="none"/>
              </w:rPr>
            </w:pPr>
            <w:r>
              <w:rPr>
                <w:color w:val="000000"/>
                <w:szCs w:val="21"/>
                <w:highlight w:val="none"/>
              </w:rPr>
              <w:t>② 风机不低于10万小时，保修期为2年</w:t>
            </w:r>
          </w:p>
        </w:tc>
        <w:tc>
          <w:tcPr>
            <w:tcW w:w="7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r>
    </w:tbl>
    <w:p>
      <w:pPr>
        <w:pStyle w:val="3"/>
        <w:rPr>
          <w:sz w:val="28"/>
          <w:szCs w:val="28"/>
          <w:highlight w:val="none"/>
        </w:rPr>
      </w:pPr>
      <w:bookmarkStart w:id="68" w:name="_Toc133335355"/>
      <w:r>
        <w:rPr>
          <w:sz w:val="28"/>
          <w:szCs w:val="28"/>
          <w:highlight w:val="none"/>
        </w:rPr>
        <w:t>5.10 设备自动化控制系统</w:t>
      </w:r>
      <w:bookmarkEnd w:id="68"/>
    </w:p>
    <w:p>
      <w:pPr>
        <w:pStyle w:val="4"/>
        <w:rPr>
          <w:sz w:val="24"/>
          <w:szCs w:val="24"/>
          <w:highlight w:val="none"/>
        </w:rPr>
      </w:pPr>
      <w:bookmarkStart w:id="69" w:name="_Toc133335356"/>
      <w:r>
        <w:rPr>
          <w:sz w:val="24"/>
          <w:szCs w:val="24"/>
          <w:highlight w:val="none"/>
        </w:rPr>
        <w:t>5.10.1 检测、控制系统要求</w:t>
      </w:r>
      <w:bookmarkEnd w:id="69"/>
    </w:p>
    <w:p>
      <w:pPr>
        <w:rPr>
          <w:highlight w:val="none"/>
        </w:rPr>
      </w:pPr>
      <w:r>
        <w:rPr>
          <w:highlight w:val="none"/>
        </w:rPr>
        <w:t>5.10.1. 各除湿机、空调机、冷水机有自动控制和手动控制模式，除可实现单机控制外，还需要进行集中控制并提供控制系统及安装等；</w:t>
      </w:r>
    </w:p>
    <w:p>
      <w:pPr>
        <w:rPr>
          <w:highlight w:val="none"/>
        </w:rPr>
      </w:pPr>
      <w:r>
        <w:rPr>
          <w:highlight w:val="none"/>
        </w:rPr>
        <w:t>5.10.1.2 集中控制需要具备以下功能：</w:t>
      </w:r>
    </w:p>
    <w:p>
      <w:pPr>
        <w:widowControl/>
        <w:numPr>
          <w:ilvl w:val="0"/>
          <w:numId w:val="6"/>
        </w:numPr>
        <w:spacing w:line="360" w:lineRule="auto"/>
        <w:rPr>
          <w:szCs w:val="24"/>
          <w:highlight w:val="none"/>
        </w:rPr>
      </w:pPr>
      <w:r>
        <w:rPr>
          <w:rFonts w:hint="eastAsia"/>
          <w:color w:val="000000"/>
          <w:szCs w:val="24"/>
          <w:highlight w:val="none"/>
        </w:rPr>
        <w:t>电芯1车间、化成1车间共</w:t>
      </w:r>
      <w:r>
        <w:rPr>
          <w:color w:val="000000"/>
          <w:szCs w:val="24"/>
          <w:highlight w:val="none"/>
        </w:rPr>
        <w:t>建立一套集中控制系统，</w:t>
      </w:r>
      <w:r>
        <w:rPr>
          <w:rFonts w:hint="eastAsia"/>
          <w:color w:val="000000"/>
          <w:szCs w:val="24"/>
          <w:highlight w:val="none"/>
        </w:rPr>
        <w:t>中控室设置在化成1车间，</w:t>
      </w:r>
      <w:r>
        <w:rPr>
          <w:color w:val="000000"/>
          <w:szCs w:val="24"/>
          <w:highlight w:val="none"/>
        </w:rPr>
        <w:t>预留通讯接口与</w:t>
      </w:r>
      <w:r>
        <w:rPr>
          <w:rFonts w:hint="eastAsia"/>
          <w:color w:val="000000"/>
          <w:szCs w:val="24"/>
          <w:highlight w:val="none"/>
        </w:rPr>
        <w:t>整个工厂的M</w:t>
      </w:r>
      <w:r>
        <w:rPr>
          <w:color w:val="000000"/>
          <w:szCs w:val="24"/>
          <w:highlight w:val="none"/>
        </w:rPr>
        <w:t>ES</w:t>
      </w:r>
      <w:r>
        <w:rPr>
          <w:rFonts w:hint="eastAsia"/>
          <w:color w:val="000000"/>
          <w:szCs w:val="24"/>
          <w:highlight w:val="none"/>
        </w:rPr>
        <w:t>系统</w:t>
      </w:r>
      <w:r>
        <w:rPr>
          <w:color w:val="000000"/>
          <w:szCs w:val="24"/>
          <w:highlight w:val="none"/>
        </w:rPr>
        <w:t>联通</w:t>
      </w:r>
      <w:r>
        <w:rPr>
          <w:rFonts w:hint="eastAsia"/>
          <w:color w:val="000000"/>
          <w:szCs w:val="24"/>
          <w:highlight w:val="none"/>
        </w:rPr>
        <w:t>；P</w:t>
      </w:r>
      <w:r>
        <w:rPr>
          <w:color w:val="000000"/>
          <w:szCs w:val="24"/>
          <w:highlight w:val="none"/>
        </w:rPr>
        <w:t>ACK</w:t>
      </w:r>
      <w:r>
        <w:rPr>
          <w:rFonts w:hint="eastAsia"/>
          <w:color w:val="000000"/>
          <w:szCs w:val="24"/>
          <w:highlight w:val="none"/>
        </w:rPr>
        <w:t>车间</w:t>
      </w:r>
      <w:r>
        <w:rPr>
          <w:color w:val="000000"/>
          <w:szCs w:val="24"/>
          <w:highlight w:val="none"/>
        </w:rPr>
        <w:t>单独建立一套集中控制系统，预留通讯接口与</w:t>
      </w:r>
      <w:r>
        <w:rPr>
          <w:rFonts w:hint="eastAsia"/>
          <w:color w:val="000000"/>
          <w:szCs w:val="24"/>
          <w:highlight w:val="none"/>
        </w:rPr>
        <w:t>整个工厂的M</w:t>
      </w:r>
      <w:r>
        <w:rPr>
          <w:color w:val="000000"/>
          <w:szCs w:val="24"/>
          <w:highlight w:val="none"/>
        </w:rPr>
        <w:t>ES</w:t>
      </w:r>
      <w:r>
        <w:rPr>
          <w:rFonts w:hint="eastAsia"/>
          <w:color w:val="000000"/>
          <w:szCs w:val="24"/>
          <w:highlight w:val="none"/>
        </w:rPr>
        <w:t>系统</w:t>
      </w:r>
      <w:r>
        <w:rPr>
          <w:color w:val="000000"/>
          <w:szCs w:val="24"/>
          <w:highlight w:val="none"/>
        </w:rPr>
        <w:t>联通</w:t>
      </w:r>
      <w:r>
        <w:rPr>
          <w:rFonts w:hint="eastAsia"/>
          <w:color w:val="000000"/>
          <w:szCs w:val="24"/>
          <w:highlight w:val="none"/>
        </w:rPr>
        <w:t>；</w:t>
      </w:r>
      <w:r>
        <w:rPr>
          <w:color w:val="000000"/>
          <w:szCs w:val="24"/>
          <w:highlight w:val="none"/>
        </w:rPr>
        <w:t>所有控制系统与</w:t>
      </w:r>
      <w:r>
        <w:rPr>
          <w:rFonts w:hint="eastAsia"/>
          <w:color w:val="000000"/>
          <w:szCs w:val="24"/>
          <w:highlight w:val="none"/>
        </w:rPr>
        <w:t>厂房内</w:t>
      </w:r>
      <w:r>
        <w:rPr>
          <w:color w:val="000000"/>
          <w:szCs w:val="24"/>
          <w:highlight w:val="none"/>
        </w:rPr>
        <w:t>所有动力设备实现联动调节，以上区域进行分屏显示，各区域均可进行操作控制，但各区域在同一时间内只有一个进入系统的权限；</w:t>
      </w:r>
    </w:p>
    <w:p>
      <w:pPr>
        <w:widowControl/>
        <w:numPr>
          <w:ilvl w:val="0"/>
          <w:numId w:val="6"/>
        </w:numPr>
        <w:spacing w:line="360" w:lineRule="auto"/>
        <w:rPr>
          <w:szCs w:val="24"/>
          <w:highlight w:val="none"/>
        </w:rPr>
      </w:pPr>
      <w:r>
        <w:rPr>
          <w:color w:val="000000"/>
          <w:szCs w:val="24"/>
          <w:highlight w:val="none"/>
        </w:rPr>
        <w:t>各区域实现除湿机、空调、真空站等外围设备联动调节。</w:t>
      </w:r>
    </w:p>
    <w:p>
      <w:pPr>
        <w:widowControl/>
        <w:numPr>
          <w:ilvl w:val="0"/>
          <w:numId w:val="6"/>
        </w:numPr>
        <w:spacing w:line="360" w:lineRule="auto"/>
        <w:rPr>
          <w:color w:val="000000"/>
          <w:szCs w:val="24"/>
          <w:highlight w:val="none"/>
        </w:rPr>
      </w:pPr>
      <w:r>
        <w:rPr>
          <w:color w:val="000000"/>
          <w:szCs w:val="24"/>
          <w:highlight w:val="none"/>
        </w:rPr>
        <w:t>通过上述集中控制系统对车间湿度进行RH≤2%模式、RH≤10%模式切换。</w:t>
      </w:r>
    </w:p>
    <w:p>
      <w:pPr>
        <w:pStyle w:val="9"/>
        <w:ind w:left="0"/>
        <w:rPr>
          <w:rFonts w:ascii="Calibri" w:hAnsi="Calibri"/>
          <w:kern w:val="2"/>
          <w:sz w:val="21"/>
          <w:szCs w:val="24"/>
          <w:highlight w:val="none"/>
        </w:rPr>
      </w:pPr>
      <w:r>
        <w:rPr>
          <w:rFonts w:hint="eastAsia"/>
          <w:highlight w:val="none"/>
        </w:rPr>
        <w:t>（</w:t>
      </w:r>
      <w:r>
        <w:rPr>
          <w:rFonts w:hint="default" w:ascii="Calibri" w:hAnsi="Calibri"/>
          <w:kern w:val="2"/>
          <w:sz w:val="21"/>
          <w:szCs w:val="24"/>
          <w:highlight w:val="none"/>
        </w:rPr>
        <w:t>4）集中控制系统需具备六个月以上的数据存储容量。</w:t>
      </w:r>
    </w:p>
    <w:p>
      <w:pPr>
        <w:rPr>
          <w:highlight w:val="none"/>
        </w:rPr>
      </w:pPr>
      <w:r>
        <w:rPr>
          <w:highlight w:val="none"/>
        </w:rPr>
        <w:t>5.10.1.3 设备触摸屏采用西门子/昆仑通泰品牌，屏幕尺寸≥10寸；</w:t>
      </w:r>
    </w:p>
    <w:p>
      <w:pPr>
        <w:rPr>
          <w:highlight w:val="none"/>
        </w:rPr>
      </w:pPr>
      <w:r>
        <w:rPr>
          <w:highlight w:val="none"/>
        </w:rPr>
        <w:t>5.10.1.4 触摸屏能直观显示前中后表冷段及送回风的温湿度，检测精确度：温度±0.1 ℃、湿度±0.1% 或露点温度±0.1℃；</w:t>
      </w:r>
    </w:p>
    <w:p>
      <w:pPr>
        <w:rPr>
          <w:highlight w:val="none"/>
        </w:rPr>
      </w:pPr>
      <w:r>
        <w:rPr>
          <w:highlight w:val="none"/>
        </w:rPr>
        <w:t>5.10.1.5 触摸屏须显示工艺流程图及各状态点参数及参数设置等功能。</w:t>
      </w:r>
    </w:p>
    <w:p>
      <w:pPr>
        <w:rPr>
          <w:highlight w:val="none"/>
        </w:rPr>
      </w:pPr>
      <w:r>
        <w:rPr>
          <w:highlight w:val="none"/>
        </w:rPr>
        <w:t>5.10.1.6 设备具备远程通讯功能，每台除湿机 PLC具备 MODBUS-RTU/RS485或者以太网通讯功能，满足设备与智能制造的需求（具体要求见下文）。</w:t>
      </w:r>
    </w:p>
    <w:p>
      <w:pPr>
        <w:rPr>
          <w:highlight w:val="none"/>
        </w:rPr>
      </w:pPr>
      <w:r>
        <w:rPr>
          <w:highlight w:val="none"/>
        </w:rPr>
        <w:t>5.10.1.7 温度传感器采用E+E品牌或同等品牌，温度精度：±0.5℃。露点探头采用芬兰 Vaisala品牌或同等品牌，检测范围：20℃至-80℃；</w:t>
      </w:r>
    </w:p>
    <w:p>
      <w:pPr>
        <w:rPr>
          <w:highlight w:val="none"/>
        </w:rPr>
      </w:pPr>
      <w:r>
        <w:rPr>
          <w:highlight w:val="none"/>
        </w:rPr>
        <w:t>5.10.1.8 相对湿度RH≥5%的车间，温湿度显示屏上显示相对湿度，显示精度±1%，相对湿度RH＜5%的车间，温湿度显示屏上显示露点温度，显示精度±1℃；</w:t>
      </w:r>
    </w:p>
    <w:p>
      <w:pPr>
        <w:rPr>
          <w:highlight w:val="none"/>
        </w:rPr>
      </w:pPr>
      <w:r>
        <w:rPr>
          <w:highlight w:val="none"/>
        </w:rPr>
        <w:t>5.10.1.9 双转轮除湿机后转轮前后设置露点探头，当转轮前后的露点差值小于设定值时，提前预警进行转轮保养。</w:t>
      </w:r>
    </w:p>
    <w:p>
      <w:pPr>
        <w:pStyle w:val="4"/>
        <w:rPr>
          <w:sz w:val="24"/>
          <w:szCs w:val="24"/>
          <w:highlight w:val="none"/>
        </w:rPr>
      </w:pPr>
      <w:bookmarkStart w:id="70" w:name="_Toc133335357"/>
      <w:r>
        <w:rPr>
          <w:sz w:val="24"/>
          <w:szCs w:val="24"/>
          <w:highlight w:val="none"/>
        </w:rPr>
        <w:t>5.10.2 电控及布线要求</w:t>
      </w:r>
      <w:bookmarkEnd w:id="70"/>
    </w:p>
    <w:p>
      <w:pPr>
        <w:rPr>
          <w:highlight w:val="none"/>
        </w:rPr>
      </w:pPr>
      <w:r>
        <w:rPr>
          <w:highlight w:val="none"/>
        </w:rPr>
        <w:t>5.10.2.1 设备气控原件和电控元件电箱独立分开 (若厂房限制，电柜可不独立开，气控和电控元件就近安装，增加隔板)；</w:t>
      </w:r>
    </w:p>
    <w:p>
      <w:pPr>
        <w:rPr>
          <w:highlight w:val="none"/>
        </w:rPr>
      </w:pPr>
      <w:r>
        <w:rPr>
          <w:highlight w:val="none"/>
        </w:rPr>
        <w:t>5.10.2.2 电箱防尘、密封和降温处理；电箱排风扇需经过滤后，方可排风至车间，电柜防护等级要求IP54，范围内的所有电机、电柜防护等级要求IP55）；</w:t>
      </w:r>
    </w:p>
    <w:p>
      <w:pPr>
        <w:rPr>
          <w:highlight w:val="none"/>
        </w:rPr>
      </w:pPr>
      <w:r>
        <w:rPr>
          <w:highlight w:val="none"/>
        </w:rPr>
        <w:t>5.10.2.3 感应器、电磁阀、行程开关等的防护不低于IP64，其他区域满足IP54即可；</w:t>
      </w:r>
    </w:p>
    <w:p>
      <w:pPr>
        <w:rPr>
          <w:highlight w:val="none"/>
        </w:rPr>
      </w:pPr>
      <w:r>
        <w:rPr>
          <w:highlight w:val="none"/>
        </w:rPr>
        <w:t>5.10.2.4 强电与弱电线路隔开，信号线增加屏蔽措施；</w:t>
      </w:r>
    </w:p>
    <w:p>
      <w:pPr>
        <w:rPr>
          <w:highlight w:val="none"/>
        </w:rPr>
      </w:pPr>
      <w:r>
        <w:rPr>
          <w:highlight w:val="none"/>
        </w:rPr>
        <w:t>5.10.2.5 设备强电柜和弱电柜采用分体式设计，避免强电对弱电的干扰；</w:t>
      </w:r>
    </w:p>
    <w:p>
      <w:pPr>
        <w:rPr>
          <w:highlight w:val="none"/>
        </w:rPr>
      </w:pPr>
      <w:r>
        <w:rPr>
          <w:highlight w:val="none"/>
        </w:rPr>
        <w:t>5.10.2.6 设备电源进线端须配备开关，设备功率超过37KW需配软启动或降压启动；</w:t>
      </w:r>
    </w:p>
    <w:p>
      <w:pPr>
        <w:rPr>
          <w:highlight w:val="none"/>
        </w:rPr>
      </w:pPr>
      <w:r>
        <w:rPr>
          <w:highlight w:val="none"/>
        </w:rPr>
        <w:t>5.10.2.7 拖链、线槽选型要求：</w:t>
      </w:r>
    </w:p>
    <w:p>
      <w:pPr>
        <w:rPr>
          <w:highlight w:val="none"/>
        </w:rPr>
      </w:pPr>
      <w:r>
        <w:rPr>
          <w:highlight w:val="none"/>
        </w:rPr>
        <w:t>5.10.2.8 容积使用率不超过85%,内置电缆或气管等可以自由活动，在半径方向对拖链不产生拉力，且拖链内线全部使用进口耐折线（接头不得留在拖链内部）。</w:t>
      </w:r>
    </w:p>
    <w:p>
      <w:pPr>
        <w:rPr>
          <w:highlight w:val="none"/>
        </w:rPr>
      </w:pPr>
      <w:r>
        <w:rPr>
          <w:highlight w:val="none"/>
        </w:rPr>
        <w:t>5.10.2.9 内高：选择直径最大的内置电缆或气管的尺寸，以此为基准增加10%，作为预留高度空的尺寸。</w:t>
      </w:r>
    </w:p>
    <w:p>
      <w:pPr>
        <w:rPr>
          <w:highlight w:val="none"/>
        </w:rPr>
      </w:pPr>
      <w:r>
        <w:rPr>
          <w:highlight w:val="none"/>
        </w:rPr>
        <w:t>5.10.2.10 设备整体PLC点预留10%以上（输入、输出点各10%）。</w:t>
      </w:r>
    </w:p>
    <w:p>
      <w:pPr>
        <w:pStyle w:val="4"/>
        <w:rPr>
          <w:sz w:val="24"/>
          <w:szCs w:val="24"/>
          <w:highlight w:val="none"/>
        </w:rPr>
      </w:pPr>
      <w:bookmarkStart w:id="71" w:name="_Toc133335358"/>
      <w:r>
        <w:rPr>
          <w:sz w:val="24"/>
          <w:szCs w:val="24"/>
          <w:highlight w:val="none"/>
        </w:rPr>
        <w:t>5.10.3 人机界面</w:t>
      </w:r>
      <w:bookmarkEnd w:id="71"/>
    </w:p>
    <w:p>
      <w:pPr>
        <w:rPr>
          <w:highlight w:val="none"/>
        </w:rPr>
      </w:pPr>
      <w:r>
        <w:rPr>
          <w:highlight w:val="none"/>
        </w:rPr>
        <w:t>5.10.3.1 功能：设备各项功能、工艺参数的集成显示且可进行编辑、存储等操作，以实现人机交互。</w:t>
      </w:r>
    </w:p>
    <w:p>
      <w:pPr>
        <w:rPr>
          <w:highlight w:val="none"/>
        </w:rPr>
      </w:pPr>
      <w:r>
        <w:rPr>
          <w:highlight w:val="none"/>
        </w:rPr>
        <w:t>5.10.3.2 要求：在设备合适的位置打上孚能科技的LOGO，具体位置在设计评审时确定。设备上及人机界面不能有生产厂家信息（信息包括：设备厂家名称、地址、联系电话、传真号、公司logo等）；</w:t>
      </w:r>
    </w:p>
    <w:p>
      <w:pPr>
        <w:rPr>
          <w:highlight w:val="none"/>
        </w:rPr>
      </w:pPr>
      <w:r>
        <w:rPr>
          <w:highlight w:val="none"/>
        </w:rPr>
        <w:t>5.10.3.3 密码管理：系统登录密码，人员超过5min未手动操作触摸屏时，自动跳至登录界面，防止人员勿碰等引起不良状况发生。</w:t>
      </w:r>
    </w:p>
    <w:p>
      <w:pPr>
        <w:pStyle w:val="3"/>
        <w:rPr>
          <w:sz w:val="28"/>
          <w:szCs w:val="28"/>
          <w:highlight w:val="none"/>
        </w:rPr>
      </w:pPr>
      <w:bookmarkStart w:id="72" w:name="_Toc133335359"/>
      <w:r>
        <w:rPr>
          <w:sz w:val="28"/>
          <w:szCs w:val="28"/>
          <w:highlight w:val="none"/>
        </w:rPr>
        <w:t>5.11 密集型母线技术要求</w:t>
      </w:r>
      <w:bookmarkEnd w:id="72"/>
    </w:p>
    <w:p>
      <w:pPr>
        <w:pStyle w:val="4"/>
        <w:rPr>
          <w:sz w:val="24"/>
          <w:szCs w:val="24"/>
          <w:highlight w:val="none"/>
        </w:rPr>
      </w:pPr>
      <w:bookmarkStart w:id="73" w:name="_Toc133335360"/>
      <w:r>
        <w:rPr>
          <w:sz w:val="24"/>
          <w:szCs w:val="24"/>
          <w:highlight w:val="none"/>
        </w:rPr>
        <w:t>5.11.1 基本技术参数</w:t>
      </w:r>
      <w:bookmarkEnd w:id="73"/>
    </w:p>
    <w:tbl>
      <w:tblPr>
        <w:tblStyle w:val="16"/>
        <w:tblW w:w="8857" w:type="dxa"/>
        <w:jc w:val="center"/>
        <w:tblLayout w:type="fixed"/>
        <w:tblCellMar>
          <w:top w:w="15" w:type="dxa"/>
          <w:left w:w="15" w:type="dxa"/>
          <w:bottom w:w="15" w:type="dxa"/>
          <w:right w:w="15" w:type="dxa"/>
        </w:tblCellMar>
      </w:tblPr>
      <w:tblGrid>
        <w:gridCol w:w="701"/>
        <w:gridCol w:w="1736"/>
        <w:gridCol w:w="795"/>
        <w:gridCol w:w="1065"/>
        <w:gridCol w:w="1140"/>
        <w:gridCol w:w="1140"/>
        <w:gridCol w:w="1140"/>
        <w:gridCol w:w="1140"/>
      </w:tblGrid>
      <w:tr>
        <w:tblPrEx>
          <w:tblCellMar>
            <w:top w:w="15" w:type="dxa"/>
            <w:left w:w="15" w:type="dxa"/>
            <w:bottom w:w="15" w:type="dxa"/>
            <w:right w:w="15" w:type="dxa"/>
          </w:tblCellMar>
        </w:tblPrEx>
        <w:trPr>
          <w:trHeight w:val="540" w:hRule="atLeast"/>
          <w:jc w:val="center"/>
        </w:trPr>
        <w:tc>
          <w:tcPr>
            <w:tcW w:w="70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序号</w:t>
            </w:r>
          </w:p>
        </w:tc>
        <w:tc>
          <w:tcPr>
            <w:tcW w:w="173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名称</w:t>
            </w:r>
          </w:p>
        </w:tc>
        <w:tc>
          <w:tcPr>
            <w:tcW w:w="7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单位</w:t>
            </w:r>
          </w:p>
        </w:tc>
        <w:tc>
          <w:tcPr>
            <w:tcW w:w="5625" w:type="dxa"/>
            <w:gridSpan w:val="5"/>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技术参数</w:t>
            </w:r>
          </w:p>
        </w:tc>
      </w:tr>
      <w:tr>
        <w:tblPrEx>
          <w:tblCellMar>
            <w:top w:w="15" w:type="dxa"/>
            <w:left w:w="15" w:type="dxa"/>
            <w:bottom w:w="15" w:type="dxa"/>
            <w:right w:w="15" w:type="dxa"/>
          </w:tblCellMar>
        </w:tblPrEx>
        <w:trPr>
          <w:trHeight w:val="540" w:hRule="atLeast"/>
          <w:jc w:val="center"/>
        </w:trPr>
        <w:tc>
          <w:tcPr>
            <w:tcW w:w="70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w:t>
            </w:r>
          </w:p>
        </w:tc>
        <w:tc>
          <w:tcPr>
            <w:tcW w:w="17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额定电流</w:t>
            </w:r>
          </w:p>
        </w:tc>
        <w:tc>
          <w:tcPr>
            <w:tcW w:w="7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A</w:t>
            </w:r>
          </w:p>
        </w:tc>
        <w:tc>
          <w:tcPr>
            <w:tcW w:w="1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1600</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2000</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2500</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3200</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4000</w:t>
            </w:r>
          </w:p>
        </w:tc>
      </w:tr>
      <w:tr>
        <w:tblPrEx>
          <w:tblCellMar>
            <w:top w:w="15" w:type="dxa"/>
            <w:left w:w="15" w:type="dxa"/>
            <w:bottom w:w="15" w:type="dxa"/>
            <w:right w:w="15" w:type="dxa"/>
          </w:tblCellMar>
        </w:tblPrEx>
        <w:trPr>
          <w:trHeight w:val="540" w:hRule="atLeast"/>
          <w:jc w:val="center"/>
        </w:trPr>
        <w:tc>
          <w:tcPr>
            <w:tcW w:w="70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w:t>
            </w:r>
          </w:p>
        </w:tc>
        <w:tc>
          <w:tcPr>
            <w:tcW w:w="17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热稳定电流</w:t>
            </w:r>
          </w:p>
        </w:tc>
        <w:tc>
          <w:tcPr>
            <w:tcW w:w="7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kA</w:t>
            </w:r>
          </w:p>
        </w:tc>
        <w:tc>
          <w:tcPr>
            <w:tcW w:w="1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50</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50</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80</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80</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80</w:t>
            </w:r>
          </w:p>
        </w:tc>
      </w:tr>
      <w:tr>
        <w:tblPrEx>
          <w:tblCellMar>
            <w:top w:w="15" w:type="dxa"/>
            <w:left w:w="15" w:type="dxa"/>
            <w:bottom w:w="15" w:type="dxa"/>
            <w:right w:w="15" w:type="dxa"/>
          </w:tblCellMar>
        </w:tblPrEx>
        <w:trPr>
          <w:trHeight w:val="540" w:hRule="atLeast"/>
          <w:jc w:val="center"/>
        </w:trPr>
        <w:tc>
          <w:tcPr>
            <w:tcW w:w="70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3</w:t>
            </w:r>
          </w:p>
        </w:tc>
        <w:tc>
          <w:tcPr>
            <w:tcW w:w="17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动稳定电流</w:t>
            </w:r>
          </w:p>
        </w:tc>
        <w:tc>
          <w:tcPr>
            <w:tcW w:w="7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kA</w:t>
            </w:r>
          </w:p>
        </w:tc>
        <w:tc>
          <w:tcPr>
            <w:tcW w:w="1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105</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105</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176</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176</w:t>
            </w:r>
          </w:p>
        </w:tc>
        <w:tc>
          <w:tcPr>
            <w:tcW w:w="11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176</w:t>
            </w:r>
          </w:p>
        </w:tc>
      </w:tr>
      <w:tr>
        <w:tblPrEx>
          <w:tblCellMar>
            <w:top w:w="15" w:type="dxa"/>
            <w:left w:w="15" w:type="dxa"/>
            <w:bottom w:w="15" w:type="dxa"/>
            <w:right w:w="15" w:type="dxa"/>
          </w:tblCellMar>
        </w:tblPrEx>
        <w:trPr>
          <w:trHeight w:val="540" w:hRule="atLeast"/>
          <w:jc w:val="center"/>
        </w:trPr>
        <w:tc>
          <w:tcPr>
            <w:tcW w:w="70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4</w:t>
            </w:r>
          </w:p>
        </w:tc>
        <w:tc>
          <w:tcPr>
            <w:tcW w:w="17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介电强度</w:t>
            </w:r>
          </w:p>
        </w:tc>
        <w:tc>
          <w:tcPr>
            <w:tcW w:w="7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c>
          <w:tcPr>
            <w:tcW w:w="5625" w:type="dxa"/>
            <w:gridSpan w:val="5"/>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3750V，历时1min</w:t>
            </w:r>
          </w:p>
        </w:tc>
      </w:tr>
      <w:tr>
        <w:tblPrEx>
          <w:tblCellMar>
            <w:top w:w="15" w:type="dxa"/>
            <w:left w:w="15" w:type="dxa"/>
            <w:bottom w:w="15" w:type="dxa"/>
            <w:right w:w="15" w:type="dxa"/>
          </w:tblCellMar>
        </w:tblPrEx>
        <w:trPr>
          <w:trHeight w:val="540" w:hRule="atLeast"/>
          <w:jc w:val="center"/>
        </w:trPr>
        <w:tc>
          <w:tcPr>
            <w:tcW w:w="70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5</w:t>
            </w:r>
          </w:p>
        </w:tc>
        <w:tc>
          <w:tcPr>
            <w:tcW w:w="17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防护等级</w:t>
            </w:r>
          </w:p>
        </w:tc>
        <w:tc>
          <w:tcPr>
            <w:tcW w:w="7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rPr>
                <w:szCs w:val="21"/>
                <w:highlight w:val="none"/>
              </w:rPr>
            </w:pPr>
          </w:p>
        </w:tc>
        <w:tc>
          <w:tcPr>
            <w:tcW w:w="5625" w:type="dxa"/>
            <w:gridSpan w:val="5"/>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0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带分接单元：IP54 不带分接单元：IP66</w:t>
            </w:r>
          </w:p>
        </w:tc>
      </w:tr>
    </w:tbl>
    <w:p>
      <w:pPr>
        <w:pStyle w:val="4"/>
        <w:keepNext/>
        <w:keepLines/>
        <w:widowControl w:val="0"/>
        <w:numPr>
          <w:ilvl w:val="2"/>
          <w:numId w:val="7"/>
        </w:numPr>
        <w:spacing w:before="0" w:beforeAutospacing="0" w:after="0" w:afterAutospacing="0" w:line="360" w:lineRule="auto"/>
        <w:jc w:val="both"/>
        <w:rPr>
          <w:sz w:val="24"/>
          <w:szCs w:val="24"/>
          <w:highlight w:val="none"/>
        </w:rPr>
      </w:pPr>
      <w:bookmarkStart w:id="74" w:name="_Toc133335361"/>
      <w:r>
        <w:rPr>
          <w:sz w:val="24"/>
          <w:szCs w:val="24"/>
          <w:highlight w:val="none"/>
        </w:rPr>
        <w:t>基本要求</w:t>
      </w:r>
      <w:bookmarkEnd w:id="74"/>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.11.2.1密集型母线槽应具有优良的设计及技术性能，要求采用三相五线制密集型铜质母线槽，相线与零线截面要求相等铜材质，PE线为独立铜排且截面为相线的一半。</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.11.2.2密集型母线槽的电气技术规格要求；</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.11.2.3额定工作电压：690VAC，额定绝缘电压：≥1000VAC；</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.11.2.4最高环境温度：45℃，湿度最高月份的平均相对湿度：不大于90%；</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.11.2.5额定频率：50Hz，额定电流：详见报价清单规格表；</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.11.2.6额定电流封闭母线连接外部绝缘导线用端子处极限温升值≤70K；</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.11.2.7额定电流封闭母线固定处极限温升值≤70k，耐热指数 ≥130℃；</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.11.2.8冷却方式：自冷，相数：3；</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.11.2.9绝缘电阻：相间绝缘电阻 ≥ 500MΩ，铜排与外壳之间电阻 ≥ 500 MΩ。</w:t>
      </w:r>
    </w:p>
    <w:p>
      <w:pPr>
        <w:pStyle w:val="4"/>
        <w:keepNext/>
        <w:keepLines/>
        <w:widowControl w:val="0"/>
        <w:numPr>
          <w:ilvl w:val="2"/>
          <w:numId w:val="7"/>
        </w:numPr>
        <w:spacing w:before="0" w:beforeAutospacing="0" w:after="0" w:afterAutospacing="0" w:line="360" w:lineRule="auto"/>
        <w:jc w:val="both"/>
        <w:rPr>
          <w:sz w:val="24"/>
          <w:szCs w:val="24"/>
          <w:highlight w:val="none"/>
        </w:rPr>
      </w:pPr>
      <w:bookmarkStart w:id="75" w:name="_Toc133335362"/>
      <w:r>
        <w:rPr>
          <w:sz w:val="24"/>
          <w:szCs w:val="24"/>
          <w:highlight w:val="none"/>
        </w:rPr>
        <w:t>一般检验</w:t>
      </w:r>
      <w:bookmarkEnd w:id="75"/>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.11.3.1检查各种标志是否安装正确、牢固、清晰；</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5.11.3.2检查铭牌上文字数据是否正确、清晰、完整；</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5.11.3.3检查结构设施、镀层和外壳油漆质量；</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5.11.3.4检查紧固件是否齐全并紧固；</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5.11.3.5母线到场后随机抽取一段拆开进行材质检测。</w:t>
      </w:r>
    </w:p>
    <w:p>
      <w:pPr>
        <w:pStyle w:val="4"/>
        <w:rPr>
          <w:sz w:val="24"/>
          <w:szCs w:val="24"/>
          <w:highlight w:val="none"/>
        </w:rPr>
      </w:pPr>
      <w:bookmarkStart w:id="76" w:name="_Toc133335363"/>
      <w:r>
        <w:rPr>
          <w:sz w:val="24"/>
          <w:szCs w:val="24"/>
          <w:highlight w:val="none"/>
        </w:rPr>
        <w:t>5.11.4 密集型母线槽的材料及性能指标要求</w:t>
      </w:r>
      <w:bookmarkEnd w:id="76"/>
    </w:p>
    <w:p>
      <w:pPr>
        <w:rPr>
          <w:highlight w:val="none"/>
        </w:rPr>
      </w:pPr>
      <w:r>
        <w:rPr>
          <w:highlight w:val="none"/>
        </w:rPr>
        <w:t>5.11.4.1 导体材料要求</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母线槽A、B、C、N四相导体采用T2电解铜轧制的高导电率TMY电工硬铜排，硬度HB≥65，N线、PE线的材料及制造工艺与相线相同，铜的纯度须达到99.95%以上，导电率达到97.5%以上。(需提供相关检测报告)；</w:t>
      </w:r>
    </w:p>
    <w:p>
      <w:pPr>
        <w:jc w:val="left"/>
        <w:rPr>
          <w:bCs/>
          <w:highlight w:val="none"/>
        </w:rPr>
      </w:pPr>
      <w:r>
        <w:rPr>
          <w:bCs/>
          <w:highlight w:val="none"/>
        </w:rPr>
        <w:t>铜排厚度不低于5mm，各电流等级的母线槽铜排截面需满足下表要求：</w:t>
      </w:r>
    </w:p>
    <w:tbl>
      <w:tblPr>
        <w:tblStyle w:val="16"/>
        <w:tblW w:w="8336" w:type="dxa"/>
        <w:tblInd w:w="0" w:type="dxa"/>
        <w:tblLayout w:type="fixed"/>
        <w:tblCellMar>
          <w:top w:w="15" w:type="dxa"/>
          <w:left w:w="15" w:type="dxa"/>
          <w:bottom w:w="15" w:type="dxa"/>
          <w:right w:w="15" w:type="dxa"/>
        </w:tblCellMar>
      </w:tblPr>
      <w:tblGrid>
        <w:gridCol w:w="1389"/>
        <w:gridCol w:w="1389"/>
        <w:gridCol w:w="1389"/>
        <w:gridCol w:w="1389"/>
        <w:gridCol w:w="1389"/>
        <w:gridCol w:w="1391"/>
      </w:tblGrid>
      <w:tr>
        <w:tblPrEx>
          <w:tblCellMar>
            <w:top w:w="15" w:type="dxa"/>
            <w:left w:w="15" w:type="dxa"/>
            <w:bottom w:w="15" w:type="dxa"/>
            <w:right w:w="15" w:type="dxa"/>
          </w:tblCellMar>
        </w:tblPrEx>
        <w:trPr>
          <w:trHeight w:val="514" w:hRule="atLeast"/>
        </w:trPr>
        <w:tc>
          <w:tcPr>
            <w:tcW w:w="138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400A</w:t>
            </w:r>
          </w:p>
        </w:tc>
        <w:tc>
          <w:tcPr>
            <w:tcW w:w="138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≥125mm</w:t>
            </w:r>
            <w:r>
              <w:rPr>
                <w:rFonts w:ascii="Times New Roman" w:hAnsi="Times New Roman" w:eastAsia="宋体"/>
                <w:color w:val="000000"/>
                <w:sz w:val="21"/>
                <w:szCs w:val="21"/>
                <w:highlight w:val="none"/>
                <w:vertAlign w:val="superscript"/>
              </w:rPr>
              <w:t>2</w:t>
            </w:r>
          </w:p>
        </w:tc>
        <w:tc>
          <w:tcPr>
            <w:tcW w:w="138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630A</w:t>
            </w:r>
          </w:p>
        </w:tc>
        <w:tc>
          <w:tcPr>
            <w:tcW w:w="138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≥200mm</w:t>
            </w:r>
            <w:r>
              <w:rPr>
                <w:rFonts w:ascii="Times New Roman" w:hAnsi="Times New Roman" w:eastAsia="宋体"/>
                <w:color w:val="000000"/>
                <w:sz w:val="21"/>
                <w:szCs w:val="21"/>
                <w:highlight w:val="none"/>
                <w:vertAlign w:val="superscript"/>
              </w:rPr>
              <w:t>2</w:t>
            </w:r>
          </w:p>
        </w:tc>
        <w:tc>
          <w:tcPr>
            <w:tcW w:w="138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800A</w:t>
            </w:r>
          </w:p>
        </w:tc>
        <w:tc>
          <w:tcPr>
            <w:tcW w:w="139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≥250mm</w:t>
            </w:r>
            <w:r>
              <w:rPr>
                <w:rFonts w:ascii="Times New Roman" w:hAnsi="Times New Roman" w:eastAsia="宋体"/>
                <w:color w:val="000000"/>
                <w:sz w:val="21"/>
                <w:szCs w:val="21"/>
                <w:highlight w:val="none"/>
                <w:vertAlign w:val="superscript"/>
              </w:rPr>
              <w:t>2</w:t>
            </w:r>
          </w:p>
        </w:tc>
      </w:tr>
      <w:tr>
        <w:tblPrEx>
          <w:tblCellMar>
            <w:top w:w="15" w:type="dxa"/>
            <w:left w:w="15" w:type="dxa"/>
            <w:bottom w:w="15" w:type="dxa"/>
            <w:right w:w="15" w:type="dxa"/>
          </w:tblCellMar>
        </w:tblPrEx>
        <w:trPr>
          <w:trHeight w:val="514" w:hRule="atLeast"/>
        </w:trPr>
        <w:tc>
          <w:tcPr>
            <w:tcW w:w="138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1000A</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≥336mm</w:t>
            </w:r>
            <w:r>
              <w:rPr>
                <w:rFonts w:ascii="Times New Roman" w:hAnsi="Times New Roman" w:eastAsia="宋体"/>
                <w:color w:val="000000"/>
                <w:sz w:val="21"/>
                <w:szCs w:val="21"/>
                <w:highlight w:val="none"/>
                <w:vertAlign w:val="superscript"/>
              </w:rPr>
              <w:t>2</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1250A</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≥425mm</w:t>
            </w:r>
            <w:r>
              <w:rPr>
                <w:rFonts w:ascii="Times New Roman" w:hAnsi="Times New Roman" w:eastAsia="宋体"/>
                <w:color w:val="000000"/>
                <w:sz w:val="21"/>
                <w:szCs w:val="21"/>
                <w:highlight w:val="none"/>
                <w:vertAlign w:val="superscript"/>
              </w:rPr>
              <w:t>2</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1600A</w:t>
            </w:r>
          </w:p>
        </w:tc>
        <w:tc>
          <w:tcPr>
            <w:tcW w:w="139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≥625mm</w:t>
            </w:r>
            <w:r>
              <w:rPr>
                <w:rFonts w:ascii="Times New Roman" w:hAnsi="Times New Roman" w:eastAsia="宋体"/>
                <w:color w:val="000000"/>
                <w:sz w:val="21"/>
                <w:szCs w:val="21"/>
                <w:highlight w:val="none"/>
                <w:vertAlign w:val="superscript"/>
              </w:rPr>
              <w:t>2</w:t>
            </w:r>
          </w:p>
        </w:tc>
      </w:tr>
      <w:tr>
        <w:tblPrEx>
          <w:tblCellMar>
            <w:top w:w="15" w:type="dxa"/>
            <w:left w:w="15" w:type="dxa"/>
            <w:bottom w:w="15" w:type="dxa"/>
            <w:right w:w="15" w:type="dxa"/>
          </w:tblCellMar>
        </w:tblPrEx>
        <w:trPr>
          <w:trHeight w:val="514" w:hRule="atLeast"/>
        </w:trPr>
        <w:tc>
          <w:tcPr>
            <w:tcW w:w="138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2000A</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≥775mm</w:t>
            </w:r>
            <w:r>
              <w:rPr>
                <w:rFonts w:ascii="Times New Roman" w:hAnsi="Times New Roman" w:eastAsia="宋体"/>
                <w:color w:val="000000"/>
                <w:sz w:val="21"/>
                <w:szCs w:val="21"/>
                <w:highlight w:val="none"/>
                <w:vertAlign w:val="superscript"/>
              </w:rPr>
              <w:t>2</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2500A</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≥1078mm</w:t>
            </w:r>
            <w:r>
              <w:rPr>
                <w:rFonts w:ascii="Times New Roman" w:hAnsi="Times New Roman" w:eastAsia="宋体"/>
                <w:color w:val="000000"/>
                <w:sz w:val="21"/>
                <w:szCs w:val="21"/>
                <w:highlight w:val="none"/>
                <w:vertAlign w:val="superscript"/>
              </w:rPr>
              <w:t>2</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3150A</w:t>
            </w:r>
          </w:p>
        </w:tc>
        <w:tc>
          <w:tcPr>
            <w:tcW w:w="139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≥1323mm</w:t>
            </w:r>
            <w:r>
              <w:rPr>
                <w:rFonts w:ascii="Times New Roman" w:hAnsi="Times New Roman" w:eastAsia="宋体"/>
                <w:color w:val="000000"/>
                <w:sz w:val="21"/>
                <w:szCs w:val="21"/>
                <w:highlight w:val="none"/>
                <w:vertAlign w:val="superscript"/>
              </w:rPr>
              <w:t>2</w:t>
            </w:r>
          </w:p>
        </w:tc>
      </w:tr>
      <w:tr>
        <w:tblPrEx>
          <w:tblCellMar>
            <w:top w:w="15" w:type="dxa"/>
            <w:left w:w="15" w:type="dxa"/>
            <w:bottom w:w="15" w:type="dxa"/>
            <w:right w:w="15" w:type="dxa"/>
          </w:tblCellMar>
        </w:tblPrEx>
        <w:trPr>
          <w:trHeight w:val="514" w:hRule="atLeast"/>
        </w:trPr>
        <w:tc>
          <w:tcPr>
            <w:tcW w:w="138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4000A</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≥1500mm</w:t>
            </w:r>
            <w:r>
              <w:rPr>
                <w:rFonts w:ascii="Times New Roman" w:hAnsi="Times New Roman" w:eastAsia="宋体"/>
                <w:color w:val="000000"/>
                <w:sz w:val="21"/>
                <w:szCs w:val="21"/>
                <w:highlight w:val="none"/>
                <w:vertAlign w:val="superscript"/>
              </w:rPr>
              <w:t>2</w:t>
            </w: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jc w:val="center"/>
              <w:rPr>
                <w:szCs w:val="21"/>
                <w:highlight w:val="none"/>
              </w:rPr>
            </w:pP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jc w:val="center"/>
              <w:rPr>
                <w:szCs w:val="21"/>
                <w:highlight w:val="none"/>
              </w:rPr>
            </w:pPr>
          </w:p>
        </w:tc>
        <w:tc>
          <w:tcPr>
            <w:tcW w:w="13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jc w:val="center"/>
              <w:rPr>
                <w:szCs w:val="21"/>
                <w:highlight w:val="none"/>
              </w:rPr>
            </w:pPr>
          </w:p>
        </w:tc>
        <w:tc>
          <w:tcPr>
            <w:tcW w:w="139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bottom"/>
          </w:tcPr>
          <w:p>
            <w:pPr>
              <w:jc w:val="center"/>
              <w:rPr>
                <w:szCs w:val="21"/>
                <w:highlight w:val="none"/>
              </w:rPr>
            </w:pPr>
          </w:p>
        </w:tc>
      </w:tr>
    </w:tbl>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注：铜排搭接处表面要求镀银处理</w:t>
      </w:r>
    </w:p>
    <w:p>
      <w:pPr>
        <w:rPr>
          <w:highlight w:val="none"/>
        </w:rPr>
      </w:pPr>
      <w:r>
        <w:rPr>
          <w:highlight w:val="none"/>
        </w:rPr>
        <w:t>5.11.4.2 绝缘材料要求</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导体整体包裹高性能的绝缘材料（PET聚酯薄膜，缠绕层数3层以上），绝缘材料的耐热等级不低于B级，抗老化性强，保证在高温场合的长绝缘寿命与可靠性；绝缘材料须为无毒性的阻燃环保材料，保证在高温时无有毒气体排放（投标人需提供绝缘材料证明文件）。</w:t>
      </w:r>
    </w:p>
    <w:p>
      <w:pPr>
        <w:rPr>
          <w:highlight w:val="none"/>
        </w:rPr>
      </w:pPr>
      <w:r>
        <w:rPr>
          <w:highlight w:val="none"/>
        </w:rPr>
        <w:t>5.11.4.3 母线外壳要求</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为保证母线槽的强度和刚度，密集母线槽系统外壳需采用铝镁合金材料（提供铝镁合金材料检测报告）；密集母线外壳表面应作静电粉末喷涂处理，以达到良好的防腐蚀效果。外壳有散热槽，具有良好的散热效果。电气间隙与爬电距离：爬电距离应不小于12mm，电气间隙应不小于10mm；防护等级：带分接单元为IP54，不带分接单元为IP66。</w:t>
      </w:r>
    </w:p>
    <w:p>
      <w:pPr>
        <w:rPr>
          <w:highlight w:val="none"/>
        </w:rPr>
      </w:pPr>
      <w:r>
        <w:rPr>
          <w:highlight w:val="none"/>
        </w:rPr>
        <w:t>5.11.4.4 温升</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母线槽内各点的温升应当均匀，任何导电体（包括连接头）的温升应当不超过70K。（需提供相关检测报告）</w:t>
      </w:r>
    </w:p>
    <w:p>
      <w:pPr>
        <w:rPr>
          <w:highlight w:val="none"/>
        </w:rPr>
      </w:pPr>
      <w:r>
        <w:rPr>
          <w:highlight w:val="none"/>
        </w:rPr>
        <w:t>5.11.4.5 导体完整性</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为保证母线槽的载流能力及结构强度，母线直身段导体全长应保持完整（跨距：标准尺寸4m），不得有中间冲孔、末端截面收缩等不良设计，每条母线槽终端必须带终端绝缘封头。</w:t>
      </w:r>
    </w:p>
    <w:p>
      <w:pPr>
        <w:rPr>
          <w:highlight w:val="none"/>
        </w:rPr>
      </w:pPr>
      <w:r>
        <w:rPr>
          <w:highlight w:val="none"/>
        </w:rPr>
        <w:t>5.11.4.6 母线连接头设计</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母线槽需有独立的连接器，采用单螺栓双力矩紧固端子，连接应快速方便易于更换，可拆除任意一段母线而不会影响相邻单元，其材质应为高强度钢，接头绝缘隔板采用耐高温的绝缘板，双力矩螺栓应保证每一个接头所需的夹紧力矩，保证接头部位压力受力均匀可靠；连接器与母线应双面铜搭接，确保连接头具有良好的载流性能；连接头应设计先进，日后可免维护；投标人在应答中予以说明连接器的碗型垫圈采用的材料及性能；</w:t>
      </w:r>
    </w:p>
    <w:p>
      <w:pPr>
        <w:rPr>
          <w:highlight w:val="none"/>
        </w:rPr>
      </w:pPr>
      <w:r>
        <w:rPr>
          <w:highlight w:val="none"/>
        </w:rPr>
        <w:t>5.11.4.7 母线扩展性能</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为保证良好的母线扩展性能，不同电流等级的母线槽导体铜排应采用相同的厚度；密集母线耐压：所有母线部件，如直身、弯头、法兰等要求全部通过高压试验后方可出厂。</w:t>
      </w:r>
    </w:p>
    <w:p>
      <w:pPr>
        <w:rPr>
          <w:highlight w:val="none"/>
        </w:rPr>
      </w:pPr>
      <w:r>
        <w:rPr>
          <w:highlight w:val="none"/>
        </w:rPr>
        <w:t>5.11.4.8 母线接地系统</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密集母线外壳设置可靠的接地装置；母线具有独立的PE铜排，截面为相线的一半；</w:t>
      </w:r>
    </w:p>
    <w:p>
      <w:pPr>
        <w:rPr>
          <w:highlight w:val="none"/>
        </w:rPr>
      </w:pPr>
      <w:r>
        <w:rPr>
          <w:highlight w:val="none"/>
        </w:rPr>
        <w:t>5.11.4.9 密集母线防止涡流损耗</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大电流母线槽要有防止由电磁感应造成母线涡流及动热稳定问题的解决措施，并请详细说明。</w:t>
      </w:r>
    </w:p>
    <w:p>
      <w:pPr>
        <w:rPr>
          <w:highlight w:val="none"/>
        </w:rPr>
      </w:pPr>
      <w:r>
        <w:rPr>
          <w:highlight w:val="none"/>
        </w:rPr>
        <w:t>5.11.4.10 插接箱</w:t>
      </w:r>
    </w:p>
    <w:p>
      <w:pPr>
        <w:pStyle w:val="19"/>
        <w:numPr>
          <w:ilvl w:val="0"/>
          <w:numId w:val="8"/>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投标商所提供母线槽产品的插接箱需采用电动操作机构，插接箱接地插脚在相线未接触母排之前先与母线槽的接地排接触，保证操作人员安全；插接箱内装有防护板以防打开箱门时意外触电；插接箱活门具有联锁功能，以防带电状态下打开活门；插接箱插脚具有联锁功能，以保证插接箱完全插入后方可合闸；设计有安全联锁和电气保护，其接地极始终保持先接触后断开，而防护罩能确保操作人员安全，保证插拔200次后仍能正常工作。</w:t>
      </w:r>
    </w:p>
    <w:p>
      <w:pPr>
        <w:pStyle w:val="19"/>
        <w:numPr>
          <w:ilvl w:val="0"/>
          <w:numId w:val="8"/>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插接箱带防插错装置，并可带有分合闸指示。插接口设有封闭装置，停用时可关闭活门防止灰尘的侵入，保证防护等级。3米长的母线槽可最多设计10个插口，为用户的电源引出提供极大的方便，且插口处设计有安全罩盖。插接母线槽插口处应设计有双重防护，在没有安装插接箱时可以自动关上，同时当打开外部安全罩盖准备或正在进行插接箱插接时仍有第二重防护可以防止插接过程中有异物坠入插口。</w:t>
      </w:r>
    </w:p>
    <w:p>
      <w:pPr>
        <w:pStyle w:val="19"/>
        <w:numPr>
          <w:ilvl w:val="0"/>
          <w:numId w:val="8"/>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highlight w:val="none"/>
        </w:rPr>
        <w:t>壳架额定电流在250A以上的断路器采用电子脱扣器，250A及以下采用热磁脱扣器。插接箱侧面有带电指示灯。插接箱应能带电插拔，不用整条母线系统全部断电，不影响其他设备供电。</w:t>
      </w:r>
    </w:p>
    <w:p>
      <w:pPr>
        <w:rPr>
          <w:highlight w:val="none"/>
        </w:rPr>
      </w:pPr>
      <w:r>
        <w:rPr>
          <w:highlight w:val="none"/>
        </w:rPr>
        <w:t>5.11.4.11 密集母线防烟囱效应</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投标母线产品内不应存在连续空间，要避免形成“烟囱效应”，说明解决的方法和装置。</w:t>
      </w:r>
    </w:p>
    <w:p>
      <w:pPr>
        <w:pStyle w:val="19"/>
        <w:spacing w:before="0" w:beforeAutospacing="0" w:after="0" w:afterAutospacing="0" w:line="360" w:lineRule="auto"/>
        <w:jc w:val="both"/>
        <w:rPr>
          <w:rFonts w:ascii="Times New Roman" w:hAnsi="Times New Roman" w:eastAsia="宋体"/>
          <w:bCs/>
          <w:color w:val="000000"/>
          <w:highlight w:val="none"/>
        </w:rPr>
      </w:pPr>
      <w:r>
        <w:rPr>
          <w:rFonts w:ascii="Times New Roman" w:hAnsi="Times New Roman" w:eastAsia="宋体"/>
          <w:highlight w:val="none"/>
        </w:rPr>
        <w:t xml:space="preserve">5.11.4.12 </w:t>
      </w:r>
      <w:r>
        <w:rPr>
          <w:rFonts w:ascii="Times New Roman" w:hAnsi="Times New Roman" w:eastAsia="宋体"/>
          <w:bCs/>
          <w:color w:val="000000"/>
          <w:highlight w:val="none"/>
        </w:rPr>
        <w:t>密集母线槽外形</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投标母线产品应紧凑，以减少安装空间。</w:t>
      </w:r>
    </w:p>
    <w:p>
      <w:pPr>
        <w:pStyle w:val="19"/>
        <w:spacing w:before="0" w:beforeAutospacing="0" w:after="0" w:afterAutospacing="0" w:line="360" w:lineRule="auto"/>
        <w:jc w:val="both"/>
        <w:rPr>
          <w:rFonts w:ascii="Times New Roman" w:hAnsi="Times New Roman" w:eastAsia="宋体"/>
          <w:bCs/>
          <w:color w:val="000000"/>
          <w:highlight w:val="none"/>
        </w:rPr>
      </w:pPr>
      <w:r>
        <w:rPr>
          <w:rFonts w:ascii="Times New Roman" w:hAnsi="Times New Roman" w:eastAsia="宋体"/>
          <w:highlight w:val="none"/>
        </w:rPr>
        <w:t xml:space="preserve">5.11.4.13 </w:t>
      </w:r>
      <w:r>
        <w:rPr>
          <w:rFonts w:ascii="Times New Roman" w:hAnsi="Times New Roman" w:eastAsia="宋体"/>
          <w:bCs/>
          <w:color w:val="000000"/>
          <w:highlight w:val="none"/>
        </w:rPr>
        <w:t>密集母线安全性能测试</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防振动测试：产品应通过国家正式实验室的振动测试；交变湿热测试：产品必须通过国家正规实验室的交变湿热测试。</w:t>
      </w:r>
    </w:p>
    <w:p>
      <w:pPr>
        <w:pStyle w:val="19"/>
        <w:tabs>
          <w:tab w:val="left" w:pos="420"/>
        </w:tabs>
        <w:spacing w:before="0" w:beforeAutospacing="0" w:after="0" w:afterAutospacing="0" w:line="360" w:lineRule="auto"/>
        <w:jc w:val="both"/>
        <w:rPr>
          <w:rFonts w:ascii="Times New Roman" w:hAnsi="Times New Roman" w:eastAsia="宋体"/>
          <w:bCs/>
          <w:color w:val="000000"/>
          <w:highlight w:val="none"/>
        </w:rPr>
      </w:pPr>
      <w:r>
        <w:rPr>
          <w:rFonts w:ascii="Times New Roman" w:hAnsi="Times New Roman" w:eastAsia="宋体"/>
          <w:highlight w:val="none"/>
        </w:rPr>
        <w:t xml:space="preserve">5.11.4.14 </w:t>
      </w:r>
      <w:r>
        <w:rPr>
          <w:rFonts w:ascii="Times New Roman" w:hAnsi="Times New Roman" w:eastAsia="宋体"/>
          <w:bCs/>
          <w:color w:val="000000"/>
          <w:highlight w:val="none"/>
        </w:rPr>
        <w:t>密集母线安装维护性能</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投标母线产品应采用标准化、模块化设计，便于迅速安装以及维护，节省施工费用；</w:t>
      </w:r>
    </w:p>
    <w:p>
      <w:pPr>
        <w:pStyle w:val="19"/>
        <w:spacing w:before="0" w:beforeAutospacing="0" w:after="0" w:afterAutospacing="0" w:line="360" w:lineRule="auto"/>
        <w:jc w:val="both"/>
        <w:rPr>
          <w:rFonts w:ascii="Times New Roman" w:hAnsi="Times New Roman" w:eastAsia="宋体"/>
          <w:bCs/>
          <w:color w:val="000000"/>
          <w:highlight w:val="none"/>
        </w:rPr>
      </w:pPr>
      <w:r>
        <w:rPr>
          <w:rFonts w:ascii="Times New Roman" w:hAnsi="Times New Roman" w:eastAsia="宋体"/>
          <w:highlight w:val="none"/>
        </w:rPr>
        <w:t xml:space="preserve">5.11.4.15 </w:t>
      </w:r>
      <w:r>
        <w:rPr>
          <w:rFonts w:ascii="Times New Roman" w:hAnsi="Times New Roman" w:eastAsia="宋体"/>
          <w:bCs/>
          <w:color w:val="000000"/>
          <w:highlight w:val="none"/>
        </w:rPr>
        <w:t>密集母线防错设计</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投标母线产品应设计良好，从总体上保证母线安装方便，易于维护，具有良好的防错设计，最大限度的避免因人为因素而造成的产品故障。请详细阐明。严禁采用铝母排、铜包铝母排、铜铝合金母排代替，装配及连接处不得采用打孔及穿心</w:t>
      </w:r>
    </w:p>
    <w:p>
      <w:pPr>
        <w:pStyle w:val="19"/>
        <w:spacing w:before="0" w:beforeAutospacing="0" w:after="0" w:afterAutospacing="0" w:line="360" w:lineRule="auto"/>
        <w:jc w:val="both"/>
        <w:rPr>
          <w:rFonts w:ascii="Times New Roman" w:hAnsi="Times New Roman" w:eastAsia="宋体"/>
          <w:bCs/>
          <w:color w:val="000000"/>
          <w:highlight w:val="none"/>
        </w:rPr>
      </w:pPr>
      <w:r>
        <w:rPr>
          <w:rFonts w:ascii="Times New Roman" w:hAnsi="Times New Roman" w:eastAsia="宋体"/>
          <w:highlight w:val="none"/>
        </w:rPr>
        <w:t xml:space="preserve">5.11.4.16 </w:t>
      </w:r>
      <w:r>
        <w:rPr>
          <w:rFonts w:ascii="Times New Roman" w:hAnsi="Times New Roman" w:eastAsia="宋体"/>
          <w:bCs/>
          <w:color w:val="000000"/>
          <w:highlight w:val="none"/>
        </w:rPr>
        <w:t>母线槽材料环保要求</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highlight w:val="none"/>
        </w:rPr>
        <w:t xml:space="preserve">5.11.4.17 </w:t>
      </w:r>
      <w:r>
        <w:rPr>
          <w:rFonts w:ascii="Times New Roman" w:hAnsi="Times New Roman" w:eastAsia="宋体"/>
          <w:color w:val="000000"/>
          <w:highlight w:val="none"/>
        </w:rPr>
        <w:t>投标母线产品所有材料必须符合环境保护要求，产品可被回收再利用，主要绝缘材料在火灾时不能放出有毒气体。</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highlight w:val="none"/>
        </w:rPr>
        <w:t xml:space="preserve">5.11.4.18 </w:t>
      </w:r>
      <w:r>
        <w:rPr>
          <w:rFonts w:ascii="Times New Roman" w:hAnsi="Times New Roman" w:eastAsia="宋体"/>
          <w:bCs/>
          <w:color w:val="000000"/>
          <w:highlight w:val="none"/>
        </w:rPr>
        <w:t>寿命：</w:t>
      </w:r>
      <w:r>
        <w:rPr>
          <w:rFonts w:ascii="Times New Roman" w:hAnsi="Times New Roman" w:eastAsia="宋体"/>
          <w:color w:val="000000"/>
          <w:highlight w:val="none"/>
        </w:rPr>
        <w:t>投标母线产品的使用寿命不低于30年。</w:t>
      </w:r>
    </w:p>
    <w:p>
      <w:pPr>
        <w:pStyle w:val="19"/>
        <w:numPr>
          <w:ilvl w:val="3"/>
          <w:numId w:val="9"/>
        </w:numPr>
        <w:tabs>
          <w:tab w:val="left" w:pos="420"/>
        </w:tabs>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断路器品牌详见品牌清单。</w:t>
      </w:r>
    </w:p>
    <w:p>
      <w:pPr>
        <w:pStyle w:val="4"/>
        <w:rPr>
          <w:sz w:val="24"/>
          <w:szCs w:val="24"/>
          <w:highlight w:val="none"/>
        </w:rPr>
      </w:pPr>
      <w:bookmarkStart w:id="77" w:name="_Toc133335364"/>
      <w:r>
        <w:rPr>
          <w:rFonts w:hint="eastAsia"/>
          <w:sz w:val="24"/>
          <w:szCs w:val="24"/>
          <w:highlight w:val="none"/>
        </w:rPr>
        <w:t>5</w:t>
      </w:r>
      <w:r>
        <w:rPr>
          <w:sz w:val="24"/>
          <w:szCs w:val="24"/>
          <w:highlight w:val="none"/>
        </w:rPr>
        <w:t>.11.5母线技术资料</w:t>
      </w:r>
      <w:bookmarkEnd w:id="77"/>
      <w:r>
        <w:rPr>
          <w:sz w:val="24"/>
          <w:szCs w:val="24"/>
          <w:highlight w:val="none"/>
        </w:rPr>
        <w:t xml:space="preserve"> </w:t>
      </w:r>
    </w:p>
    <w:p>
      <w:pPr>
        <w:pStyle w:val="19"/>
        <w:tabs>
          <w:tab w:val="left" w:pos="420"/>
        </w:tabs>
        <w:spacing w:before="0" w:beforeAutospacing="0" w:after="0" w:afterAutospacing="0" w:line="360" w:lineRule="auto"/>
        <w:jc w:val="both"/>
        <w:rPr>
          <w:rFonts w:ascii="Times New Roman" w:hAnsi="Times New Roman" w:eastAsia="宋体"/>
          <w:bCs/>
          <w:color w:val="000000"/>
          <w:highlight w:val="none"/>
        </w:rPr>
      </w:pPr>
      <w:r>
        <w:rPr>
          <w:rFonts w:hint="eastAsia" w:ascii="Times New Roman" w:hAnsi="Times New Roman" w:eastAsia="宋体"/>
          <w:bCs/>
          <w:color w:val="000000"/>
          <w:highlight w:val="none"/>
        </w:rPr>
        <w:t>5</w:t>
      </w:r>
      <w:r>
        <w:rPr>
          <w:rFonts w:ascii="Times New Roman" w:hAnsi="Times New Roman" w:eastAsia="宋体"/>
          <w:bCs/>
          <w:color w:val="000000"/>
          <w:highlight w:val="none"/>
        </w:rPr>
        <w:t>.11.5.1投标方在货物出厂时，应随机附带下列技术文件（包含但不限于）：</w:t>
      </w:r>
    </w:p>
    <w:p>
      <w:pPr>
        <w:pStyle w:val="19"/>
        <w:numPr>
          <w:ilvl w:val="0"/>
          <w:numId w:val="10"/>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产品合格证；</w:t>
      </w:r>
    </w:p>
    <w:p>
      <w:pPr>
        <w:pStyle w:val="19"/>
        <w:numPr>
          <w:ilvl w:val="0"/>
          <w:numId w:val="10"/>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设备出厂检验报告；</w:t>
      </w:r>
    </w:p>
    <w:p>
      <w:pPr>
        <w:pStyle w:val="19"/>
        <w:numPr>
          <w:ilvl w:val="0"/>
          <w:numId w:val="10"/>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母线产品3C认证证书复印件；</w:t>
      </w:r>
    </w:p>
    <w:p>
      <w:pPr>
        <w:pStyle w:val="19"/>
        <w:numPr>
          <w:ilvl w:val="0"/>
          <w:numId w:val="10"/>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主要材料（铜母线、绝缘薄膜、绝缘隔板）的检验报告；</w:t>
      </w:r>
    </w:p>
    <w:p>
      <w:pPr>
        <w:pStyle w:val="19"/>
        <w:numPr>
          <w:ilvl w:val="0"/>
          <w:numId w:val="10"/>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装箱清单；</w:t>
      </w:r>
    </w:p>
    <w:p>
      <w:pPr>
        <w:pStyle w:val="19"/>
        <w:numPr>
          <w:ilvl w:val="0"/>
          <w:numId w:val="10"/>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母线装配图。</w:t>
      </w:r>
    </w:p>
    <w:p>
      <w:pPr>
        <w:pStyle w:val="19"/>
        <w:tabs>
          <w:tab w:val="left" w:pos="420"/>
        </w:tabs>
        <w:spacing w:before="0" w:beforeAutospacing="0" w:after="0" w:afterAutospacing="0" w:line="360" w:lineRule="auto"/>
        <w:jc w:val="both"/>
        <w:rPr>
          <w:rFonts w:ascii="Times New Roman" w:hAnsi="Times New Roman" w:eastAsia="宋体"/>
          <w:bCs/>
          <w:color w:val="000000"/>
          <w:highlight w:val="none"/>
        </w:rPr>
      </w:pPr>
      <w:r>
        <w:rPr>
          <w:rFonts w:hint="eastAsia" w:ascii="Times New Roman" w:hAnsi="Times New Roman" w:eastAsia="宋体"/>
          <w:bCs/>
          <w:color w:val="000000"/>
          <w:highlight w:val="none"/>
        </w:rPr>
        <w:t>5</w:t>
      </w:r>
      <w:r>
        <w:rPr>
          <w:rFonts w:ascii="Times New Roman" w:hAnsi="Times New Roman" w:eastAsia="宋体"/>
          <w:bCs/>
          <w:color w:val="000000"/>
          <w:highlight w:val="none"/>
        </w:rPr>
        <w:t xml:space="preserve">.11.5.2工程竣工后，投标方需招标方提供竣工资料，竣工资料包含但不限于以下内容： </w:t>
      </w:r>
    </w:p>
    <w:p>
      <w:pPr>
        <w:pStyle w:val="19"/>
        <w:numPr>
          <w:ilvl w:val="0"/>
          <w:numId w:val="11"/>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产品合格证书；</w:t>
      </w:r>
    </w:p>
    <w:p>
      <w:pPr>
        <w:pStyle w:val="19"/>
        <w:numPr>
          <w:ilvl w:val="0"/>
          <w:numId w:val="11"/>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设备出厂检验报告；</w:t>
      </w:r>
    </w:p>
    <w:p>
      <w:pPr>
        <w:pStyle w:val="19"/>
        <w:numPr>
          <w:ilvl w:val="0"/>
          <w:numId w:val="11"/>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母线产品3C认证证书复印件；</w:t>
      </w:r>
    </w:p>
    <w:p>
      <w:pPr>
        <w:pStyle w:val="19"/>
        <w:numPr>
          <w:ilvl w:val="0"/>
          <w:numId w:val="11"/>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主要材料（铜母线、绝缘薄膜、绝缘隔板）的检验报告；</w:t>
      </w:r>
    </w:p>
    <w:p>
      <w:pPr>
        <w:pStyle w:val="19"/>
        <w:numPr>
          <w:ilvl w:val="0"/>
          <w:numId w:val="11"/>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设备安装清单；</w:t>
      </w:r>
    </w:p>
    <w:p>
      <w:pPr>
        <w:pStyle w:val="19"/>
        <w:numPr>
          <w:ilvl w:val="0"/>
          <w:numId w:val="11"/>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设备安装调试记录；</w:t>
      </w:r>
    </w:p>
    <w:p>
      <w:pPr>
        <w:pStyle w:val="19"/>
        <w:numPr>
          <w:ilvl w:val="0"/>
          <w:numId w:val="11"/>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设备竣工图（含车间母线平面布置图和三维走向图；母线和插接箱的外形尺寸图；插接箱的插脚尺寸图；插接箱电动操作装置的原理图和接线图等）。</w:t>
      </w:r>
    </w:p>
    <w:p>
      <w:pPr>
        <w:pStyle w:val="4"/>
        <w:rPr>
          <w:sz w:val="24"/>
          <w:szCs w:val="24"/>
          <w:highlight w:val="none"/>
        </w:rPr>
      </w:pPr>
      <w:bookmarkStart w:id="78" w:name="_Toc133335365"/>
      <w:r>
        <w:rPr>
          <w:sz w:val="24"/>
          <w:szCs w:val="24"/>
          <w:highlight w:val="none"/>
        </w:rPr>
        <w:t>5.11.6 断路器技术要求</w:t>
      </w:r>
      <w:bookmarkEnd w:id="78"/>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框架断路器配置智能型控制器，额定极限短路分断能力要求≥80kA。塑壳断路器的额定极限短路分断能力要求为≥50kA。</w:t>
      </w:r>
    </w:p>
    <w:p>
      <w:pPr>
        <w:snapToGrid w:val="0"/>
        <w:spacing w:line="500" w:lineRule="exact"/>
        <w:rPr>
          <w:rFonts w:ascii="宋体" w:hAnsi="宋体"/>
          <w:b/>
          <w:sz w:val="28"/>
          <w:szCs w:val="28"/>
          <w:highlight w:val="none"/>
        </w:rPr>
      </w:pPr>
      <w:r>
        <w:rPr>
          <w:rFonts w:hint="eastAsia"/>
          <w:b/>
          <w:bCs/>
          <w:sz w:val="28"/>
          <w:szCs w:val="28"/>
          <w:highlight w:val="none"/>
        </w:rPr>
        <w:t>5</w:t>
      </w:r>
      <w:r>
        <w:rPr>
          <w:b/>
          <w:bCs/>
          <w:sz w:val="28"/>
          <w:szCs w:val="28"/>
          <w:highlight w:val="none"/>
        </w:rPr>
        <w:t>.1</w:t>
      </w:r>
      <w:r>
        <w:rPr>
          <w:rFonts w:ascii="宋体" w:hAnsi="宋体"/>
          <w:b/>
          <w:sz w:val="28"/>
          <w:szCs w:val="28"/>
          <w:highlight w:val="none"/>
        </w:rPr>
        <w:t>2</w:t>
      </w:r>
      <w:r>
        <w:rPr>
          <w:rFonts w:hint="eastAsia" w:ascii="宋体" w:hAnsi="宋体"/>
          <w:b/>
          <w:sz w:val="28"/>
          <w:szCs w:val="28"/>
          <w:highlight w:val="none"/>
        </w:rPr>
        <w:t>高压开关柜</w:t>
      </w:r>
    </w:p>
    <w:p>
      <w:pPr>
        <w:spacing w:line="500" w:lineRule="exact"/>
        <w:ind w:firstLine="210" w:firstLineChars="100"/>
        <w:rPr>
          <w:rFonts w:ascii="宋体" w:hAnsi="宋体"/>
          <w:szCs w:val="24"/>
          <w:highlight w:val="none"/>
        </w:rPr>
      </w:pPr>
      <w:r>
        <w:rPr>
          <w:rFonts w:hint="eastAsia" w:ascii="宋体" w:hAnsi="宋体"/>
          <w:szCs w:val="24"/>
          <w:highlight w:val="none"/>
        </w:rPr>
        <w:t>1</w:t>
      </w:r>
      <w:r>
        <w:rPr>
          <w:rFonts w:ascii="宋体" w:hAnsi="宋体"/>
          <w:szCs w:val="24"/>
          <w:highlight w:val="none"/>
        </w:rPr>
        <w:t>.2</w:t>
      </w:r>
      <w:r>
        <w:rPr>
          <w:rFonts w:hint="eastAsia" w:ascii="宋体" w:hAnsi="宋体"/>
          <w:szCs w:val="24"/>
          <w:highlight w:val="none"/>
        </w:rPr>
        <w:t>0KV开关柜为中性点不接地系统的正常电力操作及短路故障的开断。</w:t>
      </w:r>
    </w:p>
    <w:p>
      <w:pPr>
        <w:spacing w:line="500" w:lineRule="exact"/>
        <w:ind w:firstLine="210" w:firstLineChars="100"/>
        <w:rPr>
          <w:rFonts w:ascii="宋体" w:hAnsi="宋体"/>
          <w:szCs w:val="24"/>
          <w:highlight w:val="none"/>
        </w:rPr>
      </w:pPr>
      <w:r>
        <w:rPr>
          <w:rFonts w:hint="eastAsia" w:ascii="宋体" w:hAnsi="宋体"/>
          <w:szCs w:val="24"/>
          <w:highlight w:val="none"/>
        </w:rPr>
        <w:t>2</w:t>
      </w:r>
      <w:r>
        <w:rPr>
          <w:rFonts w:ascii="宋体" w:hAnsi="宋体"/>
          <w:szCs w:val="24"/>
          <w:highlight w:val="none"/>
        </w:rPr>
        <w:t>.</w:t>
      </w:r>
      <w:r>
        <w:rPr>
          <w:rFonts w:hint="eastAsia" w:ascii="宋体" w:hAnsi="宋体"/>
          <w:szCs w:val="24"/>
          <w:highlight w:val="none"/>
        </w:rPr>
        <w:t>柜型按KYN28A-12设计，20年免维护，配电装置结构符合技术规范要求，</w:t>
      </w:r>
      <w:r>
        <w:rPr>
          <w:rFonts w:hint="eastAsia" w:ascii="宋体" w:hAnsi="宋体"/>
          <w:color w:val="000000"/>
          <w:szCs w:val="24"/>
          <w:highlight w:val="none"/>
        </w:rPr>
        <w:t>需满足现场安装条件（参数按照设计图纸要求），确保供电局验收认可</w:t>
      </w:r>
      <w:r>
        <w:rPr>
          <w:rFonts w:hint="eastAsia" w:ascii="宋体" w:hAnsi="宋体"/>
          <w:szCs w:val="24"/>
          <w:highlight w:val="none"/>
        </w:rPr>
        <w:t>。</w:t>
      </w:r>
    </w:p>
    <w:p>
      <w:pPr>
        <w:ind w:firstLine="210" w:firstLineChars="100"/>
        <w:rPr>
          <w:rFonts w:ascii="宋体" w:hAnsi="宋体"/>
          <w:szCs w:val="24"/>
          <w:highlight w:val="none"/>
        </w:rPr>
      </w:pPr>
      <w:r>
        <w:rPr>
          <w:rFonts w:ascii="宋体" w:hAnsi="宋体"/>
          <w:szCs w:val="24"/>
          <w:highlight w:val="none"/>
        </w:rPr>
        <w:t>.</w:t>
      </w:r>
      <w:r>
        <w:rPr>
          <w:rFonts w:hint="eastAsia" w:ascii="宋体" w:hAnsi="宋体"/>
          <w:szCs w:val="24"/>
          <w:highlight w:val="none"/>
        </w:rPr>
        <w:t>3真空灭弧断路器安装在钢板结构的柜内，柜体采用螺接，柜板面应齐平。柜体设计应严格满足DL／T404-2007或优于该标准的相关条款要求。柜体外壳及各功能单元的隔板均用厚度≥2mm铝锌复合钢板，而且经LVD加工和弯折之后栓接而成。</w:t>
      </w:r>
    </w:p>
    <w:p>
      <w:pPr>
        <w:spacing w:line="500" w:lineRule="exact"/>
        <w:ind w:firstLine="210" w:firstLineChars="100"/>
        <w:rPr>
          <w:rFonts w:ascii="宋体" w:hAnsi="宋体"/>
          <w:szCs w:val="24"/>
          <w:highlight w:val="none"/>
        </w:rPr>
      </w:pPr>
      <w:r>
        <w:rPr>
          <w:rFonts w:hint="eastAsia" w:ascii="宋体" w:hAnsi="宋体"/>
          <w:szCs w:val="24"/>
          <w:highlight w:val="none"/>
        </w:rPr>
        <w:t>4</w:t>
      </w:r>
      <w:r>
        <w:rPr>
          <w:rFonts w:ascii="宋体" w:hAnsi="宋体"/>
          <w:szCs w:val="24"/>
          <w:highlight w:val="none"/>
        </w:rPr>
        <w:t>.</w:t>
      </w:r>
      <w:r>
        <w:rPr>
          <w:rFonts w:hint="eastAsia" w:ascii="宋体" w:hAnsi="宋体"/>
          <w:szCs w:val="24"/>
          <w:highlight w:val="none"/>
        </w:rPr>
        <w:t>必须提供主要元器件断路器厂家授权书。</w:t>
      </w:r>
    </w:p>
    <w:p>
      <w:pPr>
        <w:spacing w:line="500" w:lineRule="exact"/>
        <w:ind w:firstLine="210" w:firstLineChars="100"/>
        <w:rPr>
          <w:rFonts w:ascii="宋体" w:hAnsi="宋体"/>
          <w:szCs w:val="24"/>
          <w:highlight w:val="none"/>
        </w:rPr>
      </w:pPr>
      <w:r>
        <w:rPr>
          <w:rFonts w:hint="eastAsia" w:ascii="宋体" w:hAnsi="宋体"/>
          <w:szCs w:val="24"/>
          <w:highlight w:val="none"/>
        </w:rPr>
        <w:t>5</w:t>
      </w:r>
      <w:r>
        <w:rPr>
          <w:rFonts w:ascii="宋体" w:hAnsi="宋体"/>
          <w:szCs w:val="24"/>
          <w:highlight w:val="none"/>
        </w:rPr>
        <w:t>.</w:t>
      </w:r>
      <w:r>
        <w:rPr>
          <w:rFonts w:hint="eastAsia" w:ascii="宋体" w:hAnsi="宋体"/>
          <w:szCs w:val="24"/>
          <w:highlight w:val="none"/>
        </w:rPr>
        <w:t>须提供成套设备的凝露试验报告，需提供试验报告。</w:t>
      </w:r>
    </w:p>
    <w:p>
      <w:pPr>
        <w:ind w:firstLine="210" w:firstLineChars="100"/>
        <w:rPr>
          <w:rFonts w:ascii="宋体" w:hAnsi="宋体"/>
          <w:szCs w:val="24"/>
          <w:highlight w:val="none"/>
        </w:rPr>
      </w:pPr>
      <w:r>
        <w:rPr>
          <w:rFonts w:hint="eastAsia" w:ascii="宋体" w:hAnsi="宋体"/>
          <w:szCs w:val="24"/>
          <w:highlight w:val="none"/>
        </w:rPr>
        <w:t>6</w:t>
      </w:r>
      <w:r>
        <w:rPr>
          <w:rFonts w:ascii="宋体" w:hAnsi="宋体"/>
          <w:szCs w:val="24"/>
          <w:highlight w:val="none"/>
        </w:rPr>
        <w:t>.</w:t>
      </w:r>
      <w:r>
        <w:rPr>
          <w:rFonts w:hint="eastAsia" w:ascii="宋体" w:hAnsi="宋体"/>
          <w:szCs w:val="24"/>
          <w:highlight w:val="none"/>
        </w:rPr>
        <w:t>开关柜的电缆室、母线室和断路器室均需在权威试验机构通过31.5/1S的耐受电弧故障试验，确保设备和操作人员的安全，并提供证明及实验报告。</w:t>
      </w:r>
    </w:p>
    <w:p>
      <w:pPr>
        <w:ind w:firstLine="210" w:firstLineChars="100"/>
        <w:rPr>
          <w:rFonts w:ascii="宋体" w:hAnsi="宋体"/>
          <w:szCs w:val="24"/>
          <w:highlight w:val="none"/>
        </w:rPr>
      </w:pPr>
      <w:r>
        <w:rPr>
          <w:rFonts w:hint="eastAsia" w:ascii="宋体" w:hAnsi="宋体"/>
          <w:szCs w:val="24"/>
          <w:highlight w:val="none"/>
        </w:rPr>
        <w:t>7</w:t>
      </w:r>
      <w:r>
        <w:rPr>
          <w:rFonts w:ascii="宋体" w:hAnsi="宋体"/>
          <w:szCs w:val="24"/>
          <w:highlight w:val="none"/>
        </w:rPr>
        <w:t>.</w:t>
      </w:r>
      <w:r>
        <w:rPr>
          <w:rFonts w:hint="eastAsia" w:ascii="宋体" w:hAnsi="宋体"/>
          <w:szCs w:val="24"/>
          <w:highlight w:val="none"/>
        </w:rPr>
        <w:t>主母线采用圆弧角矩型母线，抗电动力强度高，电场均布。分支母线采用带圆角的铜母线，不会产生尖端放电，该母线强度高，抗拉性能好,弯折处不会产生裂缝；采用圆弧角矩形母排，铜纯度达99.95%,导电率不低于97%。</w:t>
      </w:r>
    </w:p>
    <w:p>
      <w:pPr>
        <w:ind w:firstLine="210" w:firstLineChars="100"/>
        <w:rPr>
          <w:rFonts w:ascii="宋体" w:hAnsi="宋体"/>
          <w:szCs w:val="24"/>
          <w:highlight w:val="none"/>
        </w:rPr>
      </w:pPr>
      <w:r>
        <w:rPr>
          <w:rFonts w:hint="eastAsia" w:ascii="宋体" w:hAnsi="宋体"/>
          <w:szCs w:val="24"/>
          <w:highlight w:val="none"/>
        </w:rPr>
        <w:t>8</w:t>
      </w:r>
      <w:r>
        <w:rPr>
          <w:rFonts w:ascii="宋体" w:hAnsi="宋体"/>
          <w:szCs w:val="24"/>
          <w:highlight w:val="none"/>
        </w:rPr>
        <w:t>.</w:t>
      </w:r>
      <w:r>
        <w:rPr>
          <w:rFonts w:hint="eastAsia" w:ascii="宋体" w:hAnsi="宋体"/>
          <w:szCs w:val="24"/>
          <w:highlight w:val="none"/>
        </w:rPr>
        <w:t>开关柜包括：母线室、断路器室、电缆室、控制仪表室。各室之间的防护等级为IP2X，绝缘材料选用耐电弧，耐高温、阻燃、低霉、不吸潮且具有良好机械强度和电气绝缘性能材料。断路器采用固封极柱式真空开关，安装方式为中置式。</w:t>
      </w:r>
    </w:p>
    <w:p>
      <w:pPr>
        <w:ind w:firstLine="210" w:firstLineChars="100"/>
        <w:rPr>
          <w:rFonts w:ascii="宋体" w:hAnsi="宋体"/>
          <w:szCs w:val="24"/>
          <w:highlight w:val="none"/>
        </w:rPr>
      </w:pPr>
      <w:r>
        <w:rPr>
          <w:rFonts w:hint="eastAsia" w:ascii="宋体" w:hAnsi="宋体"/>
          <w:szCs w:val="24"/>
          <w:highlight w:val="none"/>
        </w:rPr>
        <w:t>9</w:t>
      </w:r>
      <w:r>
        <w:rPr>
          <w:rFonts w:ascii="宋体" w:hAnsi="宋体"/>
          <w:szCs w:val="24"/>
          <w:highlight w:val="none"/>
        </w:rPr>
        <w:t>.</w:t>
      </w:r>
      <w:r>
        <w:rPr>
          <w:rFonts w:hint="eastAsia" w:ascii="宋体" w:hAnsi="宋体"/>
          <w:szCs w:val="24"/>
          <w:highlight w:val="none"/>
        </w:rPr>
        <w:t>开关柜小车位置（试验、运行、退出）、接地刀闸位置，断路器分、合闸位置，在小车或柜门上均有明确的位置指示器，其所带动的辅助开关及限位开关接点均符合微机监控的要求。</w:t>
      </w:r>
    </w:p>
    <w:p>
      <w:pPr>
        <w:ind w:firstLine="210" w:firstLineChars="100"/>
        <w:rPr>
          <w:rFonts w:ascii="宋体" w:hAnsi="宋体"/>
          <w:szCs w:val="24"/>
          <w:highlight w:val="none"/>
        </w:rPr>
      </w:pPr>
      <w:r>
        <w:rPr>
          <w:rFonts w:hint="eastAsia" w:ascii="宋体" w:hAnsi="宋体"/>
          <w:color w:val="000000"/>
          <w:szCs w:val="24"/>
          <w:highlight w:val="none"/>
        </w:rPr>
        <w:t>10</w:t>
      </w:r>
      <w:r>
        <w:rPr>
          <w:rFonts w:ascii="宋体" w:hAnsi="宋体"/>
          <w:color w:val="000000"/>
          <w:szCs w:val="24"/>
          <w:highlight w:val="none"/>
        </w:rPr>
        <w:t>.</w:t>
      </w:r>
      <w:r>
        <w:rPr>
          <w:rFonts w:hint="eastAsia" w:ascii="宋体" w:hAnsi="宋体"/>
          <w:szCs w:val="24"/>
          <w:highlight w:val="none"/>
        </w:rPr>
        <w:t>断路器安装在可移动的小车上，相同参数及结构的元件具有良好的互换性。</w:t>
      </w:r>
    </w:p>
    <w:p>
      <w:pPr>
        <w:ind w:firstLine="210" w:firstLineChars="100"/>
        <w:rPr>
          <w:rFonts w:ascii="宋体" w:hAnsi="宋体"/>
          <w:szCs w:val="24"/>
          <w:highlight w:val="none"/>
        </w:rPr>
      </w:pPr>
      <w:r>
        <w:rPr>
          <w:rFonts w:hint="eastAsia" w:ascii="宋体" w:hAnsi="宋体"/>
          <w:szCs w:val="24"/>
          <w:highlight w:val="none"/>
        </w:rPr>
        <w:t>11</w:t>
      </w:r>
      <w:r>
        <w:rPr>
          <w:rFonts w:ascii="宋体" w:hAnsi="宋体"/>
          <w:szCs w:val="24"/>
          <w:highlight w:val="none"/>
        </w:rPr>
        <w:t>.</w:t>
      </w:r>
      <w:r>
        <w:rPr>
          <w:rFonts w:hint="eastAsia" w:ascii="宋体" w:hAnsi="宋体"/>
          <w:szCs w:val="24"/>
          <w:highlight w:val="none"/>
        </w:rPr>
        <w:t>开关柜的金属隔板通过接地排可靠接地，接地导体和接地开关能耐受大于31.5KA,3s的短时耐受电流和80KA的峰值耐受电流。</w:t>
      </w:r>
    </w:p>
    <w:p>
      <w:pPr>
        <w:ind w:firstLine="210" w:firstLineChars="100"/>
        <w:rPr>
          <w:rFonts w:ascii="宋体" w:hAnsi="宋体"/>
          <w:szCs w:val="24"/>
          <w:highlight w:val="none"/>
        </w:rPr>
      </w:pPr>
      <w:r>
        <w:rPr>
          <w:rFonts w:hint="eastAsia" w:ascii="宋体" w:hAnsi="宋体"/>
          <w:szCs w:val="24"/>
          <w:highlight w:val="none"/>
        </w:rPr>
        <w:t>12</w:t>
      </w:r>
      <w:r>
        <w:rPr>
          <w:rFonts w:ascii="宋体" w:hAnsi="宋体"/>
          <w:szCs w:val="24"/>
          <w:highlight w:val="none"/>
        </w:rPr>
        <w:t>.</w:t>
      </w:r>
      <w:r>
        <w:rPr>
          <w:rFonts w:hint="eastAsia" w:ascii="宋体" w:hAnsi="宋体"/>
          <w:szCs w:val="24"/>
          <w:highlight w:val="none"/>
        </w:rPr>
        <w:t>在运行位置的隔离插头均能耐受额定短时耐受电流和额定峰值耐受电流的冲击，并保证接触良好。</w:t>
      </w:r>
    </w:p>
    <w:p>
      <w:pPr>
        <w:ind w:firstLine="210" w:firstLineChars="100"/>
        <w:rPr>
          <w:rFonts w:ascii="宋体" w:hAnsi="宋体"/>
          <w:szCs w:val="24"/>
          <w:highlight w:val="none"/>
        </w:rPr>
      </w:pPr>
      <w:r>
        <w:rPr>
          <w:rFonts w:hint="eastAsia" w:ascii="宋体" w:hAnsi="宋体"/>
          <w:szCs w:val="24"/>
          <w:highlight w:val="none"/>
        </w:rPr>
        <w:t>13</w:t>
      </w:r>
      <w:r>
        <w:rPr>
          <w:rFonts w:ascii="宋体" w:hAnsi="宋体"/>
          <w:szCs w:val="24"/>
          <w:highlight w:val="none"/>
        </w:rPr>
        <w:t>.</w:t>
      </w:r>
      <w:r>
        <w:rPr>
          <w:rFonts w:hint="eastAsia" w:ascii="宋体" w:hAnsi="宋体"/>
          <w:szCs w:val="24"/>
          <w:highlight w:val="none"/>
        </w:rPr>
        <w:t>当小车位于试验位置时，隔离插头完全断开，活门自动关闭。</w:t>
      </w:r>
    </w:p>
    <w:p>
      <w:pPr>
        <w:ind w:firstLine="210" w:firstLineChars="100"/>
        <w:rPr>
          <w:rFonts w:ascii="宋体" w:hAnsi="宋体"/>
          <w:szCs w:val="24"/>
          <w:highlight w:val="none"/>
        </w:rPr>
      </w:pPr>
      <w:r>
        <w:rPr>
          <w:rFonts w:hint="eastAsia" w:ascii="宋体" w:hAnsi="宋体"/>
          <w:szCs w:val="24"/>
          <w:highlight w:val="none"/>
        </w:rPr>
        <w:t>14</w:t>
      </w:r>
      <w:r>
        <w:rPr>
          <w:rFonts w:ascii="宋体" w:hAnsi="宋体"/>
          <w:szCs w:val="24"/>
          <w:highlight w:val="none"/>
        </w:rPr>
        <w:t>.</w:t>
      </w:r>
      <w:r>
        <w:rPr>
          <w:rFonts w:hint="eastAsia" w:ascii="宋体" w:hAnsi="宋体"/>
          <w:szCs w:val="24"/>
          <w:highlight w:val="none"/>
        </w:rPr>
        <w:t>开关柜为金属外壳，壳体防护等级IP4X，地板和墙壁均不作为壳体的一部分，电缆连接在柜体的下部进行，采用单根电缆出线，具有充裕的空间联接电缆。并标有相色及提供电缆进口的封板。</w:t>
      </w:r>
    </w:p>
    <w:p>
      <w:pPr>
        <w:ind w:firstLine="210" w:firstLineChars="100"/>
        <w:rPr>
          <w:rFonts w:ascii="宋体" w:hAnsi="宋体"/>
          <w:szCs w:val="24"/>
          <w:highlight w:val="none"/>
        </w:rPr>
      </w:pPr>
      <w:r>
        <w:rPr>
          <w:rFonts w:hint="eastAsia" w:ascii="宋体" w:hAnsi="宋体"/>
          <w:szCs w:val="24"/>
          <w:highlight w:val="none"/>
        </w:rPr>
        <w:t>15</w:t>
      </w:r>
      <w:r>
        <w:rPr>
          <w:rFonts w:ascii="宋体" w:hAnsi="宋体"/>
          <w:szCs w:val="24"/>
          <w:highlight w:val="none"/>
        </w:rPr>
        <w:t>.</w:t>
      </w:r>
      <w:r>
        <w:rPr>
          <w:rFonts w:hint="eastAsia" w:ascii="宋体" w:hAnsi="宋体"/>
          <w:szCs w:val="24"/>
          <w:highlight w:val="none"/>
        </w:rPr>
        <w:t xml:space="preserve">开关柜内部均采用钢板封闭母线室、仪表室、断路器室、电缆室并设有独立的过电压释放通道；开关柜宜从结构上考虑内故障电弧的影响，柜顶应设压力释放板。 </w:t>
      </w:r>
    </w:p>
    <w:p>
      <w:pPr>
        <w:ind w:firstLine="210" w:firstLineChars="100"/>
        <w:rPr>
          <w:rFonts w:ascii="宋体" w:hAnsi="宋体"/>
          <w:szCs w:val="24"/>
          <w:highlight w:val="none"/>
        </w:rPr>
      </w:pPr>
      <w:r>
        <w:rPr>
          <w:rFonts w:hint="eastAsia" w:ascii="宋体" w:hAnsi="宋体"/>
          <w:szCs w:val="24"/>
          <w:highlight w:val="none"/>
        </w:rPr>
        <w:t>16</w:t>
      </w:r>
      <w:r>
        <w:rPr>
          <w:rFonts w:ascii="宋体" w:hAnsi="宋体"/>
          <w:szCs w:val="24"/>
          <w:highlight w:val="none"/>
        </w:rPr>
        <w:t>.</w:t>
      </w:r>
      <w:r>
        <w:rPr>
          <w:rFonts w:hint="eastAsia" w:ascii="宋体" w:hAnsi="宋体"/>
          <w:szCs w:val="24"/>
          <w:highlight w:val="none"/>
        </w:rPr>
        <w:t>金属部件的接地：所有金属部件（包括所有安装在开关柜上继电器、仪表等）外壳均接地，接地线为铜导体，其截面应为30X8mm2。</w:t>
      </w:r>
    </w:p>
    <w:p>
      <w:pPr>
        <w:ind w:firstLine="210" w:firstLineChars="100"/>
        <w:rPr>
          <w:rFonts w:ascii="宋体" w:hAnsi="宋体"/>
          <w:szCs w:val="24"/>
          <w:highlight w:val="none"/>
        </w:rPr>
      </w:pPr>
      <w:r>
        <w:rPr>
          <w:rFonts w:hint="eastAsia" w:ascii="宋体" w:hAnsi="宋体"/>
          <w:szCs w:val="24"/>
          <w:highlight w:val="none"/>
        </w:rPr>
        <w:t>17</w:t>
      </w:r>
      <w:r>
        <w:rPr>
          <w:rFonts w:ascii="宋体" w:hAnsi="宋体"/>
          <w:szCs w:val="24"/>
          <w:highlight w:val="none"/>
        </w:rPr>
        <w:t>.</w:t>
      </w:r>
      <w:r>
        <w:rPr>
          <w:rFonts w:hint="eastAsia" w:ascii="宋体" w:hAnsi="宋体"/>
          <w:szCs w:val="24"/>
          <w:highlight w:val="none"/>
        </w:rPr>
        <w:t>接地设施：接地功能为开关柜整体设计的一部分，所有出线回路均配接地开关。</w:t>
      </w:r>
    </w:p>
    <w:p>
      <w:pPr>
        <w:ind w:firstLine="210" w:firstLineChars="100"/>
        <w:rPr>
          <w:rFonts w:ascii="宋体" w:hAnsi="宋体"/>
          <w:szCs w:val="24"/>
          <w:highlight w:val="none"/>
        </w:rPr>
      </w:pPr>
      <w:r>
        <w:rPr>
          <w:rFonts w:hint="eastAsia" w:ascii="宋体" w:hAnsi="宋体"/>
          <w:szCs w:val="24"/>
          <w:highlight w:val="none"/>
        </w:rPr>
        <w:t>18</w:t>
      </w:r>
      <w:r>
        <w:rPr>
          <w:rFonts w:ascii="宋体" w:hAnsi="宋体"/>
          <w:szCs w:val="24"/>
          <w:highlight w:val="none"/>
        </w:rPr>
        <w:t>.</w:t>
      </w:r>
      <w:r>
        <w:rPr>
          <w:rFonts w:hint="eastAsia" w:ascii="宋体" w:hAnsi="宋体"/>
          <w:szCs w:val="24"/>
          <w:highlight w:val="none"/>
        </w:rPr>
        <w:t>安全挡板：每台开关装配一套金属挡板，手车抽出时自动封住三相固定隔离插头，为满足试验要求，可将挡板置于打开位置，并能恢复到“合”的位置，装置在小车变位时移走，确保挡板自动开合的功能。</w:t>
      </w:r>
    </w:p>
    <w:p>
      <w:pPr>
        <w:ind w:firstLine="210" w:firstLineChars="100"/>
        <w:rPr>
          <w:rFonts w:ascii="仿宋_GB2312" w:eastAsia="仿宋_GB2312"/>
          <w:szCs w:val="24"/>
          <w:highlight w:val="none"/>
        </w:rPr>
      </w:pPr>
      <w:r>
        <w:rPr>
          <w:rFonts w:hint="eastAsia" w:ascii="宋体" w:hAnsi="宋体"/>
          <w:szCs w:val="24"/>
          <w:highlight w:val="none"/>
        </w:rPr>
        <w:t>19</w:t>
      </w:r>
      <w:r>
        <w:rPr>
          <w:rFonts w:ascii="宋体" w:hAnsi="宋体"/>
          <w:szCs w:val="24"/>
          <w:highlight w:val="none"/>
        </w:rPr>
        <w:t>.</w:t>
      </w:r>
      <w:r>
        <w:rPr>
          <w:rFonts w:hint="eastAsia" w:ascii="宋体" w:hAnsi="宋体"/>
          <w:szCs w:val="24"/>
          <w:highlight w:val="none"/>
        </w:rPr>
        <w:t>柜内布局合理，功能齐全，具有防止带负荷抽出或插入一次隔离触头、防止接地开关闭合时接通电源、防止手车在工作位置时带电关合接地开关、防止误入带电间隔、防止断路器误分误合“五防”功能。</w:t>
      </w:r>
    </w:p>
    <w:p>
      <w:pPr>
        <w:ind w:firstLine="210" w:firstLineChars="100"/>
        <w:rPr>
          <w:rFonts w:ascii="宋体" w:hAnsi="宋体"/>
          <w:szCs w:val="24"/>
          <w:highlight w:val="none"/>
        </w:rPr>
      </w:pPr>
      <w:r>
        <w:rPr>
          <w:rFonts w:hint="eastAsia" w:ascii="宋体" w:hAnsi="宋体"/>
          <w:szCs w:val="24"/>
          <w:highlight w:val="none"/>
        </w:rPr>
        <w:t>20</w:t>
      </w:r>
      <w:r>
        <w:rPr>
          <w:rFonts w:ascii="宋体" w:hAnsi="宋体"/>
          <w:szCs w:val="24"/>
          <w:highlight w:val="none"/>
        </w:rPr>
        <w:t>.</w:t>
      </w:r>
      <w:r>
        <w:rPr>
          <w:rFonts w:hint="eastAsia" w:ascii="宋体" w:hAnsi="宋体"/>
          <w:szCs w:val="24"/>
          <w:highlight w:val="none"/>
        </w:rPr>
        <w:t>开关柜所有的各种一次元件、灯具、按钮、转换开关、端子排等均符合GB及IEC标准。</w:t>
      </w:r>
    </w:p>
    <w:p>
      <w:pPr>
        <w:ind w:firstLine="210" w:firstLineChars="100"/>
        <w:rPr>
          <w:rFonts w:ascii="宋体" w:hAnsi="宋体"/>
          <w:szCs w:val="24"/>
          <w:highlight w:val="none"/>
        </w:rPr>
      </w:pPr>
      <w:r>
        <w:rPr>
          <w:rFonts w:hint="eastAsia" w:ascii="宋体" w:hAnsi="宋体"/>
          <w:szCs w:val="24"/>
          <w:highlight w:val="none"/>
        </w:rPr>
        <w:t>21</w:t>
      </w:r>
      <w:r>
        <w:rPr>
          <w:rFonts w:ascii="宋体" w:hAnsi="宋体"/>
          <w:szCs w:val="24"/>
          <w:highlight w:val="none"/>
        </w:rPr>
        <w:t>.</w:t>
      </w:r>
      <w:r>
        <w:rPr>
          <w:rFonts w:hint="eastAsia" w:ascii="宋体" w:hAnsi="宋体"/>
          <w:szCs w:val="24"/>
          <w:highlight w:val="none"/>
        </w:rPr>
        <w:t>断路器：真空断路器为三相手车，主回路及所有辅助回路的隔离插头均为免维护型。开关正常操作时，能够满足20年免维护基本要求。断路器的机械寿命满足GB1984-2003的M2等级要求，相同载流量的手车可互换。</w:t>
      </w:r>
    </w:p>
    <w:p>
      <w:pPr>
        <w:ind w:firstLine="210" w:firstLineChars="100"/>
        <w:rPr>
          <w:rFonts w:ascii="宋体" w:hAnsi="宋体"/>
          <w:szCs w:val="24"/>
          <w:highlight w:val="none"/>
        </w:rPr>
      </w:pPr>
      <w:r>
        <w:rPr>
          <w:rFonts w:hint="eastAsia" w:ascii="宋体" w:hAnsi="宋体"/>
          <w:szCs w:val="24"/>
          <w:highlight w:val="none"/>
        </w:rPr>
        <w:t>21.1断路器技术参数 （详见设计图纸要求）</w:t>
      </w:r>
    </w:p>
    <w:p>
      <w:pPr>
        <w:ind w:firstLine="210" w:firstLineChars="100"/>
        <w:rPr>
          <w:rFonts w:ascii="宋体" w:hAnsi="宋体"/>
          <w:szCs w:val="24"/>
          <w:highlight w:val="none"/>
        </w:rPr>
      </w:pPr>
      <w:r>
        <w:rPr>
          <w:rFonts w:hint="eastAsia" w:ascii="宋体" w:hAnsi="宋体"/>
          <w:szCs w:val="24"/>
          <w:highlight w:val="none"/>
        </w:rPr>
        <w:t>21.2操动机构设计机械防跳功能。</w:t>
      </w:r>
    </w:p>
    <w:p>
      <w:pPr>
        <w:ind w:firstLine="210" w:firstLineChars="100"/>
        <w:rPr>
          <w:rFonts w:ascii="宋体" w:hAnsi="宋体"/>
          <w:szCs w:val="24"/>
          <w:highlight w:val="none"/>
        </w:rPr>
      </w:pPr>
      <w:r>
        <w:rPr>
          <w:rFonts w:hint="eastAsia" w:ascii="宋体" w:hAnsi="宋体"/>
          <w:szCs w:val="24"/>
          <w:highlight w:val="none"/>
        </w:rPr>
        <w:t>21.3断路器在“合”或“分”位置，结构弹簧均能贮能，如果弹簧未完全贮能，断路器不能合闸，并提供一个可观察的指示来表示弹簧的状态。</w:t>
      </w:r>
    </w:p>
    <w:p>
      <w:pPr>
        <w:ind w:firstLine="210" w:firstLineChars="100"/>
        <w:rPr>
          <w:rFonts w:ascii="宋体" w:hAnsi="宋体"/>
          <w:szCs w:val="24"/>
          <w:highlight w:val="none"/>
        </w:rPr>
      </w:pPr>
      <w:r>
        <w:rPr>
          <w:rFonts w:hint="eastAsia" w:ascii="宋体" w:hAnsi="宋体"/>
          <w:szCs w:val="24"/>
          <w:highlight w:val="none"/>
        </w:rPr>
        <w:t>21.4直流电动机用来给弹簧机构自动贮能，断路器完全合闸后，机械操作弹簧立即自动开始贮能，在机构里，设计有一套紧急状况下的手动操作贮能装置。</w:t>
      </w:r>
    </w:p>
    <w:p>
      <w:pPr>
        <w:ind w:firstLine="210" w:firstLineChars="100"/>
        <w:rPr>
          <w:rFonts w:ascii="宋体" w:hAnsi="宋体"/>
          <w:szCs w:val="24"/>
          <w:highlight w:val="none"/>
        </w:rPr>
      </w:pPr>
      <w:r>
        <w:rPr>
          <w:rFonts w:hint="eastAsia" w:ascii="宋体" w:hAnsi="宋体"/>
          <w:szCs w:val="24"/>
          <w:highlight w:val="none"/>
        </w:rPr>
        <w:t>21.5断路器手车:与断路器室内的接地母排采用滑动连接方式，确保断路器手车处于任何位置时，均具备有效的接地方式与固定柜体相连。</w:t>
      </w:r>
    </w:p>
    <w:p>
      <w:pPr>
        <w:ind w:firstLine="210" w:firstLineChars="100"/>
        <w:rPr>
          <w:rFonts w:ascii="宋体" w:hAnsi="宋体"/>
          <w:szCs w:val="24"/>
          <w:highlight w:val="none"/>
        </w:rPr>
      </w:pPr>
      <w:r>
        <w:rPr>
          <w:rFonts w:hint="eastAsia" w:ascii="宋体" w:hAnsi="宋体"/>
          <w:szCs w:val="24"/>
          <w:highlight w:val="none"/>
        </w:rPr>
        <w:t>22</w:t>
      </w:r>
      <w:r>
        <w:rPr>
          <w:rFonts w:ascii="宋体" w:hAnsi="宋体"/>
          <w:szCs w:val="24"/>
          <w:highlight w:val="none"/>
        </w:rPr>
        <w:t>.</w:t>
      </w:r>
      <w:r>
        <w:rPr>
          <w:rFonts w:hint="eastAsia" w:ascii="宋体" w:hAnsi="宋体"/>
          <w:szCs w:val="24"/>
          <w:highlight w:val="none"/>
        </w:rPr>
        <w:t>开关柜二次部分</w:t>
      </w:r>
    </w:p>
    <w:p>
      <w:pPr>
        <w:ind w:firstLine="210" w:firstLineChars="100"/>
        <w:rPr>
          <w:rFonts w:ascii="宋体" w:hAnsi="宋体"/>
          <w:szCs w:val="24"/>
          <w:highlight w:val="none"/>
        </w:rPr>
      </w:pPr>
      <w:r>
        <w:rPr>
          <w:rFonts w:hint="eastAsia" w:ascii="宋体" w:hAnsi="宋体"/>
          <w:szCs w:val="24"/>
          <w:highlight w:val="none"/>
        </w:rPr>
        <w:t>22.1继电器室安装有一个照明装置，照明电源为交流220V，照明灯由行程开关自动控制。安装加热器防止凝露的产生,加热器全天24小时运行，由微断开关进行分合控制。</w:t>
      </w:r>
    </w:p>
    <w:p>
      <w:pPr>
        <w:ind w:firstLine="210" w:firstLineChars="100"/>
        <w:rPr>
          <w:rFonts w:ascii="宋体" w:hAnsi="宋体"/>
          <w:szCs w:val="24"/>
          <w:highlight w:val="none"/>
        </w:rPr>
      </w:pPr>
      <w:r>
        <w:rPr>
          <w:rFonts w:hint="eastAsia" w:ascii="宋体" w:hAnsi="宋体"/>
          <w:szCs w:val="24"/>
          <w:highlight w:val="none"/>
        </w:rPr>
        <w:t>22.2柜上信号指示灯选用节能型。</w:t>
      </w:r>
    </w:p>
    <w:p>
      <w:pPr>
        <w:ind w:firstLine="210" w:firstLineChars="100"/>
        <w:rPr>
          <w:rFonts w:ascii="宋体" w:hAnsi="宋体"/>
          <w:szCs w:val="24"/>
          <w:highlight w:val="none"/>
        </w:rPr>
      </w:pPr>
      <w:r>
        <w:rPr>
          <w:rFonts w:hint="eastAsia" w:ascii="宋体" w:hAnsi="宋体"/>
          <w:szCs w:val="24"/>
          <w:highlight w:val="none"/>
        </w:rPr>
        <w:t>22.3柜内有总量10%的空端子供用户使用，最少不少于10个。</w:t>
      </w:r>
    </w:p>
    <w:p>
      <w:pPr>
        <w:ind w:firstLine="210" w:firstLineChars="100"/>
        <w:rPr>
          <w:rFonts w:ascii="宋体" w:hAnsi="宋体"/>
          <w:szCs w:val="24"/>
          <w:highlight w:val="none"/>
        </w:rPr>
      </w:pPr>
      <w:r>
        <w:rPr>
          <w:rFonts w:hint="eastAsia" w:ascii="宋体" w:hAnsi="宋体"/>
          <w:szCs w:val="24"/>
          <w:highlight w:val="none"/>
        </w:rPr>
        <w:t>22.4继电器、仪表及操作按钮的安装位置位于开关柜仪表室门上，高度便于观察及操作。</w:t>
      </w:r>
    </w:p>
    <w:p>
      <w:pPr>
        <w:ind w:firstLine="210" w:firstLineChars="100"/>
        <w:rPr>
          <w:rFonts w:ascii="宋体" w:hAnsi="宋体"/>
          <w:szCs w:val="24"/>
          <w:highlight w:val="none"/>
        </w:rPr>
      </w:pPr>
      <w:r>
        <w:rPr>
          <w:rFonts w:hint="eastAsia" w:ascii="宋体" w:hAnsi="宋体"/>
          <w:szCs w:val="24"/>
          <w:highlight w:val="none"/>
        </w:rPr>
        <w:t>22.5每件设备的装配和接线，均考虑在不中断相邻设备正常运行的条件下，无阻碍的接触各机构器件，并能完成拆卸、更换工作，盘内所有设备的布置在不需要专用工具的情况下，可方便地接触其接线端子，接线端子号清晰可见。</w:t>
      </w:r>
    </w:p>
    <w:p>
      <w:pPr>
        <w:ind w:firstLine="210" w:firstLineChars="100"/>
        <w:rPr>
          <w:rFonts w:ascii="宋体" w:hAnsi="宋体"/>
          <w:szCs w:val="24"/>
          <w:highlight w:val="none"/>
        </w:rPr>
      </w:pPr>
      <w:r>
        <w:rPr>
          <w:rFonts w:hint="eastAsia" w:ascii="宋体" w:hAnsi="宋体"/>
          <w:szCs w:val="24"/>
          <w:highlight w:val="none"/>
        </w:rPr>
        <w:t>23</w:t>
      </w:r>
      <w:r>
        <w:rPr>
          <w:rFonts w:ascii="宋体" w:hAnsi="宋体"/>
          <w:szCs w:val="24"/>
          <w:highlight w:val="none"/>
        </w:rPr>
        <w:t>.</w:t>
      </w:r>
      <w:r>
        <w:rPr>
          <w:rFonts w:hint="eastAsia" w:ascii="宋体" w:hAnsi="宋体"/>
          <w:szCs w:val="24"/>
          <w:highlight w:val="none"/>
        </w:rPr>
        <w:t>开关柜保护采用微机型综合保护装置：</w:t>
      </w:r>
    </w:p>
    <w:p>
      <w:pPr>
        <w:ind w:firstLine="210" w:firstLineChars="100"/>
        <w:rPr>
          <w:rFonts w:ascii="宋体" w:hAnsi="宋体"/>
          <w:szCs w:val="24"/>
          <w:highlight w:val="none"/>
        </w:rPr>
      </w:pPr>
      <w:r>
        <w:rPr>
          <w:rFonts w:hint="eastAsia" w:ascii="宋体" w:hAnsi="宋体"/>
          <w:szCs w:val="24"/>
          <w:highlight w:val="none"/>
        </w:rPr>
        <w:t>23.1本项目具有极高安全可靠供电保证要求，微机保护测控装置要求国内知名一线品牌产品，且与柜体同品牌。见表格。</w:t>
      </w:r>
    </w:p>
    <w:p>
      <w:pPr>
        <w:ind w:firstLine="210" w:firstLineChars="100"/>
        <w:rPr>
          <w:rFonts w:ascii="宋体" w:hAnsi="宋体"/>
          <w:szCs w:val="24"/>
          <w:highlight w:val="none"/>
        </w:rPr>
      </w:pPr>
      <w:r>
        <w:rPr>
          <w:rFonts w:hint="eastAsia" w:ascii="宋体" w:hAnsi="宋体"/>
          <w:szCs w:val="24"/>
          <w:highlight w:val="none"/>
        </w:rPr>
        <w:t>23.2额定参数：</w:t>
      </w:r>
    </w:p>
    <w:p>
      <w:pPr>
        <w:ind w:firstLine="560"/>
        <w:rPr>
          <w:rFonts w:ascii="宋体" w:hAnsi="宋体"/>
          <w:szCs w:val="24"/>
          <w:highlight w:val="none"/>
        </w:rPr>
      </w:pPr>
      <w:r>
        <w:rPr>
          <w:rFonts w:hint="eastAsia" w:ascii="宋体" w:hAnsi="宋体"/>
          <w:szCs w:val="24"/>
          <w:highlight w:val="none"/>
        </w:rPr>
        <w:t xml:space="preserve">     交流电流：5A</w:t>
      </w:r>
    </w:p>
    <w:p>
      <w:pPr>
        <w:ind w:firstLine="560"/>
        <w:rPr>
          <w:rFonts w:ascii="宋体" w:hAnsi="宋体"/>
          <w:szCs w:val="24"/>
          <w:highlight w:val="none"/>
        </w:rPr>
      </w:pPr>
      <w:r>
        <w:rPr>
          <w:rFonts w:hint="eastAsia" w:ascii="宋体" w:hAnsi="宋体"/>
          <w:szCs w:val="24"/>
          <w:highlight w:val="none"/>
        </w:rPr>
        <w:t xml:space="preserve">     交流电压：100V，</w:t>
      </w:r>
    </w:p>
    <w:p>
      <w:pPr>
        <w:ind w:firstLine="560"/>
        <w:rPr>
          <w:rFonts w:ascii="宋体" w:hAnsi="宋体"/>
          <w:szCs w:val="24"/>
          <w:highlight w:val="none"/>
        </w:rPr>
      </w:pPr>
      <w:r>
        <w:rPr>
          <w:rFonts w:hint="eastAsia" w:ascii="宋体" w:hAnsi="宋体"/>
          <w:szCs w:val="24"/>
          <w:highlight w:val="none"/>
        </w:rPr>
        <w:t xml:space="preserve">     额定频率：50Hz</w:t>
      </w:r>
    </w:p>
    <w:p>
      <w:pPr>
        <w:ind w:firstLine="560"/>
        <w:rPr>
          <w:rFonts w:ascii="宋体" w:hAnsi="宋体"/>
          <w:szCs w:val="24"/>
          <w:highlight w:val="none"/>
        </w:rPr>
      </w:pPr>
      <w:r>
        <w:rPr>
          <w:rFonts w:hint="eastAsia" w:ascii="仿宋_GB2312" w:eastAsia="仿宋_GB2312"/>
          <w:szCs w:val="24"/>
          <w:highlight w:val="none"/>
        </w:rPr>
        <w:t xml:space="preserve">     </w:t>
      </w:r>
      <w:r>
        <w:rPr>
          <w:rFonts w:hint="eastAsia" w:ascii="宋体" w:hAnsi="宋体"/>
          <w:szCs w:val="24"/>
          <w:highlight w:val="none"/>
        </w:rPr>
        <w:t>直流电源额定电压：48V</w:t>
      </w:r>
    </w:p>
    <w:p>
      <w:pPr>
        <w:ind w:firstLine="210" w:firstLineChars="100"/>
        <w:rPr>
          <w:rFonts w:ascii="宋体" w:hAnsi="宋体"/>
          <w:szCs w:val="24"/>
          <w:highlight w:val="none"/>
        </w:rPr>
      </w:pPr>
      <w:r>
        <w:rPr>
          <w:rFonts w:hint="eastAsia" w:ascii="宋体" w:hAnsi="宋体"/>
          <w:szCs w:val="24"/>
          <w:highlight w:val="none"/>
        </w:rPr>
        <w:t>23.3过载能力</w:t>
      </w:r>
    </w:p>
    <w:p>
      <w:pPr>
        <w:ind w:firstLine="980"/>
        <w:rPr>
          <w:rFonts w:ascii="宋体" w:hAnsi="宋体"/>
          <w:szCs w:val="24"/>
          <w:highlight w:val="none"/>
        </w:rPr>
      </w:pPr>
      <w:r>
        <w:rPr>
          <w:rFonts w:hint="eastAsia" w:ascii="宋体" w:hAnsi="宋体"/>
          <w:szCs w:val="24"/>
          <w:highlight w:val="none"/>
        </w:rPr>
        <w:t>交流电流回路：2倍额定电压流    连续工作</w:t>
      </w:r>
    </w:p>
    <w:p>
      <w:pPr>
        <w:ind w:firstLine="560"/>
        <w:rPr>
          <w:rFonts w:ascii="宋体" w:hAnsi="宋体"/>
          <w:szCs w:val="24"/>
          <w:highlight w:val="none"/>
        </w:rPr>
      </w:pPr>
      <w:r>
        <w:rPr>
          <w:rFonts w:hint="eastAsia" w:ascii="宋体" w:hAnsi="宋体"/>
          <w:szCs w:val="24"/>
          <w:highlight w:val="none"/>
        </w:rPr>
        <w:t xml:space="preserve">                 10倍额定电流     允许10s</w:t>
      </w:r>
    </w:p>
    <w:p>
      <w:pPr>
        <w:ind w:firstLine="560"/>
        <w:rPr>
          <w:rFonts w:ascii="宋体" w:hAnsi="宋体"/>
          <w:szCs w:val="24"/>
          <w:highlight w:val="none"/>
        </w:rPr>
      </w:pPr>
      <w:r>
        <w:rPr>
          <w:rFonts w:hint="eastAsia" w:ascii="宋体" w:hAnsi="宋体"/>
          <w:szCs w:val="24"/>
          <w:highlight w:val="none"/>
        </w:rPr>
        <w:t xml:space="preserve">                 40倍额定电流     允许1s</w:t>
      </w:r>
    </w:p>
    <w:p>
      <w:pPr>
        <w:ind w:firstLine="980"/>
        <w:rPr>
          <w:rFonts w:ascii="宋体" w:hAnsi="宋体"/>
          <w:szCs w:val="24"/>
          <w:highlight w:val="none"/>
        </w:rPr>
      </w:pPr>
      <w:r>
        <w:rPr>
          <w:rFonts w:hint="eastAsia" w:ascii="宋体" w:hAnsi="宋体"/>
          <w:szCs w:val="24"/>
          <w:highlight w:val="none"/>
        </w:rPr>
        <w:t>交流电压回路：1.2倍额定电压    连续工作</w:t>
      </w:r>
    </w:p>
    <w:p>
      <w:pPr>
        <w:ind w:firstLine="980"/>
        <w:rPr>
          <w:rFonts w:ascii="宋体" w:hAnsi="宋体"/>
          <w:szCs w:val="24"/>
          <w:highlight w:val="none"/>
        </w:rPr>
      </w:pPr>
      <w:r>
        <w:rPr>
          <w:rFonts w:hint="eastAsia" w:ascii="宋体" w:hAnsi="宋体"/>
          <w:szCs w:val="24"/>
          <w:highlight w:val="none"/>
        </w:rPr>
        <w:t>直流电源回路：80%~110%额定电压  连续工作</w:t>
      </w:r>
    </w:p>
    <w:p>
      <w:pPr>
        <w:ind w:firstLine="210" w:firstLineChars="100"/>
        <w:rPr>
          <w:rFonts w:ascii="宋体" w:hAnsi="宋体"/>
          <w:szCs w:val="24"/>
          <w:highlight w:val="none"/>
        </w:rPr>
      </w:pPr>
      <w:r>
        <w:rPr>
          <w:rFonts w:hint="eastAsia" w:ascii="宋体" w:hAnsi="宋体"/>
          <w:szCs w:val="24"/>
          <w:highlight w:val="none"/>
        </w:rPr>
        <w:t>23.4继电保护基本配置：线路保护装置应具有三段电流保护（速断、限时电流速断保护、过流保护）；反时限过流保护；过负荷、零序电流保护；三相一次自动重合闸等保护功能，具有遥测、遥控、遥信功能。保护测控装置具有标准的RS485通讯接口，支持标准的MODBUS通讯协议。</w:t>
      </w:r>
    </w:p>
    <w:p>
      <w:pPr>
        <w:ind w:firstLine="210" w:firstLineChars="100"/>
        <w:rPr>
          <w:rFonts w:ascii="宋体" w:hAnsi="宋体"/>
          <w:szCs w:val="24"/>
          <w:highlight w:val="none"/>
        </w:rPr>
      </w:pPr>
      <w:r>
        <w:rPr>
          <w:rFonts w:hint="eastAsia" w:ascii="宋体" w:hAnsi="宋体"/>
          <w:szCs w:val="24"/>
          <w:highlight w:val="none"/>
        </w:rPr>
        <w:t>23.5制造商需确保和配合变配电监控及管理系统的完善和稳定，必须开放通讯接口。</w:t>
      </w:r>
    </w:p>
    <w:p>
      <w:pPr>
        <w:ind w:firstLine="210" w:firstLineChars="100"/>
        <w:rPr>
          <w:rFonts w:ascii="宋体" w:hAnsi="宋体"/>
          <w:szCs w:val="24"/>
          <w:highlight w:val="none"/>
        </w:rPr>
      </w:pPr>
      <w:r>
        <w:rPr>
          <w:rFonts w:hint="eastAsia" w:ascii="宋体" w:hAnsi="宋体"/>
          <w:szCs w:val="24"/>
          <w:highlight w:val="none"/>
        </w:rPr>
        <w:t>24</w:t>
      </w:r>
      <w:r>
        <w:rPr>
          <w:rFonts w:ascii="宋体" w:hAnsi="宋体"/>
          <w:szCs w:val="24"/>
          <w:highlight w:val="none"/>
        </w:rPr>
        <w:t>.</w:t>
      </w:r>
      <w:r>
        <w:rPr>
          <w:rFonts w:hint="eastAsia" w:ascii="宋体" w:hAnsi="宋体"/>
          <w:szCs w:val="24"/>
          <w:highlight w:val="none"/>
        </w:rPr>
        <w:t>其他方面要求（按照设计图纸）</w:t>
      </w:r>
    </w:p>
    <w:p>
      <w:pPr>
        <w:pStyle w:val="3"/>
        <w:rPr>
          <w:sz w:val="28"/>
          <w:szCs w:val="28"/>
          <w:highlight w:val="none"/>
        </w:rPr>
      </w:pPr>
      <w:bookmarkStart w:id="79" w:name="_Toc133335366"/>
      <w:r>
        <w:rPr>
          <w:sz w:val="28"/>
          <w:szCs w:val="28"/>
          <w:highlight w:val="none"/>
        </w:rPr>
        <w:t>5.13 低压配电柜技术要求</w:t>
      </w:r>
      <w:bookmarkEnd w:id="79"/>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低压柜型式为MNS抽出型（标准型，不得选用经济型MNS，外型尺寸与图纸要求基本相符），采用高强度阻燃型工程塑料功能板，标准模数化设计，成型C型材，柜体的全部金属结构件都需采用敷铝锌板（森吉米尔镀锌板）制成，侧板由厚2mm优质冷板制成，并作环氧树脂静电粉末喷涂，需提供该产品的3C质量认证。</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设计使用寿命≥20年。</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柜体、骨架、抽屉、隔板等采用进口敷铝锌钢板组装而成，面板采用优质冷轧钢板制作，表面静电粉末喷塑亚光处理，喷塑厚度不小于80微米，颜色为骆灰色（劳尔色卡号：RAL7035）。所有板材厚度均不小于2mm，柜体表面抗冲击、耐腐蚀。柜外壳防护等级为IP40。</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柜体框架及金属结构件，均应具有足够的强度和刚度，能承受所安装、运行及短路时所产生的机械应力、热应力和电动力。</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抽出式单元均需具有完善可靠的电气和机械连锁功能，能有效防止误操作。</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配电设备所使用铜排含铜量≥99.95%，提供铜排材质检测报告。柜内所有铜排均需采用绝缘热缩套管，搭接部位压花。</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本系统为TN-S系统，N及PE线安装在柜下部和垂直安装在电缆室中，用绝缘子作固定，N及PE排上均开有模数孔。</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开关柜的进出线采用电缆或封闭母线槽方式，并能直接进行连接。</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功能单元里的断路器全部采用电子脱扣器，且有宽阔的调节范围。同类型功能单元具有互换性，一旦发生故障，可在系统通电情况下更换故障开关，迅速恢复供电。</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保护导体应能承受装置的运输、安装时受的机械应力和在单相接地短路事故中所产生的机械应力和热应力，其保护电路的连续性不被破坏。</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柜内所用的绝缘导线应为阻燃型耐热铜质多股绞线，柜内一般配线应用1.5mm²绝缘导线（电流回路为2.5 mm²），可动部分的过渡应柔软，并能承受住挠曲而不致损坏。</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投标人负责完成屏/柜面的模拟单线图，电气连锁接线，予留进线柜侧板变压器铜牌进线位置和考虑铜牌连接措施。</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所有按钮，指示灯及仪表，必须做压克力铭牌标示，所有标识要清楚明了。</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防护等级达到IP32，表面处理为静电喷涂，门开启度为0--180度。</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主母排需做防涡流处理，单元抽屉触头按提升一个等级安装。</w:t>
      </w:r>
    </w:p>
    <w:p>
      <w:pPr>
        <w:pStyle w:val="19"/>
        <w:numPr>
          <w:ilvl w:val="0"/>
          <w:numId w:val="12"/>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制造商需确保和配合变配电监控及管理系统的完善和稳定，必须开放通讯接口。</w:t>
      </w:r>
    </w:p>
    <w:p>
      <w:pPr>
        <w:pStyle w:val="4"/>
        <w:rPr>
          <w:sz w:val="24"/>
          <w:szCs w:val="24"/>
          <w:highlight w:val="none"/>
        </w:rPr>
      </w:pPr>
      <w:bookmarkStart w:id="80" w:name="_Toc133335367"/>
      <w:r>
        <w:rPr>
          <w:rFonts w:hint="eastAsia"/>
          <w:sz w:val="24"/>
          <w:szCs w:val="24"/>
          <w:highlight w:val="none"/>
        </w:rPr>
        <w:t>5</w:t>
      </w:r>
      <w:r>
        <w:rPr>
          <w:sz w:val="24"/>
          <w:szCs w:val="24"/>
          <w:highlight w:val="none"/>
        </w:rPr>
        <w:t>.13.1直流屏</w:t>
      </w:r>
      <w:bookmarkEnd w:id="80"/>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.13.1.1配电房二次系统采用微机保护装置，保护监控装置就地安装，并有后台机控制系统，操作控制电源采用直流220V，直流柜蓄电池容量以设计图纸为准，并具备后台通讯功能。</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.13.1.2直流装置采用程控高频开关电源直流系统。该系统作为变电站内断路器的弹操机构、微机保护装置、通讯等设备的电源。直流装置应具有通讯功能。</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.13.1.3配电房采用的直流装置的系统配置、选型及设计应符合国际IEC标准、国际工业标准和国内标准。</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.13.1.4蓄电池采用高性能免维护铅酸蓄电池。蓄电池不设端电池，具有自动充放电、活化和调压功能。</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.13.1.5系统内应设有完备的缺相、过压、欠压以及蓄电池放电终止等保护功能，对负载供电和蓄电池充电有限流措施。</w:t>
      </w:r>
    </w:p>
    <w:p>
      <w:pPr>
        <w:pStyle w:val="4"/>
        <w:rPr>
          <w:sz w:val="24"/>
          <w:szCs w:val="24"/>
          <w:highlight w:val="none"/>
        </w:rPr>
      </w:pPr>
      <w:bookmarkStart w:id="81" w:name="_Toc133335368"/>
      <w:r>
        <w:rPr>
          <w:rFonts w:hint="eastAsia"/>
          <w:sz w:val="24"/>
          <w:szCs w:val="24"/>
          <w:highlight w:val="none"/>
        </w:rPr>
        <w:t>5</w:t>
      </w:r>
      <w:r>
        <w:rPr>
          <w:sz w:val="24"/>
          <w:szCs w:val="24"/>
          <w:highlight w:val="none"/>
        </w:rPr>
        <w:t>.13.2主要低压元器件</w:t>
      </w:r>
      <w:bookmarkEnd w:id="81"/>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.13.2.1框架断路器、塑壳断路器、微型断路器均为同一品牌，框架断路器配置智能型控制器，额定极限短路分断能力要求≥80kA。塑壳断路器的额定极限短路分断能力要求为≥50kA。</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13.2.2断路器应为模块化结构设计、安装方便，并可在不拆卸塑壳断路器外壳的情况下加装各种附件（如分励脱扣器、辅助触头、报警触头）而无需改变断路器结构和低压开关柜结构。断路器无飞弧或飞弧距离不大于50㎜。</w:t>
      </w:r>
    </w:p>
    <w:p>
      <w:pPr>
        <w:pStyle w:val="4"/>
        <w:rPr>
          <w:sz w:val="24"/>
          <w:szCs w:val="24"/>
          <w:highlight w:val="none"/>
        </w:rPr>
      </w:pPr>
      <w:bookmarkStart w:id="82" w:name="_Toc133335369"/>
      <w:r>
        <w:rPr>
          <w:sz w:val="24"/>
          <w:szCs w:val="24"/>
          <w:highlight w:val="none"/>
        </w:rPr>
        <w:t>5.13.3 低压静止无功发生成套装置和有源滤波器技术要求</w:t>
      </w:r>
      <w:bookmarkEnd w:id="82"/>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功率因数必须满足供电部门的要求，且要对谐波污染做出治理，均为成套供应。</w:t>
      </w:r>
    </w:p>
    <w:p>
      <w:pPr>
        <w:rPr>
          <w:highlight w:val="none"/>
        </w:rPr>
      </w:pPr>
      <w:r>
        <w:rPr>
          <w:highlight w:val="none"/>
        </w:rPr>
        <w:t xml:space="preserve">5.13.3.1静止无功发生成套装置 </w:t>
      </w:r>
    </w:p>
    <w:p>
      <w:pPr>
        <w:pStyle w:val="19"/>
        <w:numPr>
          <w:ilvl w:val="0"/>
          <w:numId w:val="1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额定工作电压：AC400V （-20%～+15%） ，额定工作频率：50Hz（-10%～+10%）</w:t>
      </w:r>
    </w:p>
    <w:p>
      <w:pPr>
        <w:pStyle w:val="19"/>
        <w:numPr>
          <w:ilvl w:val="0"/>
          <w:numId w:val="1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全响应时间：＜10ms，补偿无功：-1~+1可调，补偿三相不平衡：100%不平衡完全补偿。</w:t>
      </w:r>
    </w:p>
    <w:p>
      <w:pPr>
        <w:pStyle w:val="19"/>
        <w:numPr>
          <w:ilvl w:val="0"/>
          <w:numId w:val="1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外部采样电流互感器：优于0.5级精度，专用精密互感器（频带范围：35-3500HZ）</w:t>
      </w:r>
    </w:p>
    <w:p>
      <w:pPr>
        <w:pStyle w:val="19"/>
        <w:numPr>
          <w:ilvl w:val="0"/>
          <w:numId w:val="1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装置功率损耗：额定满载运行时，损耗不超过3%，冷却方式：智能风冷，通讯方式：RS232、485、Modbus协议、TCP/IP可选，通讯接口：RS485，网口，上位机软件：所有参数可通过上位机设置，故障报警：需要有故障报警功能，并且可以存储报警记录；各模块可独立监控也可以整机集中监控。</w:t>
      </w:r>
    </w:p>
    <w:p>
      <w:pPr>
        <w:pStyle w:val="19"/>
        <w:numPr>
          <w:ilvl w:val="0"/>
          <w:numId w:val="1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补偿方式：具有全部补偿、指定补偿（次数、容量分配），可选择无功补偿功能</w:t>
      </w:r>
    </w:p>
    <w:p>
      <w:pPr>
        <w:pStyle w:val="19"/>
        <w:numPr>
          <w:ilvl w:val="0"/>
          <w:numId w:val="1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防护等级：IP20，噪音：≤65dB(额定工况下1m距离)，保护功能：过压、欠压、过热、过流、短路等多种保护，结构要求：柜体为落地安装，必须以开关柜的形式提供，柜型、尺寸、颜色必须与所安装位置配电室中的开关柜统一，需采用模块化设计，便于后期的安装维护。人机界面：采用中文显示触摸屏式操作界面，高清晰彩色点阵LCD触摸屏。制造商需确保和配合变配电监控及管理系统的完善和稳定，必须开放通讯接口。</w:t>
      </w:r>
    </w:p>
    <w:p>
      <w:pPr>
        <w:rPr>
          <w:highlight w:val="none"/>
        </w:rPr>
      </w:pPr>
      <w:r>
        <w:rPr>
          <w:highlight w:val="none"/>
        </w:rPr>
        <w:t>5.13.3.2有源滤波器成套装置</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额定工作电压：AC380V -20%～+15%，额定工作频率：50Hz±2.5Hz。</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在三相四线制系统中应用，需滤除中性线谐波，开关频率：等效开关频率≥20kHz。</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滤波范围：从第2到第51次谐波可选，可根据需要设定需要滤波的谐波次数和消除和谐波的目标值，瞬时响应时间：＜1ms；全响应时间：＜10ms，治理后：THDi ≤5%。</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装置功率损耗：额定满载运行时，损耗不超过3%，补偿方式：具有全部补偿、指定补偿（次数、容量分配），可选择无功补偿功能，装置输出每次谐波电流均可限幅，提高装置利用率，有源滤波器采用模块化结构，当其中任一模块发生故障时，不影响其他模块的正常运行，保证装置运行的可靠性，并可方便地通过增加功率模块实现在原柜内扩容，装置可实现在线维护，不需要装置断电即能完成模块更换，保证配电系统中其他设备正常运行，有源电力滤波器应具备完整的保护装置，包括过载、过电流、短路等，以及具备系统自诊断功能。</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具有缓启动控制回路，以避免启动瞬间过大的突入电流，并限制该电流在额定范围之间。</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当系统负载的谐波量大于滤波器补偿能力时，滤波器仍应根据本体容量输出额定电流，继续有效滤波，不发生超载或导致设备损坏而退出运行；</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有源电力滤波器应具有液晶显示器（触摸屏或操作键的人机界面，液晶屏大于5英寸）。液晶显示及操作界面应置于成套装置表面，方便进行参数设置、状态改变、信息查看等操作，并能显示运行状况、测量数据、故障报警等信息。</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有源电力滤波器自身的高频载波不能回馈到电网，对其它系统和设备没有干扰。</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有源滤波装置的IGBT功率变换模块电路采用三电平拓扑结构，能自动根据电网运行方式的变化和负载的波动调整输出，以抵消电网中的谐波。</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有源滤波器输入端设置可靠的雷击浪涌保护装置，在操作过电压发生时，保护装置起到保护作用，不损坏设备。有源滤波器自身的控制装置也设置了防浪涌的措施，通过抗干扰试验。</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控制算法采用瞬时无功功率或FFT算法，使装置补偿效果更好，成熟稳定可靠性更高。</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有源滤波器柜内控制器和能量模块之间宜采用光纤通信，以提高数据传输的抗干扰能力。</w:t>
      </w:r>
    </w:p>
    <w:p>
      <w:pPr>
        <w:pStyle w:val="19"/>
        <w:numPr>
          <w:ilvl w:val="0"/>
          <w:numId w:val="1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制造商需确保和配合变配电监控及管理系统的完善和稳定，必须开放通讯接口。</w:t>
      </w:r>
    </w:p>
    <w:p>
      <w:pPr>
        <w:snapToGrid w:val="0"/>
        <w:spacing w:line="440" w:lineRule="atLeast"/>
        <w:rPr>
          <w:b/>
          <w:bCs/>
          <w:highlight w:val="none"/>
        </w:rPr>
      </w:pPr>
      <w:r>
        <w:rPr>
          <w:b/>
          <w:highlight w:val="none"/>
        </w:rPr>
        <w:t>5.13.3.3</w:t>
      </w:r>
      <w:r>
        <w:rPr>
          <w:rFonts w:hint="eastAsia"/>
          <w:b/>
          <w:bCs/>
          <w:highlight w:val="none"/>
        </w:rPr>
        <w:t>元器件：</w:t>
      </w:r>
    </w:p>
    <w:p>
      <w:pPr>
        <w:snapToGrid w:val="0"/>
        <w:spacing w:line="440" w:lineRule="atLeast"/>
        <w:ind w:firstLine="420" w:firstLineChars="200"/>
        <w:rPr>
          <w:color w:val="000000"/>
          <w:szCs w:val="24"/>
          <w:highlight w:val="none"/>
        </w:rPr>
      </w:pPr>
      <w:r>
        <w:rPr>
          <w:rFonts w:hint="eastAsia"/>
          <w:bCs/>
          <w:highlight w:val="none"/>
        </w:rPr>
        <w:t>D</w:t>
      </w:r>
      <w:r>
        <w:rPr>
          <w:rFonts w:hint="eastAsia"/>
          <w:color w:val="000000"/>
          <w:szCs w:val="24"/>
          <w:highlight w:val="none"/>
        </w:rPr>
        <w:t>SP，规格型号：TMS320F2808，品牌：TI/美国</w:t>
      </w:r>
    </w:p>
    <w:p>
      <w:pPr>
        <w:pStyle w:val="20"/>
        <w:snapToGrid w:val="0"/>
        <w:spacing w:line="440" w:lineRule="atLeast"/>
        <w:ind w:left="425" w:firstLine="480"/>
        <w:rPr>
          <w:color w:val="000000"/>
          <w:kern w:val="0"/>
          <w:sz w:val="24"/>
          <w:highlight w:val="none"/>
        </w:rPr>
      </w:pPr>
      <w:r>
        <w:rPr>
          <w:rFonts w:hint="eastAsia"/>
          <w:color w:val="000000"/>
          <w:kern w:val="0"/>
          <w:sz w:val="24"/>
          <w:highlight w:val="none"/>
        </w:rPr>
        <w:t>控制芯片，规格型号：EPM570F，品牌：ALERA/美国</w:t>
      </w:r>
    </w:p>
    <w:p>
      <w:pPr>
        <w:pStyle w:val="20"/>
        <w:snapToGrid w:val="0"/>
        <w:spacing w:line="440" w:lineRule="atLeast"/>
        <w:ind w:left="425" w:firstLine="480"/>
        <w:rPr>
          <w:color w:val="000000"/>
          <w:kern w:val="0"/>
          <w:sz w:val="24"/>
          <w:highlight w:val="none"/>
        </w:rPr>
      </w:pPr>
      <w:r>
        <w:rPr>
          <w:rFonts w:hint="eastAsia"/>
          <w:color w:val="000000"/>
          <w:kern w:val="0"/>
          <w:sz w:val="24"/>
          <w:highlight w:val="none"/>
        </w:rPr>
        <w:t>功率器件IGBT，规格型号：F3L300R07PE4，品牌：英飞凌/德国</w:t>
      </w:r>
    </w:p>
    <w:p>
      <w:pPr>
        <w:pStyle w:val="20"/>
        <w:snapToGrid w:val="0"/>
        <w:spacing w:line="440" w:lineRule="atLeast"/>
        <w:ind w:left="425" w:firstLine="480"/>
        <w:rPr>
          <w:color w:val="000000"/>
          <w:kern w:val="0"/>
          <w:sz w:val="24"/>
          <w:highlight w:val="none"/>
        </w:rPr>
      </w:pPr>
      <w:r>
        <w:rPr>
          <w:rFonts w:hint="eastAsia"/>
          <w:color w:val="000000"/>
          <w:kern w:val="0"/>
          <w:sz w:val="24"/>
          <w:highlight w:val="none"/>
        </w:rPr>
        <w:t>上述元器件需提供进口报关单。</w:t>
      </w:r>
    </w:p>
    <w:p>
      <w:pPr>
        <w:pStyle w:val="4"/>
        <w:rPr>
          <w:sz w:val="24"/>
          <w:szCs w:val="24"/>
          <w:highlight w:val="none"/>
        </w:rPr>
      </w:pPr>
      <w:bookmarkStart w:id="83" w:name="_Toc133335370"/>
      <w:r>
        <w:rPr>
          <w:sz w:val="24"/>
          <w:szCs w:val="24"/>
          <w:highlight w:val="none"/>
        </w:rPr>
        <w:t>5.13.4智能表计技术要求</w:t>
      </w:r>
      <w:bookmarkEnd w:id="83"/>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.13.4.1测量/显示项目：具有三相/线电压、电压不平衡度、电流、零序电流、有功功率、无功功率、视在功率、功率因数、频率，有功电能、无功电能、需量统计，31次谐波测量等功能，带485通讯接口。</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 xml:space="preserve">5.13.4.2测量精度：要求电压、电流精度达到0.5级，有功电能，无功电能精度达到1.0级，装置的开关量输入满足若干节点，数量不少于四路。 </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hint="eastAsia" w:ascii="Times New Roman" w:hAnsi="Times New Roman" w:eastAsia="宋体"/>
          <w:color w:val="000000"/>
          <w:highlight w:val="none"/>
        </w:rPr>
        <w:t>5</w:t>
      </w:r>
      <w:r>
        <w:rPr>
          <w:rFonts w:ascii="Times New Roman" w:hAnsi="Times New Roman" w:eastAsia="宋体"/>
          <w:color w:val="000000"/>
          <w:highlight w:val="none"/>
        </w:rPr>
        <w:t>.13.4.3测量仪表与带电部分保持足够的安全距离，否则应采取可靠的防护措施，以保证在带电部分不停电的情况下进行工作时，人员不致触及运行的导电体。</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5.13.4.4测量仪表应有可靠的防震动措施，不因低压开关柜内的断路器的正常工作及故障动作电流时产生的震动而影响它的正常工作及性能。</w:t>
      </w:r>
    </w:p>
    <w:p>
      <w:pPr>
        <w:pStyle w:val="19"/>
        <w:tabs>
          <w:tab w:val="left" w:pos="420"/>
        </w:tabs>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5.13.4.5二次回路导线应有足够的截面，以保护互感器的准确度。</w:t>
      </w:r>
    </w:p>
    <w:p>
      <w:pPr>
        <w:pStyle w:val="4"/>
        <w:rPr>
          <w:sz w:val="24"/>
          <w:szCs w:val="24"/>
          <w:highlight w:val="none"/>
        </w:rPr>
      </w:pPr>
      <w:bookmarkStart w:id="84" w:name="_Toc133335371"/>
      <w:r>
        <w:rPr>
          <w:sz w:val="24"/>
          <w:szCs w:val="24"/>
          <w:highlight w:val="none"/>
        </w:rPr>
        <w:t>5.13.5 动力配电柜（箱）技术要求</w:t>
      </w:r>
      <w:bookmarkEnd w:id="84"/>
    </w:p>
    <w:p>
      <w:pPr>
        <w:rPr>
          <w:highlight w:val="none"/>
        </w:rPr>
      </w:pPr>
      <w:r>
        <w:rPr>
          <w:highlight w:val="none"/>
        </w:rPr>
        <w:t>5.13.5.1动力配电柜（箱）的总体结构</w:t>
      </w:r>
    </w:p>
    <w:p>
      <w:pPr>
        <w:pStyle w:val="19"/>
        <w:numPr>
          <w:ilvl w:val="0"/>
          <w:numId w:val="15"/>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动力配电柜（箱）用于系统电压低于1kV并应按IEC、GB标准及当地电业部门的要求进行设计。</w:t>
      </w:r>
    </w:p>
    <w:p>
      <w:pPr>
        <w:pStyle w:val="19"/>
        <w:numPr>
          <w:ilvl w:val="0"/>
          <w:numId w:val="15"/>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动力配电柜（箱）的设计应包括功能单元，控制保护以及仪表设备，对每个装置留有适当的空间便于进线和出线电缆的接线、扩展、固定件的维修及部分组件的调换，还要考虑到今后的调节和安装。</w:t>
      </w:r>
    </w:p>
    <w:p>
      <w:pPr>
        <w:pStyle w:val="19"/>
        <w:numPr>
          <w:ilvl w:val="0"/>
          <w:numId w:val="15"/>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动力配电柜（箱）在最大短路故障时应能承受由此引起的电气、热及机械应力。在故障条件下所产生的气体通过压力释放口排放，压力释放口的位置不允许朝向操作人员。动力配电柜（箱）应为固定分隔式结构，采用靠墙安装的柜体为前开门检修，采用离墙安装的柜体为前后开门检修。柜体外形尺寸应符合建筑平面的尺寸位置。所有柜体高度不大于2200mm，厚度不大于1000mm，宽度不大于1000mm，柜体做成易于吊运及易于铲入底部运输的形式。</w:t>
      </w:r>
    </w:p>
    <w:p>
      <w:pPr>
        <w:pStyle w:val="19"/>
        <w:numPr>
          <w:ilvl w:val="0"/>
          <w:numId w:val="15"/>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每个配电柜（箱）的安装单元室、母线室、电缆室之间应隔离，以防止事故的扩延。安装单元室前装有安全防护板，使操作者与带电部分完全隔离，防护等级：户内IP44，户外IP65。</w:t>
      </w:r>
    </w:p>
    <w:p>
      <w:pPr>
        <w:pStyle w:val="19"/>
        <w:numPr>
          <w:ilvl w:val="0"/>
          <w:numId w:val="15"/>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动力配电柜（箱）应是优质薄钢板结构、型钢支架，厚度不小于2mm，以铆钉、自攻螺丝结合成坚固的一体。组件板、门、罩子和饰框的总装配应平滑、嵌装和无波纹出现，应提供所必须的肋和支架以减小撞击，保证功能单元装配既整齐又牢固。应避免出现未经加工的毛边，角和边缘都应是园角形，焊接处和接地处要平滑，不允许出现裂缝接点和断裂。曲拐、手柄、表计和附件的切割应锐利、干净、切到设备的边缘，门应装有铰链和锁，铰链之间最大距离不超过600mm，装有设备的门不应由于重量或大小而引起下垂。可移动的门和饰框应安装在铰链、销子或托架上，并且采用工具或钥匙操作的紧固件来固定。每扇箱门需有一个可锁的镀铬手柄，当门关紧后，门上的衬垫应能有效密封。采用铜导线将门与接地的外壳相连，门上设置开启限幅机构，防止损坏绞链和油漆表面。</w:t>
      </w:r>
    </w:p>
    <w:p>
      <w:pPr>
        <w:pStyle w:val="19"/>
        <w:numPr>
          <w:ilvl w:val="0"/>
          <w:numId w:val="15"/>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动力配电柜（箱）安装所需要的附件应由承包人提供，安装方式应由承包人负责说明。承包人应承担所有穿线管、电缆、仪表管路等控制箱连合处的边界工作，包括管线固定及箱底密封所必需的附件。承包人应提供经合适的电缆夹具，确保进线电缆的重量不要由电缆密封套承受。承包人应提供便于安装的提升钩。必要处，承包人还应提供用于箱内阻抗发热时的通风或冷却设施。箱内配所需的电气元件电缆进出线及接地端子。</w:t>
      </w:r>
    </w:p>
    <w:p>
      <w:pPr>
        <w:rPr>
          <w:highlight w:val="none"/>
        </w:rPr>
      </w:pPr>
      <w:r>
        <w:rPr>
          <w:highlight w:val="none"/>
        </w:rPr>
        <w:t>5.13.5.2动力配电柜（箱）的电气要求</w:t>
      </w:r>
    </w:p>
    <w:p>
      <w:pPr>
        <w:pStyle w:val="19"/>
        <w:numPr>
          <w:ilvl w:val="0"/>
          <w:numId w:val="16"/>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动力配电箱应采用形式新颖，为有关种类第一流质量的安全型配电柜（箱）。</w:t>
      </w:r>
    </w:p>
    <w:p>
      <w:pPr>
        <w:pStyle w:val="19"/>
        <w:numPr>
          <w:ilvl w:val="0"/>
          <w:numId w:val="16"/>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产品应由专业厂生产，受电馈电开关尽量采用同一公司同一品牌产品。</w:t>
      </w:r>
    </w:p>
    <w:p>
      <w:pPr>
        <w:pStyle w:val="19"/>
        <w:numPr>
          <w:ilvl w:val="0"/>
          <w:numId w:val="16"/>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 xml:space="preserve">所有在动力配电箱内控制的电机（如通风机等）手动操作时均须通过安装在柜（箱）操作面 </w:t>
      </w:r>
    </w:p>
    <w:p>
      <w:pPr>
        <w:pStyle w:val="19"/>
        <w:numPr>
          <w:ilvl w:val="0"/>
          <w:numId w:val="16"/>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板上的按钮或旋转开关等进行；若必须打开柜（箱）门才能操作，则打开柜（箱）门时必须有一层安全隔离门，使操作人员无法触及带电的开关上下接头和母排。</w:t>
      </w:r>
    </w:p>
    <w:p>
      <w:pPr>
        <w:rPr>
          <w:highlight w:val="none"/>
        </w:rPr>
      </w:pPr>
      <w:r>
        <w:rPr>
          <w:highlight w:val="none"/>
        </w:rPr>
        <w:t>5.13.5.3 涂层</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每台动力配电柜（箱）内外应采用环氧树脂粉末喷涂，喷涂层不小于40微米，喷涂前应进行除油、除锈或磷化处理，涂层颜色要得到业主同意。</w:t>
      </w:r>
    </w:p>
    <w:p>
      <w:pPr>
        <w:rPr>
          <w:highlight w:val="none"/>
        </w:rPr>
      </w:pPr>
      <w:r>
        <w:rPr>
          <w:highlight w:val="none"/>
        </w:rPr>
        <w:t>5.13.5.4 动力配电柜（箱）内的动力线</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动力配电柜（箱）的动力线应供有进线、出线的主回路，功能单元之间的相互连接，动力线 应根据要求采用母排或电缆并适应每个装置的额定电压额定电流和最大故障条件。</w:t>
      </w:r>
    </w:p>
    <w:p>
      <w:pPr>
        <w:pStyle w:val="19"/>
        <w:numPr>
          <w:ilvl w:val="0"/>
          <w:numId w:val="17"/>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母排：母排系统应符合IEC和GB要求及有关规范并且全封闭在动力配电柜（箱）的分舱内。母排绝缘符合配电柜（箱）的工作电压。母排应按IEC和GB要求采用刚性硬拉高导电的电解铜，母排的截面在整个长度内应均匀，其截面应能承载连续的负载电流。母排的接点应确保有效的导电和牢固地连接，不同金属的联接处应防止腐蚀。母排的洞应在制造厂内预先钻好，钻得光洁，母排的夹紧螺栓应采用高拉伸的不锈钢。母排不应由功能单元支撑，支持母排的绝缘子或其它材料应有合格的性能，以适应机械及电气的要求。动力配电柜（箱）的母排的排列应便于电缆连接，检查及维修。为便于发展，母排的终端应钻孔，并支撑，以能承受故障条件。</w:t>
      </w:r>
    </w:p>
    <w:p>
      <w:pPr>
        <w:pStyle w:val="19"/>
        <w:numPr>
          <w:ilvl w:val="0"/>
          <w:numId w:val="17"/>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电缆：电缆应是聚氯乙烯绝缘硬拉的高导电的多股铜芯线，符合IEC和GB的有关标准。电缆应整齐地排列和牢固地支撑以承受指定的故障条件。应满足载流量的要求。</w:t>
      </w:r>
    </w:p>
    <w:p>
      <w:pPr>
        <w:pStyle w:val="19"/>
        <w:numPr>
          <w:ilvl w:val="0"/>
          <w:numId w:val="17"/>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中性和接地母排：提供满足系统要求的中性和接地母排，上述母排要预先钻孔便于连接。</w:t>
      </w:r>
    </w:p>
    <w:p>
      <w:pPr>
        <w:pStyle w:val="19"/>
        <w:numPr>
          <w:ilvl w:val="0"/>
          <w:numId w:val="17"/>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色标：在动力配电柜（箱）内的动力线采用相色识别，颜色可以是连续的或以有规律的间隔及动力线两端漆50mm宽的色带。色标应涂漆或注入标准绝缘漆。</w:t>
      </w:r>
    </w:p>
    <w:p>
      <w:pPr>
        <w:rPr>
          <w:highlight w:val="none"/>
        </w:rPr>
      </w:pPr>
      <w:r>
        <w:rPr>
          <w:highlight w:val="none"/>
        </w:rPr>
        <w:t>5.13.5.5 动力配电柜（箱）的辅助导线</w:t>
      </w:r>
    </w:p>
    <w:p>
      <w:pPr>
        <w:pStyle w:val="19"/>
        <w:numPr>
          <w:ilvl w:val="0"/>
          <w:numId w:val="18"/>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连接控制、保护及仪表设备的小线，电流回路应为截面不小于2.5mm</w:t>
      </w:r>
      <w:r>
        <w:rPr>
          <w:rFonts w:ascii="Times New Roman" w:hAnsi="Times New Roman" w:eastAsia="宋体"/>
          <w:color w:val="000000"/>
          <w:highlight w:val="none"/>
          <w:vertAlign w:val="superscript"/>
        </w:rPr>
        <w:t>2</w:t>
      </w:r>
      <w:r>
        <w:rPr>
          <w:rFonts w:ascii="Times New Roman" w:hAnsi="Times New Roman" w:eastAsia="宋体"/>
          <w:color w:val="000000"/>
          <w:highlight w:val="none"/>
        </w:rPr>
        <w:t>的多股铜导线，其它回路应为截面不小于1.5 mm</w:t>
      </w:r>
      <w:r>
        <w:rPr>
          <w:rFonts w:ascii="Times New Roman" w:hAnsi="Times New Roman" w:eastAsia="宋体"/>
          <w:color w:val="000000"/>
          <w:highlight w:val="none"/>
          <w:vertAlign w:val="superscript"/>
        </w:rPr>
        <w:t>2</w:t>
      </w:r>
      <w:r>
        <w:rPr>
          <w:rFonts w:ascii="Times New Roman" w:hAnsi="Times New Roman" w:eastAsia="宋体"/>
          <w:color w:val="000000"/>
          <w:highlight w:val="none"/>
        </w:rPr>
        <w:t>的多股铜导线，绝缘等级为0.6kV。辅助导线必须有单独的通道，不得敷设在母线仓内。柜（箱）内小线应整齐地排列夹紧。所有不与主回路连接的小线应采用同一种醒目的颜色并在端子处具有持久的标记符合IEC和GB标准。</w:t>
      </w:r>
    </w:p>
    <w:p>
      <w:pPr>
        <w:pStyle w:val="19"/>
        <w:numPr>
          <w:ilvl w:val="0"/>
          <w:numId w:val="18"/>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每一功能单元或组件的柜内外小线必须在端子排上接口，带电的端子应标识以示安全，柜内留有25%的备用端子，每根导线将固定在专用的端子上，复式端子利用连接片，每项设备将从公共的中性排上单独引出一根中性线。</w:t>
      </w:r>
    </w:p>
    <w:p>
      <w:pPr>
        <w:rPr>
          <w:highlight w:val="none"/>
        </w:rPr>
      </w:pPr>
      <w:r>
        <w:rPr>
          <w:highlight w:val="none"/>
        </w:rPr>
        <w:t>5.13.5.6 动力配电柜（箱）的功能单元</w:t>
      </w:r>
    </w:p>
    <w:p>
      <w:pPr>
        <w:ind w:firstLine="420" w:firstLineChars="200"/>
        <w:rPr>
          <w:color w:val="000000"/>
          <w:highlight w:val="none"/>
        </w:rPr>
      </w:pPr>
      <w:r>
        <w:rPr>
          <w:color w:val="000000"/>
          <w:highlight w:val="none"/>
        </w:rPr>
        <w:t>安装在动力配电柜内的设备应根据附图选择相应用途并指出在工作条件下制造商保证的所需性能或性能范围。所有设备应为新颖的，具有同类产品的一流质量，产品应由专业厂生产，保证质量且符合产品的合格额定值要求。</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所有设备在安装及运行后应具有标记牌，标记牌上应说明容量，操作特性，型式及序号</w:t>
      </w:r>
      <w:r>
        <w:rPr>
          <w:rFonts w:hint="eastAsia" w:ascii="Times New Roman" w:hAnsi="Times New Roman" w:eastAsia="宋体"/>
          <w:color w:val="000000"/>
          <w:highlight w:val="none"/>
        </w:rPr>
        <w:t>。</w:t>
      </w:r>
      <w:r>
        <w:rPr>
          <w:rFonts w:ascii="Times New Roman" w:hAnsi="Times New Roman" w:eastAsia="宋体"/>
          <w:color w:val="000000"/>
          <w:szCs w:val="20"/>
          <w:highlight w:val="none"/>
        </w:rPr>
        <w:t>工作成为一体的装置应选用相似的设备，不允许有不必要复杂接口的设备。进线及出线功能单元应适合所需的额定电压、电流、寿命、开关容量及短路故障容量。并结合所需的操作特点、辅件、联锁等。</w:t>
      </w:r>
    </w:p>
    <w:p>
      <w:pPr>
        <w:pStyle w:val="19"/>
        <w:numPr>
          <w:ilvl w:val="0"/>
          <w:numId w:val="19"/>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低压塑壳断路器（MCCB）</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每台低压塑壳断路器应按IEC和GB的标准设计与制造并符合操作要求包括：</w:t>
      </w:r>
    </w:p>
    <w:p>
      <w:pPr>
        <w:pStyle w:val="19"/>
        <w:numPr>
          <w:ilvl w:val="0"/>
          <w:numId w:val="2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大于或等于400A的塑壳断路器采用电动分、合闸。</w:t>
      </w:r>
    </w:p>
    <w:p>
      <w:pPr>
        <w:pStyle w:val="19"/>
        <w:numPr>
          <w:ilvl w:val="0"/>
          <w:numId w:val="2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带有复合热过载及短路瞬时脱扣器。</w:t>
      </w:r>
    </w:p>
    <w:p>
      <w:pPr>
        <w:pStyle w:val="19"/>
        <w:numPr>
          <w:ilvl w:val="0"/>
          <w:numId w:val="2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所有提供的塑壳断路器机械寿命与电气寿命不小于以下数值：</w:t>
      </w:r>
    </w:p>
    <w:tbl>
      <w:tblPr>
        <w:tblStyle w:val="16"/>
        <w:tblW w:w="8036" w:type="dxa"/>
        <w:tblInd w:w="0" w:type="dxa"/>
        <w:tblLayout w:type="fixed"/>
        <w:tblCellMar>
          <w:top w:w="15" w:type="dxa"/>
          <w:left w:w="15" w:type="dxa"/>
          <w:bottom w:w="15" w:type="dxa"/>
          <w:right w:w="15" w:type="dxa"/>
        </w:tblCellMar>
      </w:tblPr>
      <w:tblGrid>
        <w:gridCol w:w="2001"/>
        <w:gridCol w:w="2881"/>
        <w:gridCol w:w="3154"/>
      </w:tblGrid>
      <w:tr>
        <w:tblPrEx>
          <w:tblCellMar>
            <w:top w:w="15" w:type="dxa"/>
            <w:left w:w="15" w:type="dxa"/>
            <w:bottom w:w="15" w:type="dxa"/>
            <w:right w:w="15" w:type="dxa"/>
          </w:tblCellMar>
        </w:tblPrEx>
        <w:trPr>
          <w:trHeight w:val="845" w:hRule="atLeast"/>
        </w:trPr>
        <w:tc>
          <w:tcPr>
            <w:tcW w:w="200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额定电流值（A）</w:t>
            </w:r>
          </w:p>
        </w:tc>
        <w:tc>
          <w:tcPr>
            <w:tcW w:w="288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械操作次数（有维护）</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（次）</w:t>
            </w:r>
          </w:p>
        </w:tc>
        <w:tc>
          <w:tcPr>
            <w:tcW w:w="315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电气操作次数（免维护）</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（额定电流时） 次</w:t>
            </w:r>
          </w:p>
        </w:tc>
      </w:tr>
      <w:tr>
        <w:tblPrEx>
          <w:tblCellMar>
            <w:top w:w="15" w:type="dxa"/>
            <w:left w:w="15" w:type="dxa"/>
            <w:bottom w:w="15" w:type="dxa"/>
            <w:right w:w="15" w:type="dxa"/>
          </w:tblCellMar>
        </w:tblPrEx>
        <w:trPr>
          <w:trHeight w:val="613" w:hRule="atLeast"/>
        </w:trPr>
        <w:tc>
          <w:tcPr>
            <w:tcW w:w="200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100A及以下</w:t>
            </w:r>
          </w:p>
        </w:tc>
        <w:tc>
          <w:tcPr>
            <w:tcW w:w="2881" w:type="dxa"/>
            <w:tcBorders>
              <w:top w:val="single" w:color="CBCDD1"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20000次</w:t>
            </w:r>
          </w:p>
        </w:tc>
        <w:tc>
          <w:tcPr>
            <w:tcW w:w="3154" w:type="dxa"/>
            <w:tcBorders>
              <w:top w:val="single" w:color="CBCDD1"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15000次</w:t>
            </w:r>
          </w:p>
        </w:tc>
      </w:tr>
      <w:tr>
        <w:tblPrEx>
          <w:tblCellMar>
            <w:top w:w="15" w:type="dxa"/>
            <w:left w:w="15" w:type="dxa"/>
            <w:bottom w:w="15" w:type="dxa"/>
            <w:right w:w="15" w:type="dxa"/>
          </w:tblCellMar>
        </w:tblPrEx>
        <w:trPr>
          <w:trHeight w:val="613" w:hRule="atLeast"/>
        </w:trPr>
        <w:tc>
          <w:tcPr>
            <w:tcW w:w="200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160A～250A</w:t>
            </w:r>
          </w:p>
        </w:tc>
        <w:tc>
          <w:tcPr>
            <w:tcW w:w="2881" w:type="dxa"/>
            <w:tcBorders>
              <w:top w:val="single" w:color="CBCDD1"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20000次</w:t>
            </w:r>
          </w:p>
        </w:tc>
        <w:tc>
          <w:tcPr>
            <w:tcW w:w="3154" w:type="dxa"/>
            <w:tcBorders>
              <w:top w:val="single" w:color="CBCDD1"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6000次</w:t>
            </w:r>
          </w:p>
        </w:tc>
      </w:tr>
      <w:tr>
        <w:tblPrEx>
          <w:tblCellMar>
            <w:top w:w="15" w:type="dxa"/>
            <w:left w:w="15" w:type="dxa"/>
            <w:bottom w:w="15" w:type="dxa"/>
            <w:right w:w="15" w:type="dxa"/>
          </w:tblCellMar>
        </w:tblPrEx>
        <w:trPr>
          <w:trHeight w:val="613" w:hRule="atLeast"/>
        </w:trPr>
        <w:tc>
          <w:tcPr>
            <w:tcW w:w="200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400A～630A</w:t>
            </w:r>
          </w:p>
        </w:tc>
        <w:tc>
          <w:tcPr>
            <w:tcW w:w="2881" w:type="dxa"/>
            <w:tcBorders>
              <w:top w:val="single" w:color="CBCDD1"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15000次</w:t>
            </w:r>
          </w:p>
        </w:tc>
        <w:tc>
          <w:tcPr>
            <w:tcW w:w="3154" w:type="dxa"/>
            <w:tcBorders>
              <w:top w:val="single" w:color="CBCDD1"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4000次</w:t>
            </w:r>
          </w:p>
        </w:tc>
      </w:tr>
    </w:tbl>
    <w:p>
      <w:pPr>
        <w:pStyle w:val="19"/>
        <w:numPr>
          <w:ilvl w:val="0"/>
          <w:numId w:val="2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低压塑壳断路器的额定极限短路分断能力Icu不小于35kA，额定运行短路分断能力Ics不小于35kA。</w:t>
      </w:r>
    </w:p>
    <w:p>
      <w:pPr>
        <w:pStyle w:val="19"/>
        <w:numPr>
          <w:ilvl w:val="0"/>
          <w:numId w:val="19"/>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高分断小型断路器</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每台小型断路器应按IEC和GB有关标准设计制造，额定分断容量不小于25kA，额定操作电压单极不小于230VAC，多极不小于400VAC，机械寿命大于20000次。具短路瞬时，过载延时及欠电压保护，并且断路器脱扣电流必须可调（可调范围为0.7～1.0Ie）。</w:t>
      </w:r>
    </w:p>
    <w:p>
      <w:pPr>
        <w:pStyle w:val="19"/>
        <w:numPr>
          <w:ilvl w:val="0"/>
          <w:numId w:val="19"/>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隔离开关、负荷开关和双投开关</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隔离开关、负荷开关和双投开关应按IEC和GB标准设计和制造并符合低压开关柜的操作要求。</w:t>
      </w:r>
    </w:p>
    <w:p>
      <w:pPr>
        <w:pStyle w:val="19"/>
        <w:numPr>
          <w:ilvl w:val="0"/>
          <w:numId w:val="21"/>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开断和闭合均应速动，与操作者的动作快慢无关。</w:t>
      </w:r>
    </w:p>
    <w:p>
      <w:pPr>
        <w:pStyle w:val="19"/>
        <w:numPr>
          <w:ilvl w:val="0"/>
          <w:numId w:val="21"/>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开关使用类别至少为AC22并适合低压开关柜的总额定值。</w:t>
      </w:r>
    </w:p>
    <w:p>
      <w:pPr>
        <w:pStyle w:val="19"/>
        <w:numPr>
          <w:ilvl w:val="0"/>
          <w:numId w:val="21"/>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熔断体应从负荷开关处快速拆装。</w:t>
      </w:r>
    </w:p>
    <w:p>
      <w:pPr>
        <w:pStyle w:val="19"/>
        <w:numPr>
          <w:ilvl w:val="0"/>
          <w:numId w:val="21"/>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熔断体应按IEC和GB标准设计与制造并符合每个装置的相应要求。</w:t>
      </w:r>
    </w:p>
    <w:p>
      <w:pPr>
        <w:pStyle w:val="19"/>
        <w:numPr>
          <w:ilvl w:val="0"/>
          <w:numId w:val="19"/>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接触器</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接触器应按IEC和GB标准设计与制造并符合每台低压开关柜的操作要求。</w:t>
      </w:r>
    </w:p>
    <w:p>
      <w:pPr>
        <w:pStyle w:val="19"/>
        <w:numPr>
          <w:ilvl w:val="0"/>
          <w:numId w:val="22"/>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使用类别至少为AC－3，其机械寿命不小于1千万次、电气寿命不小于120万次。控制电容器的接触器为AC－6B。</w:t>
      </w:r>
    </w:p>
    <w:p>
      <w:pPr>
        <w:pStyle w:val="19"/>
        <w:numPr>
          <w:ilvl w:val="0"/>
          <w:numId w:val="22"/>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每台接触器装有足够的辅助接点及附件以便其它用途。</w:t>
      </w:r>
    </w:p>
    <w:p>
      <w:pPr>
        <w:pStyle w:val="19"/>
        <w:numPr>
          <w:ilvl w:val="0"/>
          <w:numId w:val="19"/>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仪表及指示器</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低压开关柜仪表及指示设备，其量程范围及精度应经工程师和业主同意，为了隔离及仪表设备的保护，根据需要应提供电压互感器、电流互感器、变送器、综合测量装置及熔断器。所有仪表设备、辅件及附件应按有关GB、IEC标准及规范制造并经型式及常规试验。</w:t>
      </w:r>
    </w:p>
    <w:p>
      <w:pPr>
        <w:pStyle w:val="19"/>
        <w:numPr>
          <w:ilvl w:val="0"/>
          <w:numId w:val="23"/>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电流互感器：按IEC185标准的有关要求进行选用，也应考虑到使用处的特殊要求。电流互感器应满足初级额定短路电流及初级额定负载电流。电流互感器采用环氧树脂型，应符合规定的电流的要求。精度等级及负载，应配合继电器、仪表仪器的运行要求。电流互感器输出为0～5A，测量用电流互感器准确度为0.2级，保护用电流互感器准确度为0.5级，二次侧一端接地。</w:t>
      </w:r>
    </w:p>
    <w:p>
      <w:pPr>
        <w:pStyle w:val="19"/>
        <w:numPr>
          <w:ilvl w:val="0"/>
          <w:numId w:val="23"/>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电流表和电压表：馈电回路采用嵌入式安装数显表，要求符合GB/T13978－1992（数显表）、IEC51／73标准，具有正规技术监督局认可的计量器具、合格证书和ISO9001认证证明。表计应能与互感器、分压器、分流器、电量变送器等配套使用，对电网中的电压、电流等电参量进行测量，采用数字方式显示。要求该产品具有精度高、隔离性强、性能稳走、抗振动、抗干扰等优点。该产品应具备各种尺寸，以便能在各种高低压柜型上使用，应具有安装简易、操作方便等优点，制造商还应确保产品的维护。电动机控制回路电流表采用嵌入式安装，动铁式，要求符合IEC51／73标准，塑壳，炭黑遮光屏，240度移动角。 电动机回路电流表在正常范围采用开放式刻度，工作范围以外采用压缩式刻度，用于指示电动机的起动电流，开放式刻度约占刻度范围的66％，提供红色标记或指针用于指示电动机正常满载电流。</w:t>
      </w:r>
    </w:p>
    <w:p>
      <w:pPr>
        <w:pStyle w:val="19"/>
        <w:numPr>
          <w:ilvl w:val="0"/>
          <w:numId w:val="19"/>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控制设备</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所有控制、保护及仪表回路应与主回路隔离，低压开关柜控制回路电压采用交流220V并加性能可靠的SCPD（短路保护装置）。</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控制及保护回路应与仪表回路分开，主开关控制回路单独采用熔丝保护，所有按钮、指示器、选择器必须匹配，定型设计易于维修并考虑余量。</w:t>
      </w:r>
    </w:p>
    <w:p>
      <w:pPr>
        <w:pStyle w:val="19"/>
        <w:numPr>
          <w:ilvl w:val="0"/>
          <w:numId w:val="24"/>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按钮和指示灯：按钮和指示灯式样应协调，起动按钮及指示灯采红色，停止按钮采用绿色，急停按钮及指示灯采用红色，自锁旋转复位型。电动机机旁提供的急停按钮，应配备必要的型钢结构支架、托板等附件，以及能清楚地表示所控制设备的标志。所有按钮、指示灯配中文，英文标牌，文字最小高度为3mm。</w:t>
      </w:r>
    </w:p>
    <w:p>
      <w:pPr>
        <w:pStyle w:val="19"/>
        <w:numPr>
          <w:ilvl w:val="0"/>
          <w:numId w:val="24"/>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继电器：产品应符合IEC65、IEC435标准。继电器辅助触点最小额定值为220V，10A。继电器采用积木式结构，相似于接触器的结构。继电器带可见指示器，用于指示继电器是否带电。时间继电器采用电子可调式。继电器和定时器应安装在导轨上，便于维修和保养，导轨上留25%的空位置，以便将来增加继电器。</w:t>
      </w:r>
    </w:p>
    <w:p>
      <w:pPr>
        <w:pStyle w:val="19"/>
        <w:numPr>
          <w:ilvl w:val="0"/>
          <w:numId w:val="25"/>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电涌保护器：电涌保护器应符合IEC61643－11/II级测试和GB50057－94《建筑物防雷设计规范》（2000年版）、GB50343－2004《建筑物电子信息系统防雷技术分类》的要求。</w:t>
      </w:r>
    </w:p>
    <w:p>
      <w:pPr>
        <w:pStyle w:val="19"/>
        <w:numPr>
          <w:ilvl w:val="0"/>
          <w:numId w:val="26"/>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雷电冲击电流（10/350μs）：50kA</w:t>
      </w:r>
    </w:p>
    <w:p>
      <w:pPr>
        <w:pStyle w:val="19"/>
        <w:numPr>
          <w:ilvl w:val="0"/>
          <w:numId w:val="26"/>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电压保护水平：≤2.5kV</w:t>
      </w:r>
    </w:p>
    <w:p>
      <w:pPr>
        <w:pStyle w:val="19"/>
        <w:numPr>
          <w:ilvl w:val="0"/>
          <w:numId w:val="26"/>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动作时无放电火花气体喷出</w:t>
      </w:r>
    </w:p>
    <w:p>
      <w:pPr>
        <w:pStyle w:val="19"/>
        <w:numPr>
          <w:ilvl w:val="0"/>
          <w:numId w:val="26"/>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模块化设计，便于检测及维护。</w:t>
      </w:r>
    </w:p>
    <w:p>
      <w:pPr>
        <w:pStyle w:val="19"/>
        <w:spacing w:before="0" w:beforeAutospacing="0" w:after="0" w:afterAutospacing="0" w:line="360" w:lineRule="auto"/>
        <w:jc w:val="both"/>
        <w:rPr>
          <w:rFonts w:ascii="宋体" w:hAnsi="宋体" w:eastAsia="宋体"/>
          <w:b/>
          <w:color w:val="000000"/>
          <w:sz w:val="28"/>
          <w:szCs w:val="28"/>
          <w:highlight w:val="none"/>
        </w:rPr>
      </w:pPr>
      <w:r>
        <w:rPr>
          <w:rFonts w:hint="eastAsia" w:ascii="宋体" w:hAnsi="宋体" w:eastAsia="宋体"/>
          <w:b/>
          <w:color w:val="000000"/>
          <w:sz w:val="28"/>
          <w:szCs w:val="28"/>
          <w:highlight w:val="none"/>
        </w:rPr>
        <w:t>5</w:t>
      </w:r>
      <w:r>
        <w:rPr>
          <w:rFonts w:ascii="宋体" w:hAnsi="宋体" w:eastAsia="宋体"/>
          <w:b/>
          <w:color w:val="000000"/>
          <w:sz w:val="28"/>
          <w:szCs w:val="28"/>
          <w:highlight w:val="none"/>
        </w:rPr>
        <w:t>.14</w:t>
      </w:r>
      <w:r>
        <w:rPr>
          <w:rFonts w:hint="eastAsia" w:ascii="宋体" w:hAnsi="宋体" w:eastAsia="宋体"/>
          <w:b/>
          <w:sz w:val="28"/>
          <w:szCs w:val="28"/>
          <w:highlight w:val="none"/>
        </w:rPr>
        <w:t>干式电力变压器技术要求：</w:t>
      </w:r>
    </w:p>
    <w:p>
      <w:pPr>
        <w:pStyle w:val="20"/>
        <w:autoSpaceDE w:val="0"/>
        <w:autoSpaceDN w:val="0"/>
        <w:snapToGrid w:val="0"/>
        <w:ind w:firstLine="480"/>
        <w:jc w:val="left"/>
        <w:rPr>
          <w:color w:val="000000"/>
          <w:kern w:val="0"/>
          <w:sz w:val="24"/>
          <w:highlight w:val="none"/>
        </w:rPr>
      </w:pPr>
      <w:r>
        <w:rPr>
          <w:bCs/>
          <w:sz w:val="24"/>
          <w:highlight w:val="none"/>
        </w:rPr>
        <w:t>1.</w:t>
      </w:r>
      <w:r>
        <w:rPr>
          <w:rFonts w:hint="eastAsia"/>
          <w:color w:val="000000"/>
          <w:kern w:val="0"/>
          <w:sz w:val="24"/>
          <w:highlight w:val="none"/>
        </w:rPr>
        <w:t>变压器型号：SCB13-10KV树脂绝缘干式电力变压器。</w:t>
      </w:r>
    </w:p>
    <w:p>
      <w:pPr>
        <w:pStyle w:val="20"/>
        <w:autoSpaceDE w:val="0"/>
        <w:autoSpaceDN w:val="0"/>
        <w:snapToGrid w:val="0"/>
        <w:ind w:firstLine="480"/>
        <w:jc w:val="left"/>
        <w:rPr>
          <w:color w:val="000000"/>
          <w:kern w:val="0"/>
          <w:sz w:val="24"/>
          <w:highlight w:val="none"/>
        </w:rPr>
      </w:pPr>
      <w:r>
        <w:rPr>
          <w:rFonts w:hint="eastAsia"/>
          <w:color w:val="000000"/>
          <w:kern w:val="0"/>
          <w:sz w:val="24"/>
          <w:highlight w:val="none"/>
        </w:rPr>
        <w:t>2</w:t>
      </w:r>
      <w:r>
        <w:rPr>
          <w:color w:val="000000"/>
          <w:kern w:val="0"/>
          <w:sz w:val="24"/>
          <w:highlight w:val="none"/>
        </w:rPr>
        <w:t>.</w:t>
      </w:r>
      <w:r>
        <w:rPr>
          <w:rFonts w:hint="eastAsia"/>
          <w:color w:val="000000"/>
          <w:kern w:val="0"/>
          <w:sz w:val="24"/>
          <w:highlight w:val="none"/>
        </w:rPr>
        <w:t>变压器选用双圈,低耗,低噪,耐潮湿无载调压干式变压器。</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技术参数：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.1相数：三相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 xml:space="preserve">.2频率：50HZ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 xml:space="preserve">.3调压方式：无励磁调压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.4电压组合：高压</w:t>
      </w:r>
      <w:r>
        <w:rPr>
          <w:color w:val="000000"/>
          <w:kern w:val="0"/>
          <w:sz w:val="24"/>
          <w:highlight w:val="none"/>
        </w:rPr>
        <w:t>2</w:t>
      </w:r>
      <w:r>
        <w:rPr>
          <w:rFonts w:hint="eastAsia"/>
          <w:color w:val="000000"/>
          <w:kern w:val="0"/>
          <w:sz w:val="24"/>
          <w:highlight w:val="none"/>
        </w:rPr>
        <w:t>0±2×2.5%KV 低压：0.4KV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.5系统最高运行电压：</w:t>
      </w:r>
      <w:r>
        <w:rPr>
          <w:color w:val="000000"/>
          <w:kern w:val="0"/>
          <w:sz w:val="24"/>
          <w:highlight w:val="none"/>
        </w:rPr>
        <w:t>24</w:t>
      </w:r>
      <w:r>
        <w:rPr>
          <w:rFonts w:hint="eastAsia"/>
          <w:color w:val="000000"/>
          <w:kern w:val="0"/>
          <w:sz w:val="24"/>
          <w:highlight w:val="none"/>
        </w:rPr>
        <w:t>kV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.6阻抗电压：Ud%=</w:t>
      </w:r>
      <w:r>
        <w:rPr>
          <w:color w:val="000000"/>
          <w:kern w:val="0"/>
          <w:sz w:val="24"/>
          <w:highlight w:val="none"/>
        </w:rPr>
        <w:t>6</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.7绝缘水平：工频耐压 </w:t>
      </w:r>
      <w:r>
        <w:rPr>
          <w:color w:val="000000"/>
          <w:kern w:val="0"/>
          <w:sz w:val="24"/>
          <w:highlight w:val="none"/>
        </w:rPr>
        <w:t>5</w:t>
      </w:r>
      <w:r>
        <w:rPr>
          <w:rFonts w:hint="eastAsia"/>
          <w:color w:val="000000"/>
          <w:kern w:val="0"/>
          <w:sz w:val="24"/>
          <w:highlight w:val="none"/>
        </w:rPr>
        <w:t>5KV(高压)/3kV（低压），冲击耐压</w:t>
      </w:r>
      <w:r>
        <w:rPr>
          <w:color w:val="000000"/>
          <w:kern w:val="0"/>
          <w:sz w:val="24"/>
          <w:highlight w:val="none"/>
        </w:rPr>
        <w:t>12</w:t>
      </w:r>
      <w:r>
        <w:rPr>
          <w:rFonts w:hint="eastAsia"/>
          <w:color w:val="000000"/>
          <w:kern w:val="0"/>
          <w:sz w:val="24"/>
          <w:highlight w:val="none"/>
        </w:rPr>
        <w:t>5kV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.8接线组别：D，Yn-11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.9防护等级:IP40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 xml:space="preserve">.10绝缘等级：F级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.11正常使用寿命:达到30年及以上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.12过载能力：具备过载≤120%长期运行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.13最高温升：100k </w:t>
      </w:r>
    </w:p>
    <w:p>
      <w:pPr>
        <w:pStyle w:val="20"/>
        <w:autoSpaceDE w:val="0"/>
        <w:autoSpaceDN w:val="0"/>
        <w:snapToGrid w:val="0"/>
        <w:ind w:firstLine="480"/>
        <w:jc w:val="left"/>
        <w:rPr>
          <w:color w:val="000000"/>
          <w:kern w:val="0"/>
          <w:sz w:val="24"/>
          <w:highlight w:val="none"/>
        </w:rPr>
      </w:pPr>
      <w:r>
        <w:rPr>
          <w:color w:val="000000"/>
          <w:kern w:val="0"/>
          <w:sz w:val="24"/>
          <w:highlight w:val="none"/>
        </w:rPr>
        <w:t>3</w:t>
      </w:r>
      <w:r>
        <w:rPr>
          <w:rFonts w:hint="eastAsia"/>
          <w:color w:val="000000"/>
          <w:kern w:val="0"/>
          <w:sz w:val="24"/>
          <w:highlight w:val="none"/>
        </w:rPr>
        <w:t>.14冷却方式：ANAF </w:t>
      </w:r>
    </w:p>
    <w:p>
      <w:pPr>
        <w:pStyle w:val="20"/>
        <w:autoSpaceDE w:val="0"/>
        <w:autoSpaceDN w:val="0"/>
        <w:snapToGrid w:val="0"/>
        <w:ind w:firstLine="480"/>
        <w:jc w:val="left"/>
        <w:rPr>
          <w:color w:val="000000"/>
          <w:kern w:val="0"/>
          <w:sz w:val="24"/>
          <w:highlight w:val="none"/>
        </w:rPr>
      </w:pPr>
      <w:r>
        <w:rPr>
          <w:color w:val="000000"/>
          <w:kern w:val="0"/>
          <w:sz w:val="24"/>
          <w:highlight w:val="none"/>
        </w:rPr>
        <w:t>4.</w:t>
      </w:r>
      <w:r>
        <w:rPr>
          <w:rFonts w:hint="eastAsia"/>
          <w:color w:val="000000"/>
          <w:kern w:val="0"/>
          <w:sz w:val="24"/>
          <w:highlight w:val="none"/>
        </w:rPr>
        <w:t xml:space="preserve"> 变压器的一般要求：  </w:t>
      </w:r>
    </w:p>
    <w:p>
      <w:pPr>
        <w:pStyle w:val="20"/>
        <w:autoSpaceDE w:val="0"/>
        <w:autoSpaceDN w:val="0"/>
        <w:snapToGrid w:val="0"/>
        <w:ind w:firstLine="480"/>
        <w:jc w:val="left"/>
        <w:rPr>
          <w:color w:val="000000"/>
          <w:kern w:val="0"/>
          <w:sz w:val="24"/>
          <w:highlight w:val="none"/>
        </w:rPr>
      </w:pPr>
      <w:r>
        <w:rPr>
          <w:color w:val="000000"/>
          <w:kern w:val="0"/>
          <w:sz w:val="24"/>
          <w:highlight w:val="none"/>
        </w:rPr>
        <w:t>4</w:t>
      </w:r>
      <w:r>
        <w:rPr>
          <w:rFonts w:hint="eastAsia"/>
          <w:color w:val="000000"/>
          <w:kern w:val="0"/>
          <w:sz w:val="24"/>
          <w:highlight w:val="none"/>
        </w:rPr>
        <w:t>.1保护：提供2付无源接点，可自动控制风机的启停，设有温度监控供高温警鸣及跳闸，过载运行能力变压器应包含完整的自动冷却风扇、温度传感器以保证变压器可以过载150%时运行1h。</w:t>
      </w:r>
    </w:p>
    <w:p>
      <w:pPr>
        <w:pStyle w:val="20"/>
        <w:autoSpaceDE w:val="0"/>
        <w:autoSpaceDN w:val="0"/>
        <w:snapToGrid w:val="0"/>
        <w:ind w:firstLine="480"/>
        <w:jc w:val="left"/>
        <w:rPr>
          <w:color w:val="000000"/>
          <w:kern w:val="0"/>
          <w:sz w:val="24"/>
          <w:highlight w:val="none"/>
        </w:rPr>
      </w:pPr>
      <w:r>
        <w:rPr>
          <w:color w:val="000000"/>
          <w:kern w:val="0"/>
          <w:sz w:val="24"/>
          <w:highlight w:val="none"/>
        </w:rPr>
        <w:t>4</w:t>
      </w:r>
      <w:r>
        <w:rPr>
          <w:rFonts w:hint="eastAsia"/>
          <w:color w:val="000000"/>
          <w:kern w:val="0"/>
          <w:sz w:val="24"/>
          <w:highlight w:val="none"/>
        </w:rPr>
        <w:t>.2铁芯：铁芯采用优质高导磁、冷轧晶粒取向电工硅钢片,全斜接缝,芯柱采用绝缘带绑扎,铁芯表面采用树脂漆密封以防潮防锈,夹件及紧固件经表面处理可防锈蚀。</w:t>
      </w:r>
    </w:p>
    <w:p>
      <w:pPr>
        <w:pStyle w:val="20"/>
        <w:autoSpaceDE w:val="0"/>
        <w:autoSpaceDN w:val="0"/>
        <w:snapToGrid w:val="0"/>
        <w:ind w:firstLine="480"/>
        <w:jc w:val="left"/>
        <w:rPr>
          <w:color w:val="000000"/>
          <w:kern w:val="0"/>
          <w:sz w:val="24"/>
          <w:highlight w:val="none"/>
        </w:rPr>
      </w:pPr>
      <w:r>
        <w:rPr>
          <w:color w:val="000000"/>
          <w:kern w:val="0"/>
          <w:sz w:val="24"/>
          <w:highlight w:val="none"/>
        </w:rPr>
        <w:t>4</w:t>
      </w:r>
      <w:r>
        <w:rPr>
          <w:rFonts w:hint="eastAsia"/>
          <w:color w:val="000000"/>
          <w:kern w:val="0"/>
          <w:sz w:val="24"/>
          <w:highlight w:val="none"/>
        </w:rPr>
        <w:t>.3线圈：低压线圈采用全铜整张铜箔缠绕，高压线圈采用全铜分段圆筒式结构。</w:t>
      </w:r>
    </w:p>
    <w:p>
      <w:pPr>
        <w:pStyle w:val="20"/>
        <w:autoSpaceDE w:val="0"/>
        <w:autoSpaceDN w:val="0"/>
        <w:snapToGrid w:val="0"/>
        <w:ind w:firstLine="480"/>
        <w:jc w:val="left"/>
        <w:rPr>
          <w:color w:val="000000"/>
          <w:kern w:val="0"/>
          <w:sz w:val="24"/>
          <w:highlight w:val="none"/>
        </w:rPr>
      </w:pPr>
      <w:r>
        <w:rPr>
          <w:color w:val="000000"/>
          <w:kern w:val="0"/>
          <w:sz w:val="24"/>
          <w:highlight w:val="none"/>
        </w:rPr>
        <w:t>4</w:t>
      </w:r>
      <w:r>
        <w:rPr>
          <w:rFonts w:hint="eastAsia"/>
          <w:color w:val="000000"/>
          <w:kern w:val="0"/>
          <w:sz w:val="24"/>
          <w:highlight w:val="none"/>
        </w:rPr>
        <w:t xml:space="preserve">.4信号温度计：配有信号温度计(温控仪),将三个PT100测温元件埋在三相低压线圈上端测温孔内,自动监测绕组温度温升及发出信号并进行保护.其功能是三相温度巡查、最大值显示、故障报警、起停风机、超温报警、超温跳闸等；动作温度的设定值在变压器出厂时按照用户要求设定好，配有通讯协议接口Modbus/RS-485，后台能读到这些数据。 </w:t>
      </w:r>
    </w:p>
    <w:p>
      <w:pPr>
        <w:pStyle w:val="20"/>
        <w:autoSpaceDE w:val="0"/>
        <w:autoSpaceDN w:val="0"/>
        <w:snapToGrid w:val="0"/>
        <w:ind w:firstLine="480"/>
        <w:jc w:val="left"/>
        <w:rPr>
          <w:color w:val="000000"/>
          <w:kern w:val="0"/>
          <w:sz w:val="24"/>
          <w:highlight w:val="none"/>
        </w:rPr>
      </w:pPr>
      <w:r>
        <w:rPr>
          <w:color w:val="000000"/>
          <w:kern w:val="0"/>
          <w:sz w:val="24"/>
          <w:highlight w:val="none"/>
        </w:rPr>
        <w:t>4</w:t>
      </w:r>
      <w:r>
        <w:rPr>
          <w:rFonts w:hint="eastAsia"/>
          <w:color w:val="000000"/>
          <w:kern w:val="0"/>
          <w:sz w:val="24"/>
          <w:highlight w:val="none"/>
        </w:rPr>
        <w:t>.5冷却风机：采用高强度不锈钢搭扣结构组合而成，风量大，噪音低，冷却均匀，安装拆卸方便。采用空气自冷（AN）时，在正常使用条件下，干式变压器可在额定容量下长期连续运行。</w:t>
      </w:r>
    </w:p>
    <w:p>
      <w:pPr>
        <w:pStyle w:val="20"/>
        <w:autoSpaceDE w:val="0"/>
        <w:autoSpaceDN w:val="0"/>
        <w:snapToGrid w:val="0"/>
        <w:ind w:firstLine="480"/>
        <w:jc w:val="left"/>
        <w:rPr>
          <w:color w:val="000000"/>
          <w:kern w:val="0"/>
          <w:sz w:val="24"/>
          <w:highlight w:val="none"/>
        </w:rPr>
      </w:pPr>
      <w:r>
        <w:rPr>
          <w:color w:val="000000"/>
          <w:kern w:val="0"/>
          <w:sz w:val="24"/>
          <w:highlight w:val="none"/>
        </w:rPr>
        <w:t>4</w:t>
      </w:r>
      <w:r>
        <w:rPr>
          <w:rFonts w:hint="eastAsia"/>
          <w:color w:val="000000"/>
          <w:kern w:val="0"/>
          <w:sz w:val="24"/>
          <w:highlight w:val="none"/>
        </w:rPr>
        <w:t>.6外壳:主要材质为正面不低于2mm厚度的钢板，表面静电阻燃喷塑，防腐蚀，结构采用拼装式，机械强度高，可方便在现场组装，前后均设检修门，且变压器带外壳运行不降容量。防护等级为IP40，变压器外壳的门，其防护等级与外壳相同,可以防止固体异物进入箱体，为变压器和操作人员提供了安全屏障，适用于户内运行。在维护时，如需要打开变压器外壳的门，有可靠的联锁装置来保证操作者的安全。外壳配置行程开关，实现开门报警功能。</w:t>
      </w:r>
    </w:p>
    <w:p>
      <w:pPr>
        <w:pStyle w:val="3"/>
        <w:rPr>
          <w:sz w:val="28"/>
          <w:szCs w:val="28"/>
          <w:highlight w:val="none"/>
        </w:rPr>
      </w:pPr>
      <w:bookmarkStart w:id="85" w:name="_Toc133335372"/>
      <w:r>
        <w:rPr>
          <w:sz w:val="28"/>
          <w:szCs w:val="28"/>
          <w:highlight w:val="none"/>
        </w:rPr>
        <w:t>六、风系统工程技术要求</w:t>
      </w:r>
      <w:bookmarkEnd w:id="85"/>
    </w:p>
    <w:p>
      <w:pPr>
        <w:pStyle w:val="19"/>
        <w:spacing w:before="0" w:beforeAutospacing="0" w:after="0" w:afterAutospacing="0" w:line="360" w:lineRule="auto"/>
        <w:ind w:firstLine="240" w:firstLineChars="100"/>
        <w:jc w:val="both"/>
        <w:rPr>
          <w:rFonts w:ascii="Times New Roman" w:hAnsi="Times New Roman" w:eastAsia="宋体"/>
          <w:color w:val="000000"/>
          <w:highlight w:val="none"/>
        </w:rPr>
      </w:pPr>
      <w:r>
        <w:rPr>
          <w:rFonts w:ascii="Times New Roman" w:hAnsi="Times New Roman" w:eastAsia="宋体"/>
          <w:color w:val="000000"/>
          <w:highlight w:val="none"/>
        </w:rPr>
        <w:t>风管系统包含送风、回风、排风、事故通风、排烟补风、排烟通风等管道系统。</w:t>
      </w:r>
    </w:p>
    <w:p>
      <w:pPr>
        <w:pStyle w:val="3"/>
        <w:rPr>
          <w:highlight w:val="none"/>
        </w:rPr>
      </w:pPr>
      <w:bookmarkStart w:id="86" w:name="_Toc133335373"/>
      <w:bookmarkStart w:id="87" w:name="_Toc3492_WPSOffice_Level3"/>
      <w:r>
        <w:rPr>
          <w:highlight w:val="none"/>
        </w:rPr>
        <w:t>6.1 风管材料要求</w:t>
      </w:r>
      <w:bookmarkEnd w:id="86"/>
      <w:bookmarkEnd w:id="87"/>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6.1.1 工程范围内2%-85%除湿净化所有送风管、回风管，露点≤-45°除湿净化区域（电芯烘烤下料区、注液车间）送风管均采购镀锌板（无油无花），风管采用角钢法兰连接，风机盘管风管采用共板连接，镀锌板厚度符合图纸要求，风管都采用专业风管检漏设备进行中压检漏（检漏标准按国家规范、抽检率10%），确保全部风管的密闭性（送风管钢板厚度符合表1、表2、表4、表5、表6、表7要求），乙方提供相应的检漏报告。</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6.1.2 工程范围内的露点≤-45°，除湿净化回风管均采用304不锈钢满焊风管，法兰采用不锈钢板制作，法兰厚度与风管厚度一致，法兰和风管每条接缝全部采用氩弧焊熔焊工艺制作，风管都需要采用专业风管检漏设备进行检漏（检漏标准按国家规范、抽检率5%），确保全部风管的密闭性（回风管钢板厚度符合表3、表4、表7要求）。乙方提供相应的检漏报告。</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6.1.3 工程范围内一般排风管/氮气间事故通风管（低压）、排烟补风管（中、低压）、排烟通风管（高压）均采用镀锌板，其余事故通风管采用不锈钢内衬特氟龙（中、低压），风管采用角钢法兰连接，镀锌板厚度符合图纸要求，风管都采用专业风管检漏设备进行对应压力检漏（检漏标准按国家规范、抽检率10%），确保全部风管的密闭性（送风管钢板厚度符合表1、表2、表4、表5、表6、表7要求），乙方提供相应的检漏报告。</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6.1.4 空调风管应进行必要的保温处理，保温层应为B1级橡塑板，厚度25mm（室内），厚度50mm（室外），参数详见图纸，(材料入场时提供出厂检测报告)。</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6.1.5 排烟通风管采用岩棉板保温，保温厚度50mm，参数详见图纸，(材料入场时提供出厂检测报告)。</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6.1.6 风管软接头为防火帆布或双层人造革（内外表面均光滑），保温与风管相同。</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6.1.7 工程范围内NMP真空系统及其他真空系统管材详见图纸。</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6.1.8 工程范围内集尘系统管材详见图纸。</w:t>
      </w:r>
    </w:p>
    <w:p>
      <w:pPr>
        <w:pStyle w:val="3"/>
        <w:rPr>
          <w:highlight w:val="none"/>
        </w:rPr>
      </w:pPr>
      <w:bookmarkStart w:id="88" w:name="_Toc133335374"/>
      <w:bookmarkStart w:id="89" w:name="_Toc7176_WPSOffice_Level3"/>
      <w:r>
        <w:rPr>
          <w:highlight w:val="none"/>
        </w:rPr>
        <w:t>6.2 风管制作要求</w:t>
      </w:r>
      <w:bookmarkEnd w:id="88"/>
      <w:bookmarkEnd w:id="89"/>
    </w:p>
    <w:p>
      <w:pPr>
        <w:pStyle w:val="19"/>
        <w:spacing w:before="0" w:beforeAutospacing="0" w:after="0" w:afterAutospacing="0" w:line="360" w:lineRule="auto"/>
        <w:jc w:val="both"/>
        <w:rPr>
          <w:rFonts w:ascii="Times New Roman" w:hAnsi="Times New Roman" w:eastAsia="宋体"/>
          <w:color w:val="000000"/>
          <w:highlight w:val="none"/>
        </w:rPr>
      </w:pPr>
      <w:bookmarkStart w:id="90" w:name="_Toc32097_WPSOffice_Level3"/>
      <w:r>
        <w:rPr>
          <w:rFonts w:ascii="Times New Roman" w:hAnsi="Times New Roman" w:eastAsia="宋体"/>
          <w:color w:val="000000"/>
          <w:highlight w:val="none"/>
        </w:rPr>
        <w:t xml:space="preserve">6.2.1 </w:t>
      </w:r>
      <w:r>
        <w:rPr>
          <w:rFonts w:hint="eastAsia" w:ascii="Times New Roman" w:hAnsi="Times New Roman" w:eastAsia="宋体"/>
          <w:color w:val="000000"/>
          <w:highlight w:val="none"/>
        </w:rPr>
        <w:t>除湿系统风管必须全部采用法兰连接，</w:t>
      </w:r>
      <w:r>
        <w:rPr>
          <w:rFonts w:ascii="Times New Roman" w:hAnsi="Times New Roman" w:eastAsia="宋体"/>
          <w:color w:val="000000"/>
          <w:highlight w:val="none"/>
        </w:rPr>
        <w:t>制作风管的新钢板必须先清洗油污后制作；</w:t>
      </w:r>
      <w:bookmarkEnd w:id="90"/>
    </w:p>
    <w:p>
      <w:pPr>
        <w:pStyle w:val="19"/>
        <w:spacing w:before="0" w:beforeAutospacing="0" w:after="0" w:afterAutospacing="0" w:line="360" w:lineRule="auto"/>
        <w:jc w:val="both"/>
        <w:rPr>
          <w:rFonts w:ascii="Times New Roman" w:hAnsi="Times New Roman" w:eastAsia="宋体"/>
          <w:color w:val="000000"/>
          <w:highlight w:val="none"/>
        </w:rPr>
      </w:pPr>
      <w:bookmarkStart w:id="91" w:name="_Toc22714_WPSOffice_Level3"/>
      <w:r>
        <w:rPr>
          <w:rFonts w:ascii="Times New Roman" w:hAnsi="Times New Roman" w:eastAsia="宋体"/>
          <w:color w:val="000000"/>
          <w:highlight w:val="none"/>
        </w:rPr>
        <w:t>6.2.2 单节风管长度小于1500mm，当矩形风管边长大于630mm，或矩形保温风管边长大于800mm，且其管段长度大于1200mm时，均应采取加固措施；</w:t>
      </w:r>
      <w:bookmarkEnd w:id="91"/>
    </w:p>
    <w:p>
      <w:pPr>
        <w:pStyle w:val="19"/>
        <w:spacing w:before="0" w:beforeAutospacing="0" w:after="0" w:afterAutospacing="0" w:line="360" w:lineRule="auto"/>
        <w:jc w:val="both"/>
        <w:rPr>
          <w:rFonts w:ascii="Times New Roman" w:hAnsi="Times New Roman" w:eastAsia="宋体"/>
          <w:color w:val="000000"/>
          <w:highlight w:val="none"/>
        </w:rPr>
      </w:pPr>
      <w:bookmarkStart w:id="92" w:name="_Toc6583_WPSOffice_Level3"/>
      <w:r>
        <w:rPr>
          <w:rFonts w:ascii="Times New Roman" w:hAnsi="Times New Roman" w:eastAsia="宋体"/>
          <w:color w:val="000000"/>
          <w:highlight w:val="none"/>
        </w:rPr>
        <w:t>6.2.3 风管法兰连接的螺栓及铆钉孔的间距≤90mm；</w:t>
      </w:r>
      <w:bookmarkEnd w:id="92"/>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6.2.4 风管密封要在风管正压侧打胶，即：正压系统在风管内侧打胶,负压系统在风管外侧打胶,风管的法兰转角处及其他连接件处内外都打胶；</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6.2.5 打胶要平整、严密,不出现打胶凹凸不平、漏打等不合格现象；</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6.2.6 风管在咬口缝、折边及铆接处等有损伤时，就进行防腐处理；</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6.2.7 制作完成后对风管内表面先用吸尘器清洁，再用清洁水二次清洁，经查达到标准后再进行下步步骤。检查方案如下：</w:t>
      </w:r>
    </w:p>
    <w:tbl>
      <w:tblPr>
        <w:tblStyle w:val="16"/>
        <w:tblW w:w="9420" w:type="dxa"/>
        <w:tblInd w:w="0" w:type="dxa"/>
        <w:tblLayout w:type="fixed"/>
        <w:tblCellMar>
          <w:top w:w="15" w:type="dxa"/>
          <w:left w:w="15" w:type="dxa"/>
          <w:bottom w:w="15" w:type="dxa"/>
          <w:right w:w="15" w:type="dxa"/>
        </w:tblCellMar>
      </w:tblPr>
      <w:tblGrid>
        <w:gridCol w:w="1005"/>
        <w:gridCol w:w="1830"/>
        <w:gridCol w:w="4305"/>
        <w:gridCol w:w="2280"/>
      </w:tblGrid>
      <w:tr>
        <w:tblPrEx>
          <w:tblCellMar>
            <w:top w:w="15" w:type="dxa"/>
            <w:left w:w="15" w:type="dxa"/>
            <w:bottom w:w="15" w:type="dxa"/>
            <w:right w:w="15" w:type="dxa"/>
          </w:tblCellMar>
        </w:tblPrEx>
        <w:trPr>
          <w:trHeight w:val="411" w:hRule="atLeast"/>
        </w:trPr>
        <w:tc>
          <w:tcPr>
            <w:tcW w:w="10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序号</w:t>
            </w:r>
          </w:p>
        </w:tc>
        <w:tc>
          <w:tcPr>
            <w:tcW w:w="1830"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项目</w:t>
            </w:r>
          </w:p>
        </w:tc>
        <w:tc>
          <w:tcPr>
            <w:tcW w:w="43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要求</w:t>
            </w:r>
          </w:p>
        </w:tc>
        <w:tc>
          <w:tcPr>
            <w:tcW w:w="2280"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备注</w:t>
            </w:r>
          </w:p>
        </w:tc>
      </w:tr>
      <w:tr>
        <w:tblPrEx>
          <w:tblCellMar>
            <w:top w:w="15" w:type="dxa"/>
            <w:left w:w="15" w:type="dxa"/>
            <w:bottom w:w="15" w:type="dxa"/>
            <w:right w:w="15" w:type="dxa"/>
          </w:tblCellMar>
        </w:tblPrEx>
        <w:trPr>
          <w:trHeight w:val="386" w:hRule="atLeast"/>
        </w:trPr>
        <w:tc>
          <w:tcPr>
            <w:tcW w:w="10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c>
          <w:tcPr>
            <w:tcW w:w="183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检查数量</w:t>
            </w:r>
          </w:p>
        </w:tc>
        <w:tc>
          <w:tcPr>
            <w:tcW w:w="430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按规格批抽查20%</w:t>
            </w:r>
          </w:p>
        </w:tc>
        <w:tc>
          <w:tcPr>
            <w:tcW w:w="228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377" w:hRule="atLeast"/>
        </w:trPr>
        <w:tc>
          <w:tcPr>
            <w:tcW w:w="10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w:t>
            </w:r>
          </w:p>
        </w:tc>
        <w:tc>
          <w:tcPr>
            <w:tcW w:w="1830" w:type="dxa"/>
            <w:vMerge w:val="restart"/>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清洁标准</w:t>
            </w:r>
          </w:p>
        </w:tc>
        <w:tc>
          <w:tcPr>
            <w:tcW w:w="430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外观检查无变形、无损伤、无漏胶等</w:t>
            </w:r>
          </w:p>
        </w:tc>
        <w:tc>
          <w:tcPr>
            <w:tcW w:w="228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rPr>
          <w:trHeight w:val="90" w:hRule="atLeast"/>
        </w:trPr>
        <w:tc>
          <w:tcPr>
            <w:tcW w:w="10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w:t>
            </w:r>
          </w:p>
        </w:tc>
        <w:tc>
          <w:tcPr>
            <w:tcW w:w="1830"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430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用白色无纺布擦拭无明显污渍</w:t>
            </w:r>
          </w:p>
        </w:tc>
        <w:tc>
          <w:tcPr>
            <w:tcW w:w="228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bl>
    <w:p>
      <w:pPr>
        <w:pStyle w:val="19"/>
        <w:spacing w:before="0" w:beforeAutospacing="0" w:after="0" w:afterAutospacing="0" w:line="360" w:lineRule="auto"/>
        <w:jc w:val="both"/>
        <w:rPr>
          <w:rFonts w:ascii="Times New Roman" w:hAnsi="Times New Roman" w:eastAsia="宋体"/>
          <w:color w:val="000000"/>
          <w:highlight w:val="none"/>
        </w:rPr>
      </w:pPr>
      <w:bookmarkStart w:id="93" w:name="_Toc10774_WPSOffice_Level3"/>
      <w:r>
        <w:rPr>
          <w:rFonts w:ascii="Times New Roman" w:hAnsi="Times New Roman" w:eastAsia="宋体"/>
          <w:color w:val="000000"/>
          <w:highlight w:val="none"/>
        </w:rPr>
        <w:t>6.2.8 风管清洗后以漏光进行风管制作质量检查，检查方案如下：</w:t>
      </w:r>
      <w:bookmarkEnd w:id="93"/>
    </w:p>
    <w:tbl>
      <w:tblPr>
        <w:tblStyle w:val="16"/>
        <w:tblW w:w="9420" w:type="dxa"/>
        <w:tblInd w:w="0" w:type="dxa"/>
        <w:tblLayout w:type="fixed"/>
        <w:tblCellMar>
          <w:top w:w="15" w:type="dxa"/>
          <w:left w:w="15" w:type="dxa"/>
          <w:bottom w:w="15" w:type="dxa"/>
          <w:right w:w="15" w:type="dxa"/>
        </w:tblCellMar>
      </w:tblPr>
      <w:tblGrid>
        <w:gridCol w:w="1005"/>
        <w:gridCol w:w="1830"/>
        <w:gridCol w:w="4305"/>
        <w:gridCol w:w="2280"/>
      </w:tblGrid>
      <w:tr>
        <w:tblPrEx>
          <w:tblCellMar>
            <w:top w:w="15" w:type="dxa"/>
            <w:left w:w="15" w:type="dxa"/>
            <w:bottom w:w="15" w:type="dxa"/>
            <w:right w:w="15" w:type="dxa"/>
          </w:tblCellMar>
        </w:tblPrEx>
        <w:trPr>
          <w:trHeight w:val="104" w:hRule="atLeast"/>
        </w:trPr>
        <w:tc>
          <w:tcPr>
            <w:tcW w:w="10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序号</w:t>
            </w:r>
          </w:p>
        </w:tc>
        <w:tc>
          <w:tcPr>
            <w:tcW w:w="1830"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项目</w:t>
            </w:r>
          </w:p>
        </w:tc>
        <w:tc>
          <w:tcPr>
            <w:tcW w:w="43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要求</w:t>
            </w:r>
          </w:p>
        </w:tc>
        <w:tc>
          <w:tcPr>
            <w:tcW w:w="2280"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备注</w:t>
            </w:r>
          </w:p>
        </w:tc>
      </w:tr>
      <w:tr>
        <w:tblPrEx>
          <w:tblCellMar>
            <w:top w:w="15" w:type="dxa"/>
            <w:left w:w="15" w:type="dxa"/>
            <w:bottom w:w="15" w:type="dxa"/>
            <w:right w:w="15" w:type="dxa"/>
          </w:tblCellMar>
        </w:tblPrEx>
        <w:trPr>
          <w:trHeight w:val="90" w:hRule="atLeast"/>
        </w:trPr>
        <w:tc>
          <w:tcPr>
            <w:tcW w:w="10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c>
          <w:tcPr>
            <w:tcW w:w="183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检查数量</w:t>
            </w:r>
          </w:p>
        </w:tc>
        <w:tc>
          <w:tcPr>
            <w:tcW w:w="430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按规格批抽查20%，且不得少于15米</w:t>
            </w:r>
          </w:p>
        </w:tc>
        <w:tc>
          <w:tcPr>
            <w:tcW w:w="228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90" w:hRule="atLeast"/>
        </w:trPr>
        <w:tc>
          <w:tcPr>
            <w:tcW w:w="10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w:t>
            </w:r>
          </w:p>
        </w:tc>
        <w:tc>
          <w:tcPr>
            <w:tcW w:w="183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清洁方法</w:t>
            </w:r>
          </w:p>
        </w:tc>
        <w:tc>
          <w:tcPr>
            <w:tcW w:w="430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观察检查</w:t>
            </w:r>
          </w:p>
        </w:tc>
        <w:tc>
          <w:tcPr>
            <w:tcW w:w="228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宜在夜间进行</w:t>
            </w:r>
          </w:p>
        </w:tc>
      </w:tr>
      <w:tr>
        <w:tblPrEx>
          <w:tblCellMar>
            <w:top w:w="15" w:type="dxa"/>
            <w:left w:w="15" w:type="dxa"/>
            <w:bottom w:w="15" w:type="dxa"/>
            <w:right w:w="15" w:type="dxa"/>
          </w:tblCellMar>
        </w:tblPrEx>
        <w:trPr>
          <w:trHeight w:val="90" w:hRule="atLeast"/>
        </w:trPr>
        <w:tc>
          <w:tcPr>
            <w:tcW w:w="100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w:t>
            </w:r>
          </w:p>
        </w:tc>
        <w:tc>
          <w:tcPr>
            <w:tcW w:w="183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检查标准</w:t>
            </w:r>
          </w:p>
        </w:tc>
        <w:tc>
          <w:tcPr>
            <w:tcW w:w="430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外观检查无漏光</w:t>
            </w:r>
          </w:p>
        </w:tc>
        <w:tc>
          <w:tcPr>
            <w:tcW w:w="2280"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bl>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6.2.9 在上述检查合格后用保鲜膜对风管两个管口进行密封处理并存放在清洁的房间内，避免积尘、受潮及变形。</w:t>
      </w:r>
      <w:bookmarkStart w:id="94" w:name="_Toc133335375"/>
    </w:p>
    <w:p>
      <w:pPr>
        <w:pStyle w:val="19"/>
        <w:spacing w:before="0" w:beforeAutospacing="0" w:after="0" w:afterAutospacing="0" w:line="360" w:lineRule="auto"/>
        <w:jc w:val="both"/>
        <w:rPr>
          <w:rFonts w:ascii="Times New Roman" w:hAnsi="Times New Roman" w:eastAsia="宋体"/>
          <w:b/>
          <w:bCs/>
          <w:sz w:val="28"/>
          <w:szCs w:val="32"/>
          <w:highlight w:val="none"/>
        </w:rPr>
      </w:pPr>
      <w:r>
        <w:rPr>
          <w:rFonts w:ascii="Times New Roman" w:hAnsi="Times New Roman" w:eastAsia="宋体"/>
          <w:b/>
          <w:bCs/>
          <w:sz w:val="28"/>
          <w:szCs w:val="32"/>
          <w:highlight w:val="none"/>
        </w:rPr>
        <w:t>6.3 风管安装要求</w:t>
      </w:r>
      <w:bookmarkEnd w:id="94"/>
      <w:bookmarkStart w:id="95" w:name="_Toc133335376"/>
    </w:p>
    <w:p>
      <w:pPr>
        <w:pStyle w:val="19"/>
        <w:spacing w:before="0" w:beforeAutospacing="0" w:after="0" w:afterAutospacing="0" w:line="360" w:lineRule="auto"/>
        <w:jc w:val="both"/>
        <w:rPr>
          <w:rFonts w:ascii="宋体" w:hAnsi="宋体" w:eastAsia="宋体"/>
          <w:b/>
          <w:bCs/>
          <w:sz w:val="28"/>
          <w:szCs w:val="32"/>
          <w:highlight w:val="none"/>
        </w:rPr>
      </w:pPr>
      <w:r>
        <w:rPr>
          <w:rFonts w:ascii="宋体" w:hAnsi="宋体" w:eastAsia="宋体"/>
          <w:b/>
          <w:highlight w:val="none"/>
        </w:rPr>
        <w:t>6.3.1 支吊架预制安装</w:t>
      </w:r>
      <w:bookmarkEnd w:id="95"/>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6.3.1.1 本项目洁净室内的支吊架全部采用不锈钢方管制成的轻钢支架系统。经过对风管的支吊架荷载计算，不同风管支吊架做法需满足如表1、表2要求;</w:t>
      </w:r>
    </w:p>
    <w:p>
      <w:pPr>
        <w:pStyle w:val="19"/>
        <w:spacing w:before="0" w:beforeAutospacing="0" w:after="0" w:afterAutospacing="0" w:line="360" w:lineRule="auto"/>
        <w:jc w:val="center"/>
        <w:rPr>
          <w:rFonts w:ascii="Times New Roman" w:hAnsi="Times New Roman" w:eastAsia="宋体"/>
          <w:color w:val="000000"/>
          <w:highlight w:val="none"/>
        </w:rPr>
      </w:pPr>
      <w:r>
        <w:rPr>
          <w:rFonts w:ascii="Times New Roman" w:hAnsi="Times New Roman" w:eastAsia="宋体"/>
          <w:color w:val="000000"/>
          <w:highlight w:val="none"/>
        </w:rPr>
        <w:t>表1 低、中压风管支吊架规格</w:t>
      </w:r>
    </w:p>
    <w:tbl>
      <w:tblPr>
        <w:tblStyle w:val="16"/>
        <w:tblW w:w="9663" w:type="dxa"/>
        <w:tblInd w:w="-243" w:type="dxa"/>
        <w:tblLayout w:type="fixed"/>
        <w:tblCellMar>
          <w:top w:w="15" w:type="dxa"/>
          <w:left w:w="15" w:type="dxa"/>
          <w:bottom w:w="15" w:type="dxa"/>
          <w:right w:w="15" w:type="dxa"/>
        </w:tblCellMar>
      </w:tblPr>
      <w:tblGrid>
        <w:gridCol w:w="754"/>
        <w:gridCol w:w="2028"/>
        <w:gridCol w:w="1327"/>
        <w:gridCol w:w="2636"/>
        <w:gridCol w:w="1664"/>
        <w:gridCol w:w="1254"/>
      </w:tblGrid>
      <w:tr>
        <w:tblPrEx>
          <w:tblCellMar>
            <w:top w:w="15" w:type="dxa"/>
            <w:left w:w="15" w:type="dxa"/>
            <w:bottom w:w="15" w:type="dxa"/>
            <w:right w:w="15" w:type="dxa"/>
          </w:tblCellMar>
        </w:tblPrEx>
        <w:trPr>
          <w:trHeight w:val="910" w:hRule="atLeast"/>
        </w:trPr>
        <w:tc>
          <w:tcPr>
            <w:tcW w:w="75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序号</w:t>
            </w:r>
          </w:p>
        </w:tc>
        <w:tc>
          <w:tcPr>
            <w:tcW w:w="202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矩形风管</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长边尺寸b(mm)</w:t>
            </w:r>
          </w:p>
        </w:tc>
        <w:tc>
          <w:tcPr>
            <w:tcW w:w="13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钢板厚度</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(mm)</w:t>
            </w:r>
          </w:p>
        </w:tc>
        <w:tc>
          <w:tcPr>
            <w:tcW w:w="263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支撑吊架类型</w:t>
            </w:r>
          </w:p>
        </w:tc>
        <w:tc>
          <w:tcPr>
            <w:tcW w:w="16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吊架最大间距(m)</w:t>
            </w:r>
          </w:p>
        </w:tc>
        <w:tc>
          <w:tcPr>
            <w:tcW w:w="125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采用吊杆</w:t>
            </w:r>
          </w:p>
        </w:tc>
      </w:tr>
      <w:tr>
        <w:tblPrEx>
          <w:tblCellMar>
            <w:top w:w="15" w:type="dxa"/>
            <w:left w:w="15" w:type="dxa"/>
            <w:bottom w:w="15" w:type="dxa"/>
            <w:right w:w="15" w:type="dxa"/>
          </w:tblCellMar>
        </w:tblPrEx>
        <w:trPr>
          <w:trHeight w:val="347" w:hRule="atLeast"/>
        </w:trPr>
        <w:tc>
          <w:tcPr>
            <w:tcW w:w="75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c>
          <w:tcPr>
            <w:tcW w:w="202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b≤320</w:t>
            </w:r>
          </w:p>
        </w:tc>
        <w:tc>
          <w:tcPr>
            <w:tcW w:w="13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0.5</w:t>
            </w:r>
          </w:p>
        </w:tc>
        <w:tc>
          <w:tcPr>
            <w:tcW w:w="26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C型钢25*41</w:t>
            </w:r>
          </w:p>
        </w:tc>
        <w:tc>
          <w:tcPr>
            <w:tcW w:w="16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w:t>
            </w:r>
          </w:p>
        </w:tc>
        <w:tc>
          <w:tcPr>
            <w:tcW w:w="12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8mm</w:t>
            </w:r>
          </w:p>
        </w:tc>
      </w:tr>
      <w:tr>
        <w:tblPrEx>
          <w:tblCellMar>
            <w:top w:w="15" w:type="dxa"/>
            <w:left w:w="15" w:type="dxa"/>
            <w:bottom w:w="15" w:type="dxa"/>
            <w:right w:w="15" w:type="dxa"/>
          </w:tblCellMar>
        </w:tblPrEx>
        <w:trPr>
          <w:trHeight w:val="410" w:hRule="atLeast"/>
        </w:trPr>
        <w:tc>
          <w:tcPr>
            <w:tcW w:w="75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w:t>
            </w:r>
          </w:p>
        </w:tc>
        <w:tc>
          <w:tcPr>
            <w:tcW w:w="202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320&lt;b≤630</w:t>
            </w:r>
          </w:p>
        </w:tc>
        <w:tc>
          <w:tcPr>
            <w:tcW w:w="13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0.6</w:t>
            </w:r>
          </w:p>
        </w:tc>
        <w:tc>
          <w:tcPr>
            <w:tcW w:w="26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C型钢25*41</w:t>
            </w:r>
          </w:p>
        </w:tc>
        <w:tc>
          <w:tcPr>
            <w:tcW w:w="16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w:t>
            </w:r>
          </w:p>
        </w:tc>
        <w:tc>
          <w:tcPr>
            <w:tcW w:w="12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8mm</w:t>
            </w:r>
          </w:p>
        </w:tc>
      </w:tr>
      <w:tr>
        <w:tblPrEx>
          <w:tblCellMar>
            <w:top w:w="15" w:type="dxa"/>
            <w:left w:w="15" w:type="dxa"/>
            <w:bottom w:w="15" w:type="dxa"/>
            <w:right w:w="15" w:type="dxa"/>
          </w:tblCellMar>
        </w:tblPrEx>
        <w:trPr>
          <w:trHeight w:val="464" w:hRule="atLeast"/>
        </w:trPr>
        <w:tc>
          <w:tcPr>
            <w:tcW w:w="75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w:t>
            </w:r>
          </w:p>
        </w:tc>
        <w:tc>
          <w:tcPr>
            <w:tcW w:w="202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630&lt;b≤1000</w:t>
            </w:r>
          </w:p>
        </w:tc>
        <w:tc>
          <w:tcPr>
            <w:tcW w:w="13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0.75</w:t>
            </w:r>
          </w:p>
        </w:tc>
        <w:tc>
          <w:tcPr>
            <w:tcW w:w="26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C型钢41*41</w:t>
            </w:r>
          </w:p>
        </w:tc>
        <w:tc>
          <w:tcPr>
            <w:tcW w:w="16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w:t>
            </w:r>
          </w:p>
        </w:tc>
        <w:tc>
          <w:tcPr>
            <w:tcW w:w="12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8mm</w:t>
            </w:r>
          </w:p>
        </w:tc>
      </w:tr>
      <w:tr>
        <w:tblPrEx>
          <w:tblCellMar>
            <w:top w:w="15" w:type="dxa"/>
            <w:left w:w="15" w:type="dxa"/>
            <w:bottom w:w="15" w:type="dxa"/>
            <w:right w:w="15" w:type="dxa"/>
          </w:tblCellMar>
        </w:tblPrEx>
        <w:trPr>
          <w:trHeight w:val="464" w:hRule="atLeast"/>
        </w:trPr>
        <w:tc>
          <w:tcPr>
            <w:tcW w:w="75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w:t>
            </w:r>
          </w:p>
        </w:tc>
        <w:tc>
          <w:tcPr>
            <w:tcW w:w="202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1000&lt;b≤2000</w:t>
            </w:r>
          </w:p>
        </w:tc>
        <w:tc>
          <w:tcPr>
            <w:tcW w:w="13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w:t>
            </w:r>
          </w:p>
        </w:tc>
        <w:tc>
          <w:tcPr>
            <w:tcW w:w="26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背靠背C型钢41*41</w:t>
            </w:r>
          </w:p>
        </w:tc>
        <w:tc>
          <w:tcPr>
            <w:tcW w:w="16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w:t>
            </w:r>
          </w:p>
        </w:tc>
        <w:tc>
          <w:tcPr>
            <w:tcW w:w="12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10mm</w:t>
            </w:r>
          </w:p>
        </w:tc>
      </w:tr>
      <w:tr>
        <w:tblPrEx>
          <w:tblCellMar>
            <w:top w:w="15" w:type="dxa"/>
            <w:left w:w="15" w:type="dxa"/>
            <w:bottom w:w="15" w:type="dxa"/>
            <w:right w:w="15" w:type="dxa"/>
          </w:tblCellMar>
        </w:tblPrEx>
        <w:trPr>
          <w:trHeight w:val="437" w:hRule="atLeast"/>
        </w:trPr>
        <w:tc>
          <w:tcPr>
            <w:tcW w:w="75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w:t>
            </w:r>
          </w:p>
        </w:tc>
        <w:tc>
          <w:tcPr>
            <w:tcW w:w="202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b&gt;2000</w:t>
            </w:r>
          </w:p>
        </w:tc>
        <w:tc>
          <w:tcPr>
            <w:tcW w:w="13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w:t>
            </w:r>
          </w:p>
        </w:tc>
        <w:tc>
          <w:tcPr>
            <w:tcW w:w="26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背靠背C型钢62*41</w:t>
            </w:r>
          </w:p>
        </w:tc>
        <w:tc>
          <w:tcPr>
            <w:tcW w:w="16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w:t>
            </w:r>
          </w:p>
        </w:tc>
        <w:tc>
          <w:tcPr>
            <w:tcW w:w="12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10mm</w:t>
            </w:r>
          </w:p>
        </w:tc>
      </w:tr>
    </w:tbl>
    <w:p>
      <w:pPr>
        <w:pStyle w:val="19"/>
        <w:spacing w:before="0" w:beforeAutospacing="0" w:after="0" w:afterAutospacing="0" w:line="360" w:lineRule="auto"/>
        <w:jc w:val="center"/>
        <w:rPr>
          <w:rFonts w:ascii="Times New Roman" w:hAnsi="Times New Roman" w:eastAsia="宋体"/>
          <w:color w:val="000000"/>
          <w:highlight w:val="none"/>
        </w:rPr>
      </w:pPr>
    </w:p>
    <w:p>
      <w:pPr>
        <w:pStyle w:val="19"/>
        <w:spacing w:before="0" w:beforeAutospacing="0" w:after="0" w:afterAutospacing="0" w:line="360" w:lineRule="auto"/>
        <w:jc w:val="center"/>
        <w:rPr>
          <w:rFonts w:ascii="Times New Roman" w:hAnsi="Times New Roman" w:eastAsia="宋体"/>
          <w:color w:val="000000"/>
          <w:highlight w:val="none"/>
        </w:rPr>
      </w:pPr>
      <w:r>
        <w:rPr>
          <w:rFonts w:ascii="Times New Roman" w:hAnsi="Times New Roman" w:eastAsia="宋体"/>
          <w:color w:val="000000"/>
          <w:highlight w:val="none"/>
        </w:rPr>
        <w:t>表2 高压风管支吊架规格</w:t>
      </w:r>
    </w:p>
    <w:tbl>
      <w:tblPr>
        <w:tblStyle w:val="16"/>
        <w:tblW w:w="9555" w:type="dxa"/>
        <w:tblInd w:w="-89" w:type="dxa"/>
        <w:tblLayout w:type="fixed"/>
        <w:tblCellMar>
          <w:top w:w="15" w:type="dxa"/>
          <w:left w:w="15" w:type="dxa"/>
          <w:bottom w:w="15" w:type="dxa"/>
          <w:right w:w="15" w:type="dxa"/>
        </w:tblCellMar>
      </w:tblPr>
      <w:tblGrid>
        <w:gridCol w:w="746"/>
        <w:gridCol w:w="1954"/>
        <w:gridCol w:w="1191"/>
        <w:gridCol w:w="2500"/>
        <w:gridCol w:w="1900"/>
        <w:gridCol w:w="1264"/>
      </w:tblGrid>
      <w:tr>
        <w:tblPrEx>
          <w:tblCellMar>
            <w:top w:w="15" w:type="dxa"/>
            <w:left w:w="15" w:type="dxa"/>
            <w:bottom w:w="15" w:type="dxa"/>
            <w:right w:w="15" w:type="dxa"/>
          </w:tblCellMar>
        </w:tblPrEx>
        <w:trPr>
          <w:trHeight w:val="910" w:hRule="atLeast"/>
        </w:trPr>
        <w:tc>
          <w:tcPr>
            <w:tcW w:w="74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序号</w:t>
            </w:r>
          </w:p>
        </w:tc>
        <w:tc>
          <w:tcPr>
            <w:tcW w:w="195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矩形风管</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长边尺寸b(mm)</w:t>
            </w:r>
          </w:p>
        </w:tc>
        <w:tc>
          <w:tcPr>
            <w:tcW w:w="119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钢板厚度(mm)</w:t>
            </w:r>
          </w:p>
        </w:tc>
        <w:tc>
          <w:tcPr>
            <w:tcW w:w="250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支撑吊架类型</w:t>
            </w:r>
          </w:p>
        </w:tc>
        <w:tc>
          <w:tcPr>
            <w:tcW w:w="190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吊架最大间距</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w:t>
            </w:r>
          </w:p>
        </w:tc>
        <w:tc>
          <w:tcPr>
            <w:tcW w:w="12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采用吊杆</w:t>
            </w:r>
          </w:p>
        </w:tc>
      </w:tr>
      <w:tr>
        <w:tblPrEx>
          <w:tblCellMar>
            <w:top w:w="15" w:type="dxa"/>
            <w:left w:w="15" w:type="dxa"/>
            <w:bottom w:w="15" w:type="dxa"/>
            <w:right w:w="15" w:type="dxa"/>
          </w:tblCellMar>
        </w:tblPrEx>
        <w:trPr>
          <w:trHeight w:val="464" w:hRule="atLeast"/>
        </w:trPr>
        <w:tc>
          <w:tcPr>
            <w:tcW w:w="74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c>
          <w:tcPr>
            <w:tcW w:w="19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b≤320</w:t>
            </w:r>
          </w:p>
        </w:tc>
        <w:tc>
          <w:tcPr>
            <w:tcW w:w="119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0.8</w:t>
            </w:r>
          </w:p>
        </w:tc>
        <w:tc>
          <w:tcPr>
            <w:tcW w:w="25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C型钢25*41</w:t>
            </w:r>
          </w:p>
        </w:tc>
        <w:tc>
          <w:tcPr>
            <w:tcW w:w="19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3.0M</w:t>
            </w:r>
          </w:p>
        </w:tc>
        <w:tc>
          <w:tcPr>
            <w:tcW w:w="12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8mm</w:t>
            </w:r>
          </w:p>
        </w:tc>
      </w:tr>
      <w:tr>
        <w:tblPrEx>
          <w:tblCellMar>
            <w:top w:w="15" w:type="dxa"/>
            <w:left w:w="15" w:type="dxa"/>
            <w:bottom w:w="15" w:type="dxa"/>
            <w:right w:w="15" w:type="dxa"/>
          </w:tblCellMar>
        </w:tblPrEx>
        <w:trPr>
          <w:trHeight w:val="464" w:hRule="atLeast"/>
        </w:trPr>
        <w:tc>
          <w:tcPr>
            <w:tcW w:w="74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w:t>
            </w:r>
          </w:p>
        </w:tc>
        <w:tc>
          <w:tcPr>
            <w:tcW w:w="19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320&lt;b≤630</w:t>
            </w:r>
          </w:p>
        </w:tc>
        <w:tc>
          <w:tcPr>
            <w:tcW w:w="119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0.8</w:t>
            </w:r>
          </w:p>
        </w:tc>
        <w:tc>
          <w:tcPr>
            <w:tcW w:w="25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C型钢25*41</w:t>
            </w:r>
          </w:p>
        </w:tc>
        <w:tc>
          <w:tcPr>
            <w:tcW w:w="19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3.0M</w:t>
            </w:r>
          </w:p>
        </w:tc>
        <w:tc>
          <w:tcPr>
            <w:tcW w:w="12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8mm</w:t>
            </w:r>
          </w:p>
        </w:tc>
      </w:tr>
      <w:tr>
        <w:tblPrEx>
          <w:tblCellMar>
            <w:top w:w="15" w:type="dxa"/>
            <w:left w:w="15" w:type="dxa"/>
            <w:bottom w:w="15" w:type="dxa"/>
            <w:right w:w="15" w:type="dxa"/>
          </w:tblCellMar>
        </w:tblPrEx>
        <w:trPr>
          <w:trHeight w:val="464" w:hRule="atLeast"/>
        </w:trPr>
        <w:tc>
          <w:tcPr>
            <w:tcW w:w="74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w:t>
            </w:r>
          </w:p>
        </w:tc>
        <w:tc>
          <w:tcPr>
            <w:tcW w:w="19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630&lt;b≤1250</w:t>
            </w:r>
          </w:p>
        </w:tc>
        <w:tc>
          <w:tcPr>
            <w:tcW w:w="119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w:t>
            </w:r>
          </w:p>
        </w:tc>
        <w:tc>
          <w:tcPr>
            <w:tcW w:w="25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C型钢25*41</w:t>
            </w:r>
          </w:p>
        </w:tc>
        <w:tc>
          <w:tcPr>
            <w:tcW w:w="19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3.0M</w:t>
            </w:r>
          </w:p>
        </w:tc>
        <w:tc>
          <w:tcPr>
            <w:tcW w:w="12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8mm</w:t>
            </w:r>
          </w:p>
        </w:tc>
      </w:tr>
      <w:tr>
        <w:tblPrEx>
          <w:tblCellMar>
            <w:top w:w="15" w:type="dxa"/>
            <w:left w:w="15" w:type="dxa"/>
            <w:bottom w:w="15" w:type="dxa"/>
            <w:right w:w="15" w:type="dxa"/>
          </w:tblCellMar>
        </w:tblPrEx>
        <w:trPr>
          <w:trHeight w:val="464" w:hRule="atLeast"/>
        </w:trPr>
        <w:tc>
          <w:tcPr>
            <w:tcW w:w="74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w:t>
            </w:r>
          </w:p>
        </w:tc>
        <w:tc>
          <w:tcPr>
            <w:tcW w:w="19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1250&lt;b≤1500</w:t>
            </w:r>
          </w:p>
        </w:tc>
        <w:tc>
          <w:tcPr>
            <w:tcW w:w="119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w:t>
            </w:r>
          </w:p>
        </w:tc>
        <w:tc>
          <w:tcPr>
            <w:tcW w:w="25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背靠背C型钢41*41</w:t>
            </w:r>
          </w:p>
        </w:tc>
        <w:tc>
          <w:tcPr>
            <w:tcW w:w="19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3.0M</w:t>
            </w:r>
          </w:p>
        </w:tc>
        <w:tc>
          <w:tcPr>
            <w:tcW w:w="12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10mm</w:t>
            </w:r>
          </w:p>
        </w:tc>
      </w:tr>
      <w:tr>
        <w:tblPrEx>
          <w:tblCellMar>
            <w:top w:w="15" w:type="dxa"/>
            <w:left w:w="15" w:type="dxa"/>
            <w:bottom w:w="15" w:type="dxa"/>
            <w:right w:w="15" w:type="dxa"/>
          </w:tblCellMar>
        </w:tblPrEx>
        <w:trPr>
          <w:trHeight w:val="482" w:hRule="atLeast"/>
        </w:trPr>
        <w:tc>
          <w:tcPr>
            <w:tcW w:w="74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w:t>
            </w:r>
          </w:p>
        </w:tc>
        <w:tc>
          <w:tcPr>
            <w:tcW w:w="19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1500&lt;b≤2250</w:t>
            </w:r>
          </w:p>
        </w:tc>
        <w:tc>
          <w:tcPr>
            <w:tcW w:w="119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w:t>
            </w:r>
          </w:p>
        </w:tc>
        <w:tc>
          <w:tcPr>
            <w:tcW w:w="25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背靠背C型钢62*41</w:t>
            </w:r>
          </w:p>
        </w:tc>
        <w:tc>
          <w:tcPr>
            <w:tcW w:w="19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3.0M</w:t>
            </w:r>
          </w:p>
        </w:tc>
        <w:tc>
          <w:tcPr>
            <w:tcW w:w="12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10mm</w:t>
            </w:r>
          </w:p>
        </w:tc>
      </w:tr>
      <w:tr>
        <w:tblPrEx>
          <w:tblCellMar>
            <w:top w:w="15" w:type="dxa"/>
            <w:left w:w="15" w:type="dxa"/>
            <w:bottom w:w="15" w:type="dxa"/>
            <w:right w:w="15" w:type="dxa"/>
          </w:tblCellMar>
        </w:tblPrEx>
        <w:trPr>
          <w:trHeight w:val="482" w:hRule="atLeast"/>
        </w:trPr>
        <w:tc>
          <w:tcPr>
            <w:tcW w:w="74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w:t>
            </w:r>
          </w:p>
        </w:tc>
        <w:tc>
          <w:tcPr>
            <w:tcW w:w="195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b&gt;2250</w:t>
            </w:r>
          </w:p>
        </w:tc>
        <w:tc>
          <w:tcPr>
            <w:tcW w:w="119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w:t>
            </w:r>
          </w:p>
        </w:tc>
        <w:tc>
          <w:tcPr>
            <w:tcW w:w="25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背靠背C型钢62*41</w:t>
            </w:r>
          </w:p>
        </w:tc>
        <w:tc>
          <w:tcPr>
            <w:tcW w:w="19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3.0M</w:t>
            </w:r>
          </w:p>
        </w:tc>
        <w:tc>
          <w:tcPr>
            <w:tcW w:w="12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10mm</w:t>
            </w:r>
          </w:p>
        </w:tc>
      </w:tr>
    </w:tbl>
    <w:p>
      <w:pPr>
        <w:pStyle w:val="19"/>
        <w:spacing w:before="0" w:beforeAutospacing="0" w:after="0" w:afterAutospacing="0" w:line="360" w:lineRule="auto"/>
        <w:jc w:val="center"/>
        <w:rPr>
          <w:rFonts w:ascii="Times New Roman" w:hAnsi="Times New Roman" w:eastAsia="宋体"/>
          <w:color w:val="000000"/>
          <w:highlight w:val="none"/>
        </w:rPr>
      </w:pPr>
    </w:p>
    <w:p>
      <w:pPr>
        <w:pStyle w:val="19"/>
        <w:spacing w:before="0" w:beforeAutospacing="0" w:after="0" w:afterAutospacing="0" w:line="360" w:lineRule="auto"/>
        <w:jc w:val="center"/>
        <w:rPr>
          <w:rFonts w:ascii="Times New Roman" w:hAnsi="Times New Roman" w:eastAsia="宋体"/>
          <w:color w:val="000000"/>
          <w:highlight w:val="none"/>
        </w:rPr>
      </w:pPr>
      <w:r>
        <w:rPr>
          <w:rFonts w:ascii="Times New Roman" w:hAnsi="Times New Roman" w:eastAsia="宋体"/>
          <w:color w:val="000000"/>
          <w:highlight w:val="none"/>
        </w:rPr>
        <w:t>表3 不锈钢风管板材厚度（mm）</w:t>
      </w:r>
    </w:p>
    <w:tbl>
      <w:tblPr>
        <w:tblStyle w:val="16"/>
        <w:tblW w:w="8970" w:type="dxa"/>
        <w:jc w:val="center"/>
        <w:tblLayout w:type="fixed"/>
        <w:tblCellMar>
          <w:top w:w="15" w:type="dxa"/>
          <w:left w:w="15" w:type="dxa"/>
          <w:bottom w:w="15" w:type="dxa"/>
          <w:right w:w="15" w:type="dxa"/>
        </w:tblCellMar>
      </w:tblPr>
      <w:tblGrid>
        <w:gridCol w:w="4950"/>
        <w:gridCol w:w="4020"/>
      </w:tblGrid>
      <w:tr>
        <w:tblPrEx>
          <w:tblCellMar>
            <w:top w:w="15" w:type="dxa"/>
            <w:left w:w="15" w:type="dxa"/>
            <w:bottom w:w="15" w:type="dxa"/>
            <w:right w:w="15" w:type="dxa"/>
          </w:tblCellMar>
        </w:tblPrEx>
        <w:trPr>
          <w:trHeight w:val="405" w:hRule="atLeast"/>
          <w:jc w:val="center"/>
        </w:trPr>
        <w:tc>
          <w:tcPr>
            <w:tcW w:w="49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矩形风管长边尺寸b或圆形风管直径D</w:t>
            </w:r>
          </w:p>
        </w:tc>
        <w:tc>
          <w:tcPr>
            <w:tcW w:w="4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钢板厚度(mm)</w:t>
            </w:r>
          </w:p>
        </w:tc>
      </w:tr>
      <w:tr>
        <w:tblPrEx>
          <w:tblCellMar>
            <w:top w:w="15" w:type="dxa"/>
            <w:left w:w="15" w:type="dxa"/>
            <w:bottom w:w="15" w:type="dxa"/>
            <w:right w:w="15" w:type="dxa"/>
          </w:tblCellMar>
        </w:tblPrEx>
        <w:trPr>
          <w:trHeight w:val="405" w:hRule="atLeast"/>
          <w:jc w:val="center"/>
        </w:trPr>
        <w:tc>
          <w:tcPr>
            <w:tcW w:w="49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b（D）≤500</w:t>
            </w:r>
          </w:p>
        </w:tc>
        <w:tc>
          <w:tcPr>
            <w:tcW w:w="40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0.5</w:t>
            </w:r>
          </w:p>
        </w:tc>
      </w:tr>
      <w:tr>
        <w:tblPrEx>
          <w:tblCellMar>
            <w:top w:w="15" w:type="dxa"/>
            <w:left w:w="15" w:type="dxa"/>
            <w:bottom w:w="15" w:type="dxa"/>
            <w:right w:w="15" w:type="dxa"/>
          </w:tblCellMar>
        </w:tblPrEx>
        <w:trPr>
          <w:trHeight w:val="405" w:hRule="atLeast"/>
          <w:jc w:val="center"/>
        </w:trPr>
        <w:tc>
          <w:tcPr>
            <w:tcW w:w="49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500&lt;b（D）≤1120</w:t>
            </w:r>
          </w:p>
        </w:tc>
        <w:tc>
          <w:tcPr>
            <w:tcW w:w="40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0.75</w:t>
            </w:r>
          </w:p>
        </w:tc>
      </w:tr>
      <w:tr>
        <w:tblPrEx>
          <w:tblCellMar>
            <w:top w:w="15" w:type="dxa"/>
            <w:left w:w="15" w:type="dxa"/>
            <w:bottom w:w="15" w:type="dxa"/>
            <w:right w:w="15" w:type="dxa"/>
          </w:tblCellMar>
        </w:tblPrEx>
        <w:trPr>
          <w:trHeight w:val="405" w:hRule="atLeast"/>
          <w:jc w:val="center"/>
        </w:trPr>
        <w:tc>
          <w:tcPr>
            <w:tcW w:w="49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1120&lt;b（D）≤2000</w:t>
            </w:r>
          </w:p>
        </w:tc>
        <w:tc>
          <w:tcPr>
            <w:tcW w:w="40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w:t>
            </w:r>
          </w:p>
        </w:tc>
      </w:tr>
      <w:tr>
        <w:tblPrEx>
          <w:tblCellMar>
            <w:top w:w="15" w:type="dxa"/>
            <w:left w:w="15" w:type="dxa"/>
            <w:bottom w:w="15" w:type="dxa"/>
            <w:right w:w="15" w:type="dxa"/>
          </w:tblCellMar>
        </w:tblPrEx>
        <w:trPr>
          <w:trHeight w:val="405" w:hRule="atLeast"/>
          <w:jc w:val="center"/>
        </w:trPr>
        <w:tc>
          <w:tcPr>
            <w:tcW w:w="49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2000&lt;b（D）≤4000</w:t>
            </w:r>
          </w:p>
        </w:tc>
        <w:tc>
          <w:tcPr>
            <w:tcW w:w="40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w:t>
            </w:r>
          </w:p>
        </w:tc>
      </w:tr>
    </w:tbl>
    <w:p>
      <w:pPr>
        <w:pStyle w:val="19"/>
        <w:spacing w:before="0" w:beforeAutospacing="0" w:after="0" w:afterAutospacing="0" w:line="360" w:lineRule="auto"/>
        <w:jc w:val="both"/>
        <w:rPr>
          <w:rFonts w:ascii="Times New Roman" w:hAnsi="Times New Roman" w:eastAsia="宋体"/>
          <w:color w:val="000000"/>
          <w:highlight w:val="none"/>
        </w:rPr>
      </w:pPr>
    </w:p>
    <w:p>
      <w:pPr>
        <w:pStyle w:val="19"/>
        <w:spacing w:before="0" w:beforeAutospacing="0" w:after="0" w:afterAutospacing="0" w:line="360" w:lineRule="auto"/>
        <w:jc w:val="center"/>
        <w:rPr>
          <w:rFonts w:ascii="Times New Roman" w:hAnsi="Times New Roman" w:eastAsia="宋体"/>
          <w:color w:val="000000"/>
          <w:highlight w:val="none"/>
        </w:rPr>
      </w:pPr>
      <w:r>
        <w:rPr>
          <w:rFonts w:ascii="Times New Roman" w:hAnsi="Times New Roman" w:eastAsia="宋体"/>
          <w:color w:val="000000"/>
          <w:highlight w:val="none"/>
        </w:rPr>
        <w:t>表4 风管板材的拼接方法</w:t>
      </w:r>
    </w:p>
    <w:tbl>
      <w:tblPr>
        <w:tblStyle w:val="16"/>
        <w:tblW w:w="9144" w:type="dxa"/>
        <w:jc w:val="center"/>
        <w:tblLayout w:type="fixed"/>
        <w:tblCellMar>
          <w:top w:w="15" w:type="dxa"/>
          <w:left w:w="15" w:type="dxa"/>
          <w:bottom w:w="15" w:type="dxa"/>
          <w:right w:w="15" w:type="dxa"/>
        </w:tblCellMar>
      </w:tblPr>
      <w:tblGrid>
        <w:gridCol w:w="1653"/>
        <w:gridCol w:w="3164"/>
        <w:gridCol w:w="1945"/>
        <w:gridCol w:w="2382"/>
      </w:tblGrid>
      <w:tr>
        <w:tblPrEx>
          <w:tblCellMar>
            <w:top w:w="15" w:type="dxa"/>
            <w:left w:w="15" w:type="dxa"/>
            <w:bottom w:w="15" w:type="dxa"/>
            <w:right w:w="15" w:type="dxa"/>
          </w:tblCellMar>
        </w:tblPrEx>
        <w:trPr>
          <w:trHeight w:val="405" w:hRule="atLeast"/>
          <w:jc w:val="center"/>
        </w:trPr>
        <w:tc>
          <w:tcPr>
            <w:tcW w:w="165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板厚（mm）</w:t>
            </w:r>
          </w:p>
        </w:tc>
        <w:tc>
          <w:tcPr>
            <w:tcW w:w="316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镀锌钢板（有保护层的钢板）</w:t>
            </w:r>
          </w:p>
        </w:tc>
        <w:tc>
          <w:tcPr>
            <w:tcW w:w="194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普通钢板</w:t>
            </w:r>
          </w:p>
        </w:tc>
        <w:tc>
          <w:tcPr>
            <w:tcW w:w="238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不锈钢板</w:t>
            </w:r>
          </w:p>
        </w:tc>
      </w:tr>
      <w:tr>
        <w:tblPrEx>
          <w:tblCellMar>
            <w:top w:w="15" w:type="dxa"/>
            <w:left w:w="15" w:type="dxa"/>
            <w:bottom w:w="15" w:type="dxa"/>
            <w:right w:w="15" w:type="dxa"/>
          </w:tblCellMar>
        </w:tblPrEx>
        <w:trPr>
          <w:trHeight w:val="405" w:hRule="atLeast"/>
          <w:jc w:val="center"/>
        </w:trPr>
        <w:tc>
          <w:tcPr>
            <w:tcW w:w="165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δ≤1.0</w:t>
            </w:r>
          </w:p>
        </w:tc>
        <w:tc>
          <w:tcPr>
            <w:tcW w:w="3164"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咬口连接</w:t>
            </w:r>
          </w:p>
        </w:tc>
        <w:tc>
          <w:tcPr>
            <w:tcW w:w="194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咬口连接</w:t>
            </w:r>
          </w:p>
        </w:tc>
        <w:tc>
          <w:tcPr>
            <w:tcW w:w="2382"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氩弧焊或电焊</w:t>
            </w:r>
          </w:p>
        </w:tc>
      </w:tr>
      <w:tr>
        <w:tblPrEx>
          <w:tblCellMar>
            <w:top w:w="15" w:type="dxa"/>
            <w:left w:w="15" w:type="dxa"/>
            <w:bottom w:w="15" w:type="dxa"/>
            <w:right w:w="15" w:type="dxa"/>
          </w:tblCellMar>
        </w:tblPrEx>
        <w:trPr>
          <w:trHeight w:val="405" w:hRule="atLeast"/>
          <w:jc w:val="center"/>
        </w:trPr>
        <w:tc>
          <w:tcPr>
            <w:tcW w:w="165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1.0&lt;δ≤1.2</w:t>
            </w:r>
          </w:p>
        </w:tc>
        <w:tc>
          <w:tcPr>
            <w:tcW w:w="3164"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945"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c>
          <w:tcPr>
            <w:tcW w:w="2382"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r>
      <w:tr>
        <w:tblPrEx>
          <w:tblCellMar>
            <w:top w:w="15" w:type="dxa"/>
            <w:left w:w="15" w:type="dxa"/>
            <w:bottom w:w="15" w:type="dxa"/>
            <w:right w:w="15" w:type="dxa"/>
          </w:tblCellMar>
        </w:tblPrEx>
        <w:trPr>
          <w:trHeight w:val="405" w:hRule="atLeast"/>
          <w:jc w:val="center"/>
        </w:trPr>
        <w:tc>
          <w:tcPr>
            <w:tcW w:w="165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1.2&lt;δ≤1.5</w:t>
            </w:r>
          </w:p>
        </w:tc>
        <w:tc>
          <w:tcPr>
            <w:tcW w:w="31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咬口连接或铆钉</w:t>
            </w:r>
          </w:p>
        </w:tc>
        <w:tc>
          <w:tcPr>
            <w:tcW w:w="194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电焊</w:t>
            </w:r>
          </w:p>
        </w:tc>
        <w:tc>
          <w:tcPr>
            <w:tcW w:w="2382"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r>
      <w:tr>
        <w:tblPrEx>
          <w:tblCellMar>
            <w:top w:w="15" w:type="dxa"/>
            <w:left w:w="15" w:type="dxa"/>
            <w:bottom w:w="15" w:type="dxa"/>
            <w:right w:w="15" w:type="dxa"/>
          </w:tblCellMar>
        </w:tblPrEx>
        <w:trPr>
          <w:trHeight w:val="405" w:hRule="atLeast"/>
          <w:jc w:val="center"/>
        </w:trPr>
        <w:tc>
          <w:tcPr>
            <w:tcW w:w="165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&gt;1.5</w:t>
            </w:r>
          </w:p>
        </w:tc>
        <w:tc>
          <w:tcPr>
            <w:tcW w:w="316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焊接</w:t>
            </w:r>
          </w:p>
        </w:tc>
        <w:tc>
          <w:tcPr>
            <w:tcW w:w="1945"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c>
          <w:tcPr>
            <w:tcW w:w="2382"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r>
    </w:tbl>
    <w:p>
      <w:pPr>
        <w:pStyle w:val="19"/>
        <w:spacing w:before="0" w:beforeAutospacing="0" w:after="0" w:afterAutospacing="0" w:line="360" w:lineRule="auto"/>
        <w:jc w:val="center"/>
        <w:rPr>
          <w:rFonts w:ascii="Times New Roman" w:hAnsi="Times New Roman" w:eastAsia="宋体"/>
          <w:color w:val="000000"/>
          <w:sz w:val="21"/>
          <w:szCs w:val="21"/>
          <w:highlight w:val="none"/>
        </w:rPr>
      </w:pPr>
    </w:p>
    <w:p>
      <w:pPr>
        <w:pStyle w:val="19"/>
        <w:spacing w:before="0" w:beforeAutospacing="0" w:after="0" w:afterAutospacing="0" w:line="360" w:lineRule="auto"/>
        <w:jc w:val="center"/>
        <w:rPr>
          <w:rFonts w:ascii="Times New Roman" w:hAnsi="Times New Roman" w:eastAsia="宋体"/>
          <w:color w:val="000000"/>
          <w:highlight w:val="none"/>
        </w:rPr>
      </w:pPr>
      <w:r>
        <w:rPr>
          <w:rFonts w:ascii="Times New Roman" w:hAnsi="Times New Roman" w:eastAsia="宋体"/>
          <w:color w:val="000000"/>
          <w:highlight w:val="none"/>
        </w:rPr>
        <w:t>表5 风管板材咬口连接形式及适用范围</w:t>
      </w:r>
    </w:p>
    <w:tbl>
      <w:tblPr>
        <w:tblStyle w:val="16"/>
        <w:tblW w:w="8890" w:type="dxa"/>
        <w:jc w:val="center"/>
        <w:tblLayout w:type="fixed"/>
        <w:tblCellMar>
          <w:top w:w="15" w:type="dxa"/>
          <w:left w:w="15" w:type="dxa"/>
          <w:bottom w:w="15" w:type="dxa"/>
          <w:right w:w="15" w:type="dxa"/>
        </w:tblCellMar>
      </w:tblPr>
      <w:tblGrid>
        <w:gridCol w:w="1905"/>
        <w:gridCol w:w="1950"/>
        <w:gridCol w:w="1665"/>
        <w:gridCol w:w="3370"/>
      </w:tblGrid>
      <w:tr>
        <w:tblPrEx>
          <w:tblCellMar>
            <w:top w:w="15" w:type="dxa"/>
            <w:left w:w="15" w:type="dxa"/>
            <w:bottom w:w="15" w:type="dxa"/>
            <w:right w:w="15" w:type="dxa"/>
          </w:tblCellMar>
        </w:tblPrEx>
        <w:trPr>
          <w:trHeight w:val="405" w:hRule="atLeast"/>
          <w:jc w:val="center"/>
        </w:trPr>
        <w:tc>
          <w:tcPr>
            <w:tcW w:w="19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名称</w:t>
            </w:r>
          </w:p>
        </w:tc>
        <w:tc>
          <w:tcPr>
            <w:tcW w:w="3615"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连接形式</w:t>
            </w:r>
          </w:p>
        </w:tc>
        <w:tc>
          <w:tcPr>
            <w:tcW w:w="337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适用范围</w:t>
            </w:r>
          </w:p>
        </w:tc>
      </w:tr>
      <w:tr>
        <w:tblPrEx>
          <w:tblCellMar>
            <w:top w:w="15" w:type="dxa"/>
            <w:left w:w="15" w:type="dxa"/>
            <w:bottom w:w="15" w:type="dxa"/>
            <w:right w:w="15" w:type="dxa"/>
          </w:tblCellMar>
        </w:tblPrEx>
        <w:trPr>
          <w:trHeight w:val="405" w:hRule="atLeast"/>
          <w:jc w:val="center"/>
        </w:trPr>
        <w:tc>
          <w:tcPr>
            <w:tcW w:w="190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单咬口</w:t>
            </w:r>
          </w:p>
        </w:tc>
        <w:tc>
          <w:tcPr>
            <w:tcW w:w="1950"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drawing>
                <wp:inline distT="0" distB="0" distL="114300" distR="114300">
                  <wp:extent cx="1092200" cy="571500"/>
                  <wp:effectExtent l="0" t="0" r="12700" b="0"/>
                  <wp:docPr id="10" name="图片 2" descr="https://wdcdn.qpic.cn/MTY4ODg1ODQxMDQzMzU0MQ_491232_oN_jZYmwcFGoHYRT_1681981581?w=118&amp;h=63&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https://wdcdn.qpic.cn/MTY4ODg1ODQxMDQzMzU0MQ_491232_oN_jZYmwcFGoHYRT_1681981581?w=118&amp;h=63&amp;type=image/png"/>
                          <pic:cNvPicPr>
                            <a:picLocks noChangeAspect="1"/>
                          </pic:cNvPicPr>
                        </pic:nvPicPr>
                        <pic:blipFill>
                          <a:blip r:embed="rId12"/>
                          <a:stretch>
                            <a:fillRect/>
                          </a:stretch>
                        </pic:blipFill>
                        <pic:spPr>
                          <a:xfrm>
                            <a:off x="0" y="0"/>
                            <a:ext cx="1092200" cy="571500"/>
                          </a:xfrm>
                          <a:prstGeom prst="rect">
                            <a:avLst/>
                          </a:prstGeom>
                          <a:noFill/>
                          <a:ln>
                            <a:noFill/>
                          </a:ln>
                        </pic:spPr>
                      </pic:pic>
                    </a:graphicData>
                  </a:graphic>
                </wp:inline>
              </w:drawing>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drawing>
                <wp:inline distT="0" distB="0" distL="114300" distR="114300">
                  <wp:extent cx="527050" cy="381000"/>
                  <wp:effectExtent l="0" t="0" r="6350" b="0"/>
                  <wp:docPr id="12" name="图片 3" descr="https://wdcdn.qpic.cn/MTY4ODg1ODQxMDQzMzU0MQ_137777_B15nnUvWIoczzUUw_1681981642?w=104&amp;h=75&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https://wdcdn.qpic.cn/MTY4ODg1ODQxMDQzMzU0MQ_137777_B15nnUvWIoczzUUw_1681981642?w=104&amp;h=75&amp;type=image/png"/>
                          <pic:cNvPicPr>
                            <a:picLocks noChangeAspect="1"/>
                          </pic:cNvPicPr>
                        </pic:nvPicPr>
                        <pic:blipFill>
                          <a:blip r:embed="rId13"/>
                          <a:stretch>
                            <a:fillRect/>
                          </a:stretch>
                        </pic:blipFill>
                        <pic:spPr>
                          <a:xfrm>
                            <a:off x="0" y="0"/>
                            <a:ext cx="527050" cy="381000"/>
                          </a:xfrm>
                          <a:prstGeom prst="rect">
                            <a:avLst/>
                          </a:prstGeom>
                          <a:noFill/>
                          <a:ln>
                            <a:noFill/>
                          </a:ln>
                        </pic:spPr>
                      </pic:pic>
                    </a:graphicData>
                  </a:graphic>
                </wp:inline>
              </w:drawing>
            </w:r>
          </w:p>
        </w:tc>
        <w:tc>
          <w:tcPr>
            <w:tcW w:w="337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低、中、高压系统</w:t>
            </w:r>
          </w:p>
        </w:tc>
      </w:tr>
      <w:tr>
        <w:tblPrEx>
          <w:tblCellMar>
            <w:top w:w="15" w:type="dxa"/>
            <w:left w:w="15" w:type="dxa"/>
            <w:bottom w:w="15" w:type="dxa"/>
            <w:right w:w="15" w:type="dxa"/>
          </w:tblCellMar>
        </w:tblPrEx>
        <w:trPr>
          <w:trHeight w:val="405" w:hRule="atLeast"/>
          <w:jc w:val="center"/>
        </w:trPr>
        <w:tc>
          <w:tcPr>
            <w:tcW w:w="1905"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950"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66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drawing>
                <wp:inline distT="0" distB="0" distL="114300" distR="114300">
                  <wp:extent cx="501650" cy="381000"/>
                  <wp:effectExtent l="0" t="0" r="12700" b="0"/>
                  <wp:docPr id="13" name="图片 4" descr="https://wdcdn.qpic.cn/MTY4ODg1ODQxMDQzMzU0MQ_897488_-UTNLQHTVYNl5pyr_1681981703?w=98&amp;h=75&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https://wdcdn.qpic.cn/MTY4ODg1ODQxMDQzMzU0MQ_897488_-UTNLQHTVYNl5pyr_1681981703?w=98&amp;h=75&amp;type=image/png"/>
                          <pic:cNvPicPr>
                            <a:picLocks noChangeAspect="1"/>
                          </pic:cNvPicPr>
                        </pic:nvPicPr>
                        <pic:blipFill>
                          <a:blip r:embed="rId14"/>
                          <a:stretch>
                            <a:fillRect/>
                          </a:stretch>
                        </pic:blipFill>
                        <pic:spPr>
                          <a:xfrm>
                            <a:off x="0" y="0"/>
                            <a:ext cx="501650" cy="381000"/>
                          </a:xfrm>
                          <a:prstGeom prst="rect">
                            <a:avLst/>
                          </a:prstGeom>
                          <a:noFill/>
                          <a:ln>
                            <a:noFill/>
                          </a:ln>
                        </pic:spPr>
                      </pic:pic>
                    </a:graphicData>
                  </a:graphic>
                </wp:inline>
              </w:drawing>
            </w:r>
          </w:p>
        </w:tc>
        <w:tc>
          <w:tcPr>
            <w:tcW w:w="337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低、中、高压系统</w:t>
            </w:r>
          </w:p>
        </w:tc>
      </w:tr>
      <w:tr>
        <w:tblPrEx>
          <w:tblCellMar>
            <w:top w:w="15" w:type="dxa"/>
            <w:left w:w="15" w:type="dxa"/>
            <w:bottom w:w="15" w:type="dxa"/>
            <w:right w:w="15" w:type="dxa"/>
          </w:tblCellMar>
        </w:tblPrEx>
        <w:trPr>
          <w:trHeight w:val="405" w:hRule="atLeast"/>
          <w:jc w:val="center"/>
        </w:trPr>
        <w:tc>
          <w:tcPr>
            <w:tcW w:w="19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联合角咬口</w:t>
            </w:r>
          </w:p>
        </w:tc>
        <w:tc>
          <w:tcPr>
            <w:tcW w:w="3615"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drawing>
                <wp:inline distT="0" distB="0" distL="114300" distR="114300">
                  <wp:extent cx="882650" cy="641350"/>
                  <wp:effectExtent l="0" t="0" r="12700" b="6350"/>
                  <wp:docPr id="32" name="图片 5" descr="https://wdcdn.qpic.cn/MTY4ODg1ODQxMDQzMzU0MQ_464483_o0Un054HaQ9wrgh3_1681981723?w=113&amp;h=82&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https://wdcdn.qpic.cn/MTY4ODg1ODQxMDQzMzU0MQ_464483_o0Un054HaQ9wrgh3_1681981723?w=113&amp;h=82&amp;type=image/png"/>
                          <pic:cNvPicPr>
                            <a:picLocks noChangeAspect="1"/>
                          </pic:cNvPicPr>
                        </pic:nvPicPr>
                        <pic:blipFill>
                          <a:blip r:embed="rId15"/>
                          <a:stretch>
                            <a:fillRect/>
                          </a:stretch>
                        </pic:blipFill>
                        <pic:spPr>
                          <a:xfrm>
                            <a:off x="0" y="0"/>
                            <a:ext cx="882650" cy="641350"/>
                          </a:xfrm>
                          <a:prstGeom prst="rect">
                            <a:avLst/>
                          </a:prstGeom>
                          <a:noFill/>
                          <a:ln>
                            <a:noFill/>
                          </a:ln>
                        </pic:spPr>
                      </pic:pic>
                    </a:graphicData>
                  </a:graphic>
                </wp:inline>
              </w:drawing>
            </w:r>
          </w:p>
        </w:tc>
        <w:tc>
          <w:tcPr>
            <w:tcW w:w="337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低、中、高压系统</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矩形风管或配件四角咬口连接</w:t>
            </w:r>
          </w:p>
        </w:tc>
      </w:tr>
      <w:tr>
        <w:tblPrEx>
          <w:tblCellMar>
            <w:top w:w="15" w:type="dxa"/>
            <w:left w:w="15" w:type="dxa"/>
            <w:bottom w:w="15" w:type="dxa"/>
            <w:right w:w="15" w:type="dxa"/>
          </w:tblCellMar>
        </w:tblPrEx>
        <w:trPr>
          <w:trHeight w:val="405" w:hRule="atLeast"/>
          <w:jc w:val="center"/>
        </w:trPr>
        <w:tc>
          <w:tcPr>
            <w:tcW w:w="19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转角咬口</w:t>
            </w:r>
          </w:p>
        </w:tc>
        <w:tc>
          <w:tcPr>
            <w:tcW w:w="3615"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drawing>
                <wp:inline distT="0" distB="0" distL="114300" distR="114300">
                  <wp:extent cx="781050" cy="622300"/>
                  <wp:effectExtent l="0" t="0" r="0" b="6350"/>
                  <wp:docPr id="26" name="图片 6" descr="https://wdcdn.qpic.cn/MTY4ODg1ODQxMDQzMzU0MQ_211180_ZFUNhVUk8t526_Qz_1681981740?w=124&amp;h=99&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https://wdcdn.qpic.cn/MTY4ODg1ODQxMDQzMzU0MQ_211180_ZFUNhVUk8t526_Qz_1681981740?w=124&amp;h=99&amp;type=image/png"/>
                          <pic:cNvPicPr>
                            <a:picLocks noChangeAspect="1"/>
                          </pic:cNvPicPr>
                        </pic:nvPicPr>
                        <pic:blipFill>
                          <a:blip r:embed="rId16"/>
                          <a:stretch>
                            <a:fillRect/>
                          </a:stretch>
                        </pic:blipFill>
                        <pic:spPr>
                          <a:xfrm>
                            <a:off x="0" y="0"/>
                            <a:ext cx="781050" cy="622300"/>
                          </a:xfrm>
                          <a:prstGeom prst="rect">
                            <a:avLst/>
                          </a:prstGeom>
                          <a:noFill/>
                          <a:ln>
                            <a:noFill/>
                          </a:ln>
                        </pic:spPr>
                      </pic:pic>
                    </a:graphicData>
                  </a:graphic>
                </wp:inline>
              </w:drawing>
            </w:r>
          </w:p>
        </w:tc>
        <w:tc>
          <w:tcPr>
            <w:tcW w:w="337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低、中、高压系统</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矩形风管或配件四角咬口连接</w:t>
            </w:r>
          </w:p>
        </w:tc>
      </w:tr>
      <w:tr>
        <w:tblPrEx>
          <w:tblCellMar>
            <w:top w:w="15" w:type="dxa"/>
            <w:left w:w="15" w:type="dxa"/>
            <w:bottom w:w="15" w:type="dxa"/>
            <w:right w:w="15" w:type="dxa"/>
          </w:tblCellMar>
        </w:tblPrEx>
        <w:trPr>
          <w:trHeight w:val="405" w:hRule="atLeast"/>
          <w:jc w:val="center"/>
        </w:trPr>
        <w:tc>
          <w:tcPr>
            <w:tcW w:w="19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按扣式咬口</w:t>
            </w:r>
          </w:p>
        </w:tc>
        <w:tc>
          <w:tcPr>
            <w:tcW w:w="3615"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drawing>
                <wp:inline distT="0" distB="0" distL="114300" distR="114300">
                  <wp:extent cx="666115" cy="755650"/>
                  <wp:effectExtent l="0" t="0" r="635" b="6350"/>
                  <wp:docPr id="21" name="图片 7" descr="https://wdcdn.qpic.cn/MTY4ODg1ODQxMDQzMzU0MQ_62365_1HjBYfYXCqGskEAn_1681981764?w=132&amp;h=150&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https://wdcdn.qpic.cn/MTY4ODg1ODQxMDQzMzU0MQ_62365_1HjBYfYXCqGskEAn_1681981764?w=132&amp;h=150&amp;type=image/png"/>
                          <pic:cNvPicPr>
                            <a:picLocks noChangeAspect="1"/>
                          </pic:cNvPicPr>
                        </pic:nvPicPr>
                        <pic:blipFill>
                          <a:blip r:embed="rId17"/>
                          <a:stretch>
                            <a:fillRect/>
                          </a:stretch>
                        </pic:blipFill>
                        <pic:spPr>
                          <a:xfrm>
                            <a:off x="0" y="0"/>
                            <a:ext cx="666115" cy="755650"/>
                          </a:xfrm>
                          <a:prstGeom prst="rect">
                            <a:avLst/>
                          </a:prstGeom>
                          <a:noFill/>
                          <a:ln>
                            <a:noFill/>
                          </a:ln>
                        </pic:spPr>
                      </pic:pic>
                    </a:graphicData>
                  </a:graphic>
                </wp:inline>
              </w:drawing>
            </w:r>
          </w:p>
        </w:tc>
        <w:tc>
          <w:tcPr>
            <w:tcW w:w="337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低、中压系统的</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矩形风管或配件四角咬口连接</w:t>
            </w:r>
          </w:p>
        </w:tc>
      </w:tr>
      <w:tr>
        <w:tblPrEx>
          <w:tblCellMar>
            <w:top w:w="15" w:type="dxa"/>
            <w:left w:w="15" w:type="dxa"/>
            <w:bottom w:w="15" w:type="dxa"/>
            <w:right w:w="15" w:type="dxa"/>
          </w:tblCellMar>
        </w:tblPrEx>
        <w:trPr>
          <w:trHeight w:val="405" w:hRule="atLeast"/>
          <w:jc w:val="center"/>
        </w:trPr>
        <w:tc>
          <w:tcPr>
            <w:tcW w:w="19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立咬口、包边立咬口</w:t>
            </w:r>
          </w:p>
        </w:tc>
        <w:tc>
          <w:tcPr>
            <w:tcW w:w="3615"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drawing>
                <wp:inline distT="0" distB="0" distL="114300" distR="114300">
                  <wp:extent cx="1587500" cy="654050"/>
                  <wp:effectExtent l="0" t="0" r="12700" b="12700"/>
                  <wp:docPr id="23" name="图片 8" descr="https://wdcdn.qpic.cn/MTY4ODg1ODQxMDQzMzU0MQ_926351_PP_nsiLBChwehQmf_1681981779?w=211&amp;h=87&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https://wdcdn.qpic.cn/MTY4ODg1ODQxMDQzMzU0MQ_926351_PP_nsiLBChwehQmf_1681981779?w=211&amp;h=87&amp;type=image/png"/>
                          <pic:cNvPicPr>
                            <a:picLocks noChangeAspect="1"/>
                          </pic:cNvPicPr>
                        </pic:nvPicPr>
                        <pic:blipFill>
                          <a:blip r:embed="rId18"/>
                          <a:stretch>
                            <a:fillRect/>
                          </a:stretch>
                        </pic:blipFill>
                        <pic:spPr>
                          <a:xfrm>
                            <a:off x="0" y="0"/>
                            <a:ext cx="1587500" cy="654050"/>
                          </a:xfrm>
                          <a:prstGeom prst="rect">
                            <a:avLst/>
                          </a:prstGeom>
                          <a:noFill/>
                          <a:ln>
                            <a:noFill/>
                          </a:ln>
                        </pic:spPr>
                      </pic:pic>
                    </a:graphicData>
                  </a:graphic>
                </wp:inline>
              </w:drawing>
            </w:r>
          </w:p>
        </w:tc>
        <w:tc>
          <w:tcPr>
            <w:tcW w:w="337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圆、矩形风管横向连接或纵向接缝，弯管横向连接</w:t>
            </w:r>
          </w:p>
        </w:tc>
      </w:tr>
    </w:tbl>
    <w:p>
      <w:pPr>
        <w:pStyle w:val="19"/>
        <w:spacing w:before="0" w:beforeAutospacing="0" w:after="0" w:afterAutospacing="0" w:line="360" w:lineRule="auto"/>
        <w:rPr>
          <w:rFonts w:ascii="Times New Roman" w:hAnsi="Times New Roman" w:eastAsia="宋体"/>
          <w:color w:val="000000"/>
          <w:highlight w:val="none"/>
        </w:rPr>
      </w:pPr>
    </w:p>
    <w:p>
      <w:pPr>
        <w:pStyle w:val="19"/>
        <w:spacing w:before="0" w:beforeAutospacing="0" w:after="0" w:afterAutospacing="0" w:line="360" w:lineRule="auto"/>
        <w:jc w:val="center"/>
        <w:rPr>
          <w:rFonts w:ascii="Times New Roman" w:hAnsi="Times New Roman" w:eastAsia="宋体"/>
          <w:color w:val="000000"/>
          <w:highlight w:val="none"/>
        </w:rPr>
      </w:pPr>
      <w:r>
        <w:rPr>
          <w:rFonts w:ascii="Times New Roman" w:hAnsi="Times New Roman" w:eastAsia="宋体"/>
          <w:color w:val="000000"/>
          <w:highlight w:val="none"/>
        </w:rPr>
        <w:t>表6 咬口宽度表（mm）</w:t>
      </w:r>
    </w:p>
    <w:tbl>
      <w:tblPr>
        <w:tblStyle w:val="16"/>
        <w:tblW w:w="8505" w:type="dxa"/>
        <w:jc w:val="center"/>
        <w:tblLayout w:type="fixed"/>
        <w:tblCellMar>
          <w:top w:w="15" w:type="dxa"/>
          <w:left w:w="15" w:type="dxa"/>
          <w:bottom w:w="15" w:type="dxa"/>
          <w:right w:w="15" w:type="dxa"/>
        </w:tblCellMar>
      </w:tblPr>
      <w:tblGrid>
        <w:gridCol w:w="2835"/>
        <w:gridCol w:w="2835"/>
        <w:gridCol w:w="2835"/>
      </w:tblGrid>
      <w:tr>
        <w:tblPrEx>
          <w:tblCellMar>
            <w:top w:w="15" w:type="dxa"/>
            <w:left w:w="15" w:type="dxa"/>
            <w:bottom w:w="15" w:type="dxa"/>
            <w:right w:w="15" w:type="dxa"/>
          </w:tblCellMar>
        </w:tblPrEx>
        <w:trPr>
          <w:trHeight w:val="405" w:hRule="atLeast"/>
          <w:jc w:val="center"/>
        </w:trPr>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板厚δ</w:t>
            </w:r>
          </w:p>
        </w:tc>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平咬口宽度</w:t>
            </w:r>
          </w:p>
        </w:tc>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角咬口宽度</w:t>
            </w:r>
          </w:p>
        </w:tc>
      </w:tr>
      <w:tr>
        <w:tblPrEx>
          <w:tblCellMar>
            <w:top w:w="15" w:type="dxa"/>
            <w:left w:w="15" w:type="dxa"/>
            <w:bottom w:w="15" w:type="dxa"/>
            <w:right w:w="15" w:type="dxa"/>
          </w:tblCellMar>
        </w:tblPrEx>
        <w:trPr>
          <w:trHeight w:val="405" w:hRule="atLeast"/>
          <w:jc w:val="center"/>
        </w:trPr>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δ≤0.7</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6~8</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6~7</w:t>
            </w:r>
          </w:p>
        </w:tc>
      </w:tr>
      <w:tr>
        <w:tblPrEx>
          <w:tblCellMar>
            <w:top w:w="15" w:type="dxa"/>
            <w:left w:w="15" w:type="dxa"/>
            <w:bottom w:w="15" w:type="dxa"/>
            <w:right w:w="15" w:type="dxa"/>
          </w:tblCellMar>
        </w:tblPrEx>
        <w:trPr>
          <w:trHeight w:val="405" w:hRule="atLeast"/>
          <w:jc w:val="center"/>
        </w:trPr>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0.7&lt;δ≤0.85</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8~10</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7~8</w:t>
            </w:r>
          </w:p>
        </w:tc>
      </w:tr>
      <w:tr>
        <w:tblPrEx>
          <w:tblCellMar>
            <w:top w:w="15" w:type="dxa"/>
            <w:left w:w="15" w:type="dxa"/>
            <w:bottom w:w="15" w:type="dxa"/>
            <w:right w:w="15" w:type="dxa"/>
          </w:tblCellMar>
        </w:tblPrEx>
        <w:trPr>
          <w:trHeight w:val="405" w:hRule="atLeast"/>
          <w:jc w:val="center"/>
        </w:trPr>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0.85&lt;δ≤1.2</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10~12</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9~10</w:t>
            </w:r>
          </w:p>
        </w:tc>
      </w:tr>
    </w:tbl>
    <w:p>
      <w:pPr>
        <w:pStyle w:val="19"/>
        <w:spacing w:before="0" w:beforeAutospacing="0" w:after="0" w:afterAutospacing="0" w:line="360" w:lineRule="auto"/>
        <w:jc w:val="both"/>
        <w:rPr>
          <w:rFonts w:ascii="Times New Roman" w:hAnsi="Times New Roman" w:eastAsia="宋体"/>
          <w:color w:val="000000"/>
          <w:highlight w:val="none"/>
        </w:rPr>
      </w:pPr>
    </w:p>
    <w:p>
      <w:pPr>
        <w:pStyle w:val="19"/>
        <w:spacing w:before="0" w:beforeAutospacing="0" w:after="0" w:afterAutospacing="0" w:line="360" w:lineRule="auto"/>
        <w:jc w:val="center"/>
        <w:rPr>
          <w:rFonts w:ascii="Times New Roman" w:hAnsi="Times New Roman" w:eastAsia="宋体"/>
          <w:color w:val="000000"/>
          <w:highlight w:val="none"/>
        </w:rPr>
      </w:pPr>
      <w:r>
        <w:rPr>
          <w:rFonts w:ascii="Times New Roman" w:hAnsi="Times New Roman" w:eastAsia="宋体"/>
          <w:color w:val="000000"/>
          <w:highlight w:val="none"/>
        </w:rPr>
        <w:t>表7 金属矩形风管角钢法兰及螺栓、铆钉规格（mm）</w:t>
      </w:r>
    </w:p>
    <w:tbl>
      <w:tblPr>
        <w:tblStyle w:val="16"/>
        <w:tblW w:w="8966" w:type="dxa"/>
        <w:tblInd w:w="0" w:type="dxa"/>
        <w:tblLayout w:type="fixed"/>
        <w:tblCellMar>
          <w:top w:w="15" w:type="dxa"/>
          <w:left w:w="15" w:type="dxa"/>
          <w:bottom w:w="15" w:type="dxa"/>
          <w:right w:w="15" w:type="dxa"/>
        </w:tblCellMar>
      </w:tblPr>
      <w:tblGrid>
        <w:gridCol w:w="1815"/>
        <w:gridCol w:w="1185"/>
        <w:gridCol w:w="1605"/>
        <w:gridCol w:w="1545"/>
        <w:gridCol w:w="1545"/>
        <w:gridCol w:w="1271"/>
      </w:tblGrid>
      <w:tr>
        <w:tblPrEx>
          <w:tblCellMar>
            <w:top w:w="15" w:type="dxa"/>
            <w:left w:w="15" w:type="dxa"/>
            <w:bottom w:w="15" w:type="dxa"/>
            <w:right w:w="15" w:type="dxa"/>
          </w:tblCellMar>
        </w:tblPrEx>
        <w:trPr>
          <w:trHeight w:val="405" w:hRule="atLeast"/>
        </w:trPr>
        <w:tc>
          <w:tcPr>
            <w:tcW w:w="181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风管长边尺寸b</w:t>
            </w:r>
          </w:p>
        </w:tc>
        <w:tc>
          <w:tcPr>
            <w:tcW w:w="118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角钢规格</w:t>
            </w:r>
          </w:p>
        </w:tc>
        <w:tc>
          <w:tcPr>
            <w:tcW w:w="160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螺栓规格（孔）</w:t>
            </w:r>
          </w:p>
        </w:tc>
        <w:tc>
          <w:tcPr>
            <w:tcW w:w="154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铆钉规格（孔）</w:t>
            </w:r>
          </w:p>
        </w:tc>
        <w:tc>
          <w:tcPr>
            <w:tcW w:w="2816"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螺栓及铆钉间距</w:t>
            </w:r>
          </w:p>
        </w:tc>
      </w:tr>
      <w:tr>
        <w:tblPrEx>
          <w:tblCellMar>
            <w:top w:w="15" w:type="dxa"/>
            <w:left w:w="15" w:type="dxa"/>
            <w:bottom w:w="15" w:type="dxa"/>
            <w:right w:w="15" w:type="dxa"/>
          </w:tblCellMar>
        </w:tblPrEx>
        <w:trPr>
          <w:trHeight w:val="405" w:hRule="atLeast"/>
        </w:trPr>
        <w:tc>
          <w:tcPr>
            <w:tcW w:w="1815"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185"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605"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545"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5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低、中压系统</w:t>
            </w:r>
          </w:p>
        </w:tc>
        <w:tc>
          <w:tcPr>
            <w:tcW w:w="127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高压系统</w:t>
            </w:r>
          </w:p>
        </w:tc>
      </w:tr>
      <w:tr>
        <w:tblPrEx>
          <w:tblCellMar>
            <w:top w:w="15" w:type="dxa"/>
            <w:left w:w="15" w:type="dxa"/>
            <w:bottom w:w="15" w:type="dxa"/>
            <w:right w:w="15" w:type="dxa"/>
          </w:tblCellMar>
        </w:tblPrEx>
        <w:trPr>
          <w:trHeight w:val="405" w:hRule="atLeast"/>
        </w:trPr>
        <w:tc>
          <w:tcPr>
            <w:tcW w:w="18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b≤630</w:t>
            </w:r>
          </w:p>
        </w:tc>
        <w:tc>
          <w:tcPr>
            <w:tcW w:w="11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L25*3</w:t>
            </w:r>
          </w:p>
        </w:tc>
        <w:tc>
          <w:tcPr>
            <w:tcW w:w="16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M6或M8</w:t>
            </w:r>
          </w:p>
        </w:tc>
        <w:tc>
          <w:tcPr>
            <w:tcW w:w="15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⌀4或⌀4.5</w:t>
            </w:r>
          </w:p>
        </w:tc>
        <w:tc>
          <w:tcPr>
            <w:tcW w:w="154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≤150</w:t>
            </w:r>
          </w:p>
        </w:tc>
        <w:tc>
          <w:tcPr>
            <w:tcW w:w="1271"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≤100</w:t>
            </w:r>
          </w:p>
        </w:tc>
      </w:tr>
      <w:tr>
        <w:tblPrEx>
          <w:tblCellMar>
            <w:top w:w="15" w:type="dxa"/>
            <w:left w:w="15" w:type="dxa"/>
            <w:bottom w:w="15" w:type="dxa"/>
            <w:right w:w="15" w:type="dxa"/>
          </w:tblCellMar>
        </w:tblPrEx>
        <w:trPr>
          <w:trHeight w:val="405" w:hRule="atLeast"/>
        </w:trPr>
        <w:tc>
          <w:tcPr>
            <w:tcW w:w="18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630&lt;b≤1500</w:t>
            </w:r>
          </w:p>
        </w:tc>
        <w:tc>
          <w:tcPr>
            <w:tcW w:w="11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L30*3</w:t>
            </w:r>
          </w:p>
        </w:tc>
        <w:tc>
          <w:tcPr>
            <w:tcW w:w="16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M8或M10</w:t>
            </w:r>
          </w:p>
        </w:tc>
        <w:tc>
          <w:tcPr>
            <w:tcW w:w="154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⌀5或⌀5.5</w:t>
            </w:r>
          </w:p>
        </w:tc>
        <w:tc>
          <w:tcPr>
            <w:tcW w:w="1545"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c>
          <w:tcPr>
            <w:tcW w:w="1271"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r>
      <w:tr>
        <w:tblPrEx>
          <w:tblCellMar>
            <w:top w:w="15" w:type="dxa"/>
            <w:left w:w="15" w:type="dxa"/>
            <w:bottom w:w="15" w:type="dxa"/>
            <w:right w:w="15" w:type="dxa"/>
          </w:tblCellMar>
        </w:tblPrEx>
        <w:trPr>
          <w:trHeight w:val="405" w:hRule="atLeast"/>
        </w:trPr>
        <w:tc>
          <w:tcPr>
            <w:tcW w:w="18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1500&lt;b≤2500</w:t>
            </w:r>
          </w:p>
        </w:tc>
        <w:tc>
          <w:tcPr>
            <w:tcW w:w="11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L40*4</w:t>
            </w:r>
          </w:p>
        </w:tc>
        <w:tc>
          <w:tcPr>
            <w:tcW w:w="16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M8或M10</w:t>
            </w:r>
          </w:p>
        </w:tc>
        <w:tc>
          <w:tcPr>
            <w:tcW w:w="1545"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545"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c>
          <w:tcPr>
            <w:tcW w:w="1271"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r>
      <w:tr>
        <w:tblPrEx>
          <w:tblCellMar>
            <w:top w:w="15" w:type="dxa"/>
            <w:left w:w="15" w:type="dxa"/>
            <w:bottom w:w="15" w:type="dxa"/>
            <w:right w:w="15" w:type="dxa"/>
          </w:tblCellMar>
        </w:tblPrEx>
        <w:trPr>
          <w:trHeight w:val="405" w:hRule="atLeast"/>
        </w:trPr>
        <w:tc>
          <w:tcPr>
            <w:tcW w:w="18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2500&lt;b≤4000</w:t>
            </w:r>
          </w:p>
        </w:tc>
        <w:tc>
          <w:tcPr>
            <w:tcW w:w="11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L50*5</w:t>
            </w:r>
          </w:p>
        </w:tc>
        <w:tc>
          <w:tcPr>
            <w:tcW w:w="16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M8或M10</w:t>
            </w:r>
          </w:p>
        </w:tc>
        <w:tc>
          <w:tcPr>
            <w:tcW w:w="1545"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c>
          <w:tcPr>
            <w:tcW w:w="1545"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c>
          <w:tcPr>
            <w:tcW w:w="1271" w:type="dxa"/>
            <w:vMerge w:val="continue"/>
            <w:tcBorders>
              <w:top w:val="single" w:color="CBCDD1" w:sz="6" w:space="0"/>
              <w:left w:val="single" w:color="000000" w:sz="6" w:space="0"/>
              <w:bottom w:val="single" w:color="000000" w:sz="6" w:space="0"/>
              <w:right w:val="single" w:color="000000" w:sz="6" w:space="0"/>
            </w:tcBorders>
            <w:noWrap w:val="0"/>
            <w:vAlign w:val="center"/>
          </w:tcPr>
          <w:p>
            <w:pPr>
              <w:widowControl/>
              <w:rPr>
                <w:szCs w:val="21"/>
                <w:highlight w:val="none"/>
              </w:rPr>
            </w:pPr>
          </w:p>
        </w:tc>
      </w:tr>
    </w:tbl>
    <w:p>
      <w:pPr>
        <w:pStyle w:val="19"/>
        <w:spacing w:before="0" w:beforeAutospacing="0" w:after="0" w:afterAutospacing="0" w:line="360" w:lineRule="auto"/>
        <w:jc w:val="both"/>
        <w:rPr>
          <w:rFonts w:ascii="Times New Roman" w:hAnsi="Times New Roman" w:eastAsia="宋体"/>
          <w:color w:val="000000"/>
          <w:sz w:val="21"/>
          <w:szCs w:val="21"/>
          <w:highlight w:val="none"/>
        </w:rPr>
      </w:pP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6.3.1.2 矩形风管支吊架按如下示意图：</w:t>
      </w:r>
    </w:p>
    <w:p>
      <w:pPr>
        <w:pStyle w:val="19"/>
        <w:spacing w:before="0" w:beforeAutospacing="0" w:after="0" w:afterAutospacing="0" w:line="360" w:lineRule="auto"/>
        <w:jc w:val="center"/>
        <w:rPr>
          <w:rFonts w:ascii="Times New Roman" w:hAnsi="Times New Roman" w:eastAsia="宋体"/>
          <w:highlight w:val="none"/>
        </w:rPr>
      </w:pPr>
      <w:r>
        <w:rPr>
          <w:rFonts w:ascii="Times New Roman" w:hAnsi="Times New Roman" w:eastAsia="宋体"/>
          <w:highlight w:val="none"/>
        </w:rPr>
        <w:drawing>
          <wp:inline distT="0" distB="0" distL="114300" distR="114300">
            <wp:extent cx="5412105" cy="1543685"/>
            <wp:effectExtent l="0" t="0" r="17145" b="18415"/>
            <wp:docPr id="22" name="图片 9" descr="https://wdcdn.qpic.cn/MTY4ODg1ODQxMDQzMzU0MQ_169684_DUQHw1IfXPIIeidc_1681982195?w=885&amp;h=317&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https://wdcdn.qpic.cn/MTY4ODg1ODQxMDQzMzU0MQ_169684_DUQHw1IfXPIIeidc_1681982195?w=885&amp;h=317&amp;type=image/png"/>
                    <pic:cNvPicPr>
                      <a:picLocks noChangeAspect="1"/>
                    </pic:cNvPicPr>
                  </pic:nvPicPr>
                  <pic:blipFill>
                    <a:blip r:embed="rId19"/>
                    <a:stretch>
                      <a:fillRect/>
                    </a:stretch>
                  </pic:blipFill>
                  <pic:spPr>
                    <a:xfrm>
                      <a:off x="0" y="0"/>
                      <a:ext cx="5412105" cy="1543685"/>
                    </a:xfrm>
                    <a:prstGeom prst="rect">
                      <a:avLst/>
                    </a:prstGeom>
                    <a:noFill/>
                    <a:ln>
                      <a:noFill/>
                    </a:ln>
                  </pic:spPr>
                </pic:pic>
              </a:graphicData>
            </a:graphic>
          </wp:inline>
        </w:drawing>
      </w:r>
    </w:p>
    <w:p>
      <w:pPr>
        <w:pStyle w:val="19"/>
        <w:spacing w:before="0" w:beforeAutospacing="0" w:after="0" w:afterAutospacing="0" w:line="360" w:lineRule="auto"/>
        <w:jc w:val="center"/>
        <w:rPr>
          <w:rFonts w:ascii="Times New Roman" w:hAnsi="Times New Roman" w:eastAsia="宋体"/>
          <w:highlight w:val="none"/>
        </w:rPr>
      </w:pPr>
      <w:r>
        <w:rPr>
          <w:rFonts w:ascii="Times New Roman" w:hAnsi="Times New Roman" w:eastAsia="宋体"/>
          <w:highlight w:val="none"/>
        </w:rPr>
        <w:drawing>
          <wp:inline distT="0" distB="0" distL="114300" distR="114300">
            <wp:extent cx="1848485" cy="562610"/>
            <wp:effectExtent l="0" t="0" r="18415" b="8890"/>
            <wp:docPr id="24" name="图片 10" descr="https://wdcdn.qpic.cn/MTY4ODg1ODQxMDQzMzU0MQ_654125_FoOTduW4T_9mXocX_1681982227?w=312&amp;h=151&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https://wdcdn.qpic.cn/MTY4ODg1ODQxMDQzMzU0MQ_654125_FoOTduW4T_9mXocX_1681982227?w=312&amp;h=151&amp;type=image/png"/>
                    <pic:cNvPicPr>
                      <a:picLocks noChangeAspect="1"/>
                    </pic:cNvPicPr>
                  </pic:nvPicPr>
                  <pic:blipFill>
                    <a:blip r:embed="rId20"/>
                    <a:stretch>
                      <a:fillRect/>
                    </a:stretch>
                  </pic:blipFill>
                  <pic:spPr>
                    <a:xfrm>
                      <a:off x="0" y="0"/>
                      <a:ext cx="1848485" cy="562610"/>
                    </a:xfrm>
                    <a:prstGeom prst="rect">
                      <a:avLst/>
                    </a:prstGeom>
                    <a:noFill/>
                    <a:ln>
                      <a:noFill/>
                    </a:ln>
                  </pic:spPr>
                </pic:pic>
              </a:graphicData>
            </a:graphic>
          </wp:inline>
        </w:drawing>
      </w:r>
    </w:p>
    <w:p>
      <w:pPr>
        <w:pStyle w:val="4"/>
        <w:rPr>
          <w:sz w:val="24"/>
          <w:szCs w:val="24"/>
          <w:highlight w:val="none"/>
        </w:rPr>
      </w:pPr>
      <w:bookmarkStart w:id="96" w:name="_Toc133335377"/>
      <w:r>
        <w:rPr>
          <w:sz w:val="24"/>
          <w:szCs w:val="24"/>
          <w:highlight w:val="none"/>
        </w:rPr>
        <w:t>6.3.2 风管安装要求</w:t>
      </w:r>
      <w:bookmarkEnd w:id="96"/>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6.3.2.1 风管安装后，水平风管的不平度允许偏差，每米不大于3mm，总的偏差不大于10mm，立管的垂直度允许偏差每米不大于2mm，总偏差不大于10mm；</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6.3.2.2 风管的现场安装如下图：</w:t>
      </w:r>
    </w:p>
    <w:p>
      <w:pPr>
        <w:pStyle w:val="19"/>
        <w:spacing w:before="0" w:beforeAutospacing="0" w:after="0" w:afterAutospacing="0" w:line="360" w:lineRule="auto"/>
        <w:jc w:val="center"/>
        <w:rPr>
          <w:rFonts w:ascii="Times New Roman" w:hAnsi="Times New Roman" w:eastAsia="宋体"/>
          <w:highlight w:val="none"/>
        </w:rPr>
      </w:pPr>
      <w:r>
        <w:rPr>
          <w:rFonts w:ascii="Times New Roman" w:hAnsi="Times New Roman" w:eastAsia="宋体"/>
          <w:highlight w:val="none"/>
        </w:rPr>
        <w:drawing>
          <wp:inline distT="0" distB="0" distL="114300" distR="114300">
            <wp:extent cx="5359400" cy="3250565"/>
            <wp:effectExtent l="0" t="0" r="12700" b="6985"/>
            <wp:docPr id="34" name="图片 11" descr="https://wdcdn.qpic.cn/MTY4ODg1ODQxMDQzMzU0MQ_47750_deRnC8phVaD2bniO_1681982383?w=943&amp;h=572&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https://wdcdn.qpic.cn/MTY4ODg1ODQxMDQzMzU0MQ_47750_deRnC8phVaD2bniO_1681982383?w=943&amp;h=572&amp;type=image/png"/>
                    <pic:cNvPicPr>
                      <a:picLocks noChangeAspect="1"/>
                    </pic:cNvPicPr>
                  </pic:nvPicPr>
                  <pic:blipFill>
                    <a:blip r:embed="rId21"/>
                    <a:stretch>
                      <a:fillRect/>
                    </a:stretch>
                  </pic:blipFill>
                  <pic:spPr>
                    <a:xfrm>
                      <a:off x="0" y="0"/>
                      <a:ext cx="5359400" cy="3250565"/>
                    </a:xfrm>
                    <a:prstGeom prst="rect">
                      <a:avLst/>
                    </a:prstGeom>
                    <a:noFill/>
                    <a:ln>
                      <a:noFill/>
                    </a:ln>
                  </pic:spPr>
                </pic:pic>
              </a:graphicData>
            </a:graphic>
          </wp:inline>
        </w:drawing>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6.3.2.3 支、吊架间距应按规范要求安装，风阀或防火阀处要按要求安装吊架，关键位置需要按要求安装防晃支架；</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6.3.2.4 风管与风管连接处应连接牢固，并进行密封处理，确保风管在正压、负压状态下均密封良好；</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6.3.2.5 风管的布置应合理，方便日后维修；</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6.3.2.6 洁净区每个送风口、回风口和排风口的风管都需安装风阀；</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6.3.2.7 法兰和风管加固角钢必须在风管组装前，涂刷防锈底漆；</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6.3.2.8 管道穿墙、穿楼板套管处的绝热，应采用不燃或难燃的软散绝热材料填实</w:t>
      </w:r>
    </w:p>
    <w:p>
      <w:pPr>
        <w:pStyle w:val="4"/>
        <w:rPr>
          <w:sz w:val="21"/>
          <w:szCs w:val="21"/>
          <w:highlight w:val="none"/>
        </w:rPr>
      </w:pPr>
      <w:bookmarkStart w:id="97" w:name="_Toc133335378"/>
      <w:r>
        <w:rPr>
          <w:sz w:val="21"/>
          <w:szCs w:val="21"/>
          <w:highlight w:val="none"/>
        </w:rPr>
        <w:t>6.3.3 风阀安装要求</w:t>
      </w:r>
      <w:bookmarkEnd w:id="97"/>
    </w:p>
    <w:p>
      <w:pPr>
        <w:rPr>
          <w:highlight w:val="none"/>
        </w:rPr>
      </w:pPr>
      <w:r>
        <w:rPr>
          <w:highlight w:val="none"/>
        </w:rPr>
        <w:t>6.3.3.1 每个送风口、回风口和排风口的风管都需安装一个风阀；</w:t>
      </w:r>
    </w:p>
    <w:p>
      <w:pPr>
        <w:rPr>
          <w:highlight w:val="none"/>
        </w:rPr>
      </w:pPr>
      <w:r>
        <w:rPr>
          <w:highlight w:val="none"/>
        </w:rPr>
        <w:t>6.3.3.2 风阀在满足规范要求的情况下安装在便于操作的位置，阀门操作机构一侧应有200  mm的净空间；</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6.3.3.3 风阀在安装之前确认风阀无变形、无损伤、无漏胶等后进行清理清洁，清洁及检测方案与风管清洁及检测方案一致；</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6.3.3.4</w:t>
      </w:r>
      <w:r>
        <w:rPr>
          <w:rFonts w:ascii="Times New Roman" w:hAnsi="Times New Roman" w:eastAsia="宋体"/>
          <w:color w:val="000000"/>
          <w:highlight w:val="none"/>
        </w:rPr>
        <w:t xml:space="preserve"> 风阀旋转轴两端面设计合理的方案或结构进行密封；</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 xml:space="preserve"> 6.3.3.5</w:t>
      </w:r>
      <w:r>
        <w:rPr>
          <w:rFonts w:ascii="Times New Roman" w:hAnsi="Times New Roman" w:eastAsia="宋体"/>
          <w:color w:val="000000"/>
          <w:highlight w:val="none"/>
        </w:rPr>
        <w:t xml:space="preserve"> 风阀与风管连接处应连接牢固，并进行密封处理，确保风管在正压、负压状态下均密封良好；</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6.3.3.6</w:t>
      </w:r>
      <w:r>
        <w:rPr>
          <w:rFonts w:ascii="Times New Roman" w:hAnsi="Times New Roman" w:eastAsia="宋体"/>
          <w:color w:val="000000"/>
          <w:highlight w:val="none"/>
        </w:rPr>
        <w:t xml:space="preserve"> 手动风量调节阀的手轮或手柄应以顺时针方向转动为关闭;</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6.3.3.7</w:t>
      </w:r>
      <w:r>
        <w:rPr>
          <w:rFonts w:ascii="Times New Roman" w:hAnsi="Times New Roman" w:eastAsia="宋体"/>
          <w:color w:val="000000"/>
          <w:highlight w:val="none"/>
        </w:rPr>
        <w:t xml:space="preserve"> 调节阀均采用0-90度全行程可调，不采用档位调节。</w:t>
      </w:r>
    </w:p>
    <w:p>
      <w:pPr>
        <w:pStyle w:val="4"/>
        <w:rPr>
          <w:sz w:val="24"/>
          <w:szCs w:val="24"/>
          <w:highlight w:val="none"/>
        </w:rPr>
      </w:pPr>
      <w:bookmarkStart w:id="98" w:name="_Toc133335379"/>
      <w:r>
        <w:rPr>
          <w:sz w:val="24"/>
          <w:szCs w:val="24"/>
          <w:highlight w:val="none"/>
        </w:rPr>
        <w:t>6.3.4 消声器、消声弯管、消声静压箱的制作</w:t>
      </w:r>
      <w:bookmarkEnd w:id="98"/>
    </w:p>
    <w:p>
      <w:pPr>
        <w:pStyle w:val="19"/>
        <w:spacing w:before="0" w:beforeAutospacing="0" w:after="0" w:afterAutospacing="0" w:line="360" w:lineRule="auto"/>
        <w:jc w:val="both"/>
        <w:rPr>
          <w:rFonts w:ascii="Times New Roman" w:hAnsi="Times New Roman" w:eastAsia="宋体"/>
          <w:szCs w:val="22"/>
          <w:highlight w:val="none"/>
        </w:rPr>
      </w:pPr>
      <w:r>
        <w:rPr>
          <w:rFonts w:ascii="Times New Roman" w:hAnsi="Times New Roman" w:eastAsia="宋体"/>
          <w:szCs w:val="22"/>
          <w:highlight w:val="none"/>
        </w:rPr>
        <w:t>6.3.4.1 消声器的类别、消声性能及空气阻力应符合设计要求和产品技术文件的规定;</w:t>
      </w:r>
    </w:p>
    <w:p>
      <w:pPr>
        <w:pStyle w:val="19"/>
        <w:spacing w:before="0" w:beforeAutospacing="0" w:after="0" w:afterAutospacing="0" w:line="360" w:lineRule="auto"/>
        <w:jc w:val="both"/>
        <w:rPr>
          <w:rFonts w:ascii="Times New Roman" w:hAnsi="Times New Roman" w:eastAsia="宋体"/>
          <w:szCs w:val="22"/>
          <w:highlight w:val="none"/>
        </w:rPr>
      </w:pPr>
      <w:r>
        <w:rPr>
          <w:rFonts w:ascii="Times New Roman" w:hAnsi="Times New Roman" w:eastAsia="宋体"/>
          <w:szCs w:val="22"/>
          <w:highlight w:val="none"/>
        </w:rPr>
        <w:t>6.3.4.2 矩形消声弯管平面边长大于800mm时，应设置吸声导流片;</w:t>
      </w:r>
    </w:p>
    <w:p>
      <w:pPr>
        <w:pStyle w:val="19"/>
        <w:spacing w:before="0" w:beforeAutospacing="0" w:after="0" w:afterAutospacing="0" w:line="360" w:lineRule="auto"/>
        <w:jc w:val="both"/>
        <w:rPr>
          <w:rFonts w:ascii="Times New Roman" w:hAnsi="Times New Roman" w:eastAsia="宋体"/>
          <w:szCs w:val="22"/>
          <w:highlight w:val="none"/>
        </w:rPr>
      </w:pPr>
      <w:r>
        <w:rPr>
          <w:rFonts w:ascii="Times New Roman" w:hAnsi="Times New Roman" w:eastAsia="宋体"/>
          <w:szCs w:val="22"/>
          <w:highlight w:val="none"/>
        </w:rPr>
        <w:t>6.3.4.3 消声器内消声材料的织物覆盖面层应平整，不应有破损，并应顺气流方向进行搭接;</w:t>
      </w:r>
    </w:p>
    <w:p>
      <w:pPr>
        <w:pStyle w:val="19"/>
        <w:spacing w:before="0" w:beforeAutospacing="0" w:after="0" w:afterAutospacing="0" w:line="360" w:lineRule="auto"/>
        <w:jc w:val="both"/>
        <w:rPr>
          <w:rFonts w:ascii="Times New Roman" w:hAnsi="Times New Roman" w:eastAsia="宋体"/>
          <w:szCs w:val="22"/>
          <w:highlight w:val="none"/>
        </w:rPr>
      </w:pPr>
      <w:r>
        <w:rPr>
          <w:rFonts w:ascii="Times New Roman" w:hAnsi="Times New Roman" w:eastAsia="宋体"/>
          <w:szCs w:val="22"/>
          <w:highlight w:val="none"/>
        </w:rPr>
        <w:t>6.3.4.4 消声器内的织物3覆面层应有保护层，保护层应采用不易锈蚀的材料，不得使用普通铁丝网。当使用穿孔板保护层时，穿孔率应大于20%;</w:t>
      </w:r>
    </w:p>
    <w:p>
      <w:pPr>
        <w:pStyle w:val="19"/>
        <w:spacing w:before="0" w:beforeAutospacing="0" w:after="0" w:afterAutospacing="0" w:line="360" w:lineRule="auto"/>
        <w:jc w:val="both"/>
        <w:rPr>
          <w:rFonts w:ascii="Times New Roman" w:hAnsi="Times New Roman" w:eastAsia="宋体"/>
          <w:szCs w:val="22"/>
          <w:highlight w:val="none"/>
        </w:rPr>
      </w:pPr>
      <w:r>
        <w:rPr>
          <w:rFonts w:ascii="Times New Roman" w:hAnsi="Times New Roman" w:eastAsia="宋体"/>
          <w:szCs w:val="22"/>
          <w:highlight w:val="none"/>
        </w:rPr>
        <w:t>6.3.4.5 净化空调系统消声器内的覆面材料应采用尼龙布等不易产尘的材料;</w:t>
      </w:r>
    </w:p>
    <w:p>
      <w:pPr>
        <w:pStyle w:val="19"/>
        <w:spacing w:before="0" w:beforeAutospacing="0" w:after="0" w:afterAutospacing="0" w:line="360" w:lineRule="auto"/>
        <w:jc w:val="both"/>
        <w:rPr>
          <w:rFonts w:ascii="Times New Roman" w:hAnsi="Times New Roman" w:eastAsia="宋体"/>
          <w:szCs w:val="22"/>
          <w:highlight w:val="none"/>
        </w:rPr>
      </w:pPr>
      <w:r>
        <w:rPr>
          <w:rFonts w:ascii="Times New Roman" w:hAnsi="Times New Roman" w:eastAsia="宋体"/>
          <w:szCs w:val="22"/>
          <w:highlight w:val="none"/>
        </w:rPr>
        <w:t>6.3.4.6 消声器、消声弯管、消声静压箱均应设独立支、吊架。</w:t>
      </w:r>
    </w:p>
    <w:p>
      <w:pPr>
        <w:pStyle w:val="4"/>
        <w:rPr>
          <w:sz w:val="24"/>
          <w:szCs w:val="24"/>
          <w:highlight w:val="none"/>
        </w:rPr>
      </w:pPr>
      <w:bookmarkStart w:id="99" w:name="_Toc133335380"/>
      <w:r>
        <w:rPr>
          <w:sz w:val="24"/>
          <w:szCs w:val="24"/>
          <w:highlight w:val="none"/>
        </w:rPr>
        <w:t>6.3.5 风管风量、风压测孔要求</w:t>
      </w:r>
      <w:bookmarkEnd w:id="99"/>
    </w:p>
    <w:p>
      <w:pPr>
        <w:pStyle w:val="19"/>
        <w:spacing w:before="0" w:beforeAutospacing="0" w:after="0" w:afterAutospacing="0" w:line="360" w:lineRule="auto"/>
        <w:jc w:val="both"/>
        <w:rPr>
          <w:rFonts w:ascii="Times New Roman" w:hAnsi="Times New Roman" w:eastAsia="宋体"/>
          <w:szCs w:val="22"/>
          <w:highlight w:val="none"/>
        </w:rPr>
      </w:pPr>
      <w:r>
        <w:rPr>
          <w:rFonts w:ascii="Times New Roman" w:hAnsi="Times New Roman" w:eastAsia="宋体"/>
          <w:szCs w:val="22"/>
          <w:highlight w:val="none"/>
        </w:rPr>
        <w:t>6.3.5.1 风管风量、风压测孔的安装位置还应随管道周围情况而定，要便于测量的操作，和测量数据的读取；</w:t>
      </w:r>
    </w:p>
    <w:p>
      <w:pPr>
        <w:pStyle w:val="19"/>
        <w:spacing w:before="0" w:beforeAutospacing="0" w:after="0" w:afterAutospacing="0" w:line="360" w:lineRule="auto"/>
        <w:jc w:val="both"/>
        <w:rPr>
          <w:rFonts w:ascii="Times New Roman" w:hAnsi="Times New Roman" w:eastAsia="宋体"/>
          <w:szCs w:val="22"/>
          <w:highlight w:val="none"/>
        </w:rPr>
      </w:pPr>
      <w:r>
        <w:rPr>
          <w:rFonts w:ascii="Times New Roman" w:hAnsi="Times New Roman" w:eastAsia="宋体"/>
          <w:szCs w:val="22"/>
          <w:highlight w:val="none"/>
        </w:rPr>
        <w:t>6.3.5.2 风量测定孔之间的距离为200mm，在风管上呈垂直于风管方向直线排列；方案如下图所示：</w:t>
      </w:r>
    </w:p>
    <w:p>
      <w:pPr>
        <w:pStyle w:val="19"/>
        <w:spacing w:before="0" w:beforeAutospacing="0" w:after="0" w:afterAutospacing="0" w:line="360" w:lineRule="auto"/>
        <w:jc w:val="center"/>
        <w:rPr>
          <w:rFonts w:ascii="Times New Roman" w:hAnsi="Times New Roman" w:eastAsia="宋体"/>
          <w:szCs w:val="22"/>
          <w:highlight w:val="none"/>
        </w:rPr>
      </w:pPr>
      <w:r>
        <w:rPr>
          <w:rFonts w:ascii="Times New Roman" w:hAnsi="Times New Roman" w:eastAsia="宋体"/>
          <w:szCs w:val="22"/>
          <w:highlight w:val="none"/>
        </w:rPr>
        <w:drawing>
          <wp:inline distT="0" distB="0" distL="114300" distR="114300">
            <wp:extent cx="4660265" cy="2989580"/>
            <wp:effectExtent l="0" t="0" r="6985" b="1270"/>
            <wp:docPr id="27" name="图片 12" descr="https://wdcdn.qpic.cn/MTY4ODg1ODQxMDQzMzU0MQ_997194_0noHgDHqQggcy9pv_1681982523?w=502&amp;h=322&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https://wdcdn.qpic.cn/MTY4ODg1ODQxMDQzMzU0MQ_997194_0noHgDHqQggcy9pv_1681982523?w=502&amp;h=322&amp;type=image/png"/>
                    <pic:cNvPicPr>
                      <a:picLocks noChangeAspect="1"/>
                    </pic:cNvPicPr>
                  </pic:nvPicPr>
                  <pic:blipFill>
                    <a:blip r:embed="rId22"/>
                    <a:stretch>
                      <a:fillRect/>
                    </a:stretch>
                  </pic:blipFill>
                  <pic:spPr>
                    <a:xfrm>
                      <a:off x="0" y="0"/>
                      <a:ext cx="4660265" cy="2989580"/>
                    </a:xfrm>
                    <a:prstGeom prst="rect">
                      <a:avLst/>
                    </a:prstGeom>
                    <a:noFill/>
                    <a:ln>
                      <a:noFill/>
                    </a:ln>
                  </pic:spPr>
                </pic:pic>
              </a:graphicData>
            </a:graphic>
          </wp:inline>
        </w:drawing>
      </w:r>
    </w:p>
    <w:p>
      <w:pPr>
        <w:pStyle w:val="19"/>
        <w:spacing w:before="0" w:beforeAutospacing="0" w:after="0" w:afterAutospacing="0" w:line="360" w:lineRule="auto"/>
        <w:jc w:val="both"/>
        <w:rPr>
          <w:rFonts w:ascii="Times New Roman" w:hAnsi="Times New Roman" w:eastAsia="宋体"/>
          <w:szCs w:val="22"/>
          <w:highlight w:val="none"/>
        </w:rPr>
      </w:pPr>
      <w:r>
        <w:rPr>
          <w:rFonts w:ascii="Times New Roman" w:hAnsi="Times New Roman" w:eastAsia="宋体"/>
          <w:szCs w:val="22"/>
          <w:highlight w:val="none"/>
        </w:rPr>
        <w:t>6.3.5.3 测管口需要有密封良好、可靠的堵头，所有连接处均需要打胶。</w:t>
      </w:r>
    </w:p>
    <w:p>
      <w:pPr>
        <w:pStyle w:val="4"/>
        <w:rPr>
          <w:sz w:val="24"/>
          <w:szCs w:val="24"/>
          <w:highlight w:val="none"/>
        </w:rPr>
      </w:pPr>
      <w:bookmarkStart w:id="100" w:name="_Toc133335381"/>
      <w:r>
        <w:rPr>
          <w:sz w:val="24"/>
          <w:szCs w:val="24"/>
          <w:highlight w:val="none"/>
        </w:rPr>
        <w:t>6.3.6 送、回风口、排烟风口、通风口安装要求</w:t>
      </w:r>
      <w:bookmarkEnd w:id="100"/>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6.3.6.1</w:t>
      </w:r>
      <w:r>
        <w:rPr>
          <w:rFonts w:ascii="Times New Roman" w:hAnsi="Times New Roman" w:eastAsia="宋体"/>
          <w:color w:val="000000"/>
          <w:highlight w:val="none"/>
        </w:rPr>
        <w:t xml:space="preserve"> 首先对风口质量进行检验，风口表面应平整，与设计尺寸允许偏差不大于2mm。矩形风口两对角线之差不大于3mm，风口转动调节部分灵活，叶片平直，且不得与框碰擦；</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6.3.6.2</w:t>
      </w:r>
      <w:r>
        <w:rPr>
          <w:rFonts w:ascii="Times New Roman" w:hAnsi="Times New Roman" w:eastAsia="宋体"/>
          <w:color w:val="000000"/>
          <w:highlight w:val="none"/>
        </w:rPr>
        <w:t xml:space="preserve"> 风口与风管的连接应严密、牢固，与装饰面相紧贴；表面平整、不变形，调节灵活、可靠。条形风口的安装，接缝处应衔接自然，无明显缝隙。同一厅室、房间内的相同风口的安装高度应一致，排列应整齐；</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6.3.6.3</w:t>
      </w:r>
      <w:r>
        <w:rPr>
          <w:rFonts w:ascii="Times New Roman" w:hAnsi="Times New Roman" w:eastAsia="宋体"/>
          <w:color w:val="000000"/>
          <w:highlight w:val="none"/>
        </w:rPr>
        <w:t xml:space="preserve"> 风口周边需要全尺寸打胶；</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6.3.6.4</w:t>
      </w:r>
      <w:r>
        <w:rPr>
          <w:rFonts w:ascii="Times New Roman" w:hAnsi="Times New Roman" w:eastAsia="宋体"/>
          <w:color w:val="000000"/>
          <w:highlight w:val="none"/>
        </w:rPr>
        <w:t xml:space="preserve"> 明装无吊顶的风口，安装位置和标高偏差不应大于10mm；</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6.3.6.5</w:t>
      </w:r>
      <w:r>
        <w:rPr>
          <w:rFonts w:ascii="Times New Roman" w:hAnsi="Times New Roman" w:eastAsia="宋体"/>
          <w:color w:val="000000"/>
          <w:highlight w:val="none"/>
        </w:rPr>
        <w:t xml:space="preserve"> 风口水平安装，水平度的偏差不应大于3／1000；</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6.3.6.6</w:t>
      </w:r>
      <w:r>
        <w:rPr>
          <w:rFonts w:ascii="Times New Roman" w:hAnsi="Times New Roman" w:eastAsia="宋体"/>
          <w:color w:val="000000"/>
          <w:highlight w:val="none"/>
        </w:rPr>
        <w:t xml:space="preserve"> 风口垂直安装，垂直度的偏差不应大于2／1000；</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6.3.6.7</w:t>
      </w:r>
      <w:r>
        <w:rPr>
          <w:rFonts w:ascii="Times New Roman" w:hAnsi="Times New Roman" w:eastAsia="宋体"/>
          <w:color w:val="000000"/>
          <w:highlight w:val="none"/>
        </w:rPr>
        <w:t xml:space="preserve"> 除湿洁净区回风用百叶回风口，铝合金喷塑，铝合金外框厚度 1.0mm，内叶厚 0.8 mm，铰链式，加尼龙滤网过滤，滤网易拆卸；</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6.3.6.8</w:t>
      </w:r>
      <w:r>
        <w:rPr>
          <w:rFonts w:ascii="Times New Roman" w:hAnsi="Times New Roman" w:eastAsia="宋体"/>
          <w:color w:val="000000"/>
          <w:highlight w:val="none"/>
        </w:rPr>
        <w:t xml:space="preserve"> 送风口与风管的连接应严密、牢固，与装饰面相紧贴；表面平整、不变形，调节灵活、可靠，方可安装；</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6.3.6.9</w:t>
      </w:r>
      <w:r>
        <w:rPr>
          <w:rFonts w:ascii="Times New Roman" w:hAnsi="Times New Roman" w:eastAsia="宋体"/>
          <w:color w:val="000000"/>
          <w:highlight w:val="none"/>
        </w:rPr>
        <w:t xml:space="preserve"> 送风口安装时，应注意外框上的箭头与气流方向一致。当其竖向安装时，其波纹板应垂直于地面，以免滤纸损坏；</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6.3.6.10</w:t>
      </w:r>
      <w:r>
        <w:rPr>
          <w:rFonts w:ascii="Times New Roman" w:hAnsi="Times New Roman" w:eastAsia="宋体"/>
          <w:color w:val="000000"/>
          <w:highlight w:val="none"/>
        </w:rPr>
        <w:t xml:space="preserve"> 送风口的安装框架应平直，接缝处应平整，以保证在同一平面上；</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6.3.6.11</w:t>
      </w:r>
      <w:r>
        <w:rPr>
          <w:rFonts w:ascii="Times New Roman" w:hAnsi="Times New Roman" w:eastAsia="宋体"/>
          <w:color w:val="000000"/>
          <w:highlight w:val="none"/>
        </w:rPr>
        <w:t xml:space="preserve"> 送风口与其安装框架之间，必须垫密封垫、打胶；</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6.3.6.12</w:t>
      </w:r>
      <w:r>
        <w:rPr>
          <w:rFonts w:ascii="Times New Roman" w:hAnsi="Times New Roman" w:eastAsia="宋体"/>
          <w:color w:val="000000"/>
          <w:highlight w:val="none"/>
        </w:rPr>
        <w:t xml:space="preserve"> 送风口安装就位后必须进行检漏、堵漏；</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6.3.6.13</w:t>
      </w:r>
      <w:r>
        <w:rPr>
          <w:rFonts w:ascii="Times New Roman" w:hAnsi="Times New Roman" w:eastAsia="宋体"/>
          <w:color w:val="000000"/>
          <w:highlight w:val="none"/>
        </w:rPr>
        <w:t xml:space="preserve"> 送风口的外形尺寸与灯盘的尺寸一致，风口与风口，风口与灯盘在横向、纵向均在同一直线且外形尺寸一致，效果如下图；</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highlight w:val="none"/>
        </w:rPr>
        <w:drawing>
          <wp:inline distT="0" distB="0" distL="114300" distR="114300">
            <wp:extent cx="6115050" cy="3133090"/>
            <wp:effectExtent l="0" t="0" r="0" b="10160"/>
            <wp:docPr id="39" name="图片 13" descr="https://wdcdn.qpic.cn/MTY4ODg1ODQxMDQzMzU0MQ_825851_2bteKL5MjdCH54Pf_1681982580?w=821&amp;h=562&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https://wdcdn.qpic.cn/MTY4ODg1ODQxMDQzMzU0MQ_825851_2bteKL5MjdCH54Pf_1681982580?w=821&amp;h=562&amp;type=image/png"/>
                    <pic:cNvPicPr>
                      <a:picLocks noChangeAspect="1"/>
                    </pic:cNvPicPr>
                  </pic:nvPicPr>
                  <pic:blipFill>
                    <a:blip r:embed="rId23"/>
                    <a:stretch>
                      <a:fillRect/>
                    </a:stretch>
                  </pic:blipFill>
                  <pic:spPr>
                    <a:xfrm>
                      <a:off x="0" y="0"/>
                      <a:ext cx="6115050" cy="3133090"/>
                    </a:xfrm>
                    <a:prstGeom prst="rect">
                      <a:avLst/>
                    </a:prstGeom>
                    <a:noFill/>
                    <a:ln>
                      <a:noFill/>
                    </a:ln>
                  </pic:spPr>
                </pic:pic>
              </a:graphicData>
            </a:graphic>
          </wp:inline>
        </w:drawing>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6.3.6.14</w:t>
      </w:r>
      <w:r>
        <w:rPr>
          <w:rFonts w:ascii="Times New Roman" w:hAnsi="Times New Roman" w:eastAsia="宋体"/>
          <w:color w:val="000000"/>
          <w:highlight w:val="none"/>
        </w:rPr>
        <w:t xml:space="preserve"> 各房间的送排风口应分布合理，减少房间内的乱流，各房间洁净度、湿度、温度达到设计要求。房间内应有温度、湿度和压差显示，干燥间内还应具有氧气浓度、温度、湿度报警功能。在甲方指定的位置安装显示装置，自动即时显示当前室内的温度、湿度、正压情况；</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szCs w:val="22"/>
          <w:highlight w:val="none"/>
        </w:rPr>
        <w:t>6.3.6.15</w:t>
      </w:r>
      <w:r>
        <w:rPr>
          <w:rFonts w:ascii="Times New Roman" w:hAnsi="Times New Roman" w:eastAsia="宋体"/>
          <w:color w:val="000000"/>
          <w:highlight w:val="none"/>
        </w:rPr>
        <w:t xml:space="preserve"> 风口在厂房立面的表现形式为防雨型百叶窗。在引风风道的入口合适位置应装有初效过滤器，以阻挡环境空气中的沙尘，同时确保清洁与更换过滤器方便易行。</w:t>
      </w:r>
    </w:p>
    <w:p>
      <w:pPr>
        <w:pStyle w:val="4"/>
        <w:rPr>
          <w:sz w:val="24"/>
          <w:szCs w:val="24"/>
          <w:highlight w:val="none"/>
        </w:rPr>
      </w:pPr>
      <w:bookmarkStart w:id="101" w:name="_Toc133335382"/>
      <w:r>
        <w:rPr>
          <w:sz w:val="24"/>
          <w:szCs w:val="24"/>
          <w:highlight w:val="none"/>
        </w:rPr>
        <w:t>6.3.7 吊顶夹层施工要求</w:t>
      </w:r>
      <w:bookmarkEnd w:id="101"/>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6.3.7.1 施工顺序：夹层内所有管线施工→已施工的管道等清洁→彩钢板在洁净棚内清洁→彩钢板安装→用吸尘器内部清洁→用无法布进行内部清洁；</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6.3.7.2 吊顶夹层内部所的彩钢板与彩钢板之间，彩钢板与风口风管之间、彩钢板与工艺管道之间，彩钢板消防管之间所有连线处均需要打胶；</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6.3.7.3 其他施工做法详见上述相关内容；</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 xml:space="preserve">6.3.7.4 通风前的清洁标准：用白色无尘布擦拭无明显脏污。 </w:t>
      </w:r>
    </w:p>
    <w:p>
      <w:pPr>
        <w:pStyle w:val="4"/>
        <w:rPr>
          <w:sz w:val="24"/>
          <w:szCs w:val="24"/>
          <w:highlight w:val="none"/>
        </w:rPr>
      </w:pPr>
      <w:bookmarkStart w:id="102" w:name="_Toc133335383"/>
      <w:r>
        <w:rPr>
          <w:sz w:val="24"/>
          <w:szCs w:val="24"/>
          <w:highlight w:val="none"/>
        </w:rPr>
        <w:t>6.3.8 风管及配套工程不合格案例</w:t>
      </w:r>
      <w:bookmarkEnd w:id="102"/>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下表为现有消防施工不合格的案例，施工过程中要避免以下问题（不限于以下问题）。</w:t>
      </w:r>
    </w:p>
    <w:tbl>
      <w:tblPr>
        <w:tblStyle w:val="16"/>
        <w:tblW w:w="9330" w:type="dxa"/>
        <w:tblInd w:w="0" w:type="dxa"/>
        <w:tblLayout w:type="fixed"/>
        <w:tblCellMar>
          <w:top w:w="15" w:type="dxa"/>
          <w:left w:w="15" w:type="dxa"/>
          <w:bottom w:w="15" w:type="dxa"/>
          <w:right w:w="15" w:type="dxa"/>
        </w:tblCellMar>
      </w:tblPr>
      <w:tblGrid>
        <w:gridCol w:w="735"/>
        <w:gridCol w:w="3390"/>
        <w:gridCol w:w="2130"/>
        <w:gridCol w:w="2130"/>
        <w:gridCol w:w="945"/>
      </w:tblGrid>
      <w:tr>
        <w:tblPrEx>
          <w:tblCellMar>
            <w:top w:w="15" w:type="dxa"/>
            <w:left w:w="15" w:type="dxa"/>
            <w:bottom w:w="15" w:type="dxa"/>
            <w:right w:w="15" w:type="dxa"/>
          </w:tblCellMar>
        </w:tblPrEx>
        <w:trPr>
          <w:trHeight w:val="336" w:hRule="atLeast"/>
        </w:trPr>
        <w:tc>
          <w:tcPr>
            <w:tcW w:w="7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序号</w:t>
            </w:r>
          </w:p>
        </w:tc>
        <w:tc>
          <w:tcPr>
            <w:tcW w:w="33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不合格示例</w:t>
            </w:r>
          </w:p>
        </w:tc>
        <w:tc>
          <w:tcPr>
            <w:tcW w:w="213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不合格说明</w:t>
            </w:r>
          </w:p>
        </w:tc>
        <w:tc>
          <w:tcPr>
            <w:tcW w:w="213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要求</w:t>
            </w:r>
          </w:p>
        </w:tc>
        <w:tc>
          <w:tcPr>
            <w:tcW w:w="94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备注</w:t>
            </w:r>
          </w:p>
        </w:tc>
      </w:tr>
      <w:tr>
        <w:tblPrEx>
          <w:tblCellMar>
            <w:top w:w="15" w:type="dxa"/>
            <w:left w:w="15" w:type="dxa"/>
            <w:bottom w:w="15" w:type="dxa"/>
            <w:right w:w="15" w:type="dxa"/>
          </w:tblCellMar>
        </w:tblPrEx>
        <w:trPr>
          <w:trHeight w:val="3195" w:hRule="atLeast"/>
        </w:trPr>
        <w:tc>
          <w:tcPr>
            <w:tcW w:w="7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10" w:firstLineChars="1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w:t>
            </w:r>
          </w:p>
        </w:tc>
        <w:tc>
          <w:tcPr>
            <w:tcW w:w="33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sz w:val="21"/>
                <w:szCs w:val="21"/>
                <w:highlight w:val="none"/>
              </w:rPr>
              <w:drawing>
                <wp:inline distT="0" distB="0" distL="114300" distR="114300">
                  <wp:extent cx="2000250" cy="1816735"/>
                  <wp:effectExtent l="0" t="0" r="0" b="12065"/>
                  <wp:docPr id="28" name="图片 14" descr="https://wdcdn.qpic.cn/MTY4ODg1ODQxMDQzMzU0MQ_375339_MppBQGjeGFy315G1_1681986239?w=350&amp;h=319&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https://wdcdn.qpic.cn/MTY4ODg1ODQxMDQzMzU0MQ_375339_MppBQGjeGFy315G1_1681986239?w=350&amp;h=319&amp;type=image/png"/>
                          <pic:cNvPicPr>
                            <a:picLocks noChangeAspect="1"/>
                          </pic:cNvPicPr>
                        </pic:nvPicPr>
                        <pic:blipFill>
                          <a:blip r:embed="rId24"/>
                          <a:stretch>
                            <a:fillRect/>
                          </a:stretch>
                        </pic:blipFill>
                        <pic:spPr>
                          <a:xfrm>
                            <a:off x="0" y="0"/>
                            <a:ext cx="2000250" cy="1816735"/>
                          </a:xfrm>
                          <a:prstGeom prst="rect">
                            <a:avLst/>
                          </a:prstGeom>
                          <a:noFill/>
                          <a:ln>
                            <a:noFill/>
                          </a:ln>
                        </pic:spPr>
                      </pic:pic>
                    </a:graphicData>
                  </a:graphic>
                </wp:inline>
              </w:drawing>
            </w:r>
          </w:p>
        </w:tc>
        <w:tc>
          <w:tcPr>
            <w:tcW w:w="21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1、消防弱电、喷淋位置与顶板上的灯具风口，不在一条直线上，杂乱无章，不满参观要求。</w:t>
            </w:r>
          </w:p>
        </w:tc>
        <w:tc>
          <w:tcPr>
            <w:tcW w:w="21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1、顶板上的任何部件，都需要横平竖直的排列，尽量保持居中。</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2、保证使用功能和参观需求。</w:t>
            </w:r>
          </w:p>
        </w:tc>
        <w:tc>
          <w:tcPr>
            <w:tcW w:w="9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2907" w:hRule="atLeast"/>
        </w:trPr>
        <w:tc>
          <w:tcPr>
            <w:tcW w:w="7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10" w:firstLineChars="1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w:t>
            </w:r>
          </w:p>
        </w:tc>
        <w:tc>
          <w:tcPr>
            <w:tcW w:w="33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sz w:val="21"/>
                <w:szCs w:val="21"/>
                <w:highlight w:val="none"/>
              </w:rPr>
              <w:drawing>
                <wp:inline distT="0" distB="0" distL="114300" distR="114300">
                  <wp:extent cx="2000885" cy="1777365"/>
                  <wp:effectExtent l="0" t="0" r="18415" b="13335"/>
                  <wp:docPr id="29" name="图片 15" descr="https://wdcdn.qpic.cn/MTY4ODg1ODQxMDQzMzU0MQ_390378_jo8t7itWkvokXKQ4_1681986265?w=349&amp;h=312&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https://wdcdn.qpic.cn/MTY4ODg1ODQxMDQzMzU0MQ_390378_jo8t7itWkvokXKQ4_1681986265?w=349&amp;h=312&amp;type=image/png"/>
                          <pic:cNvPicPr>
                            <a:picLocks noChangeAspect="1"/>
                          </pic:cNvPicPr>
                        </pic:nvPicPr>
                        <pic:blipFill>
                          <a:blip r:embed="rId25"/>
                          <a:stretch>
                            <a:fillRect/>
                          </a:stretch>
                        </pic:blipFill>
                        <pic:spPr>
                          <a:xfrm>
                            <a:off x="0" y="0"/>
                            <a:ext cx="2000885" cy="1777365"/>
                          </a:xfrm>
                          <a:prstGeom prst="rect">
                            <a:avLst/>
                          </a:prstGeom>
                          <a:noFill/>
                          <a:ln>
                            <a:noFill/>
                          </a:ln>
                        </pic:spPr>
                      </pic:pic>
                    </a:graphicData>
                  </a:graphic>
                </wp:inline>
              </w:drawing>
            </w:r>
          </w:p>
        </w:tc>
        <w:tc>
          <w:tcPr>
            <w:tcW w:w="21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1、隔墙板上安装的弱电与其它部件没有安装在一条轴线上，不满足参观要求。</w:t>
            </w:r>
          </w:p>
        </w:tc>
        <w:tc>
          <w:tcPr>
            <w:tcW w:w="21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1、隔墙上的任何部件安装都需要横平竖直的排列。</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2、保证使用功能和参观需求。</w:t>
            </w:r>
          </w:p>
        </w:tc>
        <w:tc>
          <w:tcPr>
            <w:tcW w:w="9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2452" w:hRule="atLeast"/>
        </w:trPr>
        <w:tc>
          <w:tcPr>
            <w:tcW w:w="7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10" w:firstLineChars="1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3</w:t>
            </w:r>
          </w:p>
        </w:tc>
        <w:tc>
          <w:tcPr>
            <w:tcW w:w="33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sz w:val="21"/>
                <w:szCs w:val="21"/>
                <w:highlight w:val="none"/>
              </w:rPr>
              <w:drawing>
                <wp:inline distT="0" distB="0" distL="114300" distR="114300">
                  <wp:extent cx="2000885" cy="1485900"/>
                  <wp:effectExtent l="0" t="0" r="18415" b="0"/>
                  <wp:docPr id="15" name="图片 16" descr="https://wdcdn.qpic.cn/MTY4ODg1ODQxMDQzMzU0MQ_871729_1t3M2MbkqMgISWu5_1681986287?w=349&amp;h=260&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https://wdcdn.qpic.cn/MTY4ODg1ODQxMDQzMzU0MQ_871729_1t3M2MbkqMgISWu5_1681986287?w=349&amp;h=260&amp;type=image/png"/>
                          <pic:cNvPicPr>
                            <a:picLocks noChangeAspect="1"/>
                          </pic:cNvPicPr>
                        </pic:nvPicPr>
                        <pic:blipFill>
                          <a:blip r:embed="rId26"/>
                          <a:stretch>
                            <a:fillRect/>
                          </a:stretch>
                        </pic:blipFill>
                        <pic:spPr>
                          <a:xfrm>
                            <a:off x="0" y="0"/>
                            <a:ext cx="2000885" cy="1485900"/>
                          </a:xfrm>
                          <a:prstGeom prst="rect">
                            <a:avLst/>
                          </a:prstGeom>
                          <a:noFill/>
                          <a:ln>
                            <a:noFill/>
                          </a:ln>
                        </pic:spPr>
                      </pic:pic>
                    </a:graphicData>
                  </a:graphic>
                </wp:inline>
              </w:drawing>
            </w:r>
          </w:p>
        </w:tc>
        <w:tc>
          <w:tcPr>
            <w:tcW w:w="21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1、消防排烟口的尺寸与顶板上方的空调口尺寸不一。</w:t>
            </w:r>
          </w:p>
        </w:tc>
        <w:tc>
          <w:tcPr>
            <w:tcW w:w="21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1、在满足消防要求的前提下，消防排烟口尽量与顶板上方的其它部件保持一致。</w:t>
            </w:r>
          </w:p>
        </w:tc>
        <w:tc>
          <w:tcPr>
            <w:tcW w:w="9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r>
        <w:tblPrEx>
          <w:tblCellMar>
            <w:top w:w="15" w:type="dxa"/>
            <w:left w:w="15" w:type="dxa"/>
            <w:bottom w:w="15" w:type="dxa"/>
            <w:right w:w="15" w:type="dxa"/>
          </w:tblCellMar>
        </w:tblPrEx>
        <w:trPr>
          <w:trHeight w:val="2462" w:hRule="atLeast"/>
        </w:trPr>
        <w:tc>
          <w:tcPr>
            <w:tcW w:w="7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210" w:firstLineChars="10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4</w:t>
            </w:r>
          </w:p>
        </w:tc>
        <w:tc>
          <w:tcPr>
            <w:tcW w:w="339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sz w:val="21"/>
                <w:szCs w:val="21"/>
                <w:highlight w:val="none"/>
              </w:rPr>
              <w:drawing>
                <wp:inline distT="0" distB="0" distL="114300" distR="114300">
                  <wp:extent cx="1999615" cy="1473200"/>
                  <wp:effectExtent l="0" t="0" r="635" b="12700"/>
                  <wp:docPr id="17" name="图片 17" descr="https://wdcdn.qpic.cn/MTY4ODg1ODQxMDQzMzU0MQ_323017_8rQ6tgkLYvf69lin_1681984505?w=313&amp;h=232&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wdcdn.qpic.cn/MTY4ODg1ODQxMDQzMzU0MQ_323017_8rQ6tgkLYvf69lin_1681984505?w=313&amp;h=232&amp;type=image/png"/>
                          <pic:cNvPicPr>
                            <a:picLocks noChangeAspect="1"/>
                          </pic:cNvPicPr>
                        </pic:nvPicPr>
                        <pic:blipFill>
                          <a:blip r:embed="rId27"/>
                          <a:stretch>
                            <a:fillRect/>
                          </a:stretch>
                        </pic:blipFill>
                        <pic:spPr>
                          <a:xfrm>
                            <a:off x="0" y="0"/>
                            <a:ext cx="1999615" cy="1473200"/>
                          </a:xfrm>
                          <a:prstGeom prst="rect">
                            <a:avLst/>
                          </a:prstGeom>
                          <a:noFill/>
                          <a:ln>
                            <a:noFill/>
                          </a:ln>
                        </pic:spPr>
                      </pic:pic>
                    </a:graphicData>
                  </a:graphic>
                </wp:inline>
              </w:drawing>
            </w:r>
          </w:p>
        </w:tc>
        <w:tc>
          <w:tcPr>
            <w:tcW w:w="21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1、存在错的消防栓开口洞。</w:t>
            </w:r>
          </w:p>
        </w:tc>
        <w:tc>
          <w:tcPr>
            <w:tcW w:w="21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1、消防开口之前需通知负责人，是否可以开口。</w:t>
            </w:r>
          </w:p>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2、不满足参观需求。</w:t>
            </w:r>
          </w:p>
        </w:tc>
        <w:tc>
          <w:tcPr>
            <w:tcW w:w="9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rPr>
                <w:szCs w:val="21"/>
                <w:highlight w:val="none"/>
              </w:rPr>
            </w:pPr>
          </w:p>
        </w:tc>
      </w:tr>
    </w:tbl>
    <w:p>
      <w:pPr>
        <w:pStyle w:val="3"/>
        <w:rPr>
          <w:sz w:val="28"/>
          <w:szCs w:val="28"/>
          <w:highlight w:val="none"/>
        </w:rPr>
      </w:pPr>
      <w:bookmarkStart w:id="103" w:name="_Toc133335384"/>
      <w:r>
        <w:rPr>
          <w:sz w:val="28"/>
          <w:szCs w:val="28"/>
          <w:highlight w:val="none"/>
        </w:rPr>
        <w:t>6.4 风管检验要求</w:t>
      </w:r>
      <w:bookmarkEnd w:id="103"/>
    </w:p>
    <w:p>
      <w:pPr>
        <w:pStyle w:val="4"/>
        <w:rPr>
          <w:sz w:val="24"/>
          <w:szCs w:val="24"/>
          <w:highlight w:val="none"/>
        </w:rPr>
      </w:pPr>
      <w:bookmarkStart w:id="104" w:name="_Toc133335385"/>
      <w:r>
        <w:rPr>
          <w:sz w:val="24"/>
          <w:szCs w:val="24"/>
          <w:highlight w:val="none"/>
        </w:rPr>
        <w:t>6.4.1 成品保护</w:t>
      </w:r>
      <w:bookmarkEnd w:id="104"/>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6.4.1.1 原材料如风管半成品及成品、阀门、风口等在装卸、运输、安装、调试过程中，应注意成品保护；</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6.4.1.2 原材料风管半成品及成品、阀门、风口等堆放需注意防雨措施，预防生锈；</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6.4.1.3 原材料风管半成品及成品、阀门、风口等应分类、分规格堆放整齐平直，水平位置上下一致，防止变形损坏、防止颠覆或倾倒；</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6.4.1.4 注意工序过程中的成品保护，合理、有序地进行穿插施工，确保工序产品不被污染或损坏；</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6.4.1.5 做好工序标识工作：在施工过程中对易受污染、破坏的成品、半成品，标识“正在施工，注意保护”标牌。采取护、包、盖等防护措施，对成品和半成品进行防护和并由专门负责人经常巡视检查，发现有保护措施损坏的，及时恢复。</w:t>
      </w:r>
    </w:p>
    <w:p>
      <w:pPr>
        <w:pStyle w:val="4"/>
        <w:rPr>
          <w:sz w:val="24"/>
          <w:szCs w:val="24"/>
          <w:highlight w:val="none"/>
        </w:rPr>
      </w:pPr>
      <w:bookmarkStart w:id="105" w:name="_Toc133335386"/>
      <w:r>
        <w:rPr>
          <w:sz w:val="24"/>
          <w:szCs w:val="24"/>
          <w:highlight w:val="none"/>
        </w:rPr>
        <w:t>6.4.2 风管清洁</w:t>
      </w:r>
      <w:bookmarkEnd w:id="105"/>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6.4.2.1 风管管道安装前必须对成品管道内部积尘进行清洁，清洁后方可拼接安装；</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6.4.2.2 含过滤装置风口，过滤装置（如高效过滤器等）需洁净区域清洁及系统调试吹试之后，方可安装；</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6.4.2.3 暂停施工的系统风管，应将风管开口处密封，防止杂物进入及积尘；</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6.4.2.4 风管管道安装风口后，风口需进行防尘保护。</w:t>
      </w:r>
    </w:p>
    <w:p>
      <w:pPr>
        <w:pStyle w:val="4"/>
        <w:rPr>
          <w:sz w:val="24"/>
          <w:szCs w:val="24"/>
          <w:highlight w:val="none"/>
        </w:rPr>
      </w:pPr>
      <w:bookmarkStart w:id="106" w:name="_Toc133335387"/>
      <w:r>
        <w:rPr>
          <w:sz w:val="24"/>
          <w:szCs w:val="24"/>
          <w:highlight w:val="none"/>
        </w:rPr>
        <w:t>6.4.3 风管检测</w:t>
      </w:r>
      <w:bookmarkEnd w:id="106"/>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6.4.3.1 漏光法检测：</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（1） 风管系统安装完毕后，应按系统类别进行严密性检验。（检验合格后，再对需要保温处理的风管进行保温）；</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（2） 检测应采用具有一定强度的安全光源。手持移动光源可采用不低于100W带保护罩的低压照明灯，或其他低压光源；</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（3） 系统风管漏光检测时，光源可置于风管内侧或外侧，但其相对侧为暗黑环境。检测光源应沿着被检测口部位与接缝做缓慢移动，在另一侧进行观察，当发现有光线射出，则说明查出明显漏风处，并做好记录，进行整改，作密封处理；</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（4） 对系统风管的检测，采用分段检测、汇总分析的方法。在严格安装质量管理的基础上，系统风管的检测以总管和干管为主。 当采用漏光法检测系统的严密性时，低压系统风管以每10m接缝，漏光点不大于2处，且100m接缝平均不大于16处为合格，中压系统风管每10m接缝 漏光点不大于1处，且100m接缝平均不大于8处为合格。</w:t>
      </w:r>
    </w:p>
    <w:p>
      <w:pPr>
        <w:rPr>
          <w:highlight w:val="none"/>
        </w:rPr>
      </w:pPr>
      <w:r>
        <w:rPr>
          <w:color w:val="000000"/>
          <w:highlight w:val="none"/>
        </w:rPr>
        <w:t>6.4.3.2</w:t>
      </w:r>
      <w:r>
        <w:rPr>
          <w:highlight w:val="none"/>
        </w:rPr>
        <w:t xml:space="preserve"> 漏风量测试：</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（1） 漏风量测试应采用经检验合格的专用测量仪器，或采用符合现行国家标准《流量测量节流装置》规定的计量元件搭设的测量装置；</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（2） 漏风量测试装置可采用风管式或风室。风管式测试装置采用孔板做计量元件；风室式测试装置采用喷嘴做计量元件；</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（3） 漏风量测试装置的风机，其风压和风量应选择分别大于被测定系统或设备的规定试验压力及最大允许漏风量的1.2倍；</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（4） 漏风量测试装置试验压力的调节，可采用调整风机转速的方法，也可采用控制节流装置开度的方法。 漏风量值必须在系统经调整后，保持稳压的条件下测得；</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（5） 漏风量测试装置的压差测定应采用微压计，其最小读数分格不应大于2.0Pa。</w:t>
      </w:r>
    </w:p>
    <w:p>
      <w:pPr>
        <w:rPr>
          <w:color w:val="000000"/>
          <w:highlight w:val="none"/>
        </w:rPr>
      </w:pPr>
      <w:r>
        <w:rPr>
          <w:color w:val="000000"/>
          <w:highlight w:val="none"/>
        </w:rPr>
        <w:t>6.4.3.3 风量或风速的检测：</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（1） 对于单向流洁净室 采用室截面平均风速和截面积乘积的方法确定送风。离高效过滤器0.3m，垂直于气流的截面作为采样测试截面，截面上测点间距不宜大于0.6m，测点数不应少于5个，以所有测点风速读数的算术平均值作为平均风速；</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（2） 对于非单向流洁净室，采用风口法或风管法确定送风量。</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szCs w:val="22"/>
          <w:highlight w:val="none"/>
        </w:rPr>
        <w:t xml:space="preserve">6.4.3.4 </w:t>
      </w:r>
      <w:r>
        <w:rPr>
          <w:rFonts w:ascii="Times New Roman" w:hAnsi="Times New Roman" w:eastAsia="宋体"/>
          <w:color w:val="000000"/>
          <w:highlight w:val="none"/>
        </w:rPr>
        <w:t>静压差的检测：</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（1） 静压差的测定应在所有的门关闭的条件下，由高压向低压，由平面布置上与外界最远的里间房间开始，依次向外测定；</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（2） 采用的微差压力计，其灵敏度不应低于2.0Pa；</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（3） 有孔洞相通的不同等级相邻的洁净室，其洞口处应有合理的气流流向。洞口的平均风速大于等于0.2m/s时，可用热球风速仪检测。</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szCs w:val="22"/>
          <w:highlight w:val="none"/>
        </w:rPr>
        <w:t>6.4.3.5</w:t>
      </w:r>
      <w:r>
        <w:rPr>
          <w:rFonts w:ascii="Times New Roman" w:hAnsi="Times New Roman" w:eastAsia="宋体"/>
          <w:color w:val="000000"/>
          <w:highlight w:val="none"/>
        </w:rPr>
        <w:t xml:space="preserve"> 空气过滤器泄漏测试：</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（1） 高效过滤器的检漏，应使用采样速率大于1L/min的光学粒子计数器。D类高效过滤器宜使用激光粒子计数器或凝结核计数器；</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（2） 采用粒子计数器检漏高效过滤器 其上风侧应引入均匀浓度的大气尘或含其他 气溶胶尘的空气；</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（3） 高效过滤器的检测采用扫描法,即在过滤器下风侧用粒子计数器的等动力采样头,放在距离被检部位表面20~30mm处，以5~20mm/s的的速度，对过滤器的表面、边框和封头胶处进行移动扫描检查；</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（4） 泄漏率的检测应在接近设计风速的条件下进行。将受检高效过滤器下风侧测得的泄漏浓度换算成透过率，高效过滤器不得大于出厂合格透过率的2倍，D类高效过滤器不得大于出厂合格透过率的3倍。</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szCs w:val="22"/>
          <w:highlight w:val="none"/>
        </w:rPr>
        <w:t>6.4.3.6</w:t>
      </w:r>
      <w:r>
        <w:rPr>
          <w:rFonts w:ascii="Times New Roman" w:hAnsi="Times New Roman" w:eastAsia="宋体"/>
          <w:color w:val="000000"/>
          <w:highlight w:val="none"/>
        </w:rPr>
        <w:t xml:space="preserve"> 室内空气洁净度等级、空气温度和相对湿度的检测：</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（1） 空气洁净度等级的检测应在设计指定的占用状态（空态、静态、动态）下进行；</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（2） 检测仪器的选用：应使用采样速率大于1L/min的光学粒子计数器，在仪器选用时应考虑粒径鉴别能力，粒子浓度适用范围和计数效率。仪表应有有效的标定合格证书；</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（3） 由第三方有资质检测公司出具相应检测报告。</w:t>
      </w:r>
    </w:p>
    <w:p>
      <w:pPr>
        <w:pStyle w:val="3"/>
        <w:rPr>
          <w:sz w:val="28"/>
          <w:szCs w:val="28"/>
          <w:highlight w:val="none"/>
        </w:rPr>
      </w:pPr>
      <w:bookmarkStart w:id="107" w:name="_Toc133335388"/>
      <w:r>
        <w:rPr>
          <w:sz w:val="28"/>
          <w:szCs w:val="28"/>
          <w:highlight w:val="none"/>
        </w:rPr>
        <w:t>七、给排水工程技术要求</w:t>
      </w:r>
      <w:bookmarkEnd w:id="107"/>
    </w:p>
    <w:p>
      <w:pPr>
        <w:pStyle w:val="3"/>
        <w:rPr>
          <w:sz w:val="28"/>
          <w:szCs w:val="28"/>
          <w:highlight w:val="none"/>
        </w:rPr>
      </w:pPr>
      <w:bookmarkStart w:id="108" w:name="_Toc133335389"/>
      <w:r>
        <w:rPr>
          <w:sz w:val="28"/>
          <w:szCs w:val="28"/>
          <w:highlight w:val="none"/>
        </w:rPr>
        <w:t>7.1 室内外管道管材及接口</w:t>
      </w:r>
      <w:bookmarkEnd w:id="108"/>
    </w:p>
    <w:tbl>
      <w:tblPr>
        <w:tblStyle w:val="16"/>
        <w:tblW w:w="10382" w:type="dxa"/>
        <w:tblInd w:w="0" w:type="dxa"/>
        <w:tblLayout w:type="fixed"/>
        <w:tblCellMar>
          <w:top w:w="15" w:type="dxa"/>
          <w:left w:w="15" w:type="dxa"/>
          <w:bottom w:w="15" w:type="dxa"/>
          <w:right w:w="15" w:type="dxa"/>
        </w:tblCellMar>
      </w:tblPr>
      <w:tblGrid>
        <w:gridCol w:w="704"/>
        <w:gridCol w:w="1701"/>
        <w:gridCol w:w="1276"/>
        <w:gridCol w:w="2551"/>
        <w:gridCol w:w="2111"/>
        <w:gridCol w:w="2039"/>
      </w:tblGrid>
      <w:tr>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序号</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197"/>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管道名称</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管道部位</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管材</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接口</w:t>
            </w:r>
          </w:p>
        </w:tc>
        <w:tc>
          <w:tcPr>
            <w:tcW w:w="203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备注</w:t>
            </w:r>
          </w:p>
        </w:tc>
      </w:tr>
      <w:tr>
        <w:tblPrEx>
          <w:tblCellMar>
            <w:top w:w="15" w:type="dxa"/>
            <w:left w:w="15" w:type="dxa"/>
            <w:bottom w:w="15" w:type="dxa"/>
            <w:right w:w="15" w:type="dxa"/>
          </w:tblCellMar>
        </w:tblPrEx>
        <w:trPr>
          <w:trHeight w:val="405" w:hRule="atLeast"/>
        </w:trPr>
        <w:tc>
          <w:tcPr>
            <w:tcW w:w="704"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w:t>
            </w:r>
          </w:p>
        </w:tc>
        <w:tc>
          <w:tcPr>
            <w:tcW w:w="1701"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加压给水管</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室内敷设</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PPR管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热熔</w:t>
            </w:r>
          </w:p>
        </w:tc>
        <w:tc>
          <w:tcPr>
            <w:tcW w:w="2039"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PN=1.0mpa</w:t>
            </w:r>
          </w:p>
        </w:tc>
      </w:tr>
      <w:tr>
        <w:tblPrEx>
          <w:tblCellMar>
            <w:top w:w="15" w:type="dxa"/>
            <w:left w:w="15" w:type="dxa"/>
            <w:bottom w:w="15" w:type="dxa"/>
            <w:right w:w="15" w:type="dxa"/>
          </w:tblCellMar>
        </w:tblPrEx>
        <w:trPr>
          <w:trHeight w:val="405" w:hRule="atLeast"/>
        </w:trPr>
        <w:tc>
          <w:tcPr>
            <w:tcW w:w="7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c>
          <w:tcPr>
            <w:tcW w:w="17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室外埋地</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钢丝网骨架复合管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电热熔或法兰</w:t>
            </w:r>
          </w:p>
        </w:tc>
        <w:tc>
          <w:tcPr>
            <w:tcW w:w="20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r>
      <w:tr>
        <w:tblPrEx>
          <w:tblCellMar>
            <w:top w:w="15" w:type="dxa"/>
            <w:left w:w="15" w:type="dxa"/>
            <w:bottom w:w="15" w:type="dxa"/>
            <w:right w:w="15" w:type="dxa"/>
          </w:tblCellMar>
        </w:tblPrEx>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2</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低温冷冻水系统</w:t>
            </w:r>
          </w:p>
        </w:tc>
        <w:tc>
          <w:tcPr>
            <w:tcW w:w="1276" w:type="dxa"/>
            <w:vMerge w:val="restar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室内敷设</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室内敷设</w:t>
            </w:r>
          </w:p>
        </w:tc>
        <w:tc>
          <w:tcPr>
            <w:tcW w:w="2551" w:type="dxa"/>
            <w:vMerge w:val="restar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DN≤50采用热镀锌焊接钢管；</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DN&gt;50采用无缝钢管；</w:t>
            </w:r>
          </w:p>
        </w:tc>
        <w:tc>
          <w:tcPr>
            <w:tcW w:w="2111" w:type="dxa"/>
            <w:vMerge w:val="restar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镀锌焊接钢管采用丝扣连接；</w:t>
            </w:r>
          </w:p>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无缝钢管采用焊接</w:t>
            </w:r>
          </w:p>
        </w:tc>
        <w:tc>
          <w:tcPr>
            <w:tcW w:w="2039" w:type="dxa"/>
            <w:vMerge w:val="restar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PN=1.0mpa</w:t>
            </w:r>
          </w:p>
        </w:tc>
      </w:tr>
      <w:tr>
        <w:tblPrEx>
          <w:tblCellMar>
            <w:top w:w="15" w:type="dxa"/>
            <w:left w:w="15" w:type="dxa"/>
            <w:bottom w:w="15" w:type="dxa"/>
            <w:right w:w="15" w:type="dxa"/>
          </w:tblCellMar>
        </w:tblPrEx>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3</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工艺循环冷却水系统</w:t>
            </w:r>
          </w:p>
        </w:tc>
        <w:tc>
          <w:tcPr>
            <w:tcW w:w="1276" w:type="dxa"/>
            <w:vMerge w:val="continue"/>
            <w:tcBorders>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p>
        </w:tc>
        <w:tc>
          <w:tcPr>
            <w:tcW w:w="2551" w:type="dxa"/>
            <w:vMerge w:val="continue"/>
            <w:tcBorders>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p>
        </w:tc>
        <w:tc>
          <w:tcPr>
            <w:tcW w:w="2111" w:type="dxa"/>
            <w:vMerge w:val="continue"/>
            <w:tcBorders>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p>
        </w:tc>
        <w:tc>
          <w:tcPr>
            <w:tcW w:w="2039" w:type="dxa"/>
            <w:vMerge w:val="continue"/>
            <w:tcBorders>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p>
        </w:tc>
      </w:tr>
      <w:tr>
        <w:tblPrEx>
          <w:tblCellMar>
            <w:top w:w="15" w:type="dxa"/>
            <w:left w:w="15" w:type="dxa"/>
            <w:bottom w:w="15" w:type="dxa"/>
            <w:right w:w="15" w:type="dxa"/>
          </w:tblCellMar>
        </w:tblPrEx>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4</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热水管</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室内敷设</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199"/>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热水型衬塑钢管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螺纹、沟槽、法兰</w:t>
            </w:r>
          </w:p>
        </w:tc>
        <w:tc>
          <w:tcPr>
            <w:tcW w:w="203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PN=2.0mpa</w:t>
            </w:r>
          </w:p>
        </w:tc>
      </w:tr>
      <w:tr>
        <w:tblPrEx>
          <w:tblCellMar>
            <w:top w:w="15" w:type="dxa"/>
            <w:left w:w="15" w:type="dxa"/>
            <w:bottom w:w="15" w:type="dxa"/>
            <w:right w:w="15" w:type="dxa"/>
          </w:tblCellMar>
        </w:tblPrEx>
        <w:trPr>
          <w:trHeight w:val="405" w:hRule="atLeast"/>
        </w:trPr>
        <w:tc>
          <w:tcPr>
            <w:tcW w:w="704"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5</w:t>
            </w:r>
          </w:p>
        </w:tc>
        <w:tc>
          <w:tcPr>
            <w:tcW w:w="1701"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室内消火栓给水（临时高压）</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室内敷设</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内外壁热镀锌钢管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螺纹、沟槽</w:t>
            </w:r>
            <w:r>
              <w:rPr>
                <w:rFonts w:ascii="Times New Roman" w:hAnsi="Times New Roman" w:eastAsia="宋体"/>
                <w:sz w:val="21"/>
                <w:szCs w:val="21"/>
                <w:highlight w:val="none"/>
              </w:rPr>
              <w:t>、</w:t>
            </w:r>
            <w:r>
              <w:rPr>
                <w:rFonts w:ascii="Times New Roman" w:hAnsi="Times New Roman" w:eastAsia="宋体"/>
                <w:color w:val="000000"/>
                <w:sz w:val="21"/>
                <w:szCs w:val="21"/>
                <w:highlight w:val="none"/>
              </w:rPr>
              <w:t>法兰</w:t>
            </w:r>
          </w:p>
        </w:tc>
        <w:tc>
          <w:tcPr>
            <w:tcW w:w="2039"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PN=1.6 mpa</w:t>
            </w:r>
          </w:p>
        </w:tc>
      </w:tr>
      <w:tr>
        <w:tblPrEx>
          <w:tblCellMar>
            <w:top w:w="15" w:type="dxa"/>
            <w:left w:w="15" w:type="dxa"/>
            <w:bottom w:w="15" w:type="dxa"/>
            <w:right w:w="15" w:type="dxa"/>
          </w:tblCellMar>
        </w:tblPrEx>
        <w:trPr>
          <w:trHeight w:val="405" w:hRule="atLeast"/>
        </w:trPr>
        <w:tc>
          <w:tcPr>
            <w:tcW w:w="7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c>
          <w:tcPr>
            <w:tcW w:w="17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室内埋地</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钢丝网骨架复合管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电热熔或法兰</w:t>
            </w:r>
          </w:p>
        </w:tc>
        <w:tc>
          <w:tcPr>
            <w:tcW w:w="20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r>
      <w:tr>
        <w:tblPrEx>
          <w:tblCellMar>
            <w:top w:w="15" w:type="dxa"/>
            <w:left w:w="15" w:type="dxa"/>
            <w:bottom w:w="15" w:type="dxa"/>
            <w:right w:w="15" w:type="dxa"/>
          </w:tblCellMar>
        </w:tblPrEx>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6</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室外消火栓给水（低压）</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室外埋地</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钢丝网骨架复核管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电熔连接</w:t>
            </w:r>
          </w:p>
        </w:tc>
        <w:tc>
          <w:tcPr>
            <w:tcW w:w="203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48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管材、管件执行T/GCC65-2020标准，施工按照CECS181-2005执行</w:t>
            </w:r>
          </w:p>
        </w:tc>
      </w:tr>
      <w:tr>
        <w:tblPrEx>
          <w:tblCellMar>
            <w:top w:w="15" w:type="dxa"/>
            <w:left w:w="15" w:type="dxa"/>
            <w:bottom w:w="15" w:type="dxa"/>
            <w:right w:w="15" w:type="dxa"/>
          </w:tblCellMar>
        </w:tblPrEx>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7</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自喷给水管道（临时高压）</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室内敷设</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内外壁热镀锌钢管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螺纹、沟槽</w:t>
            </w:r>
            <w:r>
              <w:rPr>
                <w:rFonts w:ascii="Times New Roman" w:hAnsi="Times New Roman" w:eastAsia="宋体"/>
                <w:sz w:val="21"/>
                <w:szCs w:val="21"/>
                <w:highlight w:val="none"/>
              </w:rPr>
              <w:t>、</w:t>
            </w:r>
            <w:r>
              <w:rPr>
                <w:rFonts w:ascii="Times New Roman" w:hAnsi="Times New Roman" w:eastAsia="宋体"/>
                <w:color w:val="000000"/>
                <w:sz w:val="21"/>
                <w:szCs w:val="21"/>
                <w:highlight w:val="none"/>
              </w:rPr>
              <w:t>法兰</w:t>
            </w:r>
          </w:p>
        </w:tc>
        <w:tc>
          <w:tcPr>
            <w:tcW w:w="203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PN=2.0mpa</w:t>
            </w:r>
          </w:p>
        </w:tc>
      </w:tr>
      <w:tr>
        <w:tblPrEx>
          <w:tblCellMar>
            <w:top w:w="15" w:type="dxa"/>
            <w:left w:w="15" w:type="dxa"/>
            <w:bottom w:w="15" w:type="dxa"/>
            <w:right w:w="15" w:type="dxa"/>
          </w:tblCellMar>
        </w:tblPrEx>
        <w:trPr>
          <w:trHeight w:val="405" w:hRule="atLeast"/>
        </w:trPr>
        <w:tc>
          <w:tcPr>
            <w:tcW w:w="704"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8</w:t>
            </w:r>
          </w:p>
        </w:tc>
        <w:tc>
          <w:tcPr>
            <w:tcW w:w="1701"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重力流排水管</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室内结构板敷设</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加强型HDPE管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热熔连接</w:t>
            </w:r>
          </w:p>
        </w:tc>
        <w:tc>
          <w:tcPr>
            <w:tcW w:w="2039"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管材、管件执行T/GCC65-2020标准，施工按照CECS181-2005执行</w:t>
            </w:r>
          </w:p>
        </w:tc>
      </w:tr>
      <w:tr>
        <w:tblPrEx>
          <w:tblCellMar>
            <w:top w:w="15" w:type="dxa"/>
            <w:left w:w="15" w:type="dxa"/>
            <w:bottom w:w="15" w:type="dxa"/>
            <w:right w:w="15" w:type="dxa"/>
          </w:tblCellMar>
        </w:tblPrEx>
        <w:trPr>
          <w:trHeight w:val="405" w:hRule="atLeast"/>
        </w:trPr>
        <w:tc>
          <w:tcPr>
            <w:tcW w:w="7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c>
          <w:tcPr>
            <w:tcW w:w="17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室内敷设</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PVC- U管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粘接</w:t>
            </w:r>
          </w:p>
        </w:tc>
        <w:tc>
          <w:tcPr>
            <w:tcW w:w="20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r>
      <w:tr>
        <w:tblPrEx>
          <w:tblCellMar>
            <w:top w:w="15" w:type="dxa"/>
            <w:left w:w="15" w:type="dxa"/>
            <w:bottom w:w="15" w:type="dxa"/>
            <w:right w:w="15" w:type="dxa"/>
          </w:tblCellMar>
        </w:tblPrEx>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9</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压力排水管</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室外敷设</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内外壁热镀锌钢管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199"/>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卡箍、丝扣</w:t>
            </w:r>
          </w:p>
        </w:tc>
        <w:tc>
          <w:tcPr>
            <w:tcW w:w="20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r>
      <w:tr>
        <w:tblPrEx>
          <w:tblCellMar>
            <w:top w:w="15" w:type="dxa"/>
            <w:left w:w="15" w:type="dxa"/>
            <w:bottom w:w="15" w:type="dxa"/>
            <w:right w:w="15" w:type="dxa"/>
          </w:tblCellMar>
        </w:tblPrEx>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10</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室外污水管</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室外埋地</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高密度聚乙烯缠绕结构壁管及双壁波纹管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热熔连接</w:t>
            </w:r>
          </w:p>
        </w:tc>
        <w:tc>
          <w:tcPr>
            <w:tcW w:w="20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r>
      <w:tr>
        <w:tblPrEx>
          <w:tblCellMar>
            <w:top w:w="15" w:type="dxa"/>
            <w:left w:w="15" w:type="dxa"/>
            <w:bottom w:w="15" w:type="dxa"/>
            <w:right w:w="15" w:type="dxa"/>
          </w:tblCellMar>
        </w:tblPrEx>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11</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空调高温排水管</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室内敷设</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铸铁管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承插粘接</w:t>
            </w:r>
          </w:p>
        </w:tc>
        <w:tc>
          <w:tcPr>
            <w:tcW w:w="20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r>
      <w:tr>
        <w:tblPrEx>
          <w:tblCellMar>
            <w:top w:w="15" w:type="dxa"/>
            <w:left w:w="15" w:type="dxa"/>
            <w:bottom w:w="15" w:type="dxa"/>
            <w:right w:w="15" w:type="dxa"/>
          </w:tblCellMar>
        </w:tblPrEx>
        <w:trPr>
          <w:trHeight w:val="405" w:hRule="atLeast"/>
        </w:trPr>
        <w:tc>
          <w:tcPr>
            <w:tcW w:w="70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12</w:t>
            </w:r>
          </w:p>
        </w:tc>
        <w:tc>
          <w:tcPr>
            <w:tcW w:w="170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重力流雨水管道</w:t>
            </w:r>
          </w:p>
        </w:tc>
        <w:tc>
          <w:tcPr>
            <w:tcW w:w="127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室外埋地</w:t>
            </w:r>
          </w:p>
        </w:tc>
        <w:tc>
          <w:tcPr>
            <w:tcW w:w="255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DN&lt;600采用HDPE 双壁波纹管；管径DN≥600采用预制钢筋混凝土管</w:t>
            </w:r>
          </w:p>
        </w:tc>
        <w:tc>
          <w:tcPr>
            <w:tcW w:w="21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承插连接；水泥包封，承插结构</w:t>
            </w:r>
          </w:p>
        </w:tc>
        <w:tc>
          <w:tcPr>
            <w:tcW w:w="20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highlight w:val="none"/>
              </w:rPr>
            </w:pPr>
          </w:p>
        </w:tc>
      </w:tr>
    </w:tbl>
    <w:p>
      <w:pPr>
        <w:pStyle w:val="3"/>
        <w:rPr>
          <w:sz w:val="28"/>
          <w:szCs w:val="28"/>
          <w:highlight w:val="none"/>
        </w:rPr>
      </w:pPr>
      <w:bookmarkStart w:id="109" w:name="_Toc133335390"/>
      <w:r>
        <w:rPr>
          <w:sz w:val="28"/>
          <w:szCs w:val="28"/>
          <w:highlight w:val="none"/>
        </w:rPr>
        <w:t>7.2 给水工程技术要求</w:t>
      </w:r>
      <w:bookmarkEnd w:id="109"/>
    </w:p>
    <w:p>
      <w:pPr>
        <w:pStyle w:val="4"/>
        <w:rPr>
          <w:szCs w:val="28"/>
          <w:highlight w:val="none"/>
        </w:rPr>
      </w:pPr>
      <w:bookmarkStart w:id="110" w:name="_Toc133335391"/>
      <w:r>
        <w:rPr>
          <w:szCs w:val="28"/>
          <w:highlight w:val="none"/>
        </w:rPr>
        <w:t>7.2.1 室内埋地管道施工</w:t>
      </w:r>
      <w:bookmarkEnd w:id="110"/>
    </w:p>
    <w:p>
      <w:pPr>
        <w:rPr>
          <w:highlight w:val="none"/>
        </w:rPr>
      </w:pPr>
      <w:r>
        <w:rPr>
          <w:highlight w:val="none"/>
        </w:rPr>
        <w:t>7.2.1.1埋地钢管的施工一般按放线开槽、铺管及铺管检查、压力试验及验收、回填土竣工四个阶段进行；</w:t>
      </w:r>
    </w:p>
    <w:p>
      <w:pPr>
        <w:rPr>
          <w:highlight w:val="none"/>
        </w:rPr>
      </w:pPr>
      <w:r>
        <w:rPr>
          <w:highlight w:val="none"/>
        </w:rPr>
        <w:t>7.2.1.2放线开槽一般以设计文件为准，设计文件未规定的按梯形断面开槽，开槽深度不小于管底标高以下200mm，沟底宽度不小于管道占地宽度加300mm，梯形的坡度根据当地土质确定，如无土质资料可按60度开槽，但应保证沟槽在施工安装时不产生滑坡为准。如果开槽区域处于工厂的填方区，沟底部分应夯实平整；</w:t>
      </w:r>
    </w:p>
    <w:p>
      <w:pPr>
        <w:rPr>
          <w:highlight w:val="none"/>
        </w:rPr>
      </w:pPr>
      <w:r>
        <w:rPr>
          <w:highlight w:val="none"/>
        </w:rPr>
        <w:t>7.2.1.3铺管及铺管检查，管道的铺设及连接方式按照设计文件确定，铺管检查先进行管道焊缝检查，管道焊缝检查合格后再进行防腐绝缘层的施工及检查。铺管检查结束后应及时进行管道的压力试验及验收，以防止外部因素对铺管质量的影响；</w:t>
      </w:r>
    </w:p>
    <w:p>
      <w:pPr>
        <w:rPr>
          <w:highlight w:val="none"/>
        </w:rPr>
      </w:pPr>
      <w:r>
        <w:rPr>
          <w:highlight w:val="none"/>
        </w:rPr>
        <w:t>7.2.1.4压力试验及验收合格后进行沟槽回填，沟槽底部管顶200mm区域，回填土为中砂，分层回填，每次填方150mm，人工压实，压实度95%；管顶200mm以上的区域可采用原土，分层回填，每层厚300mm，可用打夯机夯实，压实度90%。沟槽回填时还应该注意管道两侧同时回填，以防止管线产生位移。</w:t>
      </w:r>
    </w:p>
    <w:p>
      <w:pPr>
        <w:rPr>
          <w:highlight w:val="none"/>
        </w:rPr>
      </w:pPr>
      <w:r>
        <w:rPr>
          <w:highlight w:val="none"/>
        </w:rPr>
        <w:t>7.2.1.5埋地的压力给水管道采用直埋式弹性座封闸阀，架空的压力给排水管道采用不锈钢蝶阀，架空的消防给水管道采用不锈钢双向蝶阀。阀门安装时应将手柄或手轮留在易于操作处，流量计应安装于易于读取处。</w:t>
      </w:r>
    </w:p>
    <w:p>
      <w:pPr>
        <w:rPr>
          <w:highlight w:val="none"/>
        </w:rPr>
      </w:pPr>
      <w:r>
        <w:rPr>
          <w:highlight w:val="none"/>
        </w:rPr>
        <w:t>7.2.1.6埋地管道经过道路时，应按照规范和设计要求设置防护套管。埋地管道的连接不允许采用丝扣连接。</w:t>
      </w:r>
    </w:p>
    <w:p>
      <w:pPr>
        <w:pStyle w:val="4"/>
        <w:rPr>
          <w:highlight w:val="none"/>
        </w:rPr>
      </w:pPr>
      <w:bookmarkStart w:id="111" w:name="_Toc133335392"/>
      <w:r>
        <w:rPr>
          <w:highlight w:val="none"/>
        </w:rPr>
        <w:t>7.2.2 管道及配件安装</w:t>
      </w:r>
      <w:bookmarkEnd w:id="111"/>
    </w:p>
    <w:p>
      <w:pPr>
        <w:rPr>
          <w:highlight w:val="none"/>
        </w:rPr>
      </w:pPr>
      <w:r>
        <w:rPr>
          <w:highlight w:val="none"/>
        </w:rPr>
        <w:t>7.2.2.1管道安装一般应本着先主管后支管、先上部后下部、先里后外的原则进行安装，对于不同材质的管道应先安装钢质管道，后安装塑料管道，当管道穿过地下室侧墙时应在室内管道安装结束后再进行安装，安装过程应注意成品保护。</w:t>
      </w:r>
    </w:p>
    <w:p>
      <w:pPr>
        <w:rPr>
          <w:highlight w:val="none"/>
        </w:rPr>
      </w:pPr>
      <w:r>
        <w:rPr>
          <w:highlight w:val="none"/>
        </w:rPr>
        <w:t>7.2.2.2冷热水管道上下平行安装时热水管道应在冷水管道上方，垂直安装时热水管道应在冷水管道左侧。</w:t>
      </w:r>
    </w:p>
    <w:p>
      <w:pPr>
        <w:rPr>
          <w:highlight w:val="none"/>
        </w:rPr>
      </w:pPr>
      <w:r>
        <w:rPr>
          <w:highlight w:val="none"/>
        </w:rPr>
        <w:t>7.2.2.3给水引入管与排水排出管的水平净距不得小于1m。室内给水与排水管道平行敷设时，两管间的最小水平净距不得小于0.5m；交叉铺设时，垂直净距不得小于0.15m。给水管应铺在排水管上面，若给水管必须铺在排水管的下面时，给水管应加套管，其长度不得小于排水管管径的3倍。</w:t>
      </w:r>
    </w:p>
    <w:p>
      <w:pPr>
        <w:rPr>
          <w:highlight w:val="none"/>
        </w:rPr>
      </w:pPr>
      <w:r>
        <w:rPr>
          <w:highlight w:val="none"/>
        </w:rPr>
        <w:t>7.2.2.4卫生间内给水管暗设于吊顶和墙槽内，其余各管道均架空敷设，当卫生间选用的柔性管与车间的刚性管连接时，必须采用过渡连接。</w:t>
      </w:r>
    </w:p>
    <w:p>
      <w:pPr>
        <w:rPr>
          <w:highlight w:val="none"/>
        </w:rPr>
      </w:pPr>
      <w:r>
        <w:rPr>
          <w:highlight w:val="none"/>
        </w:rPr>
        <w:t>7.2.2.5给水管在空间上与排水管或其它专业管线有矛盾时，应遵守压力管让重力管、小管让大管，必要时通过设计重新调整。</w:t>
      </w:r>
    </w:p>
    <w:p>
      <w:pPr>
        <w:rPr>
          <w:highlight w:val="none"/>
        </w:rPr>
      </w:pPr>
      <w:r>
        <w:rPr>
          <w:highlight w:val="none"/>
        </w:rPr>
        <w:t>7.2.2.6给水水平管道应有2‰～5‰的坡度坡向泄水装置。</w:t>
      </w:r>
    </w:p>
    <w:p>
      <w:pPr>
        <w:pStyle w:val="4"/>
        <w:rPr>
          <w:highlight w:val="none"/>
        </w:rPr>
      </w:pPr>
      <w:bookmarkStart w:id="112" w:name="_Toc133335393"/>
      <w:r>
        <w:rPr>
          <w:highlight w:val="none"/>
        </w:rPr>
        <w:t>7.2.3 管道支吊架安装</w:t>
      </w:r>
      <w:bookmarkEnd w:id="112"/>
    </w:p>
    <w:p>
      <w:pPr>
        <w:rPr>
          <w:highlight w:val="none"/>
        </w:rPr>
      </w:pPr>
      <w:r>
        <w:rPr>
          <w:highlight w:val="none"/>
        </w:rPr>
        <w:t>7.2.3.1管道支吊架安装需按设计要求及规范要求进行布置与安装，支吊架应设置牢固、稳定，不得有松动、裂纹、变形等缺陷。滑动支架中滑托与滑槽两侧间应留有3～5mm的间隙，纵向移动量应符合设计要求。</w:t>
      </w:r>
    </w:p>
    <w:p>
      <w:pPr>
        <w:rPr>
          <w:highlight w:val="none"/>
        </w:rPr>
      </w:pPr>
      <w:r>
        <w:rPr>
          <w:highlight w:val="none"/>
        </w:rPr>
        <w:t>7.2.3.2无热伸长管道的吊架、吊杆应垂直安装；有热伸长管道的吊架、吊杆应向热膨胀的反方向偏移。</w:t>
      </w:r>
    </w:p>
    <w:p>
      <w:pPr>
        <w:rPr>
          <w:highlight w:val="none"/>
        </w:rPr>
      </w:pPr>
      <w:r>
        <w:rPr>
          <w:highlight w:val="none"/>
        </w:rPr>
        <w:t>7.2.3.3架空管道支架、吊架、防晃或固定支架的安装应固定牢固，其形式、材质及施工应符合设计要求。</w:t>
      </w:r>
    </w:p>
    <w:p>
      <w:pPr>
        <w:rPr>
          <w:highlight w:val="none"/>
        </w:rPr>
      </w:pPr>
      <w:r>
        <w:rPr>
          <w:highlight w:val="none"/>
        </w:rPr>
        <w:t>7.2.3.4金属管道立管管卡安装应符合下列规定：楼层高度小于或等于5m，每层必须安装1个；楼层高度大于5m，每层不得少于2个；管卡安装高度，距地面应为1.5～1.8m，2个以上管卡应均匀安装，同一房间管卡应安装在同一高度上。</w:t>
      </w:r>
    </w:p>
    <w:p>
      <w:pPr>
        <w:rPr>
          <w:highlight w:val="none"/>
        </w:rPr>
      </w:pPr>
      <w:r>
        <w:rPr>
          <w:highlight w:val="none"/>
        </w:rPr>
        <w:t>7.2.3.5所有管道的支架和支座的设计、制作、安装及验收均应符合国家和业主的要求。</w:t>
      </w:r>
    </w:p>
    <w:p>
      <w:pPr>
        <w:rPr>
          <w:highlight w:val="none"/>
        </w:rPr>
      </w:pPr>
      <w:r>
        <w:rPr>
          <w:highlight w:val="none"/>
        </w:rPr>
        <w:t>（1）不允许使用Ｃ形夹。</w:t>
      </w:r>
    </w:p>
    <w:p>
      <w:pPr>
        <w:rPr>
          <w:highlight w:val="none"/>
        </w:rPr>
      </w:pPr>
      <w:r>
        <w:rPr>
          <w:highlight w:val="none"/>
        </w:rPr>
        <w:t>（2）不允许焊接在结构体系的型钢上。</w:t>
      </w:r>
    </w:p>
    <w:p>
      <w:pPr>
        <w:rPr>
          <w:highlight w:val="none"/>
        </w:rPr>
      </w:pPr>
      <w:r>
        <w:rPr>
          <w:highlight w:val="none"/>
        </w:rPr>
        <w:t>（3）不允许用木塞进行任何形式的固定。</w:t>
      </w:r>
    </w:p>
    <w:p>
      <w:pPr>
        <w:rPr>
          <w:highlight w:val="none"/>
        </w:rPr>
      </w:pPr>
      <w:r>
        <w:rPr>
          <w:highlight w:val="none"/>
        </w:rPr>
        <w:t>7.2.3.6所有管道支架以及设备的结构件需配有耐久的防腐蚀保护，涂二遍防锈漆或进行耐火镀锌，对所要求的螺栓及焊接连接件需采用上述同样做法。</w:t>
      </w:r>
    </w:p>
    <w:p>
      <w:pPr>
        <w:rPr>
          <w:highlight w:val="none"/>
        </w:rPr>
      </w:pPr>
      <w:r>
        <w:rPr>
          <w:highlight w:val="none"/>
        </w:rPr>
        <w:t>7.2.3.7两根以上管道同向或相交布置处，应采用共用支架；若遇到已经安装完毕的管线，应负责与其共架，并负责必须的支架制作、安装。</w:t>
      </w:r>
    </w:p>
    <w:p>
      <w:pPr>
        <w:rPr>
          <w:highlight w:val="none"/>
        </w:rPr>
      </w:pPr>
      <w:r>
        <w:rPr>
          <w:highlight w:val="none"/>
        </w:rPr>
        <w:t>7.2.3.8管道预制：钢管热弯时应不小于管道外径的3.5倍；冷弯时应不小于管道外径的4倍；焊接弯头应不小于管道外径的1.5倍；冲压弯头应不小于管道外径。</w:t>
      </w:r>
    </w:p>
    <w:p>
      <w:pPr>
        <w:pStyle w:val="4"/>
        <w:rPr>
          <w:highlight w:val="none"/>
        </w:rPr>
      </w:pPr>
      <w:bookmarkStart w:id="113" w:name="_Toc133335394"/>
      <w:r>
        <w:rPr>
          <w:highlight w:val="none"/>
        </w:rPr>
        <w:t>7.2.4 阀门</w:t>
      </w:r>
      <w:bookmarkEnd w:id="113"/>
    </w:p>
    <w:p>
      <w:pPr>
        <w:rPr>
          <w:highlight w:val="none"/>
        </w:rPr>
      </w:pPr>
      <w:r>
        <w:rPr>
          <w:highlight w:val="none"/>
        </w:rPr>
        <w:t>7.2.4.1 镀锌钢管和钢丝网骨架复合管等连接用的法兰须出厂自带，同时断管处须按照规范和厂家的要求进行加强处理。</w:t>
      </w:r>
    </w:p>
    <w:p>
      <w:pPr>
        <w:rPr>
          <w:highlight w:val="none"/>
        </w:rPr>
      </w:pPr>
      <w:r>
        <w:rPr>
          <w:highlight w:val="none"/>
        </w:rPr>
        <w:t>7.2.4.2 止回阀：各水箱出水管上选用静音升降式止回阀，给水和消防管道系统采用防水锤消声止回阀，排水泵组出水端采用球式止回阀。</w:t>
      </w:r>
    </w:p>
    <w:p>
      <w:pPr>
        <w:rPr>
          <w:highlight w:val="none"/>
        </w:rPr>
      </w:pPr>
      <w:r>
        <w:rPr>
          <w:highlight w:val="none"/>
        </w:rPr>
        <w:t>7.2.4.3 减压阀：给水系统均采用可调先导式减压阀，安装减压阀前全部管道须冲洗干净，减压阀前过滤器需定期清洗和去除杂物，减压阀前须有5倍管径的直管段。</w:t>
      </w:r>
    </w:p>
    <w:p>
      <w:pPr>
        <w:rPr>
          <w:highlight w:val="none"/>
        </w:rPr>
      </w:pPr>
      <w:r>
        <w:rPr>
          <w:highlight w:val="none"/>
        </w:rPr>
        <w:t>7.2.4.4 液位控制阀：水池水箱进水管处采用，并能按照设计要求将水位信号传到联动或控制需求点。</w:t>
      </w:r>
    </w:p>
    <w:p>
      <w:pPr>
        <w:rPr>
          <w:highlight w:val="none"/>
        </w:rPr>
      </w:pPr>
      <w:r>
        <w:rPr>
          <w:highlight w:val="none"/>
        </w:rPr>
        <w:t>7.2.4.5 阀门安装前应按规范要求做强度和严密性试验，安装时应将手柄留在易于操作处，暗装在管井或吊顶内的管道阀门的检查口处均应设检修门。</w:t>
      </w:r>
    </w:p>
    <w:p>
      <w:pPr>
        <w:rPr>
          <w:highlight w:val="none"/>
        </w:rPr>
      </w:pPr>
      <w:r>
        <w:rPr>
          <w:highlight w:val="none"/>
        </w:rPr>
        <w:t>7.2.4.6 阀门井、管沟等埋地构筑物，应在井底或沟底设置排水管，就近接入附近雨水井。</w:t>
      </w:r>
    </w:p>
    <w:p>
      <w:pPr>
        <w:rPr>
          <w:highlight w:val="none"/>
        </w:rPr>
      </w:pPr>
      <w:r>
        <w:rPr>
          <w:highlight w:val="none"/>
        </w:rPr>
        <w:t>7.2.4.7 压力给排水系统的预留口处，应在末端阀门后预留0.5m短管并用盲板妥善封堵，并在试压时开阀进行同步检测。</w:t>
      </w:r>
    </w:p>
    <w:p>
      <w:pPr>
        <w:pStyle w:val="3"/>
        <w:rPr>
          <w:sz w:val="28"/>
          <w:szCs w:val="28"/>
          <w:highlight w:val="none"/>
        </w:rPr>
      </w:pPr>
      <w:bookmarkStart w:id="114" w:name="_Toc133335395"/>
      <w:r>
        <w:rPr>
          <w:sz w:val="28"/>
          <w:szCs w:val="28"/>
          <w:highlight w:val="none"/>
        </w:rPr>
        <w:t>7.3 排水系统技术要求</w:t>
      </w:r>
      <w:bookmarkEnd w:id="114"/>
    </w:p>
    <w:p>
      <w:pPr>
        <w:ind w:firstLine="420" w:firstLineChars="200"/>
        <w:rPr>
          <w:highlight w:val="none"/>
        </w:rPr>
      </w:pPr>
      <w:r>
        <w:rPr>
          <w:highlight w:val="none"/>
        </w:rPr>
        <w:t xml:space="preserve">室外给排水管道施工前，施工单位须详细的进行图纸检查，包括室外给排水管网位置、标高、坡度与现状或图纸上的电气等其它专业的管网（相关图纸向业主索取）间距是否合理，核对管网与各单体建筑标高及室外环境标高的适宜性。工程内容涉及与市政管网接驳，应复核接驳处市政管网管径、标高的可行性。如发现问题，施工单位须在图纸会审中及时提出解决。 </w:t>
      </w:r>
    </w:p>
    <w:p>
      <w:pPr>
        <w:pStyle w:val="4"/>
        <w:rPr>
          <w:szCs w:val="28"/>
          <w:highlight w:val="none"/>
        </w:rPr>
      </w:pPr>
      <w:bookmarkStart w:id="115" w:name="_Toc133335396"/>
      <w:r>
        <w:rPr>
          <w:szCs w:val="28"/>
          <w:highlight w:val="none"/>
        </w:rPr>
        <w:t>7.3.1 沟槽开挖</w:t>
      </w:r>
      <w:bookmarkEnd w:id="115"/>
    </w:p>
    <w:p>
      <w:pPr>
        <w:rPr>
          <w:highlight w:val="none"/>
        </w:rPr>
      </w:pPr>
      <w:r>
        <w:rPr>
          <w:highlight w:val="none"/>
        </w:rPr>
        <w:t>7.3.1.1沟槽开挖前，测量人员须根据设计图纸对管线位置进行准确的放线定位。</w:t>
      </w:r>
    </w:p>
    <w:p>
      <w:pPr>
        <w:rPr>
          <w:highlight w:val="none"/>
        </w:rPr>
      </w:pPr>
      <w:r>
        <w:rPr>
          <w:highlight w:val="none"/>
        </w:rPr>
        <w:t xml:space="preserve">7.3.1.2沟槽开挖的边坡坡度由施工单位根据现场的实际情况决定，但放坡系数必须在施工方案中明确标注，并采取措施保证边坡稳定，确保施工期间边坡不坍塌。 </w:t>
      </w:r>
    </w:p>
    <w:p>
      <w:pPr>
        <w:rPr>
          <w:highlight w:val="none"/>
        </w:rPr>
      </w:pPr>
      <w:r>
        <w:rPr>
          <w:highlight w:val="none"/>
        </w:rPr>
        <w:t xml:space="preserve">7.3.1.3一般土壤且地下水位低于沟底时，可开直形槽，但槽深不得超过下列规定：砂土和砂砾土不得超过1.0m；亚砂土和亚粘土不得超过1.25m。当沟槽超过上述规定时，槽帮应放坡开挖，当槽沟深度超过2m时宜分层开挖。 </w:t>
      </w:r>
    </w:p>
    <w:p>
      <w:pPr>
        <w:rPr>
          <w:highlight w:val="none"/>
        </w:rPr>
      </w:pPr>
      <w:r>
        <w:rPr>
          <w:highlight w:val="none"/>
        </w:rPr>
        <w:t xml:space="preserve">7.3.1.4开挖前应摸清地下障碍物和周边障碍物位置高度等情况，并采取严格的防护措施，确定挖土机在工作时的回转半径内有无障碍物。开挖沟槽土方应置于距沟边0.8m以外处，高度不宜超过1.5m，须按要求放坡堆放，不得随意堆放，而影响到其它工程。 </w:t>
      </w:r>
    </w:p>
    <w:p>
      <w:pPr>
        <w:rPr>
          <w:highlight w:val="none"/>
        </w:rPr>
      </w:pPr>
      <w:r>
        <w:rPr>
          <w:highlight w:val="none"/>
        </w:rPr>
        <w:t xml:space="preserve">7.3.1.5为使沟底的原土不被扰动，应保证留出比沟底设计标高高出300mm的原土层，采用人工清挖。在开沟时测量人员应密切配合，严禁出现超挖现象。开挖排水管道的土方时，沟底应按设计要求的坡度施工。 </w:t>
      </w:r>
    </w:p>
    <w:p>
      <w:pPr>
        <w:pStyle w:val="4"/>
        <w:rPr>
          <w:highlight w:val="none"/>
        </w:rPr>
      </w:pPr>
      <w:bookmarkStart w:id="116" w:name="_Toc133335397"/>
      <w:r>
        <w:rPr>
          <w:highlight w:val="none"/>
        </w:rPr>
        <w:t>7.3.2 管道基础</w:t>
      </w:r>
      <w:bookmarkEnd w:id="116"/>
      <w:r>
        <w:rPr>
          <w:highlight w:val="none"/>
        </w:rPr>
        <w:t xml:space="preserve"> </w:t>
      </w:r>
    </w:p>
    <w:p>
      <w:pPr>
        <w:pStyle w:val="5"/>
        <w:spacing w:before="163" w:after="163"/>
        <w:rPr>
          <w:highlight w:val="none"/>
        </w:rPr>
      </w:pPr>
      <w:r>
        <w:rPr>
          <w:highlight w:val="none"/>
        </w:rPr>
        <w:t xml:space="preserve">7.3.2.1室外给水管 </w:t>
      </w:r>
    </w:p>
    <w:p>
      <w:pPr>
        <w:rPr>
          <w:highlight w:val="none"/>
        </w:rPr>
      </w:pPr>
      <w:r>
        <w:rPr>
          <w:highlight w:val="none"/>
        </w:rPr>
        <w:t xml:space="preserve">（1）用天然地基时，沟底层应是原土层，或是夯实的回填土，沟底应平整，坡度应顺畅，不得有尖硬的物体、块石等；否则沟底应下挖100～200mm，填铺细砂或粒径不大于5mm的细土，夯实到沟底标高后，方可进行管道敷设。 </w:t>
      </w:r>
    </w:p>
    <w:p>
      <w:pPr>
        <w:rPr>
          <w:highlight w:val="none"/>
        </w:rPr>
      </w:pPr>
      <w:r>
        <w:rPr>
          <w:highlight w:val="none"/>
        </w:rPr>
        <w:t xml:space="preserve">（2）当天然地基受到扰动时，需采取以下措施进行处理：当地基为干槽，其超挖深度在150mm以内时，可用原土回填压实，压实密度不低于原天然地基；当干槽超挖大于150mm、小于1m时，可用石灰土分层压实，相对密度不应低于95%。如槽底局部遇到回填的坑、穴、井或挖掉的局部坚硬地基（老房基、桥基等）可先将其挖除，然后用天然级配砂石、石灰土或可压实的砂粘土分层压实回填，压实度不应小于95%，处理深度不宜大于1m。 </w:t>
      </w:r>
    </w:p>
    <w:p>
      <w:pPr>
        <w:pStyle w:val="5"/>
        <w:spacing w:before="163" w:after="163"/>
        <w:rPr>
          <w:highlight w:val="none"/>
        </w:rPr>
      </w:pPr>
      <w:r>
        <w:rPr>
          <w:highlight w:val="none"/>
        </w:rPr>
        <w:t xml:space="preserve">7.3.2.2 排水管 </w:t>
      </w:r>
    </w:p>
    <w:p>
      <w:pPr>
        <w:ind w:firstLine="420" w:firstLineChars="200"/>
        <w:rPr>
          <w:highlight w:val="none"/>
        </w:rPr>
      </w:pPr>
      <w:r>
        <w:rPr>
          <w:highlight w:val="none"/>
        </w:rPr>
        <w:t xml:space="preserve">管道基础可采用砂石基础，对一般土质的地段，基础铺设一层厚为100mm的砂垫层。对于软土地基，沟槽底又处在地下水位以下时，宜铺设砂石垫层，其厚度为200mm，且用黄砂找平。 </w:t>
      </w:r>
    </w:p>
    <w:p>
      <w:pPr>
        <w:pStyle w:val="4"/>
        <w:rPr>
          <w:highlight w:val="none"/>
        </w:rPr>
      </w:pPr>
      <w:bookmarkStart w:id="117" w:name="_Toc133335398"/>
      <w:r>
        <w:rPr>
          <w:highlight w:val="none"/>
        </w:rPr>
        <w:t>7.3.3 管道安装</w:t>
      </w:r>
      <w:bookmarkEnd w:id="117"/>
    </w:p>
    <w:p>
      <w:pPr>
        <w:ind w:firstLine="420" w:firstLineChars="200"/>
        <w:rPr>
          <w:highlight w:val="none"/>
        </w:rPr>
      </w:pPr>
      <w:r>
        <w:rPr>
          <w:highlight w:val="none"/>
        </w:rPr>
        <w:t xml:space="preserve">管道安装敷设应在沟底标高和管道基础质量检查合格后进行。 </w:t>
      </w:r>
    </w:p>
    <w:p>
      <w:pPr>
        <w:pStyle w:val="5"/>
        <w:spacing w:before="163" w:after="163"/>
        <w:rPr>
          <w:highlight w:val="none"/>
        </w:rPr>
      </w:pPr>
      <w:r>
        <w:rPr>
          <w:highlight w:val="none"/>
        </w:rPr>
        <w:t xml:space="preserve">7.3.3.1 室外给水管道 </w:t>
      </w:r>
    </w:p>
    <w:p>
      <w:pPr>
        <w:rPr>
          <w:highlight w:val="none"/>
        </w:rPr>
      </w:pPr>
      <w:r>
        <w:rPr>
          <w:rFonts w:hint="eastAsia"/>
          <w:highlight w:val="none"/>
        </w:rPr>
        <w:t>（1）</w:t>
      </w:r>
      <w:r>
        <w:rPr>
          <w:highlight w:val="none"/>
        </w:rPr>
        <w:t xml:space="preserve">室外给水管道以甲方指定的管材为准，从水泵房至各楼栋的埋地加压消防管道宜采用热镀锌钢管，管道外壁做加强级防腐。给水管道埋地敷设时，管顶的覆土厚度不得小于500mm，穿越道路部位的覆土厚度不得小于700mm。在室外道路和管网先于主体施工的情况下，穿路基给水管道为各单体建筑物予留的接口宜做出道路外2m，支管标高同接口处主干管标高，支管末端宜先做盲板封堵，该处地面上做100mm×100mm宽、800mm高水泥标志桩，然后以道路中永久保留的实物如检查井作为参照物，在图纸上标明过路管与相应参照物的距离，以便查找。 </w:t>
      </w:r>
    </w:p>
    <w:p>
      <w:pPr>
        <w:rPr>
          <w:highlight w:val="none"/>
        </w:rPr>
      </w:pPr>
      <w:r>
        <w:rPr>
          <w:rFonts w:hint="eastAsia"/>
          <w:highlight w:val="none"/>
        </w:rPr>
        <w:t>（2）</w:t>
      </w:r>
      <w:r>
        <w:rPr>
          <w:highlight w:val="none"/>
        </w:rPr>
        <w:t xml:space="preserve">市政给水管道阀门公称压力不得低于1.0Mpa，加压给水管道、消防管道阀门公称压力不得低于1.6Mpa。 </w:t>
      </w:r>
    </w:p>
    <w:p>
      <w:pPr>
        <w:rPr>
          <w:highlight w:val="none"/>
        </w:rPr>
      </w:pPr>
      <w:r>
        <w:rPr>
          <w:rFonts w:hint="eastAsia"/>
          <w:highlight w:val="none"/>
        </w:rPr>
        <w:t>（3）</w:t>
      </w:r>
      <w:r>
        <w:rPr>
          <w:highlight w:val="none"/>
        </w:rPr>
        <w:t xml:space="preserve">管道安装和铺设过程中，应随时清扫管中杂物。暂时中断安装时，应用木塞或其他措施将管口封闭，防止杂物进入。 </w:t>
      </w:r>
    </w:p>
    <w:p>
      <w:pPr>
        <w:rPr>
          <w:highlight w:val="none"/>
        </w:rPr>
      </w:pPr>
      <w:r>
        <w:rPr>
          <w:rFonts w:hint="eastAsia"/>
          <w:highlight w:val="none"/>
        </w:rPr>
        <w:t>（4）</w:t>
      </w:r>
      <w:r>
        <w:rPr>
          <w:highlight w:val="none"/>
        </w:rPr>
        <w:t>复合管电热熔连接时应使用电热熔专用工具，应保持电热熔管件和管材的熔合部位不受潮，管材的连接端应切割垂直，并应用洁净棉布擦净管材和管件连接面上的污物，并标出插入深度，刮除其表皮，在熔合及冷却过程中，不得移动、转动电热熔管件和熔合的管道，不得在连接件上施加任何外力；复合管与阀门、室外消火栓等附件的连接，应采用法兰连接。</w:t>
      </w:r>
    </w:p>
    <w:p>
      <w:pPr>
        <w:rPr>
          <w:highlight w:val="none"/>
        </w:rPr>
      </w:pPr>
      <w:r>
        <w:rPr>
          <w:rFonts w:hint="eastAsia"/>
          <w:highlight w:val="none"/>
        </w:rPr>
        <w:t>（5）</w:t>
      </w:r>
      <w:r>
        <w:rPr>
          <w:highlight w:val="none"/>
        </w:rPr>
        <w:t xml:space="preserve">室外阀门井内主管上宜设置合适口径的放空管，井底宜设置排水管，以防积水并供检修时使用。阀门安装前必须逐个做强度和严密性试验。阀门上应悬挂功能标识牌（须防水），管道上应标注水流走向。消防管道阀门必须采用明杆闸阀。给水管道必须经过严格的水压试验后方可全部隐蔽。 </w:t>
      </w:r>
    </w:p>
    <w:p>
      <w:pPr>
        <w:pStyle w:val="5"/>
        <w:spacing w:before="163" w:after="163"/>
        <w:rPr>
          <w:highlight w:val="none"/>
        </w:rPr>
      </w:pPr>
      <w:r>
        <w:rPr>
          <w:highlight w:val="none"/>
        </w:rPr>
        <w:t xml:space="preserve">7.3.3.2室外排水管道 </w:t>
      </w:r>
    </w:p>
    <w:p>
      <w:pPr>
        <w:pStyle w:val="20"/>
        <w:ind w:firstLine="480"/>
        <w:rPr>
          <w:sz w:val="24"/>
          <w:highlight w:val="none"/>
        </w:rPr>
      </w:pPr>
      <w:r>
        <w:rPr>
          <w:rFonts w:hint="eastAsia"/>
          <w:sz w:val="24"/>
          <w:highlight w:val="none"/>
        </w:rPr>
        <w:t>（1）</w:t>
      </w:r>
      <w:r>
        <w:rPr>
          <w:sz w:val="24"/>
          <w:highlight w:val="none"/>
        </w:rPr>
        <w:t xml:space="preserve">室外排水管道以业主指定的管材为准。排水管道管顶最小覆土在车行道下不宜小于700mm；如无法满足，须加设防护钢套管等防受压破损的保护措施。当管道不受外部荷载影响时，最小覆土厚度不宜小于300mm。 </w:t>
      </w:r>
    </w:p>
    <w:p>
      <w:pPr>
        <w:pStyle w:val="20"/>
        <w:ind w:firstLine="480"/>
        <w:rPr>
          <w:sz w:val="24"/>
          <w:highlight w:val="none"/>
        </w:rPr>
      </w:pPr>
      <w:r>
        <w:rPr>
          <w:rFonts w:hint="eastAsia"/>
          <w:sz w:val="24"/>
          <w:highlight w:val="none"/>
        </w:rPr>
        <w:t>（2）</w:t>
      </w:r>
      <w:r>
        <w:rPr>
          <w:sz w:val="24"/>
          <w:highlight w:val="none"/>
        </w:rPr>
        <w:t>排水管道交汇连接处、转弯、跌水、管径或坡度改变处以及直线管段上每隔40～50m处、材质变化处均应设检查井；检查井采用砖砌检查井，道路雨水口为砖砌筑；各类井室的井盖应符合设计要求，应有明显的文字标识，各种井盖不得混用。设在通车路面下或小区道路下的各种井室，必须使用重型井圈和井盖，井盖上表面应与路面相平，允许偏差为±5mm。</w:t>
      </w:r>
    </w:p>
    <w:p>
      <w:pPr>
        <w:pStyle w:val="20"/>
        <w:ind w:firstLine="480"/>
        <w:rPr>
          <w:sz w:val="24"/>
          <w:highlight w:val="none"/>
        </w:rPr>
      </w:pPr>
      <w:r>
        <w:rPr>
          <w:rFonts w:hint="eastAsia"/>
          <w:sz w:val="24"/>
          <w:highlight w:val="none"/>
        </w:rPr>
        <w:t>（3）</w:t>
      </w:r>
      <w:r>
        <w:rPr>
          <w:sz w:val="24"/>
          <w:highlight w:val="none"/>
        </w:rPr>
        <w:t xml:space="preserve">绿化带上和不通车的地方可采用轻型井圈和井盖，井盖的上表面应高出地坪50mm，并在井口周围以2%的坡度向外做水泥砂浆护坡。重型井圈，不得直接放在井室的砖墙上，砖墙上应做不少于80mm厚的细石混凝土垫层。管道跌水水头为1～2m时，宜设跌水井跌水。水头大于2.0m时，必须设跌水井。 </w:t>
      </w:r>
    </w:p>
    <w:p>
      <w:pPr>
        <w:pStyle w:val="20"/>
        <w:ind w:firstLine="480"/>
        <w:rPr>
          <w:sz w:val="24"/>
          <w:highlight w:val="none"/>
        </w:rPr>
      </w:pPr>
      <w:r>
        <w:rPr>
          <w:rFonts w:hint="eastAsia"/>
          <w:sz w:val="24"/>
          <w:highlight w:val="none"/>
        </w:rPr>
        <w:t>（4）</w:t>
      </w:r>
      <w:r>
        <w:rPr>
          <w:sz w:val="24"/>
          <w:highlight w:val="none"/>
        </w:rPr>
        <w:t>检查井抹面、勾缝、座浆、抹三角灰均用1</w:t>
      </w:r>
      <w:r>
        <w:rPr>
          <w:rFonts w:hint="eastAsia"/>
          <w:sz w:val="24"/>
          <w:highlight w:val="none"/>
        </w:rPr>
        <w:t>∶</w:t>
      </w:r>
      <w:r>
        <w:rPr>
          <w:sz w:val="24"/>
          <w:highlight w:val="none"/>
        </w:rPr>
        <w:t xml:space="preserve">2防水水泥砂浆，厚20mm，雨水检查井内壁抹面至管顶以上200mm，遇地下水时，井外壁抹面至地下水位以上500mm；污水井内外壁抹面至检查井向上开始收口的部位。 </w:t>
      </w:r>
    </w:p>
    <w:p>
      <w:pPr>
        <w:pStyle w:val="20"/>
        <w:ind w:firstLine="480"/>
        <w:rPr>
          <w:sz w:val="24"/>
          <w:highlight w:val="none"/>
        </w:rPr>
      </w:pPr>
      <w:r>
        <w:rPr>
          <w:rFonts w:hint="eastAsia"/>
          <w:sz w:val="24"/>
          <w:highlight w:val="none"/>
        </w:rPr>
        <w:t>（5）</w:t>
      </w:r>
      <w:r>
        <w:rPr>
          <w:sz w:val="24"/>
          <w:highlight w:val="none"/>
        </w:rPr>
        <w:t xml:space="preserve">雨水口至雨水检查井之间连接管管径选用如下：单箅雨水口选用DN200管道，双箅雨水口选用DN300管道，均以0.01坡度坡向雨水检查井，该连接管的起点管顶埋深不小于700mm。 </w:t>
      </w:r>
    </w:p>
    <w:p>
      <w:pPr>
        <w:pStyle w:val="20"/>
        <w:ind w:firstLine="480"/>
        <w:rPr>
          <w:sz w:val="24"/>
          <w:highlight w:val="none"/>
        </w:rPr>
      </w:pPr>
      <w:r>
        <w:rPr>
          <w:rFonts w:hint="eastAsia"/>
          <w:sz w:val="24"/>
          <w:highlight w:val="none"/>
        </w:rPr>
        <w:t>（6）</w:t>
      </w:r>
      <w:r>
        <w:rPr>
          <w:sz w:val="24"/>
          <w:highlight w:val="none"/>
        </w:rPr>
        <w:t xml:space="preserve">管道宜逐段施工逐段验收。施工单位在完成上一待检点的施工后，应先自检合格并提前6小时通知监理工程师，经监理工程师验收合格并签字同意后方能进行下一工序的施工。 </w:t>
      </w:r>
    </w:p>
    <w:p>
      <w:pPr>
        <w:pStyle w:val="20"/>
        <w:ind w:firstLine="480"/>
        <w:rPr>
          <w:sz w:val="24"/>
          <w:highlight w:val="none"/>
        </w:rPr>
      </w:pPr>
      <w:r>
        <w:rPr>
          <w:rFonts w:hint="eastAsia"/>
          <w:sz w:val="24"/>
          <w:highlight w:val="none"/>
        </w:rPr>
        <w:t>（7）</w:t>
      </w:r>
      <w:r>
        <w:rPr>
          <w:sz w:val="24"/>
          <w:highlight w:val="none"/>
        </w:rPr>
        <w:t xml:space="preserve">如果在主体施工前，为了配合道路施工，室外永久雨、污水管道施工完毕，检查井宜先采用混凝土现浇的临时井盖（要求能抗20t载重汽车通行），待工程竣工验收移交时再换成正式井盖；雨、污水管道为各单体建筑物预留的接口支管做出道路外1m，所有预留接口须全部临时封堵，以防现场泥沙流入管道造成堵塞。该处地面上做显著标志桩。 </w:t>
      </w:r>
    </w:p>
    <w:p>
      <w:pPr>
        <w:pStyle w:val="20"/>
        <w:ind w:firstLine="480"/>
        <w:rPr>
          <w:sz w:val="24"/>
          <w:highlight w:val="none"/>
        </w:rPr>
      </w:pPr>
      <w:r>
        <w:rPr>
          <w:rFonts w:hint="eastAsia"/>
          <w:sz w:val="24"/>
          <w:highlight w:val="none"/>
        </w:rPr>
        <w:t>（8）</w:t>
      </w:r>
      <w:r>
        <w:rPr>
          <w:sz w:val="24"/>
          <w:highlight w:val="none"/>
        </w:rPr>
        <w:t xml:space="preserve">室外排水管道及雨水管的坡度必须符合设计要求，严禁无坡或倒坡。管道承插接口时，插口插入方向应与水流方向一致，由低点向高点依次安装。 </w:t>
      </w:r>
    </w:p>
    <w:p>
      <w:pPr>
        <w:pStyle w:val="20"/>
        <w:ind w:firstLine="480"/>
        <w:rPr>
          <w:sz w:val="24"/>
          <w:highlight w:val="none"/>
        </w:rPr>
      </w:pPr>
      <w:r>
        <w:rPr>
          <w:rFonts w:hint="eastAsia"/>
          <w:sz w:val="24"/>
          <w:highlight w:val="none"/>
        </w:rPr>
        <w:t>（9）</w:t>
      </w:r>
      <w:r>
        <w:rPr>
          <w:sz w:val="24"/>
          <w:highlight w:val="none"/>
        </w:rPr>
        <w:t xml:space="preserve">钢筋混凝土管如采用抹带接口，接口前应将管口的外壁凿毛、扫净；接口完毕后，抹带应进行保湿养护。采用橡胶圈接口的塑料管，连接前，应先检查胶圈是否配套完好；接口作业时，应先将承口（或插口）的内（或外）工作面用棉纱清理干净，不得有泥土等杂物。 </w:t>
      </w:r>
    </w:p>
    <w:p>
      <w:pPr>
        <w:pStyle w:val="20"/>
        <w:ind w:firstLine="480"/>
        <w:rPr>
          <w:sz w:val="24"/>
          <w:highlight w:val="none"/>
        </w:rPr>
      </w:pPr>
      <w:r>
        <w:rPr>
          <w:rFonts w:hint="eastAsia"/>
          <w:sz w:val="24"/>
          <w:highlight w:val="none"/>
        </w:rPr>
        <w:t>（10）</w:t>
      </w:r>
      <w:r>
        <w:rPr>
          <w:sz w:val="24"/>
          <w:highlight w:val="none"/>
        </w:rPr>
        <w:t xml:space="preserve">污水管道上的检查井，井内流槽高度应为满管高。用于雨水管道上的检查井，井内流槽高度应为半管高。检查井应按给水排水标准图集设置标准井盖及爬梯。 </w:t>
      </w:r>
    </w:p>
    <w:p>
      <w:pPr>
        <w:pStyle w:val="20"/>
        <w:ind w:firstLine="480"/>
        <w:rPr>
          <w:highlight w:val="none"/>
        </w:rPr>
      </w:pPr>
      <w:r>
        <w:rPr>
          <w:rFonts w:hint="eastAsia"/>
          <w:sz w:val="24"/>
          <w:highlight w:val="none"/>
        </w:rPr>
        <w:t>（11）</w:t>
      </w:r>
      <w:r>
        <w:rPr>
          <w:sz w:val="24"/>
          <w:highlight w:val="none"/>
        </w:rPr>
        <w:t>雨季施工应采取防止管材漂浮的措施；当管道施工完毕尚未回填而遭到水泡时，应进行管中心线和管底高程复测和外观检查，如出现位移、漂浮、拔口现象，应返工处理。 雨、污水管道必须经过严格的闭水试验后方能隐蔽。</w:t>
      </w:r>
      <w:r>
        <w:rPr>
          <w:highlight w:val="none"/>
        </w:rPr>
        <w:t xml:space="preserve"> </w:t>
      </w:r>
    </w:p>
    <w:p>
      <w:pPr>
        <w:pStyle w:val="4"/>
        <w:rPr>
          <w:highlight w:val="none"/>
        </w:rPr>
      </w:pPr>
      <w:bookmarkStart w:id="118" w:name="_Toc133335399"/>
      <w:r>
        <w:rPr>
          <w:highlight w:val="none"/>
        </w:rPr>
        <w:t>7.3.4 管道防腐</w:t>
      </w:r>
      <w:bookmarkEnd w:id="118"/>
    </w:p>
    <w:p>
      <w:pPr>
        <w:rPr>
          <w:highlight w:val="none"/>
        </w:rPr>
      </w:pPr>
      <w:r>
        <w:rPr>
          <w:rFonts w:hint="eastAsia"/>
          <w:highlight w:val="none"/>
        </w:rPr>
        <w:t>7.3.4.1</w:t>
      </w:r>
      <w:r>
        <w:rPr>
          <w:highlight w:val="none"/>
        </w:rPr>
        <w:t xml:space="preserve"> 埋地敷设的塑料管材如无特殊说明，勿需另外防腐。埋地敷设的镀锌钢管须采用加强级防腐。除非设计有要求，加强级防腐层采用环氧煤沥青外防腐层。防腐层构造和加强级防腐层构造见下表：</w:t>
      </w:r>
    </w:p>
    <w:tbl>
      <w:tblPr>
        <w:tblStyle w:val="16"/>
        <w:tblW w:w="9060" w:type="dxa"/>
        <w:tblInd w:w="0" w:type="dxa"/>
        <w:tblLayout w:type="fixed"/>
        <w:tblCellMar>
          <w:top w:w="15" w:type="dxa"/>
          <w:left w:w="15" w:type="dxa"/>
          <w:bottom w:w="15" w:type="dxa"/>
          <w:right w:w="15" w:type="dxa"/>
        </w:tblCellMar>
      </w:tblPr>
      <w:tblGrid>
        <w:gridCol w:w="3020"/>
        <w:gridCol w:w="3020"/>
        <w:gridCol w:w="3020"/>
      </w:tblGrid>
      <w:tr>
        <w:tblPrEx>
          <w:tblCellMar>
            <w:top w:w="15" w:type="dxa"/>
            <w:left w:w="15" w:type="dxa"/>
            <w:bottom w:w="15" w:type="dxa"/>
            <w:right w:w="15" w:type="dxa"/>
          </w:tblCellMar>
        </w:tblPrEx>
        <w:trPr>
          <w:trHeight w:val="405" w:hRule="atLeast"/>
        </w:trPr>
        <w:tc>
          <w:tcPr>
            <w:tcW w:w="302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涂料种类</w:t>
            </w:r>
          </w:p>
        </w:tc>
        <w:tc>
          <w:tcPr>
            <w:tcW w:w="6040" w:type="dxa"/>
            <w:gridSpan w:val="2"/>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环氧煤沥青</w:t>
            </w:r>
          </w:p>
        </w:tc>
      </w:tr>
      <w:tr>
        <w:tblPrEx>
          <w:tblCellMar>
            <w:top w:w="15" w:type="dxa"/>
            <w:left w:w="15" w:type="dxa"/>
            <w:bottom w:w="15" w:type="dxa"/>
            <w:right w:w="15" w:type="dxa"/>
          </w:tblCellMar>
        </w:tblPrEx>
        <w:trPr>
          <w:trHeight w:val="405" w:hRule="atLeast"/>
        </w:trPr>
        <w:tc>
          <w:tcPr>
            <w:tcW w:w="3020" w:type="dxa"/>
            <w:vMerge w:val="restar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防 腐 层 构 造</w:t>
            </w:r>
          </w:p>
        </w:tc>
        <w:tc>
          <w:tcPr>
            <w:tcW w:w="6040" w:type="dxa"/>
            <w:gridSpan w:val="2"/>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一底一布三油</w:t>
            </w:r>
          </w:p>
        </w:tc>
      </w:tr>
      <w:tr>
        <w:tblPrEx>
          <w:tblCellMar>
            <w:top w:w="15" w:type="dxa"/>
            <w:left w:w="15" w:type="dxa"/>
            <w:bottom w:w="15" w:type="dxa"/>
            <w:right w:w="15" w:type="dxa"/>
          </w:tblCellMar>
        </w:tblPrEx>
        <w:trPr>
          <w:trHeight w:val="405" w:hRule="atLeast"/>
        </w:trPr>
        <w:tc>
          <w:tcPr>
            <w:tcW w:w="3020" w:type="dxa"/>
            <w:vMerge w:val="continue"/>
            <w:tcBorders>
              <w:left w:val="single" w:color="auto" w:sz="4" w:space="0"/>
              <w:right w:val="single" w:color="auto" w:sz="4" w:space="0"/>
            </w:tcBorders>
            <w:noWrap w:val="0"/>
            <w:vAlign w:val="center"/>
          </w:tcPr>
          <w:p>
            <w:pPr>
              <w:widowControl/>
              <w:jc w:val="center"/>
              <w:rPr>
                <w:szCs w:val="21"/>
                <w:highlight w:val="none"/>
              </w:rPr>
            </w:pPr>
          </w:p>
        </w:tc>
        <w:tc>
          <w:tcPr>
            <w:tcW w:w="302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1.底漆</w:t>
            </w:r>
          </w:p>
        </w:tc>
        <w:tc>
          <w:tcPr>
            <w:tcW w:w="3020" w:type="dxa"/>
            <w:vMerge w:val="restart"/>
            <w:tcBorders>
              <w:top w:val="single" w:color="auto" w:sz="4" w:space="0"/>
              <w:left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厚度（mm）</w:t>
            </w:r>
            <w:r>
              <w:rPr>
                <w:rFonts w:hint="eastAsia" w:ascii="Times New Roman" w:hAnsi="Times New Roman" w:eastAsia="宋体"/>
                <w:color w:val="000000"/>
                <w:sz w:val="21"/>
                <w:szCs w:val="21"/>
                <w:highlight w:val="none"/>
              </w:rPr>
              <w:t>：</w:t>
            </w:r>
            <w:r>
              <w:rPr>
                <w:rFonts w:ascii="Times New Roman" w:hAnsi="Times New Roman" w:eastAsia="宋体"/>
                <w:color w:val="000000"/>
                <w:sz w:val="21"/>
                <w:szCs w:val="21"/>
                <w:highlight w:val="none"/>
              </w:rPr>
              <w:t>≥0.4</w:t>
            </w:r>
          </w:p>
        </w:tc>
      </w:tr>
      <w:tr>
        <w:tblPrEx>
          <w:tblCellMar>
            <w:top w:w="15" w:type="dxa"/>
            <w:left w:w="15" w:type="dxa"/>
            <w:bottom w:w="15" w:type="dxa"/>
            <w:right w:w="15" w:type="dxa"/>
          </w:tblCellMar>
        </w:tblPrEx>
        <w:trPr>
          <w:trHeight w:val="490" w:hRule="atLeast"/>
        </w:trPr>
        <w:tc>
          <w:tcPr>
            <w:tcW w:w="3020" w:type="dxa"/>
            <w:vMerge w:val="continue"/>
            <w:tcBorders>
              <w:left w:val="single" w:color="auto" w:sz="4" w:space="0"/>
              <w:right w:val="single" w:color="auto" w:sz="4" w:space="0"/>
            </w:tcBorders>
            <w:noWrap w:val="0"/>
            <w:vAlign w:val="center"/>
          </w:tcPr>
          <w:p>
            <w:pPr>
              <w:widowControl/>
              <w:jc w:val="center"/>
              <w:rPr>
                <w:szCs w:val="21"/>
                <w:highlight w:val="none"/>
              </w:rPr>
            </w:pPr>
          </w:p>
        </w:tc>
        <w:tc>
          <w:tcPr>
            <w:tcW w:w="302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2.面漆</w:t>
            </w:r>
          </w:p>
        </w:tc>
        <w:tc>
          <w:tcPr>
            <w:tcW w:w="3020" w:type="dxa"/>
            <w:vMerge w:val="continue"/>
            <w:tcBorders>
              <w:left w:val="single" w:color="auto" w:sz="4" w:space="0"/>
              <w:right w:val="single" w:color="auto" w:sz="4" w:space="0"/>
            </w:tcBorders>
            <w:noWrap w:val="0"/>
            <w:vAlign w:val="center"/>
          </w:tcPr>
          <w:p>
            <w:pPr>
              <w:widowControl/>
              <w:jc w:val="center"/>
              <w:rPr>
                <w:szCs w:val="21"/>
                <w:highlight w:val="none"/>
              </w:rPr>
            </w:pPr>
          </w:p>
        </w:tc>
      </w:tr>
      <w:tr>
        <w:tblPrEx>
          <w:tblCellMar>
            <w:top w:w="15" w:type="dxa"/>
            <w:left w:w="15" w:type="dxa"/>
            <w:bottom w:w="15" w:type="dxa"/>
            <w:right w:w="15" w:type="dxa"/>
          </w:tblCellMar>
        </w:tblPrEx>
        <w:trPr>
          <w:trHeight w:val="490" w:hRule="atLeast"/>
        </w:trPr>
        <w:tc>
          <w:tcPr>
            <w:tcW w:w="3020" w:type="dxa"/>
            <w:vMerge w:val="continue"/>
            <w:tcBorders>
              <w:left w:val="single" w:color="auto" w:sz="4" w:space="0"/>
              <w:right w:val="single" w:color="auto" w:sz="4" w:space="0"/>
            </w:tcBorders>
            <w:noWrap w:val="0"/>
            <w:vAlign w:val="center"/>
          </w:tcPr>
          <w:p>
            <w:pPr>
              <w:widowControl/>
              <w:jc w:val="center"/>
              <w:rPr>
                <w:szCs w:val="21"/>
                <w:highlight w:val="none"/>
              </w:rPr>
            </w:pPr>
          </w:p>
        </w:tc>
        <w:tc>
          <w:tcPr>
            <w:tcW w:w="302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 xml:space="preserve">  3.玻璃布</w:t>
            </w:r>
          </w:p>
        </w:tc>
        <w:tc>
          <w:tcPr>
            <w:tcW w:w="3020" w:type="dxa"/>
            <w:vMerge w:val="continue"/>
            <w:tcBorders>
              <w:left w:val="single" w:color="auto" w:sz="4" w:space="0"/>
              <w:right w:val="single" w:color="auto" w:sz="4" w:space="0"/>
            </w:tcBorders>
            <w:noWrap w:val="0"/>
            <w:vAlign w:val="center"/>
          </w:tcPr>
          <w:p>
            <w:pPr>
              <w:widowControl/>
              <w:jc w:val="center"/>
              <w:rPr>
                <w:szCs w:val="21"/>
                <w:highlight w:val="none"/>
              </w:rPr>
            </w:pPr>
          </w:p>
        </w:tc>
      </w:tr>
      <w:tr>
        <w:trPr>
          <w:trHeight w:val="405" w:hRule="atLeast"/>
        </w:trPr>
        <w:tc>
          <w:tcPr>
            <w:tcW w:w="3020" w:type="dxa"/>
            <w:vMerge w:val="continue"/>
            <w:tcBorders>
              <w:left w:val="single" w:color="auto" w:sz="4" w:space="0"/>
              <w:right w:val="single" w:color="auto" w:sz="4" w:space="0"/>
            </w:tcBorders>
            <w:noWrap w:val="0"/>
            <w:vAlign w:val="center"/>
          </w:tcPr>
          <w:p>
            <w:pPr>
              <w:widowControl/>
              <w:jc w:val="center"/>
              <w:rPr>
                <w:szCs w:val="21"/>
                <w:highlight w:val="none"/>
              </w:rPr>
            </w:pPr>
          </w:p>
        </w:tc>
        <w:tc>
          <w:tcPr>
            <w:tcW w:w="302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4.面漆</w:t>
            </w:r>
          </w:p>
        </w:tc>
        <w:tc>
          <w:tcPr>
            <w:tcW w:w="3020" w:type="dxa"/>
            <w:vMerge w:val="continue"/>
            <w:tcBorders>
              <w:left w:val="single" w:color="auto" w:sz="4" w:space="0"/>
              <w:right w:val="single" w:color="auto" w:sz="4" w:space="0"/>
            </w:tcBorders>
            <w:noWrap w:val="0"/>
            <w:vAlign w:val="center"/>
          </w:tcPr>
          <w:p>
            <w:pPr>
              <w:widowControl/>
              <w:jc w:val="center"/>
              <w:rPr>
                <w:szCs w:val="21"/>
                <w:highlight w:val="none"/>
              </w:rPr>
            </w:pPr>
          </w:p>
        </w:tc>
      </w:tr>
      <w:tr>
        <w:tblPrEx>
          <w:tblCellMar>
            <w:top w:w="15" w:type="dxa"/>
            <w:left w:w="15" w:type="dxa"/>
            <w:bottom w:w="15" w:type="dxa"/>
            <w:right w:w="15" w:type="dxa"/>
          </w:tblCellMar>
        </w:tblPrEx>
        <w:trPr>
          <w:trHeight w:val="405" w:hRule="atLeast"/>
        </w:trPr>
        <w:tc>
          <w:tcPr>
            <w:tcW w:w="3020" w:type="dxa"/>
            <w:vMerge w:val="continue"/>
            <w:tcBorders>
              <w:left w:val="single" w:color="auto" w:sz="4" w:space="0"/>
              <w:bottom w:val="single" w:color="auto" w:sz="4" w:space="0"/>
              <w:right w:val="single" w:color="auto" w:sz="4" w:space="0"/>
            </w:tcBorders>
            <w:noWrap w:val="0"/>
            <w:vAlign w:val="center"/>
          </w:tcPr>
          <w:p>
            <w:pPr>
              <w:widowControl/>
              <w:jc w:val="center"/>
              <w:rPr>
                <w:szCs w:val="21"/>
                <w:highlight w:val="none"/>
              </w:rPr>
            </w:pPr>
          </w:p>
        </w:tc>
        <w:tc>
          <w:tcPr>
            <w:tcW w:w="302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5.面漆</w:t>
            </w:r>
          </w:p>
        </w:tc>
        <w:tc>
          <w:tcPr>
            <w:tcW w:w="3020" w:type="dxa"/>
            <w:vMerge w:val="continue"/>
            <w:tcBorders>
              <w:left w:val="single" w:color="auto" w:sz="4" w:space="0"/>
              <w:bottom w:val="single" w:color="auto" w:sz="4" w:space="0"/>
              <w:right w:val="single" w:color="auto" w:sz="4" w:space="0"/>
            </w:tcBorders>
            <w:noWrap w:val="0"/>
            <w:vAlign w:val="center"/>
          </w:tcPr>
          <w:p>
            <w:pPr>
              <w:widowControl/>
              <w:jc w:val="center"/>
              <w:rPr>
                <w:szCs w:val="21"/>
                <w:highlight w:val="none"/>
              </w:rPr>
            </w:pPr>
          </w:p>
        </w:tc>
      </w:tr>
    </w:tbl>
    <w:p>
      <w:pPr>
        <w:rPr>
          <w:highlight w:val="none"/>
        </w:rPr>
      </w:pPr>
      <w:r>
        <w:rPr>
          <w:rFonts w:hint="eastAsia"/>
          <w:highlight w:val="none"/>
        </w:rPr>
        <w:t>7.3.4.2</w:t>
      </w:r>
      <w:r>
        <w:rPr>
          <w:highlight w:val="none"/>
        </w:rPr>
        <w:t xml:space="preserve"> 钢管采用环氧煤沥青做外防腐时，应符合当环境温度低于5ºC时，不应采用环氧煤沥青涂料；不得在雨、雾或大风中露天施工；</w:t>
      </w:r>
    </w:p>
    <w:p>
      <w:pPr>
        <w:rPr>
          <w:highlight w:val="none"/>
        </w:rPr>
      </w:pPr>
      <w:r>
        <w:rPr>
          <w:rFonts w:hint="eastAsia"/>
          <w:highlight w:val="none"/>
        </w:rPr>
        <w:t>7.3.4.3</w:t>
      </w:r>
      <w:r>
        <w:rPr>
          <w:highlight w:val="none"/>
        </w:rPr>
        <w:t xml:space="preserve"> 外防腐层的材料质量应符合下列规定： </w:t>
      </w:r>
    </w:p>
    <w:p>
      <w:pPr>
        <w:rPr>
          <w:highlight w:val="none"/>
        </w:rPr>
      </w:pPr>
      <w:r>
        <w:rPr>
          <w:highlight w:val="none"/>
        </w:rPr>
        <w:t xml:space="preserve">（1）环氧煤沥青涂料，宜采用常温固化型的涂料，其性能应符合国家现行标准《埋地钢质管道环氧煤沥青防腐层技术标准》； </w:t>
      </w:r>
    </w:p>
    <w:p>
      <w:pPr>
        <w:rPr>
          <w:highlight w:val="none"/>
        </w:rPr>
      </w:pPr>
      <w:r>
        <w:rPr>
          <w:highlight w:val="none"/>
        </w:rPr>
        <w:t xml:space="preserve">（2）应采用干燥、脱腊、无捻、封边、网状平纹、中碱的玻璃布，其经纬密度为10×12根/cm～12×12根/cm； </w:t>
      </w:r>
    </w:p>
    <w:p>
      <w:pPr>
        <w:rPr>
          <w:highlight w:val="none"/>
        </w:rPr>
      </w:pPr>
      <w:r>
        <w:rPr>
          <w:highlight w:val="none"/>
        </w:rPr>
        <w:t xml:space="preserve">（3）外包保护层应采用可适应环境温度变化的聚氯乙烯工业薄膜，其厚度应为0.2mm。 </w:t>
      </w:r>
    </w:p>
    <w:p>
      <w:pPr>
        <w:rPr>
          <w:highlight w:val="none"/>
        </w:rPr>
      </w:pPr>
      <w:r>
        <w:rPr>
          <w:highlight w:val="none"/>
        </w:rPr>
        <w:t xml:space="preserve">（4）环氧煤沥青外防腐层施工应符合下列规定：管道焊接表面应光滑无刺、无焊瘤；涂料配制应按产品说明书的规定操作；底漆应在表面除锈后的8h之内涂刷，涂刷应均匀，不得漏涂；管两端150～250mm范围内不得涂刷；面漆涂刷和包扎玻璃布，应在底漆表面干燥后进行，底漆与第一道面漆涂刷的间隔时间不得超过24h。 </w:t>
      </w:r>
    </w:p>
    <w:p>
      <w:pPr>
        <w:rPr>
          <w:highlight w:val="none"/>
        </w:rPr>
      </w:pPr>
      <w:r>
        <w:rPr>
          <w:highlight w:val="none"/>
        </w:rPr>
        <w:t>（5）防腐层质量检查：</w:t>
      </w:r>
    </w:p>
    <w:p>
      <w:pPr>
        <w:numPr>
          <w:ilvl w:val="0"/>
          <w:numId w:val="27"/>
        </w:numPr>
        <w:spacing w:line="360" w:lineRule="auto"/>
        <w:ind w:left="482" w:firstLine="0"/>
        <w:rPr>
          <w:highlight w:val="none"/>
        </w:rPr>
      </w:pPr>
      <w:r>
        <w:rPr>
          <w:highlight w:val="none"/>
        </w:rPr>
        <w:t xml:space="preserve">外观：涂层饱满、均匀、玻璃布网眼漆料饱满不露布纹、无皱折、空鼓； </w:t>
      </w:r>
    </w:p>
    <w:p>
      <w:pPr>
        <w:numPr>
          <w:ilvl w:val="0"/>
          <w:numId w:val="27"/>
        </w:numPr>
        <w:spacing w:line="360" w:lineRule="auto"/>
        <w:ind w:left="482" w:firstLine="0"/>
        <w:rPr>
          <w:highlight w:val="none"/>
        </w:rPr>
      </w:pPr>
      <w:r>
        <w:rPr>
          <w:highlight w:val="none"/>
        </w:rPr>
        <w:t xml:space="preserve">厚度检查：用漆膜测厚仪进行检查； </w:t>
      </w:r>
    </w:p>
    <w:p>
      <w:pPr>
        <w:numPr>
          <w:ilvl w:val="0"/>
          <w:numId w:val="27"/>
        </w:numPr>
        <w:spacing w:line="360" w:lineRule="auto"/>
        <w:ind w:left="482" w:firstLine="0"/>
        <w:rPr>
          <w:highlight w:val="none"/>
        </w:rPr>
      </w:pPr>
      <w:r>
        <w:rPr>
          <w:highlight w:val="none"/>
        </w:rPr>
        <w:t xml:space="preserve">粘结力检查：涂层完全固化后，用小刀割开舌形口，撕开涂层，破坏处钢质表面仍为漆膜覆盖，不露金属为合格。 </w:t>
      </w:r>
    </w:p>
    <w:p>
      <w:pPr>
        <w:pStyle w:val="4"/>
        <w:rPr>
          <w:sz w:val="24"/>
          <w:szCs w:val="24"/>
          <w:highlight w:val="none"/>
        </w:rPr>
      </w:pPr>
      <w:bookmarkStart w:id="119" w:name="_Toc133335400"/>
      <w:r>
        <w:rPr>
          <w:sz w:val="24"/>
          <w:szCs w:val="24"/>
          <w:highlight w:val="none"/>
        </w:rPr>
        <w:t>7.3.5 管沟回填</w:t>
      </w:r>
      <w:bookmarkEnd w:id="119"/>
      <w:r>
        <w:rPr>
          <w:sz w:val="24"/>
          <w:szCs w:val="24"/>
          <w:highlight w:val="none"/>
        </w:rPr>
        <w:t xml:space="preserve"> </w:t>
      </w:r>
    </w:p>
    <w:p>
      <w:pPr>
        <w:rPr>
          <w:highlight w:val="none"/>
        </w:rPr>
      </w:pPr>
      <w:r>
        <w:rPr>
          <w:highlight w:val="none"/>
        </w:rPr>
        <w:t xml:space="preserve">7.3.5.1 施工单位的回填土方案及实施须充分考虑对后续地上工程影响的风险且承担该风险责任。 </w:t>
      </w:r>
    </w:p>
    <w:p>
      <w:pPr>
        <w:rPr>
          <w:highlight w:val="none"/>
        </w:rPr>
      </w:pPr>
      <w:r>
        <w:rPr>
          <w:highlight w:val="none"/>
        </w:rPr>
        <w:t xml:space="preserve">7.3.5.2 给水管道水压试验前，除接口外，管道两侧及管顶以上回填高度不应小于500mm；水压试验合格后，应及时回填其余部分。排水管道应在闭水试验合格后及时回填。 </w:t>
      </w:r>
    </w:p>
    <w:p>
      <w:pPr>
        <w:rPr>
          <w:highlight w:val="none"/>
        </w:rPr>
      </w:pPr>
      <w:r>
        <w:rPr>
          <w:highlight w:val="none"/>
        </w:rPr>
        <w:t xml:space="preserve">7.3.5.3 回填前管沟槽内砖、石、木块等杂物应清除干净；沟槽内不得有积水。 </w:t>
      </w:r>
    </w:p>
    <w:p>
      <w:pPr>
        <w:rPr>
          <w:highlight w:val="none"/>
        </w:rPr>
      </w:pPr>
      <w:r>
        <w:rPr>
          <w:highlight w:val="none"/>
        </w:rPr>
        <w:t xml:space="preserve">7.3.5.4 槽底至管顶以上500mm范围内，不得含有机物以及大于50mm的砖、石等硬块；在抹带接口处、防腐绝缘层或电缆周围，应采用细粒土回填。 </w:t>
      </w:r>
    </w:p>
    <w:p>
      <w:pPr>
        <w:rPr>
          <w:highlight w:val="none"/>
        </w:rPr>
      </w:pPr>
      <w:r>
        <w:rPr>
          <w:highlight w:val="none"/>
        </w:rPr>
        <w:t xml:space="preserve">7.3.5.5 沟槽回填土夯实应逐层进行，且不得损伤管道；管道两侧和管顶以上500mm范围内，应采用轻夯压实，管道两侧压实面的高差不应超过300mm。 </w:t>
      </w:r>
    </w:p>
    <w:p>
      <w:pPr>
        <w:rPr>
          <w:highlight w:val="none"/>
        </w:rPr>
      </w:pPr>
      <w:r>
        <w:rPr>
          <w:highlight w:val="none"/>
        </w:rPr>
        <w:t xml:space="preserve">7.3.5.6 分段回填压实时，相邻段的接茬应呈阶梯形，且不得漏夯； </w:t>
      </w:r>
    </w:p>
    <w:p>
      <w:pPr>
        <w:rPr>
          <w:highlight w:val="none"/>
        </w:rPr>
      </w:pPr>
      <w:r>
        <w:rPr>
          <w:highlight w:val="none"/>
        </w:rPr>
        <w:t>7.3.5.7 塑料管两侧回填土的压实度不应小于95%。</w:t>
      </w:r>
    </w:p>
    <w:p>
      <w:pPr>
        <w:rPr>
          <w:highlight w:val="none"/>
        </w:rPr>
      </w:pPr>
      <w:r>
        <w:rPr>
          <w:highlight w:val="none"/>
        </w:rPr>
        <w:t>7.3.5.8 回填土的每层虚铺厚度，应按采用的压实工具和要求的压实密度确定。一般压实工具，铺土厚度按表中的数值选用。回填土每层虚铺厚度见下表：</w:t>
      </w:r>
    </w:p>
    <w:tbl>
      <w:tblPr>
        <w:tblStyle w:val="16"/>
        <w:tblW w:w="9060" w:type="dxa"/>
        <w:jc w:val="center"/>
        <w:tblLayout w:type="fixed"/>
        <w:tblCellMar>
          <w:top w:w="15" w:type="dxa"/>
          <w:left w:w="15" w:type="dxa"/>
          <w:bottom w:w="15" w:type="dxa"/>
          <w:right w:w="15" w:type="dxa"/>
        </w:tblCellMar>
      </w:tblPr>
      <w:tblGrid>
        <w:gridCol w:w="4530"/>
        <w:gridCol w:w="4530"/>
      </w:tblGrid>
      <w:tr>
        <w:trPr>
          <w:trHeight w:val="374" w:hRule="atLeast"/>
          <w:jc w:val="center"/>
        </w:trPr>
        <w:tc>
          <w:tcPr>
            <w:tcW w:w="453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压实工具</w:t>
            </w:r>
          </w:p>
        </w:tc>
        <w:tc>
          <w:tcPr>
            <w:tcW w:w="453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实虚铺厚度（m）</w:t>
            </w:r>
          </w:p>
        </w:tc>
      </w:tr>
      <w:tr>
        <w:tblPrEx>
          <w:tblCellMar>
            <w:top w:w="15" w:type="dxa"/>
            <w:left w:w="15" w:type="dxa"/>
            <w:bottom w:w="15" w:type="dxa"/>
            <w:right w:w="15" w:type="dxa"/>
          </w:tblCellMar>
        </w:tblPrEx>
        <w:trPr>
          <w:trHeight w:val="405" w:hRule="atLeast"/>
          <w:jc w:val="center"/>
        </w:trPr>
        <w:tc>
          <w:tcPr>
            <w:tcW w:w="453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木夯、铁夯</w:t>
            </w:r>
          </w:p>
        </w:tc>
        <w:tc>
          <w:tcPr>
            <w:tcW w:w="453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≤0.20</w:t>
            </w:r>
          </w:p>
        </w:tc>
      </w:tr>
      <w:tr>
        <w:tblPrEx>
          <w:tblCellMar>
            <w:top w:w="15" w:type="dxa"/>
            <w:left w:w="15" w:type="dxa"/>
            <w:bottom w:w="15" w:type="dxa"/>
            <w:right w:w="15" w:type="dxa"/>
          </w:tblCellMar>
        </w:tblPrEx>
        <w:trPr>
          <w:trHeight w:val="405" w:hRule="atLeast"/>
          <w:jc w:val="center"/>
        </w:trPr>
        <w:tc>
          <w:tcPr>
            <w:tcW w:w="453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蛙式夯、人力夯</w:t>
            </w:r>
          </w:p>
        </w:tc>
        <w:tc>
          <w:tcPr>
            <w:tcW w:w="453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0.20～0.25</w:t>
            </w:r>
          </w:p>
        </w:tc>
      </w:tr>
      <w:tr>
        <w:tblPrEx>
          <w:tblCellMar>
            <w:top w:w="15" w:type="dxa"/>
            <w:left w:w="15" w:type="dxa"/>
            <w:bottom w:w="15" w:type="dxa"/>
            <w:right w:w="15" w:type="dxa"/>
          </w:tblCellMar>
        </w:tblPrEx>
        <w:trPr>
          <w:trHeight w:val="405" w:hRule="atLeast"/>
          <w:jc w:val="center"/>
        </w:trPr>
        <w:tc>
          <w:tcPr>
            <w:tcW w:w="453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压路机</w:t>
            </w:r>
          </w:p>
        </w:tc>
        <w:tc>
          <w:tcPr>
            <w:tcW w:w="453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9"/>
              <w:spacing w:before="0" w:beforeAutospacing="0" w:after="0" w:afterAutospacing="0" w:line="360" w:lineRule="auto"/>
              <w:ind w:firstLine="560"/>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0.20～0.30</w:t>
            </w:r>
          </w:p>
        </w:tc>
      </w:tr>
    </w:tbl>
    <w:p>
      <w:pPr>
        <w:pStyle w:val="3"/>
        <w:rPr>
          <w:sz w:val="28"/>
          <w:szCs w:val="28"/>
          <w:highlight w:val="none"/>
        </w:rPr>
      </w:pPr>
      <w:bookmarkStart w:id="120" w:name="_Toc133335401"/>
      <w:r>
        <w:rPr>
          <w:sz w:val="28"/>
          <w:szCs w:val="28"/>
          <w:highlight w:val="none"/>
        </w:rPr>
        <w:t>7.4 消防给排水工程</w:t>
      </w:r>
      <w:bookmarkEnd w:id="120"/>
    </w:p>
    <w:p>
      <w:pPr>
        <w:pStyle w:val="4"/>
        <w:rPr>
          <w:sz w:val="24"/>
          <w:szCs w:val="24"/>
          <w:highlight w:val="none"/>
        </w:rPr>
      </w:pPr>
      <w:bookmarkStart w:id="121" w:name="_Toc133335402"/>
      <w:r>
        <w:rPr>
          <w:sz w:val="24"/>
          <w:szCs w:val="24"/>
          <w:highlight w:val="none"/>
        </w:rPr>
        <w:t>7.4.1 消防水系统技术要求</w:t>
      </w:r>
      <w:bookmarkEnd w:id="121"/>
    </w:p>
    <w:p>
      <w:pPr>
        <w:rPr>
          <w:highlight w:val="none"/>
        </w:rPr>
      </w:pPr>
      <w:r>
        <w:rPr>
          <w:highlight w:val="none"/>
        </w:rPr>
        <w:t>7.4.1.1消防水泵及稳压泵的安装：消防水泵、稳压泵的安装，应符合现行国家标准《机械设备安装工程施工及验收通用规范》及《压缩机、风机、泵安装工程施工及验收规范》的有关规定。</w:t>
      </w:r>
    </w:p>
    <w:p>
      <w:pPr>
        <w:pStyle w:val="20"/>
        <w:numPr>
          <w:ilvl w:val="0"/>
          <w:numId w:val="28"/>
        </w:numPr>
        <w:spacing w:line="360" w:lineRule="auto"/>
        <w:ind w:left="0" w:firstLine="0" w:firstLineChars="0"/>
        <w:rPr>
          <w:sz w:val="24"/>
          <w:highlight w:val="none"/>
        </w:rPr>
      </w:pPr>
      <w:r>
        <w:rPr>
          <w:color w:val="000000"/>
          <w:sz w:val="24"/>
          <w:highlight w:val="none"/>
        </w:rPr>
        <w:t>检查泵的安装基础的尺寸、位置和标高均符合工程设计要求。</w:t>
      </w:r>
    </w:p>
    <w:p>
      <w:pPr>
        <w:pStyle w:val="20"/>
        <w:numPr>
          <w:ilvl w:val="0"/>
          <w:numId w:val="28"/>
        </w:numPr>
        <w:spacing w:line="360" w:lineRule="auto"/>
        <w:ind w:left="0" w:firstLine="0" w:firstLineChars="0"/>
        <w:rPr>
          <w:sz w:val="24"/>
          <w:highlight w:val="none"/>
        </w:rPr>
      </w:pPr>
      <w:r>
        <w:rPr>
          <w:color w:val="000000"/>
          <w:sz w:val="24"/>
          <w:highlight w:val="none"/>
        </w:rPr>
        <w:t>泵的开箱检查应符合下列要求：应按设备技术文件的规定清点泵的零件和部件，并应无缺件、损坏和锈蚀等；管口保护物和堵盖应完好；应核对泵的主要安装尺寸并应与工程设计相符。</w:t>
      </w:r>
    </w:p>
    <w:p>
      <w:pPr>
        <w:pStyle w:val="20"/>
        <w:numPr>
          <w:ilvl w:val="0"/>
          <w:numId w:val="28"/>
        </w:numPr>
        <w:spacing w:line="360" w:lineRule="auto"/>
        <w:ind w:left="0" w:firstLine="0" w:firstLineChars="0"/>
        <w:rPr>
          <w:sz w:val="24"/>
          <w:highlight w:val="none"/>
        </w:rPr>
      </w:pPr>
      <w:r>
        <w:rPr>
          <w:color w:val="000000"/>
          <w:sz w:val="24"/>
          <w:highlight w:val="none"/>
        </w:rPr>
        <w:t>出厂时已装配、调整完善的部分不得拆卸。</w:t>
      </w:r>
    </w:p>
    <w:p>
      <w:pPr>
        <w:pStyle w:val="20"/>
        <w:numPr>
          <w:ilvl w:val="0"/>
          <w:numId w:val="28"/>
        </w:numPr>
        <w:spacing w:line="360" w:lineRule="auto"/>
        <w:ind w:left="0" w:firstLine="0" w:firstLineChars="0"/>
        <w:rPr>
          <w:sz w:val="24"/>
          <w:highlight w:val="none"/>
        </w:rPr>
      </w:pPr>
      <w:r>
        <w:rPr>
          <w:color w:val="000000"/>
          <w:sz w:val="24"/>
          <w:highlight w:val="none"/>
        </w:rPr>
        <w:t>电动机与泵连接时，应以泵的轴线为基准找正；电动机与泵之间有中间机器连接时，应以中间机器轴线为基准找正。</w:t>
      </w:r>
    </w:p>
    <w:p>
      <w:pPr>
        <w:pStyle w:val="20"/>
        <w:numPr>
          <w:ilvl w:val="0"/>
          <w:numId w:val="28"/>
        </w:numPr>
        <w:spacing w:line="360" w:lineRule="auto"/>
        <w:ind w:left="0" w:firstLine="0" w:firstLineChars="0"/>
        <w:rPr>
          <w:color w:val="000000"/>
          <w:sz w:val="24"/>
          <w:highlight w:val="none"/>
        </w:rPr>
      </w:pPr>
      <w:r>
        <w:rPr>
          <w:color w:val="000000"/>
          <w:sz w:val="24"/>
          <w:highlight w:val="none"/>
        </w:rPr>
        <w:t>整体安装的泵，纵向安装水平偏差不应大于0.10/1000，横向安装水平偏差不应大于0.20/1000，并应在泵的进出口法兰面或其他水平面上进行测量；解体安装的泵纵向和横向安装水平偏差均不应大于0.50/1000，并应在水平中分面、轴的外露部分、底座的水平加工面上进行测量。</w:t>
      </w:r>
    </w:p>
    <w:p>
      <w:pPr>
        <w:rPr>
          <w:szCs w:val="24"/>
          <w:highlight w:val="none"/>
        </w:rPr>
      </w:pPr>
      <w:r>
        <w:rPr>
          <w:color w:val="000000"/>
          <w:szCs w:val="24"/>
          <w:highlight w:val="none"/>
        </w:rPr>
        <w:t>7.4.1.2</w:t>
      </w:r>
      <w:r>
        <w:rPr>
          <w:szCs w:val="24"/>
          <w:highlight w:val="none"/>
        </w:rPr>
        <w:t>吸水管的安装</w:t>
      </w:r>
    </w:p>
    <w:p>
      <w:pPr>
        <w:pStyle w:val="20"/>
        <w:numPr>
          <w:ilvl w:val="0"/>
          <w:numId w:val="29"/>
        </w:numPr>
        <w:spacing w:line="360" w:lineRule="auto"/>
        <w:ind w:left="0" w:firstLine="0" w:firstLineChars="0"/>
        <w:rPr>
          <w:sz w:val="24"/>
          <w:highlight w:val="none"/>
        </w:rPr>
      </w:pPr>
      <w:r>
        <w:rPr>
          <w:sz w:val="24"/>
          <w:highlight w:val="none"/>
        </w:rPr>
        <w:t>水泵吸水管路的基本要求是不漏气、不积气、不吸气。</w:t>
      </w:r>
    </w:p>
    <w:p>
      <w:pPr>
        <w:pStyle w:val="20"/>
        <w:numPr>
          <w:ilvl w:val="0"/>
          <w:numId w:val="29"/>
        </w:numPr>
        <w:spacing w:line="360" w:lineRule="auto"/>
        <w:ind w:left="0" w:firstLine="0" w:firstLineChars="0"/>
        <w:rPr>
          <w:sz w:val="24"/>
          <w:highlight w:val="none"/>
        </w:rPr>
      </w:pPr>
      <w:r>
        <w:rPr>
          <w:sz w:val="24"/>
          <w:highlight w:val="none"/>
        </w:rPr>
        <w:t>当消防水泵和消防水池位于独立的两个基础上，且相互为刚性连接时，吸水管上应加设柔性连接管。</w:t>
      </w:r>
    </w:p>
    <w:p>
      <w:pPr>
        <w:pStyle w:val="20"/>
        <w:numPr>
          <w:ilvl w:val="0"/>
          <w:numId w:val="29"/>
        </w:numPr>
        <w:spacing w:line="360" w:lineRule="auto"/>
        <w:ind w:left="0" w:firstLine="0" w:firstLineChars="0"/>
        <w:rPr>
          <w:sz w:val="24"/>
          <w:highlight w:val="none"/>
        </w:rPr>
      </w:pPr>
      <w:r>
        <w:rPr>
          <w:sz w:val="24"/>
          <w:highlight w:val="none"/>
        </w:rPr>
        <w:t>吸水管水平管段上不应有气囊和漏气现象.为保证消防水泵能够安全和及时启动，水泵的吸水方式应为自灌式.在吸水管路的安装中，应有沿水流方向连续下升的坡度，一般应大于5‰。</w:t>
      </w:r>
    </w:p>
    <w:p>
      <w:pPr>
        <w:pStyle w:val="20"/>
        <w:numPr>
          <w:ilvl w:val="0"/>
          <w:numId w:val="29"/>
        </w:numPr>
        <w:spacing w:line="360" w:lineRule="auto"/>
        <w:ind w:left="0" w:firstLine="0" w:firstLineChars="0"/>
        <w:rPr>
          <w:sz w:val="24"/>
          <w:highlight w:val="none"/>
        </w:rPr>
      </w:pPr>
      <w:r>
        <w:rPr>
          <w:sz w:val="24"/>
          <w:highlight w:val="none"/>
        </w:rPr>
        <w:t>在吸水管如果需要安装阀门时，应安装闸阀，不能使用蝶阀。</w:t>
      </w:r>
    </w:p>
    <w:p>
      <w:pPr>
        <w:rPr>
          <w:szCs w:val="24"/>
          <w:highlight w:val="none"/>
        </w:rPr>
      </w:pPr>
      <w:r>
        <w:rPr>
          <w:color w:val="000000"/>
          <w:szCs w:val="24"/>
          <w:highlight w:val="none"/>
        </w:rPr>
        <w:t>7.4.1.3</w:t>
      </w:r>
      <w:r>
        <w:rPr>
          <w:szCs w:val="24"/>
          <w:highlight w:val="none"/>
        </w:rPr>
        <w:t>消防水泵接合器安装</w:t>
      </w:r>
    </w:p>
    <w:p>
      <w:pPr>
        <w:ind w:firstLine="420" w:firstLineChars="200"/>
        <w:rPr>
          <w:szCs w:val="24"/>
          <w:highlight w:val="none"/>
        </w:rPr>
      </w:pPr>
      <w:r>
        <w:rPr>
          <w:color w:val="000000"/>
          <w:szCs w:val="24"/>
          <w:highlight w:val="none"/>
        </w:rPr>
        <w:t>消防水泵接合器的组装应按接口、本体、联接管、止回阀、安全阀、放空管、控制阀的顺序进行。止回阀的安装方向应使消防用水能从消防水泵接合器进入系统。 消防水泵接合器的安装应符合下列规定：</w:t>
      </w:r>
    </w:p>
    <w:p>
      <w:pPr>
        <w:pStyle w:val="20"/>
        <w:numPr>
          <w:ilvl w:val="0"/>
          <w:numId w:val="30"/>
        </w:numPr>
        <w:spacing w:line="360" w:lineRule="auto"/>
        <w:ind w:left="0" w:firstLine="0" w:firstLineChars="0"/>
        <w:rPr>
          <w:sz w:val="24"/>
          <w:highlight w:val="none"/>
        </w:rPr>
      </w:pPr>
      <w:r>
        <w:rPr>
          <w:sz w:val="24"/>
          <w:highlight w:val="none"/>
        </w:rPr>
        <w:t>地上消防水泵接合器应设置与消火栓区别的固定标志。</w:t>
      </w:r>
    </w:p>
    <w:p>
      <w:pPr>
        <w:pStyle w:val="20"/>
        <w:numPr>
          <w:ilvl w:val="0"/>
          <w:numId w:val="30"/>
        </w:numPr>
        <w:spacing w:line="360" w:lineRule="auto"/>
        <w:ind w:left="0" w:firstLine="0" w:firstLineChars="0"/>
        <w:rPr>
          <w:sz w:val="24"/>
          <w:highlight w:val="none"/>
        </w:rPr>
      </w:pPr>
      <w:r>
        <w:rPr>
          <w:sz w:val="24"/>
          <w:highlight w:val="none"/>
        </w:rPr>
        <w:t>墙壁消防水泵接合器的安装应符合设计要求，设计无要求时，其安装高度宜为1.1m，与墙面上的门、窗、孔、洞的净距离不应小于2.0m。不宜安装在玻璃幕墙下方。</w:t>
      </w:r>
    </w:p>
    <w:p>
      <w:pPr>
        <w:pStyle w:val="4"/>
        <w:rPr>
          <w:highlight w:val="none"/>
        </w:rPr>
      </w:pPr>
      <w:bookmarkStart w:id="122" w:name="_Toc133335403"/>
      <w:r>
        <w:rPr>
          <w:highlight w:val="none"/>
        </w:rPr>
        <w:t>7.4.2 自动喷水灭火系统技术要求</w:t>
      </w:r>
      <w:bookmarkEnd w:id="122"/>
    </w:p>
    <w:p>
      <w:pPr>
        <w:rPr>
          <w:b/>
          <w:highlight w:val="none"/>
        </w:rPr>
      </w:pPr>
      <w:r>
        <w:rPr>
          <w:b/>
          <w:highlight w:val="none"/>
        </w:rPr>
        <w:t>7.4.2.1 立管安装</w:t>
      </w:r>
    </w:p>
    <w:p>
      <w:pPr>
        <w:pStyle w:val="19"/>
        <w:spacing w:before="0" w:beforeAutospacing="0" w:after="0" w:afterAutospacing="0" w:line="360" w:lineRule="auto"/>
        <w:ind w:firstLine="560"/>
        <w:jc w:val="both"/>
        <w:rPr>
          <w:rFonts w:ascii="Times New Roman" w:hAnsi="Times New Roman" w:eastAsia="宋体"/>
          <w:highlight w:val="none"/>
        </w:rPr>
      </w:pPr>
      <w:r>
        <w:rPr>
          <w:rFonts w:ascii="Times New Roman" w:hAnsi="Times New Roman" w:eastAsia="宋体"/>
          <w:color w:val="000000"/>
          <w:highlight w:val="none"/>
        </w:rPr>
        <w:t xml:space="preserve">立管暗装在竖井内时，在管井内预埋铁件上安装卡件固定，立管底部的支、吊架要牢固，防止立管下坠。立管明装时每层楼板要预留洞，立管可随结构穿入，减少立管接口。 </w:t>
      </w:r>
    </w:p>
    <w:p>
      <w:pPr>
        <w:rPr>
          <w:highlight w:val="none"/>
        </w:rPr>
      </w:pPr>
      <w:r>
        <w:rPr>
          <w:highlight w:val="none"/>
        </w:rPr>
        <w:t>7.4.2.2 分层干管及支管安装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（1）管道的分支预留口在吊装前应先预制好，所有预留口均进行临时封堵。</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（2）需要镀锌加工的管道在其他管道未安装前试装、试压、拆除、镀锌后再安装。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（3）管道安装是需与其他管道协调标高。</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（4）向上喷的喷头有条件时可与分支干管顺序安装好，其他管道安装完后不易操作的位置也应先安装好向上喷的喷头。</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（5）喷头分支水流指示器后不得连接其他用水设施，每路分支均应设置测压装置。</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（6）管道坡度：自动喷水灭火系统中的管道，为了测试、维护和检修的方便，须及时排空管道中的水，因此在安装过程中，管道应有坡度。配水支管坡度不小于4‰，配水管和水平管不小于2‰。</w:t>
      </w:r>
    </w:p>
    <w:p>
      <w:pPr>
        <w:rPr>
          <w:highlight w:val="none"/>
        </w:rPr>
      </w:pPr>
      <w:r>
        <w:rPr>
          <w:highlight w:val="none"/>
        </w:rPr>
        <w:t>7.4.2.3 喷头支管安装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（1）根据喷头的安装位置，将喷头支管施工至喷头的安装位置，用丝堵代替喷头拧在支管末端上。</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根据喷头溅水盘安装要求，对管道甩口高度进行复核，要求在安装完后，溅水盘高度应符合：喷头安装时，应按设计规范要求确保溅水盘与吊顶、门、窗、洞口和墙面的距离；当梁的高度使喷头高于梁底的最大距离不能满足上述规定的距离，应以此梁作为边墙对待；如果梁与梁之间的中心间距小于8m 时，可用交错布置喷头方法解决；当通风管道宽度大于2m 时，喷头应安装在其腹面以下；斜面下的喷头安装，其溅水盘必须平行于斜面，在斜面下的喷头间距要以水平投影的间距计算，并不得大于4m；一般喷头间距不应小于2m，以避免一个喷头喷出的水流淋湿另一个喷头，影响它的动作灵敏度，除非二者之间有一挡水作用的构件。如果喷头一定要小于2m 时，可在两喷头之间安装专用的挡水板。挡水板的宽为200mm，高150mm，最好为金属板，挡水板的顶端应延伸至溅水盘上方大约50-75mm 处。</w:t>
      </w:r>
    </w:p>
    <w:p>
      <w:pPr>
        <w:rPr>
          <w:b/>
          <w:highlight w:val="none"/>
        </w:rPr>
      </w:pPr>
      <w:r>
        <w:rPr>
          <w:b/>
          <w:highlight w:val="none"/>
        </w:rPr>
        <w:t>7.4.2.4 管道连接要求</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（1）螺纹连接要求</w:t>
      </w:r>
    </w:p>
    <w:p>
      <w:pPr>
        <w:pStyle w:val="19"/>
        <w:spacing w:before="0" w:beforeAutospacing="0" w:after="0" w:afterAutospacing="0" w:line="360" w:lineRule="auto"/>
        <w:ind w:firstLine="560"/>
        <w:jc w:val="both"/>
        <w:rPr>
          <w:rFonts w:ascii="Times New Roman" w:hAnsi="Times New Roman" w:eastAsia="宋体"/>
          <w:highlight w:val="none"/>
        </w:rPr>
      </w:pPr>
      <w:r>
        <w:rPr>
          <w:rFonts w:ascii="Times New Roman" w:hAnsi="Times New Roman" w:eastAsia="宋体"/>
          <w:color w:val="000000"/>
          <w:highlight w:val="none"/>
        </w:rPr>
        <w:t>管道应采用机械切割，切割面不得有飞边，毛刺。加工的管道螺纹封面应完整、光滑，不得有缺丝或断丝，尺寸偏差应符合标准要求。当管道变径时，应采用异径焊头；在管道变径处不得采用补芯。如必须采用补芯时，三通上可用1个，四通上不应超过2个，大于DN50的管道不得采用补芯。螺纹连接的密封填料应均匀附着在管道的螺纹面上，拧紧螺纹时，不得将填料挤入管内。如果填料采用麻丝时，应在附着在螺纹面加麻丝上涂抹白铅油，管道连接后清除麻头，并在接头处涂防锈漆。</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（2）沟槽卡箍连接的要求</w:t>
      </w:r>
    </w:p>
    <w:p>
      <w:pPr>
        <w:pStyle w:val="19"/>
        <w:spacing w:before="0" w:beforeAutospacing="0" w:after="0" w:afterAutospacing="0" w:line="360" w:lineRule="auto"/>
        <w:ind w:firstLine="560"/>
        <w:jc w:val="both"/>
        <w:rPr>
          <w:rFonts w:ascii="Times New Roman" w:hAnsi="Times New Roman" w:eastAsia="宋体"/>
          <w:highlight w:val="none"/>
        </w:rPr>
      </w:pPr>
      <w:r>
        <w:rPr>
          <w:rFonts w:ascii="Times New Roman" w:hAnsi="Times New Roman" w:eastAsia="宋体"/>
          <w:color w:val="000000"/>
          <w:highlight w:val="none"/>
        </w:rPr>
        <w:t>沟槽式管路连接系统是用压力响应式密封圈套入两连接钢管端部，两片卡件包裹密封圈并卡入钢管沟槽，上紧两圆头椭圆颈螺栓，实现钢管密封连接。用电动滚槽机加工沟槽时，沟槽宽度、深度按照生产厂家的要求进行加工。喷洒干管用沟槽连接时，每根配管长度不宜超过6m，直管段可把几根连接在一起，使用倒链安装，但不宜过长。</w:t>
      </w:r>
    </w:p>
    <w:p>
      <w:pPr>
        <w:pStyle w:val="19"/>
        <w:spacing w:before="0" w:beforeAutospacing="0" w:after="0" w:afterAutospacing="0" w:line="360" w:lineRule="auto"/>
        <w:ind w:firstLine="560"/>
        <w:jc w:val="both"/>
        <w:rPr>
          <w:rFonts w:ascii="Times New Roman" w:hAnsi="Times New Roman" w:eastAsia="宋体"/>
          <w:highlight w:val="none"/>
        </w:rPr>
      </w:pPr>
      <w:r>
        <w:rPr>
          <w:rFonts w:ascii="Times New Roman" w:hAnsi="Times New Roman" w:eastAsia="宋体"/>
          <w:color w:val="000000"/>
          <w:highlight w:val="none"/>
        </w:rPr>
        <w:t>管道穿过建筑物时的变形缝时，应设置柔性短管。穿过墙体或楼板时应加设套管。</w:t>
      </w:r>
    </w:p>
    <w:p>
      <w:pPr>
        <w:rPr>
          <w:b/>
          <w:highlight w:val="none"/>
        </w:rPr>
      </w:pPr>
      <w:r>
        <w:rPr>
          <w:b/>
          <w:highlight w:val="none"/>
        </w:rPr>
        <w:t>7.4.2.5 管道支、吊架安装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（1）管道支、吊架的最大允许间距主要是由所承受垂直方向载荷来决定，它应满足强度条件和刚度条件，最大间距见下表：</w:t>
      </w:r>
    </w:p>
    <w:p>
      <w:pPr>
        <w:pStyle w:val="19"/>
        <w:spacing w:before="0" w:beforeAutospacing="0" w:after="0" w:afterAutospacing="0" w:line="360" w:lineRule="auto"/>
        <w:ind w:firstLine="562"/>
        <w:jc w:val="center"/>
        <w:rPr>
          <w:rFonts w:ascii="Times New Roman" w:hAnsi="Times New Roman" w:eastAsia="宋体"/>
          <w:highlight w:val="none"/>
        </w:rPr>
      </w:pPr>
      <w:r>
        <w:rPr>
          <w:rFonts w:ascii="Times New Roman" w:hAnsi="Times New Roman" w:eastAsia="宋体"/>
          <w:b/>
          <w:bCs/>
          <w:color w:val="000000"/>
          <w:highlight w:val="none"/>
        </w:rPr>
        <w:t>自动喷水管道支、吊架最大间距</w:t>
      </w:r>
    </w:p>
    <w:tbl>
      <w:tblPr>
        <w:tblStyle w:val="16"/>
        <w:tblW w:w="7689" w:type="dxa"/>
        <w:tblInd w:w="598" w:type="dxa"/>
        <w:tblLayout w:type="fixed"/>
        <w:tblCellMar>
          <w:top w:w="15" w:type="dxa"/>
          <w:left w:w="15" w:type="dxa"/>
          <w:bottom w:w="15" w:type="dxa"/>
          <w:right w:w="15" w:type="dxa"/>
        </w:tblCellMar>
      </w:tblPr>
      <w:tblGrid>
        <w:gridCol w:w="1727"/>
        <w:gridCol w:w="667"/>
        <w:gridCol w:w="667"/>
        <w:gridCol w:w="666"/>
        <w:gridCol w:w="667"/>
        <w:gridCol w:w="667"/>
        <w:gridCol w:w="667"/>
        <w:gridCol w:w="666"/>
        <w:gridCol w:w="586"/>
        <w:gridCol w:w="709"/>
      </w:tblGrid>
      <w:tr>
        <w:tblPrEx>
          <w:tblCellMar>
            <w:top w:w="15" w:type="dxa"/>
            <w:left w:w="15" w:type="dxa"/>
            <w:bottom w:w="15" w:type="dxa"/>
            <w:right w:w="15" w:type="dxa"/>
          </w:tblCellMar>
        </w:tblPrEx>
        <w:trPr>
          <w:trHeight w:val="510" w:hRule="atLeast"/>
        </w:trPr>
        <w:tc>
          <w:tcPr>
            <w:tcW w:w="17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rPr>
                <w:rFonts w:ascii="Times New Roman" w:hAnsi="Times New Roman" w:eastAsia="宋体"/>
                <w:sz w:val="21"/>
                <w:szCs w:val="21"/>
                <w:highlight w:val="none"/>
              </w:rPr>
            </w:pPr>
            <w:r>
              <w:rPr>
                <w:rFonts w:ascii="Times New Roman" w:hAnsi="Times New Roman" w:eastAsia="宋体"/>
                <w:color w:val="000000"/>
                <w:sz w:val="21"/>
                <w:szCs w:val="21"/>
                <w:highlight w:val="none"/>
              </w:rPr>
              <w:t>公称管径(mm)</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25</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32</w:t>
            </w:r>
          </w:p>
        </w:tc>
        <w:tc>
          <w:tcPr>
            <w:tcW w:w="66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40</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50</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65</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80</w:t>
            </w:r>
          </w:p>
        </w:tc>
        <w:tc>
          <w:tcPr>
            <w:tcW w:w="66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100</w:t>
            </w:r>
          </w:p>
        </w:tc>
        <w:tc>
          <w:tcPr>
            <w:tcW w:w="58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125</w:t>
            </w:r>
          </w:p>
        </w:tc>
        <w:tc>
          <w:tcPr>
            <w:tcW w:w="70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150</w:t>
            </w:r>
          </w:p>
        </w:tc>
      </w:tr>
      <w:tr>
        <w:tblPrEx>
          <w:tblCellMar>
            <w:top w:w="15" w:type="dxa"/>
            <w:left w:w="15" w:type="dxa"/>
            <w:bottom w:w="15" w:type="dxa"/>
            <w:right w:w="15" w:type="dxa"/>
          </w:tblCellMar>
        </w:tblPrEx>
        <w:trPr>
          <w:trHeight w:val="506" w:hRule="atLeast"/>
        </w:trPr>
        <w:tc>
          <w:tcPr>
            <w:tcW w:w="17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ind w:left="420" w:leftChars="100" w:hanging="210" w:hangingChars="100"/>
              <w:rPr>
                <w:rFonts w:ascii="Times New Roman" w:hAnsi="Times New Roman" w:eastAsia="宋体"/>
                <w:sz w:val="21"/>
                <w:szCs w:val="21"/>
                <w:highlight w:val="none"/>
              </w:rPr>
            </w:pPr>
            <w:r>
              <w:rPr>
                <w:rFonts w:ascii="Times New Roman" w:hAnsi="Times New Roman" w:eastAsia="宋体"/>
                <w:color w:val="000000"/>
                <w:sz w:val="21"/>
                <w:szCs w:val="21"/>
                <w:highlight w:val="none"/>
              </w:rPr>
              <w:t>管距（mm）</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3.5</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4.0</w:t>
            </w:r>
          </w:p>
        </w:tc>
        <w:tc>
          <w:tcPr>
            <w:tcW w:w="66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4.5</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5.0</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6.0</w:t>
            </w:r>
          </w:p>
        </w:tc>
        <w:tc>
          <w:tcPr>
            <w:tcW w:w="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8.0</w:t>
            </w:r>
          </w:p>
        </w:tc>
        <w:tc>
          <w:tcPr>
            <w:tcW w:w="66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8.5</w:t>
            </w:r>
          </w:p>
        </w:tc>
        <w:tc>
          <w:tcPr>
            <w:tcW w:w="58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7.0</w:t>
            </w:r>
          </w:p>
        </w:tc>
        <w:tc>
          <w:tcPr>
            <w:tcW w:w="70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8.0</w:t>
            </w:r>
          </w:p>
        </w:tc>
      </w:tr>
    </w:tbl>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（2）支、吊架的受力部件，如横梁、吊杆、螺栓等应符合设计要求和国家规定。支、吊架的安装位置，不应妨碍喷头的喷水效果。支、吊架与喷头之间的距离不宜小于300mm；与末端喷头之间距离不宜大于750mm。</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（3）支、吊架应使管道中心离墙的距离符合设计要求，管道表面离墙或柱子表面的净距不应小于60mm。大口径的阀门应设专门支、吊架，不得以管道承重。</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（4）配水管上每一直管段、相邻两喷头之间的管段上设置的吊架均不宜少于一个；当喷头之间距离小于1.8m 时，可隔段设置吊架，但吊架的间距不宜大于3.6m。</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（5）当管子的公称直径等于或大于50mm时，每段配水干管或配水管设置防晃支架不应少于一个；当管道改变方向时，应增设防晃支架。</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（6）竖直安装的配水干管应在其始端和终端设防晃支架或采用管卡固定，其安装位置距地面或楼面的距离宜为1.5-1.8m。</w:t>
      </w:r>
    </w:p>
    <w:p>
      <w:pPr>
        <w:rPr>
          <w:b/>
          <w:highlight w:val="none"/>
        </w:rPr>
      </w:pPr>
      <w:r>
        <w:rPr>
          <w:b/>
          <w:highlight w:val="none"/>
        </w:rPr>
        <w:t>7.4.2.6 阀门、阀件安装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（1）蝶阀、球阀、闸阀、消声止回阀、安全泄压阀、浮球阀等除满足图纸的参数设计要求外，还需满足如下技术标准：</w:t>
      </w:r>
    </w:p>
    <w:p>
      <w:pPr>
        <w:pStyle w:val="19"/>
        <w:spacing w:before="0" w:beforeAutospacing="0" w:after="0" w:afterAutospacing="0" w:line="360" w:lineRule="auto"/>
        <w:ind w:firstLine="560"/>
        <w:jc w:val="both"/>
        <w:rPr>
          <w:rFonts w:ascii="Times New Roman" w:hAnsi="Times New Roman" w:eastAsia="宋体"/>
          <w:highlight w:val="none"/>
        </w:rPr>
      </w:pPr>
      <w:r>
        <w:rPr>
          <w:rFonts w:ascii="Times New Roman" w:hAnsi="Times New Roman" w:eastAsia="宋体"/>
          <w:color w:val="000000"/>
          <w:highlight w:val="none"/>
        </w:rPr>
        <w:t>蝶阀要求满足《通用阀门法兰和对夹连接蝶阀》GB/T12238-2008相关要求；闸阀应满足《手动闸阀》JB/T2001.27-1999及《通用阀门法兰连接铁制闸阀》GB/T12232-2005相关要求；消声止回阀、安全泄压阀应满足国家相关、行业相关标准、规范要求。</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标书中必须说明阀门主要部件材质。当阀门的工作压力为1.0Mpa时，阀门壳体的强度检验压力为1.5Mpa，双向密封检验压力为1.1Mpa；当阀门的工作压力为1.6Mpa时，阀门壳体的强度检验压力为2.4Mpa，双向密封检验压力为1.76Mpa；DN50及以上阀门阀体上必须有铸造商标。</w:t>
      </w:r>
    </w:p>
    <w:p>
      <w:pPr>
        <w:rPr>
          <w:b/>
          <w:highlight w:val="none"/>
        </w:rPr>
      </w:pPr>
      <w:r>
        <w:rPr>
          <w:b/>
          <w:highlight w:val="none"/>
        </w:rPr>
        <w:t>7.4.2.7 报警阀配件安装</w:t>
      </w:r>
    </w:p>
    <w:p>
      <w:pPr>
        <w:pStyle w:val="19"/>
        <w:spacing w:before="0" w:beforeAutospacing="0" w:after="0" w:afterAutospacing="0" w:line="360" w:lineRule="auto"/>
        <w:ind w:firstLine="640"/>
        <w:jc w:val="both"/>
        <w:rPr>
          <w:rFonts w:ascii="Times New Roman" w:hAnsi="Times New Roman" w:eastAsia="宋体"/>
          <w:highlight w:val="none"/>
        </w:rPr>
      </w:pPr>
      <w:r>
        <w:rPr>
          <w:rFonts w:ascii="Times New Roman" w:hAnsi="Times New Roman" w:eastAsia="宋体"/>
          <w:color w:val="000000"/>
          <w:highlight w:val="none"/>
        </w:rPr>
        <w:t>报警阀配件安装应在交工前进行，其安装应符合以下规定：</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（1）压力表应安装在报警阀上便于观测的位置。</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（2）排水管和试验阀应安装在便于操作的地方。</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（3）水源控制阀应有可靠的开启锁定设施。</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（4）湿式报警阀的安装除应符合上述要求外，还应使报警阀前后的管道能顺利充满水，压力波动时，水力警铃不应发生误报警；每一个防火区都设有一个水流指示器。</w:t>
      </w:r>
    </w:p>
    <w:p>
      <w:pPr>
        <w:rPr>
          <w:highlight w:val="none"/>
        </w:rPr>
      </w:pPr>
      <w:r>
        <w:rPr>
          <w:highlight w:val="none"/>
        </w:rPr>
        <w:t xml:space="preserve">7.4.2.8 其他组件安装 </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（1）水流指示器的安装</w:t>
      </w:r>
    </w:p>
    <w:p>
      <w:pPr>
        <w:pStyle w:val="19"/>
        <w:spacing w:before="0" w:beforeAutospacing="0" w:after="0" w:afterAutospacing="0" w:line="360" w:lineRule="auto"/>
        <w:ind w:firstLine="560"/>
        <w:jc w:val="both"/>
        <w:rPr>
          <w:rFonts w:ascii="Times New Roman" w:hAnsi="Times New Roman" w:eastAsia="宋体"/>
          <w:highlight w:val="none"/>
        </w:rPr>
      </w:pPr>
      <w:r>
        <w:rPr>
          <w:rFonts w:ascii="Times New Roman" w:hAnsi="Times New Roman" w:eastAsia="宋体"/>
          <w:color w:val="000000"/>
          <w:highlight w:val="none"/>
        </w:rPr>
        <w:t>a．水流指示器的安装应在管道试压和冲洗合格后进行，水流指示器的规格、型号应符合设计要求。</w:t>
      </w:r>
    </w:p>
    <w:p>
      <w:pPr>
        <w:pStyle w:val="19"/>
        <w:spacing w:before="0" w:beforeAutospacing="0" w:after="0" w:afterAutospacing="0" w:line="360" w:lineRule="auto"/>
        <w:ind w:firstLine="560"/>
        <w:jc w:val="both"/>
        <w:rPr>
          <w:rFonts w:ascii="Times New Roman" w:hAnsi="Times New Roman" w:eastAsia="宋体"/>
          <w:highlight w:val="none"/>
        </w:rPr>
      </w:pPr>
      <w:r>
        <w:rPr>
          <w:rFonts w:ascii="Times New Roman" w:hAnsi="Times New Roman" w:eastAsia="宋体"/>
          <w:color w:val="000000"/>
          <w:highlight w:val="none"/>
        </w:rPr>
        <w:t>b．水流指示器应竖直安装在水平管道上侧，其动作方向应和水流方向应一致；安装后水流指示器的叶片、膜片应动作灵活，不应与管壁发生碰擦。</w:t>
      </w:r>
    </w:p>
    <w:p>
      <w:pPr>
        <w:pStyle w:val="19"/>
        <w:spacing w:before="0" w:beforeAutospacing="0" w:after="0" w:afterAutospacing="0" w:line="360" w:lineRule="auto"/>
        <w:ind w:firstLine="560"/>
        <w:jc w:val="both"/>
        <w:rPr>
          <w:rFonts w:ascii="Times New Roman" w:hAnsi="Times New Roman" w:eastAsia="宋体"/>
          <w:highlight w:val="none"/>
        </w:rPr>
      </w:pPr>
      <w:r>
        <w:rPr>
          <w:rFonts w:ascii="Times New Roman" w:hAnsi="Times New Roman" w:eastAsia="宋体"/>
          <w:color w:val="000000"/>
          <w:highlight w:val="none"/>
        </w:rPr>
        <w:t>c．在管道上开孔时，应使用开孔器开孔。不能使用割具开孔，以避免溶渣滴入管内，在使用时卡住叶片。</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（2）水力警铃的安装：水力警铃应安装在公共通道或值班室附近的外墙上，且应安装检测用的阀门。水力警铃和报警阀的连接应采用镀锌钢管，当镀锌钢管的公称直径为DN15 时，其长度不应大于6m，镀锌钢管的公称直径为DN20时，其长度不应大于20m；安装后的水力警铃启动压力不应小于0.05MPa。</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（3）信号阀的安装：信号阀应安装在水流指示器前的管道上，与水流指示器之间的距离不应小于300mm。</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（4）排气阀的安装：排气阀的安装应在系统管网试压和冲洗合格后进行；排气阀应安装在配水管顶部，配水管的末端，且应确保无渗透漏。</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（5）控制阀的安装：控制阀的规格、型号和安装位置均应符合设计要求；安装方向应正确，控制阀内应清洁、无堵塞、无渗漏；主要控制阀应加设启闭标志；隐蔽处的控制阀应在明显处设有指示其位置的标志。</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（6）压力开关的安装：压力开关应竖直安装在通往水力警铃的管道上，且不应在安装中拆装改动。</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（7）末端试水装置的安装：末端试水装置宜安装在系统管网末端或分区管网末端。</w:t>
      </w:r>
    </w:p>
    <w:p>
      <w:pPr>
        <w:rPr>
          <w:b/>
          <w:highlight w:val="none"/>
        </w:rPr>
      </w:pPr>
      <w:r>
        <w:rPr>
          <w:b/>
          <w:highlight w:val="none"/>
        </w:rPr>
        <w:t>7.4.2.9 喷头安装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（1）喷头选用：</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a．喷头温度级别应满足设计图纸使用场所要求。</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b．喷头设置形式、参数、额定压力满足设计要求。</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c．所有喷头反应时间指数RTI满足国家规范要求。</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d．喷头必须满足《自动喷水灭火系统洒水喷头标准》及国家其它相关规范、行业标准要求。</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（2）在安装喷头前，管道系统应经过试压、冲洗。喷头在安装时，应使用专用扳手，严禁利用喷头的框架施拧。如喷头的框架、溅水盘变形或释放原件损伤时，应换上规格、型号相同的喷头，当喷头孔口小于DN10 时，在干管上应安装过滤器，以免杂物进入管道，使孔口堵塞。</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（3）喷洒头的两翼方向应成排统一安装。护口盘要紧贴吊顶，走廊单排的喷头两翼应横向安装。</w:t>
      </w:r>
    </w:p>
    <w:p>
      <w:pPr>
        <w:pStyle w:val="4"/>
        <w:rPr>
          <w:highlight w:val="none"/>
        </w:rPr>
      </w:pPr>
      <w:bookmarkStart w:id="123" w:name="_Toc133335404"/>
      <w:r>
        <w:rPr>
          <w:highlight w:val="none"/>
        </w:rPr>
        <w:t>7.4.3 消火栓系统技术要求</w:t>
      </w:r>
      <w:bookmarkEnd w:id="123"/>
    </w:p>
    <w:p>
      <w:pPr>
        <w:rPr>
          <w:b/>
          <w:highlight w:val="none"/>
        </w:rPr>
      </w:pPr>
      <w:r>
        <w:rPr>
          <w:b/>
          <w:highlight w:val="none"/>
        </w:rPr>
        <w:t>7.4.3.1 干管安装</w:t>
      </w:r>
    </w:p>
    <w:p>
      <w:pPr>
        <w:pStyle w:val="19"/>
        <w:spacing w:before="0" w:beforeAutospacing="0" w:after="0" w:afterAutospacing="0" w:line="360" w:lineRule="auto"/>
        <w:ind w:firstLine="640"/>
        <w:jc w:val="both"/>
        <w:rPr>
          <w:rFonts w:ascii="Times New Roman" w:hAnsi="Times New Roman" w:eastAsia="宋体"/>
          <w:highlight w:val="none"/>
        </w:rPr>
      </w:pPr>
      <w:r>
        <w:rPr>
          <w:rFonts w:ascii="Times New Roman" w:hAnsi="Times New Roman" w:eastAsia="宋体"/>
          <w:color w:val="333333"/>
          <w:highlight w:val="none"/>
        </w:rPr>
        <w:t>干管安装要求与自动喷淋管道安装要求相同。在立管安装时，立管底部的支吊架要牢固，防止立管下坠。在消火栓管道的安装中，除按设计要求安装外，还应注意标明各种控制阀门实际的安装位置，并在施工图中标明，以免在意外时无法及时关闭阀门，同时阀门应有明显的标志和状态显示。</w:t>
      </w:r>
    </w:p>
    <w:p>
      <w:pPr>
        <w:rPr>
          <w:b/>
          <w:highlight w:val="none"/>
        </w:rPr>
      </w:pPr>
      <w:r>
        <w:rPr>
          <w:b/>
          <w:highlight w:val="none"/>
        </w:rPr>
        <w:t>7.4.3.2 支管安装</w:t>
      </w:r>
    </w:p>
    <w:p>
      <w:pPr>
        <w:pStyle w:val="19"/>
        <w:spacing w:before="0" w:beforeAutospacing="0" w:after="0" w:afterAutospacing="0" w:line="360" w:lineRule="auto"/>
        <w:ind w:firstLine="640"/>
        <w:jc w:val="both"/>
        <w:rPr>
          <w:rFonts w:ascii="Times New Roman" w:hAnsi="Times New Roman" w:eastAsia="宋体"/>
          <w:sz w:val="22"/>
          <w:highlight w:val="none"/>
        </w:rPr>
      </w:pPr>
      <w:r>
        <w:rPr>
          <w:rFonts w:ascii="Times New Roman" w:hAnsi="Times New Roman" w:eastAsia="宋体"/>
          <w:color w:val="333333"/>
          <w:szCs w:val="28"/>
          <w:highlight w:val="none"/>
        </w:rPr>
        <w:t>消火栓支管要以栓阀的坐标、标高定位甩口，消火栓支管采用丝接。</w:t>
      </w:r>
    </w:p>
    <w:p>
      <w:pPr>
        <w:rPr>
          <w:b/>
          <w:highlight w:val="none"/>
        </w:rPr>
      </w:pPr>
      <w:r>
        <w:rPr>
          <w:b/>
          <w:highlight w:val="none"/>
        </w:rPr>
        <w:t>7.4.3.3 箱体安装</w:t>
      </w:r>
    </w:p>
    <w:p>
      <w:pPr>
        <w:pStyle w:val="19"/>
        <w:spacing w:before="0" w:beforeAutospacing="0" w:after="0" w:afterAutospacing="0" w:line="360" w:lineRule="auto"/>
        <w:ind w:firstLine="640"/>
        <w:jc w:val="both"/>
        <w:rPr>
          <w:rFonts w:ascii="Times New Roman" w:hAnsi="Times New Roman" w:eastAsia="宋体"/>
          <w:color w:val="333333"/>
          <w:szCs w:val="28"/>
          <w:highlight w:val="none"/>
        </w:rPr>
      </w:pPr>
      <w:r>
        <w:rPr>
          <w:rFonts w:ascii="Times New Roman" w:hAnsi="Times New Roman" w:eastAsia="宋体"/>
          <w:color w:val="333333"/>
          <w:szCs w:val="28"/>
          <w:highlight w:val="none"/>
        </w:rPr>
        <w:t>消火栓箱是消火栓系统中最直接的设备，是进行灭火时的主要工具。消火栓箱安装有两种形式，一种是暗装，即箱体埋入墙中，立、支管均暗藏在竖井或吊顶中。一种是明装，即箱体立于地面或挂在墙上，立、支管为明管敷设。</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333333"/>
          <w:highlight w:val="none"/>
        </w:rPr>
        <w:t>（1）</w:t>
      </w:r>
      <w:r>
        <w:rPr>
          <w:rFonts w:ascii="Times New Roman" w:hAnsi="Times New Roman" w:eastAsia="宋体"/>
          <w:color w:val="1A1A1A"/>
          <w:highlight w:val="none"/>
        </w:rPr>
        <w:t>暗装消火栓箱体安装</w:t>
      </w:r>
    </w:p>
    <w:p>
      <w:pPr>
        <w:pStyle w:val="19"/>
        <w:spacing w:before="0" w:beforeAutospacing="0" w:after="0" w:afterAutospacing="0" w:line="360" w:lineRule="auto"/>
        <w:ind w:firstLine="320"/>
        <w:jc w:val="both"/>
        <w:rPr>
          <w:rFonts w:ascii="Times New Roman" w:hAnsi="Times New Roman" w:eastAsia="宋体"/>
          <w:highlight w:val="none"/>
        </w:rPr>
      </w:pPr>
      <w:r>
        <w:rPr>
          <w:rFonts w:ascii="Times New Roman" w:hAnsi="Times New Roman" w:eastAsia="宋体"/>
          <w:color w:val="333333"/>
          <w:highlight w:val="none"/>
        </w:rPr>
        <w:t>a．根据箱体尺寸及设计安装位置，检查预留孔洞位置及尺寸。</w:t>
      </w:r>
    </w:p>
    <w:p>
      <w:pPr>
        <w:pStyle w:val="19"/>
        <w:spacing w:before="0" w:beforeAutospacing="0" w:after="0" w:afterAutospacing="0" w:line="360" w:lineRule="auto"/>
        <w:ind w:firstLine="320"/>
        <w:jc w:val="both"/>
        <w:rPr>
          <w:rFonts w:ascii="Times New Roman" w:hAnsi="Times New Roman" w:eastAsia="宋体"/>
          <w:highlight w:val="none"/>
        </w:rPr>
      </w:pPr>
      <w:r>
        <w:rPr>
          <w:rFonts w:ascii="Times New Roman" w:hAnsi="Times New Roman" w:eastAsia="宋体"/>
          <w:color w:val="333333"/>
          <w:highlight w:val="none"/>
        </w:rPr>
        <w:t>b．将箱体固定在预留孔洞内，用水平尺找平、找正。</w:t>
      </w:r>
    </w:p>
    <w:p>
      <w:pPr>
        <w:pStyle w:val="19"/>
        <w:spacing w:before="0" w:beforeAutospacing="0" w:after="0" w:afterAutospacing="0" w:line="360" w:lineRule="auto"/>
        <w:ind w:firstLine="320"/>
        <w:jc w:val="both"/>
        <w:rPr>
          <w:rFonts w:ascii="Times New Roman" w:hAnsi="Times New Roman" w:eastAsia="宋体"/>
          <w:highlight w:val="none"/>
        </w:rPr>
      </w:pPr>
      <w:r>
        <w:rPr>
          <w:rFonts w:ascii="Times New Roman" w:hAnsi="Times New Roman" w:eastAsia="宋体"/>
          <w:color w:val="333333"/>
          <w:highlight w:val="none"/>
        </w:rPr>
        <w:t>c．箱体外表面距毛墙面应保留土建装饰厚度，使箱体外表面与装饰完的墙面相平。</w:t>
      </w:r>
    </w:p>
    <w:p>
      <w:pPr>
        <w:pStyle w:val="19"/>
        <w:spacing w:before="0" w:beforeAutospacing="0" w:after="0" w:afterAutospacing="0" w:line="360" w:lineRule="auto"/>
        <w:ind w:firstLine="320"/>
        <w:jc w:val="both"/>
        <w:rPr>
          <w:rFonts w:ascii="Times New Roman" w:hAnsi="Times New Roman" w:eastAsia="宋体"/>
          <w:highlight w:val="none"/>
        </w:rPr>
      </w:pPr>
      <w:r>
        <w:rPr>
          <w:rFonts w:ascii="Times New Roman" w:hAnsi="Times New Roman" w:eastAsia="宋体"/>
          <w:color w:val="333333"/>
          <w:highlight w:val="none"/>
        </w:rPr>
        <w:t>d．箱体下部用砖填实，其他与墙相接，各面用水泥砂浆填实。</w:t>
      </w:r>
    </w:p>
    <w:p>
      <w:pPr>
        <w:rPr>
          <w:b/>
          <w:highlight w:val="none"/>
        </w:rPr>
      </w:pPr>
      <w:r>
        <w:rPr>
          <w:highlight w:val="none"/>
        </w:rPr>
        <w:t>（2）明装消火栓箱体安装：明装消火栓箱有挂式和立式两种。挂式消火栓箱主要为单栓式，立式消火栓箱主要为双栓式。</w:t>
      </w:r>
    </w:p>
    <w:p>
      <w:pPr>
        <w:pStyle w:val="19"/>
        <w:spacing w:before="0" w:beforeAutospacing="0" w:after="0" w:afterAutospacing="0" w:line="360" w:lineRule="auto"/>
        <w:ind w:firstLine="240" w:firstLineChars="100"/>
        <w:jc w:val="both"/>
        <w:rPr>
          <w:rFonts w:ascii="Times New Roman" w:hAnsi="Times New Roman" w:eastAsia="宋体"/>
          <w:highlight w:val="none"/>
        </w:rPr>
      </w:pPr>
      <w:r>
        <w:rPr>
          <w:rFonts w:ascii="Times New Roman" w:hAnsi="Times New Roman" w:eastAsia="宋体"/>
          <w:color w:val="333333"/>
          <w:highlight w:val="none"/>
        </w:rPr>
        <w:t>a．</w:t>
      </w:r>
      <w:r>
        <w:rPr>
          <w:rFonts w:ascii="Times New Roman" w:hAnsi="Times New Roman" w:eastAsia="宋体"/>
          <w:color w:val="333333"/>
          <w:sz w:val="28"/>
          <w:szCs w:val="28"/>
          <w:highlight w:val="none"/>
        </w:rPr>
        <w:t>挂式消火栓箱安装</w:t>
      </w:r>
      <w:r>
        <w:rPr>
          <w:rFonts w:ascii="Times New Roman" w:hAnsi="Times New Roman" w:eastAsia="宋体"/>
          <w:color w:val="000000"/>
          <w:sz w:val="28"/>
          <w:szCs w:val="28"/>
          <w:highlight w:val="none"/>
        </w:rPr>
        <w:t>：</w:t>
      </w:r>
      <w:r>
        <w:rPr>
          <w:rFonts w:ascii="Times New Roman" w:hAnsi="Times New Roman" w:eastAsia="宋体"/>
          <w:color w:val="333333"/>
          <w:sz w:val="28"/>
          <w:szCs w:val="28"/>
          <w:highlight w:val="none"/>
        </w:rPr>
        <w:t>根据箱体结构，确定消火栓在箱体中的安装位置，要求消火栓阀门中心距地面1.1m。根据消火栓在物体中的位置，确定出箱体安装高度及位置，并在墙上划出标志线。将消火栓箱用膨胀螺栓固定在墙上。</w:t>
      </w:r>
    </w:p>
    <w:p>
      <w:pPr>
        <w:pStyle w:val="19"/>
        <w:spacing w:before="0" w:beforeAutospacing="0" w:after="0" w:afterAutospacing="0" w:line="360" w:lineRule="auto"/>
        <w:ind w:firstLine="320"/>
        <w:jc w:val="both"/>
        <w:rPr>
          <w:rFonts w:ascii="Times New Roman" w:hAnsi="Times New Roman" w:eastAsia="宋体"/>
          <w:highlight w:val="none"/>
        </w:rPr>
      </w:pPr>
      <w:r>
        <w:rPr>
          <w:rFonts w:ascii="Times New Roman" w:hAnsi="Times New Roman" w:eastAsia="宋体"/>
          <w:color w:val="333333"/>
          <w:sz w:val="28"/>
          <w:szCs w:val="28"/>
          <w:highlight w:val="none"/>
        </w:rPr>
        <w:t>b．立式消火栓箱与挂式消火栓箱安装基本相同，只是在箱体下面需砌一个水泥台，以防地面积水渗入消火栓箱。水泥台的高度为消火栓阀中心距地面距离（1.1m）减去消火栓在箱体中的安装高度。</w:t>
      </w:r>
    </w:p>
    <w:p>
      <w:pPr>
        <w:pStyle w:val="4"/>
        <w:rPr>
          <w:highlight w:val="none"/>
        </w:rPr>
      </w:pPr>
      <w:bookmarkStart w:id="124" w:name="_Toc133335405"/>
      <w:r>
        <w:rPr>
          <w:highlight w:val="none"/>
        </w:rPr>
        <w:t>7.4.4 灭火器技术要求</w:t>
      </w:r>
      <w:bookmarkEnd w:id="124"/>
    </w:p>
    <w:p>
      <w:pPr>
        <w:rPr>
          <w:b/>
          <w:highlight w:val="none"/>
        </w:rPr>
      </w:pPr>
      <w:r>
        <w:rPr>
          <w:b/>
          <w:highlight w:val="none"/>
        </w:rPr>
        <w:t>7.4.4.1灭火器的进场检查应符合下列要求：</w:t>
      </w:r>
    </w:p>
    <w:p>
      <w:pPr>
        <w:rPr>
          <w:highlight w:val="none"/>
        </w:rPr>
      </w:pPr>
      <w:r>
        <w:rPr>
          <w:highlight w:val="none"/>
        </w:rPr>
        <w:t>（1）灭火器应符合市场准入的规定，并应有出厂合格证和相关证书；</w:t>
      </w:r>
    </w:p>
    <w:p>
      <w:pPr>
        <w:rPr>
          <w:highlight w:val="none"/>
        </w:rPr>
      </w:pPr>
      <w:r>
        <w:rPr>
          <w:highlight w:val="none"/>
        </w:rPr>
        <w:t>（2）灭火器的铭牌、生产日期和维修日期等标志应齐全；</w:t>
      </w:r>
    </w:p>
    <w:p>
      <w:pPr>
        <w:rPr>
          <w:highlight w:val="none"/>
        </w:rPr>
      </w:pPr>
      <w:r>
        <w:rPr>
          <w:highlight w:val="none"/>
        </w:rPr>
        <w:t>（3）灭火器的类型、规格、灭火级别和数量应符合配置设计要求；</w:t>
      </w:r>
    </w:p>
    <w:p>
      <w:pPr>
        <w:rPr>
          <w:highlight w:val="none"/>
        </w:rPr>
      </w:pPr>
      <w:r>
        <w:rPr>
          <w:highlight w:val="none"/>
        </w:rPr>
        <w:t>（4）灭火器筒体应无明显缺陷和机械损伤；</w:t>
      </w:r>
    </w:p>
    <w:p>
      <w:pPr>
        <w:rPr>
          <w:highlight w:val="none"/>
        </w:rPr>
      </w:pPr>
      <w:r>
        <w:rPr>
          <w:highlight w:val="none"/>
        </w:rPr>
        <w:t>（5）灭火器的保险装置应完好；</w:t>
      </w:r>
    </w:p>
    <w:p>
      <w:pPr>
        <w:rPr>
          <w:highlight w:val="none"/>
        </w:rPr>
      </w:pPr>
      <w:r>
        <w:rPr>
          <w:highlight w:val="none"/>
        </w:rPr>
        <w:t>（6）灭火器压力指示器的指针应在绿区范围内；</w:t>
      </w:r>
    </w:p>
    <w:p>
      <w:pPr>
        <w:rPr>
          <w:highlight w:val="none"/>
        </w:rPr>
      </w:pPr>
      <w:r>
        <w:rPr>
          <w:highlight w:val="none"/>
        </w:rPr>
        <w:t>（7）推车式灭火器的行驶机构应完好。</w:t>
      </w:r>
    </w:p>
    <w:p>
      <w:pPr>
        <w:rPr>
          <w:highlight w:val="none"/>
        </w:rPr>
      </w:pPr>
      <w:r>
        <w:rPr>
          <w:highlight w:val="none"/>
        </w:rPr>
        <w:t>检查数量：全数检查。</w:t>
      </w:r>
    </w:p>
    <w:p>
      <w:pPr>
        <w:rPr>
          <w:highlight w:val="none"/>
        </w:rPr>
      </w:pPr>
      <w:r>
        <w:rPr>
          <w:highlight w:val="none"/>
        </w:rPr>
        <w:t>检查办法：观察检查，资料检查。</w:t>
      </w:r>
    </w:p>
    <w:p>
      <w:pPr>
        <w:rPr>
          <w:b/>
          <w:highlight w:val="none"/>
        </w:rPr>
      </w:pPr>
      <w:r>
        <w:rPr>
          <w:b/>
          <w:highlight w:val="none"/>
        </w:rPr>
        <w:t>7.4.4.2灭火器箱的进场检查应符合下列要求：</w:t>
      </w:r>
    </w:p>
    <w:p>
      <w:pPr>
        <w:rPr>
          <w:highlight w:val="none"/>
        </w:rPr>
      </w:pPr>
      <w:r>
        <w:rPr>
          <w:highlight w:val="none"/>
        </w:rPr>
        <w:t>（1）灭火器箱应有出厂合格证和型式检验报告；</w:t>
      </w:r>
    </w:p>
    <w:p>
      <w:pPr>
        <w:rPr>
          <w:highlight w:val="none"/>
        </w:rPr>
      </w:pPr>
      <w:r>
        <w:rPr>
          <w:highlight w:val="none"/>
        </w:rPr>
        <w:t>（2）灭火器箱外观应无明显缺陷和机械损伤；</w:t>
      </w:r>
    </w:p>
    <w:p>
      <w:pPr>
        <w:rPr>
          <w:highlight w:val="none"/>
        </w:rPr>
      </w:pPr>
      <w:r>
        <w:rPr>
          <w:highlight w:val="none"/>
        </w:rPr>
        <w:t>（3）灭火器箱应开启灵活。</w:t>
      </w:r>
    </w:p>
    <w:p>
      <w:pPr>
        <w:rPr>
          <w:highlight w:val="none"/>
        </w:rPr>
      </w:pPr>
      <w:r>
        <w:rPr>
          <w:highlight w:val="none"/>
        </w:rPr>
        <w:t>检查数量：全数检查。</w:t>
      </w:r>
    </w:p>
    <w:p>
      <w:pPr>
        <w:rPr>
          <w:highlight w:val="none"/>
        </w:rPr>
      </w:pPr>
      <w:r>
        <w:rPr>
          <w:highlight w:val="none"/>
        </w:rPr>
        <w:t>检查办法：观察检查，资料检查。</w:t>
      </w:r>
    </w:p>
    <w:p>
      <w:pPr>
        <w:rPr>
          <w:rStyle w:val="21"/>
          <w:b w:val="0"/>
          <w:highlight w:val="none"/>
        </w:rPr>
      </w:pPr>
      <w:r>
        <w:rPr>
          <w:b/>
          <w:highlight w:val="none"/>
        </w:rPr>
        <w:t>7.4.4.</w:t>
      </w:r>
      <w:r>
        <w:rPr>
          <w:rStyle w:val="21"/>
          <w:highlight w:val="none"/>
        </w:rPr>
        <w:t>3 设置灭火器的挂钩、托架应符合配置设计要求</w:t>
      </w:r>
      <w:r>
        <w:rPr>
          <w:rStyle w:val="21"/>
          <w:rFonts w:hint="eastAsia"/>
          <w:highlight w:val="none"/>
        </w:rPr>
        <w:t>：</w:t>
      </w:r>
    </w:p>
    <w:p>
      <w:pPr>
        <w:ind w:firstLine="560" w:firstLineChars="200"/>
        <w:rPr>
          <w:highlight w:val="none"/>
        </w:rPr>
      </w:pPr>
      <w:r>
        <w:rPr>
          <w:rStyle w:val="21"/>
          <w:highlight w:val="none"/>
        </w:rPr>
        <w:t>无明显缺陷和机械损伤</w:t>
      </w:r>
      <w:r>
        <w:rPr>
          <w:highlight w:val="none"/>
        </w:rPr>
        <w:t>，并应有出厂合格证。</w:t>
      </w:r>
    </w:p>
    <w:p>
      <w:pPr>
        <w:rPr>
          <w:highlight w:val="none"/>
        </w:rPr>
      </w:pPr>
      <w:r>
        <w:rPr>
          <w:highlight w:val="none"/>
        </w:rPr>
        <w:t>检查数量：全数检查。</w:t>
      </w:r>
    </w:p>
    <w:p>
      <w:pPr>
        <w:rPr>
          <w:highlight w:val="none"/>
        </w:rPr>
      </w:pPr>
      <w:r>
        <w:rPr>
          <w:highlight w:val="none"/>
        </w:rPr>
        <w:t>检查办法：观察检查，资料检查。</w:t>
      </w:r>
    </w:p>
    <w:p>
      <w:pPr>
        <w:rPr>
          <w:b/>
          <w:highlight w:val="none"/>
        </w:rPr>
      </w:pPr>
      <w:r>
        <w:rPr>
          <w:b/>
          <w:highlight w:val="none"/>
        </w:rPr>
        <w:t>7.4.4.4 发光指示标志</w:t>
      </w:r>
      <w:r>
        <w:rPr>
          <w:rFonts w:hint="eastAsia"/>
          <w:b/>
          <w:highlight w:val="none"/>
        </w:rPr>
        <w:t>：</w:t>
      </w:r>
    </w:p>
    <w:p>
      <w:pPr>
        <w:rPr>
          <w:highlight w:val="none"/>
        </w:rPr>
      </w:pPr>
      <w:r>
        <w:rPr>
          <w:highlight w:val="none"/>
        </w:rPr>
        <w:t>应无明显缺陷和损伤，并应有出厂合格证和型式检验报告。</w:t>
      </w:r>
    </w:p>
    <w:p>
      <w:pPr>
        <w:rPr>
          <w:highlight w:val="none"/>
        </w:rPr>
      </w:pPr>
      <w:r>
        <w:rPr>
          <w:highlight w:val="none"/>
        </w:rPr>
        <w:t>检查数量：全数检查。</w:t>
      </w:r>
    </w:p>
    <w:p>
      <w:pPr>
        <w:rPr>
          <w:highlight w:val="none"/>
        </w:rPr>
      </w:pPr>
      <w:r>
        <w:rPr>
          <w:highlight w:val="none"/>
        </w:rPr>
        <w:t>检查办法：观察检查，资料检查。</w:t>
      </w:r>
    </w:p>
    <w:tbl>
      <w:tblPr>
        <w:tblStyle w:val="16"/>
        <w:tblpPr w:leftFromText="144" w:rightFromText="144" w:vertAnchor="text" w:horzAnchor="margin" w:tblpXSpec="center" w:tblpY="870"/>
        <w:tblW w:w="9348" w:type="dxa"/>
        <w:tblInd w:w="0" w:type="dxa"/>
        <w:tblLayout w:type="fixed"/>
        <w:tblCellMar>
          <w:top w:w="0" w:type="dxa"/>
          <w:left w:w="108" w:type="dxa"/>
          <w:bottom w:w="0" w:type="dxa"/>
          <w:right w:w="108" w:type="dxa"/>
        </w:tblCellMar>
      </w:tblPr>
      <w:tblGrid>
        <w:gridCol w:w="701"/>
        <w:gridCol w:w="1985"/>
        <w:gridCol w:w="3543"/>
        <w:gridCol w:w="3119"/>
      </w:tblGrid>
      <w:tr>
        <w:tblPrEx>
          <w:tblCellMar>
            <w:top w:w="0" w:type="dxa"/>
            <w:left w:w="108" w:type="dxa"/>
            <w:bottom w:w="0" w:type="dxa"/>
            <w:right w:w="108" w:type="dxa"/>
          </w:tblCellMar>
        </w:tblPrEx>
        <w:trPr>
          <w:trHeight w:val="414" w:hRule="atLeast"/>
        </w:trPr>
        <w:tc>
          <w:tcPr>
            <w:tcW w:w="701"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bookmarkStart w:id="125" w:name="_Toc133335406"/>
            <w:r>
              <w:rPr>
                <w:rFonts w:ascii="Times New Roman" w:hAnsi="Times New Roman" w:eastAsia="宋体"/>
                <w:color w:val="000000"/>
                <w:sz w:val="21"/>
                <w:szCs w:val="21"/>
                <w:highlight w:val="none"/>
              </w:rPr>
              <w:t>序号</w:t>
            </w:r>
          </w:p>
        </w:tc>
        <w:tc>
          <w:tcPr>
            <w:tcW w:w="1985"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质量通病名称</w:t>
            </w:r>
          </w:p>
        </w:tc>
        <w:tc>
          <w:tcPr>
            <w:tcW w:w="3543"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原因分析</w:t>
            </w:r>
          </w:p>
        </w:tc>
        <w:tc>
          <w:tcPr>
            <w:tcW w:w="3119"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防治措施</w:t>
            </w:r>
          </w:p>
        </w:tc>
      </w:tr>
      <w:tr>
        <w:tblPrEx>
          <w:tblCellMar>
            <w:top w:w="0" w:type="dxa"/>
            <w:left w:w="108" w:type="dxa"/>
            <w:bottom w:w="0" w:type="dxa"/>
            <w:right w:w="108" w:type="dxa"/>
          </w:tblCellMar>
        </w:tblPrEx>
        <w:trPr>
          <w:trHeight w:val="405" w:hRule="atLeast"/>
        </w:trPr>
        <w:tc>
          <w:tcPr>
            <w:tcW w:w="701"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1</w:t>
            </w:r>
          </w:p>
        </w:tc>
        <w:tc>
          <w:tcPr>
            <w:tcW w:w="198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管道穿越楼板预留孔洞位置不准确，未安装套管</w:t>
            </w:r>
          </w:p>
        </w:tc>
        <w:tc>
          <w:tcPr>
            <w:tcW w:w="3543"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1)管道立管安装位置不准确，地漏及卫生洁具留洞未按产品要求。</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2)安装管道时没有加套管，防水套管达不到防水要求。</w:t>
            </w:r>
          </w:p>
        </w:tc>
        <w:tc>
          <w:tcPr>
            <w:tcW w:w="3119"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1)管道穿越地下室外墙、天面或楼板时应先留孔洞后加套管，孔洞上下应垂直、位置准确。</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2)防水套管严格按要求施工。</w:t>
            </w:r>
          </w:p>
        </w:tc>
      </w:tr>
      <w:tr>
        <w:tblPrEx>
          <w:tblCellMar>
            <w:top w:w="0" w:type="dxa"/>
            <w:left w:w="108" w:type="dxa"/>
            <w:bottom w:w="0" w:type="dxa"/>
            <w:right w:w="108" w:type="dxa"/>
          </w:tblCellMar>
        </w:tblPrEx>
        <w:trPr>
          <w:trHeight w:val="405" w:hRule="atLeast"/>
        </w:trPr>
        <w:tc>
          <w:tcPr>
            <w:tcW w:w="701"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2</w:t>
            </w:r>
          </w:p>
        </w:tc>
        <w:tc>
          <w:tcPr>
            <w:tcW w:w="198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消防管道安装通病</w:t>
            </w:r>
          </w:p>
        </w:tc>
        <w:tc>
          <w:tcPr>
            <w:tcW w:w="3543"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1)&gt;50mm的镀锌钢管未采用法兰连接或卡箍连接，管道一半埋在墙内或板内暗装。</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2)≦50未用丝扣连接。</w:t>
            </w:r>
          </w:p>
        </w:tc>
        <w:tc>
          <w:tcPr>
            <w:tcW w:w="3119"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1)消防管道&gt;50mm镀锌钢管采用法兰连接，连接件应做二次防腐处理</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2)≦50采用丝扣连接。</w:t>
            </w:r>
          </w:p>
        </w:tc>
      </w:tr>
      <w:tr>
        <w:tblPrEx>
          <w:tblCellMar>
            <w:top w:w="0" w:type="dxa"/>
            <w:left w:w="108" w:type="dxa"/>
            <w:bottom w:w="0" w:type="dxa"/>
            <w:right w:w="108" w:type="dxa"/>
          </w:tblCellMar>
        </w:tblPrEx>
        <w:trPr>
          <w:trHeight w:val="405" w:hRule="atLeast"/>
        </w:trPr>
        <w:tc>
          <w:tcPr>
            <w:tcW w:w="701"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3</w:t>
            </w:r>
          </w:p>
        </w:tc>
        <w:tc>
          <w:tcPr>
            <w:tcW w:w="198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管道支架</w:t>
            </w:r>
          </w:p>
        </w:tc>
        <w:tc>
          <w:tcPr>
            <w:tcW w:w="3543"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1)支、吊架管卡螺栓长度超长。</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2)法兰连接采用的螺栓规格长度不配套。</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3)主管或支管未安装防晃支架</w:t>
            </w:r>
          </w:p>
        </w:tc>
        <w:tc>
          <w:tcPr>
            <w:tcW w:w="3119"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1)选用螺栓的长度规格应符合规范要求。</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2)连接法兰的螺丝拧紧后突出螺母的长度不应大于螺杆直径的1/2。</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3)主管和支管末端及中间处应按要求安装防晃支架</w:t>
            </w:r>
          </w:p>
        </w:tc>
      </w:tr>
      <w:tr>
        <w:tblPrEx>
          <w:tblCellMar>
            <w:top w:w="0" w:type="dxa"/>
            <w:left w:w="108" w:type="dxa"/>
            <w:bottom w:w="0" w:type="dxa"/>
            <w:right w:w="108" w:type="dxa"/>
          </w:tblCellMar>
        </w:tblPrEx>
        <w:trPr>
          <w:trHeight w:val="405" w:hRule="atLeast"/>
        </w:trPr>
        <w:tc>
          <w:tcPr>
            <w:tcW w:w="701"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4</w:t>
            </w:r>
          </w:p>
        </w:tc>
        <w:tc>
          <w:tcPr>
            <w:tcW w:w="198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水泵吸水管偏心、大小头的安装问题</w:t>
            </w:r>
          </w:p>
        </w:tc>
        <w:tc>
          <w:tcPr>
            <w:tcW w:w="3543"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1)水泵吸水管路应安装偏心大小头。</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2)偏心大小头的安装应符合要求、防止大小头处形成气囊。</w:t>
            </w:r>
          </w:p>
        </w:tc>
        <w:tc>
          <w:tcPr>
            <w:tcW w:w="3119"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1)水泵吸水管路中的大小头，应采用偏心大小头。</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2)大小头上边成水平状态安装。</w:t>
            </w:r>
          </w:p>
        </w:tc>
      </w:tr>
      <w:tr>
        <w:tblPrEx>
          <w:tblCellMar>
            <w:top w:w="0" w:type="dxa"/>
            <w:left w:w="108" w:type="dxa"/>
            <w:bottom w:w="0" w:type="dxa"/>
            <w:right w:w="108" w:type="dxa"/>
          </w:tblCellMar>
        </w:tblPrEx>
        <w:trPr>
          <w:trHeight w:val="405" w:hRule="atLeast"/>
        </w:trPr>
        <w:tc>
          <w:tcPr>
            <w:tcW w:w="701"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5</w:t>
            </w:r>
          </w:p>
        </w:tc>
        <w:tc>
          <w:tcPr>
            <w:tcW w:w="198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穿越人防区的管道问题</w:t>
            </w:r>
          </w:p>
        </w:tc>
        <w:tc>
          <w:tcPr>
            <w:tcW w:w="3543"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1)穿越人防地下室顶板时设计图纸管道大于75mm。</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2)防爆波闸阀与墙边大于30mm。</w:t>
            </w:r>
          </w:p>
        </w:tc>
        <w:tc>
          <w:tcPr>
            <w:tcW w:w="3119"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1)与人防地下室无关的管道，不宜穿过人防围护结构，且公称直径不得大于75mm。</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2)凡进行人防地下室的管道及穿人防围护结构，均应采取防护密闭措施，防爆波闸阀与人防墙边距离不大300mm。</w:t>
            </w:r>
          </w:p>
        </w:tc>
      </w:tr>
      <w:tr>
        <w:tblPrEx>
          <w:tblCellMar>
            <w:top w:w="0" w:type="dxa"/>
            <w:left w:w="108" w:type="dxa"/>
            <w:bottom w:w="0" w:type="dxa"/>
            <w:right w:w="108" w:type="dxa"/>
          </w:tblCellMar>
        </w:tblPrEx>
        <w:trPr>
          <w:trHeight w:val="405" w:hRule="atLeast"/>
        </w:trPr>
        <w:tc>
          <w:tcPr>
            <w:tcW w:w="701" w:type="dxa"/>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sz w:val="21"/>
                <w:szCs w:val="21"/>
                <w:highlight w:val="none"/>
              </w:rPr>
            </w:pPr>
            <w:r>
              <w:rPr>
                <w:rFonts w:ascii="Times New Roman" w:hAnsi="Times New Roman" w:eastAsia="宋体"/>
                <w:color w:val="000000"/>
                <w:sz w:val="21"/>
                <w:szCs w:val="21"/>
                <w:highlight w:val="none"/>
              </w:rPr>
              <w:t>6</w:t>
            </w:r>
          </w:p>
        </w:tc>
        <w:tc>
          <w:tcPr>
            <w:tcW w:w="1985"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消防管道阀门的安装</w:t>
            </w:r>
          </w:p>
        </w:tc>
        <w:tc>
          <w:tcPr>
            <w:tcW w:w="3543"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1)未按消防要求采用明杆闸阀。</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2)消防管道阀门开或关未明确标识。</w:t>
            </w:r>
          </w:p>
        </w:tc>
        <w:tc>
          <w:tcPr>
            <w:tcW w:w="3119" w:type="dxa"/>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1)严格按消防要求采用明杆闸阀。</w:t>
            </w:r>
          </w:p>
          <w:p>
            <w:pPr>
              <w:pStyle w:val="19"/>
              <w:spacing w:before="0" w:beforeAutospacing="0" w:after="0" w:afterAutospacing="0" w:line="360"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2)应能容易分清消防管道阀门开与关。</w:t>
            </w:r>
          </w:p>
        </w:tc>
      </w:tr>
      <w:bookmarkEnd w:id="125"/>
    </w:tbl>
    <w:p>
      <w:pPr>
        <w:pStyle w:val="4"/>
        <w:rPr>
          <w:highlight w:val="none"/>
        </w:rPr>
      </w:pPr>
      <w:bookmarkStart w:id="126" w:name="_Toc133335407"/>
      <w:r>
        <w:rPr>
          <w:highlight w:val="none"/>
        </w:rPr>
        <w:t>7.4.5 施工质量验收要点</w:t>
      </w:r>
      <w:bookmarkEnd w:id="126"/>
    </w:p>
    <w:p>
      <w:pPr>
        <w:rPr>
          <w:b/>
          <w:highlight w:val="none"/>
        </w:rPr>
      </w:pPr>
      <w:r>
        <w:rPr>
          <w:b/>
          <w:highlight w:val="none"/>
        </w:rPr>
        <w:t>7.4.6.1给水管道安装</w:t>
      </w:r>
    </w:p>
    <w:p>
      <w:pPr>
        <w:pStyle w:val="19"/>
        <w:numPr>
          <w:ilvl w:val="0"/>
          <w:numId w:val="31"/>
        </w:numPr>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给水管道必须采用与管材相适应的管件。</w:t>
      </w:r>
    </w:p>
    <w:p>
      <w:pPr>
        <w:pStyle w:val="19"/>
        <w:numPr>
          <w:ilvl w:val="0"/>
          <w:numId w:val="31"/>
        </w:numPr>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管径小于或等于50mm的镀锌钢管应采用螺纹连接，套丝扣时破坏的镀锌层表面及外露螺纹部分应做防腐处理；管径大于50mm的镀锌钢管应采用法兰或卡套式专用管件连接，镀锌钢管与法兰的焊接处应二次镀锌。</w:t>
      </w:r>
    </w:p>
    <w:p>
      <w:pPr>
        <w:pStyle w:val="19"/>
        <w:numPr>
          <w:ilvl w:val="0"/>
          <w:numId w:val="31"/>
        </w:numPr>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给水铸铁管管道应采用水泥捻口或橡胶圈接口方式进行连接。</w:t>
      </w:r>
    </w:p>
    <w:p>
      <w:pPr>
        <w:pStyle w:val="19"/>
        <w:numPr>
          <w:ilvl w:val="0"/>
          <w:numId w:val="31"/>
        </w:numPr>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铜管连接可采用专用接头或焊接，当管径小于22mm时宜采用承插或套管焊接，承口应迎介质流向安装；当管径大于或等于22mm时宜采用对口焊接。</w:t>
      </w:r>
    </w:p>
    <w:p>
      <w:pPr>
        <w:pStyle w:val="19"/>
        <w:numPr>
          <w:ilvl w:val="0"/>
          <w:numId w:val="31"/>
        </w:numPr>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给水立管和装有3个或3个以上配水点的支管始端，均应安装可折卸的连接件。</w:t>
      </w:r>
    </w:p>
    <w:p>
      <w:pPr>
        <w:pStyle w:val="19"/>
        <w:numPr>
          <w:ilvl w:val="0"/>
          <w:numId w:val="31"/>
        </w:numPr>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给水水平管道应有2‰～5‰的坡度坡向泄水装置。</w:t>
      </w:r>
    </w:p>
    <w:p>
      <w:pPr>
        <w:pStyle w:val="19"/>
        <w:numPr>
          <w:ilvl w:val="0"/>
          <w:numId w:val="31"/>
        </w:numPr>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钢管水平安装的支、吊架间距不应大于下述表格的规定：</w:t>
      </w:r>
    </w:p>
    <w:p>
      <w:pPr>
        <w:pStyle w:val="19"/>
        <w:numPr>
          <w:ilvl w:val="0"/>
          <w:numId w:val="31"/>
        </w:numPr>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管道及管道支墩（座），严禁铺设在冻土和未经处理的松土上。</w:t>
      </w:r>
    </w:p>
    <w:p>
      <w:pPr>
        <w:pStyle w:val="19"/>
        <w:numPr>
          <w:ilvl w:val="0"/>
          <w:numId w:val="31"/>
        </w:numPr>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管道穿过墙壁和楼板，应设置金属或塑料套管。安装在楼板内的套管，其顶部应高出装饰地面20mm；安装在卫生间及厨房内的套管，其顶部应高出装饰地面50mm，底部应与楼板底面相平；安装在墙壁内的套管其两端与饰面相平。穿过楼板的套管与管道之间缝隙应用阻燃密实材料和防水油膏填实，端面光滑。穿墙套管与管道之间缝隙宜用阻燃密实材料填实，且端面应光滑。</w:t>
      </w:r>
    </w:p>
    <w:p>
      <w:pPr>
        <w:rPr>
          <w:b/>
          <w:highlight w:val="none"/>
        </w:rPr>
      </w:pPr>
      <w:r>
        <w:rPr>
          <w:b/>
          <w:highlight w:val="none"/>
        </w:rPr>
        <w:t>7.4.6.2给水设备安装</w:t>
      </w:r>
    </w:p>
    <w:p>
      <w:pPr>
        <w:pStyle w:val="19"/>
        <w:numPr>
          <w:ilvl w:val="0"/>
          <w:numId w:val="32"/>
        </w:numPr>
        <w:spacing w:before="0" w:beforeAutospacing="0" w:after="0" w:afterAutospacing="0" w:line="360" w:lineRule="auto"/>
        <w:ind w:left="0" w:firstLine="0"/>
        <w:rPr>
          <w:rFonts w:ascii="Times New Roman" w:hAnsi="Times New Roman" w:eastAsia="宋体"/>
          <w:highlight w:val="none"/>
        </w:rPr>
      </w:pPr>
      <w:r>
        <w:rPr>
          <w:rFonts w:ascii="Times New Roman" w:hAnsi="Times New Roman" w:eastAsia="宋体"/>
          <w:color w:val="000000"/>
          <w:highlight w:val="none"/>
        </w:rPr>
        <w:t>水泵就位前的基础混凝土强度、坐标、标高、尺寸和螺栓孔位置必须符合设计规定。</w:t>
      </w:r>
    </w:p>
    <w:p>
      <w:pPr>
        <w:pStyle w:val="19"/>
        <w:numPr>
          <w:ilvl w:val="0"/>
          <w:numId w:val="32"/>
        </w:numPr>
        <w:spacing w:before="0" w:beforeAutospacing="0" w:after="0" w:afterAutospacing="0" w:line="360" w:lineRule="auto"/>
        <w:ind w:left="0" w:firstLine="0"/>
        <w:rPr>
          <w:rFonts w:ascii="Times New Roman" w:hAnsi="Times New Roman" w:eastAsia="宋体"/>
          <w:highlight w:val="none"/>
        </w:rPr>
      </w:pPr>
      <w:r>
        <w:rPr>
          <w:rFonts w:ascii="Times New Roman" w:hAnsi="Times New Roman" w:eastAsia="宋体"/>
          <w:color w:val="000000"/>
          <w:highlight w:val="none"/>
        </w:rPr>
        <w:t>水泵试运转的轴承温升必须符合设备说明书的规定。</w:t>
      </w:r>
    </w:p>
    <w:p>
      <w:pPr>
        <w:pStyle w:val="19"/>
        <w:numPr>
          <w:ilvl w:val="0"/>
          <w:numId w:val="32"/>
        </w:numPr>
        <w:spacing w:before="0" w:beforeAutospacing="0" w:after="0" w:afterAutospacing="0" w:line="360" w:lineRule="auto"/>
        <w:ind w:left="0" w:firstLine="0"/>
        <w:rPr>
          <w:rFonts w:ascii="Times New Roman" w:hAnsi="Times New Roman" w:eastAsia="宋体"/>
          <w:highlight w:val="none"/>
        </w:rPr>
      </w:pPr>
      <w:r>
        <w:rPr>
          <w:rFonts w:ascii="Times New Roman" w:hAnsi="Times New Roman" w:eastAsia="宋体"/>
          <w:color w:val="000000"/>
          <w:highlight w:val="none"/>
        </w:rPr>
        <w:t>敞口水箱的满水试验和密闭水箱（罐）的水压试验必须符合设计与本规范的规定。</w:t>
      </w:r>
    </w:p>
    <w:p>
      <w:pPr>
        <w:pStyle w:val="19"/>
        <w:numPr>
          <w:ilvl w:val="0"/>
          <w:numId w:val="32"/>
        </w:numPr>
        <w:spacing w:before="0" w:beforeAutospacing="0" w:after="0" w:afterAutospacing="0" w:line="360" w:lineRule="auto"/>
        <w:ind w:left="0" w:firstLine="0"/>
        <w:rPr>
          <w:rFonts w:ascii="Times New Roman" w:hAnsi="Times New Roman" w:eastAsia="宋体"/>
          <w:highlight w:val="none"/>
        </w:rPr>
      </w:pPr>
      <w:r>
        <w:rPr>
          <w:rFonts w:ascii="Times New Roman" w:hAnsi="Times New Roman" w:eastAsia="宋体"/>
          <w:color w:val="000000"/>
          <w:highlight w:val="none"/>
        </w:rPr>
        <w:t>水箱支架或底座安装，其尺寸及位置应符合设计规定，埋设平整牢固。</w:t>
      </w:r>
    </w:p>
    <w:p>
      <w:pPr>
        <w:pStyle w:val="19"/>
        <w:numPr>
          <w:ilvl w:val="0"/>
          <w:numId w:val="32"/>
        </w:numPr>
        <w:spacing w:before="0" w:beforeAutospacing="0" w:after="0" w:afterAutospacing="0" w:line="360" w:lineRule="auto"/>
        <w:ind w:left="0" w:firstLine="0"/>
        <w:rPr>
          <w:rFonts w:ascii="Times New Roman" w:hAnsi="Times New Roman" w:eastAsia="宋体"/>
          <w:highlight w:val="none"/>
        </w:rPr>
      </w:pPr>
      <w:r>
        <w:rPr>
          <w:rFonts w:ascii="Times New Roman" w:hAnsi="Times New Roman" w:eastAsia="宋体"/>
          <w:color w:val="000000"/>
          <w:highlight w:val="none"/>
        </w:rPr>
        <w:t>水箱溢流管和泄放管应设置在排水地点附近但不得与排水管直接连接。</w:t>
      </w:r>
    </w:p>
    <w:p>
      <w:pPr>
        <w:pStyle w:val="19"/>
        <w:numPr>
          <w:ilvl w:val="0"/>
          <w:numId w:val="32"/>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立式水泵的减振装置不应采用弹簧减振器。</w:t>
      </w:r>
    </w:p>
    <w:p>
      <w:pPr>
        <w:rPr>
          <w:highlight w:val="none"/>
        </w:rPr>
      </w:pPr>
      <w:r>
        <w:rPr>
          <w:highlight w:val="none"/>
        </w:rPr>
        <w:t>7.4.6.3管道安装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本工程消防管道材料详见图纸要求；在施工过程中，各种钢材管材管件及附件等在进场后安装前应认真检查检验，必须符合国家有关规范部颁标准或消防监督部门的规定和要求，并有产品出厂质量证明书或产品合格证；</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（2）各种管材管壁厚度应符合设计要求，管材平直镀锌层均匀，无锈蚀无飞刺；各种连接管件不得有砂眼、裂纹、丝扣不全、角度不准等现象;</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各种阀门的外观要规矩无损伤阀体严密性好，阀杆不得弯曲，安装前应按设计或施工规范要求进行严密性试验；</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（3）石棉橡胶垫、油麻、线麻、生料带、电焊条、防腐涂料等质量都必须符合设计及规范要求；</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（4）设备及附件的规格型号尺寸质量必须符合设计要求，产品说明书合格证等质量文件齐全；</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（5）本工程所用法兰必须按设计要求和工作压力选用标准法兰；</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（6）法兰连接螺栓直径长度应符合规范要求，紧固螺栓时要对称拧紧紧固后螺栓外露丝扣2～3扣，不宜大于螺栓直径的1/2；</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7）钢套管：根据所穿构筑物的厚度及管径尺寸确定套管规格长度，下料后套管内刷防锈漆一道，用于穿楼板的套管应在适当部位焊好架铁；管道安装时，把预制好的套管穿好，再安装管道；穿楼板套管一端应高出地面50mm，下端与楼板面平；穿墙套管两端应与墙面平齐；预埋上下层套管时，中心线应垂直；</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8）防水套管：根据构筑物及不同介质的管道，按设计或施工安装图册中的要求进行预制加工，将预制加工好的套管在浇注混凝土前按设计部位固定好，校对坐标标高，平正合格后一次浇注，待管道安装完毕后用防水填料将空隙封填密实；在施工中，楼面、墙面不得随意开孔，以免破坏外立面，若必须开孔的必须争得业主及设计同意；</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（9）按核对无误的管道单线图，实测管线标高走向支架位置，选择正确的支吊托架形式，按国标图集制作；</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（10）支吊托架应在预埋件上焊接或采用膨胀螺栓固定；</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（11）按设计要求的管道坐标标高坡度确定管架的位置安装管架；</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a、管道支吊托架的安装，应符合下列规定：位置正确，埋设平整牢固。</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b、与管道接触紧密，固定牢靠。</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c、固定在建筑结构上的管道支吊架，不得影响结构的安全。</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（12）管道安装完毕，必须及时用不低于结构标号的混凝土或水泥砂浆把孔洞堵严抹平，为了不致因堵洞而使管道移位，应有专人配合土建封堵孔洞；</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（13）堵楼板孔洞宜用定型模具或用木板支搭牢固后，往洞内浇水清洗后用C20以上细石混凝土或M20以上水泥砂浆填平捣实，不得堵塞砖头杂物;</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（14）管道试压根据设计图纸要求进行；</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（15）管道系统冲洗：</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a、管道冲洗应在管道试压合格后，调试前进行；</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b、管道冲洗进口及排水口应当选择适当位置，并能保证将管道系统内的杂物冲洗干净；排水管截面积不应小于被冲洗管道截面积的60%，排水管应接至排水井或排水沟内；</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c、冲洗时，以系统内可能达到的最大压力和流量进行，直到出口处的水色和透明度与入口处目测一致为合格；</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（16）除锈与防腐：传统支吊架(型钢)：支吊架不允许在车间除锈、打磨、刷漆，运至车间的支架必须是底漆刷好的半成品支架，漆面破坏处需做除锈及补漆处理，并在安装完成后，统一刷漆处理。</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（17）管道需要钻孔的部位，应采用机械开孔，不得用氧气乙炔焰或电焊割孔。综合支（吊）架钻孔前采用工装钻孔定位，单管支（吊）架在型钢上划十字线，并在交点上打样冲眼，然后钻孔。</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（18）本工程中所有施工主材及辅材需要在到货检验前，提供样品至项目样品间，包括管道、阀门、电缆、涂料等并提供材料及出厂产品材质合格证明，作为到货质量检验、施工质量检验依据。</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（19）所有计量检测器具（包括压力表、温度表、流量计、水表等）在正式投运前都需经当地质监局（当地国家质监单位）进行校验并提供校检合格报告。</w:t>
      </w:r>
    </w:p>
    <w:p>
      <w:pPr>
        <w:pStyle w:val="3"/>
        <w:rPr>
          <w:sz w:val="28"/>
          <w:szCs w:val="28"/>
          <w:highlight w:val="none"/>
        </w:rPr>
      </w:pPr>
      <w:bookmarkStart w:id="127" w:name="_Toc133335408"/>
      <w:r>
        <w:rPr>
          <w:sz w:val="28"/>
          <w:szCs w:val="28"/>
          <w:highlight w:val="none"/>
        </w:rPr>
        <w:t>7.5 管道系统试验</w:t>
      </w:r>
      <w:bookmarkEnd w:id="127"/>
    </w:p>
    <w:p>
      <w:pPr>
        <w:pStyle w:val="4"/>
        <w:rPr>
          <w:sz w:val="24"/>
          <w:szCs w:val="24"/>
          <w:highlight w:val="none"/>
        </w:rPr>
      </w:pPr>
      <w:bookmarkStart w:id="128" w:name="_Toc133335409"/>
      <w:r>
        <w:rPr>
          <w:sz w:val="24"/>
          <w:szCs w:val="24"/>
          <w:highlight w:val="none"/>
        </w:rPr>
        <w:t>7.5.1 管道系统试验的主要类型</w:t>
      </w:r>
      <w:bookmarkEnd w:id="128"/>
    </w:p>
    <w:p>
      <w:pPr>
        <w:rPr>
          <w:highlight w:val="none"/>
        </w:rPr>
      </w:pPr>
      <w:r>
        <w:rPr>
          <w:highlight w:val="none"/>
        </w:rPr>
        <w:t>7.5.1.1 压力试验：以液体或气体为试验介质，对管道系统逐步加压，达到规定的试验压力，以检查管道系统的强度和严密性。</w:t>
      </w:r>
    </w:p>
    <w:p>
      <w:pPr>
        <w:rPr>
          <w:highlight w:val="none"/>
        </w:rPr>
      </w:pPr>
      <w:r>
        <w:rPr>
          <w:highlight w:val="none"/>
        </w:rPr>
        <w:t>7. 5.1.2 真空度试验：对管道系统抽真空，使管道系统内部形成负压，以管道系统在规定时间内的增压率，检查管道系统的严密性。</w:t>
      </w:r>
    </w:p>
    <w:p>
      <w:pPr>
        <w:rPr>
          <w:highlight w:val="none"/>
        </w:rPr>
      </w:pPr>
      <w:r>
        <w:rPr>
          <w:highlight w:val="none"/>
        </w:rPr>
        <w:t>7. 5.1.3 泄露性试验：以气体为试验介质，在设计压力下，采用发泡剂、显色剂、气体分子感测仪或其他专门手段等，检查管道系统中的泚露点。</w:t>
      </w:r>
    </w:p>
    <w:p>
      <w:pPr>
        <w:rPr>
          <w:highlight w:val="none"/>
        </w:rPr>
      </w:pPr>
      <w:r>
        <w:rPr>
          <w:highlight w:val="none"/>
        </w:rPr>
        <w:t>7.5.1.4 灌水试验：以清洁水为试验介质，对非承压管道系统灌水，达到规定高度，以检验管道系统的严密性。</w:t>
      </w:r>
    </w:p>
    <w:p>
      <w:pPr>
        <w:rPr>
          <w:highlight w:val="none"/>
        </w:rPr>
      </w:pPr>
      <w:r>
        <w:rPr>
          <w:highlight w:val="none"/>
        </w:rPr>
        <w:t>7. 5.1.5 通球试验：以直径不小于排水管道管径2/3的球从管道中通过，以检验管道的通畅</w:t>
      </w:r>
      <w:r>
        <w:rPr>
          <w:sz w:val="28"/>
          <w:szCs w:val="28"/>
          <w:highlight w:val="none"/>
        </w:rPr>
        <w:t>。</w:t>
      </w:r>
    </w:p>
    <w:p>
      <w:pPr>
        <w:pStyle w:val="4"/>
        <w:rPr>
          <w:sz w:val="24"/>
          <w:szCs w:val="24"/>
          <w:highlight w:val="none"/>
        </w:rPr>
      </w:pPr>
      <w:bookmarkStart w:id="129" w:name="_Toc133335410"/>
      <w:r>
        <w:rPr>
          <w:sz w:val="24"/>
          <w:szCs w:val="24"/>
          <w:highlight w:val="none"/>
        </w:rPr>
        <w:t>7.5.2 管道系统试验必须具备的条件</w:t>
      </w:r>
      <w:bookmarkEnd w:id="129"/>
    </w:p>
    <w:p>
      <w:pPr>
        <w:rPr>
          <w:highlight w:val="none"/>
        </w:rPr>
      </w:pPr>
      <w:r>
        <w:rPr>
          <w:highlight w:val="none"/>
        </w:rPr>
        <w:t>7.5.2.1试验范围内的管道安装工程，除涂漆、绝热末施工完毕外，均按设计图纸全部完成，安装质量符合有关规定。</w:t>
      </w:r>
    </w:p>
    <w:p>
      <w:pPr>
        <w:rPr>
          <w:highlight w:val="none"/>
        </w:rPr>
      </w:pPr>
      <w:r>
        <w:rPr>
          <w:highlight w:val="none"/>
        </w:rPr>
        <w:t>7.5.2.2有热处理和无损检验要求的部位，其结果均已合格。</w:t>
      </w:r>
    </w:p>
    <w:p>
      <w:pPr>
        <w:rPr>
          <w:highlight w:val="none"/>
        </w:rPr>
      </w:pPr>
      <w:r>
        <w:rPr>
          <w:highlight w:val="none"/>
        </w:rPr>
        <w:t>7.5.2.3 管道上的膨账节以设置了临时约束装置，管道己按试验要求进行加固。</w:t>
      </w:r>
    </w:p>
    <w:p>
      <w:pPr>
        <w:rPr>
          <w:highlight w:val="none"/>
        </w:rPr>
      </w:pPr>
      <w:r>
        <w:rPr>
          <w:highlight w:val="none"/>
        </w:rPr>
        <w:t>7.5.2.4 试验用压力表在周检期内并己经校验，其精度符合规定要求，压力表不得少于两块。</w:t>
      </w:r>
    </w:p>
    <w:p>
      <w:pPr>
        <w:rPr>
          <w:highlight w:val="none"/>
        </w:rPr>
      </w:pPr>
      <w:r>
        <w:rPr>
          <w:highlight w:val="none"/>
        </w:rPr>
        <w:t>7.5.2.5 待试管道系统与不试验的管道系统已采取隔离措施。采有盲板隔离的，设置盲板的部位应有明显的标记和记录。</w:t>
      </w:r>
    </w:p>
    <w:p>
      <w:pPr>
        <w:rPr>
          <w:highlight w:val="none"/>
        </w:rPr>
      </w:pPr>
      <w:r>
        <w:rPr>
          <w:highlight w:val="none"/>
        </w:rPr>
        <w:t>7.5.2.6待试管道上的安全阀、爆破板及仪表元件等己拆下或加以隔离，中间阀门应全部开启。</w:t>
      </w:r>
    </w:p>
    <w:p>
      <w:pPr>
        <w:rPr>
          <w:highlight w:val="none"/>
        </w:rPr>
      </w:pPr>
      <w:r>
        <w:rPr>
          <w:highlight w:val="none"/>
        </w:rPr>
        <w:t>7.5.2.7 输送剧毒流体的管道及设计乐力大与等于10MPa的管道，在压力试验前，有关资料己经建设单位复查。</w:t>
      </w:r>
    </w:p>
    <w:p>
      <w:pPr>
        <w:pStyle w:val="4"/>
        <w:rPr>
          <w:highlight w:val="none"/>
        </w:rPr>
      </w:pPr>
      <w:bookmarkStart w:id="130" w:name="_Toc133335411"/>
      <w:r>
        <w:rPr>
          <w:highlight w:val="none"/>
        </w:rPr>
        <w:t>7.5.3 压力试验实施要点</w:t>
      </w:r>
      <w:bookmarkEnd w:id="130"/>
    </w:p>
    <w:p>
      <w:pPr>
        <w:pStyle w:val="5"/>
        <w:spacing w:before="163" w:after="163"/>
        <w:rPr>
          <w:highlight w:val="none"/>
        </w:rPr>
      </w:pPr>
      <w:r>
        <w:rPr>
          <w:highlight w:val="none"/>
        </w:rPr>
        <w:t>7.5.3.1 液压试验实施要求</w:t>
      </w:r>
    </w:p>
    <w:p>
      <w:pPr>
        <w:rPr>
          <w:highlight w:val="none"/>
        </w:rPr>
      </w:pPr>
      <w:r>
        <w:rPr>
          <w:highlight w:val="none"/>
        </w:rPr>
        <w:t>（1）不同类别或不动材料的管道系统（如碳钢、有色金属、铸铁、夹套管等）的试验压力应按相应的施工及验收规范的规定执行。</w:t>
      </w:r>
    </w:p>
    <w:p>
      <w:pPr>
        <w:rPr>
          <w:highlight w:val="none"/>
        </w:rPr>
      </w:pPr>
      <w:r>
        <w:rPr>
          <w:highlight w:val="none"/>
        </w:rPr>
        <w:t>（2）管道与设备作为一个系统进行试验时，当管道的试验压力等于或小于设备的试验压力时，应按管道的试验压力进行试验；当管道试验压力大于设备的试验压力，且设备的试验压力不低于管道设计压力的1.15倍时，经建设单位同意，可按设备的试验压力进行试验。（3）液压试验应缓慢升压，待达到试验压力后，稳定10min，在将试验压力降至设计压力，停压30min，以压力不降、无渗漏为合格。</w:t>
      </w:r>
    </w:p>
    <w:p>
      <w:pPr>
        <w:rPr>
          <w:highlight w:val="none"/>
        </w:rPr>
      </w:pPr>
      <w:r>
        <w:rPr>
          <w:highlight w:val="none"/>
        </w:rPr>
        <w:t>（4）民用建筑中的给水管道系统、消防系统和室外给水管网系统的水压试验必须符合设计要求。当设计末注明时，试验压力均为工作压力的1.5倍，但不得小于0.6MPa。试验方法和合格要求根据管材按规范要求实施。</w:t>
      </w:r>
    </w:p>
    <w:p>
      <w:pPr>
        <w:rPr>
          <w:highlight w:val="none"/>
        </w:rPr>
      </w:pPr>
      <w:r>
        <w:rPr>
          <w:highlight w:val="none"/>
        </w:rPr>
        <w:t>（5）民用建筑中的热水供应系统、各类采暖系统以及室外供热管道的试压要求和试验方法、合格要求，应按《建筑给水排水及采暖工程施工质量验收规范》的要求执行。</w:t>
      </w:r>
    </w:p>
    <w:p>
      <w:pPr>
        <w:pStyle w:val="5"/>
        <w:spacing w:before="163" w:after="163"/>
        <w:rPr>
          <w:highlight w:val="none"/>
        </w:rPr>
      </w:pPr>
      <w:r>
        <w:rPr>
          <w:highlight w:val="none"/>
        </w:rPr>
        <w:t>7.5.3.2以气体为介质的压力试验（气压）实施要点</w:t>
      </w:r>
    </w:p>
    <w:p>
      <w:pPr>
        <w:rPr>
          <w:highlight w:val="none"/>
        </w:rPr>
      </w:pPr>
      <w:r>
        <w:rPr>
          <w:highlight w:val="none"/>
        </w:rPr>
        <w:t>（1）承受内压钢管及有色金属管试验压力应为设计压力的1.15倍，真空管道的试验压力应为0.2MPa。</w:t>
      </w:r>
    </w:p>
    <w:p>
      <w:pPr>
        <w:rPr>
          <w:highlight w:val="none"/>
        </w:rPr>
      </w:pPr>
      <w:r>
        <w:rPr>
          <w:highlight w:val="none"/>
        </w:rPr>
        <w:t>（2）管道的设计压力大于0.6MPa时，必须有设计文件规定或经建设单位同意，方可用气体进行压力试验。</w:t>
      </w:r>
    </w:p>
    <w:p>
      <w:pPr>
        <w:rPr>
          <w:highlight w:val="none"/>
        </w:rPr>
      </w:pPr>
      <w:r>
        <w:rPr>
          <w:highlight w:val="none"/>
        </w:rPr>
        <w:t>（3）试验前，必须用压力为0.2MPa的空气进行预试验。气压试验时，应逐步缓慢增加压力，当压力升至试验压力的50%时，应对系统进行检查，如未发现异状或泄漏，继续按试验压力的10%逐级升压，每级稳压3min，升至试验压力后，再将压力降至设计压力。以发泡剂检验不泄漏为合格。</w:t>
      </w:r>
    </w:p>
    <w:p>
      <w:pPr>
        <w:rPr>
          <w:highlight w:val="none"/>
        </w:rPr>
      </w:pPr>
      <w:r>
        <w:rPr>
          <w:highlight w:val="none"/>
        </w:rPr>
        <w:t>（4）试验时，严禁使试验温度接近金属的脆性转变温度。</w:t>
      </w:r>
    </w:p>
    <w:p>
      <w:pPr>
        <w:pStyle w:val="4"/>
        <w:rPr>
          <w:highlight w:val="none"/>
        </w:rPr>
      </w:pPr>
      <w:bookmarkStart w:id="131" w:name="_Toc133335412"/>
      <w:r>
        <w:rPr>
          <w:highlight w:val="none"/>
        </w:rPr>
        <w:t>7.5.5 泄漏性试验实施要求</w:t>
      </w:r>
      <w:bookmarkEnd w:id="131"/>
    </w:p>
    <w:p>
      <w:pPr>
        <w:rPr>
          <w:highlight w:val="none"/>
        </w:rPr>
      </w:pPr>
      <w:r>
        <w:rPr>
          <w:highlight w:val="none"/>
        </w:rPr>
        <w:t>7.5.5.1 输送剧毒流体、有毒流体、可燃流体的管道必须进行泄漏性试验。</w:t>
      </w:r>
    </w:p>
    <w:p>
      <w:pPr>
        <w:rPr>
          <w:highlight w:val="none"/>
        </w:rPr>
      </w:pPr>
      <w:r>
        <w:rPr>
          <w:highlight w:val="none"/>
        </w:rPr>
        <w:t>7.5.5.2 泄漏性试验应在压力试验合格后进行。</w:t>
      </w:r>
    </w:p>
    <w:p>
      <w:pPr>
        <w:rPr>
          <w:highlight w:val="none"/>
        </w:rPr>
      </w:pPr>
      <w:r>
        <w:rPr>
          <w:highlight w:val="none"/>
        </w:rPr>
        <w:t>7.5.5.3 试验介质宜采用空气，试验压力为设计压力。</w:t>
      </w:r>
    </w:p>
    <w:p>
      <w:pPr>
        <w:rPr>
          <w:highlight w:val="none"/>
        </w:rPr>
      </w:pPr>
      <w:r>
        <w:rPr>
          <w:highlight w:val="none"/>
        </w:rPr>
        <w:t>7.5.5.4 泄漏性试验应重点检验阀门填料两、法兰或螺纹连按处、放空阀、排气闷、排水阀等，以发泡剂检验不泄漏为合格。</w:t>
      </w:r>
    </w:p>
    <w:p>
      <w:pPr>
        <w:pStyle w:val="4"/>
        <w:rPr>
          <w:highlight w:val="none"/>
        </w:rPr>
      </w:pPr>
      <w:bookmarkStart w:id="132" w:name="_Toc133335413"/>
      <w:r>
        <w:rPr>
          <w:highlight w:val="none"/>
        </w:rPr>
        <w:t>7.5.6 灌水试验实施要求</w:t>
      </w:r>
      <w:bookmarkEnd w:id="132"/>
    </w:p>
    <w:p>
      <w:pPr>
        <w:rPr>
          <w:highlight w:val="none"/>
        </w:rPr>
      </w:pPr>
      <w:r>
        <w:rPr>
          <w:highlight w:val="none"/>
        </w:rPr>
        <w:t>7.5.6.1 掩蔽或埋地的室内排水管道在隐蔽前必须做灌水试验，灌水高度不应低于底地层卫生器具的上边缘或房屋地面高度。</w:t>
      </w:r>
    </w:p>
    <w:p>
      <w:pPr>
        <w:rPr>
          <w:highlight w:val="none"/>
        </w:rPr>
      </w:pPr>
      <w:r>
        <w:rPr>
          <w:highlight w:val="none"/>
        </w:rPr>
        <w:t>7.5.6.2 检验方法：灌水到满水15min，水面下降后再灌满观察5min，液面不降，室内排管道的接口无洲漏为合格。</w:t>
      </w:r>
    </w:p>
    <w:p>
      <w:pPr>
        <w:rPr>
          <w:highlight w:val="none"/>
        </w:rPr>
      </w:pPr>
      <w:r>
        <w:rPr>
          <w:highlight w:val="none"/>
        </w:rPr>
        <w:t>7.5.6.3 按室外排水检查井分段试验。试验水头应以试验段上游管顶加1m，时间不少于30min，管接口无泄漏为合格。</w:t>
      </w:r>
    </w:p>
    <w:p>
      <w:pPr>
        <w:pStyle w:val="4"/>
        <w:rPr>
          <w:highlight w:val="none"/>
        </w:rPr>
      </w:pPr>
      <w:bookmarkStart w:id="133" w:name="_Toc133335414"/>
      <w:r>
        <w:rPr>
          <w:highlight w:val="none"/>
        </w:rPr>
        <w:t>7.5.7 通球试验</w:t>
      </w:r>
      <w:bookmarkEnd w:id="133"/>
    </w:p>
    <w:p>
      <w:pPr>
        <w:ind w:firstLine="420" w:firstLineChars="200"/>
        <w:rPr>
          <w:highlight w:val="none"/>
        </w:rPr>
      </w:pPr>
      <w:r>
        <w:rPr>
          <w:highlight w:val="none"/>
        </w:rPr>
        <w:t>室内排水立管及水平干管，安装结束后均应作通球试验，通球球径不小于排水管径的2/3，顺利通过为合格。</w:t>
      </w:r>
    </w:p>
    <w:p>
      <w:pPr>
        <w:pStyle w:val="4"/>
        <w:rPr>
          <w:highlight w:val="none"/>
        </w:rPr>
      </w:pPr>
      <w:bookmarkStart w:id="134" w:name="_Toc133335415"/>
      <w:r>
        <w:rPr>
          <w:highlight w:val="none"/>
        </w:rPr>
        <w:t>7.5.8 消防水调试</w:t>
      </w:r>
      <w:bookmarkEnd w:id="134"/>
    </w:p>
    <w:p>
      <w:pPr>
        <w:pStyle w:val="19"/>
        <w:spacing w:before="0" w:beforeAutospacing="0" w:after="0" w:afterAutospacing="0" w:line="360" w:lineRule="auto"/>
        <w:ind w:firstLine="480" w:firstLineChars="200"/>
        <w:jc w:val="both"/>
        <w:rPr>
          <w:rFonts w:ascii="Times New Roman" w:hAnsi="Times New Roman" w:eastAsia="宋体"/>
          <w:highlight w:val="none"/>
        </w:rPr>
      </w:pPr>
      <w:r>
        <w:rPr>
          <w:rFonts w:ascii="Times New Roman" w:hAnsi="Times New Roman" w:eastAsia="宋体"/>
          <w:color w:val="000000"/>
          <w:highlight w:val="none"/>
        </w:rPr>
        <w:t>试验前，施工单位应编制试验方案，经同意后方可进行试压试验，第一次试压必须以气压测试，经过气压测试正常后方可进行下一步试压，其内容应包括：</w:t>
      </w:r>
    </w:p>
    <w:p>
      <w:pPr>
        <w:pStyle w:val="19"/>
        <w:tabs>
          <w:tab w:val="left" w:pos="720"/>
        </w:tabs>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highlight w:val="none"/>
        </w:rPr>
        <w:t>（1）</w:t>
      </w:r>
      <w:r>
        <w:rPr>
          <w:rFonts w:ascii="Times New Roman" w:hAnsi="Times New Roman" w:eastAsia="宋体"/>
          <w:color w:val="000000"/>
          <w:highlight w:val="none"/>
        </w:rPr>
        <w:t>后背及堵板的设计。</w:t>
      </w:r>
    </w:p>
    <w:p>
      <w:pPr>
        <w:pStyle w:val="19"/>
        <w:tabs>
          <w:tab w:val="left" w:pos="720"/>
        </w:tabs>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highlight w:val="none"/>
        </w:rPr>
        <w:t>（2）</w:t>
      </w:r>
      <w:r>
        <w:rPr>
          <w:rFonts w:ascii="Times New Roman" w:hAnsi="Times New Roman" w:eastAsia="宋体"/>
          <w:color w:val="000000"/>
          <w:highlight w:val="none"/>
        </w:rPr>
        <w:t>水管路、排气孔及排水孔的设计。</w:t>
      </w:r>
    </w:p>
    <w:p>
      <w:pPr>
        <w:pStyle w:val="19"/>
        <w:tabs>
          <w:tab w:val="left" w:pos="720"/>
        </w:tabs>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highlight w:val="none"/>
        </w:rPr>
        <w:t>（3）</w:t>
      </w:r>
      <w:r>
        <w:rPr>
          <w:rFonts w:ascii="Times New Roman" w:hAnsi="Times New Roman" w:eastAsia="宋体"/>
          <w:color w:val="000000"/>
          <w:highlight w:val="none"/>
        </w:rPr>
        <w:t>加压设备、压力计的选择及安装的设计。</w:t>
      </w:r>
    </w:p>
    <w:p>
      <w:pPr>
        <w:pStyle w:val="19"/>
        <w:tabs>
          <w:tab w:val="left" w:pos="720"/>
        </w:tabs>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highlight w:val="none"/>
        </w:rPr>
        <w:t>（4）</w:t>
      </w:r>
      <w:r>
        <w:rPr>
          <w:rFonts w:ascii="Times New Roman" w:hAnsi="Times New Roman" w:eastAsia="宋体"/>
          <w:color w:val="000000"/>
          <w:highlight w:val="none"/>
        </w:rPr>
        <w:t>排水疏导措施。</w:t>
      </w:r>
    </w:p>
    <w:p>
      <w:pPr>
        <w:pStyle w:val="19"/>
        <w:tabs>
          <w:tab w:val="left" w:pos="720"/>
        </w:tabs>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highlight w:val="none"/>
        </w:rPr>
        <w:t>（5）</w:t>
      </w:r>
      <w:r>
        <w:rPr>
          <w:rFonts w:ascii="Times New Roman" w:hAnsi="Times New Roman" w:eastAsia="宋体"/>
          <w:color w:val="000000"/>
          <w:highlight w:val="none"/>
        </w:rPr>
        <w:t>升压分级的划分及观测制度的规定。</w:t>
      </w:r>
    </w:p>
    <w:p>
      <w:pPr>
        <w:pStyle w:val="19"/>
        <w:tabs>
          <w:tab w:val="left" w:pos="720"/>
        </w:tabs>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highlight w:val="none"/>
        </w:rPr>
        <w:t>（6）</w:t>
      </w:r>
      <w:r>
        <w:rPr>
          <w:rFonts w:ascii="Times New Roman" w:hAnsi="Times New Roman" w:eastAsia="宋体"/>
          <w:color w:val="000000"/>
          <w:highlight w:val="none"/>
        </w:rPr>
        <w:t>试验管段的稳定措施和安全措施。</w:t>
      </w:r>
    </w:p>
    <w:p>
      <w:pPr>
        <w:pStyle w:val="19"/>
        <w:tabs>
          <w:tab w:val="left" w:pos="720"/>
        </w:tabs>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highlight w:val="none"/>
        </w:rPr>
        <w:t>（7）</w:t>
      </w:r>
      <w:r>
        <w:rPr>
          <w:rFonts w:ascii="Times New Roman" w:hAnsi="Times New Roman" w:eastAsia="宋体"/>
          <w:color w:val="000000"/>
          <w:highlight w:val="none"/>
        </w:rPr>
        <w:t>管件的支墩、锚固设施混凝工强度已达到设计强度。</w:t>
      </w:r>
    </w:p>
    <w:p>
      <w:pPr>
        <w:pStyle w:val="19"/>
        <w:tabs>
          <w:tab w:val="left" w:pos="720"/>
        </w:tabs>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highlight w:val="none"/>
        </w:rPr>
        <w:t>（8）</w:t>
      </w:r>
      <w:r>
        <w:rPr>
          <w:rFonts w:ascii="Times New Roman" w:hAnsi="Times New Roman" w:eastAsia="宋体"/>
          <w:color w:val="000000"/>
          <w:highlight w:val="none"/>
        </w:rPr>
        <w:t>室内给水管道的水压试验必须符合设计要求。当设计未注明时，各种材质的给水管道系统试验压力均为工作压力的1.5倍，但不得小于0.6MPa。</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highlight w:val="none"/>
        </w:rPr>
        <w:t>（9）</w:t>
      </w:r>
      <w:r>
        <w:rPr>
          <w:rFonts w:ascii="Times New Roman" w:hAnsi="Times New Roman" w:eastAsia="宋体"/>
          <w:color w:val="000000"/>
          <w:highlight w:val="none"/>
        </w:rPr>
        <w:t>检验方法：金属及复合管给水管道系统在试验压力下观测10min，压力降不应大于0.02MPa，然后降到工作压力进行检查，应不渗不漏。</w:t>
      </w:r>
    </w:p>
    <w:p>
      <w:pPr>
        <w:pStyle w:val="3"/>
        <w:rPr>
          <w:sz w:val="28"/>
          <w:szCs w:val="28"/>
          <w:highlight w:val="none"/>
        </w:rPr>
      </w:pPr>
      <w:bookmarkStart w:id="135" w:name="_Toc133335417"/>
      <w:r>
        <w:rPr>
          <w:sz w:val="28"/>
          <w:szCs w:val="28"/>
          <w:highlight w:val="none"/>
        </w:rPr>
        <w:t>八、气动工程工程技术要求</w:t>
      </w:r>
      <w:bookmarkEnd w:id="135"/>
    </w:p>
    <w:p>
      <w:pPr>
        <w:pStyle w:val="3"/>
        <w:rPr>
          <w:sz w:val="28"/>
          <w:szCs w:val="28"/>
          <w:highlight w:val="none"/>
        </w:rPr>
      </w:pPr>
      <w:bookmarkStart w:id="136" w:name="_Toc133335418"/>
      <w:r>
        <w:rPr>
          <w:sz w:val="28"/>
          <w:szCs w:val="28"/>
          <w:highlight w:val="none"/>
        </w:rPr>
        <w:t>8.1 管道要求</w:t>
      </w:r>
      <w:bookmarkEnd w:id="136"/>
    </w:p>
    <w:p>
      <w:pPr>
        <w:pStyle w:val="4"/>
        <w:rPr>
          <w:sz w:val="24"/>
          <w:szCs w:val="24"/>
          <w:highlight w:val="none"/>
        </w:rPr>
      </w:pPr>
      <w:bookmarkStart w:id="137" w:name="_Toc133335419"/>
      <w:r>
        <w:rPr>
          <w:sz w:val="24"/>
          <w:szCs w:val="24"/>
          <w:highlight w:val="none"/>
        </w:rPr>
        <w:t>8.1.1压缩空气、氮气、真空管道要求</w:t>
      </w:r>
      <w:bookmarkEnd w:id="137"/>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8.1.1.1 压缩空气、氮气、真空部机房在厂房内部，乙方负责各系统气罐出口阀门（具体位置根据设备布置有差异）至各使用点，以上各位置点参考图纸，含真空泵排气管道；</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8.1.1.2 氮气系统含空压系统末端至于制氮系统入口部分管道、阀门采购与工程安装；</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8.1.1.3 压缩空气管道采用铝合金管，防腐处理需达到规范要求，承受压力不低于16kgf，管壁厚度依照国标要求；阀门采用不锈钢球阀；压力表采用D=0-1.0MPa不锈钢压力表，螺纹连接，进房间的主管上安装一个压力表，位置与氮气压力表放置在一起；</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8.1.1.4 压缩空气管道末端安装球阀，球阀小于等于DN20的，安装φ16气管快插接头；球阀大于DN20的，根据需要安装接头类型（施工过程中确认）；</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8.1.1.5 压缩空气管道DN20-DN200</w:t>
      </w:r>
      <w:r>
        <w:rPr>
          <w:rFonts w:hint="eastAsia" w:ascii="Times New Roman" w:hAnsi="Times New Roman" w:eastAsia="宋体"/>
          <w:color w:val="000000"/>
          <w:highlight w:val="none"/>
        </w:rPr>
        <w:t>及以下</w:t>
      </w:r>
      <w:r>
        <w:rPr>
          <w:rFonts w:ascii="Times New Roman" w:hAnsi="Times New Roman" w:eastAsia="宋体"/>
          <w:color w:val="000000"/>
          <w:highlight w:val="none"/>
        </w:rPr>
        <w:t>采用铝合金气体管道</w:t>
      </w:r>
      <w:r>
        <w:rPr>
          <w:rFonts w:hint="eastAsia" w:ascii="Times New Roman" w:hAnsi="Times New Roman" w:eastAsia="宋体"/>
          <w:color w:val="000000"/>
          <w:highlight w:val="none"/>
        </w:rPr>
        <w:t>（部分区域根据设计要求采用S</w:t>
      </w:r>
      <w:r>
        <w:rPr>
          <w:rFonts w:ascii="Times New Roman" w:hAnsi="Times New Roman" w:eastAsia="宋体"/>
          <w:color w:val="000000"/>
          <w:highlight w:val="none"/>
        </w:rPr>
        <w:t>S304</w:t>
      </w:r>
      <w:r>
        <w:rPr>
          <w:rFonts w:hint="eastAsia" w:ascii="Times New Roman" w:hAnsi="Times New Roman" w:eastAsia="宋体"/>
          <w:color w:val="000000"/>
          <w:highlight w:val="none"/>
        </w:rPr>
        <w:t>）</w:t>
      </w:r>
      <w:r>
        <w:rPr>
          <w:rFonts w:ascii="Times New Roman" w:hAnsi="Times New Roman" w:eastAsia="宋体"/>
          <w:color w:val="000000"/>
          <w:highlight w:val="none"/>
        </w:rPr>
        <w:t>，管道采用卡箍连接；其余采用不锈钢不锈钢SS304管道；全部管道采用NBR(丁腈橡胶)材质的面密封块密封，管道连接件：全系列DN20-DN200管件材质采用合金钢材质。阀门采用同材质球阀或蝶阀。无特别要求，参照《锂离子电池工厂设计标准》（GB 2051377-2019）8.2氮气系统，宜采用内壁光亮退火处理BA级不锈钢管，阀门采用不锈钢球阀；</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8.1.1.6 氮气管道管材详见图纸，承受压力不低于1.6MPa，管壁厚度依照国标要求；阀门采用不锈钢球阀；压力表采用0-0.8MPa不锈钢压力表，螺纹连接，进房间的主管上安装一个压力表，位置与压缩气压力表放置在一起；</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8.1.1.7 氮气管道末端安装球阀，球阀小于等于DN20的，安装φ16气管不锈钢快插接头；球阀大于DN20的，根据需要安装接头类型（施工过程中确认）；</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8.1.1.8 NMP真空系统管道管材详见图纸，集尘系统管道管材详见图纸，在设备使用点完成与设备对接；阀门采用真空蝶阀，所有三通均为45度斜三通，弯头为长弯头。管径≤DN50为PVC球阀，管径&gt;DN50为PVC蝶阀；</w:t>
      </w:r>
    </w:p>
    <w:p>
      <w:pPr>
        <w:pStyle w:val="4"/>
        <w:rPr>
          <w:highlight w:val="none"/>
        </w:rPr>
      </w:pPr>
      <w:bookmarkStart w:id="138" w:name="_Toc133335420"/>
      <w:r>
        <w:rPr>
          <w:highlight w:val="none"/>
        </w:rPr>
        <w:t>8.1.2蒸汽管道要求</w:t>
      </w:r>
      <w:bookmarkEnd w:id="138"/>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8.1.2.1 使用蒸汽的设备有涂布机、除湿机、电芯烘烤等工艺设备;</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8.1.2.2 施工方负责从入户室阀门处将管线路接入各区域指定位置，并满足甲方各工艺区域需求；</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8.1.2.3 蒸汽管承受压力不低于1.6MPa，管壁厚度按国标，采用玻璃纤维棉保温，外包铝板（厚度0.5mm）；</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8.1.2.4 各使用点湿度、压力、流量等满足各设备使用需求；</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8.1.2.5 蒸汽管路的施工需严格依据国家相关法规和规范进行施工和验收；</w:t>
      </w:r>
    </w:p>
    <w:p>
      <w:pPr>
        <w:pStyle w:val="19"/>
        <w:spacing w:before="0" w:beforeAutospacing="0" w:after="0" w:afterAutospacing="0" w:line="360" w:lineRule="auto"/>
        <w:jc w:val="both"/>
        <w:rPr>
          <w:rFonts w:ascii="Times New Roman" w:hAnsi="Times New Roman" w:eastAsia="宋体"/>
          <w:highlight w:val="none"/>
        </w:rPr>
      </w:pPr>
      <w:r>
        <w:rPr>
          <w:rFonts w:ascii="Times New Roman" w:hAnsi="Times New Roman" w:eastAsia="宋体"/>
          <w:color w:val="000000"/>
          <w:highlight w:val="none"/>
        </w:rPr>
        <w:t>8.1.2.6 天然气管路的施工需严格依据国家相关法规和规范进行施工和验收。</w:t>
      </w:r>
    </w:p>
    <w:p>
      <w:pPr>
        <w:pStyle w:val="3"/>
        <w:rPr>
          <w:sz w:val="28"/>
          <w:szCs w:val="28"/>
          <w:highlight w:val="none"/>
        </w:rPr>
      </w:pPr>
      <w:bookmarkStart w:id="139" w:name="_Toc133335421"/>
      <w:r>
        <w:rPr>
          <w:sz w:val="28"/>
          <w:szCs w:val="28"/>
          <w:highlight w:val="none"/>
        </w:rPr>
        <w:t>8.2管道、阀门标识要求</w:t>
      </w:r>
      <w:bookmarkEnd w:id="139"/>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8.2.1 所有阀门、开关均需要进行标识（阀门名称、开关状态），阀门位置符合人体工程学，要求方便操作，操作安全；</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8.2.2 所有仪表需要进行标识（仪表名称、上下限范围），阀门位置符合人体工程学，要求查看方便；</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8.2.3 所有管道等部件均需要进行标识（流体名称、流向），同方向管道所贴标识要求醒目并位置一致，张贴角度一致，同一型号管道所贴的标识大小一致；</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8.2.4 所贴标识的胶要有足够的粘性，正常使用情况下，不脱落；</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8.2.5 室外的标识要做好防雨、防水、防爆晒；</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8.2.6 管道标识颜色要求如下：</w:t>
      </w:r>
    </w:p>
    <w:tbl>
      <w:tblPr>
        <w:tblStyle w:val="16"/>
        <w:tblW w:w="9285" w:type="dxa"/>
        <w:tblInd w:w="0" w:type="dxa"/>
        <w:tblLayout w:type="fixed"/>
        <w:tblCellMar>
          <w:top w:w="15" w:type="dxa"/>
          <w:left w:w="15" w:type="dxa"/>
          <w:bottom w:w="15" w:type="dxa"/>
          <w:right w:w="15" w:type="dxa"/>
        </w:tblCellMar>
      </w:tblPr>
      <w:tblGrid>
        <w:gridCol w:w="990"/>
        <w:gridCol w:w="2715"/>
        <w:gridCol w:w="1860"/>
        <w:gridCol w:w="1860"/>
        <w:gridCol w:w="1860"/>
      </w:tblGrid>
      <w:tr>
        <w:tblPrEx>
          <w:tblCellMar>
            <w:top w:w="15" w:type="dxa"/>
            <w:left w:w="15" w:type="dxa"/>
            <w:bottom w:w="15" w:type="dxa"/>
            <w:right w:w="15" w:type="dxa"/>
          </w:tblCellMar>
        </w:tblPrEx>
        <w:trPr>
          <w:trHeight w:val="164" w:hRule="atLeast"/>
        </w:trPr>
        <w:tc>
          <w:tcPr>
            <w:tcW w:w="9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序号</w:t>
            </w:r>
          </w:p>
        </w:tc>
        <w:tc>
          <w:tcPr>
            <w:tcW w:w="27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管道名称</w:t>
            </w:r>
          </w:p>
        </w:tc>
        <w:tc>
          <w:tcPr>
            <w:tcW w:w="18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管道颜色</w:t>
            </w:r>
          </w:p>
        </w:tc>
        <w:tc>
          <w:tcPr>
            <w:tcW w:w="18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标识颜色</w:t>
            </w:r>
          </w:p>
        </w:tc>
        <w:tc>
          <w:tcPr>
            <w:tcW w:w="18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备注</w:t>
            </w:r>
          </w:p>
        </w:tc>
      </w:tr>
      <w:tr>
        <w:tblPrEx>
          <w:tblCellMar>
            <w:top w:w="15" w:type="dxa"/>
            <w:left w:w="15" w:type="dxa"/>
            <w:bottom w:w="15" w:type="dxa"/>
            <w:right w:w="15" w:type="dxa"/>
          </w:tblCellMar>
        </w:tblPrEx>
        <w:trPr>
          <w:trHeight w:val="164" w:hRule="atLeast"/>
        </w:trPr>
        <w:tc>
          <w:tcPr>
            <w:tcW w:w="9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c>
          <w:tcPr>
            <w:tcW w:w="271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压缩空气</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天酞蓝</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大红</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164" w:hRule="atLeast"/>
        </w:trPr>
        <w:tc>
          <w:tcPr>
            <w:tcW w:w="9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w:t>
            </w:r>
          </w:p>
        </w:tc>
        <w:tc>
          <w:tcPr>
            <w:tcW w:w="271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氮气</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淡黄</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大红</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164" w:hRule="atLeast"/>
        </w:trPr>
        <w:tc>
          <w:tcPr>
            <w:tcW w:w="9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w:t>
            </w:r>
          </w:p>
        </w:tc>
        <w:tc>
          <w:tcPr>
            <w:tcW w:w="271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蒸汽</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银</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大红</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164" w:hRule="atLeast"/>
        </w:trPr>
        <w:tc>
          <w:tcPr>
            <w:tcW w:w="9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w:t>
            </w:r>
          </w:p>
        </w:tc>
        <w:tc>
          <w:tcPr>
            <w:tcW w:w="271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真空管</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银</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大红</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164" w:hRule="atLeast"/>
        </w:trPr>
        <w:tc>
          <w:tcPr>
            <w:tcW w:w="9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w:t>
            </w:r>
          </w:p>
        </w:tc>
        <w:tc>
          <w:tcPr>
            <w:tcW w:w="271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水</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艳绿</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白</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167" w:hRule="atLeast"/>
        </w:trPr>
        <w:tc>
          <w:tcPr>
            <w:tcW w:w="99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w:t>
            </w:r>
          </w:p>
        </w:tc>
        <w:tc>
          <w:tcPr>
            <w:tcW w:w="271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紧急放空管</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大红</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淡黄</w:t>
            </w:r>
          </w:p>
        </w:tc>
        <w:tc>
          <w:tcPr>
            <w:tcW w:w="18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bl>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8.2.7 各颜色及对应色卡如下：</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drawing>
          <wp:inline distT="0" distB="0" distL="114300" distR="114300">
            <wp:extent cx="6116320" cy="5276850"/>
            <wp:effectExtent l="0" t="0" r="17780" b="0"/>
            <wp:docPr id="35" name="图片 18" descr="https://wdcdn.qpic.cn/MTY4ODg1ODQxMDQzMzU0MQ_662612_8rXEefqUIej97A9b_1681983958?w=949&amp;h=1068&amp;typ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https://wdcdn.qpic.cn/MTY4ODg1ODQxMDQzMzU0MQ_662612_8rXEefqUIej97A9b_1681983958?w=949&amp;h=1068&amp;type=image/png"/>
                    <pic:cNvPicPr>
                      <a:picLocks noChangeAspect="1"/>
                    </pic:cNvPicPr>
                  </pic:nvPicPr>
                  <pic:blipFill>
                    <a:blip r:embed="rId28"/>
                    <a:stretch>
                      <a:fillRect/>
                    </a:stretch>
                  </pic:blipFill>
                  <pic:spPr>
                    <a:xfrm>
                      <a:off x="0" y="0"/>
                      <a:ext cx="6116320" cy="5276850"/>
                    </a:xfrm>
                    <a:prstGeom prst="rect">
                      <a:avLst/>
                    </a:prstGeom>
                    <a:noFill/>
                    <a:ln>
                      <a:noFill/>
                    </a:ln>
                  </pic:spPr>
                </pic:pic>
              </a:graphicData>
            </a:graphic>
          </wp:inline>
        </w:drawing>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注1：表中凡列出编号的色样均根据国家标准GB/T3181《漆膜颜色标准》制定；</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注2：色样颜色仅供参考对比，具体实施应以有关国标为准；</w:t>
      </w:r>
    </w:p>
    <w:p>
      <w:pPr>
        <w:rPr>
          <w:highlight w:val="none"/>
        </w:rPr>
      </w:pPr>
    </w:p>
    <w:p>
      <w:pPr>
        <w:pStyle w:val="9"/>
        <w:ind w:left="480"/>
        <w:rPr>
          <w:highlight w:val="none"/>
        </w:rPr>
      </w:pPr>
    </w:p>
    <w:p>
      <w:pPr>
        <w:pStyle w:val="3"/>
        <w:rPr>
          <w:sz w:val="28"/>
          <w:szCs w:val="28"/>
          <w:highlight w:val="none"/>
        </w:rPr>
      </w:pPr>
      <w:bookmarkStart w:id="140" w:name="_Toc133335422"/>
      <w:r>
        <w:rPr>
          <w:sz w:val="28"/>
          <w:szCs w:val="28"/>
          <w:highlight w:val="none"/>
        </w:rPr>
        <w:t>8.3 管道检验要求</w:t>
      </w:r>
      <w:bookmarkEnd w:id="140"/>
    </w:p>
    <w:p>
      <w:pPr>
        <w:pStyle w:val="4"/>
        <w:rPr>
          <w:sz w:val="30"/>
          <w:szCs w:val="30"/>
          <w:highlight w:val="none"/>
        </w:rPr>
      </w:pPr>
      <w:bookmarkStart w:id="141" w:name="_Toc133335423"/>
      <w:r>
        <w:rPr>
          <w:sz w:val="30"/>
          <w:szCs w:val="30"/>
          <w:highlight w:val="none"/>
        </w:rPr>
        <w:t>8.3.1整体要求</w:t>
      </w:r>
      <w:bookmarkEnd w:id="141"/>
    </w:p>
    <w:p>
      <w:pPr>
        <w:rPr>
          <w:highlight w:val="none"/>
        </w:rPr>
      </w:pPr>
      <w:r>
        <w:rPr>
          <w:highlight w:val="none"/>
        </w:rPr>
        <w:t>8.3.1.1 焊接材质管道，所有焊缝的观感质量应外形均匀，成型应较好，焊道与焊道、焊道与母材之间应平滑过渡，焊渣和飞溅物应清除干净；</w:t>
      </w:r>
    </w:p>
    <w:p>
      <w:pPr>
        <w:rPr>
          <w:highlight w:val="none"/>
        </w:rPr>
      </w:pPr>
      <w:r>
        <w:rPr>
          <w:highlight w:val="none"/>
        </w:rPr>
        <w:t>8.3.1.2 气体管道试压之后，管道需做吹干处理。</w:t>
      </w:r>
    </w:p>
    <w:p>
      <w:pPr>
        <w:pStyle w:val="4"/>
        <w:rPr>
          <w:sz w:val="24"/>
          <w:szCs w:val="24"/>
          <w:highlight w:val="none"/>
        </w:rPr>
      </w:pPr>
      <w:bookmarkStart w:id="142" w:name="_Toc133335424"/>
      <w:r>
        <w:rPr>
          <w:sz w:val="24"/>
          <w:szCs w:val="24"/>
          <w:highlight w:val="none"/>
        </w:rPr>
        <w:t>8.3.2成品保护</w:t>
      </w:r>
      <w:bookmarkEnd w:id="142"/>
    </w:p>
    <w:p>
      <w:pPr>
        <w:rPr>
          <w:color w:val="000000"/>
          <w:highlight w:val="none"/>
        </w:rPr>
      </w:pPr>
      <w:r>
        <w:rPr>
          <w:color w:val="000000"/>
          <w:highlight w:val="none"/>
        </w:rPr>
        <w:t>8.3.2.1 原材料及阀门等堆放需注意防雨措施，预防生锈；</w:t>
      </w:r>
    </w:p>
    <w:p>
      <w:pPr>
        <w:rPr>
          <w:color w:val="000000"/>
          <w:highlight w:val="none"/>
        </w:rPr>
      </w:pPr>
      <w:r>
        <w:rPr>
          <w:color w:val="000000"/>
          <w:highlight w:val="none"/>
        </w:rPr>
        <w:t>8.3.2.2 原材料及阀门等应分类、分规格堆放整齐平直，水平位置上下一致，防止变形损坏、防止颠覆或倾倒；</w:t>
      </w:r>
    </w:p>
    <w:p>
      <w:pPr>
        <w:rPr>
          <w:color w:val="000000"/>
          <w:highlight w:val="none"/>
        </w:rPr>
      </w:pPr>
      <w:r>
        <w:rPr>
          <w:color w:val="000000"/>
          <w:highlight w:val="none"/>
        </w:rPr>
        <w:t>8.3.2.3 注意工序过程中的成品保护，合理、有序地进行穿插施工，确保工序产品不被污染或损坏；</w:t>
      </w:r>
    </w:p>
    <w:p>
      <w:pPr>
        <w:rPr>
          <w:color w:val="000000"/>
          <w:highlight w:val="none"/>
        </w:rPr>
      </w:pPr>
      <w:r>
        <w:rPr>
          <w:color w:val="000000"/>
          <w:highlight w:val="none"/>
        </w:rPr>
        <w:t>8.3.2.4 做好工序标识工作：在施工过程中对易受污染、破坏的成品、半成品，标识“正在施工，注意保护”标牌。采取护、包、盖等防护措施，对成品和半成品进行防护和并由专门负责人经常巡视检查，发现有保护措施损坏的，及时恢复。</w:t>
      </w:r>
    </w:p>
    <w:p>
      <w:pPr>
        <w:pStyle w:val="4"/>
        <w:rPr>
          <w:bCs/>
          <w:color w:val="000000"/>
          <w:highlight w:val="none"/>
        </w:rPr>
      </w:pPr>
      <w:bookmarkStart w:id="143" w:name="_Toc133335425"/>
      <w:r>
        <w:rPr>
          <w:highlight w:val="none"/>
        </w:rPr>
        <w:t>8.3.3</w:t>
      </w:r>
      <w:r>
        <w:rPr>
          <w:color w:val="000000"/>
          <w:highlight w:val="none"/>
        </w:rPr>
        <w:t>管路系统试压</w:t>
      </w:r>
      <w:bookmarkEnd w:id="143"/>
    </w:p>
    <w:p>
      <w:pPr>
        <w:rPr>
          <w:highlight w:val="none"/>
        </w:rPr>
      </w:pPr>
      <w:r>
        <w:rPr>
          <w:color w:val="000000"/>
          <w:highlight w:val="none"/>
        </w:rPr>
        <w:t>8.3.3.1 管道系统试压按《工业金属管道工程施工及验收规范》GB 50235的要求进行或者按照业主的要求进行。试验介质，试验压力见表1；</w:t>
      </w:r>
    </w:p>
    <w:tbl>
      <w:tblPr>
        <w:tblStyle w:val="16"/>
        <w:tblW w:w="9570" w:type="dxa"/>
        <w:tblInd w:w="0" w:type="dxa"/>
        <w:tblLayout w:type="fixed"/>
        <w:tblCellMar>
          <w:top w:w="0" w:type="dxa"/>
          <w:left w:w="108" w:type="dxa"/>
          <w:bottom w:w="0" w:type="dxa"/>
          <w:right w:w="108" w:type="dxa"/>
        </w:tblCellMar>
      </w:tblPr>
      <w:tblGrid>
        <w:gridCol w:w="2794"/>
        <w:gridCol w:w="1557"/>
        <w:gridCol w:w="1391"/>
        <w:gridCol w:w="1914"/>
        <w:gridCol w:w="1914"/>
      </w:tblGrid>
      <w:tr>
        <w:tblPrEx>
          <w:tblCellMar>
            <w:top w:w="0" w:type="dxa"/>
            <w:left w:w="108" w:type="dxa"/>
            <w:bottom w:w="0" w:type="dxa"/>
            <w:right w:w="108" w:type="dxa"/>
          </w:tblCellMar>
        </w:tblPrEx>
        <w:tc>
          <w:tcPr>
            <w:tcW w:w="2794" w:type="dxa"/>
            <w:vMerge w:val="restart"/>
            <w:noWrap w:val="0"/>
            <w:vAlign w:val="center"/>
          </w:tcPr>
          <w:p>
            <w:pPr>
              <w:jc w:val="center"/>
              <w:rPr>
                <w:szCs w:val="21"/>
                <w:highlight w:val="none"/>
              </w:rPr>
            </w:pPr>
            <w:r>
              <w:rPr>
                <w:szCs w:val="21"/>
                <w:highlight w:val="none"/>
              </w:rPr>
              <w:t>名称</w:t>
            </w:r>
          </w:p>
        </w:tc>
        <w:tc>
          <w:tcPr>
            <w:tcW w:w="2948" w:type="dxa"/>
            <w:gridSpan w:val="2"/>
            <w:noWrap w:val="0"/>
            <w:vAlign w:val="top"/>
          </w:tcPr>
          <w:p>
            <w:pPr>
              <w:jc w:val="center"/>
              <w:rPr>
                <w:szCs w:val="21"/>
                <w:highlight w:val="none"/>
              </w:rPr>
            </w:pPr>
            <w:r>
              <w:rPr>
                <w:szCs w:val="21"/>
                <w:highlight w:val="none"/>
              </w:rPr>
              <w:t>强度试验</w:t>
            </w:r>
          </w:p>
        </w:tc>
        <w:tc>
          <w:tcPr>
            <w:tcW w:w="3828" w:type="dxa"/>
            <w:gridSpan w:val="2"/>
            <w:noWrap w:val="0"/>
            <w:vAlign w:val="top"/>
          </w:tcPr>
          <w:p>
            <w:pPr>
              <w:jc w:val="center"/>
              <w:rPr>
                <w:szCs w:val="21"/>
                <w:highlight w:val="none"/>
              </w:rPr>
            </w:pPr>
            <w:r>
              <w:rPr>
                <w:szCs w:val="21"/>
                <w:highlight w:val="none"/>
              </w:rPr>
              <w:t>强度试验</w:t>
            </w:r>
          </w:p>
        </w:tc>
      </w:tr>
      <w:tr>
        <w:tblPrEx>
          <w:tblCellMar>
            <w:top w:w="0" w:type="dxa"/>
            <w:left w:w="108" w:type="dxa"/>
            <w:bottom w:w="0" w:type="dxa"/>
            <w:right w:w="108" w:type="dxa"/>
          </w:tblCellMar>
        </w:tblPrEx>
        <w:trPr>
          <w:trHeight w:val="494" w:hRule="atLeast"/>
        </w:trPr>
        <w:tc>
          <w:tcPr>
            <w:tcW w:w="2794" w:type="dxa"/>
            <w:vMerge w:val="continue"/>
            <w:noWrap w:val="0"/>
            <w:vAlign w:val="top"/>
          </w:tcPr>
          <w:p>
            <w:pPr>
              <w:jc w:val="center"/>
              <w:rPr>
                <w:szCs w:val="21"/>
                <w:highlight w:val="none"/>
              </w:rPr>
            </w:pPr>
          </w:p>
        </w:tc>
        <w:tc>
          <w:tcPr>
            <w:tcW w:w="1557" w:type="dxa"/>
            <w:noWrap w:val="0"/>
            <w:vAlign w:val="top"/>
          </w:tcPr>
          <w:p>
            <w:pPr>
              <w:jc w:val="center"/>
              <w:rPr>
                <w:szCs w:val="21"/>
                <w:highlight w:val="none"/>
              </w:rPr>
            </w:pPr>
            <w:r>
              <w:rPr>
                <w:szCs w:val="21"/>
                <w:highlight w:val="none"/>
              </w:rPr>
              <w:t>压力(MPa)</w:t>
            </w:r>
          </w:p>
        </w:tc>
        <w:tc>
          <w:tcPr>
            <w:tcW w:w="1391" w:type="dxa"/>
            <w:noWrap w:val="0"/>
            <w:vAlign w:val="top"/>
          </w:tcPr>
          <w:p>
            <w:pPr>
              <w:jc w:val="center"/>
              <w:rPr>
                <w:szCs w:val="21"/>
                <w:highlight w:val="none"/>
              </w:rPr>
            </w:pPr>
            <w:r>
              <w:rPr>
                <w:szCs w:val="21"/>
                <w:highlight w:val="none"/>
              </w:rPr>
              <w:t>试验介质</w:t>
            </w:r>
          </w:p>
        </w:tc>
        <w:tc>
          <w:tcPr>
            <w:tcW w:w="1914" w:type="dxa"/>
            <w:noWrap w:val="0"/>
            <w:vAlign w:val="top"/>
          </w:tcPr>
          <w:p>
            <w:pPr>
              <w:jc w:val="center"/>
              <w:rPr>
                <w:szCs w:val="21"/>
                <w:highlight w:val="none"/>
              </w:rPr>
            </w:pPr>
            <w:r>
              <w:rPr>
                <w:szCs w:val="21"/>
                <w:highlight w:val="none"/>
              </w:rPr>
              <w:t>压力(MPa)</w:t>
            </w:r>
          </w:p>
        </w:tc>
        <w:tc>
          <w:tcPr>
            <w:tcW w:w="1914" w:type="dxa"/>
            <w:noWrap w:val="0"/>
            <w:vAlign w:val="top"/>
          </w:tcPr>
          <w:p>
            <w:pPr>
              <w:jc w:val="center"/>
              <w:rPr>
                <w:szCs w:val="21"/>
                <w:highlight w:val="none"/>
              </w:rPr>
            </w:pPr>
            <w:r>
              <w:rPr>
                <w:szCs w:val="21"/>
                <w:highlight w:val="none"/>
              </w:rPr>
              <w:t>试验介质</w:t>
            </w:r>
          </w:p>
        </w:tc>
      </w:tr>
      <w:tr>
        <w:tblPrEx>
          <w:tblCellMar>
            <w:top w:w="0" w:type="dxa"/>
            <w:left w:w="108" w:type="dxa"/>
            <w:bottom w:w="0" w:type="dxa"/>
            <w:right w:w="108" w:type="dxa"/>
          </w:tblCellMar>
        </w:tblPrEx>
        <w:tc>
          <w:tcPr>
            <w:tcW w:w="2794" w:type="dxa"/>
            <w:noWrap w:val="0"/>
            <w:vAlign w:val="top"/>
          </w:tcPr>
          <w:p>
            <w:pPr>
              <w:rPr>
                <w:szCs w:val="21"/>
                <w:highlight w:val="none"/>
              </w:rPr>
            </w:pPr>
            <w:r>
              <w:rPr>
                <w:rFonts w:ascii="宋体" w:hAnsi="宋体" w:cs="宋体"/>
                <w:szCs w:val="21"/>
                <w:highlight w:val="none"/>
              </w:rPr>
              <w:t>蒸气管道系统1.25MPa</w:t>
            </w:r>
          </w:p>
        </w:tc>
        <w:tc>
          <w:tcPr>
            <w:tcW w:w="1557" w:type="dxa"/>
            <w:noWrap w:val="0"/>
            <w:vAlign w:val="top"/>
          </w:tcPr>
          <w:p>
            <w:pPr>
              <w:jc w:val="center"/>
              <w:rPr>
                <w:szCs w:val="21"/>
                <w:highlight w:val="none"/>
              </w:rPr>
            </w:pPr>
            <w:r>
              <w:rPr>
                <w:rFonts w:hint="eastAsia"/>
                <w:szCs w:val="21"/>
                <w:highlight w:val="none"/>
              </w:rPr>
              <w:t>1.9</w:t>
            </w:r>
          </w:p>
        </w:tc>
        <w:tc>
          <w:tcPr>
            <w:tcW w:w="1391" w:type="dxa"/>
            <w:noWrap w:val="0"/>
            <w:vAlign w:val="top"/>
          </w:tcPr>
          <w:p>
            <w:pPr>
              <w:jc w:val="center"/>
              <w:rPr>
                <w:szCs w:val="21"/>
                <w:highlight w:val="none"/>
              </w:rPr>
            </w:pPr>
            <w:r>
              <w:rPr>
                <w:rFonts w:hint="eastAsia"/>
                <w:szCs w:val="21"/>
                <w:highlight w:val="none"/>
              </w:rPr>
              <w:t>自来水</w:t>
            </w:r>
          </w:p>
        </w:tc>
        <w:tc>
          <w:tcPr>
            <w:tcW w:w="1914" w:type="dxa"/>
            <w:noWrap w:val="0"/>
            <w:vAlign w:val="top"/>
          </w:tcPr>
          <w:p>
            <w:pPr>
              <w:jc w:val="center"/>
              <w:rPr>
                <w:szCs w:val="21"/>
                <w:highlight w:val="none"/>
              </w:rPr>
            </w:pPr>
            <w:r>
              <w:rPr>
                <w:rFonts w:hint="eastAsia"/>
                <w:szCs w:val="21"/>
                <w:highlight w:val="none"/>
              </w:rPr>
              <w:t>1.4</w:t>
            </w:r>
          </w:p>
        </w:tc>
        <w:tc>
          <w:tcPr>
            <w:tcW w:w="1914" w:type="dxa"/>
            <w:noWrap w:val="0"/>
            <w:vAlign w:val="top"/>
          </w:tcPr>
          <w:p>
            <w:pPr>
              <w:jc w:val="center"/>
              <w:rPr>
                <w:szCs w:val="21"/>
                <w:highlight w:val="none"/>
              </w:rPr>
            </w:pPr>
            <w:r>
              <w:rPr>
                <w:rFonts w:hint="eastAsia"/>
                <w:szCs w:val="21"/>
                <w:highlight w:val="none"/>
              </w:rPr>
              <w:t>自来水</w:t>
            </w:r>
          </w:p>
        </w:tc>
      </w:tr>
      <w:tr>
        <w:tblPrEx>
          <w:tblCellMar>
            <w:top w:w="0" w:type="dxa"/>
            <w:left w:w="108" w:type="dxa"/>
            <w:bottom w:w="0" w:type="dxa"/>
            <w:right w:w="108" w:type="dxa"/>
          </w:tblCellMar>
        </w:tblPrEx>
        <w:tc>
          <w:tcPr>
            <w:tcW w:w="2794" w:type="dxa"/>
            <w:noWrap w:val="0"/>
            <w:vAlign w:val="top"/>
          </w:tcPr>
          <w:p>
            <w:pPr>
              <w:tabs>
                <w:tab w:val="left" w:pos="515"/>
              </w:tabs>
              <w:jc w:val="left"/>
              <w:rPr>
                <w:szCs w:val="21"/>
                <w:highlight w:val="none"/>
              </w:rPr>
            </w:pPr>
            <w:r>
              <w:rPr>
                <w:rFonts w:ascii="宋体" w:hAnsi="宋体" w:cs="宋体"/>
                <w:szCs w:val="21"/>
                <w:highlight w:val="none"/>
              </w:rPr>
              <w:t>蒸气管道系统</w:t>
            </w:r>
            <w:r>
              <w:rPr>
                <w:rFonts w:hint="eastAsia" w:ascii="宋体" w:hAnsi="宋体" w:cs="宋体"/>
                <w:szCs w:val="21"/>
                <w:highlight w:val="none"/>
              </w:rPr>
              <w:t>0.4</w:t>
            </w:r>
            <w:r>
              <w:rPr>
                <w:rFonts w:ascii="宋体" w:hAnsi="宋体" w:cs="宋体"/>
                <w:szCs w:val="21"/>
                <w:highlight w:val="none"/>
              </w:rPr>
              <w:t>MPa</w:t>
            </w:r>
          </w:p>
        </w:tc>
        <w:tc>
          <w:tcPr>
            <w:tcW w:w="1557" w:type="dxa"/>
            <w:noWrap w:val="0"/>
            <w:vAlign w:val="top"/>
          </w:tcPr>
          <w:p>
            <w:pPr>
              <w:jc w:val="center"/>
              <w:rPr>
                <w:szCs w:val="21"/>
                <w:highlight w:val="none"/>
              </w:rPr>
            </w:pPr>
            <w:r>
              <w:rPr>
                <w:rFonts w:hint="eastAsia"/>
                <w:szCs w:val="21"/>
                <w:highlight w:val="none"/>
              </w:rPr>
              <w:t>0.75</w:t>
            </w:r>
          </w:p>
        </w:tc>
        <w:tc>
          <w:tcPr>
            <w:tcW w:w="1391" w:type="dxa"/>
            <w:noWrap w:val="0"/>
            <w:vAlign w:val="top"/>
          </w:tcPr>
          <w:p>
            <w:pPr>
              <w:jc w:val="center"/>
              <w:rPr>
                <w:szCs w:val="21"/>
                <w:highlight w:val="none"/>
              </w:rPr>
            </w:pPr>
            <w:r>
              <w:rPr>
                <w:rFonts w:hint="eastAsia"/>
                <w:szCs w:val="21"/>
                <w:highlight w:val="none"/>
              </w:rPr>
              <w:t>自来水</w:t>
            </w:r>
          </w:p>
        </w:tc>
        <w:tc>
          <w:tcPr>
            <w:tcW w:w="1914" w:type="dxa"/>
            <w:noWrap w:val="0"/>
            <w:vAlign w:val="top"/>
          </w:tcPr>
          <w:p>
            <w:pPr>
              <w:jc w:val="center"/>
              <w:rPr>
                <w:szCs w:val="21"/>
                <w:highlight w:val="none"/>
              </w:rPr>
            </w:pPr>
            <w:r>
              <w:rPr>
                <w:rFonts w:hint="eastAsia"/>
                <w:szCs w:val="21"/>
                <w:highlight w:val="none"/>
              </w:rPr>
              <w:t>0.5</w:t>
            </w:r>
          </w:p>
        </w:tc>
        <w:tc>
          <w:tcPr>
            <w:tcW w:w="1914" w:type="dxa"/>
            <w:noWrap w:val="0"/>
            <w:vAlign w:val="top"/>
          </w:tcPr>
          <w:p>
            <w:pPr>
              <w:jc w:val="center"/>
              <w:rPr>
                <w:szCs w:val="21"/>
                <w:highlight w:val="none"/>
              </w:rPr>
            </w:pPr>
            <w:r>
              <w:rPr>
                <w:rFonts w:hint="eastAsia"/>
                <w:szCs w:val="21"/>
                <w:highlight w:val="none"/>
              </w:rPr>
              <w:t>自来水</w:t>
            </w:r>
          </w:p>
        </w:tc>
      </w:tr>
      <w:tr>
        <w:tblPrEx>
          <w:tblCellMar>
            <w:top w:w="0" w:type="dxa"/>
            <w:left w:w="108" w:type="dxa"/>
            <w:bottom w:w="0" w:type="dxa"/>
            <w:right w:w="108" w:type="dxa"/>
          </w:tblCellMar>
        </w:tblPrEx>
        <w:tc>
          <w:tcPr>
            <w:tcW w:w="2794" w:type="dxa"/>
            <w:noWrap w:val="0"/>
            <w:vAlign w:val="top"/>
          </w:tcPr>
          <w:p>
            <w:pPr>
              <w:jc w:val="center"/>
              <w:rPr>
                <w:szCs w:val="21"/>
                <w:highlight w:val="none"/>
              </w:rPr>
            </w:pPr>
            <w:r>
              <w:rPr>
                <w:szCs w:val="21"/>
                <w:highlight w:val="none"/>
              </w:rPr>
              <w:t>压缩空气系统</w:t>
            </w:r>
          </w:p>
        </w:tc>
        <w:tc>
          <w:tcPr>
            <w:tcW w:w="1557" w:type="dxa"/>
            <w:noWrap w:val="0"/>
            <w:vAlign w:val="top"/>
          </w:tcPr>
          <w:p>
            <w:pPr>
              <w:jc w:val="center"/>
              <w:rPr>
                <w:szCs w:val="21"/>
                <w:highlight w:val="none"/>
              </w:rPr>
            </w:pPr>
            <w:r>
              <w:rPr>
                <w:szCs w:val="21"/>
                <w:highlight w:val="none"/>
              </w:rPr>
              <w:t>1.5</w:t>
            </w:r>
          </w:p>
        </w:tc>
        <w:tc>
          <w:tcPr>
            <w:tcW w:w="1391" w:type="dxa"/>
            <w:noWrap w:val="0"/>
            <w:vAlign w:val="top"/>
          </w:tcPr>
          <w:p>
            <w:pPr>
              <w:jc w:val="center"/>
              <w:rPr>
                <w:szCs w:val="21"/>
                <w:highlight w:val="none"/>
              </w:rPr>
            </w:pPr>
            <w:r>
              <w:rPr>
                <w:szCs w:val="21"/>
                <w:highlight w:val="none"/>
              </w:rPr>
              <w:t>压缩空气</w:t>
            </w:r>
          </w:p>
        </w:tc>
        <w:tc>
          <w:tcPr>
            <w:tcW w:w="1914" w:type="dxa"/>
            <w:noWrap w:val="0"/>
            <w:vAlign w:val="top"/>
          </w:tcPr>
          <w:p>
            <w:pPr>
              <w:jc w:val="center"/>
              <w:rPr>
                <w:szCs w:val="21"/>
                <w:highlight w:val="none"/>
              </w:rPr>
            </w:pPr>
            <w:r>
              <w:rPr>
                <w:szCs w:val="21"/>
                <w:highlight w:val="none"/>
              </w:rPr>
              <w:t>1.0</w:t>
            </w:r>
          </w:p>
        </w:tc>
        <w:tc>
          <w:tcPr>
            <w:tcW w:w="1914" w:type="dxa"/>
            <w:noWrap w:val="0"/>
            <w:vAlign w:val="top"/>
          </w:tcPr>
          <w:p>
            <w:pPr>
              <w:jc w:val="center"/>
              <w:rPr>
                <w:szCs w:val="21"/>
                <w:highlight w:val="none"/>
              </w:rPr>
            </w:pPr>
            <w:r>
              <w:rPr>
                <w:szCs w:val="21"/>
                <w:highlight w:val="none"/>
              </w:rPr>
              <w:t>压缩空气</w:t>
            </w:r>
          </w:p>
        </w:tc>
      </w:tr>
      <w:tr>
        <w:tblPrEx>
          <w:tblCellMar>
            <w:top w:w="0" w:type="dxa"/>
            <w:left w:w="108" w:type="dxa"/>
            <w:bottom w:w="0" w:type="dxa"/>
            <w:right w:w="108" w:type="dxa"/>
          </w:tblCellMar>
        </w:tblPrEx>
        <w:tc>
          <w:tcPr>
            <w:tcW w:w="2794" w:type="dxa"/>
            <w:noWrap w:val="0"/>
            <w:vAlign w:val="top"/>
          </w:tcPr>
          <w:p>
            <w:pPr>
              <w:jc w:val="center"/>
              <w:rPr>
                <w:szCs w:val="21"/>
                <w:highlight w:val="none"/>
              </w:rPr>
            </w:pPr>
            <w:r>
              <w:rPr>
                <w:szCs w:val="21"/>
                <w:highlight w:val="none"/>
              </w:rPr>
              <w:t>氮气管道系统</w:t>
            </w:r>
          </w:p>
        </w:tc>
        <w:tc>
          <w:tcPr>
            <w:tcW w:w="1557" w:type="dxa"/>
            <w:noWrap w:val="0"/>
            <w:vAlign w:val="top"/>
          </w:tcPr>
          <w:p>
            <w:pPr>
              <w:jc w:val="center"/>
              <w:rPr>
                <w:szCs w:val="21"/>
                <w:highlight w:val="none"/>
              </w:rPr>
            </w:pPr>
            <w:r>
              <w:rPr>
                <w:szCs w:val="21"/>
                <w:highlight w:val="none"/>
              </w:rPr>
              <w:t>1.0</w:t>
            </w:r>
          </w:p>
        </w:tc>
        <w:tc>
          <w:tcPr>
            <w:tcW w:w="1391" w:type="dxa"/>
            <w:noWrap w:val="0"/>
            <w:vAlign w:val="top"/>
          </w:tcPr>
          <w:p>
            <w:pPr>
              <w:jc w:val="center"/>
              <w:rPr>
                <w:szCs w:val="21"/>
                <w:highlight w:val="none"/>
              </w:rPr>
            </w:pPr>
            <w:r>
              <w:rPr>
                <w:szCs w:val="21"/>
                <w:highlight w:val="none"/>
              </w:rPr>
              <w:t>压缩空气</w:t>
            </w:r>
          </w:p>
        </w:tc>
        <w:tc>
          <w:tcPr>
            <w:tcW w:w="1914" w:type="dxa"/>
            <w:noWrap w:val="0"/>
            <w:vAlign w:val="top"/>
          </w:tcPr>
          <w:p>
            <w:pPr>
              <w:jc w:val="center"/>
              <w:rPr>
                <w:szCs w:val="21"/>
                <w:highlight w:val="none"/>
              </w:rPr>
            </w:pPr>
            <w:r>
              <w:rPr>
                <w:szCs w:val="21"/>
                <w:highlight w:val="none"/>
              </w:rPr>
              <w:t>0.8</w:t>
            </w:r>
          </w:p>
        </w:tc>
        <w:tc>
          <w:tcPr>
            <w:tcW w:w="1914" w:type="dxa"/>
            <w:noWrap w:val="0"/>
            <w:vAlign w:val="top"/>
          </w:tcPr>
          <w:p>
            <w:pPr>
              <w:jc w:val="center"/>
              <w:rPr>
                <w:szCs w:val="21"/>
                <w:highlight w:val="none"/>
              </w:rPr>
            </w:pPr>
            <w:r>
              <w:rPr>
                <w:szCs w:val="21"/>
                <w:highlight w:val="none"/>
              </w:rPr>
              <w:t>压缩空气</w:t>
            </w:r>
          </w:p>
        </w:tc>
      </w:tr>
      <w:tr>
        <w:tblPrEx>
          <w:tblCellMar>
            <w:top w:w="0" w:type="dxa"/>
            <w:left w:w="108" w:type="dxa"/>
            <w:bottom w:w="0" w:type="dxa"/>
            <w:right w:w="108" w:type="dxa"/>
          </w:tblCellMar>
        </w:tblPrEx>
        <w:tc>
          <w:tcPr>
            <w:tcW w:w="2794" w:type="dxa"/>
            <w:noWrap w:val="0"/>
            <w:vAlign w:val="top"/>
          </w:tcPr>
          <w:p>
            <w:pPr>
              <w:jc w:val="center"/>
              <w:rPr>
                <w:szCs w:val="21"/>
                <w:highlight w:val="none"/>
              </w:rPr>
            </w:pPr>
            <w:r>
              <w:rPr>
                <w:szCs w:val="21"/>
                <w:highlight w:val="none"/>
              </w:rPr>
              <w:t>真空管道</w:t>
            </w:r>
          </w:p>
        </w:tc>
        <w:tc>
          <w:tcPr>
            <w:tcW w:w="1557" w:type="dxa"/>
            <w:noWrap w:val="0"/>
            <w:vAlign w:val="top"/>
          </w:tcPr>
          <w:p>
            <w:pPr>
              <w:jc w:val="center"/>
              <w:rPr>
                <w:szCs w:val="21"/>
                <w:highlight w:val="none"/>
              </w:rPr>
            </w:pPr>
            <w:r>
              <w:rPr>
                <w:szCs w:val="21"/>
                <w:highlight w:val="none"/>
              </w:rPr>
              <w:t>0.2</w:t>
            </w:r>
          </w:p>
        </w:tc>
        <w:tc>
          <w:tcPr>
            <w:tcW w:w="1391" w:type="dxa"/>
            <w:noWrap w:val="0"/>
            <w:vAlign w:val="top"/>
          </w:tcPr>
          <w:p>
            <w:pPr>
              <w:jc w:val="center"/>
              <w:rPr>
                <w:szCs w:val="21"/>
                <w:highlight w:val="none"/>
              </w:rPr>
            </w:pPr>
            <w:r>
              <w:rPr>
                <w:szCs w:val="21"/>
                <w:highlight w:val="none"/>
              </w:rPr>
              <w:t>/</w:t>
            </w:r>
          </w:p>
        </w:tc>
        <w:tc>
          <w:tcPr>
            <w:tcW w:w="1914" w:type="dxa"/>
            <w:noWrap w:val="0"/>
            <w:vAlign w:val="top"/>
          </w:tcPr>
          <w:p>
            <w:pPr>
              <w:jc w:val="center"/>
              <w:rPr>
                <w:szCs w:val="21"/>
                <w:highlight w:val="none"/>
              </w:rPr>
            </w:pPr>
            <w:r>
              <w:rPr>
                <w:szCs w:val="21"/>
                <w:highlight w:val="none"/>
              </w:rPr>
              <w:t>/</w:t>
            </w:r>
          </w:p>
        </w:tc>
        <w:tc>
          <w:tcPr>
            <w:tcW w:w="1914" w:type="dxa"/>
            <w:noWrap w:val="0"/>
            <w:vAlign w:val="top"/>
          </w:tcPr>
          <w:p>
            <w:pPr>
              <w:jc w:val="center"/>
              <w:rPr>
                <w:szCs w:val="21"/>
                <w:highlight w:val="none"/>
              </w:rPr>
            </w:pPr>
            <w:r>
              <w:rPr>
                <w:szCs w:val="21"/>
                <w:highlight w:val="none"/>
              </w:rPr>
              <w:t>/</w:t>
            </w:r>
          </w:p>
        </w:tc>
      </w:tr>
    </w:tbl>
    <w:p>
      <w:pPr>
        <w:rPr>
          <w:highlight w:val="none"/>
        </w:rPr>
      </w:pPr>
      <w:r>
        <w:rPr>
          <w:color w:val="000000"/>
          <w:highlight w:val="none"/>
        </w:rPr>
        <w:t>8.3.3.2 气压试验应在环境温度高于5℃时的条件下进行；</w:t>
      </w:r>
    </w:p>
    <w:p>
      <w:pPr>
        <w:rPr>
          <w:color w:val="000000"/>
          <w:highlight w:val="none"/>
        </w:rPr>
      </w:pPr>
      <w:r>
        <w:rPr>
          <w:color w:val="000000"/>
          <w:highlight w:val="none"/>
        </w:rPr>
        <w:t>8.3.3.3 压缩空气管道压力试验合格后，应分段进行吹扫。一般用压缩空气吹扫，对于干燥压缩空气管道则采用无油干燥压缩空气吹扫，吹扫气流速度20m/s，吹扫气压不得超过管道系统设计压力，在排气口用白布或白色靶板检查，5min内靶板上无铁锈、尘土、水分及其他杂物应为合格</w:t>
      </w:r>
      <w:r>
        <w:rPr>
          <w:rFonts w:hint="eastAsia"/>
          <w:color w:val="000000"/>
          <w:highlight w:val="none"/>
        </w:rPr>
        <w:t>；</w:t>
      </w:r>
    </w:p>
    <w:p>
      <w:pPr>
        <w:pStyle w:val="9"/>
        <w:ind w:left="0"/>
        <w:rPr>
          <w:szCs w:val="22"/>
          <w:highlight w:val="none"/>
        </w:rPr>
      </w:pPr>
      <w:r>
        <w:rPr>
          <w:szCs w:val="22"/>
          <w:highlight w:val="none"/>
        </w:rPr>
        <w:t>8.3.3.</w:t>
      </w:r>
      <w:r>
        <w:rPr>
          <w:rFonts w:hint="eastAsia"/>
          <w:szCs w:val="22"/>
          <w:highlight w:val="none"/>
        </w:rPr>
        <w:t xml:space="preserve">4 </w:t>
      </w:r>
      <w:r>
        <w:rPr>
          <w:szCs w:val="22"/>
          <w:highlight w:val="none"/>
        </w:rPr>
        <w:t>吹扫完毕后，对于不及时投入运行的干燥压缩空气管道系统应充氮保护，充氮压力0.2MPa。</w:t>
      </w:r>
    </w:p>
    <w:p>
      <w:pPr>
        <w:pStyle w:val="3"/>
        <w:rPr>
          <w:sz w:val="28"/>
          <w:szCs w:val="28"/>
          <w:highlight w:val="none"/>
        </w:rPr>
      </w:pPr>
      <w:bookmarkStart w:id="144" w:name="_Toc133335426"/>
      <w:r>
        <w:rPr>
          <w:sz w:val="28"/>
          <w:szCs w:val="28"/>
          <w:highlight w:val="none"/>
        </w:rPr>
        <w:t>九、室内装修工程技术要求</w:t>
      </w:r>
      <w:bookmarkEnd w:id="144"/>
    </w:p>
    <w:p>
      <w:pPr>
        <w:ind w:firstLine="420" w:firstLineChars="200"/>
        <w:rPr>
          <w:color w:val="000000"/>
          <w:highlight w:val="none"/>
        </w:rPr>
      </w:pPr>
      <w:r>
        <w:rPr>
          <w:color w:val="000000"/>
          <w:szCs w:val="24"/>
          <w:highlight w:val="none"/>
        </w:rPr>
        <w:t>装修装饰工程主要包含各车间地面、隔墙、吊顶、门、窗、照明、插座等材料采购及其安装工程。各部分技术要求如下：</w:t>
      </w:r>
    </w:p>
    <w:p>
      <w:pPr>
        <w:pStyle w:val="3"/>
        <w:rPr>
          <w:sz w:val="28"/>
          <w:szCs w:val="28"/>
          <w:highlight w:val="none"/>
        </w:rPr>
      </w:pPr>
      <w:bookmarkStart w:id="145" w:name="_Toc133335427"/>
      <w:r>
        <w:rPr>
          <w:sz w:val="28"/>
          <w:szCs w:val="28"/>
          <w:highlight w:val="none"/>
        </w:rPr>
        <w:t>9.1. 防水材料</w:t>
      </w:r>
      <w:bookmarkEnd w:id="145"/>
    </w:p>
    <w:p>
      <w:pPr>
        <w:pStyle w:val="4"/>
        <w:rPr>
          <w:sz w:val="24"/>
          <w:szCs w:val="24"/>
          <w:highlight w:val="none"/>
        </w:rPr>
      </w:pPr>
      <w:bookmarkStart w:id="146" w:name="_Toc133335428"/>
      <w:r>
        <w:rPr>
          <w:sz w:val="24"/>
          <w:szCs w:val="24"/>
          <w:highlight w:val="none"/>
        </w:rPr>
        <w:t>9.1.1弹性体改性沥青防水卷材（SBS）</w:t>
      </w:r>
      <w:bookmarkEnd w:id="146"/>
    </w:p>
    <w:p>
      <w:pPr>
        <w:rPr>
          <w:highlight w:val="none"/>
        </w:rPr>
      </w:pPr>
      <w:r>
        <w:rPr>
          <w:highlight w:val="none"/>
        </w:rPr>
        <w:t>9.1.1.1雨、雪天及五级以上大风天严禁施工。</w:t>
      </w:r>
    </w:p>
    <w:p>
      <w:pPr>
        <w:rPr>
          <w:highlight w:val="none"/>
        </w:rPr>
      </w:pPr>
      <w:r>
        <w:rPr>
          <w:highlight w:val="none"/>
        </w:rPr>
        <w:t>9.1.1.2施工环境气温不宜低于0℃。</w:t>
      </w:r>
    </w:p>
    <w:p>
      <w:pPr>
        <w:rPr>
          <w:highlight w:val="none"/>
        </w:rPr>
      </w:pPr>
      <w:r>
        <w:rPr>
          <w:highlight w:val="none"/>
        </w:rPr>
        <w:t>9.1.1.3施工过程中发生降水时，应做好已铺卷材的防护工作。</w:t>
      </w:r>
    </w:p>
    <w:p>
      <w:pPr>
        <w:rPr>
          <w:highlight w:val="none"/>
        </w:rPr>
      </w:pPr>
      <w:r>
        <w:rPr>
          <w:highlight w:val="none"/>
        </w:rPr>
        <w:t>9.1.1.4施工现场安全防护设施齐全，按规定放置消防器材。</w:t>
      </w:r>
    </w:p>
    <w:p>
      <w:pPr>
        <w:rPr>
          <w:highlight w:val="none"/>
        </w:rPr>
      </w:pPr>
      <w:r>
        <w:rPr>
          <w:highlight w:val="none"/>
        </w:rPr>
        <w:t>9.1.1.5产品在使用过程中宜使用液化气、乙醇为燃料或电加热进行焊接。</w:t>
      </w:r>
    </w:p>
    <w:p>
      <w:pPr>
        <w:rPr>
          <w:highlight w:val="none"/>
        </w:rPr>
      </w:pPr>
      <w:r>
        <w:rPr>
          <w:highlight w:val="none"/>
        </w:rPr>
        <w:t>9.1.1.6贮存与运输时，不同类型、规格的产品应分别堆放，不应混杂。避免日晒雨淋，注意通风。储存温度不应高于50℃，立放贮存，高度不超过两层。</w:t>
      </w:r>
    </w:p>
    <w:p>
      <w:pPr>
        <w:rPr>
          <w:highlight w:val="none"/>
        </w:rPr>
      </w:pPr>
      <w:r>
        <w:rPr>
          <w:highlight w:val="none"/>
        </w:rPr>
        <w:t>9.1.1.7在正常贮存、运输条件下，贮存期自生产日期起为一年。</w:t>
      </w:r>
    </w:p>
    <w:p>
      <w:pPr>
        <w:pStyle w:val="4"/>
        <w:rPr>
          <w:sz w:val="24"/>
          <w:szCs w:val="24"/>
          <w:highlight w:val="none"/>
        </w:rPr>
      </w:pPr>
      <w:bookmarkStart w:id="147" w:name="_Toc133335429"/>
      <w:r>
        <w:rPr>
          <w:sz w:val="24"/>
          <w:szCs w:val="24"/>
          <w:highlight w:val="none"/>
        </w:rPr>
        <w:t>9.1.2聚合物水泥基防水</w:t>
      </w:r>
      <w:bookmarkEnd w:id="147"/>
    </w:p>
    <w:p>
      <w:pPr>
        <w:rPr>
          <w:highlight w:val="none"/>
        </w:rPr>
      </w:pPr>
      <w:r>
        <w:rPr>
          <w:highlight w:val="none"/>
        </w:rPr>
        <w:t>9.1.2.1聚合物水泥防水涂料产品执行GB/T 23445-2009《聚合物水泥防水涂料》要求，详见表1。</w:t>
      </w:r>
    </w:p>
    <w:p>
      <w:pPr>
        <w:jc w:val="center"/>
        <w:rPr>
          <w:highlight w:val="none"/>
        </w:rPr>
      </w:pPr>
      <w:r>
        <w:rPr>
          <w:highlight w:val="none"/>
        </w:rPr>
        <w:t>表1材料性能</w:t>
      </w:r>
    </w:p>
    <w:tbl>
      <w:tblPr>
        <w:tblStyle w:val="1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72"/>
        <w:gridCol w:w="1578"/>
        <w:gridCol w:w="1425"/>
        <w:gridCol w:w="1425"/>
        <w:gridCol w:w="105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序号</w:t>
            </w:r>
          </w:p>
        </w:tc>
        <w:tc>
          <w:tcPr>
            <w:tcW w:w="2850" w:type="dxa"/>
            <w:gridSpan w:val="2"/>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2850"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技术指标</w:t>
            </w:r>
          </w:p>
        </w:tc>
        <w:tc>
          <w:tcPr>
            <w:tcW w:w="2100" w:type="dxa"/>
            <w:gridSpan w:val="2"/>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实测数据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850" w:type="dxa"/>
            <w:gridSpan w:val="2"/>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42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I型</w:t>
            </w:r>
          </w:p>
        </w:tc>
        <w:tc>
          <w:tcPr>
            <w:tcW w:w="142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Ⅱ型</w:t>
            </w:r>
          </w:p>
        </w:tc>
        <w:tc>
          <w:tcPr>
            <w:tcW w:w="2100" w:type="dxa"/>
            <w:gridSpan w:val="2"/>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固体含量% ≥</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65</w:t>
            </w:r>
          </w:p>
        </w:tc>
        <w:tc>
          <w:tcPr>
            <w:tcW w:w="210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1272"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干燥时间</w:t>
            </w:r>
          </w:p>
        </w:tc>
        <w:tc>
          <w:tcPr>
            <w:tcW w:w="15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表干时间h≤</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2100"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272"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57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实干时间h≤</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w:t>
            </w:r>
          </w:p>
        </w:tc>
        <w:tc>
          <w:tcPr>
            <w:tcW w:w="210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抗拉强度MPa≥</w:t>
            </w:r>
          </w:p>
        </w:tc>
        <w:tc>
          <w:tcPr>
            <w:tcW w:w="142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1.2</w:t>
            </w:r>
          </w:p>
        </w:tc>
        <w:tc>
          <w:tcPr>
            <w:tcW w:w="142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1.8</w:t>
            </w:r>
          </w:p>
        </w:tc>
        <w:tc>
          <w:tcPr>
            <w:tcW w:w="10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2.0</w:t>
            </w:r>
          </w:p>
        </w:tc>
        <w:tc>
          <w:tcPr>
            <w:tcW w:w="10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jc w:val="center"/>
              <w:rPr>
                <w:szCs w:val="21"/>
                <w:highlight w:val="none"/>
              </w:rPr>
            </w:pPr>
            <w:r>
              <w:rPr>
                <w:szCs w:val="21"/>
                <w:highlight w:val="non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断裂延伸率%≥</w:t>
            </w:r>
          </w:p>
        </w:tc>
        <w:tc>
          <w:tcPr>
            <w:tcW w:w="142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200</w:t>
            </w:r>
          </w:p>
        </w:tc>
        <w:tc>
          <w:tcPr>
            <w:tcW w:w="142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80</w:t>
            </w:r>
          </w:p>
        </w:tc>
        <w:tc>
          <w:tcPr>
            <w:tcW w:w="10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350</w:t>
            </w:r>
          </w:p>
        </w:tc>
        <w:tc>
          <w:tcPr>
            <w:tcW w:w="10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低温柔性℃</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c>
          <w:tcPr>
            <w:tcW w:w="210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不透水性能0.3MPa30min</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不透水</w:t>
            </w:r>
          </w:p>
        </w:tc>
        <w:tc>
          <w:tcPr>
            <w:tcW w:w="210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w:t>
            </w:r>
          </w:p>
        </w:tc>
        <w:tc>
          <w:tcPr>
            <w:tcW w:w="285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湿面粘结强度Mpa</w:t>
            </w:r>
          </w:p>
        </w:tc>
        <w:tc>
          <w:tcPr>
            <w:tcW w:w="142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0.5</w:t>
            </w:r>
          </w:p>
        </w:tc>
        <w:tc>
          <w:tcPr>
            <w:tcW w:w="142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c>
          <w:tcPr>
            <w:tcW w:w="10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1.3</w:t>
            </w:r>
          </w:p>
        </w:tc>
        <w:tc>
          <w:tcPr>
            <w:tcW w:w="10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1.6</w:t>
            </w:r>
          </w:p>
        </w:tc>
      </w:tr>
    </w:tbl>
    <w:p>
      <w:pPr>
        <w:rPr>
          <w:b/>
          <w:highlight w:val="none"/>
        </w:rPr>
      </w:pPr>
      <w:r>
        <w:rPr>
          <w:b/>
          <w:highlight w:val="none"/>
        </w:rPr>
        <w:t>9.1.2.2注意事项</w:t>
      </w:r>
    </w:p>
    <w:p>
      <w:pPr>
        <w:numPr>
          <w:ilvl w:val="0"/>
          <w:numId w:val="33"/>
        </w:numPr>
        <w:spacing w:line="360" w:lineRule="auto"/>
        <w:rPr>
          <w:highlight w:val="none"/>
        </w:rPr>
      </w:pPr>
      <w:r>
        <w:rPr>
          <w:highlight w:val="none"/>
        </w:rPr>
        <w:t>施工温度5℃～ 35℃，防止材料冻损、热损。</w:t>
      </w:r>
    </w:p>
    <w:p>
      <w:pPr>
        <w:numPr>
          <w:ilvl w:val="0"/>
          <w:numId w:val="33"/>
        </w:numPr>
        <w:spacing w:line="360" w:lineRule="auto"/>
        <w:rPr>
          <w:highlight w:val="none"/>
        </w:rPr>
      </w:pPr>
      <w:r>
        <w:rPr>
          <w:highlight w:val="none"/>
        </w:rPr>
        <w:t>涂料应准确按照标注的规定比例，进行配合搅拌，应确保搅拌均匀。</w:t>
      </w:r>
    </w:p>
    <w:p>
      <w:pPr>
        <w:numPr>
          <w:ilvl w:val="0"/>
          <w:numId w:val="33"/>
        </w:numPr>
        <w:spacing w:line="360" w:lineRule="auto"/>
        <w:ind w:left="0" w:firstLine="0"/>
        <w:rPr>
          <w:highlight w:val="none"/>
        </w:rPr>
      </w:pPr>
      <w:r>
        <w:rPr>
          <w:highlight w:val="none"/>
        </w:rPr>
        <w:t>搅拌好的材料应在2小时内使用完毕，未能及时使用完的产品禁止加水调节后再次使用。</w:t>
      </w:r>
    </w:p>
    <w:p>
      <w:pPr>
        <w:numPr>
          <w:ilvl w:val="0"/>
          <w:numId w:val="33"/>
        </w:numPr>
        <w:spacing w:line="360" w:lineRule="auto"/>
        <w:ind w:left="0" w:firstLine="0"/>
        <w:rPr>
          <w:highlight w:val="none"/>
        </w:rPr>
      </w:pPr>
      <w:r>
        <w:rPr>
          <w:highlight w:val="none"/>
        </w:rPr>
        <w:t>涂膜涂刷后完全干燥需1～2天，潮湿环境应适当延长干燥时间。涂膜完全干燥后方可进行闭水试验，否则闭水试验会破坏未干燥的防水涂料，产生涂层损伤。</w:t>
      </w:r>
    </w:p>
    <w:p>
      <w:pPr>
        <w:pStyle w:val="3"/>
        <w:rPr>
          <w:sz w:val="28"/>
          <w:szCs w:val="28"/>
          <w:highlight w:val="none"/>
        </w:rPr>
      </w:pPr>
      <w:bookmarkStart w:id="148" w:name="_Toc133335430"/>
      <w:r>
        <w:rPr>
          <w:sz w:val="28"/>
          <w:szCs w:val="28"/>
          <w:highlight w:val="none"/>
        </w:rPr>
        <w:t>9.2 地面装饰部分</w:t>
      </w:r>
      <w:bookmarkEnd w:id="148"/>
    </w:p>
    <w:p>
      <w:pPr>
        <w:pStyle w:val="4"/>
        <w:rPr>
          <w:sz w:val="24"/>
          <w:szCs w:val="24"/>
          <w:highlight w:val="none"/>
        </w:rPr>
      </w:pPr>
      <w:bookmarkStart w:id="149" w:name="_Toc133335431"/>
      <w:r>
        <w:rPr>
          <w:sz w:val="24"/>
          <w:szCs w:val="24"/>
          <w:highlight w:val="none"/>
        </w:rPr>
        <w:t>9.2.1 瓷砖/大理石</w:t>
      </w:r>
      <w:bookmarkEnd w:id="149"/>
    </w:p>
    <w:p>
      <w:pPr>
        <w:pStyle w:val="5"/>
        <w:spacing w:before="163" w:after="163"/>
        <w:rPr>
          <w:highlight w:val="none"/>
        </w:rPr>
      </w:pPr>
      <w:r>
        <w:rPr>
          <w:highlight w:val="none"/>
        </w:rPr>
        <w:t>9.2.1.1瓷砖</w:t>
      </w:r>
    </w:p>
    <w:p>
      <w:pPr>
        <w:numPr>
          <w:ilvl w:val="0"/>
          <w:numId w:val="34"/>
        </w:numPr>
        <w:spacing w:line="360" w:lineRule="auto"/>
        <w:rPr>
          <w:highlight w:val="none"/>
        </w:rPr>
      </w:pPr>
      <w:r>
        <w:rPr>
          <w:highlight w:val="none"/>
        </w:rPr>
        <w:t>铺贴前，请检查包装所示的产品型号、等级、尺码及色号是否统一。</w:t>
      </w:r>
    </w:p>
    <w:p>
      <w:pPr>
        <w:numPr>
          <w:ilvl w:val="0"/>
          <w:numId w:val="34"/>
        </w:numPr>
        <w:spacing w:line="360" w:lineRule="auto"/>
        <w:rPr>
          <w:highlight w:val="none"/>
        </w:rPr>
      </w:pPr>
      <w:r>
        <w:rPr>
          <w:highlight w:val="none"/>
        </w:rPr>
        <w:t>陶质砖铺贴前用清水浸泡1小时，洗净砖背面的灰尘，阴干无明水后方可铺贴。</w:t>
      </w:r>
    </w:p>
    <w:p>
      <w:pPr>
        <w:numPr>
          <w:ilvl w:val="0"/>
          <w:numId w:val="34"/>
        </w:numPr>
        <w:spacing w:line="360" w:lineRule="auto"/>
        <w:rPr>
          <w:highlight w:val="none"/>
        </w:rPr>
      </w:pPr>
      <w:r>
        <w:rPr>
          <w:highlight w:val="none"/>
        </w:rPr>
        <w:t>瓷质砖不允许浸泡，铺贴前涂刷瓷砖专用界面剂。</w:t>
      </w:r>
    </w:p>
    <w:p>
      <w:pPr>
        <w:numPr>
          <w:ilvl w:val="0"/>
          <w:numId w:val="34"/>
        </w:numPr>
        <w:spacing w:line="360" w:lineRule="auto"/>
        <w:ind w:left="0" w:firstLine="0"/>
        <w:rPr>
          <w:highlight w:val="none"/>
        </w:rPr>
      </w:pPr>
      <w:r>
        <w:rPr>
          <w:highlight w:val="none"/>
        </w:rPr>
        <w:t>铺贴完工后，应及时将残留在砖面的水泥污渍抹去。已铺贴完毕的地面需养护4-5天，防止受外力影响造成地面局部不平。</w:t>
      </w:r>
    </w:p>
    <w:p>
      <w:pPr>
        <w:numPr>
          <w:ilvl w:val="0"/>
          <w:numId w:val="34"/>
        </w:numPr>
        <w:spacing w:line="360" w:lineRule="auto"/>
        <w:rPr>
          <w:highlight w:val="none"/>
        </w:rPr>
      </w:pPr>
      <w:r>
        <w:rPr>
          <w:highlight w:val="none"/>
        </w:rPr>
        <w:t>瓷砖在铺贴完成后需作好成品保护，不要划伤砖面，污染砖面，造成不必要的返工。</w:t>
      </w:r>
    </w:p>
    <w:p>
      <w:pPr>
        <w:pStyle w:val="5"/>
        <w:spacing w:before="163" w:after="163"/>
        <w:rPr>
          <w:highlight w:val="none"/>
        </w:rPr>
      </w:pPr>
      <w:r>
        <w:rPr>
          <w:highlight w:val="none"/>
        </w:rPr>
        <w:t>9.2.1.2大理石</w:t>
      </w:r>
    </w:p>
    <w:p>
      <w:pPr>
        <w:numPr>
          <w:ilvl w:val="0"/>
          <w:numId w:val="35"/>
        </w:numPr>
        <w:spacing w:line="360" w:lineRule="auto"/>
        <w:rPr>
          <w:highlight w:val="none"/>
        </w:rPr>
      </w:pPr>
      <w:r>
        <w:rPr>
          <w:highlight w:val="none"/>
        </w:rPr>
        <w:t>同一批板材的色调应基本调和，花纹应基本一致。</w:t>
      </w:r>
    </w:p>
    <w:p>
      <w:pPr>
        <w:numPr>
          <w:ilvl w:val="0"/>
          <w:numId w:val="35"/>
        </w:numPr>
        <w:spacing w:line="360" w:lineRule="auto"/>
        <w:rPr>
          <w:highlight w:val="none"/>
        </w:rPr>
      </w:pPr>
      <w:r>
        <w:rPr>
          <w:highlight w:val="none"/>
        </w:rPr>
        <w:t>板材正面的外观缺陷应符合表1的规定。</w:t>
      </w:r>
    </w:p>
    <w:p>
      <w:pPr>
        <w:numPr>
          <w:ilvl w:val="0"/>
          <w:numId w:val="35"/>
        </w:numPr>
        <w:spacing w:line="360" w:lineRule="auto"/>
        <w:rPr>
          <w:highlight w:val="none"/>
        </w:rPr>
      </w:pPr>
      <w:r>
        <w:rPr>
          <w:highlight w:val="none"/>
        </w:rPr>
        <w:t>板材允许粘接和修补，粘接和修补后应不影响板材的装饰效果，不降低板材的物理性能。</w:t>
      </w:r>
    </w:p>
    <w:p>
      <w:pPr>
        <w:jc w:val="center"/>
        <w:rPr>
          <w:highlight w:val="none"/>
        </w:rPr>
      </w:pPr>
      <w:r>
        <w:rPr>
          <w:highlight w:val="none"/>
        </w:rPr>
        <w:t>表1板材外观缺陷要求</w:t>
      </w:r>
    </w:p>
    <w:tbl>
      <w:tblPr>
        <w:tblStyle w:val="16"/>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4820"/>
        <w:gridCol w:w="992"/>
        <w:gridCol w:w="850"/>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缺陷名称</w:t>
            </w:r>
          </w:p>
        </w:tc>
        <w:tc>
          <w:tcPr>
            <w:tcW w:w="482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规定内容</w:t>
            </w:r>
          </w:p>
        </w:tc>
        <w:tc>
          <w:tcPr>
            <w:tcW w:w="3437" w:type="dxa"/>
            <w:gridSpan w:val="3"/>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4820" w:type="dxa"/>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A</w:t>
            </w: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B</w:t>
            </w:r>
          </w:p>
        </w:tc>
        <w:tc>
          <w:tcPr>
            <w:tcW w:w="15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裂纹</w:t>
            </w:r>
          </w:p>
        </w:tc>
        <w:tc>
          <w:tcPr>
            <w:tcW w:w="48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长度≥10mm的条数/条</w:t>
            </w:r>
          </w:p>
        </w:tc>
        <w:tc>
          <w:tcPr>
            <w:tcW w:w="3437" w:type="dxa"/>
            <w:gridSpan w:val="3"/>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缺棱</w:t>
            </w:r>
          </w:p>
        </w:tc>
        <w:tc>
          <w:tcPr>
            <w:tcW w:w="48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left"/>
              <w:rPr>
                <w:szCs w:val="21"/>
                <w:highlight w:val="none"/>
              </w:rPr>
            </w:pPr>
            <w:r>
              <w:rPr>
                <w:szCs w:val="21"/>
                <w:highlight w:val="none"/>
              </w:rPr>
              <w:t>长度≤8mm，宽度≤1.5mm（长度≤4mm，宽度≤1mm不做计较）每米长允许个数/个</w:t>
            </w:r>
          </w:p>
        </w:tc>
        <w:tc>
          <w:tcPr>
            <w:tcW w:w="992"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w:t>
            </w:r>
          </w:p>
        </w:tc>
        <w:tc>
          <w:tcPr>
            <w:tcW w:w="85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159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缺角</w:t>
            </w:r>
          </w:p>
        </w:tc>
        <w:tc>
          <w:tcPr>
            <w:tcW w:w="48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left"/>
              <w:rPr>
                <w:szCs w:val="21"/>
                <w:highlight w:val="none"/>
              </w:rPr>
            </w:pPr>
            <w:r>
              <w:rPr>
                <w:szCs w:val="21"/>
                <w:highlight w:val="none"/>
              </w:rPr>
              <w:t>沿板材边长顺延方向，长度≤3mm，宽度≤3mm（长度≤2mm，宽度≤2mm不计），每块板允许个数/个</w:t>
            </w:r>
          </w:p>
        </w:tc>
        <w:tc>
          <w:tcPr>
            <w:tcW w:w="992"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850" w:type="dxa"/>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595" w:type="dxa"/>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色斑</w:t>
            </w:r>
          </w:p>
        </w:tc>
        <w:tc>
          <w:tcPr>
            <w:tcW w:w="48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left"/>
              <w:rPr>
                <w:szCs w:val="21"/>
                <w:highlight w:val="none"/>
              </w:rPr>
            </w:pPr>
            <w:r>
              <w:rPr>
                <w:szCs w:val="21"/>
                <w:highlight w:val="none"/>
              </w:rPr>
              <w:t>面积≤6mm2（面积≤2mm2不计），每块板允许个数/个</w:t>
            </w:r>
          </w:p>
        </w:tc>
        <w:tc>
          <w:tcPr>
            <w:tcW w:w="992"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850" w:type="dxa"/>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595" w:type="dxa"/>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砂眼</w:t>
            </w:r>
          </w:p>
        </w:tc>
        <w:tc>
          <w:tcPr>
            <w:tcW w:w="48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直径＜2mm</w:t>
            </w:r>
          </w:p>
        </w:tc>
        <w:tc>
          <w:tcPr>
            <w:tcW w:w="992"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8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不明显</w:t>
            </w:r>
          </w:p>
        </w:tc>
        <w:tc>
          <w:tcPr>
            <w:tcW w:w="15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有，不影响装饰效果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5" w:type="dxa"/>
            <w:gridSpan w:val="5"/>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对毛光板不做要求</w:t>
            </w:r>
          </w:p>
        </w:tc>
      </w:tr>
    </w:tbl>
    <w:p>
      <w:pPr>
        <w:numPr>
          <w:ilvl w:val="0"/>
          <w:numId w:val="36"/>
        </w:numPr>
        <w:spacing w:line="360" w:lineRule="auto"/>
        <w:ind w:left="0" w:firstLine="0"/>
        <w:rPr>
          <w:highlight w:val="none"/>
        </w:rPr>
      </w:pPr>
      <w:r>
        <w:rPr>
          <w:highlight w:val="none"/>
        </w:rPr>
        <w:t>板材的物理性能应符合表2的规定，工程对板材物理性能及指标有特殊要求的，按工程要求执行。</w:t>
      </w:r>
    </w:p>
    <w:p>
      <w:pPr>
        <w:jc w:val="center"/>
        <w:rPr>
          <w:highlight w:val="none"/>
        </w:rPr>
      </w:pPr>
      <w:r>
        <w:rPr>
          <w:highlight w:val="none"/>
        </w:rPr>
        <w:t>表2物理性能要求</w:t>
      </w:r>
    </w:p>
    <w:tbl>
      <w:tblPr>
        <w:tblStyle w:val="16"/>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5"/>
        <w:gridCol w:w="945"/>
        <w:gridCol w:w="1905"/>
        <w:gridCol w:w="1905"/>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0" w:type="dxa"/>
            <w:gridSpan w:val="2"/>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5715" w:type="dxa"/>
            <w:gridSpan w:val="3"/>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0" w:type="dxa"/>
            <w:gridSpan w:val="2"/>
            <w:vMerge w:val="continue"/>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方解石大理石</w:t>
            </w:r>
          </w:p>
        </w:tc>
        <w:tc>
          <w:tcPr>
            <w:tcW w:w="19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白云石大理石</w:t>
            </w:r>
          </w:p>
        </w:tc>
        <w:tc>
          <w:tcPr>
            <w:tcW w:w="19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蛇纹石大理石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0"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体积密度（g/cm3）≥</w:t>
            </w: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2.60</w:t>
            </w: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2.80</w:t>
            </w: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0"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吸水率%≤</w:t>
            </w: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0.5</w:t>
            </w: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0.5</w:t>
            </w: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压缩强度/MPa≥</w:t>
            </w:r>
          </w:p>
        </w:tc>
        <w:tc>
          <w:tcPr>
            <w:tcW w:w="9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干燥</w:t>
            </w:r>
          </w:p>
        </w:tc>
        <w:tc>
          <w:tcPr>
            <w:tcW w:w="190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52</w:t>
            </w:r>
          </w:p>
        </w:tc>
        <w:tc>
          <w:tcPr>
            <w:tcW w:w="190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52</w:t>
            </w:r>
          </w:p>
        </w:tc>
        <w:tc>
          <w:tcPr>
            <w:tcW w:w="190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5"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94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水饱和</w:t>
            </w:r>
          </w:p>
        </w:tc>
        <w:tc>
          <w:tcPr>
            <w:tcW w:w="1905"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905"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905" w:type="dxa"/>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弯曲强度/MPa≥</w:t>
            </w:r>
          </w:p>
        </w:tc>
        <w:tc>
          <w:tcPr>
            <w:tcW w:w="9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干燥</w:t>
            </w:r>
          </w:p>
        </w:tc>
        <w:tc>
          <w:tcPr>
            <w:tcW w:w="190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7.0</w:t>
            </w:r>
          </w:p>
        </w:tc>
        <w:tc>
          <w:tcPr>
            <w:tcW w:w="190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7.0</w:t>
            </w:r>
          </w:p>
        </w:tc>
        <w:tc>
          <w:tcPr>
            <w:tcW w:w="1905"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5"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94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水饱和</w:t>
            </w:r>
          </w:p>
        </w:tc>
        <w:tc>
          <w:tcPr>
            <w:tcW w:w="1905"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905"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905"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耐磨性l/cm</w:t>
            </w:r>
            <w:r>
              <w:rPr>
                <w:szCs w:val="21"/>
                <w:highlight w:val="none"/>
                <w:vertAlign w:val="superscript"/>
              </w:rPr>
              <w:t>3</w:t>
            </w: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c>
          <w:tcPr>
            <w:tcW w:w="19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5" w:type="dxa"/>
            <w:gridSpan w:val="5"/>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仅适用于地面，楼梯踏步，台面等易磨损部位的大理石石材</w:t>
            </w:r>
          </w:p>
        </w:tc>
      </w:tr>
    </w:tbl>
    <w:p>
      <w:pPr>
        <w:pStyle w:val="4"/>
        <w:rPr>
          <w:highlight w:val="none"/>
        </w:rPr>
      </w:pPr>
      <w:bookmarkStart w:id="150" w:name="_Toc133335432"/>
      <w:r>
        <w:rPr>
          <w:highlight w:val="none"/>
        </w:rPr>
        <w:t>9.2.2 环氧地坪</w:t>
      </w:r>
      <w:bookmarkEnd w:id="150"/>
    </w:p>
    <w:p>
      <w:pPr>
        <w:pStyle w:val="5"/>
        <w:spacing w:before="163" w:after="163"/>
        <w:rPr>
          <w:highlight w:val="none"/>
        </w:rPr>
      </w:pPr>
      <w:r>
        <w:rPr>
          <w:highlight w:val="none"/>
        </w:rPr>
        <w:t>9.2.2.1环氧树脂自流平/环氧地坪漆</w:t>
      </w:r>
    </w:p>
    <w:p>
      <w:pPr>
        <w:numPr>
          <w:ilvl w:val="0"/>
          <w:numId w:val="37"/>
        </w:numPr>
        <w:spacing w:line="360" w:lineRule="auto"/>
        <w:ind w:left="0" w:firstLine="0"/>
        <w:rPr>
          <w:highlight w:val="none"/>
        </w:rPr>
      </w:pPr>
      <w:r>
        <w:rPr>
          <w:highlight w:val="none"/>
        </w:rPr>
        <w:t xml:space="preserve">环氧树脂地面涂层应包括底涂层、中涂层和面涂层。各层厚度应符合表1的规定，总厚度应不小于3mm。 </w:t>
      </w:r>
    </w:p>
    <w:p>
      <w:pPr>
        <w:jc w:val="center"/>
        <w:rPr>
          <w:highlight w:val="none"/>
        </w:rPr>
      </w:pPr>
      <w:r>
        <w:rPr>
          <w:highlight w:val="none"/>
        </w:rPr>
        <w:t>表1环氧树脂地面各结构层厚度</w:t>
      </w:r>
    </w:p>
    <w:tbl>
      <w:tblPr>
        <w:tblStyle w:val="16"/>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935"/>
        <w:gridCol w:w="1515"/>
        <w:gridCol w:w="151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66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构造</w:t>
            </w:r>
          </w:p>
        </w:tc>
        <w:tc>
          <w:tcPr>
            <w:tcW w:w="19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底涂层</w:t>
            </w:r>
          </w:p>
        </w:tc>
        <w:tc>
          <w:tcPr>
            <w:tcW w:w="15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中涂层</w:t>
            </w:r>
          </w:p>
        </w:tc>
        <w:tc>
          <w:tcPr>
            <w:tcW w:w="15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面涂层</w:t>
            </w:r>
          </w:p>
        </w:tc>
        <w:tc>
          <w:tcPr>
            <w:tcW w:w="16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总厚度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66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自流平地面</w:t>
            </w:r>
          </w:p>
        </w:tc>
        <w:tc>
          <w:tcPr>
            <w:tcW w:w="19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连续成膜无漏涂</w:t>
            </w:r>
          </w:p>
        </w:tc>
        <w:tc>
          <w:tcPr>
            <w:tcW w:w="151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1.5mm</w:t>
            </w:r>
          </w:p>
        </w:tc>
        <w:tc>
          <w:tcPr>
            <w:tcW w:w="151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1.5mm</w:t>
            </w:r>
          </w:p>
        </w:tc>
        <w:tc>
          <w:tcPr>
            <w:tcW w:w="1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3mm</w:t>
            </w:r>
          </w:p>
        </w:tc>
      </w:tr>
    </w:tbl>
    <w:p>
      <w:pPr>
        <w:numPr>
          <w:ilvl w:val="0"/>
          <w:numId w:val="37"/>
        </w:numPr>
        <w:spacing w:line="360" w:lineRule="auto"/>
        <w:ind w:left="0" w:firstLine="0"/>
        <w:rPr>
          <w:highlight w:val="none"/>
        </w:rPr>
      </w:pPr>
      <w:r>
        <w:rPr>
          <w:highlight w:val="none"/>
        </w:rPr>
        <w:t>环氧树脂地面底层涂料与涂层、中层涂料与涂层、面层涂料与涂层的质量应分别符合表2、表3、表4的规定。</w:t>
      </w:r>
    </w:p>
    <w:p>
      <w:pPr>
        <w:jc w:val="center"/>
        <w:rPr>
          <w:highlight w:val="none"/>
        </w:rPr>
      </w:pPr>
      <w:r>
        <w:rPr>
          <w:highlight w:val="none"/>
        </w:rPr>
        <w:t>表2环氧树脂地面底层涂料与涂层的质量</w:t>
      </w:r>
    </w:p>
    <w:tbl>
      <w:tblPr>
        <w:tblStyle w:val="16"/>
        <w:tblW w:w="8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693"/>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序号</w:t>
            </w:r>
          </w:p>
        </w:tc>
        <w:tc>
          <w:tcPr>
            <w:tcW w:w="26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524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容器中状态</w:t>
            </w:r>
          </w:p>
        </w:tc>
        <w:tc>
          <w:tcPr>
            <w:tcW w:w="52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透明液体、无机械杂质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混合后固体含量（%）</w:t>
            </w:r>
          </w:p>
        </w:tc>
        <w:tc>
          <w:tcPr>
            <w:tcW w:w="52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干燥时间（h）</w:t>
            </w:r>
          </w:p>
        </w:tc>
        <w:tc>
          <w:tcPr>
            <w:tcW w:w="52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表干≤3；实干≤24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涂层表面</w:t>
            </w:r>
          </w:p>
        </w:tc>
        <w:tc>
          <w:tcPr>
            <w:tcW w:w="52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均匀、平整、光滑，无气泡、无发白、无软化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附着力（MPa）</w:t>
            </w:r>
          </w:p>
        </w:tc>
        <w:tc>
          <w:tcPr>
            <w:tcW w:w="524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≥1.5</w:t>
            </w:r>
          </w:p>
        </w:tc>
      </w:tr>
    </w:tbl>
    <w:p>
      <w:pPr>
        <w:jc w:val="center"/>
        <w:rPr>
          <w:highlight w:val="none"/>
        </w:rPr>
      </w:pPr>
      <w:r>
        <w:rPr>
          <w:highlight w:val="none"/>
        </w:rPr>
        <w:t>表3环氧树脂地面中层涂料与涂层的质量</w:t>
      </w:r>
    </w:p>
    <w:tbl>
      <w:tblPr>
        <w:tblStyle w:val="16"/>
        <w:tblW w:w="9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437"/>
        <w:gridCol w:w="1256"/>
        <w:gridCol w:w="467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序号</w:t>
            </w:r>
          </w:p>
        </w:tc>
        <w:tc>
          <w:tcPr>
            <w:tcW w:w="2693"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467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技术指标</w:t>
            </w: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2693"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容器中状态</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搅拌后色泽均匀、无结块</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2693"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混合后固体含量（%）</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≥70</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693"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干燥时间（h）</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表干≤8；实干≤48</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2693"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涂层表面</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密实、平整、均匀，无开裂、无起壳、无渗出物</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c>
          <w:tcPr>
            <w:tcW w:w="2693"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附着力（MPa）</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≥2.5</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43"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w:t>
            </w:r>
          </w:p>
        </w:tc>
        <w:tc>
          <w:tcPr>
            <w:tcW w:w="1437"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抗冲击（1kg钢球自由落体）</w:t>
            </w:r>
          </w:p>
        </w:tc>
        <w:tc>
          <w:tcPr>
            <w:tcW w:w="125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1m</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胶泥构造：无裂纹、剥落、起壳</w:t>
            </w: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3"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437"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25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2m</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砂浆构造：无裂纹、剥落、起壳</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w:t>
            </w:r>
          </w:p>
        </w:tc>
        <w:tc>
          <w:tcPr>
            <w:tcW w:w="2693"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抗压强度（MPa）</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≥80</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w:t>
            </w:r>
          </w:p>
        </w:tc>
        <w:tc>
          <w:tcPr>
            <w:tcW w:w="2693"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打磨性</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易打磨</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bl>
    <w:p>
      <w:pPr>
        <w:jc w:val="center"/>
        <w:rPr>
          <w:highlight w:val="none"/>
        </w:rPr>
      </w:pPr>
      <w:r>
        <w:rPr>
          <w:highlight w:val="none"/>
        </w:rPr>
        <w:t>表4环氧树脂地面面层涂料与涂层的质量</w:t>
      </w:r>
    </w:p>
    <w:tbl>
      <w:tblPr>
        <w:tblStyle w:val="16"/>
        <w:tblW w:w="9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693"/>
        <w:gridCol w:w="467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序号</w:t>
            </w:r>
          </w:p>
        </w:tc>
        <w:tc>
          <w:tcPr>
            <w:tcW w:w="26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467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技术指标</w:t>
            </w: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容器中状态</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各色黏稠液，搅拌后均匀无结块</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干燥时间（h）</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表干≤8；实干≤24</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涂层表面</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平整光滑、色泽均匀、无针孔、气泡</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2693" w:type="dxa"/>
            <w:tcBorders>
              <w:top w:val="single" w:color="CBCDD1" w:sz="6" w:space="0"/>
              <w:left w:val="single" w:color="000000" w:sz="6" w:space="0"/>
              <w:bottom w:val="single" w:color="auto" w:sz="4"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附着力（MPa）</w:t>
            </w:r>
          </w:p>
        </w:tc>
        <w:tc>
          <w:tcPr>
            <w:tcW w:w="4678" w:type="dxa"/>
            <w:tcBorders>
              <w:top w:val="single" w:color="CBCDD1" w:sz="6" w:space="0"/>
              <w:left w:val="single" w:color="000000" w:sz="6" w:space="0"/>
              <w:bottom w:val="single" w:color="auto" w:sz="4"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≥2.5</w:t>
            </w:r>
          </w:p>
        </w:tc>
        <w:tc>
          <w:tcPr>
            <w:tcW w:w="992" w:type="dxa"/>
            <w:tcBorders>
              <w:top w:val="single" w:color="CBCDD1" w:sz="6" w:space="0"/>
              <w:left w:val="single" w:color="000000" w:sz="6" w:space="0"/>
              <w:bottom w:val="single" w:color="auto" w:sz="4"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3"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c>
          <w:tcPr>
            <w:tcW w:w="2693"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jc w:val="center"/>
              <w:rPr>
                <w:szCs w:val="21"/>
                <w:highlight w:val="none"/>
              </w:rPr>
            </w:pPr>
            <w:r>
              <w:rPr>
                <w:szCs w:val="21"/>
                <w:highlight w:val="none"/>
              </w:rPr>
              <w:t>铅笔硬度</w:t>
            </w:r>
          </w:p>
        </w:tc>
        <w:tc>
          <w:tcPr>
            <w:tcW w:w="467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jc w:val="center"/>
              <w:rPr>
                <w:szCs w:val="21"/>
                <w:highlight w:val="none"/>
              </w:rPr>
            </w:pPr>
            <w:r>
              <w:rPr>
                <w:szCs w:val="21"/>
                <w:highlight w:val="none"/>
              </w:rPr>
              <w:t>≥3H</w:t>
            </w:r>
          </w:p>
        </w:tc>
        <w:tc>
          <w:tcPr>
            <w:tcW w:w="99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w:t>
            </w:r>
          </w:p>
        </w:tc>
        <w:tc>
          <w:tcPr>
            <w:tcW w:w="2693" w:type="dxa"/>
            <w:tcBorders>
              <w:top w:val="single" w:color="auto" w:sz="4"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抗1kg钢球1m自由落体冲击</w:t>
            </w:r>
          </w:p>
        </w:tc>
        <w:tc>
          <w:tcPr>
            <w:tcW w:w="4678" w:type="dxa"/>
            <w:tcBorders>
              <w:top w:val="single" w:color="auto" w:sz="4"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无裂纹、剥落、起壳</w:t>
            </w:r>
          </w:p>
        </w:tc>
        <w:tc>
          <w:tcPr>
            <w:tcW w:w="992" w:type="dxa"/>
            <w:tcBorders>
              <w:top w:val="single" w:color="auto" w:sz="4"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抗压强度（MPa）</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≥80</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磨耗量（750r/500g）</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≤60mg</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84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9</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容器中涂料的贮存期</w:t>
            </w:r>
          </w:p>
        </w:tc>
        <w:tc>
          <w:tcPr>
            <w:tcW w:w="4678"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密闭容器，阴凉干燥通风处，5℃~25℃，6个月</w:t>
            </w:r>
          </w:p>
        </w:tc>
        <w:tc>
          <w:tcPr>
            <w:tcW w:w="99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bl>
    <w:p>
      <w:pPr>
        <w:ind w:firstLine="420" w:firstLineChars="200"/>
        <w:rPr>
          <w:highlight w:val="none"/>
        </w:rPr>
      </w:pPr>
      <w:r>
        <w:rPr>
          <w:highlight w:val="none"/>
        </w:rPr>
        <w:t>环氧树脂地面施工和养护应符合《环氧树脂自流平地面工程技术规范》（GB/T50589-2010）的要求。</w:t>
      </w:r>
    </w:p>
    <w:p>
      <w:pPr>
        <w:pStyle w:val="20"/>
        <w:numPr>
          <w:ilvl w:val="0"/>
          <w:numId w:val="37"/>
        </w:numPr>
        <w:spacing w:line="360" w:lineRule="auto"/>
        <w:ind w:firstLineChars="0"/>
        <w:rPr>
          <w:sz w:val="24"/>
          <w:highlight w:val="none"/>
        </w:rPr>
      </w:pPr>
      <w:r>
        <w:rPr>
          <w:sz w:val="24"/>
          <w:highlight w:val="none"/>
        </w:rPr>
        <w:t>环境要求</w:t>
      </w:r>
    </w:p>
    <w:p>
      <w:pPr>
        <w:numPr>
          <w:ilvl w:val="0"/>
          <w:numId w:val="38"/>
        </w:numPr>
        <w:spacing w:line="360" w:lineRule="auto"/>
        <w:ind w:left="0" w:firstLine="0"/>
        <w:rPr>
          <w:szCs w:val="24"/>
          <w:highlight w:val="none"/>
        </w:rPr>
      </w:pPr>
      <w:r>
        <w:rPr>
          <w:szCs w:val="24"/>
          <w:highlight w:val="none"/>
        </w:rPr>
        <w:t>施工环境温度适宜在10℃～30℃之间；基层表面温度不宜低于5℃，环境温度高于露点温度3℃。</w:t>
      </w:r>
    </w:p>
    <w:p>
      <w:pPr>
        <w:numPr>
          <w:ilvl w:val="0"/>
          <w:numId w:val="38"/>
        </w:numPr>
        <w:spacing w:line="360" w:lineRule="auto"/>
        <w:rPr>
          <w:szCs w:val="24"/>
          <w:highlight w:val="none"/>
        </w:rPr>
      </w:pPr>
      <w:r>
        <w:rPr>
          <w:szCs w:val="24"/>
          <w:highlight w:val="none"/>
        </w:rPr>
        <w:t>施工环境空气相对湿度≤80%，面漆施工时相对湿度宜≤60%。</w:t>
      </w:r>
    </w:p>
    <w:p>
      <w:pPr>
        <w:numPr>
          <w:ilvl w:val="0"/>
          <w:numId w:val="38"/>
        </w:numPr>
        <w:spacing w:line="360" w:lineRule="auto"/>
        <w:rPr>
          <w:szCs w:val="24"/>
          <w:highlight w:val="none"/>
        </w:rPr>
      </w:pPr>
      <w:r>
        <w:rPr>
          <w:szCs w:val="24"/>
          <w:highlight w:val="none"/>
        </w:rPr>
        <w:t>施工时需避免强风气流和高温高湿环境作业。</w:t>
      </w:r>
    </w:p>
    <w:p>
      <w:pPr>
        <w:numPr>
          <w:ilvl w:val="0"/>
          <w:numId w:val="38"/>
        </w:numPr>
        <w:spacing w:line="360" w:lineRule="auto"/>
        <w:ind w:left="0" w:firstLine="0"/>
        <w:rPr>
          <w:szCs w:val="24"/>
          <w:highlight w:val="none"/>
        </w:rPr>
      </w:pPr>
      <w:r>
        <w:rPr>
          <w:szCs w:val="24"/>
          <w:highlight w:val="none"/>
        </w:rPr>
        <w:t>施工现场应保持通风、严禁烟火，不得进行切割和电气焊操作、施工用材料应远离热源、火源。施工时，现场应避免被灰尘、飞虫、杂物等污染。</w:t>
      </w:r>
    </w:p>
    <w:p>
      <w:pPr>
        <w:pStyle w:val="20"/>
        <w:numPr>
          <w:ilvl w:val="0"/>
          <w:numId w:val="37"/>
        </w:numPr>
        <w:spacing w:line="360" w:lineRule="auto"/>
        <w:ind w:firstLineChars="0"/>
        <w:rPr>
          <w:sz w:val="24"/>
          <w:highlight w:val="none"/>
        </w:rPr>
      </w:pPr>
      <w:r>
        <w:rPr>
          <w:sz w:val="24"/>
          <w:highlight w:val="none"/>
        </w:rPr>
        <w:t>固化养护</w:t>
      </w:r>
    </w:p>
    <w:p>
      <w:pPr>
        <w:numPr>
          <w:ilvl w:val="0"/>
          <w:numId w:val="39"/>
        </w:numPr>
        <w:spacing w:line="360" w:lineRule="auto"/>
        <w:ind w:left="0" w:firstLine="0"/>
        <w:rPr>
          <w:highlight w:val="none"/>
        </w:rPr>
      </w:pPr>
      <w:r>
        <w:rPr>
          <w:highlight w:val="none"/>
        </w:rPr>
        <w:t>施工完成后，环氧地坪地面应进行养护，常温下，24h内禁止上人，3天后可投入正常使用，如果是用于泡水环境，则需要7天后才能投入使用。</w:t>
      </w:r>
    </w:p>
    <w:p>
      <w:pPr>
        <w:numPr>
          <w:ilvl w:val="0"/>
          <w:numId w:val="39"/>
        </w:numPr>
        <w:spacing w:line="360" w:lineRule="auto"/>
        <w:rPr>
          <w:highlight w:val="none"/>
        </w:rPr>
      </w:pPr>
      <w:r>
        <w:rPr>
          <w:highlight w:val="none"/>
        </w:rPr>
        <w:t>固化和养护期间应采取防水，防污染等措施。</w:t>
      </w:r>
    </w:p>
    <w:p>
      <w:pPr>
        <w:numPr>
          <w:ilvl w:val="0"/>
          <w:numId w:val="39"/>
        </w:numPr>
        <w:spacing w:line="360" w:lineRule="auto"/>
        <w:ind w:left="0" w:firstLine="0"/>
        <w:rPr>
          <w:highlight w:val="none"/>
        </w:rPr>
      </w:pPr>
      <w:r>
        <w:rPr>
          <w:highlight w:val="none"/>
        </w:rPr>
        <w:t>清洁地面时请用软质吸水性好的拖把或干湿两用吸尘器，可用清水或清洁剂清洗，但请注意地面湿滑。</w:t>
      </w:r>
    </w:p>
    <w:p>
      <w:pPr>
        <w:numPr>
          <w:ilvl w:val="0"/>
          <w:numId w:val="39"/>
        </w:numPr>
        <w:spacing w:line="360" w:lineRule="auto"/>
        <w:rPr>
          <w:highlight w:val="none"/>
        </w:rPr>
      </w:pPr>
      <w:r>
        <w:rPr>
          <w:highlight w:val="none"/>
        </w:rPr>
        <w:t>地面养护期间在确认地面完全固化及满足质量要求后，须涂一道养护蜡保护涂膜表面。</w:t>
      </w:r>
    </w:p>
    <w:p>
      <w:pPr>
        <w:pStyle w:val="20"/>
        <w:numPr>
          <w:ilvl w:val="0"/>
          <w:numId w:val="37"/>
        </w:numPr>
        <w:spacing w:line="360" w:lineRule="auto"/>
        <w:ind w:firstLineChars="0"/>
        <w:rPr>
          <w:sz w:val="24"/>
          <w:highlight w:val="none"/>
        </w:rPr>
      </w:pPr>
      <w:r>
        <w:rPr>
          <w:sz w:val="24"/>
          <w:highlight w:val="none"/>
        </w:rPr>
        <w:t>地面保护</w:t>
      </w:r>
    </w:p>
    <w:p>
      <w:pPr>
        <w:numPr>
          <w:ilvl w:val="0"/>
          <w:numId w:val="40"/>
        </w:numPr>
        <w:spacing w:line="360" w:lineRule="auto"/>
        <w:ind w:left="0" w:firstLine="0"/>
        <w:rPr>
          <w:highlight w:val="none"/>
        </w:rPr>
      </w:pPr>
      <w:r>
        <w:rPr>
          <w:highlight w:val="none"/>
        </w:rPr>
        <w:t>水性环氧自流平施工操作过程中要注意对场地其他设备的保护，如地面管线不得随意移动，地漏内不得塞砂浆等。</w:t>
      </w:r>
    </w:p>
    <w:p>
      <w:pPr>
        <w:numPr>
          <w:ilvl w:val="0"/>
          <w:numId w:val="40"/>
        </w:numPr>
        <w:spacing w:line="360" w:lineRule="auto"/>
        <w:rPr>
          <w:highlight w:val="none"/>
        </w:rPr>
      </w:pPr>
      <w:r>
        <w:rPr>
          <w:highlight w:val="none"/>
        </w:rPr>
        <w:t>面层做完之后养护期内严禁入内。</w:t>
      </w:r>
    </w:p>
    <w:p>
      <w:pPr>
        <w:pStyle w:val="20"/>
        <w:numPr>
          <w:ilvl w:val="0"/>
          <w:numId w:val="40"/>
        </w:numPr>
        <w:spacing w:line="360" w:lineRule="auto"/>
        <w:ind w:left="0" w:firstLine="0" w:firstLineChars="0"/>
        <w:rPr>
          <w:sz w:val="24"/>
          <w:highlight w:val="none"/>
        </w:rPr>
      </w:pPr>
      <w:r>
        <w:rPr>
          <w:sz w:val="24"/>
          <w:highlight w:val="none"/>
        </w:rPr>
        <w:t>在已完工的地面上进行使用时，注意不要刮撞面层，高腐蚀液体遗漏在面层时要及时清理。</w:t>
      </w:r>
    </w:p>
    <w:p>
      <w:pPr>
        <w:pStyle w:val="20"/>
        <w:numPr>
          <w:ilvl w:val="0"/>
          <w:numId w:val="40"/>
        </w:numPr>
        <w:spacing w:line="360" w:lineRule="auto"/>
        <w:ind w:left="0" w:firstLine="0" w:firstLineChars="0"/>
        <w:rPr>
          <w:sz w:val="24"/>
          <w:highlight w:val="none"/>
        </w:rPr>
      </w:pPr>
      <w:r>
        <w:rPr>
          <w:sz w:val="24"/>
          <w:highlight w:val="none"/>
        </w:rPr>
        <w:t>先做地面面层，后做墙面抹灰时，要注意对地面面层的保护，防止地面粘有砂浆等凝固材料。</w:t>
      </w:r>
    </w:p>
    <w:p>
      <w:pPr>
        <w:pStyle w:val="20"/>
        <w:numPr>
          <w:ilvl w:val="0"/>
          <w:numId w:val="40"/>
        </w:numPr>
        <w:spacing w:line="360" w:lineRule="auto"/>
        <w:ind w:firstLineChars="0"/>
        <w:rPr>
          <w:sz w:val="24"/>
          <w:highlight w:val="none"/>
        </w:rPr>
      </w:pPr>
      <w:r>
        <w:rPr>
          <w:sz w:val="24"/>
          <w:highlight w:val="none"/>
        </w:rPr>
        <w:t>粘污在门口和墙面上的砂浆或者地坪漆等应及时清扫干净。</w:t>
      </w:r>
    </w:p>
    <w:p>
      <w:pPr>
        <w:pStyle w:val="20"/>
        <w:numPr>
          <w:ilvl w:val="0"/>
          <w:numId w:val="40"/>
        </w:numPr>
        <w:spacing w:line="360" w:lineRule="auto"/>
        <w:ind w:firstLineChars="0"/>
        <w:rPr>
          <w:sz w:val="24"/>
          <w:highlight w:val="none"/>
        </w:rPr>
      </w:pPr>
      <w:r>
        <w:rPr>
          <w:sz w:val="24"/>
          <w:highlight w:val="none"/>
        </w:rPr>
        <w:t>地面铺设的水暖管，电线管等，在施工水性环氧自流平时要保护好，不得碰撞。</w:t>
      </w:r>
    </w:p>
    <w:p>
      <w:pPr>
        <w:pStyle w:val="20"/>
        <w:numPr>
          <w:ilvl w:val="0"/>
          <w:numId w:val="40"/>
        </w:numPr>
        <w:spacing w:line="360" w:lineRule="auto"/>
        <w:ind w:firstLineChars="0"/>
        <w:rPr>
          <w:sz w:val="24"/>
          <w:highlight w:val="none"/>
        </w:rPr>
      </w:pPr>
      <w:r>
        <w:rPr>
          <w:sz w:val="24"/>
          <w:highlight w:val="none"/>
        </w:rPr>
        <w:t>对地漏，出水口等部位要保护好，避免灌入杂物，造成堵塞。</w:t>
      </w:r>
    </w:p>
    <w:p>
      <w:pPr>
        <w:pStyle w:val="20"/>
        <w:numPr>
          <w:ilvl w:val="0"/>
          <w:numId w:val="40"/>
        </w:numPr>
        <w:spacing w:line="360" w:lineRule="auto"/>
        <w:ind w:firstLineChars="0"/>
        <w:rPr>
          <w:sz w:val="24"/>
          <w:highlight w:val="none"/>
        </w:rPr>
      </w:pPr>
      <w:r>
        <w:rPr>
          <w:sz w:val="24"/>
          <w:highlight w:val="none"/>
        </w:rPr>
        <w:t>设备进厂前，在地坪上铺上硬纸箱垫底，以免在运输设备过程中刮伤地面。</w:t>
      </w:r>
    </w:p>
    <w:p>
      <w:pPr>
        <w:pStyle w:val="20"/>
        <w:numPr>
          <w:ilvl w:val="0"/>
          <w:numId w:val="37"/>
        </w:numPr>
        <w:spacing w:line="360" w:lineRule="auto"/>
        <w:ind w:firstLineChars="0"/>
        <w:rPr>
          <w:sz w:val="24"/>
          <w:highlight w:val="none"/>
        </w:rPr>
      </w:pPr>
      <w:r>
        <w:rPr>
          <w:sz w:val="24"/>
          <w:highlight w:val="none"/>
        </w:rPr>
        <w:t>质量检验</w:t>
      </w:r>
    </w:p>
    <w:p>
      <w:pPr>
        <w:numPr>
          <w:ilvl w:val="0"/>
          <w:numId w:val="41"/>
        </w:numPr>
        <w:spacing w:line="360" w:lineRule="auto"/>
        <w:rPr>
          <w:highlight w:val="none"/>
        </w:rPr>
      </w:pPr>
      <w:r>
        <w:rPr>
          <w:highlight w:val="none"/>
        </w:rPr>
        <w:t>用2m靠尺和楔形塞尺检查表面平整度，要求≤3mm/2m，每500㎡检查1处。</w:t>
      </w:r>
    </w:p>
    <w:p>
      <w:pPr>
        <w:numPr>
          <w:ilvl w:val="0"/>
          <w:numId w:val="41"/>
        </w:numPr>
        <w:spacing w:line="360" w:lineRule="auto"/>
        <w:ind w:left="0" w:firstLine="0"/>
        <w:rPr>
          <w:highlight w:val="none"/>
        </w:rPr>
      </w:pPr>
      <w:r>
        <w:rPr>
          <w:highlight w:val="none"/>
        </w:rPr>
        <w:t>检查空鼓，用小锤轻敲，每20㎡地面空鼓不得超过2处，每处空鼓面积不得超过400c㎡。</w:t>
      </w:r>
    </w:p>
    <w:p>
      <w:pPr>
        <w:numPr>
          <w:ilvl w:val="0"/>
          <w:numId w:val="41"/>
        </w:numPr>
        <w:spacing w:line="360" w:lineRule="auto"/>
        <w:rPr>
          <w:highlight w:val="none"/>
        </w:rPr>
      </w:pPr>
      <w:r>
        <w:rPr>
          <w:highlight w:val="none"/>
        </w:rPr>
        <w:t>拉拔强度测试结果≥2MPa或基层破坏，每3000㎡检查1组。</w:t>
      </w:r>
    </w:p>
    <w:p>
      <w:pPr>
        <w:numPr>
          <w:ilvl w:val="0"/>
          <w:numId w:val="41"/>
        </w:numPr>
        <w:spacing w:line="360" w:lineRule="auto"/>
        <w:rPr>
          <w:highlight w:val="none"/>
        </w:rPr>
      </w:pPr>
      <w:r>
        <w:rPr>
          <w:highlight w:val="none"/>
        </w:rPr>
        <w:t>表面不能出现发粘现象。</w:t>
      </w:r>
    </w:p>
    <w:p>
      <w:pPr>
        <w:numPr>
          <w:ilvl w:val="0"/>
          <w:numId w:val="41"/>
        </w:numPr>
        <w:spacing w:line="360" w:lineRule="auto"/>
        <w:rPr>
          <w:highlight w:val="none"/>
        </w:rPr>
      </w:pPr>
      <w:r>
        <w:rPr>
          <w:highlight w:val="none"/>
        </w:rPr>
        <w:t>气泡：平涂型、砂浆型无气泡，自流平允许1个小气泡/10平方米。</w:t>
      </w:r>
    </w:p>
    <w:p>
      <w:pPr>
        <w:numPr>
          <w:ilvl w:val="0"/>
          <w:numId w:val="41"/>
        </w:numPr>
        <w:spacing w:line="360" w:lineRule="auto"/>
        <w:rPr>
          <w:highlight w:val="none"/>
        </w:rPr>
      </w:pPr>
      <w:r>
        <w:rPr>
          <w:highlight w:val="none"/>
        </w:rPr>
        <w:t>流平性好，无镘刀痕，大面积接口处基本平整。</w:t>
      </w:r>
    </w:p>
    <w:p>
      <w:pPr>
        <w:numPr>
          <w:ilvl w:val="0"/>
          <w:numId w:val="41"/>
        </w:numPr>
        <w:spacing w:line="360" w:lineRule="auto"/>
        <w:rPr>
          <w:highlight w:val="none"/>
        </w:rPr>
      </w:pPr>
      <w:r>
        <w:rPr>
          <w:highlight w:val="none"/>
        </w:rPr>
        <w:t>无浮色发花，颜色均匀一致，大面积接口处允许有极不明显的色差。</w:t>
      </w:r>
    </w:p>
    <w:p>
      <w:pPr>
        <w:numPr>
          <w:ilvl w:val="0"/>
          <w:numId w:val="41"/>
        </w:numPr>
        <w:spacing w:line="360" w:lineRule="auto"/>
        <w:rPr>
          <w:highlight w:val="none"/>
        </w:rPr>
      </w:pPr>
      <w:r>
        <w:rPr>
          <w:highlight w:val="none"/>
        </w:rPr>
        <w:t>无粗杂质，但允许有空气中的浮尘掉落在造成的极小缺陷。</w:t>
      </w:r>
    </w:p>
    <w:p>
      <w:pPr>
        <w:numPr>
          <w:ilvl w:val="0"/>
          <w:numId w:val="41"/>
        </w:numPr>
        <w:spacing w:line="360" w:lineRule="auto"/>
        <w:rPr>
          <w:highlight w:val="none"/>
        </w:rPr>
      </w:pPr>
      <w:r>
        <w:rPr>
          <w:highlight w:val="none"/>
        </w:rPr>
        <w:t>地坪表面应平整平滑，光泽度应达到设计要求。</w:t>
      </w:r>
    </w:p>
    <w:p>
      <w:pPr>
        <w:pStyle w:val="5"/>
        <w:spacing w:before="163" w:after="163"/>
        <w:rPr>
          <w:highlight w:val="none"/>
        </w:rPr>
      </w:pPr>
      <w:r>
        <w:rPr>
          <w:highlight w:val="none"/>
        </w:rPr>
        <w:t>9.2.2.2水性防静电环氧自流平</w:t>
      </w:r>
    </w:p>
    <w:p>
      <w:pPr>
        <w:numPr>
          <w:ilvl w:val="0"/>
          <w:numId w:val="42"/>
        </w:numPr>
        <w:spacing w:line="360" w:lineRule="auto"/>
        <w:ind w:left="0" w:firstLine="0"/>
        <w:rPr>
          <w:highlight w:val="none"/>
        </w:rPr>
      </w:pPr>
      <w:r>
        <w:rPr>
          <w:highlight w:val="none"/>
        </w:rPr>
        <w:t>防静电环氧树脂自流平地面应包括底涂层、中涂层、导电铜箔网格、防静电碳粉层和面涂层。中涂层包括环氧树脂砂浆层和腻子层，中涂层和面涂层厚度均应不小于1.5mm。</w:t>
      </w:r>
    </w:p>
    <w:p>
      <w:pPr>
        <w:numPr>
          <w:ilvl w:val="0"/>
          <w:numId w:val="42"/>
        </w:numPr>
        <w:spacing w:line="360" w:lineRule="auto"/>
        <w:ind w:left="0" w:firstLine="0"/>
        <w:rPr>
          <w:highlight w:val="none"/>
        </w:rPr>
      </w:pPr>
      <w:r>
        <w:rPr>
          <w:highlight w:val="none"/>
        </w:rPr>
        <w:t>防静电环氧树脂自流平地面用的底涂料应选用环氧地坪漆专用封底底漆；腻子应选用环氧导电腻子和环氧砂浆等；面涂料应选用环氧自流平导电地坪漆，产品应符合HG/T2004-1991《水泥地板用漆》标准的规定。</w:t>
      </w:r>
    </w:p>
    <w:p>
      <w:pPr>
        <w:numPr>
          <w:ilvl w:val="0"/>
          <w:numId w:val="42"/>
        </w:numPr>
        <w:spacing w:line="360" w:lineRule="auto"/>
        <w:ind w:left="0" w:firstLine="0"/>
        <w:rPr>
          <w:highlight w:val="none"/>
        </w:rPr>
      </w:pPr>
      <w:r>
        <w:rPr>
          <w:highlight w:val="none"/>
        </w:rPr>
        <w:t>地面施工前应经检测基层平整度和含水率。在深度为20mm的厚度层内，含水率不应大于7%。其平整度应采用2m直尺检查，允许空隙不应大于2mm。未经检验合格的基层不得进行施工。</w:t>
      </w:r>
    </w:p>
    <w:p>
      <w:pPr>
        <w:numPr>
          <w:ilvl w:val="0"/>
          <w:numId w:val="42"/>
        </w:numPr>
        <w:spacing w:line="360" w:lineRule="auto"/>
        <w:ind w:left="0" w:firstLine="0"/>
        <w:rPr>
          <w:highlight w:val="none"/>
        </w:rPr>
      </w:pPr>
      <w:r>
        <w:rPr>
          <w:highlight w:val="none"/>
        </w:rPr>
        <w:t>施工面积大于100m</w:t>
      </w:r>
      <w:r>
        <w:rPr>
          <w:highlight w:val="none"/>
          <w:vertAlign w:val="superscript"/>
        </w:rPr>
        <w:t>2</w:t>
      </w:r>
      <w:r>
        <w:rPr>
          <w:highlight w:val="none"/>
        </w:rPr>
        <w:t>（含100m</w:t>
      </w:r>
      <w:r>
        <w:rPr>
          <w:highlight w:val="none"/>
          <w:vertAlign w:val="superscript"/>
        </w:rPr>
        <w:t>2</w:t>
      </w:r>
      <w:r>
        <w:rPr>
          <w:highlight w:val="none"/>
        </w:rPr>
        <w:t>）时，应按设计要求做出样板，经设计、建设单位认可后，作为验收依据。</w:t>
      </w:r>
    </w:p>
    <w:p>
      <w:pPr>
        <w:numPr>
          <w:ilvl w:val="0"/>
          <w:numId w:val="42"/>
        </w:numPr>
        <w:spacing w:line="360" w:lineRule="auto"/>
        <w:ind w:left="0" w:firstLine="0"/>
        <w:rPr>
          <w:highlight w:val="none"/>
        </w:rPr>
      </w:pPr>
      <w:r>
        <w:rPr>
          <w:highlight w:val="none"/>
        </w:rPr>
        <w:t>导电底涂层的表面电阻应在1.0×105~1.0×109Ω，底涂层、中涂层和面涂层的电阻率均应在l04Ωm以下。</w:t>
      </w:r>
    </w:p>
    <w:p>
      <w:pPr>
        <w:numPr>
          <w:ilvl w:val="0"/>
          <w:numId w:val="42"/>
        </w:numPr>
        <w:spacing w:line="360" w:lineRule="auto"/>
        <w:ind w:left="0" w:firstLine="0"/>
        <w:rPr>
          <w:highlight w:val="none"/>
        </w:rPr>
      </w:pPr>
      <w:r>
        <w:rPr>
          <w:highlight w:val="none"/>
        </w:rPr>
        <w:t>铺设面积在100m</w:t>
      </w:r>
      <w:r>
        <w:rPr>
          <w:highlight w:val="none"/>
          <w:vertAlign w:val="superscript"/>
        </w:rPr>
        <w:t>2</w:t>
      </w:r>
      <w:r>
        <w:rPr>
          <w:highlight w:val="none"/>
        </w:rPr>
        <w:t>以上时，接地端子应不少于2个，面积每增加100m</w:t>
      </w:r>
      <w:r>
        <w:rPr>
          <w:highlight w:val="none"/>
          <w:vertAlign w:val="superscript"/>
        </w:rPr>
        <w:t>2</w:t>
      </w:r>
      <w:r>
        <w:rPr>
          <w:highlight w:val="none"/>
        </w:rPr>
        <w:t>，应增设接地端子2个。</w:t>
      </w:r>
    </w:p>
    <w:p>
      <w:pPr>
        <w:numPr>
          <w:ilvl w:val="0"/>
          <w:numId w:val="42"/>
        </w:numPr>
        <w:spacing w:line="360" w:lineRule="auto"/>
        <w:ind w:left="0" w:firstLine="0"/>
        <w:rPr>
          <w:highlight w:val="none"/>
        </w:rPr>
      </w:pPr>
      <w:r>
        <w:rPr>
          <w:highlight w:val="none"/>
        </w:rPr>
        <w:t>导电地网用铜箔厚度应不小于0.05mm，宽度宜为25mm。铜箔条的铺设应平直，不得卷曲，也不得间断，采用万用表检测铜网确认全部形成通路。与接地端子连接的铜箔应留有足够长度，接地电阻应小于10Ω。</w:t>
      </w:r>
    </w:p>
    <w:p>
      <w:pPr>
        <w:numPr>
          <w:ilvl w:val="0"/>
          <w:numId w:val="42"/>
        </w:numPr>
        <w:spacing w:line="360" w:lineRule="auto"/>
        <w:ind w:left="0" w:firstLine="0"/>
        <w:rPr>
          <w:highlight w:val="none"/>
        </w:rPr>
      </w:pPr>
      <w:r>
        <w:rPr>
          <w:highlight w:val="none"/>
        </w:rPr>
        <w:t>地面养护期间，应避免水等介质接触漆面，避免硬物磨擦和划伤等。在确认地面完全固化及满足质量要求后，须涂一道养护蜡保护涂膜表面。</w:t>
      </w:r>
    </w:p>
    <w:p>
      <w:pPr>
        <w:pStyle w:val="4"/>
        <w:rPr>
          <w:sz w:val="24"/>
          <w:szCs w:val="24"/>
          <w:highlight w:val="none"/>
        </w:rPr>
      </w:pPr>
      <w:bookmarkStart w:id="151" w:name="_Toc133335433"/>
      <w:r>
        <w:rPr>
          <w:sz w:val="24"/>
          <w:szCs w:val="24"/>
          <w:highlight w:val="none"/>
        </w:rPr>
        <w:t>9.2.3不锈钢地面</w:t>
      </w:r>
      <w:bookmarkEnd w:id="151"/>
    </w:p>
    <w:p>
      <w:pPr>
        <w:rPr>
          <w:highlight w:val="none"/>
        </w:rPr>
      </w:pPr>
      <w:r>
        <w:rPr>
          <w:highlight w:val="none"/>
        </w:rPr>
        <w:t>9.2.3.1不锈钢地面应包括底涂层、找平层和不锈钢板三部分。</w:t>
      </w:r>
    </w:p>
    <w:p>
      <w:pPr>
        <w:rPr>
          <w:highlight w:val="none"/>
        </w:rPr>
      </w:pPr>
      <w:r>
        <w:rPr>
          <w:highlight w:val="none"/>
        </w:rPr>
        <w:t>9.2.3.2地面施工前应经检测基层平整度和含水率。在深度为20mm的厚度层内，含水率不应大于4%。其平整度应采用2m直尺检查，允许空隙不应大于0.5mm。未经检验合格的基层不得进行施工。</w:t>
      </w:r>
    </w:p>
    <w:p>
      <w:pPr>
        <w:rPr>
          <w:highlight w:val="none"/>
        </w:rPr>
      </w:pPr>
      <w:r>
        <w:rPr>
          <w:highlight w:val="none"/>
        </w:rPr>
        <w:t>9.2.3.3找平层厚度应不小于3mm，不锈钢板实际厚度应不低于2mm，材质应为（SUS）304，品牌应为上海宝钢或同等级。</w:t>
      </w:r>
    </w:p>
    <w:p>
      <w:pPr>
        <w:rPr>
          <w:highlight w:val="none"/>
        </w:rPr>
      </w:pPr>
      <w:r>
        <w:rPr>
          <w:highlight w:val="none"/>
        </w:rPr>
        <w:t>9.2.3.4不锈钢板间的连接采用点焊方式,不锈钢板铺设应与地面连接牢固，应确保1000kg重多轮车常年通行不会发生形变，采用导电线与建筑接地柱可靠连接，每18m-24m接地一次（甲方负责接地柱点位预埋）。可参考如下图1、2的方式制作：</w:t>
      </w:r>
    </w:p>
    <w:p>
      <w:pPr>
        <w:jc w:val="center"/>
        <w:rPr>
          <w:highlight w:val="none"/>
        </w:rPr>
      </w:pPr>
      <w:r>
        <w:rPr>
          <w:highlight w:val="none"/>
        </w:rPr>
        <w:drawing>
          <wp:inline distT="0" distB="0" distL="114300" distR="114300">
            <wp:extent cx="6121400" cy="2385060"/>
            <wp:effectExtent l="0" t="0" r="12700" b="15240"/>
            <wp:docPr id="16" name="图片 1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descript"/>
                    <pic:cNvPicPr>
                      <a:picLocks noChangeAspect="1"/>
                    </pic:cNvPicPr>
                  </pic:nvPicPr>
                  <pic:blipFill>
                    <a:blip r:embed="rId29"/>
                    <a:stretch>
                      <a:fillRect/>
                    </a:stretch>
                  </pic:blipFill>
                  <pic:spPr>
                    <a:xfrm>
                      <a:off x="0" y="0"/>
                      <a:ext cx="6121400" cy="2385060"/>
                    </a:xfrm>
                    <a:prstGeom prst="rect">
                      <a:avLst/>
                    </a:prstGeom>
                    <a:noFill/>
                    <a:ln>
                      <a:noFill/>
                    </a:ln>
                  </pic:spPr>
                </pic:pic>
              </a:graphicData>
            </a:graphic>
          </wp:inline>
        </w:drawing>
      </w:r>
      <w:r>
        <w:rPr>
          <w:highlight w:val="none"/>
        </w:rPr>
        <w:t>图1不锈钢板打胶、拼接、焊接方式</w:t>
      </w:r>
    </w:p>
    <w:p>
      <w:pPr>
        <w:rPr>
          <w:highlight w:val="none"/>
        </w:rPr>
      </w:pPr>
    </w:p>
    <w:p>
      <w:pPr>
        <w:rPr>
          <w:highlight w:val="none"/>
        </w:rPr>
      </w:pPr>
      <w:r>
        <w:rPr>
          <w:highlight w:val="none"/>
        </w:rPr>
        <w:drawing>
          <wp:inline distT="0" distB="0" distL="114300" distR="114300">
            <wp:extent cx="6123305" cy="1724025"/>
            <wp:effectExtent l="0" t="0" r="10795" b="9525"/>
            <wp:docPr id="30" name="图片 2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descript"/>
                    <pic:cNvPicPr>
                      <a:picLocks noChangeAspect="1"/>
                    </pic:cNvPicPr>
                  </pic:nvPicPr>
                  <pic:blipFill>
                    <a:blip r:embed="rId30"/>
                    <a:stretch>
                      <a:fillRect/>
                    </a:stretch>
                  </pic:blipFill>
                  <pic:spPr>
                    <a:xfrm>
                      <a:off x="0" y="0"/>
                      <a:ext cx="6123305" cy="1724025"/>
                    </a:xfrm>
                    <a:prstGeom prst="rect">
                      <a:avLst/>
                    </a:prstGeom>
                    <a:noFill/>
                    <a:ln>
                      <a:noFill/>
                    </a:ln>
                  </pic:spPr>
                </pic:pic>
              </a:graphicData>
            </a:graphic>
          </wp:inline>
        </w:drawing>
      </w:r>
    </w:p>
    <w:p>
      <w:pPr>
        <w:jc w:val="center"/>
        <w:rPr>
          <w:highlight w:val="none"/>
        </w:rPr>
      </w:pPr>
      <w:r>
        <w:rPr>
          <w:highlight w:val="none"/>
        </w:rPr>
        <w:t>图2不锈钢板固定方式</w:t>
      </w:r>
    </w:p>
    <w:p>
      <w:pPr>
        <w:rPr>
          <w:highlight w:val="none"/>
        </w:rPr>
      </w:pPr>
      <w:r>
        <w:rPr>
          <w:highlight w:val="none"/>
        </w:rPr>
        <w:t>9.2.3.5不锈钢施工需要达表1的要求：</w:t>
      </w:r>
    </w:p>
    <w:p>
      <w:pPr>
        <w:jc w:val="center"/>
        <w:rPr>
          <w:highlight w:val="none"/>
        </w:rPr>
      </w:pPr>
      <w:r>
        <w:rPr>
          <w:highlight w:val="none"/>
        </w:rPr>
        <w:t>表1不锈钢地面施工要求</w:t>
      </w:r>
    </w:p>
    <w:tbl>
      <w:tblPr>
        <w:tblStyle w:val="16"/>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965"/>
        <w:gridCol w:w="1665"/>
        <w:gridCol w:w="4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编号</w:t>
            </w:r>
          </w:p>
        </w:tc>
        <w:tc>
          <w:tcPr>
            <w:tcW w:w="196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项目</w:t>
            </w:r>
          </w:p>
        </w:tc>
        <w:tc>
          <w:tcPr>
            <w:tcW w:w="166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允许偏差</w:t>
            </w:r>
          </w:p>
        </w:tc>
        <w:tc>
          <w:tcPr>
            <w:tcW w:w="46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1</w:t>
            </w:r>
          </w:p>
        </w:tc>
        <w:tc>
          <w:tcPr>
            <w:tcW w:w="19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阳角方正</w:t>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±0.5mm</w:t>
            </w:r>
          </w:p>
        </w:tc>
        <w:tc>
          <w:tcPr>
            <w:tcW w:w="4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用200mm方尺检查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2</w:t>
            </w:r>
          </w:p>
        </w:tc>
        <w:tc>
          <w:tcPr>
            <w:tcW w:w="19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接缝平直</w:t>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±0.5mm</w:t>
            </w:r>
          </w:p>
        </w:tc>
        <w:tc>
          <w:tcPr>
            <w:tcW w:w="4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pacing w:val="-4"/>
                <w:szCs w:val="21"/>
                <w:highlight w:val="none"/>
              </w:rPr>
              <w:t>拉5</w:t>
            </w:r>
            <w:r>
              <w:rPr>
                <w:color w:val="000000"/>
                <w:szCs w:val="21"/>
                <w:highlight w:val="none"/>
              </w:rPr>
              <w:t>m</w:t>
            </w:r>
            <w:r>
              <w:rPr>
                <w:color w:val="000000"/>
                <w:spacing w:val="-4"/>
                <w:szCs w:val="21"/>
                <w:highlight w:val="none"/>
              </w:rPr>
              <w:t>线检查，不足5</w:t>
            </w:r>
            <w:r>
              <w:rPr>
                <w:color w:val="000000"/>
                <w:szCs w:val="21"/>
                <w:highlight w:val="none"/>
              </w:rPr>
              <w:t>m</w:t>
            </w:r>
            <w:r>
              <w:rPr>
                <w:color w:val="000000"/>
                <w:spacing w:val="-4"/>
                <w:szCs w:val="21"/>
                <w:highlight w:val="none"/>
              </w:rPr>
              <w:t>，拉通线检查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3</w:t>
            </w:r>
          </w:p>
        </w:tc>
        <w:tc>
          <w:tcPr>
            <w:tcW w:w="19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接缝高低</w:t>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±0.5mm</w:t>
            </w:r>
          </w:p>
        </w:tc>
        <w:tc>
          <w:tcPr>
            <w:tcW w:w="4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用直尺和楔形塞尺检查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4</w:t>
            </w:r>
          </w:p>
        </w:tc>
        <w:tc>
          <w:tcPr>
            <w:tcW w:w="19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接缝宽度</w:t>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±0.5mm</w:t>
            </w:r>
          </w:p>
        </w:tc>
        <w:tc>
          <w:tcPr>
            <w:tcW w:w="4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snapToGrid w:val="0"/>
              <w:jc w:val="center"/>
              <w:rPr>
                <w:szCs w:val="21"/>
                <w:highlight w:val="none"/>
              </w:rPr>
            </w:pPr>
            <w:r>
              <w:rPr>
                <w:color w:val="000000"/>
                <w:szCs w:val="21"/>
                <w:highlight w:val="none"/>
              </w:rPr>
              <w:t>用尺检查</w:t>
            </w:r>
          </w:p>
        </w:tc>
      </w:tr>
    </w:tbl>
    <w:p>
      <w:pPr>
        <w:rPr>
          <w:highlight w:val="none"/>
        </w:rPr>
      </w:pPr>
      <w:r>
        <w:rPr>
          <w:highlight w:val="none"/>
        </w:rPr>
        <w:t>9.2.3.6不锈钢板应具有防滑措施，同时方便清洁打扫。</w:t>
      </w:r>
    </w:p>
    <w:p>
      <w:pPr>
        <w:rPr>
          <w:highlight w:val="none"/>
        </w:rPr>
      </w:pPr>
      <w:r>
        <w:rPr>
          <w:highlight w:val="none"/>
        </w:rPr>
        <w:t>9.2.3.7不锈钢面层与相邻的自流平地面层应平齐，高度差小于0.5mm。</w:t>
      </w:r>
    </w:p>
    <w:p>
      <w:pPr>
        <w:pStyle w:val="4"/>
        <w:rPr>
          <w:highlight w:val="none"/>
        </w:rPr>
      </w:pPr>
      <w:bookmarkStart w:id="152" w:name="_Toc133335434"/>
      <w:r>
        <w:rPr>
          <w:highlight w:val="none"/>
        </w:rPr>
        <w:t>9.2.4聚氨酯地面</w:t>
      </w:r>
      <w:bookmarkEnd w:id="152"/>
    </w:p>
    <w:p>
      <w:pPr>
        <w:rPr>
          <w:highlight w:val="none"/>
        </w:rPr>
      </w:pPr>
      <w:r>
        <w:rPr>
          <w:highlight w:val="none"/>
        </w:rPr>
        <w:t>9.2.4.1聚氨酯地面应包括底涂层、中涂层、腻子层、聚氨酯面涂层；</w:t>
      </w:r>
    </w:p>
    <w:p>
      <w:pPr>
        <w:rPr>
          <w:highlight w:val="none"/>
        </w:rPr>
      </w:pPr>
      <w:r>
        <w:rPr>
          <w:highlight w:val="none"/>
        </w:rPr>
        <w:drawing>
          <wp:inline distT="0" distB="0" distL="114300" distR="114300">
            <wp:extent cx="4610735" cy="1561465"/>
            <wp:effectExtent l="0" t="0" r="18415" b="635"/>
            <wp:docPr id="36" name="图片 2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descr="descript"/>
                    <pic:cNvPicPr>
                      <a:picLocks noChangeAspect="1"/>
                    </pic:cNvPicPr>
                  </pic:nvPicPr>
                  <pic:blipFill>
                    <a:blip r:embed="rId31"/>
                    <a:stretch>
                      <a:fillRect/>
                    </a:stretch>
                  </pic:blipFill>
                  <pic:spPr>
                    <a:xfrm>
                      <a:off x="0" y="0"/>
                      <a:ext cx="4610735" cy="1561465"/>
                    </a:xfrm>
                    <a:prstGeom prst="rect">
                      <a:avLst/>
                    </a:prstGeom>
                    <a:noFill/>
                    <a:ln>
                      <a:noFill/>
                    </a:ln>
                  </pic:spPr>
                </pic:pic>
              </a:graphicData>
            </a:graphic>
          </wp:inline>
        </w:drawing>
      </w:r>
    </w:p>
    <w:p>
      <w:pPr>
        <w:rPr>
          <w:highlight w:val="none"/>
        </w:rPr>
      </w:pPr>
      <w:r>
        <w:rPr>
          <w:highlight w:val="none"/>
        </w:rPr>
        <w:t>9.2.4.2聚氨酯地面用的底涂料应选用环氧地坪漆专用封底底漆；腻子应选用环氧导电腻子和环氧砂浆等；面涂料应选用聚氨酯地坪涂料面漆，产品应符合HG/T2004-1991《水泥地板用漆》标准的规定；</w:t>
      </w:r>
    </w:p>
    <w:p>
      <w:pPr>
        <w:rPr>
          <w:highlight w:val="none"/>
        </w:rPr>
      </w:pPr>
      <w:r>
        <w:rPr>
          <w:highlight w:val="none"/>
        </w:rPr>
        <w:t>9.2.4.3底漆应选用高渗透环氧底涂，同时满足如下要求：</w:t>
      </w:r>
    </w:p>
    <w:tbl>
      <w:tblPr>
        <w:tblStyle w:val="16"/>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772"/>
        <w:gridCol w:w="3810"/>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1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序号</w:t>
            </w:r>
          </w:p>
        </w:tc>
        <w:tc>
          <w:tcPr>
            <w:tcW w:w="277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38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技术指标</w:t>
            </w:r>
          </w:p>
        </w:tc>
        <w:tc>
          <w:tcPr>
            <w:tcW w:w="88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1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277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容器中状态</w:t>
            </w:r>
          </w:p>
        </w:tc>
        <w:tc>
          <w:tcPr>
            <w:tcW w:w="381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搅拌均匀无硬块</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1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277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混合后固体含量</w:t>
            </w:r>
          </w:p>
        </w:tc>
        <w:tc>
          <w:tcPr>
            <w:tcW w:w="381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≥60%</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1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77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干燥时间</w:t>
            </w:r>
          </w:p>
        </w:tc>
        <w:tc>
          <w:tcPr>
            <w:tcW w:w="381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表干≤4h；实干≤24h</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41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277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涂层表面</w:t>
            </w:r>
          </w:p>
        </w:tc>
        <w:tc>
          <w:tcPr>
            <w:tcW w:w="381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平整，无刷痕、折皱、针孔、</w:t>
            </w:r>
          </w:p>
          <w:p>
            <w:pPr>
              <w:jc w:val="center"/>
              <w:rPr>
                <w:szCs w:val="21"/>
                <w:highlight w:val="none"/>
              </w:rPr>
            </w:pPr>
            <w:r>
              <w:rPr>
                <w:szCs w:val="21"/>
                <w:highlight w:val="none"/>
              </w:rPr>
              <w:t>气泡等缺陷</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1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c>
          <w:tcPr>
            <w:tcW w:w="277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拉伸粘结强度（MPa）</w:t>
            </w:r>
          </w:p>
        </w:tc>
        <w:tc>
          <w:tcPr>
            <w:tcW w:w="381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bl>
    <w:p>
      <w:pPr>
        <w:rPr>
          <w:highlight w:val="none"/>
        </w:rPr>
      </w:pPr>
      <w:r>
        <w:rPr>
          <w:highlight w:val="none"/>
        </w:rPr>
        <w:t>9.2.4.4聚氨酯面涂应满足如下要求：</w:t>
      </w:r>
    </w:p>
    <w:tbl>
      <w:tblPr>
        <w:tblStyle w:val="16"/>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2693"/>
        <w:gridCol w:w="3232"/>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序号</w:t>
            </w:r>
          </w:p>
        </w:tc>
        <w:tc>
          <w:tcPr>
            <w:tcW w:w="26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323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技术指标</w:t>
            </w:r>
          </w:p>
        </w:tc>
        <w:tc>
          <w:tcPr>
            <w:tcW w:w="144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容器中状态</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搅拌均匀无硬块</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混合后固体含量</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≥60%</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干燥时间</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表干≤6h；实干≤24h</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涂层表面</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平整，无刷痕、折皱、针孔、</w:t>
            </w:r>
          </w:p>
          <w:p>
            <w:pPr>
              <w:jc w:val="center"/>
              <w:rPr>
                <w:szCs w:val="21"/>
                <w:highlight w:val="none"/>
              </w:rPr>
            </w:pPr>
            <w:r>
              <w:rPr>
                <w:szCs w:val="21"/>
                <w:highlight w:val="none"/>
              </w:rPr>
              <w:t>气泡等缺陷</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硬度（邵氏硬度计D型）</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≥75</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抗冲击性</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涂膜无裂纹，无剥落及明显变形</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耐磨性（750g/500r）/g</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≤0.020</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粘结强度</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≥3MPa</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9</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抗压强度</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≥80MPa</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耐水性</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48H无变化</w:t>
            </w:r>
          </w:p>
        </w:tc>
        <w:tc>
          <w:tcPr>
            <w:tcW w:w="14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11</w:t>
            </w:r>
          </w:p>
        </w:tc>
        <w:tc>
          <w:tcPr>
            <w:tcW w:w="26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NaCl,30%、Anti-NaCl,30%；</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13天无变化</w:t>
            </w:r>
          </w:p>
        </w:tc>
        <w:tc>
          <w:tcPr>
            <w:tcW w:w="1446"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涂膜完整，不起泡、不剥落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6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NaOH,10%、Anti-NaOH,10%；</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56天无变化</w:t>
            </w:r>
          </w:p>
        </w:tc>
        <w:tc>
          <w:tcPr>
            <w:tcW w:w="1446"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1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6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H2SO4,10%、Anti- H2SO4,10%；</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56天无变化</w:t>
            </w:r>
          </w:p>
        </w:tc>
        <w:tc>
          <w:tcPr>
            <w:tcW w:w="1446"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41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6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汽油，机油Anti-petrol</w:t>
            </w:r>
          </w:p>
        </w:tc>
        <w:tc>
          <w:tcPr>
            <w:tcW w:w="323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56天无变化</w:t>
            </w:r>
          </w:p>
        </w:tc>
        <w:tc>
          <w:tcPr>
            <w:tcW w:w="1446"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bl>
    <w:p>
      <w:pPr>
        <w:rPr>
          <w:szCs w:val="24"/>
          <w:highlight w:val="none"/>
        </w:rPr>
      </w:pPr>
      <w:r>
        <w:rPr>
          <w:szCs w:val="24"/>
          <w:highlight w:val="none"/>
        </w:rPr>
        <w:t>9.2.4.5施工后的保护</w:t>
      </w:r>
    </w:p>
    <w:p>
      <w:pPr>
        <w:ind w:firstLine="420" w:firstLineChars="200"/>
        <w:rPr>
          <w:highlight w:val="none"/>
        </w:rPr>
      </w:pPr>
      <w:r>
        <w:rPr>
          <w:highlight w:val="none"/>
        </w:rPr>
        <w:t xml:space="preserve">聚氨酯地坪固化的时间取决于环境的温度、湿度。在满足施工要求的情况下，一个晚上便可不粘尘，上人行走，5天后完全固化。为了达到最佳的施工效果，在24小时内须防止灰尘、杂物、水、动物、人等的侵入。 </w:t>
      </w:r>
    </w:p>
    <w:p>
      <w:pPr>
        <w:pStyle w:val="4"/>
        <w:rPr>
          <w:highlight w:val="none"/>
        </w:rPr>
      </w:pPr>
      <w:bookmarkStart w:id="153" w:name="_Toc133335435"/>
      <w:r>
        <w:rPr>
          <w:highlight w:val="none"/>
        </w:rPr>
        <w:t>9.2.5PVC塑胶地板</w:t>
      </w:r>
      <w:bookmarkEnd w:id="153"/>
    </w:p>
    <w:p>
      <w:pPr>
        <w:pStyle w:val="20"/>
        <w:ind w:firstLine="482"/>
        <w:rPr>
          <w:b/>
          <w:sz w:val="24"/>
          <w:highlight w:val="none"/>
        </w:rPr>
      </w:pPr>
      <w:r>
        <w:rPr>
          <w:b/>
          <w:sz w:val="24"/>
          <w:highlight w:val="none"/>
        </w:rPr>
        <w:t>9.2.5.1PVC塑胶地板性能</w:t>
      </w:r>
    </w:p>
    <w:tbl>
      <w:tblPr>
        <w:tblStyle w:val="16"/>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密度</w:t>
            </w:r>
          </w:p>
        </w:tc>
        <w:tc>
          <w:tcPr>
            <w:tcW w:w="4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1380 kg/m</w:t>
            </w:r>
            <w:r>
              <w:rPr>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杨氏弹性模量(E)</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2900-3400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拉伸强度(σt)</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50-80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Elongation @ break</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Notch test</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2-5 kJ/m</w:t>
            </w:r>
            <w:r>
              <w:rPr>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玻璃转变温度</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熔点</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Vicat B1</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导热率 (λ)</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0.16 W/m.K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热膨胀系数 (α)</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 10-5 /K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热容 (c)</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0.9 kJ/(kg·K)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吸水率 (ASTM)</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Price</w:t>
            </w:r>
          </w:p>
        </w:tc>
        <w:tc>
          <w:tcPr>
            <w:tcW w:w="426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0.5-1.25</w:t>
            </w:r>
          </w:p>
        </w:tc>
      </w:tr>
    </w:tbl>
    <w:p>
      <w:pPr>
        <w:pStyle w:val="20"/>
        <w:ind w:firstLine="482"/>
        <w:rPr>
          <w:b/>
          <w:sz w:val="24"/>
          <w:highlight w:val="none"/>
        </w:rPr>
      </w:pPr>
      <w:r>
        <w:rPr>
          <w:b/>
          <w:sz w:val="24"/>
          <w:highlight w:val="none"/>
        </w:rPr>
        <w:t>9.2.5.2PVC塑胶地板保养和清洁</w:t>
      </w:r>
    </w:p>
    <w:p>
      <w:pPr>
        <w:numPr>
          <w:ilvl w:val="0"/>
          <w:numId w:val="43"/>
        </w:numPr>
        <w:spacing w:line="360" w:lineRule="auto"/>
        <w:ind w:left="0" w:firstLine="0"/>
        <w:rPr>
          <w:highlight w:val="none"/>
        </w:rPr>
      </w:pPr>
      <w:r>
        <w:rPr>
          <w:highlight w:val="none"/>
        </w:rPr>
        <w:t>完工后彻底清扫或使用吸尘器，将地面所有残留物清除干净，使用高品质的商用蜡水进行耐污处理。</w:t>
      </w:r>
    </w:p>
    <w:p>
      <w:pPr>
        <w:numPr>
          <w:ilvl w:val="0"/>
          <w:numId w:val="43"/>
        </w:numPr>
        <w:spacing w:line="360" w:lineRule="auto"/>
        <w:rPr>
          <w:highlight w:val="none"/>
        </w:rPr>
      </w:pPr>
      <w:r>
        <w:rPr>
          <w:highlight w:val="none"/>
        </w:rPr>
        <w:t>完工后24小时内，不要使用场所。</w:t>
      </w:r>
    </w:p>
    <w:p>
      <w:pPr>
        <w:pStyle w:val="4"/>
        <w:rPr>
          <w:highlight w:val="none"/>
        </w:rPr>
      </w:pPr>
      <w:bookmarkStart w:id="154" w:name="_Toc133335436"/>
      <w:r>
        <w:rPr>
          <w:highlight w:val="none"/>
        </w:rPr>
        <w:t>9.2.6防静电架空地面</w:t>
      </w:r>
      <w:bookmarkEnd w:id="154"/>
    </w:p>
    <w:p>
      <w:pPr>
        <w:rPr>
          <w:highlight w:val="none"/>
        </w:rPr>
      </w:pPr>
      <w:r>
        <w:rPr>
          <w:highlight w:val="none"/>
        </w:rPr>
        <w:t>9.2.6.1技术要求</w:t>
      </w:r>
    </w:p>
    <w:p>
      <w:pPr>
        <w:numPr>
          <w:ilvl w:val="0"/>
          <w:numId w:val="44"/>
        </w:numPr>
        <w:spacing w:line="360" w:lineRule="auto"/>
        <w:ind w:left="0" w:firstLine="0"/>
        <w:rPr>
          <w:highlight w:val="none"/>
        </w:rPr>
      </w:pPr>
      <w:r>
        <w:rPr>
          <w:highlight w:val="none"/>
        </w:rPr>
        <w:t>使用材料应符合国家标准和设计要求，防火等级应符合GB50222-1995《建筑内部装修设计防火规范》的要求。</w:t>
      </w:r>
    </w:p>
    <w:p>
      <w:pPr>
        <w:numPr>
          <w:ilvl w:val="0"/>
          <w:numId w:val="44"/>
        </w:numPr>
        <w:spacing w:line="360" w:lineRule="auto"/>
        <w:rPr>
          <w:highlight w:val="none"/>
        </w:rPr>
      </w:pPr>
      <w:r>
        <w:rPr>
          <w:highlight w:val="none"/>
        </w:rPr>
        <w:t>地板板体为优质冷扎合金钢板、冲压六角杯窝结构，地板内部填充待制发泡永泥。</w:t>
      </w:r>
    </w:p>
    <w:p>
      <w:pPr>
        <w:numPr>
          <w:ilvl w:val="0"/>
          <w:numId w:val="44"/>
        </w:numPr>
        <w:spacing w:line="360" w:lineRule="auto"/>
        <w:rPr>
          <w:highlight w:val="none"/>
        </w:rPr>
      </w:pPr>
      <w:r>
        <w:rPr>
          <w:highlight w:val="none"/>
        </w:rPr>
        <w:t>地板应可自由拆卸互换，并有较高的制作精度，以保证地板使用时所需的密闭性。</w:t>
      </w:r>
    </w:p>
    <w:p>
      <w:pPr>
        <w:numPr>
          <w:ilvl w:val="0"/>
          <w:numId w:val="44"/>
        </w:numPr>
        <w:spacing w:line="360" w:lineRule="auto"/>
        <w:rPr>
          <w:highlight w:val="none"/>
        </w:rPr>
      </w:pPr>
      <w:r>
        <w:rPr>
          <w:highlight w:val="none"/>
        </w:rPr>
        <w:t>地板表面为PVC导电胶板装饰板材，厚度为1.2 mm、不打滑、耐磨、耐污染。</w:t>
      </w:r>
    </w:p>
    <w:p>
      <w:pPr>
        <w:numPr>
          <w:ilvl w:val="0"/>
          <w:numId w:val="44"/>
        </w:numPr>
        <w:spacing w:line="360" w:lineRule="auto"/>
        <w:ind w:left="0" w:firstLine="0"/>
        <w:rPr>
          <w:highlight w:val="none"/>
        </w:rPr>
      </w:pPr>
      <w:r>
        <w:rPr>
          <w:highlight w:val="none"/>
        </w:rPr>
        <w:t>基层结构为钢制结构，所有钢附件表面热浸镀锌达到《金属覆盖层 钢铁制件热浸镀锌层技术 要求及试验方法》（GB/T13912-2002）标准。</w:t>
      </w:r>
    </w:p>
    <w:p>
      <w:pPr>
        <w:rPr>
          <w:highlight w:val="none"/>
        </w:rPr>
      </w:pPr>
      <w:r>
        <w:rPr>
          <w:highlight w:val="none"/>
        </w:rPr>
        <w:t>9.2.6.2防静电地板尺寸的允许偏差应符合下表要求：</w:t>
      </w:r>
    </w:p>
    <w:tbl>
      <w:tblPr>
        <w:tblStyle w:val="16"/>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 目</w:t>
            </w:r>
          </w:p>
        </w:tc>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允许偏差值mm</w:t>
            </w:r>
          </w:p>
        </w:tc>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长度、宽度</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士0.5mm</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用钢尺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厚 度</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-0.5~1mm</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用最小读数为0.02mm游标卡尺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边直度</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±1mm</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按GB 11948检查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直角度</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±0.2%</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按GB 11948检查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中心弯曲度</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&lt;0.7mm</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按GB 11948检查</w:t>
            </w:r>
          </w:p>
        </w:tc>
      </w:tr>
    </w:tbl>
    <w:p>
      <w:pPr>
        <w:rPr>
          <w:b/>
          <w:szCs w:val="24"/>
          <w:highlight w:val="none"/>
        </w:rPr>
      </w:pPr>
      <w:r>
        <w:rPr>
          <w:b/>
          <w:szCs w:val="24"/>
          <w:highlight w:val="none"/>
        </w:rPr>
        <w:t>9.2.6.3防静电地板电性能</w:t>
      </w:r>
    </w:p>
    <w:p>
      <w:pPr>
        <w:numPr>
          <w:ilvl w:val="0"/>
          <w:numId w:val="45"/>
        </w:numPr>
        <w:spacing w:line="360" w:lineRule="auto"/>
        <w:ind w:left="0" w:firstLine="0"/>
        <w:rPr>
          <w:highlight w:val="none"/>
        </w:rPr>
      </w:pPr>
      <w:r>
        <w:rPr>
          <w:highlight w:val="none"/>
        </w:rPr>
        <w:t>在室内温度为（23±2）℃、相对湿度为45%RH~55%RH时，防静电地板地板系统电阻(地板表面至地板支撑底座的电阻总和)为：导静电型：R&lt;1.0*10</w:t>
      </w:r>
      <w:r>
        <w:rPr>
          <w:highlight w:val="none"/>
          <w:vertAlign w:val="superscript"/>
        </w:rPr>
        <w:t>6</w:t>
      </w:r>
      <w:r>
        <w:rPr>
          <w:highlight w:val="none"/>
        </w:rPr>
        <w:t>欧姆</w:t>
      </w:r>
      <w:r>
        <w:rPr>
          <w:rFonts w:hint="eastAsia"/>
          <w:highlight w:val="none"/>
        </w:rPr>
        <w:t>，</w:t>
      </w:r>
      <w:r>
        <w:rPr>
          <w:highlight w:val="none"/>
        </w:rPr>
        <w:t>静电耗散型：R=1.0X10</w:t>
      </w:r>
      <w:r>
        <w:rPr>
          <w:highlight w:val="none"/>
          <w:vertAlign w:val="superscript"/>
        </w:rPr>
        <w:t>6</w:t>
      </w:r>
      <w:r>
        <w:rPr>
          <w:highlight w:val="none"/>
        </w:rPr>
        <w:t>～1.0X10</w:t>
      </w:r>
      <w:r>
        <w:rPr>
          <w:highlight w:val="none"/>
          <w:vertAlign w:val="superscript"/>
        </w:rPr>
        <w:t>10</w:t>
      </w:r>
      <w:r>
        <w:rPr>
          <w:highlight w:val="none"/>
        </w:rPr>
        <w:t>欧姆</w:t>
      </w:r>
      <w:r>
        <w:rPr>
          <w:rFonts w:hint="eastAsia"/>
          <w:highlight w:val="none"/>
        </w:rPr>
        <w:t>。</w:t>
      </w:r>
    </w:p>
    <w:p>
      <w:pPr>
        <w:numPr>
          <w:ilvl w:val="0"/>
          <w:numId w:val="45"/>
        </w:numPr>
        <w:spacing w:line="360" w:lineRule="auto"/>
        <w:ind w:left="0" w:firstLine="0"/>
        <w:rPr>
          <w:highlight w:val="none"/>
        </w:rPr>
      </w:pPr>
      <w:r>
        <w:rPr>
          <w:highlight w:val="none"/>
        </w:rPr>
        <w:t>地板的耐冲击性能：≮45kg重物从1m高落在地板的上表面25×25mm面积上时，落点处不破坏，表面变形≯1.5mm</w:t>
      </w:r>
      <w:r>
        <w:rPr>
          <w:rFonts w:hint="eastAsia"/>
          <w:highlight w:val="none"/>
        </w:rPr>
        <w:t>。</w:t>
      </w:r>
    </w:p>
    <w:p>
      <w:pPr>
        <w:rPr>
          <w:b/>
          <w:highlight w:val="none"/>
        </w:rPr>
      </w:pPr>
      <w:r>
        <w:rPr>
          <w:b/>
          <w:highlight w:val="none"/>
        </w:rPr>
        <w:t>9.2.6.4地板主要的机械性能</w:t>
      </w:r>
      <w:r>
        <w:rPr>
          <w:rFonts w:hint="eastAsia"/>
          <w:b/>
          <w:highlight w:val="none"/>
        </w:rPr>
        <w:t>：</w:t>
      </w:r>
    </w:p>
    <w:tbl>
      <w:tblPr>
        <w:tblStyle w:val="16"/>
        <w:tblW w:w="8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840"/>
        <w:gridCol w:w="840"/>
        <w:gridCol w:w="840"/>
        <w:gridCol w:w="840"/>
        <w:gridCol w:w="840"/>
        <w:gridCol w:w="840"/>
        <w:gridCol w:w="840"/>
        <w:gridCol w:w="84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承重类型及代号</w:t>
            </w:r>
          </w:p>
        </w:tc>
        <w:tc>
          <w:tcPr>
            <w:tcW w:w="2520" w:type="dxa"/>
            <w:gridSpan w:val="3"/>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集中负荷</w:t>
            </w:r>
          </w:p>
        </w:tc>
        <w:tc>
          <w:tcPr>
            <w:tcW w:w="2520" w:type="dxa"/>
            <w:gridSpan w:val="3"/>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滚动负荷</w:t>
            </w:r>
          </w:p>
        </w:tc>
        <w:tc>
          <w:tcPr>
            <w:tcW w:w="84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极限集中负荷</w:t>
            </w:r>
          </w:p>
        </w:tc>
        <w:tc>
          <w:tcPr>
            <w:tcW w:w="1680"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均布荷载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vMerge w:val="continue"/>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荷载值N</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挠度mm</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永久变形mm</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荷载值N</w:t>
            </w: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挠度mm</w:t>
            </w: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永久变形mm</w:t>
            </w:r>
          </w:p>
        </w:tc>
        <w:tc>
          <w:tcPr>
            <w:tcW w:w="840" w:type="dxa"/>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荷载值/m</w:t>
            </w:r>
            <w:r>
              <w:rPr>
                <w:szCs w:val="21"/>
                <w:highlight w:val="none"/>
                <w:vertAlign w:val="superscript"/>
              </w:rPr>
              <w:t>2</w:t>
            </w: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挠度mm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CQ超轻型</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1960</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≤0.25</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980</w:t>
            </w:r>
          </w:p>
        </w:tc>
        <w:tc>
          <w:tcPr>
            <w:tcW w:w="840"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840"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≤0.25</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5880</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9720</w:t>
            </w:r>
          </w:p>
        </w:tc>
        <w:tc>
          <w:tcPr>
            <w:tcW w:w="840"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Q轻型</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2950</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≤0.25</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2255</w:t>
            </w:r>
          </w:p>
        </w:tc>
        <w:tc>
          <w:tcPr>
            <w:tcW w:w="840"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840"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8850</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12500</w:t>
            </w:r>
          </w:p>
        </w:tc>
        <w:tc>
          <w:tcPr>
            <w:tcW w:w="840" w:type="dxa"/>
            <w:vMerge w:val="continue"/>
            <w:tcBorders>
              <w:top w:val="single" w:color="CBCDD1"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B普通型</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4450</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≤0.25</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3560</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13350</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23000</w:t>
            </w:r>
          </w:p>
        </w:tc>
        <w:tc>
          <w:tcPr>
            <w:tcW w:w="8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r>
    </w:tbl>
    <w:p>
      <w:pPr>
        <w:pStyle w:val="20"/>
        <w:ind w:firstLine="482"/>
        <w:rPr>
          <w:b/>
          <w:sz w:val="24"/>
          <w:highlight w:val="none"/>
        </w:rPr>
      </w:pPr>
      <w:r>
        <w:rPr>
          <w:b/>
          <w:sz w:val="24"/>
          <w:highlight w:val="none"/>
        </w:rPr>
        <w:t>9.2.6.5表面耐磨性能及执行标准</w:t>
      </w:r>
      <w:r>
        <w:rPr>
          <w:rFonts w:hint="eastAsia"/>
          <w:b/>
          <w:sz w:val="24"/>
          <w:highlight w:val="none"/>
        </w:rPr>
        <w:t>：</w:t>
      </w:r>
    </w:p>
    <w:tbl>
      <w:tblPr>
        <w:tblStyle w:val="16"/>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材料</w:t>
            </w:r>
          </w:p>
        </w:tc>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磨耗性能</w:t>
            </w:r>
          </w:p>
        </w:tc>
        <w:tc>
          <w:tcPr>
            <w:tcW w:w="283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耐磨性能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表面材料</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&lt;0.02g/cm</w:t>
            </w:r>
            <w:r>
              <w:rPr>
                <w:szCs w:val="21"/>
                <w:highlight w:val="none"/>
                <w:vertAlign w:val="superscript"/>
              </w:rPr>
              <w:t>2</w:t>
            </w:r>
            <w:r>
              <w:rPr>
                <w:szCs w:val="21"/>
                <w:highlight w:val="none"/>
              </w:rPr>
              <w:t>(100r时）</w:t>
            </w:r>
          </w:p>
        </w:tc>
        <w:tc>
          <w:tcPr>
            <w:tcW w:w="283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=1000r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执行标准</w:t>
            </w:r>
          </w:p>
        </w:tc>
        <w:tc>
          <w:tcPr>
            <w:tcW w:w="567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SJ/T11236-2001《防静电贴面板通用规范》</w:t>
            </w:r>
          </w:p>
        </w:tc>
      </w:tr>
    </w:tbl>
    <w:p>
      <w:pPr>
        <w:rPr>
          <w:highlight w:val="none"/>
        </w:rPr>
      </w:pPr>
      <w:r>
        <w:rPr>
          <w:b/>
          <w:highlight w:val="none"/>
        </w:rPr>
        <w:t>9.2.6.6使用材料的各项技术指标</w:t>
      </w:r>
      <w:r>
        <w:rPr>
          <w:rFonts w:hint="eastAsia"/>
          <w:highlight w:val="none"/>
        </w:rPr>
        <w:t>：</w:t>
      </w:r>
      <w:r>
        <w:rPr>
          <w:highlight w:val="none"/>
        </w:rPr>
        <w:t>应符合但不只限于下列国家规范、标准与要求。按：SJ/T10796-2001《防静电活动地板通用规范》执行。</w:t>
      </w:r>
    </w:p>
    <w:p>
      <w:pPr>
        <w:pStyle w:val="3"/>
        <w:rPr>
          <w:sz w:val="28"/>
          <w:szCs w:val="28"/>
          <w:highlight w:val="none"/>
        </w:rPr>
      </w:pPr>
      <w:bookmarkStart w:id="155" w:name="_Toc133335437"/>
      <w:r>
        <w:rPr>
          <w:sz w:val="28"/>
          <w:szCs w:val="28"/>
          <w:highlight w:val="none"/>
        </w:rPr>
        <w:t>9.3 吊顶装饰</w:t>
      </w:r>
      <w:bookmarkEnd w:id="155"/>
    </w:p>
    <w:p>
      <w:pPr>
        <w:pStyle w:val="4"/>
        <w:rPr>
          <w:sz w:val="24"/>
          <w:szCs w:val="24"/>
          <w:highlight w:val="none"/>
        </w:rPr>
      </w:pPr>
      <w:bookmarkStart w:id="156" w:name="_Toc133335438"/>
      <w:r>
        <w:rPr>
          <w:sz w:val="24"/>
          <w:szCs w:val="24"/>
          <w:highlight w:val="none"/>
        </w:rPr>
        <w:t>9.3.1 轻钢龙骨</w:t>
      </w:r>
      <w:bookmarkEnd w:id="156"/>
    </w:p>
    <w:p>
      <w:pPr>
        <w:pStyle w:val="20"/>
        <w:ind w:firstLine="480"/>
        <w:rPr>
          <w:sz w:val="24"/>
          <w:highlight w:val="none"/>
        </w:rPr>
      </w:pPr>
      <w:r>
        <w:rPr>
          <w:sz w:val="24"/>
          <w:highlight w:val="none"/>
        </w:rPr>
        <w:t>9.3.1.1技术要求</w:t>
      </w:r>
    </w:p>
    <w:p>
      <w:pPr>
        <w:pStyle w:val="20"/>
        <w:numPr>
          <w:ilvl w:val="0"/>
          <w:numId w:val="46"/>
        </w:numPr>
        <w:spacing w:line="360" w:lineRule="auto"/>
        <w:ind w:left="0" w:firstLine="0" w:firstLineChars="0"/>
        <w:rPr>
          <w:rFonts w:ascii="Calibri" w:hAnsi="Calibri"/>
          <w:sz w:val="21"/>
          <w:szCs w:val="22"/>
          <w:highlight w:val="none"/>
        </w:rPr>
      </w:pPr>
      <w:r>
        <w:rPr>
          <w:rFonts w:ascii="Calibri" w:hAnsi="Calibri"/>
          <w:sz w:val="21"/>
          <w:szCs w:val="22"/>
          <w:highlight w:val="none"/>
        </w:rPr>
        <w:t>龙骨外形要平整、棱角清晰，切口不应有毛刺和变形。镀锌层应无起皮、起瘤、脱落等缺陷，无影响使用的腐蚀、损伤、麻点，每米长度内面积不大于1cm2的黑斑不多于3处。涂层应无气泡、划伤、漏涂、颜色不均等影响使用的缺陷。</w:t>
      </w:r>
    </w:p>
    <w:p>
      <w:pPr>
        <w:pStyle w:val="20"/>
        <w:ind w:firstLine="480"/>
        <w:rPr>
          <w:sz w:val="24"/>
          <w:highlight w:val="none"/>
        </w:rPr>
      </w:pPr>
      <w:r>
        <w:rPr>
          <w:sz w:val="24"/>
          <w:highlight w:val="none"/>
        </w:rPr>
        <w:t>9.3.1.2表面防锈</w:t>
      </w:r>
    </w:p>
    <w:p>
      <w:pPr>
        <w:ind w:firstLine="420" w:firstLineChars="200"/>
        <w:rPr>
          <w:highlight w:val="none"/>
        </w:rPr>
      </w:pPr>
      <w:r>
        <w:rPr>
          <w:highlight w:val="none"/>
        </w:rPr>
        <w:t>龙骨表面采用镀锌防锈时，其双面镀锌量或双面镀锌层厚度应符合表1的规定。</w:t>
      </w:r>
    </w:p>
    <w:p>
      <w:pPr>
        <w:jc w:val="center"/>
        <w:rPr>
          <w:highlight w:val="none"/>
        </w:rPr>
      </w:pPr>
      <w:r>
        <w:rPr>
          <w:highlight w:val="none"/>
        </w:rPr>
        <w:t>表1双面镀锌量和双面镀层厚度</w:t>
      </w:r>
    </w:p>
    <w:tbl>
      <w:tblPr>
        <w:tblStyle w:val="16"/>
        <w:tblW w:w="5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9"/>
        <w:gridCol w:w="3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0" w:type="dxa"/>
            <w:tcBorders>
              <w:top w:val="single" w:color="333333" w:sz="6" w:space="0"/>
              <w:left w:val="single" w:color="333333" w:sz="6" w:space="0"/>
              <w:bottom w:val="single" w:color="333333" w:sz="6" w:space="0"/>
              <w:right w:val="single" w:color="333333" w:sz="6" w:space="0"/>
            </w:tcBorders>
            <w:shd w:val="clear" w:color="auto" w:fill="FFFFFF"/>
            <w:noWrap w:val="0"/>
            <w:tcMar>
              <w:top w:w="0" w:type="dxa"/>
              <w:left w:w="0" w:type="dxa"/>
              <w:bottom w:w="0" w:type="dxa"/>
              <w:right w:w="0" w:type="dxa"/>
            </w:tcMar>
            <w:vAlign w:val="center"/>
          </w:tcPr>
          <w:p>
            <w:pPr>
              <w:jc w:val="center"/>
              <w:rPr>
                <w:highlight w:val="none"/>
              </w:rPr>
            </w:pPr>
            <w:r>
              <w:rPr>
                <w:highlight w:val="none"/>
              </w:rPr>
              <w:t>项目</w:t>
            </w:r>
          </w:p>
        </w:tc>
        <w:tc>
          <w:tcPr>
            <w:tcW w:w="3276" w:type="dxa"/>
            <w:tcBorders>
              <w:top w:val="single" w:color="333333" w:sz="6" w:space="0"/>
              <w:left w:val="single" w:color="333333" w:sz="6" w:space="0"/>
              <w:bottom w:val="single" w:color="333333" w:sz="6" w:space="0"/>
              <w:right w:val="single" w:color="333333" w:sz="6" w:space="0"/>
            </w:tcBorders>
            <w:shd w:val="clear" w:color="auto" w:fill="FFFFFF"/>
            <w:noWrap w:val="0"/>
            <w:tcMar>
              <w:top w:w="0" w:type="dxa"/>
              <w:left w:w="0" w:type="dxa"/>
              <w:bottom w:w="0" w:type="dxa"/>
              <w:right w:w="0" w:type="dxa"/>
            </w:tcMar>
            <w:vAlign w:val="center"/>
          </w:tcPr>
          <w:p>
            <w:pPr>
              <w:jc w:val="center"/>
              <w:rPr>
                <w:highlight w:val="none"/>
              </w:rPr>
            </w:pPr>
            <w:r>
              <w:rPr>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0" w:type="dxa"/>
            <w:tcBorders>
              <w:top w:val="single" w:color="333333" w:sz="6" w:space="0"/>
              <w:left w:val="single" w:color="333333" w:sz="6" w:space="0"/>
              <w:bottom w:val="single" w:color="333333" w:sz="6" w:space="0"/>
              <w:right w:val="single" w:color="333333" w:sz="6" w:space="0"/>
            </w:tcBorders>
            <w:shd w:val="clear" w:color="auto" w:fill="FFFFFF"/>
            <w:noWrap w:val="0"/>
            <w:tcMar>
              <w:top w:w="0" w:type="dxa"/>
              <w:left w:w="0" w:type="dxa"/>
              <w:bottom w:w="0" w:type="dxa"/>
              <w:right w:w="0" w:type="dxa"/>
            </w:tcMar>
            <w:vAlign w:val="center"/>
          </w:tcPr>
          <w:p>
            <w:pPr>
              <w:jc w:val="center"/>
              <w:rPr>
                <w:highlight w:val="none"/>
              </w:rPr>
            </w:pPr>
            <w:r>
              <w:rPr>
                <w:highlight w:val="none"/>
              </w:rPr>
              <w:t>双面镀锌量/（g/m2）</w:t>
            </w:r>
          </w:p>
        </w:tc>
        <w:tc>
          <w:tcPr>
            <w:tcW w:w="3276" w:type="dxa"/>
            <w:tcBorders>
              <w:top w:val="single" w:color="CBCDD1" w:sz="6" w:space="0"/>
              <w:left w:val="single" w:color="333333" w:sz="6" w:space="0"/>
              <w:bottom w:val="single" w:color="333333" w:sz="6" w:space="0"/>
              <w:right w:val="single" w:color="333333" w:sz="6" w:space="0"/>
            </w:tcBorders>
            <w:shd w:val="clear" w:color="auto" w:fill="FFFFFF"/>
            <w:noWrap w:val="0"/>
            <w:tcMar>
              <w:top w:w="0" w:type="dxa"/>
              <w:left w:w="0" w:type="dxa"/>
              <w:bottom w:w="0" w:type="dxa"/>
              <w:right w:w="0" w:type="dxa"/>
            </w:tcMar>
            <w:vAlign w:val="center"/>
          </w:tcPr>
          <w:p>
            <w:pPr>
              <w:jc w:val="center"/>
              <w:rPr>
                <w:highlight w:val="none"/>
              </w:rPr>
            </w:pPr>
            <w:r>
              <w:rPr>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0" w:type="dxa"/>
            <w:tcBorders>
              <w:top w:val="single" w:color="333333" w:sz="6" w:space="0"/>
              <w:left w:val="single" w:color="333333" w:sz="6" w:space="0"/>
              <w:bottom w:val="single" w:color="333333" w:sz="6" w:space="0"/>
              <w:right w:val="single" w:color="333333" w:sz="6" w:space="0"/>
            </w:tcBorders>
            <w:shd w:val="clear" w:color="auto" w:fill="FFFFFF"/>
            <w:noWrap w:val="0"/>
            <w:tcMar>
              <w:top w:w="0" w:type="dxa"/>
              <w:left w:w="0" w:type="dxa"/>
              <w:bottom w:w="0" w:type="dxa"/>
              <w:right w:w="0" w:type="dxa"/>
            </w:tcMar>
            <w:vAlign w:val="center"/>
          </w:tcPr>
          <w:p>
            <w:pPr>
              <w:jc w:val="center"/>
              <w:rPr>
                <w:highlight w:val="none"/>
              </w:rPr>
            </w:pPr>
            <w:r>
              <w:rPr>
                <w:highlight w:val="none"/>
              </w:rPr>
              <w:t>双面镀锌层厚度/μm</w:t>
            </w:r>
          </w:p>
        </w:tc>
        <w:tc>
          <w:tcPr>
            <w:tcW w:w="3276" w:type="dxa"/>
            <w:tcBorders>
              <w:top w:val="single" w:color="CBCDD1" w:sz="6" w:space="0"/>
              <w:left w:val="single" w:color="333333" w:sz="6" w:space="0"/>
              <w:bottom w:val="single" w:color="333333" w:sz="6" w:space="0"/>
              <w:right w:val="single" w:color="333333" w:sz="6" w:space="0"/>
            </w:tcBorders>
            <w:shd w:val="clear" w:color="auto" w:fill="FFFFFF"/>
            <w:noWrap w:val="0"/>
            <w:tcMar>
              <w:top w:w="0" w:type="dxa"/>
              <w:left w:w="0" w:type="dxa"/>
              <w:bottom w:w="0" w:type="dxa"/>
              <w:right w:w="0" w:type="dxa"/>
            </w:tcMar>
            <w:vAlign w:val="center"/>
          </w:tcPr>
          <w:p>
            <w:pPr>
              <w:jc w:val="center"/>
              <w:rPr>
                <w:highlight w:val="none"/>
              </w:rPr>
            </w:pPr>
            <w:r>
              <w:rPr>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6" w:type="dxa"/>
            <w:gridSpan w:val="2"/>
            <w:tcBorders>
              <w:top w:val="single" w:color="CBCDD1" w:sz="6" w:space="0"/>
              <w:left w:val="single" w:color="333333" w:sz="6" w:space="0"/>
              <w:bottom w:val="single" w:color="333333" w:sz="6" w:space="0"/>
              <w:right w:val="single" w:color="333333" w:sz="6" w:space="0"/>
            </w:tcBorders>
            <w:shd w:val="clear" w:color="auto" w:fill="FFFFFF"/>
            <w:noWrap w:val="0"/>
            <w:tcMar>
              <w:top w:w="0" w:type="dxa"/>
              <w:left w:w="0" w:type="dxa"/>
              <w:bottom w:w="0" w:type="dxa"/>
              <w:right w:w="0" w:type="dxa"/>
            </w:tcMar>
            <w:vAlign w:val="center"/>
          </w:tcPr>
          <w:p>
            <w:pPr>
              <w:jc w:val="center"/>
              <w:rPr>
                <w:highlight w:val="none"/>
              </w:rPr>
            </w:pPr>
            <w:r>
              <w:rPr>
                <w:highlight w:val="none"/>
              </w:rPr>
              <w:t>注：表面镀锌防锈的最终裁定以双面镀锌量为准。</w:t>
            </w:r>
          </w:p>
        </w:tc>
      </w:tr>
    </w:tbl>
    <w:p>
      <w:pPr>
        <w:pStyle w:val="20"/>
        <w:ind w:firstLine="480"/>
        <w:rPr>
          <w:sz w:val="24"/>
          <w:highlight w:val="none"/>
        </w:rPr>
      </w:pPr>
      <w:r>
        <w:rPr>
          <w:sz w:val="24"/>
          <w:highlight w:val="none"/>
        </w:rPr>
        <w:t>9.3.1.3在高湿度、高盐环境或室外使用时，根据需方要求并经供需双方商定，可增加耐盐雾性能试验，龙骨表面应无起泡、生锈现象。</w:t>
      </w:r>
    </w:p>
    <w:p>
      <w:pPr>
        <w:pStyle w:val="20"/>
        <w:ind w:firstLine="480"/>
        <w:rPr>
          <w:sz w:val="24"/>
          <w:highlight w:val="none"/>
        </w:rPr>
      </w:pPr>
      <w:r>
        <w:rPr>
          <w:sz w:val="24"/>
          <w:highlight w:val="none"/>
        </w:rPr>
        <w:t>9.3.1.4轻钢龙骨安装注意事项</w:t>
      </w:r>
    </w:p>
    <w:p>
      <w:pPr>
        <w:numPr>
          <w:ilvl w:val="0"/>
          <w:numId w:val="47"/>
        </w:numPr>
        <w:spacing w:line="360" w:lineRule="auto"/>
        <w:ind w:left="0" w:firstLine="0"/>
        <w:rPr>
          <w:highlight w:val="none"/>
        </w:rPr>
      </w:pPr>
      <w:r>
        <w:rPr>
          <w:highlight w:val="none"/>
        </w:rPr>
        <w:t>在安装主龙骨时，间距应小于1.2m，主龙骨与墙体间距不得大于300mm，主龙骨连接处应增设吊杆加强。</w:t>
      </w:r>
    </w:p>
    <w:p>
      <w:pPr>
        <w:numPr>
          <w:ilvl w:val="0"/>
          <w:numId w:val="47"/>
        </w:numPr>
        <w:spacing w:line="360" w:lineRule="auto"/>
        <w:ind w:left="0" w:firstLine="0"/>
        <w:rPr>
          <w:highlight w:val="none"/>
        </w:rPr>
      </w:pPr>
      <w:r>
        <w:rPr>
          <w:highlight w:val="none"/>
        </w:rPr>
        <w:t>主龙骨吊点间距应小于1.2m，吊杆应通直，距主龙骨端部距离不得超过300mm，当吊杆与设备相遇时，应调整吊点构造或增设吊杆。</w:t>
      </w:r>
    </w:p>
    <w:p>
      <w:pPr>
        <w:numPr>
          <w:ilvl w:val="0"/>
          <w:numId w:val="47"/>
        </w:numPr>
        <w:spacing w:line="360" w:lineRule="auto"/>
        <w:ind w:left="0" w:firstLine="0"/>
        <w:rPr>
          <w:highlight w:val="none"/>
        </w:rPr>
      </w:pPr>
      <w:r>
        <w:rPr>
          <w:highlight w:val="none"/>
        </w:rPr>
        <w:t>副（次）龙骨间距一般不大于400mm ，在潮湿地区和场所，间距300~400mm，相邻的次龙骨应错开连接。</w:t>
      </w:r>
    </w:p>
    <w:p>
      <w:pPr>
        <w:numPr>
          <w:ilvl w:val="0"/>
          <w:numId w:val="47"/>
        </w:numPr>
        <w:spacing w:line="360" w:lineRule="auto"/>
        <w:ind w:left="0" w:firstLine="0"/>
        <w:rPr>
          <w:highlight w:val="none"/>
        </w:rPr>
      </w:pPr>
      <w:r>
        <w:rPr>
          <w:highlight w:val="none"/>
        </w:rPr>
        <w:t>当吊杆长度超过1.5m且小于2.5m时，为保证稳固性需设置反支撑。</w:t>
      </w:r>
    </w:p>
    <w:p>
      <w:pPr>
        <w:numPr>
          <w:ilvl w:val="0"/>
          <w:numId w:val="47"/>
        </w:numPr>
        <w:spacing w:line="360" w:lineRule="auto"/>
        <w:ind w:left="0" w:firstLine="0"/>
        <w:rPr>
          <w:highlight w:val="none"/>
        </w:rPr>
      </w:pPr>
      <w:r>
        <w:rPr>
          <w:highlight w:val="none"/>
        </w:rPr>
        <w:t>当吊顶内部空间大于2.5m时，则需要设置型钢结构转换层来进行吊顶的反支撑。</w:t>
      </w:r>
    </w:p>
    <w:p>
      <w:pPr>
        <w:numPr>
          <w:ilvl w:val="0"/>
          <w:numId w:val="47"/>
        </w:numPr>
        <w:spacing w:line="360" w:lineRule="auto"/>
        <w:ind w:left="0" w:firstLine="0"/>
        <w:rPr>
          <w:highlight w:val="none"/>
        </w:rPr>
      </w:pPr>
      <w:r>
        <w:rPr>
          <w:highlight w:val="none"/>
        </w:rPr>
        <w:t>龙骨应直接固定在天花板和墙面上，不能吊挂在管线或设备上。吊件调整好后必须固定拧紧，轻钢骨架之间的连接必须牢固可靠，以免骨架变形，导致顶板不平甚至开裂。</w:t>
      </w:r>
    </w:p>
    <w:p>
      <w:pPr>
        <w:pStyle w:val="4"/>
        <w:rPr>
          <w:highlight w:val="none"/>
        </w:rPr>
      </w:pPr>
      <w:bookmarkStart w:id="157" w:name="_Toc133335439"/>
      <w:r>
        <w:rPr>
          <w:highlight w:val="none"/>
        </w:rPr>
        <w:t>9.3.2 石膏板、防火板吊顶</w:t>
      </w:r>
      <w:bookmarkEnd w:id="157"/>
    </w:p>
    <w:p>
      <w:pPr>
        <w:pStyle w:val="5"/>
        <w:spacing w:before="163" w:after="163"/>
        <w:rPr>
          <w:highlight w:val="none"/>
        </w:rPr>
      </w:pPr>
      <w:r>
        <w:rPr>
          <w:highlight w:val="none"/>
        </w:rPr>
        <w:t>9.3.2.1 石膏板吊顶</w:t>
      </w:r>
    </w:p>
    <w:p>
      <w:pPr>
        <w:pStyle w:val="20"/>
        <w:numPr>
          <w:ilvl w:val="0"/>
          <w:numId w:val="48"/>
        </w:numPr>
        <w:spacing w:line="360" w:lineRule="auto"/>
        <w:ind w:left="0" w:firstLine="0" w:firstLineChars="0"/>
        <w:rPr>
          <w:sz w:val="24"/>
          <w:highlight w:val="none"/>
        </w:rPr>
      </w:pPr>
      <w:r>
        <w:rPr>
          <w:sz w:val="24"/>
          <w:highlight w:val="none"/>
        </w:rPr>
        <w:t>产品的正面不应有影响装饰效果的污痕、色彩不匀、图案不完整的缺陷。产品不得有裂纹，墨曲、把曲，不得有妨碍使用装饰效果的缺棱，缺角。</w:t>
      </w:r>
    </w:p>
    <w:p>
      <w:pPr>
        <w:pStyle w:val="20"/>
        <w:numPr>
          <w:ilvl w:val="0"/>
          <w:numId w:val="48"/>
        </w:numPr>
        <w:spacing w:line="360" w:lineRule="auto"/>
        <w:ind w:firstLineChars="0"/>
        <w:rPr>
          <w:sz w:val="24"/>
          <w:highlight w:val="none"/>
        </w:rPr>
      </w:pPr>
      <w:r>
        <w:rPr>
          <w:sz w:val="24"/>
          <w:highlight w:val="none"/>
        </w:rPr>
        <w:t>产品的尺寸允许偏差应符合表2规定。</w:t>
      </w:r>
    </w:p>
    <w:p>
      <w:pPr>
        <w:jc w:val="center"/>
        <w:rPr>
          <w:highlight w:val="none"/>
        </w:rPr>
      </w:pPr>
      <w:r>
        <w:rPr>
          <w:highlight w:val="none"/>
        </w:rPr>
        <w:t>表2允许偏差（单位为mm）</w:t>
      </w:r>
    </w:p>
    <w:tbl>
      <w:tblPr>
        <w:tblStyle w:val="1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3405"/>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34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长度≤600</w:t>
            </w:r>
          </w:p>
        </w:tc>
        <w:tc>
          <w:tcPr>
            <w:tcW w:w="34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长＞600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长度</w:t>
            </w:r>
          </w:p>
        </w:tc>
        <w:tc>
          <w:tcPr>
            <w:tcW w:w="681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宽度</w:t>
            </w:r>
          </w:p>
        </w:tc>
        <w:tc>
          <w:tcPr>
            <w:tcW w:w="681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厚度</w:t>
            </w:r>
          </w:p>
        </w:tc>
        <w:tc>
          <w:tcPr>
            <w:tcW w:w="681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角线长度</w:t>
            </w:r>
          </w:p>
        </w:tc>
        <w:tc>
          <w:tcPr>
            <w:tcW w:w="340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≤2.0</w:t>
            </w:r>
          </w:p>
        </w:tc>
        <w:tc>
          <w:tcPr>
            <w:tcW w:w="340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≤4.0</w:t>
            </w:r>
          </w:p>
        </w:tc>
      </w:tr>
    </w:tbl>
    <w:p>
      <w:pPr>
        <w:pStyle w:val="20"/>
        <w:numPr>
          <w:ilvl w:val="0"/>
          <w:numId w:val="48"/>
        </w:numPr>
        <w:spacing w:line="360" w:lineRule="auto"/>
        <w:ind w:firstLineChars="0"/>
        <w:rPr>
          <w:sz w:val="24"/>
          <w:highlight w:val="none"/>
        </w:rPr>
      </w:pPr>
      <w:r>
        <w:rPr>
          <w:sz w:val="24"/>
          <w:highlight w:val="none"/>
        </w:rPr>
        <w:t>护面纸与石膏芯的粘结：护面纸与石膏芯应粘结良好，石膏芯应不裸露。</w:t>
      </w:r>
    </w:p>
    <w:p>
      <w:pPr>
        <w:pStyle w:val="20"/>
        <w:numPr>
          <w:ilvl w:val="0"/>
          <w:numId w:val="48"/>
        </w:numPr>
        <w:spacing w:line="360" w:lineRule="auto"/>
        <w:ind w:left="0" w:firstLine="0" w:firstLineChars="0"/>
        <w:rPr>
          <w:sz w:val="24"/>
          <w:highlight w:val="none"/>
        </w:rPr>
      </w:pPr>
      <w:r>
        <w:rPr>
          <w:sz w:val="24"/>
          <w:highlight w:val="none"/>
        </w:rPr>
        <w:t>施工时用沉头自攻螺钉固定石膏板，钉帽嵌入石膏板深度以0.5至1毫米为宜，再涂刷一层防锈漆，钉眼用腻子补平。</w:t>
      </w:r>
    </w:p>
    <w:p>
      <w:pPr>
        <w:pStyle w:val="20"/>
        <w:numPr>
          <w:ilvl w:val="0"/>
          <w:numId w:val="48"/>
        </w:numPr>
        <w:spacing w:line="360" w:lineRule="auto"/>
        <w:ind w:left="0" w:firstLine="0" w:firstLineChars="0"/>
        <w:rPr>
          <w:sz w:val="24"/>
          <w:highlight w:val="none"/>
        </w:rPr>
      </w:pPr>
      <w:r>
        <w:rPr>
          <w:sz w:val="24"/>
          <w:highlight w:val="none"/>
        </w:rPr>
        <w:t>石膏板拼接处要在龙骨下方固定，如果接缝处不在龙骨下方，需要垫木板在接缝处加固。</w:t>
      </w:r>
    </w:p>
    <w:p>
      <w:pPr>
        <w:pStyle w:val="20"/>
        <w:numPr>
          <w:ilvl w:val="0"/>
          <w:numId w:val="48"/>
        </w:numPr>
        <w:spacing w:line="360" w:lineRule="auto"/>
        <w:ind w:left="0" w:firstLine="0" w:firstLineChars="0"/>
        <w:rPr>
          <w:sz w:val="24"/>
          <w:highlight w:val="none"/>
        </w:rPr>
      </w:pPr>
      <w:r>
        <w:rPr>
          <w:sz w:val="24"/>
          <w:highlight w:val="none"/>
        </w:rPr>
        <w:t>天花转角处，一定要用整张石膏板裁切到对应的形状，不能使用多块石膏板进行拼接，以防止转角处开裂。</w:t>
      </w:r>
    </w:p>
    <w:p>
      <w:pPr>
        <w:pStyle w:val="5"/>
        <w:spacing w:before="163" w:after="163"/>
        <w:rPr>
          <w:highlight w:val="none"/>
        </w:rPr>
      </w:pPr>
      <w:r>
        <w:rPr>
          <w:highlight w:val="none"/>
        </w:rPr>
        <w:t>9.3.2.2防火板</w:t>
      </w:r>
    </w:p>
    <w:p>
      <w:pPr>
        <w:pStyle w:val="20"/>
        <w:numPr>
          <w:ilvl w:val="0"/>
          <w:numId w:val="49"/>
        </w:numPr>
        <w:spacing w:line="360" w:lineRule="auto"/>
        <w:ind w:firstLineChars="0"/>
        <w:rPr>
          <w:sz w:val="24"/>
          <w:highlight w:val="none"/>
        </w:rPr>
      </w:pPr>
      <w:r>
        <w:rPr>
          <w:sz w:val="24"/>
          <w:highlight w:val="none"/>
        </w:rPr>
        <w:t>技术要求</w:t>
      </w:r>
    </w:p>
    <w:p>
      <w:pPr>
        <w:numPr>
          <w:ilvl w:val="0"/>
          <w:numId w:val="50"/>
        </w:numPr>
        <w:spacing w:line="360" w:lineRule="auto"/>
        <w:ind w:left="0" w:firstLine="0"/>
        <w:rPr>
          <w:highlight w:val="none"/>
        </w:rPr>
      </w:pPr>
      <w:r>
        <w:rPr>
          <w:highlight w:val="none"/>
        </w:rPr>
        <w:t>防火板的燃烧性能必须达到B1级别，并符合GB/T 8624-2012《建筑材料燃烧性能分级》中的要求。</w:t>
      </w:r>
    </w:p>
    <w:p>
      <w:pPr>
        <w:numPr>
          <w:ilvl w:val="0"/>
          <w:numId w:val="50"/>
        </w:numPr>
        <w:spacing w:line="360" w:lineRule="auto"/>
        <w:rPr>
          <w:highlight w:val="none"/>
        </w:rPr>
      </w:pPr>
      <w:r>
        <w:rPr>
          <w:highlight w:val="none"/>
        </w:rPr>
        <w:t>防火板中夹层的涂料必须符合GB 8625-2005《防火涂料》中涂料的要求</w:t>
      </w:r>
    </w:p>
    <w:p>
      <w:pPr>
        <w:numPr>
          <w:ilvl w:val="0"/>
          <w:numId w:val="50"/>
        </w:numPr>
        <w:spacing w:line="360" w:lineRule="auto"/>
        <w:ind w:left="0" w:firstLine="0"/>
        <w:rPr>
          <w:highlight w:val="none"/>
        </w:rPr>
      </w:pPr>
      <w:r>
        <w:rPr>
          <w:highlight w:val="none"/>
        </w:rPr>
        <w:t>防火板中表面装饰纸的品种、规格、性能等要求必须符合GB/T 17657-1999《人造板表面装饰纸》中的要求。</w:t>
      </w:r>
    </w:p>
    <w:p>
      <w:pPr>
        <w:numPr>
          <w:ilvl w:val="0"/>
          <w:numId w:val="49"/>
        </w:numPr>
        <w:spacing w:line="360" w:lineRule="auto"/>
        <w:rPr>
          <w:highlight w:val="none"/>
        </w:rPr>
      </w:pPr>
      <w:r>
        <w:rPr>
          <w:highlight w:val="none"/>
        </w:rPr>
        <w:t>注意事项</w:t>
      </w:r>
    </w:p>
    <w:p>
      <w:pPr>
        <w:numPr>
          <w:ilvl w:val="0"/>
          <w:numId w:val="51"/>
        </w:numPr>
        <w:spacing w:line="360" w:lineRule="auto"/>
        <w:rPr>
          <w:highlight w:val="none"/>
        </w:rPr>
      </w:pPr>
      <w:r>
        <w:rPr>
          <w:highlight w:val="none"/>
        </w:rPr>
        <w:t>防火板切割时，注意锯齿等需从防火板的背面进入，避免切断面产生缺口。</w:t>
      </w:r>
    </w:p>
    <w:p>
      <w:pPr>
        <w:numPr>
          <w:ilvl w:val="0"/>
          <w:numId w:val="51"/>
        </w:numPr>
        <w:spacing w:line="360" w:lineRule="auto"/>
        <w:rPr>
          <w:highlight w:val="none"/>
        </w:rPr>
      </w:pPr>
      <w:r>
        <w:rPr>
          <w:highlight w:val="none"/>
        </w:rPr>
        <w:t>防火板修边时注意只能向下锉，决不可来回锉，以免切断面不平整光滑。</w:t>
      </w:r>
    </w:p>
    <w:p>
      <w:pPr>
        <w:pStyle w:val="4"/>
        <w:rPr>
          <w:highlight w:val="none"/>
        </w:rPr>
      </w:pPr>
      <w:bookmarkStart w:id="158" w:name="_Toc133335440"/>
      <w:r>
        <w:rPr>
          <w:highlight w:val="none"/>
        </w:rPr>
        <w:t xml:space="preserve">9.3.3 </w:t>
      </w:r>
      <w:r>
        <w:rPr>
          <w:rFonts w:hint="eastAsia"/>
          <w:highlight w:val="none"/>
        </w:rPr>
        <w:t>铝</w:t>
      </w:r>
      <w:r>
        <w:rPr>
          <w:highlight w:val="none"/>
        </w:rPr>
        <w:t>扣板吊顶</w:t>
      </w:r>
      <w:bookmarkEnd w:id="158"/>
    </w:p>
    <w:p>
      <w:pPr>
        <w:jc w:val="left"/>
        <w:rPr>
          <w:highlight w:val="none"/>
        </w:rPr>
      </w:pPr>
      <w:r>
        <w:rPr>
          <w:highlight w:val="none"/>
        </w:rPr>
        <w:t>9.3.3.1轻钢龙骨或木龙骨架的安装必须按有关规定进行防火阻燃处理。</w:t>
      </w:r>
    </w:p>
    <w:p>
      <w:pPr>
        <w:jc w:val="left"/>
        <w:rPr>
          <w:highlight w:val="none"/>
        </w:rPr>
      </w:pPr>
      <w:r>
        <w:rPr>
          <w:highlight w:val="none"/>
        </w:rPr>
        <w:t>9.3.3.2铝扣板与龙骨连接必须紧密、牢固。</w:t>
      </w:r>
    </w:p>
    <w:p>
      <w:pPr>
        <w:jc w:val="left"/>
        <w:rPr>
          <w:highlight w:val="none"/>
        </w:rPr>
      </w:pPr>
      <w:r>
        <w:rPr>
          <w:highlight w:val="none"/>
        </w:rPr>
        <w:t>9.3.3.3设备口、灯具位置的设置必须按板块分格对称，布局合理。开口边缘整齐，护口严密不露缝。排列横竖顺直、整齐、美观。</w:t>
      </w:r>
    </w:p>
    <w:p>
      <w:pPr>
        <w:jc w:val="left"/>
        <w:rPr>
          <w:highlight w:val="none"/>
        </w:rPr>
      </w:pPr>
      <w:r>
        <w:rPr>
          <w:highlight w:val="none"/>
        </w:rPr>
        <w:t>9.3.3.4在梁上设置吊挂杆件应通直并有足够的承载能力。当预埋的杆件需要接长时，必须搭接埋牢，埋缝要均匀饱满。</w:t>
      </w:r>
    </w:p>
    <w:p>
      <w:pPr>
        <w:jc w:val="left"/>
        <w:rPr>
          <w:highlight w:val="none"/>
        </w:rPr>
      </w:pPr>
      <w:r>
        <w:rPr>
          <w:highlight w:val="none"/>
        </w:rPr>
        <w:t>9.3.3.5吊杆距主龙骨端部距离不得超过300 mm，否则应增加吊杆。</w:t>
      </w:r>
    </w:p>
    <w:p>
      <w:pPr>
        <w:jc w:val="left"/>
        <w:rPr>
          <w:highlight w:val="none"/>
        </w:rPr>
      </w:pPr>
      <w:r>
        <w:rPr>
          <w:highlight w:val="none"/>
        </w:rPr>
        <w:t>9.3.3.6吊顶灯具、风口及检修口等应设附加吊杆。</w:t>
      </w:r>
    </w:p>
    <w:p>
      <w:pPr>
        <w:jc w:val="left"/>
        <w:rPr>
          <w:highlight w:val="none"/>
        </w:rPr>
      </w:pPr>
      <w:r>
        <w:rPr>
          <w:highlight w:val="none"/>
        </w:rPr>
        <w:t>9.3.3.7铝扣板吊顶平整度误差不超过±2mm，板面不得有较大的起伏和波浪状变形。</w:t>
      </w:r>
    </w:p>
    <w:p>
      <w:pPr>
        <w:pStyle w:val="4"/>
        <w:rPr>
          <w:highlight w:val="none"/>
        </w:rPr>
      </w:pPr>
      <w:bookmarkStart w:id="159" w:name="_Toc133335441"/>
      <w:r>
        <w:rPr>
          <w:highlight w:val="none"/>
        </w:rPr>
        <w:t>9.3.4 矿棉板吊顶</w:t>
      </w:r>
      <w:bookmarkEnd w:id="159"/>
    </w:p>
    <w:p>
      <w:pPr>
        <w:pStyle w:val="20"/>
        <w:ind w:firstLine="480"/>
        <w:rPr>
          <w:rFonts w:ascii="Calibri" w:hAnsi="Calibri"/>
          <w:sz w:val="21"/>
          <w:szCs w:val="22"/>
          <w:highlight w:val="none"/>
        </w:rPr>
      </w:pPr>
      <w:r>
        <w:rPr>
          <w:rFonts w:ascii="Calibri" w:hAnsi="Calibri"/>
          <w:sz w:val="21"/>
          <w:szCs w:val="22"/>
          <w:highlight w:val="none"/>
        </w:rPr>
        <w:t>9.3.4.1根据施工大样图纸要求确定吊筋的位置，安装吊筋预埋件(角铁)预埋件刷防锈漆。</w:t>
      </w:r>
    </w:p>
    <w:p>
      <w:pPr>
        <w:pStyle w:val="20"/>
        <w:ind w:firstLine="480"/>
        <w:rPr>
          <w:rFonts w:ascii="Calibri" w:hAnsi="Calibri"/>
          <w:sz w:val="21"/>
          <w:szCs w:val="22"/>
          <w:highlight w:val="none"/>
        </w:rPr>
      </w:pPr>
      <w:r>
        <w:rPr>
          <w:rFonts w:ascii="Calibri" w:hAnsi="Calibri"/>
          <w:sz w:val="21"/>
          <w:szCs w:val="22"/>
          <w:highlight w:val="none"/>
        </w:rPr>
        <w:t>9.3.4.2吊顶主龙骨间距应小于1200mm，并根据设计要求吊顶起拱，起拱高度约为短跨的1/200，并且安装的主龙骨接长应错开，在接头处增加吊点，随时检查龙骨的平整度。</w:t>
      </w:r>
    </w:p>
    <w:p>
      <w:pPr>
        <w:pStyle w:val="20"/>
        <w:ind w:firstLine="480"/>
        <w:rPr>
          <w:rFonts w:ascii="Calibri" w:hAnsi="Calibri"/>
          <w:sz w:val="21"/>
          <w:szCs w:val="22"/>
          <w:highlight w:val="none"/>
        </w:rPr>
      </w:pPr>
      <w:r>
        <w:rPr>
          <w:rFonts w:ascii="Calibri" w:hAnsi="Calibri"/>
          <w:sz w:val="21"/>
          <w:szCs w:val="22"/>
          <w:highlight w:val="none"/>
        </w:rPr>
        <w:t>9.3.4.3当遇到通风管道较大超过龙骨最大间距要求时，必须采用30*3以上的角钢做龙骨骨架，并且不能将骨架与通风管道等设备工程接触。</w:t>
      </w:r>
    </w:p>
    <w:p>
      <w:pPr>
        <w:pStyle w:val="20"/>
        <w:ind w:firstLine="480"/>
        <w:rPr>
          <w:rFonts w:ascii="Calibri" w:hAnsi="Calibri"/>
          <w:sz w:val="21"/>
          <w:szCs w:val="22"/>
          <w:highlight w:val="none"/>
        </w:rPr>
      </w:pPr>
      <w:r>
        <w:rPr>
          <w:rFonts w:ascii="Calibri" w:hAnsi="Calibri"/>
          <w:sz w:val="21"/>
          <w:szCs w:val="22"/>
          <w:highlight w:val="none"/>
        </w:rPr>
        <w:t>9.3.4.4按照面板的不同安装方式和规格，次龙骨分为T形和C形两种，次龙骨间距600mm，将次龙骨通过挂件吊挂在主龙骨上。</w:t>
      </w:r>
    </w:p>
    <w:p>
      <w:pPr>
        <w:pStyle w:val="20"/>
        <w:ind w:firstLine="480"/>
        <w:rPr>
          <w:rFonts w:ascii="Calibri" w:hAnsi="Calibri"/>
          <w:sz w:val="21"/>
          <w:szCs w:val="22"/>
          <w:highlight w:val="none"/>
        </w:rPr>
      </w:pPr>
      <w:r>
        <w:rPr>
          <w:rFonts w:ascii="Calibri" w:hAnsi="Calibri"/>
          <w:sz w:val="21"/>
          <w:szCs w:val="22"/>
          <w:highlight w:val="none"/>
        </w:rPr>
        <w:t>9.3.4.5隐蔽检查：在水电安装、试水、打压完毕后，应对龙骨进行隐蔽检查。合格后方可进入下道工序。</w:t>
      </w:r>
    </w:p>
    <w:p>
      <w:pPr>
        <w:pStyle w:val="20"/>
        <w:ind w:firstLine="480"/>
        <w:rPr>
          <w:rFonts w:ascii="Calibri" w:hAnsi="Calibri"/>
          <w:sz w:val="21"/>
          <w:szCs w:val="22"/>
          <w:highlight w:val="none"/>
        </w:rPr>
      </w:pPr>
      <w:r>
        <w:rPr>
          <w:rFonts w:ascii="Calibri" w:hAnsi="Calibri"/>
          <w:sz w:val="21"/>
          <w:szCs w:val="22"/>
          <w:highlight w:val="none"/>
        </w:rPr>
        <w:t>9.3.4.6校正调平：边龙骨安装完成后，再复查龙骨系统的水平。先调整边龙骨，在根据边龙骨的标高调整相应的副龙骨。如有必要调整相应的主龙骨。</w:t>
      </w:r>
    </w:p>
    <w:p>
      <w:pPr>
        <w:pStyle w:val="4"/>
        <w:rPr>
          <w:highlight w:val="none"/>
        </w:rPr>
      </w:pPr>
      <w:bookmarkStart w:id="160" w:name="_Toc133335442"/>
      <w:r>
        <w:rPr>
          <w:highlight w:val="none"/>
        </w:rPr>
        <w:t>9.3.5 洁净板吊顶</w:t>
      </w:r>
      <w:bookmarkEnd w:id="160"/>
    </w:p>
    <w:p>
      <w:pPr>
        <w:rPr>
          <w:highlight w:val="none"/>
        </w:rPr>
      </w:pPr>
      <w:r>
        <w:rPr>
          <w:highlight w:val="none"/>
        </w:rPr>
        <w:t>9.3.5.1干燥洁净区域（包括走廊）范围内的天花采用洁净板吊顶，均采用</w:t>
      </w:r>
      <w:r>
        <w:rPr>
          <w:rFonts w:hint="eastAsia"/>
          <w:highlight w:val="none"/>
        </w:rPr>
        <w:t>手工</w:t>
      </w:r>
      <w:r>
        <w:rPr>
          <w:highlight w:val="none"/>
        </w:rPr>
        <w:t>单面玻镁金属岩棉夹芯板</w:t>
      </w:r>
      <w:r>
        <w:rPr>
          <w:rFonts w:hint="eastAsia"/>
          <w:highlight w:val="none"/>
        </w:rPr>
        <w:t>，</w:t>
      </w:r>
      <w:r>
        <w:rPr>
          <w:highlight w:val="none"/>
        </w:rPr>
        <w:t>单层玻镁</w:t>
      </w:r>
      <w:r>
        <w:rPr>
          <w:rFonts w:hint="eastAsia"/>
          <w:highlight w:val="none"/>
        </w:rPr>
        <w:t>厚度</w:t>
      </w:r>
      <w:r>
        <w:rPr>
          <w:rFonts w:hint="eastAsia" w:ascii="宋体" w:hAnsi="宋体"/>
          <w:highlight w:val="none"/>
        </w:rPr>
        <w:t>≥</w:t>
      </w:r>
      <w:r>
        <w:rPr>
          <w:highlight w:val="none"/>
        </w:rPr>
        <w:t>5mm</w:t>
      </w:r>
      <w:r>
        <w:rPr>
          <w:rFonts w:hint="eastAsia"/>
          <w:highlight w:val="none"/>
        </w:rPr>
        <w:t>，</w:t>
      </w:r>
      <w:r>
        <w:rPr>
          <w:highlight w:val="none"/>
        </w:rPr>
        <w:t>板材耐火极限不小于1小时。板材密封性良好，厚度≥50mm，钢板实际厚度≥0.5mm，夹芯材料容重不低于120kg/m3的岩棉。</w:t>
      </w:r>
    </w:p>
    <w:p>
      <w:pPr>
        <w:rPr>
          <w:highlight w:val="none"/>
        </w:rPr>
      </w:pPr>
      <w:r>
        <w:rPr>
          <w:highlight w:val="none"/>
        </w:rPr>
        <w:t>9.3.5.2天花洁净板吊顶的固定和吊挂件只能与建筑主体结构相连，不能与设备和管道支架交叉混用。</w:t>
      </w:r>
    </w:p>
    <w:p>
      <w:pPr>
        <w:rPr>
          <w:highlight w:val="none"/>
        </w:rPr>
      </w:pPr>
      <w:r>
        <w:rPr>
          <w:highlight w:val="none"/>
        </w:rPr>
        <w:t>9.3.5.3洁净板吊顶表面应光洁、平整，不起灰，不落尘，耐腐蚀，抗冲击，易清洗，并满足人员检修的荷载的要求；</w:t>
      </w:r>
    </w:p>
    <w:p>
      <w:pPr>
        <w:rPr>
          <w:highlight w:val="none"/>
        </w:rPr>
      </w:pPr>
      <w:r>
        <w:rPr>
          <w:highlight w:val="none"/>
        </w:rPr>
        <w:t>9.3.5.4天花洁净板吊顶的重量是通过固定在周边的立板及中间悬吊的T型铝支撑。</w:t>
      </w:r>
    </w:p>
    <w:p>
      <w:pPr>
        <w:rPr>
          <w:highlight w:val="none"/>
        </w:rPr>
      </w:pPr>
      <w:r>
        <w:rPr>
          <w:highlight w:val="none"/>
        </w:rPr>
        <w:t>9.3.5.5长边缝间通过固定插件固定和加固，短边通过T型铝和连板抽芯铆钉固定。</w:t>
      </w:r>
    </w:p>
    <w:p>
      <w:pPr>
        <w:rPr>
          <w:highlight w:val="none"/>
        </w:rPr>
      </w:pPr>
      <w:r>
        <w:rPr>
          <w:highlight w:val="none"/>
        </w:rPr>
        <w:t>9.3.5.6天花洁净板吊顶力求平整，板缝密实均匀、光洁、无痕、无伤。平整度不大于1‰；</w:t>
      </w:r>
    </w:p>
    <w:p>
      <w:pPr>
        <w:rPr>
          <w:highlight w:val="none"/>
        </w:rPr>
      </w:pPr>
      <w:r>
        <w:rPr>
          <w:highlight w:val="none"/>
        </w:rPr>
        <w:t>9.3.5.7天花洁净板吊顶施工要保证吊顶在受到荷载后保持平整。吊顶四周应与墙体交接严密。安装过程中不得撕下板材表面的保护膜，施工过程中禁止撞击和踩踏版面。</w:t>
      </w:r>
    </w:p>
    <w:p>
      <w:pPr>
        <w:rPr>
          <w:highlight w:val="none"/>
        </w:rPr>
      </w:pPr>
      <w:r>
        <w:rPr>
          <w:highlight w:val="none"/>
        </w:rPr>
        <w:t>9.3.5.8风管、消防管及工艺管道等开孔处需进行龙骨补强，开口面采用镀锌板密封封口并打密封胶，做法示意图如下图。</w:t>
      </w:r>
    </w:p>
    <w:p>
      <w:pPr>
        <w:rPr>
          <w:highlight w:val="none"/>
        </w:rPr>
      </w:pPr>
      <w:r>
        <w:rPr>
          <w:highlight w:val="none"/>
        </w:rPr>
        <w:drawing>
          <wp:inline distT="0" distB="0" distL="114300" distR="114300">
            <wp:extent cx="4525645" cy="2698750"/>
            <wp:effectExtent l="0" t="0" r="8255" b="6350"/>
            <wp:docPr id="37" name="图片 2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descript"/>
                    <pic:cNvPicPr>
                      <a:picLocks noChangeAspect="1"/>
                    </pic:cNvPicPr>
                  </pic:nvPicPr>
                  <pic:blipFill>
                    <a:blip r:embed="rId32"/>
                    <a:srcRect r="-32" b="105"/>
                    <a:stretch>
                      <a:fillRect/>
                    </a:stretch>
                  </pic:blipFill>
                  <pic:spPr>
                    <a:xfrm>
                      <a:off x="0" y="0"/>
                      <a:ext cx="4525645" cy="2698750"/>
                    </a:xfrm>
                    <a:prstGeom prst="rect">
                      <a:avLst/>
                    </a:prstGeom>
                    <a:noFill/>
                    <a:ln>
                      <a:noFill/>
                    </a:ln>
                  </pic:spPr>
                </pic:pic>
              </a:graphicData>
            </a:graphic>
          </wp:inline>
        </w:drawing>
      </w:r>
    </w:p>
    <w:p>
      <w:pPr>
        <w:rPr>
          <w:highlight w:val="none"/>
        </w:rPr>
      </w:pPr>
      <w:r>
        <w:rPr>
          <w:highlight w:val="none"/>
        </w:rPr>
        <w:t>9.3.5.9天花板的安装缝隙及管道穿孔处必须进行密封处理。</w:t>
      </w:r>
    </w:p>
    <w:p>
      <w:pPr>
        <w:rPr>
          <w:highlight w:val="none"/>
        </w:rPr>
      </w:pPr>
      <w:r>
        <w:rPr>
          <w:highlight w:val="none"/>
        </w:rPr>
        <w:t>9.3.5.10墙面与天花板之间阴角处采用铝合金圆弧角（R50）连接，并用硅密胶密封，</w:t>
      </w:r>
    </w:p>
    <w:p>
      <w:pPr>
        <w:rPr>
          <w:highlight w:val="none"/>
        </w:rPr>
      </w:pPr>
      <w:r>
        <w:rPr>
          <w:highlight w:val="none"/>
        </w:rPr>
        <w:t>9.3.5.11铝合金圆弧角安装必须平直，接头严密。</w:t>
      </w:r>
    </w:p>
    <w:p>
      <w:pPr>
        <w:rPr>
          <w:highlight w:val="none"/>
        </w:rPr>
      </w:pPr>
      <w:r>
        <w:rPr>
          <w:highlight w:val="none"/>
        </w:rPr>
        <w:t>9.3.5.12设置相应区域的检修洞口，并设置固定检修爬梯。</w:t>
      </w:r>
    </w:p>
    <w:p>
      <w:pPr>
        <w:rPr>
          <w:highlight w:val="none"/>
        </w:rPr>
      </w:pPr>
      <w:r>
        <w:rPr>
          <w:highlight w:val="none"/>
        </w:rPr>
        <w:t>9.3.5.13局部加高的房间吊顶需要设置固定检修楼梯。</w:t>
      </w:r>
    </w:p>
    <w:p>
      <w:pPr>
        <w:rPr>
          <w:highlight w:val="none"/>
        </w:rPr>
      </w:pPr>
      <w:r>
        <w:rPr>
          <w:highlight w:val="none"/>
        </w:rPr>
        <w:t>9.3.5.14局部加高的房间吊顶四周设置可靠安全护栏1.1米高（四周隔墙板加高1.1m，检修梯处设置平开门）。</w:t>
      </w:r>
    </w:p>
    <w:p>
      <w:pPr>
        <w:pStyle w:val="20"/>
        <w:ind w:firstLine="480"/>
        <w:rPr>
          <w:sz w:val="24"/>
          <w:highlight w:val="none"/>
        </w:rPr>
      </w:pPr>
      <w:r>
        <w:rPr>
          <w:kern w:val="0"/>
          <w:sz w:val="24"/>
          <w:highlight w:val="none"/>
        </w:rPr>
        <w:t>9.3.5.15单面玻</w:t>
      </w:r>
      <w:r>
        <w:rPr>
          <w:sz w:val="24"/>
          <w:highlight w:val="none"/>
        </w:rPr>
        <w:t>镁金属岩棉夹芯板在工厂预制时，采用厚度不低于0.75mm镀锌板金属边龙骨，板中加设加强龙骨（不低于0.9mm）一支，四周封边（四雌）盒装手工板。在整个运输制作，安装过程中，防止划伤、重压及表面撞击，以防止出现无法校正的四坑和划痕。</w:t>
      </w:r>
    </w:p>
    <w:p>
      <w:pPr>
        <w:pStyle w:val="3"/>
        <w:rPr>
          <w:sz w:val="28"/>
          <w:szCs w:val="28"/>
          <w:highlight w:val="none"/>
        </w:rPr>
      </w:pPr>
      <w:bookmarkStart w:id="161" w:name="_Toc133335443"/>
      <w:r>
        <w:rPr>
          <w:sz w:val="28"/>
          <w:szCs w:val="28"/>
          <w:highlight w:val="none"/>
        </w:rPr>
        <w:t>9.4 内墙装饰</w:t>
      </w:r>
      <w:bookmarkEnd w:id="161"/>
    </w:p>
    <w:p>
      <w:pPr>
        <w:pStyle w:val="4"/>
        <w:rPr>
          <w:highlight w:val="none"/>
        </w:rPr>
      </w:pPr>
      <w:bookmarkStart w:id="162" w:name="_Toc133335444"/>
      <w:r>
        <w:rPr>
          <w:highlight w:val="none"/>
        </w:rPr>
        <w:t>9.4.1 轻钢龙骨隔墙</w:t>
      </w:r>
      <w:bookmarkEnd w:id="162"/>
    </w:p>
    <w:p>
      <w:pPr>
        <w:pStyle w:val="20"/>
        <w:ind w:firstLine="480"/>
        <w:rPr>
          <w:sz w:val="24"/>
          <w:highlight w:val="none"/>
        </w:rPr>
      </w:pPr>
      <w:r>
        <w:rPr>
          <w:sz w:val="24"/>
          <w:highlight w:val="none"/>
        </w:rPr>
        <w:t>9.4.1.1龙骨两侧的石膏板及龙骨一侧的内外两层石膏板应错缝排列，接缝不得落在 同一根龙骨上。</w:t>
      </w:r>
    </w:p>
    <w:p>
      <w:pPr>
        <w:pStyle w:val="20"/>
        <w:ind w:firstLine="480"/>
        <w:rPr>
          <w:sz w:val="24"/>
          <w:highlight w:val="none"/>
        </w:rPr>
      </w:pPr>
      <w:r>
        <w:rPr>
          <w:sz w:val="24"/>
          <w:highlight w:val="none"/>
        </w:rPr>
        <w:t>9.4.1.2门窗或特殊接点处应做加固处理，使用附加龙骨，安装应符合设计要求。</w:t>
      </w:r>
    </w:p>
    <w:p>
      <w:pPr>
        <w:pStyle w:val="20"/>
        <w:ind w:firstLine="480"/>
        <w:rPr>
          <w:sz w:val="24"/>
          <w:highlight w:val="none"/>
        </w:rPr>
      </w:pPr>
      <w:r>
        <w:rPr>
          <w:sz w:val="24"/>
          <w:highlight w:val="none"/>
        </w:rPr>
        <w:t>9.4.1.3按图纸要求预埋管道和附墙设备。要求与龙骨的安装同步进行，或在另一面石膏板封板前进行，并采取局部加强措施，固定牢固。电气设备专业 在墙中铺设管线时，应避免切断横、竖向龙骨，同时避免在沿墙下端设置管线。</w:t>
      </w:r>
    </w:p>
    <w:p>
      <w:pPr>
        <w:pStyle w:val="20"/>
        <w:ind w:firstLine="480"/>
        <w:rPr>
          <w:sz w:val="24"/>
          <w:highlight w:val="none"/>
        </w:rPr>
      </w:pPr>
      <w:r>
        <w:rPr>
          <w:sz w:val="24"/>
          <w:highlight w:val="none"/>
        </w:rPr>
        <w:t>9.4.1.4安装石膏板时，应从板的中部向板的四边固定，钉头略埋入板内，但不得损坏纸面。</w:t>
      </w:r>
    </w:p>
    <w:p>
      <w:pPr>
        <w:pStyle w:val="20"/>
        <w:ind w:firstLine="480"/>
        <w:rPr>
          <w:sz w:val="24"/>
          <w:highlight w:val="none"/>
        </w:rPr>
      </w:pPr>
      <w:r>
        <w:rPr>
          <w:sz w:val="24"/>
          <w:highlight w:val="none"/>
        </w:rPr>
        <w:t>9.4.1.5</w:t>
      </w:r>
      <w:r>
        <w:rPr>
          <w:color w:val="000000"/>
          <w:sz w:val="24"/>
          <w:highlight w:val="none"/>
        </w:rPr>
        <w:t>石膏板宜使用整板。如需对接时，应紧靠，但不得强压就位。</w:t>
      </w:r>
      <w:r>
        <w:rPr>
          <w:sz w:val="24"/>
          <w:highlight w:val="none"/>
        </w:rPr>
        <w:t>在接缝坡口处刮约 lmm 厚接缝专用腻子，然后粘贴玻璃纤维网格带，再刮一道接缝专用腻子，压实刮平。</w:t>
      </w:r>
    </w:p>
    <w:p>
      <w:pPr>
        <w:pStyle w:val="20"/>
        <w:ind w:firstLine="480"/>
        <w:rPr>
          <w:sz w:val="24"/>
          <w:highlight w:val="none"/>
        </w:rPr>
      </w:pPr>
      <w:r>
        <w:rPr>
          <w:sz w:val="24"/>
          <w:highlight w:val="none"/>
        </w:rPr>
        <w:t>9.4.1.6龙骨隔墙安装的允许偏差和检验方法：</w:t>
      </w:r>
    </w:p>
    <w:tbl>
      <w:tblPr>
        <w:tblStyle w:val="16"/>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0"/>
        <w:gridCol w:w="1530"/>
        <w:gridCol w:w="1651"/>
        <w:gridCol w:w="2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2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序号</w:t>
            </w:r>
          </w:p>
        </w:tc>
        <w:tc>
          <w:tcPr>
            <w:tcW w:w="162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3181"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允许偏差（单位为毫米）</w:t>
            </w:r>
          </w:p>
        </w:tc>
        <w:tc>
          <w:tcPr>
            <w:tcW w:w="2999"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20" w:type="dxa"/>
            <w:vMerge w:val="continue"/>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620" w:type="dxa"/>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5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纸面石膏板</w:t>
            </w:r>
          </w:p>
        </w:tc>
        <w:tc>
          <w:tcPr>
            <w:tcW w:w="165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人造木板，水泥纤维板</w:t>
            </w:r>
          </w:p>
        </w:tc>
        <w:tc>
          <w:tcPr>
            <w:tcW w:w="2999" w:type="dxa"/>
            <w:vMerge w:val="continue"/>
            <w:tcBorders>
              <w:top w:val="single" w:color="000000" w:sz="6" w:space="0"/>
              <w:left w:val="single" w:color="CBCDD1"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16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立面垂直度</w:t>
            </w:r>
          </w:p>
        </w:tc>
        <w:tc>
          <w:tcPr>
            <w:tcW w:w="15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165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299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用2米头衔板检查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16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表面平整度</w:t>
            </w:r>
          </w:p>
        </w:tc>
        <w:tc>
          <w:tcPr>
            <w:tcW w:w="15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165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99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用2米靠尺和塞尺检查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16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接缝高低差</w:t>
            </w:r>
          </w:p>
        </w:tc>
        <w:tc>
          <w:tcPr>
            <w:tcW w:w="15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165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299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用2米直尺或塞尺检查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16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阴阳角方正</w:t>
            </w:r>
          </w:p>
        </w:tc>
        <w:tc>
          <w:tcPr>
            <w:tcW w:w="15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165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99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用200mm直角检测尺检查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c>
          <w:tcPr>
            <w:tcW w:w="16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压条直角度</w:t>
            </w:r>
          </w:p>
        </w:tc>
        <w:tc>
          <w:tcPr>
            <w:tcW w:w="15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65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99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拉5米线，不足5米拉通线用钢直尺检查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w:t>
            </w:r>
          </w:p>
        </w:tc>
        <w:tc>
          <w:tcPr>
            <w:tcW w:w="162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接缝直角度</w:t>
            </w:r>
          </w:p>
        </w:tc>
        <w:tc>
          <w:tcPr>
            <w:tcW w:w="15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65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299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拉5米线，不足5米拉通线用钢直尺检查</w:t>
            </w:r>
          </w:p>
        </w:tc>
      </w:tr>
    </w:tbl>
    <w:p>
      <w:pPr>
        <w:pStyle w:val="4"/>
        <w:rPr>
          <w:highlight w:val="none"/>
        </w:rPr>
      </w:pPr>
      <w:bookmarkStart w:id="163" w:name="_Toc133335445"/>
      <w:r>
        <w:rPr>
          <w:highlight w:val="none"/>
        </w:rPr>
        <w:t>9.4.2 洁净板隔墙</w:t>
      </w:r>
      <w:bookmarkEnd w:id="163"/>
    </w:p>
    <w:p>
      <w:pPr>
        <w:pStyle w:val="20"/>
        <w:ind w:firstLine="480"/>
        <w:rPr>
          <w:sz w:val="24"/>
          <w:highlight w:val="none"/>
        </w:rPr>
      </w:pPr>
      <w:r>
        <w:rPr>
          <w:sz w:val="24"/>
          <w:highlight w:val="none"/>
        </w:rPr>
        <w:t>9.4.2.1洁净板隔墙应按环境需求设置，洁净区域隔墙均采用</w:t>
      </w:r>
      <w:r>
        <w:rPr>
          <w:rFonts w:hint="eastAsia"/>
          <w:sz w:val="24"/>
          <w:highlight w:val="none"/>
        </w:rPr>
        <w:t>手工</w:t>
      </w:r>
      <w:r>
        <w:rPr>
          <w:sz w:val="24"/>
          <w:highlight w:val="none"/>
        </w:rPr>
        <w:t>金属岩棉夹芯板，表面材料为彩涂板或不锈钢板，厚度≥0.5mm，岩棉容重不低于120kg/m</w:t>
      </w:r>
      <w:r>
        <w:rPr>
          <w:sz w:val="24"/>
          <w:highlight w:val="none"/>
          <w:vertAlign w:val="superscript"/>
        </w:rPr>
        <w:t>3</w:t>
      </w:r>
      <w:r>
        <w:rPr>
          <w:sz w:val="24"/>
          <w:highlight w:val="none"/>
        </w:rPr>
        <w:t>，四周镀锌钢带及镀锌角件封边，耐火极限≥h。洁净板隔墙应</w:t>
      </w:r>
      <w:r>
        <w:rPr>
          <w:rFonts w:hint="eastAsia"/>
          <w:sz w:val="24"/>
          <w:highlight w:val="none"/>
        </w:rPr>
        <w:t>根据设计要求采用单面或双面抗静电功能，</w:t>
      </w:r>
      <w:r>
        <w:rPr>
          <w:sz w:val="24"/>
          <w:highlight w:val="none"/>
        </w:rPr>
        <w:t>隔墙表面均应不产尘、不积尘。板材密封性良好，厚度≥50mm（根据实际使用要求确定）。</w:t>
      </w:r>
    </w:p>
    <w:p>
      <w:pPr>
        <w:pStyle w:val="20"/>
        <w:ind w:firstLine="480"/>
        <w:rPr>
          <w:sz w:val="24"/>
          <w:highlight w:val="none"/>
        </w:rPr>
      </w:pPr>
      <w:r>
        <w:rPr>
          <w:sz w:val="24"/>
          <w:highlight w:val="none"/>
        </w:rPr>
        <w:t>9.4.2.2参观通道区域墙板采用</w:t>
      </w:r>
      <w:r>
        <w:rPr>
          <w:rFonts w:hint="eastAsia"/>
          <w:sz w:val="24"/>
          <w:highlight w:val="none"/>
        </w:rPr>
        <w:t>手工</w:t>
      </w:r>
      <w:r>
        <w:rPr>
          <w:sz w:val="24"/>
          <w:highlight w:val="none"/>
        </w:rPr>
        <w:t>金属岩棉夹芯板，表面材料为彩涂板或不锈钢板， 厚度≥0.5mm，岩棉容重不低于120kg/m3，，四周镀锌钢带及镀锌角件封边，耐火极限≥1h。隔墙表面均应不产尘、不积尘。板材密封性良好，厚度≥50mm（根据实际使用要求确定）。</w:t>
      </w:r>
    </w:p>
    <w:p>
      <w:pPr>
        <w:pStyle w:val="20"/>
        <w:ind w:firstLine="480"/>
        <w:rPr>
          <w:sz w:val="24"/>
          <w:highlight w:val="none"/>
        </w:rPr>
      </w:pPr>
      <w:r>
        <w:rPr>
          <w:sz w:val="24"/>
          <w:highlight w:val="none"/>
        </w:rPr>
        <w:t>9.4.2.3洁净区域应采用不起尘、不开裂的材料，在施工过程中接缝处采用密封胶处理填塞，所有接缝处（包括门窗，库板隔问）缝隙不应大于0.5mm。建筑装饰及门窗的缝際应在洁净室正压面密封。所有材料均需采用甲方认可的产品。</w:t>
      </w:r>
    </w:p>
    <w:p>
      <w:pPr>
        <w:pStyle w:val="20"/>
        <w:ind w:firstLine="480"/>
        <w:rPr>
          <w:sz w:val="24"/>
          <w:highlight w:val="none"/>
        </w:rPr>
      </w:pPr>
      <w:r>
        <w:rPr>
          <w:sz w:val="24"/>
          <w:highlight w:val="none"/>
        </w:rPr>
        <w:t>9.4.2.4所有接缝处要求板缝平齐，密封良好。</w:t>
      </w:r>
    </w:p>
    <w:p>
      <w:pPr>
        <w:pStyle w:val="20"/>
        <w:ind w:firstLine="480"/>
        <w:rPr>
          <w:sz w:val="24"/>
          <w:highlight w:val="none"/>
        </w:rPr>
      </w:pPr>
      <w:r>
        <w:rPr>
          <w:sz w:val="24"/>
          <w:highlight w:val="none"/>
        </w:rPr>
        <w:t>9.4.2.5金属岩棉夹芯板在整个运输制作，安装过程中，防止划伤、重压及表面撞击，以防止出现无法校正的四坑和划痕。金属洁净壁板两侧的塑料保护膜，只有在安装全部结束后，进行彻底清洁时才允许揭掉。</w:t>
      </w:r>
    </w:p>
    <w:p>
      <w:pPr>
        <w:pStyle w:val="20"/>
        <w:ind w:firstLine="480"/>
        <w:rPr>
          <w:sz w:val="24"/>
          <w:highlight w:val="none"/>
        </w:rPr>
      </w:pPr>
      <w:r>
        <w:rPr>
          <w:sz w:val="24"/>
          <w:highlight w:val="none"/>
        </w:rPr>
        <w:t>9.4.2.6隔墙的固定采用地龙骨或专用连接材料，以消除地面不平的影响，地龙骨铝合金型材的断面厚度不小于1.2mm。</w:t>
      </w:r>
    </w:p>
    <w:p>
      <w:pPr>
        <w:pStyle w:val="20"/>
        <w:ind w:firstLine="480"/>
        <w:rPr>
          <w:sz w:val="24"/>
          <w:highlight w:val="none"/>
        </w:rPr>
      </w:pPr>
      <w:r>
        <w:rPr>
          <w:sz w:val="24"/>
          <w:highlight w:val="none"/>
        </w:rPr>
        <w:t>9.4.2.7隔墙的安装缝隙以及阴角、阳角的缝隙必须进行密封处理，密封胶采用道康宁或同等品牌的中性胶。</w:t>
      </w:r>
    </w:p>
    <w:p>
      <w:pPr>
        <w:pStyle w:val="20"/>
        <w:ind w:firstLine="480"/>
        <w:rPr>
          <w:sz w:val="24"/>
          <w:highlight w:val="none"/>
        </w:rPr>
      </w:pPr>
      <w:r>
        <w:rPr>
          <w:sz w:val="24"/>
          <w:highlight w:val="none"/>
        </w:rPr>
        <w:t>9.4.2.8隔墙安装前的放线工作，应在地(楼)面完成后进行，并在具备安装的其它相关条件如较大设备已运到位、暗散地面管线已调整完及技术夹层主要安装工作基本完成后才可以进行。</w:t>
      </w:r>
    </w:p>
    <w:p>
      <w:pPr>
        <w:pStyle w:val="20"/>
        <w:ind w:firstLine="480"/>
        <w:rPr>
          <w:sz w:val="24"/>
          <w:highlight w:val="none"/>
        </w:rPr>
      </w:pPr>
      <w:r>
        <w:rPr>
          <w:sz w:val="24"/>
          <w:highlight w:val="none"/>
        </w:rPr>
        <w:t>9.4.2.9注意事项</w:t>
      </w:r>
    </w:p>
    <w:p>
      <w:pPr>
        <w:numPr>
          <w:ilvl w:val="0"/>
          <w:numId w:val="52"/>
        </w:numPr>
        <w:spacing w:line="360" w:lineRule="auto"/>
        <w:rPr>
          <w:highlight w:val="none"/>
        </w:rPr>
      </w:pPr>
      <w:r>
        <w:rPr>
          <w:highlight w:val="none"/>
        </w:rPr>
        <w:t>铝槽采用带有内外R角的铝合金型材。</w:t>
      </w:r>
    </w:p>
    <w:p>
      <w:pPr>
        <w:numPr>
          <w:ilvl w:val="0"/>
          <w:numId w:val="52"/>
        </w:numPr>
        <w:spacing w:line="360" w:lineRule="auto"/>
        <w:ind w:left="0" w:firstLine="0"/>
        <w:rPr>
          <w:highlight w:val="none"/>
        </w:rPr>
      </w:pPr>
      <w:r>
        <w:rPr>
          <w:highlight w:val="none"/>
        </w:rPr>
        <w:t>施工安装时，应首先进行吊挂件、锚固件等与建筑主体结构（地面、楼面、承重梁）的固定。圆角三维交汇处安装铝合金三维球面，非净化区域装饰和净化区域装饰一致，组立壁板的同时配合好电气暗敷管线及箱盒。</w:t>
      </w:r>
    </w:p>
    <w:p>
      <w:pPr>
        <w:numPr>
          <w:ilvl w:val="0"/>
          <w:numId w:val="52"/>
        </w:numPr>
        <w:spacing w:line="360" w:lineRule="auto"/>
        <w:ind w:left="0" w:firstLine="0"/>
        <w:rPr>
          <w:highlight w:val="none"/>
        </w:rPr>
      </w:pPr>
      <w:r>
        <w:rPr>
          <w:highlight w:val="none"/>
        </w:rPr>
        <w:t>铝槽与地面间（打胶之前，用吸尘器把粉尘吸干净）、铝槽与彩钢板中间、隔断之间，内角条、圆弧包边槽与彩钢板接触面与地面接触面均用硅胶密封，保证密闭无泄漏。</w:t>
      </w:r>
    </w:p>
    <w:p>
      <w:pPr>
        <w:numPr>
          <w:ilvl w:val="0"/>
          <w:numId w:val="52"/>
        </w:numPr>
        <w:spacing w:line="360" w:lineRule="auto"/>
        <w:ind w:left="0" w:firstLine="0"/>
        <w:rPr>
          <w:highlight w:val="none"/>
        </w:rPr>
      </w:pPr>
      <w:r>
        <w:rPr>
          <w:highlight w:val="none"/>
        </w:rPr>
        <w:t>安装过程中注意对已安装好的隔墙的保护，不得撕下板材表面保护膜，禁止撞击、踩踏板面。</w:t>
      </w:r>
    </w:p>
    <w:p>
      <w:pPr>
        <w:numPr>
          <w:ilvl w:val="0"/>
          <w:numId w:val="52"/>
        </w:numPr>
        <w:spacing w:line="360" w:lineRule="auto"/>
        <w:ind w:left="0" w:firstLine="0"/>
        <w:rPr>
          <w:highlight w:val="none"/>
        </w:rPr>
      </w:pPr>
      <w:r>
        <w:rPr>
          <w:highlight w:val="none"/>
        </w:rPr>
        <w:t>为了日后设备维修的需要，需要在放置搅拌机、辊压机、组装区附近隔墙上预留可拆卸垭口门，具体尺寸、位置在施工阶段需建设方现场确认。</w:t>
      </w:r>
    </w:p>
    <w:p>
      <w:pPr>
        <w:rPr>
          <w:highlight w:val="none"/>
        </w:rPr>
      </w:pPr>
      <w:r>
        <w:rPr>
          <w:highlight w:val="none"/>
        </w:rPr>
        <w:t>9.4.2.10洁净板隔墙安装允许偏差：</w:t>
      </w:r>
    </w:p>
    <w:tbl>
      <w:tblPr>
        <w:tblStyle w:val="16"/>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965"/>
        <w:gridCol w:w="1665"/>
        <w:gridCol w:w="4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编号</w:t>
            </w:r>
          </w:p>
        </w:tc>
        <w:tc>
          <w:tcPr>
            <w:tcW w:w="196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项目</w:t>
            </w:r>
          </w:p>
        </w:tc>
        <w:tc>
          <w:tcPr>
            <w:tcW w:w="166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允许偏差</w:t>
            </w:r>
          </w:p>
        </w:tc>
        <w:tc>
          <w:tcPr>
            <w:tcW w:w="469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19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表面平整度</w:t>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±2mm</w:t>
            </w:r>
          </w:p>
        </w:tc>
        <w:tc>
          <w:tcPr>
            <w:tcW w:w="4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用2米靠尺和楔形塞尺检查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19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立面垂直度</w:t>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±2mm</w:t>
            </w:r>
          </w:p>
        </w:tc>
        <w:tc>
          <w:tcPr>
            <w:tcW w:w="4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用2米垂直检查尺检查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19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阴、阳角方正</w:t>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±2mm</w:t>
            </w:r>
          </w:p>
        </w:tc>
        <w:tc>
          <w:tcPr>
            <w:tcW w:w="4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用直角检验尺检查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19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接缝高低差</w:t>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±1mm</w:t>
            </w:r>
          </w:p>
        </w:tc>
        <w:tc>
          <w:tcPr>
            <w:tcW w:w="4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用钢直尺和塞尺检查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c>
          <w:tcPr>
            <w:tcW w:w="19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接缝宽度</w:t>
            </w:r>
          </w:p>
        </w:tc>
        <w:tc>
          <w:tcPr>
            <w:tcW w:w="16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±1mm</w:t>
            </w:r>
          </w:p>
        </w:tc>
        <w:tc>
          <w:tcPr>
            <w:tcW w:w="469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用钢直尺检查</w:t>
            </w:r>
          </w:p>
        </w:tc>
      </w:tr>
    </w:tbl>
    <w:p>
      <w:pPr>
        <w:rPr>
          <w:highlight w:val="none"/>
        </w:rPr>
      </w:pPr>
      <w:r>
        <w:rPr>
          <w:highlight w:val="none"/>
        </w:rPr>
        <w:t>9.4.2.11洁净室及洁净区域内空气中悬浮粒子空气洁净度等级应符合下列规定:</w:t>
      </w:r>
    </w:p>
    <w:tbl>
      <w:tblPr>
        <w:tblStyle w:val="16"/>
        <w:tblW w:w="9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1230"/>
        <w:gridCol w:w="1230"/>
        <w:gridCol w:w="1230"/>
        <w:gridCol w:w="1230"/>
        <w:gridCol w:w="123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空气洁净度等级（N）</w:t>
            </w:r>
          </w:p>
        </w:tc>
        <w:tc>
          <w:tcPr>
            <w:tcW w:w="7380" w:type="dxa"/>
            <w:gridSpan w:val="6"/>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大于或等于要求粒径的最大浓度限值（pc/m</w:t>
            </w:r>
            <w:r>
              <w:rPr>
                <w:szCs w:val="21"/>
                <w:highlight w:val="none"/>
                <w:vertAlign w:val="superscript"/>
              </w:rPr>
              <w:t>3</w:t>
            </w:r>
            <w:r>
              <w:rPr>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vMerge w:val="continue"/>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0.1μm</w:t>
            </w:r>
          </w:p>
        </w:tc>
        <w:tc>
          <w:tcPr>
            <w:tcW w:w="123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0.2μm</w:t>
            </w:r>
          </w:p>
        </w:tc>
        <w:tc>
          <w:tcPr>
            <w:tcW w:w="123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0.3μm</w:t>
            </w:r>
          </w:p>
        </w:tc>
        <w:tc>
          <w:tcPr>
            <w:tcW w:w="123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0.5μm</w:t>
            </w:r>
          </w:p>
        </w:tc>
        <w:tc>
          <w:tcPr>
            <w:tcW w:w="123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1μm</w:t>
            </w:r>
          </w:p>
        </w:tc>
        <w:tc>
          <w:tcPr>
            <w:tcW w:w="123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23</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237</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102</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35</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4</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2370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1020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352</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83</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100000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23700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10200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3520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832</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6</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1000000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237000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102000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35200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8320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7</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352000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83200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3520000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832000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9</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35200000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8320000</w:t>
            </w:r>
          </w:p>
        </w:tc>
        <w:tc>
          <w:tcPr>
            <w:tcW w:w="1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293000</w:t>
            </w:r>
          </w:p>
        </w:tc>
      </w:tr>
    </w:tbl>
    <w:p>
      <w:pPr>
        <w:rPr>
          <w:highlight w:val="none"/>
        </w:rPr>
      </w:pPr>
      <w:r>
        <w:rPr>
          <w:highlight w:val="none"/>
        </w:rPr>
        <w:t>注：按不同的测量方法，个等级水平的浓度数据的有效数字不应超过3位。</w:t>
      </w:r>
    </w:p>
    <w:p>
      <w:pPr>
        <w:rPr>
          <w:highlight w:val="none"/>
        </w:rPr>
      </w:pPr>
      <w:r>
        <w:rPr>
          <w:highlight w:val="none"/>
        </w:rPr>
        <w:t>9.4.2.12洁净室（区）与周围的空间必须维持一定的压差值，并应按工艺要求决定维持正压差或负压差。其最小压差值应符合下列表格中的规定。</w:t>
      </w:r>
    </w:p>
    <w:tbl>
      <w:tblPr>
        <w:tblStyle w:val="16"/>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4667"/>
        <w:gridCol w:w="3180"/>
      </w:tblGrid>
      <w:tr>
        <w:tblPrEx>
          <w:tblCellMar>
            <w:top w:w="0" w:type="dxa"/>
            <w:left w:w="108" w:type="dxa"/>
            <w:bottom w:w="0" w:type="dxa"/>
            <w:right w:w="108" w:type="dxa"/>
          </w:tblCellMar>
        </w:tblPrEx>
        <w:trPr>
          <w:jc w:val="center"/>
        </w:trPr>
        <w:tc>
          <w:tcPr>
            <w:tcW w:w="169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行业</w:t>
            </w:r>
          </w:p>
        </w:tc>
        <w:tc>
          <w:tcPr>
            <w:tcW w:w="4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压差项</w:t>
            </w:r>
          </w:p>
        </w:tc>
        <w:tc>
          <w:tcPr>
            <w:tcW w:w="31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最小压差值（pa）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医药</w:t>
            </w:r>
          </w:p>
        </w:tc>
        <w:tc>
          <w:tcPr>
            <w:tcW w:w="466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不同等级的洁净室（区）之间</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4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洁净室（区）与非洁净室（区）</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4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洁净室（区）与室外</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其他</w:t>
            </w:r>
          </w:p>
        </w:tc>
        <w:tc>
          <w:tcPr>
            <w:tcW w:w="466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不同等级的洁净室（区）之间</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4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洁净室（区）与非洁净室（区）</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5（注1）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466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洁净室（区）与室外</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w:t>
            </w:r>
          </w:p>
        </w:tc>
      </w:tr>
    </w:tbl>
    <w:p>
      <w:pPr>
        <w:rPr>
          <w:highlight w:val="none"/>
        </w:rPr>
      </w:pPr>
      <w:r>
        <w:rPr>
          <w:highlight w:val="none"/>
        </w:rPr>
        <w:t>注：当不同等级洁净室的上技术夹层或下技术夹层相通时不受此值限值.</w:t>
      </w:r>
    </w:p>
    <w:p>
      <w:pPr>
        <w:rPr>
          <w:highlight w:val="none"/>
        </w:rPr>
      </w:pPr>
      <w:r>
        <w:rPr>
          <w:highlight w:val="none"/>
        </w:rPr>
        <w:t>9.4.2.13洁净室（区）应根据生产工艺要求设置防静电环境时，防静电标准应满足下列表格中的要求。</w:t>
      </w:r>
    </w:p>
    <w:tbl>
      <w:tblPr>
        <w:tblStyle w:val="16"/>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0"/>
        <w:gridCol w:w="3180"/>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31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等级</w:t>
            </w:r>
          </w:p>
        </w:tc>
        <w:tc>
          <w:tcPr>
            <w:tcW w:w="31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静电电位绝对值限值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室内控制静电电位绝对值</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一</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31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二</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≤200V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18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31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三</w:t>
            </w:r>
          </w:p>
        </w:tc>
        <w:tc>
          <w:tcPr>
            <w:tcW w:w="318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≤1000V</w:t>
            </w:r>
          </w:p>
        </w:tc>
      </w:tr>
    </w:tbl>
    <w:p>
      <w:pPr>
        <w:pStyle w:val="3"/>
        <w:rPr>
          <w:sz w:val="28"/>
          <w:szCs w:val="28"/>
          <w:highlight w:val="none"/>
        </w:rPr>
      </w:pPr>
      <w:bookmarkStart w:id="164" w:name="_Toc133335446"/>
      <w:r>
        <w:rPr>
          <w:sz w:val="28"/>
          <w:szCs w:val="28"/>
          <w:highlight w:val="none"/>
        </w:rPr>
        <w:t>9.5 门窗装饰工程</w:t>
      </w:r>
      <w:bookmarkEnd w:id="164"/>
    </w:p>
    <w:p>
      <w:pPr>
        <w:pStyle w:val="4"/>
        <w:rPr>
          <w:highlight w:val="none"/>
        </w:rPr>
      </w:pPr>
      <w:bookmarkStart w:id="165" w:name="_Toc133335447"/>
      <w:r>
        <w:rPr>
          <w:highlight w:val="none"/>
        </w:rPr>
        <w:t>9.5.1 门技术要求</w:t>
      </w:r>
      <w:bookmarkEnd w:id="165"/>
    </w:p>
    <w:p>
      <w:pPr>
        <w:rPr>
          <w:highlight w:val="none"/>
        </w:rPr>
      </w:pPr>
      <w:r>
        <w:rPr>
          <w:highlight w:val="none"/>
        </w:rPr>
        <w:t>9.5.1.1工程范围内的门包括钢制整体门、密闭门、玻璃门、甲级防火门、乙级防火门、丙级防火门、防火卷帘门、钢制卷帘门、快速卷帘门、钢制百叶门，门的颜色由甲方指定，具体效果以样品确认为准。</w:t>
      </w:r>
    </w:p>
    <w:p>
      <w:pPr>
        <w:rPr>
          <w:highlight w:val="none"/>
        </w:rPr>
      </w:pPr>
      <w:r>
        <w:rPr>
          <w:highlight w:val="none"/>
        </w:rPr>
        <w:t>9.5.2.2洁净车间（洁净室）用的门要求平整、光滑、易清洁、造型简单、不设门槛，并向洁净度高的方向开启。增加闭门器，并有密闭条，以保证空气流组织和房间压差控制。</w:t>
      </w:r>
    </w:p>
    <w:p>
      <w:pPr>
        <w:rPr>
          <w:highlight w:val="none"/>
        </w:rPr>
      </w:pPr>
      <w:r>
        <w:rPr>
          <w:highlight w:val="none"/>
        </w:rPr>
        <w:t>平开门安装部位的轻质墙体应在二次设计时采取加固措施，不得在轻质墙体上直接开洞装门。若直接采购的门没有加固措施，则施工安装时应进行加固，加固的钢型材应满足门框门套的要求。</w:t>
      </w:r>
    </w:p>
    <w:p>
      <w:pPr>
        <w:rPr>
          <w:highlight w:val="none"/>
        </w:rPr>
      </w:pPr>
      <w:r>
        <w:rPr>
          <w:highlight w:val="none"/>
        </w:rPr>
        <w:t>9.5.2.3平开门的铰链宜选用品质优良的不锈钢铰链。</w:t>
      </w:r>
    </w:p>
    <w:p>
      <w:pPr>
        <w:rPr>
          <w:highlight w:val="none"/>
        </w:rPr>
      </w:pPr>
      <w:r>
        <w:rPr>
          <w:highlight w:val="none"/>
        </w:rPr>
        <w:t>9.5.2.4平开门的插销采用不锈钢材质，采用暗装式，即手动操作柄在双开门两扇门的夹缝内。</w:t>
      </w:r>
    </w:p>
    <w:p>
      <w:pPr>
        <w:rPr>
          <w:highlight w:val="none"/>
        </w:rPr>
      </w:pPr>
      <w:r>
        <w:rPr>
          <w:highlight w:val="none"/>
        </w:rPr>
        <w:t>9.5.2.5门锁与把手应质量优良、使用寿命长，保质期不低于2年。安装时，门锁与把手不宜过松和过紧，锁槽与锁舌应配合适当。把手的安装高度一般以1m为宜。</w:t>
      </w:r>
    </w:p>
    <w:p>
      <w:pPr>
        <w:rPr>
          <w:highlight w:val="none"/>
        </w:rPr>
      </w:pPr>
      <w:r>
        <w:rPr>
          <w:highlight w:val="none"/>
        </w:rPr>
        <w:t>9.5.2.6平开门的观察窗材料采用安全钢化玻璃。视窗的窗框角应45°拼接，窗框应用自攻螺钉暗装，视窗表面不得有自攻螺钉；视窗玻璃与窗框之间应以专用的密封胶条密封，不得采用打胶的方式密封。</w:t>
      </w:r>
    </w:p>
    <w:p>
      <w:pPr>
        <w:rPr>
          <w:highlight w:val="none"/>
        </w:rPr>
      </w:pPr>
      <w:r>
        <w:rPr>
          <w:highlight w:val="none"/>
        </w:rPr>
        <w:t>9.5.2.7平开门需安装暗装式闭门器，闭门器宜选用知名品牌，闭门器应安装在门的内侧上方，安装位置尺寸钻孔位置应准确，钻孔应垂直，不得偏斜。</w:t>
      </w:r>
    </w:p>
    <w:p>
      <w:pPr>
        <w:rPr>
          <w:color w:val="000000"/>
          <w:highlight w:val="none"/>
        </w:rPr>
      </w:pPr>
      <w:r>
        <w:rPr>
          <w:color w:val="000000"/>
          <w:highlight w:val="none"/>
        </w:rPr>
        <w:t>9.5.2.8</w:t>
      </w:r>
      <w:r>
        <w:rPr>
          <w:rFonts w:ascii="宋体" w:hAnsi="宋体" w:cs="宋体"/>
          <w:color w:val="000000"/>
          <w:szCs w:val="24"/>
          <w:highlight w:val="none"/>
        </w:rPr>
        <w:t>门位置除注明者外，距最近墙边或柱边</w:t>
      </w:r>
      <w:r>
        <w:rPr>
          <w:rFonts w:hint="eastAsia" w:ascii="宋体" w:hAnsi="宋体" w:cs="宋体"/>
          <w:color w:val="000000"/>
          <w:szCs w:val="24"/>
          <w:highlight w:val="none"/>
        </w:rPr>
        <w:t>≥</w:t>
      </w:r>
      <w:r>
        <w:rPr>
          <w:rFonts w:ascii="宋体" w:hAnsi="宋体" w:cs="宋体"/>
          <w:color w:val="000000"/>
          <w:szCs w:val="24"/>
          <w:highlight w:val="none"/>
        </w:rPr>
        <w:t>100MM（洁净板为</w:t>
      </w:r>
      <w:r>
        <w:rPr>
          <w:rFonts w:hint="eastAsia" w:ascii="宋体" w:hAnsi="宋体" w:cs="宋体"/>
          <w:color w:val="000000"/>
          <w:szCs w:val="24"/>
          <w:highlight w:val="none"/>
        </w:rPr>
        <w:t>≥</w:t>
      </w:r>
      <w:r>
        <w:rPr>
          <w:rFonts w:ascii="宋体" w:hAnsi="宋体" w:cs="宋体"/>
          <w:color w:val="000000"/>
          <w:szCs w:val="24"/>
          <w:highlight w:val="none"/>
        </w:rPr>
        <w:t>200MM），或位于墙中间。</w:t>
      </w:r>
    </w:p>
    <w:p>
      <w:pPr>
        <w:pStyle w:val="4"/>
        <w:rPr>
          <w:highlight w:val="none"/>
        </w:rPr>
      </w:pPr>
      <w:bookmarkStart w:id="166" w:name="_Toc133335448"/>
      <w:r>
        <w:rPr>
          <w:highlight w:val="none"/>
        </w:rPr>
        <w:t>9.5.2门密封要求</w:t>
      </w:r>
      <w:bookmarkEnd w:id="166"/>
    </w:p>
    <w:p>
      <w:pPr>
        <w:rPr>
          <w:highlight w:val="none"/>
        </w:rPr>
      </w:pPr>
      <w:r>
        <w:rPr>
          <w:highlight w:val="none"/>
        </w:rPr>
        <w:t>9.5.2.1门框与轻质墙体之间应使用中性白色硅胶密封，密封缝的宽度、高低应一致。</w:t>
      </w:r>
    </w:p>
    <w:p>
      <w:pPr>
        <w:rPr>
          <w:highlight w:val="none"/>
        </w:rPr>
      </w:pPr>
      <w:r>
        <w:rPr>
          <w:highlight w:val="none"/>
        </w:rPr>
        <w:t>9.5.2.2门樘与门框采用专用的胶条密封，胶条的材料应为防尘、防腐蚀、不易老化、挤压伸缩好的中空材料平开门的缝隙密封。</w:t>
      </w:r>
    </w:p>
    <w:p>
      <w:pPr>
        <w:rPr>
          <w:highlight w:val="none"/>
        </w:rPr>
      </w:pPr>
      <w:r>
        <w:rPr>
          <w:highlight w:val="none"/>
        </w:rPr>
        <w:t>密闭条应沿活动缝隙的周边连续敷设，以便在门关闭后形成一圈封闭齿形的密封线。</w:t>
      </w:r>
    </w:p>
    <w:p>
      <w:pPr>
        <w:rPr>
          <w:highlight w:val="none"/>
        </w:rPr>
      </w:pPr>
      <w:r>
        <w:rPr>
          <w:highlight w:val="none"/>
        </w:rPr>
        <w:t>9.5.2.3门窗缝隙和安装接缝要用密封嵌缝材料进行嵌缝，且应嵌于墙面的正面和洁净室的正压侧，最终满足车间漏风率要求。</w:t>
      </w:r>
    </w:p>
    <w:p>
      <w:pPr>
        <w:rPr>
          <w:highlight w:val="none"/>
        </w:rPr>
      </w:pPr>
      <w:r>
        <w:rPr>
          <w:highlight w:val="none"/>
        </w:rPr>
        <w:t>9.5.2.4物流通道门或设备门甲方需求，采用电动双开门或快速卷帘门，电动双开门或快速卷帘门需要满足自动化控制及与AGV通讯要求；各类门的形式、尺寸和数量深化设计后确定；</w:t>
      </w:r>
    </w:p>
    <w:p>
      <w:pPr>
        <w:rPr>
          <w:highlight w:val="none"/>
        </w:rPr>
      </w:pPr>
      <w:r>
        <w:rPr>
          <w:highlight w:val="none"/>
        </w:rPr>
        <w:t>9.5.2.5电动式平开门或快速卷帘门开启采用手动按钮/自动感应两种方式，两种方式可人工切换，自动感应方式的参数（开/天门时间、速度等）可人工设定。</w:t>
      </w:r>
    </w:p>
    <w:p>
      <w:pPr>
        <w:rPr>
          <w:highlight w:val="none"/>
        </w:rPr>
      </w:pPr>
      <w:r>
        <w:rPr>
          <w:highlight w:val="none"/>
        </w:rPr>
        <w:t>9.5.2.6电动式平开门或快速卷帘门需要配置备用电源，使用时间大于30分钟。</w:t>
      </w:r>
    </w:p>
    <w:p>
      <w:pPr>
        <w:rPr>
          <w:highlight w:val="none"/>
        </w:rPr>
      </w:pPr>
      <w:r>
        <w:rPr>
          <w:highlight w:val="none"/>
        </w:rPr>
        <w:t>9.5.2.7所有衣柜鞋柜采用内嵌式安装，在衣柜、鞋柜上方设置换气排风处理设施。</w:t>
      </w:r>
    </w:p>
    <w:p>
      <w:pPr>
        <w:pStyle w:val="4"/>
        <w:rPr>
          <w:highlight w:val="none"/>
        </w:rPr>
      </w:pPr>
      <w:bookmarkStart w:id="167" w:name="_Toc133335449"/>
      <w:r>
        <w:rPr>
          <w:highlight w:val="none"/>
        </w:rPr>
        <w:t>9.5.3卷帘</w:t>
      </w:r>
      <w:bookmarkEnd w:id="167"/>
      <w:r>
        <w:rPr>
          <w:rFonts w:hint="eastAsia"/>
          <w:highlight w:val="none"/>
        </w:rPr>
        <w:t>门</w:t>
      </w:r>
    </w:p>
    <w:p>
      <w:pPr>
        <w:rPr>
          <w:highlight w:val="none"/>
        </w:rPr>
      </w:pPr>
      <w:r>
        <w:rPr>
          <w:highlight w:val="none"/>
        </w:rPr>
        <w:t>9.5.3.1适用环境：</w:t>
      </w:r>
    </w:p>
    <w:p>
      <w:pPr>
        <w:numPr>
          <w:ilvl w:val="0"/>
          <w:numId w:val="53"/>
        </w:numPr>
        <w:spacing w:line="360" w:lineRule="auto"/>
        <w:rPr>
          <w:highlight w:val="none"/>
        </w:rPr>
      </w:pPr>
      <w:r>
        <w:rPr>
          <w:highlight w:val="none"/>
        </w:rPr>
        <w:t>环境温度：-20℃～＋50℃；</w:t>
      </w:r>
    </w:p>
    <w:p>
      <w:pPr>
        <w:numPr>
          <w:ilvl w:val="0"/>
          <w:numId w:val="53"/>
        </w:numPr>
        <w:spacing w:line="360" w:lineRule="auto"/>
        <w:rPr>
          <w:highlight w:val="none"/>
        </w:rPr>
      </w:pPr>
      <w:r>
        <w:rPr>
          <w:highlight w:val="none"/>
        </w:rPr>
        <w:t>环境空气相对湿度：不大于90％；</w:t>
      </w:r>
    </w:p>
    <w:p>
      <w:pPr>
        <w:numPr>
          <w:ilvl w:val="0"/>
          <w:numId w:val="53"/>
        </w:numPr>
        <w:spacing w:line="360" w:lineRule="auto"/>
        <w:rPr>
          <w:highlight w:val="none"/>
        </w:rPr>
      </w:pPr>
      <w:r>
        <w:rPr>
          <w:highlight w:val="none"/>
        </w:rPr>
        <w:t>电源电压与额定值的偏差不超过±10％，交流电源频率与额定值的偏差不超过±2％。</w:t>
      </w:r>
    </w:p>
    <w:p>
      <w:pPr>
        <w:rPr>
          <w:highlight w:val="none"/>
        </w:rPr>
      </w:pPr>
      <w:r>
        <w:rPr>
          <w:highlight w:val="none"/>
        </w:rPr>
        <w:t>9.5.3.2帘体</w:t>
      </w:r>
    </w:p>
    <w:p>
      <w:pPr>
        <w:numPr>
          <w:ilvl w:val="0"/>
          <w:numId w:val="54"/>
        </w:numPr>
        <w:spacing w:line="360" w:lineRule="auto"/>
        <w:rPr>
          <w:highlight w:val="none"/>
        </w:rPr>
      </w:pPr>
      <w:r>
        <w:rPr>
          <w:highlight w:val="none"/>
        </w:rPr>
        <w:t>硬质帘体的基材厚度尺寸应符合表1的要求。</w:t>
      </w:r>
    </w:p>
    <w:p>
      <w:pPr>
        <w:jc w:val="center"/>
        <w:rPr>
          <w:highlight w:val="none"/>
        </w:rPr>
      </w:pPr>
      <w:r>
        <w:rPr>
          <w:highlight w:val="none"/>
        </w:rPr>
        <w:t>表1硬质帘体基材厚度要求（单位为毫米）</w:t>
      </w:r>
    </w:p>
    <w:tbl>
      <w:tblPr>
        <w:tblStyle w:val="16"/>
        <w:tblW w:w="9543" w:type="dxa"/>
        <w:tblInd w:w="0" w:type="dxa"/>
        <w:tblLayout w:type="fixed"/>
        <w:tblCellMar>
          <w:top w:w="0" w:type="dxa"/>
          <w:left w:w="108" w:type="dxa"/>
          <w:bottom w:w="0" w:type="dxa"/>
          <w:right w:w="108" w:type="dxa"/>
        </w:tblCellMar>
      </w:tblPr>
      <w:tblGrid>
        <w:gridCol w:w="1910"/>
        <w:gridCol w:w="1910"/>
        <w:gridCol w:w="1911"/>
        <w:gridCol w:w="3812"/>
      </w:tblGrid>
      <w:tr>
        <w:tblPrEx>
          <w:tblCellMar>
            <w:top w:w="0" w:type="dxa"/>
            <w:left w:w="108" w:type="dxa"/>
            <w:bottom w:w="0" w:type="dxa"/>
            <w:right w:w="108" w:type="dxa"/>
          </w:tblCellMar>
        </w:tblPrEx>
        <w:tc>
          <w:tcPr>
            <w:tcW w:w="1910" w:type="dxa"/>
            <w:vMerge w:val="restart"/>
            <w:noWrap w:val="0"/>
            <w:vAlign w:val="center"/>
          </w:tcPr>
          <w:p>
            <w:pPr>
              <w:jc w:val="center"/>
              <w:rPr>
                <w:szCs w:val="21"/>
                <w:highlight w:val="none"/>
              </w:rPr>
            </w:pPr>
            <w:r>
              <w:rPr>
                <w:szCs w:val="21"/>
                <w:highlight w:val="none"/>
              </w:rPr>
              <w:t>基材材料</w:t>
            </w:r>
          </w:p>
        </w:tc>
        <w:tc>
          <w:tcPr>
            <w:tcW w:w="1910" w:type="dxa"/>
            <w:vMerge w:val="restart"/>
            <w:noWrap w:val="0"/>
            <w:vAlign w:val="center"/>
          </w:tcPr>
          <w:p>
            <w:pPr>
              <w:jc w:val="center"/>
              <w:rPr>
                <w:szCs w:val="21"/>
                <w:highlight w:val="none"/>
              </w:rPr>
            </w:pPr>
            <w:r>
              <w:rPr>
                <w:szCs w:val="21"/>
                <w:highlight w:val="none"/>
              </w:rPr>
              <w:t>成型工艺</w:t>
            </w:r>
          </w:p>
        </w:tc>
        <w:tc>
          <w:tcPr>
            <w:tcW w:w="5723" w:type="dxa"/>
            <w:gridSpan w:val="2"/>
            <w:noWrap w:val="0"/>
            <w:vAlign w:val="center"/>
          </w:tcPr>
          <w:p>
            <w:pPr>
              <w:jc w:val="center"/>
              <w:rPr>
                <w:szCs w:val="21"/>
                <w:highlight w:val="none"/>
              </w:rPr>
            </w:pPr>
            <w:r>
              <w:rPr>
                <w:szCs w:val="21"/>
                <w:highlight w:val="none"/>
              </w:rPr>
              <w:t>截面形状</w:t>
            </w:r>
          </w:p>
        </w:tc>
      </w:tr>
      <w:tr>
        <w:tblPrEx>
          <w:tblCellMar>
            <w:top w:w="0" w:type="dxa"/>
            <w:left w:w="108" w:type="dxa"/>
            <w:bottom w:w="0" w:type="dxa"/>
            <w:right w:w="108" w:type="dxa"/>
          </w:tblCellMar>
        </w:tblPrEx>
        <w:tc>
          <w:tcPr>
            <w:tcW w:w="1910" w:type="dxa"/>
            <w:vMerge w:val="continue"/>
            <w:noWrap w:val="0"/>
            <w:vAlign w:val="center"/>
          </w:tcPr>
          <w:p>
            <w:pPr>
              <w:jc w:val="center"/>
              <w:rPr>
                <w:szCs w:val="21"/>
                <w:highlight w:val="none"/>
              </w:rPr>
            </w:pPr>
          </w:p>
        </w:tc>
        <w:tc>
          <w:tcPr>
            <w:tcW w:w="1910" w:type="dxa"/>
            <w:vMerge w:val="continue"/>
            <w:noWrap w:val="0"/>
            <w:vAlign w:val="center"/>
          </w:tcPr>
          <w:p>
            <w:pPr>
              <w:jc w:val="center"/>
              <w:rPr>
                <w:szCs w:val="21"/>
                <w:highlight w:val="none"/>
              </w:rPr>
            </w:pPr>
          </w:p>
        </w:tc>
        <w:tc>
          <w:tcPr>
            <w:tcW w:w="1911" w:type="dxa"/>
            <w:noWrap w:val="0"/>
            <w:vAlign w:val="center"/>
          </w:tcPr>
          <w:p>
            <w:pPr>
              <w:jc w:val="center"/>
              <w:rPr>
                <w:szCs w:val="21"/>
                <w:highlight w:val="none"/>
              </w:rPr>
            </w:pPr>
            <w:r>
              <w:rPr>
                <w:szCs w:val="21"/>
                <w:highlight w:val="none"/>
              </w:rPr>
              <w:t>单层实体</w:t>
            </w:r>
          </w:p>
        </w:tc>
        <w:tc>
          <w:tcPr>
            <w:tcW w:w="3812" w:type="dxa"/>
            <w:noWrap w:val="0"/>
            <w:vAlign w:val="center"/>
          </w:tcPr>
          <w:p>
            <w:pPr>
              <w:jc w:val="center"/>
              <w:rPr>
                <w:szCs w:val="21"/>
                <w:highlight w:val="none"/>
              </w:rPr>
            </w:pPr>
            <w:r>
              <w:rPr>
                <w:szCs w:val="21"/>
                <w:highlight w:val="none"/>
              </w:rPr>
              <w:t>复层或复层中间有填充物</w:t>
            </w:r>
          </w:p>
        </w:tc>
      </w:tr>
      <w:tr>
        <w:tblPrEx>
          <w:tblCellMar>
            <w:top w:w="0" w:type="dxa"/>
            <w:left w:w="108" w:type="dxa"/>
            <w:bottom w:w="0" w:type="dxa"/>
            <w:right w:w="108" w:type="dxa"/>
          </w:tblCellMar>
        </w:tblPrEx>
        <w:tc>
          <w:tcPr>
            <w:tcW w:w="1910" w:type="dxa"/>
            <w:noWrap w:val="0"/>
            <w:vAlign w:val="center"/>
          </w:tcPr>
          <w:p>
            <w:pPr>
              <w:jc w:val="center"/>
              <w:rPr>
                <w:szCs w:val="21"/>
                <w:highlight w:val="none"/>
              </w:rPr>
            </w:pPr>
            <w:r>
              <w:rPr>
                <w:szCs w:val="21"/>
                <w:highlight w:val="none"/>
              </w:rPr>
              <w:t>铝合金带材</w:t>
            </w:r>
          </w:p>
        </w:tc>
        <w:tc>
          <w:tcPr>
            <w:tcW w:w="1910" w:type="dxa"/>
            <w:noWrap w:val="0"/>
            <w:vAlign w:val="center"/>
          </w:tcPr>
          <w:p>
            <w:pPr>
              <w:jc w:val="center"/>
              <w:rPr>
                <w:szCs w:val="21"/>
                <w:highlight w:val="none"/>
              </w:rPr>
            </w:pPr>
            <w:r>
              <w:rPr>
                <w:szCs w:val="21"/>
                <w:highlight w:val="none"/>
              </w:rPr>
              <w:t>辊压成型</w:t>
            </w:r>
          </w:p>
        </w:tc>
        <w:tc>
          <w:tcPr>
            <w:tcW w:w="1911" w:type="dxa"/>
            <w:noWrap w:val="0"/>
            <w:vAlign w:val="center"/>
          </w:tcPr>
          <w:p>
            <w:pPr>
              <w:jc w:val="center"/>
              <w:rPr>
                <w:szCs w:val="21"/>
                <w:highlight w:val="none"/>
              </w:rPr>
            </w:pPr>
            <w:r>
              <w:rPr>
                <w:szCs w:val="21"/>
                <w:highlight w:val="none"/>
              </w:rPr>
              <w:t>≥1.00</w:t>
            </w:r>
          </w:p>
        </w:tc>
        <w:tc>
          <w:tcPr>
            <w:tcW w:w="3812" w:type="dxa"/>
            <w:noWrap w:val="0"/>
            <w:vAlign w:val="center"/>
          </w:tcPr>
          <w:p>
            <w:pPr>
              <w:jc w:val="center"/>
              <w:rPr>
                <w:szCs w:val="21"/>
                <w:highlight w:val="none"/>
              </w:rPr>
            </w:pPr>
            <w:r>
              <w:rPr>
                <w:szCs w:val="21"/>
                <w:highlight w:val="none"/>
              </w:rPr>
              <w:t>≥0.27</w:t>
            </w:r>
          </w:p>
        </w:tc>
      </w:tr>
      <w:tr>
        <w:tblPrEx>
          <w:tblCellMar>
            <w:top w:w="0" w:type="dxa"/>
            <w:left w:w="108" w:type="dxa"/>
            <w:bottom w:w="0" w:type="dxa"/>
            <w:right w:w="108" w:type="dxa"/>
          </w:tblCellMar>
        </w:tblPrEx>
        <w:tc>
          <w:tcPr>
            <w:tcW w:w="1910" w:type="dxa"/>
            <w:noWrap w:val="0"/>
            <w:vAlign w:val="center"/>
          </w:tcPr>
          <w:p>
            <w:pPr>
              <w:jc w:val="center"/>
              <w:rPr>
                <w:szCs w:val="21"/>
                <w:highlight w:val="none"/>
              </w:rPr>
            </w:pPr>
            <w:r>
              <w:rPr>
                <w:szCs w:val="21"/>
                <w:highlight w:val="none"/>
              </w:rPr>
              <w:t>铝合金型材</w:t>
            </w:r>
          </w:p>
        </w:tc>
        <w:tc>
          <w:tcPr>
            <w:tcW w:w="1910" w:type="dxa"/>
            <w:noWrap w:val="0"/>
            <w:vAlign w:val="center"/>
          </w:tcPr>
          <w:p>
            <w:pPr>
              <w:jc w:val="center"/>
              <w:rPr>
                <w:szCs w:val="21"/>
                <w:highlight w:val="none"/>
              </w:rPr>
            </w:pPr>
            <w:r>
              <w:rPr>
                <w:szCs w:val="21"/>
                <w:highlight w:val="none"/>
              </w:rPr>
              <w:t>挤压成型</w:t>
            </w:r>
          </w:p>
        </w:tc>
        <w:tc>
          <w:tcPr>
            <w:tcW w:w="1911" w:type="dxa"/>
            <w:noWrap w:val="0"/>
            <w:vAlign w:val="center"/>
          </w:tcPr>
          <w:p>
            <w:pPr>
              <w:jc w:val="center"/>
              <w:rPr>
                <w:szCs w:val="21"/>
                <w:highlight w:val="none"/>
              </w:rPr>
            </w:pPr>
            <w:r>
              <w:rPr>
                <w:szCs w:val="21"/>
                <w:highlight w:val="none"/>
              </w:rPr>
              <w:t>≥1.00</w:t>
            </w:r>
          </w:p>
        </w:tc>
        <w:tc>
          <w:tcPr>
            <w:tcW w:w="3812" w:type="dxa"/>
            <w:noWrap w:val="0"/>
            <w:vAlign w:val="center"/>
          </w:tcPr>
          <w:p>
            <w:pPr>
              <w:jc w:val="center"/>
              <w:rPr>
                <w:szCs w:val="21"/>
                <w:highlight w:val="none"/>
              </w:rPr>
            </w:pPr>
            <w:r>
              <w:rPr>
                <w:szCs w:val="21"/>
                <w:highlight w:val="none"/>
              </w:rPr>
              <w:t>≥0.60</w:t>
            </w:r>
          </w:p>
        </w:tc>
      </w:tr>
      <w:tr>
        <w:tblPrEx>
          <w:tblCellMar>
            <w:top w:w="0" w:type="dxa"/>
            <w:left w:w="108" w:type="dxa"/>
            <w:bottom w:w="0" w:type="dxa"/>
            <w:right w:w="108" w:type="dxa"/>
          </w:tblCellMar>
        </w:tblPrEx>
        <w:tc>
          <w:tcPr>
            <w:tcW w:w="1910" w:type="dxa"/>
            <w:noWrap w:val="0"/>
            <w:vAlign w:val="center"/>
          </w:tcPr>
          <w:p>
            <w:pPr>
              <w:jc w:val="center"/>
              <w:rPr>
                <w:szCs w:val="21"/>
                <w:highlight w:val="none"/>
              </w:rPr>
            </w:pPr>
            <w:r>
              <w:rPr>
                <w:szCs w:val="21"/>
                <w:highlight w:val="none"/>
              </w:rPr>
              <w:t>涂色涂层钢带</w:t>
            </w:r>
          </w:p>
        </w:tc>
        <w:tc>
          <w:tcPr>
            <w:tcW w:w="1910" w:type="dxa"/>
            <w:noWrap w:val="0"/>
            <w:vAlign w:val="center"/>
          </w:tcPr>
          <w:p>
            <w:pPr>
              <w:jc w:val="center"/>
              <w:rPr>
                <w:szCs w:val="21"/>
                <w:highlight w:val="none"/>
              </w:rPr>
            </w:pPr>
            <w:r>
              <w:rPr>
                <w:szCs w:val="21"/>
                <w:highlight w:val="none"/>
              </w:rPr>
              <w:t>辊压成型</w:t>
            </w:r>
          </w:p>
        </w:tc>
        <w:tc>
          <w:tcPr>
            <w:tcW w:w="1911" w:type="dxa"/>
            <w:noWrap w:val="0"/>
            <w:vAlign w:val="center"/>
          </w:tcPr>
          <w:p>
            <w:pPr>
              <w:jc w:val="center"/>
              <w:rPr>
                <w:szCs w:val="21"/>
                <w:highlight w:val="none"/>
              </w:rPr>
            </w:pPr>
            <w:r>
              <w:rPr>
                <w:szCs w:val="21"/>
                <w:highlight w:val="none"/>
              </w:rPr>
              <w:t>≥0.40</w:t>
            </w:r>
          </w:p>
        </w:tc>
        <w:tc>
          <w:tcPr>
            <w:tcW w:w="3812" w:type="dxa"/>
            <w:noWrap w:val="0"/>
            <w:vAlign w:val="center"/>
          </w:tcPr>
          <w:p>
            <w:pPr>
              <w:jc w:val="center"/>
              <w:rPr>
                <w:szCs w:val="21"/>
                <w:highlight w:val="none"/>
              </w:rPr>
            </w:pPr>
            <w:r>
              <w:rPr>
                <w:szCs w:val="21"/>
                <w:highlight w:val="none"/>
              </w:rPr>
              <w:t>≥0.35</w:t>
            </w:r>
          </w:p>
        </w:tc>
      </w:tr>
      <w:tr>
        <w:tblPrEx>
          <w:tblCellMar>
            <w:top w:w="0" w:type="dxa"/>
            <w:left w:w="108" w:type="dxa"/>
            <w:bottom w:w="0" w:type="dxa"/>
            <w:right w:w="108" w:type="dxa"/>
          </w:tblCellMar>
        </w:tblPrEx>
        <w:tc>
          <w:tcPr>
            <w:tcW w:w="1910" w:type="dxa"/>
            <w:noWrap w:val="0"/>
            <w:vAlign w:val="center"/>
          </w:tcPr>
          <w:p>
            <w:pPr>
              <w:jc w:val="center"/>
              <w:rPr>
                <w:szCs w:val="21"/>
                <w:highlight w:val="none"/>
              </w:rPr>
            </w:pPr>
            <w:r>
              <w:rPr>
                <w:szCs w:val="21"/>
                <w:highlight w:val="none"/>
              </w:rPr>
              <w:t>镀锌钢带</w:t>
            </w:r>
          </w:p>
        </w:tc>
        <w:tc>
          <w:tcPr>
            <w:tcW w:w="1910" w:type="dxa"/>
            <w:noWrap w:val="0"/>
            <w:vAlign w:val="center"/>
          </w:tcPr>
          <w:p>
            <w:pPr>
              <w:jc w:val="center"/>
              <w:rPr>
                <w:szCs w:val="21"/>
                <w:highlight w:val="none"/>
              </w:rPr>
            </w:pPr>
            <w:r>
              <w:rPr>
                <w:szCs w:val="21"/>
                <w:highlight w:val="none"/>
              </w:rPr>
              <w:t>辊压成型</w:t>
            </w:r>
          </w:p>
        </w:tc>
        <w:tc>
          <w:tcPr>
            <w:tcW w:w="1911" w:type="dxa"/>
            <w:noWrap w:val="0"/>
            <w:vAlign w:val="center"/>
          </w:tcPr>
          <w:p>
            <w:pPr>
              <w:jc w:val="center"/>
              <w:rPr>
                <w:szCs w:val="21"/>
                <w:highlight w:val="none"/>
              </w:rPr>
            </w:pPr>
            <w:r>
              <w:rPr>
                <w:szCs w:val="21"/>
                <w:highlight w:val="none"/>
              </w:rPr>
              <w:t>≥0.40</w:t>
            </w:r>
          </w:p>
        </w:tc>
        <w:tc>
          <w:tcPr>
            <w:tcW w:w="3812" w:type="dxa"/>
            <w:noWrap w:val="0"/>
            <w:vAlign w:val="center"/>
          </w:tcPr>
          <w:p>
            <w:pPr>
              <w:jc w:val="center"/>
              <w:rPr>
                <w:szCs w:val="21"/>
                <w:highlight w:val="none"/>
              </w:rPr>
            </w:pPr>
            <w:r>
              <w:rPr>
                <w:szCs w:val="21"/>
                <w:highlight w:val="none"/>
              </w:rPr>
              <w:t>≥0.35</w:t>
            </w:r>
          </w:p>
        </w:tc>
      </w:tr>
    </w:tbl>
    <w:p>
      <w:pPr>
        <w:rPr>
          <w:highlight w:val="none"/>
        </w:rPr>
      </w:pPr>
      <w:r>
        <w:rPr>
          <w:highlight w:val="none"/>
        </w:rPr>
        <w:t>9.5.3.3导轨</w:t>
      </w:r>
    </w:p>
    <w:p>
      <w:pPr>
        <w:numPr>
          <w:ilvl w:val="0"/>
          <w:numId w:val="55"/>
        </w:numPr>
        <w:spacing w:line="360" w:lineRule="auto"/>
        <w:ind w:left="0" w:firstLine="0"/>
        <w:rPr>
          <w:highlight w:val="none"/>
        </w:rPr>
      </w:pPr>
      <w:r>
        <w:rPr>
          <w:highlight w:val="none"/>
        </w:rPr>
        <w:t>窗用导轨截面主要受力部位基材最小壁厚，铝合金材质不应小于1.6mm，钢质不应小于1.2mm。</w:t>
      </w:r>
    </w:p>
    <w:p>
      <w:pPr>
        <w:numPr>
          <w:ilvl w:val="0"/>
          <w:numId w:val="55"/>
        </w:numPr>
        <w:spacing w:line="360" w:lineRule="auto"/>
        <w:ind w:left="0" w:firstLine="0"/>
        <w:rPr>
          <w:highlight w:val="none"/>
        </w:rPr>
      </w:pPr>
      <w:r>
        <w:rPr>
          <w:highlight w:val="none"/>
        </w:rPr>
        <w:t>门用导轨截面主要受力部位基材最小壁厚，铝合金材质不应小于2.0mm，钢质不应小于1.5mm。</w:t>
      </w:r>
    </w:p>
    <w:p>
      <w:pPr>
        <w:numPr>
          <w:ilvl w:val="0"/>
          <w:numId w:val="55"/>
        </w:numPr>
        <w:spacing w:line="360" w:lineRule="auto"/>
        <w:rPr>
          <w:highlight w:val="none"/>
        </w:rPr>
      </w:pPr>
      <w:r>
        <w:rPr>
          <w:highlight w:val="none"/>
        </w:rPr>
        <w:t>导轨安装孔间距不应大于600mm。</w:t>
      </w:r>
    </w:p>
    <w:p>
      <w:pPr>
        <w:rPr>
          <w:highlight w:val="none"/>
        </w:rPr>
      </w:pPr>
      <w:r>
        <w:rPr>
          <w:highlight w:val="none"/>
        </w:rPr>
        <w:t>9.5.3.4帘片嵌入导轨中的深度</w:t>
      </w:r>
    </w:p>
    <w:p>
      <w:pPr>
        <w:numPr>
          <w:ilvl w:val="0"/>
          <w:numId w:val="56"/>
        </w:numPr>
        <w:spacing w:line="360" w:lineRule="auto"/>
        <w:rPr>
          <w:highlight w:val="none"/>
        </w:rPr>
      </w:pPr>
      <w:r>
        <w:rPr>
          <w:highlight w:val="none"/>
        </w:rPr>
        <w:t>帘片嵌入导轨中的深度应符合表2的要求。</w:t>
      </w:r>
    </w:p>
    <w:p>
      <w:pPr>
        <w:jc w:val="center"/>
        <w:rPr>
          <w:highlight w:val="none"/>
        </w:rPr>
      </w:pPr>
      <w:r>
        <w:rPr>
          <w:highlight w:val="none"/>
        </w:rPr>
        <w:t>表2帘片嵌入导轨中的深度（单位为毫米）</w:t>
      </w:r>
    </w:p>
    <w:tbl>
      <w:tblPr>
        <w:tblStyle w:val="16"/>
        <w:tblW w:w="9570" w:type="dxa"/>
        <w:tblInd w:w="0" w:type="dxa"/>
        <w:tblLayout w:type="fixed"/>
        <w:tblCellMar>
          <w:top w:w="0" w:type="dxa"/>
          <w:left w:w="108" w:type="dxa"/>
          <w:bottom w:w="0" w:type="dxa"/>
          <w:right w:w="108" w:type="dxa"/>
        </w:tblCellMar>
      </w:tblPr>
      <w:tblGrid>
        <w:gridCol w:w="1914"/>
        <w:gridCol w:w="1914"/>
        <w:gridCol w:w="1914"/>
        <w:gridCol w:w="1914"/>
        <w:gridCol w:w="1914"/>
      </w:tblGrid>
      <w:tr>
        <w:tblPrEx>
          <w:tblCellMar>
            <w:top w:w="0" w:type="dxa"/>
            <w:left w:w="108" w:type="dxa"/>
            <w:bottom w:w="0" w:type="dxa"/>
            <w:right w:w="108" w:type="dxa"/>
          </w:tblCellMar>
        </w:tblPrEx>
        <w:tc>
          <w:tcPr>
            <w:tcW w:w="1914" w:type="dxa"/>
            <w:noWrap w:val="0"/>
            <w:vAlign w:val="top"/>
          </w:tcPr>
          <w:p>
            <w:pPr>
              <w:rPr>
                <w:szCs w:val="21"/>
                <w:highlight w:val="none"/>
              </w:rPr>
            </w:pPr>
            <w:r>
              <w:rPr>
                <w:szCs w:val="21"/>
                <w:highlight w:val="none"/>
              </w:rPr>
              <w:t>卷帘门内宽B</w:t>
            </w:r>
          </w:p>
        </w:tc>
        <w:tc>
          <w:tcPr>
            <w:tcW w:w="1914" w:type="dxa"/>
            <w:noWrap w:val="0"/>
            <w:vAlign w:val="top"/>
          </w:tcPr>
          <w:p>
            <w:pPr>
              <w:rPr>
                <w:szCs w:val="21"/>
                <w:highlight w:val="none"/>
              </w:rPr>
            </w:pPr>
            <w:r>
              <w:rPr>
                <w:szCs w:val="21"/>
                <w:highlight w:val="none"/>
              </w:rPr>
              <w:t>B≤1800</w:t>
            </w:r>
          </w:p>
        </w:tc>
        <w:tc>
          <w:tcPr>
            <w:tcW w:w="1914" w:type="dxa"/>
            <w:noWrap w:val="0"/>
            <w:vAlign w:val="top"/>
          </w:tcPr>
          <w:p>
            <w:pPr>
              <w:rPr>
                <w:szCs w:val="21"/>
                <w:highlight w:val="none"/>
              </w:rPr>
            </w:pPr>
            <w:r>
              <w:rPr>
                <w:szCs w:val="21"/>
                <w:highlight w:val="none"/>
              </w:rPr>
              <w:t>1800＜B≤3300</w:t>
            </w:r>
          </w:p>
        </w:tc>
        <w:tc>
          <w:tcPr>
            <w:tcW w:w="1914" w:type="dxa"/>
            <w:noWrap w:val="0"/>
            <w:vAlign w:val="top"/>
          </w:tcPr>
          <w:p>
            <w:pPr>
              <w:rPr>
                <w:szCs w:val="21"/>
                <w:highlight w:val="none"/>
              </w:rPr>
            </w:pPr>
            <w:r>
              <w:rPr>
                <w:szCs w:val="21"/>
                <w:highlight w:val="none"/>
              </w:rPr>
              <w:t>3300＜B≤4200</w:t>
            </w:r>
          </w:p>
        </w:tc>
        <w:tc>
          <w:tcPr>
            <w:tcW w:w="1914" w:type="dxa"/>
            <w:noWrap w:val="0"/>
            <w:vAlign w:val="top"/>
          </w:tcPr>
          <w:p>
            <w:pPr>
              <w:rPr>
                <w:szCs w:val="21"/>
                <w:highlight w:val="none"/>
              </w:rPr>
            </w:pPr>
            <w:r>
              <w:rPr>
                <w:szCs w:val="21"/>
                <w:highlight w:val="none"/>
              </w:rPr>
              <w:t>B＞4200</w:t>
            </w:r>
          </w:p>
        </w:tc>
      </w:tr>
      <w:tr>
        <w:tblPrEx>
          <w:tblCellMar>
            <w:top w:w="0" w:type="dxa"/>
            <w:left w:w="108" w:type="dxa"/>
            <w:bottom w:w="0" w:type="dxa"/>
            <w:right w:w="108" w:type="dxa"/>
          </w:tblCellMar>
        </w:tblPrEx>
        <w:tc>
          <w:tcPr>
            <w:tcW w:w="1914" w:type="dxa"/>
            <w:noWrap w:val="0"/>
            <w:vAlign w:val="top"/>
          </w:tcPr>
          <w:p>
            <w:pPr>
              <w:rPr>
                <w:szCs w:val="21"/>
                <w:highlight w:val="none"/>
              </w:rPr>
            </w:pPr>
            <w:r>
              <w:rPr>
                <w:szCs w:val="21"/>
                <w:highlight w:val="none"/>
              </w:rPr>
              <w:t>每端嵌入深度</w:t>
            </w:r>
          </w:p>
        </w:tc>
        <w:tc>
          <w:tcPr>
            <w:tcW w:w="1914" w:type="dxa"/>
            <w:noWrap w:val="0"/>
            <w:vAlign w:val="top"/>
          </w:tcPr>
          <w:p>
            <w:pPr>
              <w:rPr>
                <w:szCs w:val="21"/>
                <w:highlight w:val="none"/>
              </w:rPr>
            </w:pPr>
            <w:r>
              <w:rPr>
                <w:szCs w:val="21"/>
                <w:highlight w:val="none"/>
              </w:rPr>
              <w:t>≥22</w:t>
            </w:r>
          </w:p>
        </w:tc>
        <w:tc>
          <w:tcPr>
            <w:tcW w:w="1914" w:type="dxa"/>
            <w:noWrap w:val="0"/>
            <w:vAlign w:val="top"/>
          </w:tcPr>
          <w:p>
            <w:pPr>
              <w:rPr>
                <w:szCs w:val="21"/>
                <w:highlight w:val="none"/>
              </w:rPr>
            </w:pPr>
            <w:r>
              <w:rPr>
                <w:szCs w:val="21"/>
                <w:highlight w:val="none"/>
              </w:rPr>
              <w:t>≥30</w:t>
            </w:r>
          </w:p>
        </w:tc>
        <w:tc>
          <w:tcPr>
            <w:tcW w:w="1914" w:type="dxa"/>
            <w:noWrap w:val="0"/>
            <w:vAlign w:val="top"/>
          </w:tcPr>
          <w:p>
            <w:pPr>
              <w:rPr>
                <w:szCs w:val="21"/>
                <w:highlight w:val="none"/>
              </w:rPr>
            </w:pPr>
            <w:r>
              <w:rPr>
                <w:szCs w:val="21"/>
                <w:highlight w:val="none"/>
              </w:rPr>
              <w:t>≥35</w:t>
            </w:r>
          </w:p>
        </w:tc>
        <w:tc>
          <w:tcPr>
            <w:tcW w:w="1914" w:type="dxa"/>
            <w:noWrap w:val="0"/>
            <w:vAlign w:val="top"/>
          </w:tcPr>
          <w:p>
            <w:pPr>
              <w:rPr>
                <w:szCs w:val="21"/>
                <w:highlight w:val="none"/>
              </w:rPr>
            </w:pPr>
            <w:r>
              <w:rPr>
                <w:szCs w:val="21"/>
                <w:highlight w:val="none"/>
              </w:rPr>
              <w:t>≥45</w:t>
            </w:r>
          </w:p>
        </w:tc>
      </w:tr>
    </w:tbl>
    <w:p>
      <w:pPr>
        <w:rPr>
          <w:highlight w:val="none"/>
        </w:rPr>
      </w:pPr>
      <w:r>
        <w:rPr>
          <w:highlight w:val="none"/>
        </w:rPr>
        <w:t>9.5.3.5卷帘门窗组装的极限偏差</w:t>
      </w:r>
    </w:p>
    <w:p>
      <w:pPr>
        <w:numPr>
          <w:ilvl w:val="0"/>
          <w:numId w:val="57"/>
        </w:numPr>
        <w:spacing w:line="360" w:lineRule="auto"/>
        <w:rPr>
          <w:highlight w:val="none"/>
        </w:rPr>
      </w:pPr>
      <w:r>
        <w:rPr>
          <w:highlight w:val="none"/>
        </w:rPr>
        <w:t>卷帘门窗组装的极限偏差应符合表3的要求。</w:t>
      </w:r>
    </w:p>
    <w:p>
      <w:pPr>
        <w:jc w:val="center"/>
        <w:rPr>
          <w:highlight w:val="none"/>
        </w:rPr>
      </w:pPr>
      <w:r>
        <w:rPr>
          <w:highlight w:val="none"/>
        </w:rPr>
        <w:t>表3卷帘门窗组装的极限偏差（单位为毫米）</w:t>
      </w:r>
    </w:p>
    <w:tbl>
      <w:tblPr>
        <w:tblStyle w:val="16"/>
        <w:tblW w:w="9570" w:type="dxa"/>
        <w:tblInd w:w="0" w:type="dxa"/>
        <w:tblLayout w:type="fixed"/>
        <w:tblCellMar>
          <w:top w:w="0" w:type="dxa"/>
          <w:left w:w="108" w:type="dxa"/>
          <w:bottom w:w="0" w:type="dxa"/>
          <w:right w:w="108" w:type="dxa"/>
        </w:tblCellMar>
      </w:tblPr>
      <w:tblGrid>
        <w:gridCol w:w="3828"/>
        <w:gridCol w:w="1914"/>
        <w:gridCol w:w="3828"/>
      </w:tblGrid>
      <w:tr>
        <w:tc>
          <w:tcPr>
            <w:tcW w:w="5742" w:type="dxa"/>
            <w:gridSpan w:val="2"/>
            <w:noWrap w:val="0"/>
            <w:vAlign w:val="top"/>
          </w:tcPr>
          <w:p>
            <w:pPr>
              <w:jc w:val="center"/>
              <w:rPr>
                <w:szCs w:val="21"/>
                <w:highlight w:val="none"/>
              </w:rPr>
            </w:pPr>
            <w:r>
              <w:rPr>
                <w:szCs w:val="21"/>
                <w:highlight w:val="none"/>
              </w:rPr>
              <w:t>项目</w:t>
            </w:r>
          </w:p>
        </w:tc>
        <w:tc>
          <w:tcPr>
            <w:tcW w:w="3828" w:type="dxa"/>
            <w:noWrap w:val="0"/>
            <w:vAlign w:val="top"/>
          </w:tcPr>
          <w:p>
            <w:pPr>
              <w:jc w:val="center"/>
              <w:rPr>
                <w:szCs w:val="21"/>
                <w:highlight w:val="none"/>
              </w:rPr>
            </w:pPr>
            <w:r>
              <w:rPr>
                <w:szCs w:val="21"/>
                <w:highlight w:val="none"/>
              </w:rPr>
              <w:t>指标</w:t>
            </w:r>
          </w:p>
        </w:tc>
      </w:tr>
      <w:tr>
        <w:tc>
          <w:tcPr>
            <w:tcW w:w="3828" w:type="dxa"/>
            <w:vMerge w:val="restart"/>
            <w:noWrap w:val="0"/>
            <w:vAlign w:val="top"/>
          </w:tcPr>
          <w:p>
            <w:pPr>
              <w:jc w:val="center"/>
              <w:rPr>
                <w:szCs w:val="21"/>
                <w:highlight w:val="none"/>
              </w:rPr>
            </w:pPr>
            <w:r>
              <w:rPr>
                <w:szCs w:val="21"/>
                <w:highlight w:val="none"/>
              </w:rPr>
              <w:t>卷帘门窗内宽极限偏差</w:t>
            </w:r>
          </w:p>
        </w:tc>
        <w:tc>
          <w:tcPr>
            <w:tcW w:w="1914" w:type="dxa"/>
            <w:noWrap w:val="0"/>
            <w:vAlign w:val="top"/>
          </w:tcPr>
          <w:p>
            <w:pPr>
              <w:jc w:val="center"/>
              <w:rPr>
                <w:szCs w:val="21"/>
                <w:highlight w:val="none"/>
              </w:rPr>
            </w:pPr>
            <w:r>
              <w:rPr>
                <w:szCs w:val="21"/>
                <w:highlight w:val="none"/>
              </w:rPr>
              <w:t>窗</w:t>
            </w:r>
          </w:p>
        </w:tc>
        <w:tc>
          <w:tcPr>
            <w:tcW w:w="3828" w:type="dxa"/>
            <w:noWrap w:val="0"/>
            <w:vAlign w:val="top"/>
          </w:tcPr>
          <w:p>
            <w:pPr>
              <w:jc w:val="center"/>
              <w:rPr>
                <w:szCs w:val="21"/>
                <w:highlight w:val="none"/>
              </w:rPr>
            </w:pPr>
            <w:r>
              <w:rPr>
                <w:szCs w:val="21"/>
                <w:highlight w:val="none"/>
              </w:rPr>
              <w:t>±3</w:t>
            </w:r>
          </w:p>
        </w:tc>
      </w:tr>
      <w:tr>
        <w:tblPrEx>
          <w:tblCellMar>
            <w:top w:w="0" w:type="dxa"/>
            <w:left w:w="108" w:type="dxa"/>
            <w:bottom w:w="0" w:type="dxa"/>
            <w:right w:w="108" w:type="dxa"/>
          </w:tblCellMar>
        </w:tblPrEx>
        <w:trPr>
          <w:trHeight w:val="488" w:hRule="atLeast"/>
        </w:trPr>
        <w:tc>
          <w:tcPr>
            <w:tcW w:w="3828" w:type="dxa"/>
            <w:vMerge w:val="continue"/>
            <w:noWrap w:val="0"/>
            <w:vAlign w:val="top"/>
          </w:tcPr>
          <w:p>
            <w:pPr>
              <w:jc w:val="center"/>
              <w:rPr>
                <w:szCs w:val="21"/>
                <w:highlight w:val="none"/>
              </w:rPr>
            </w:pPr>
          </w:p>
        </w:tc>
        <w:tc>
          <w:tcPr>
            <w:tcW w:w="1914" w:type="dxa"/>
            <w:noWrap w:val="0"/>
            <w:vAlign w:val="top"/>
          </w:tcPr>
          <w:p>
            <w:pPr>
              <w:jc w:val="center"/>
              <w:rPr>
                <w:szCs w:val="21"/>
                <w:highlight w:val="none"/>
              </w:rPr>
            </w:pPr>
            <w:r>
              <w:rPr>
                <w:szCs w:val="21"/>
                <w:highlight w:val="none"/>
              </w:rPr>
              <w:t>门</w:t>
            </w:r>
          </w:p>
        </w:tc>
        <w:tc>
          <w:tcPr>
            <w:tcW w:w="3828" w:type="dxa"/>
            <w:noWrap w:val="0"/>
            <w:vAlign w:val="top"/>
          </w:tcPr>
          <w:p>
            <w:pPr>
              <w:jc w:val="center"/>
              <w:rPr>
                <w:szCs w:val="21"/>
                <w:highlight w:val="none"/>
              </w:rPr>
            </w:pPr>
            <w:r>
              <w:rPr>
                <w:szCs w:val="21"/>
                <w:highlight w:val="none"/>
              </w:rPr>
              <w:t>±5</w:t>
            </w:r>
          </w:p>
        </w:tc>
      </w:tr>
      <w:tr>
        <w:tblPrEx>
          <w:tblCellMar>
            <w:top w:w="0" w:type="dxa"/>
            <w:left w:w="108" w:type="dxa"/>
            <w:bottom w:w="0" w:type="dxa"/>
            <w:right w:w="108" w:type="dxa"/>
          </w:tblCellMar>
        </w:tblPrEx>
        <w:tc>
          <w:tcPr>
            <w:tcW w:w="3828" w:type="dxa"/>
            <w:vMerge w:val="restart"/>
            <w:noWrap w:val="0"/>
            <w:vAlign w:val="top"/>
          </w:tcPr>
          <w:p>
            <w:pPr>
              <w:jc w:val="center"/>
              <w:rPr>
                <w:szCs w:val="21"/>
                <w:highlight w:val="none"/>
              </w:rPr>
            </w:pPr>
            <w:r>
              <w:rPr>
                <w:szCs w:val="21"/>
                <w:highlight w:val="none"/>
              </w:rPr>
              <w:t>卷帘门窗内高极限偏差</w:t>
            </w:r>
          </w:p>
        </w:tc>
        <w:tc>
          <w:tcPr>
            <w:tcW w:w="1914" w:type="dxa"/>
            <w:noWrap w:val="0"/>
            <w:vAlign w:val="top"/>
          </w:tcPr>
          <w:p>
            <w:pPr>
              <w:jc w:val="center"/>
              <w:rPr>
                <w:szCs w:val="21"/>
                <w:highlight w:val="none"/>
              </w:rPr>
            </w:pPr>
            <w:r>
              <w:rPr>
                <w:szCs w:val="21"/>
                <w:highlight w:val="none"/>
              </w:rPr>
              <w:t>窗</w:t>
            </w:r>
          </w:p>
        </w:tc>
        <w:tc>
          <w:tcPr>
            <w:tcW w:w="3828" w:type="dxa"/>
            <w:noWrap w:val="0"/>
            <w:vAlign w:val="top"/>
          </w:tcPr>
          <w:p>
            <w:pPr>
              <w:jc w:val="center"/>
              <w:rPr>
                <w:szCs w:val="21"/>
                <w:highlight w:val="none"/>
              </w:rPr>
            </w:pPr>
            <w:r>
              <w:rPr>
                <w:szCs w:val="21"/>
                <w:highlight w:val="none"/>
              </w:rPr>
              <w:t>±5</w:t>
            </w:r>
          </w:p>
        </w:tc>
      </w:tr>
      <w:tr>
        <w:tblPrEx>
          <w:tblCellMar>
            <w:top w:w="0" w:type="dxa"/>
            <w:left w:w="108" w:type="dxa"/>
            <w:bottom w:w="0" w:type="dxa"/>
            <w:right w:w="108" w:type="dxa"/>
          </w:tblCellMar>
        </w:tblPrEx>
        <w:tc>
          <w:tcPr>
            <w:tcW w:w="3828" w:type="dxa"/>
            <w:vMerge w:val="continue"/>
            <w:noWrap w:val="0"/>
            <w:vAlign w:val="top"/>
          </w:tcPr>
          <w:p>
            <w:pPr>
              <w:jc w:val="center"/>
              <w:rPr>
                <w:szCs w:val="21"/>
                <w:highlight w:val="none"/>
              </w:rPr>
            </w:pPr>
          </w:p>
        </w:tc>
        <w:tc>
          <w:tcPr>
            <w:tcW w:w="1914" w:type="dxa"/>
            <w:noWrap w:val="0"/>
            <w:vAlign w:val="top"/>
          </w:tcPr>
          <w:p>
            <w:pPr>
              <w:jc w:val="center"/>
              <w:rPr>
                <w:szCs w:val="21"/>
                <w:highlight w:val="none"/>
              </w:rPr>
            </w:pPr>
            <w:r>
              <w:rPr>
                <w:szCs w:val="21"/>
                <w:highlight w:val="none"/>
              </w:rPr>
              <w:t>门</w:t>
            </w:r>
          </w:p>
        </w:tc>
        <w:tc>
          <w:tcPr>
            <w:tcW w:w="3828" w:type="dxa"/>
            <w:noWrap w:val="0"/>
            <w:vAlign w:val="top"/>
          </w:tcPr>
          <w:p>
            <w:pPr>
              <w:jc w:val="center"/>
              <w:rPr>
                <w:szCs w:val="21"/>
                <w:highlight w:val="none"/>
              </w:rPr>
            </w:pPr>
            <w:r>
              <w:rPr>
                <w:szCs w:val="21"/>
                <w:highlight w:val="none"/>
              </w:rPr>
              <w:t>±8</w:t>
            </w:r>
          </w:p>
        </w:tc>
      </w:tr>
      <w:tr>
        <w:tblPrEx>
          <w:tblCellMar>
            <w:top w:w="0" w:type="dxa"/>
            <w:left w:w="108" w:type="dxa"/>
            <w:bottom w:w="0" w:type="dxa"/>
            <w:right w:w="108" w:type="dxa"/>
          </w:tblCellMar>
        </w:tblPrEx>
        <w:tc>
          <w:tcPr>
            <w:tcW w:w="5742" w:type="dxa"/>
            <w:gridSpan w:val="2"/>
            <w:noWrap w:val="0"/>
            <w:vAlign w:val="top"/>
          </w:tcPr>
          <w:p>
            <w:pPr>
              <w:jc w:val="center"/>
              <w:rPr>
                <w:szCs w:val="21"/>
                <w:highlight w:val="none"/>
              </w:rPr>
            </w:pPr>
            <w:r>
              <w:rPr>
                <w:szCs w:val="21"/>
                <w:highlight w:val="none"/>
              </w:rPr>
              <w:t>导轨与水平面的垂直度</w:t>
            </w:r>
          </w:p>
        </w:tc>
        <w:tc>
          <w:tcPr>
            <w:tcW w:w="3828" w:type="dxa"/>
            <w:noWrap w:val="0"/>
            <w:vAlign w:val="top"/>
          </w:tcPr>
          <w:p>
            <w:pPr>
              <w:jc w:val="center"/>
              <w:rPr>
                <w:szCs w:val="21"/>
                <w:highlight w:val="none"/>
              </w:rPr>
            </w:pPr>
            <w:r>
              <w:rPr>
                <w:szCs w:val="21"/>
                <w:highlight w:val="none"/>
              </w:rPr>
              <w:t>≤5</w:t>
            </w:r>
          </w:p>
        </w:tc>
      </w:tr>
      <w:tr>
        <w:tblPrEx>
          <w:tblCellMar>
            <w:top w:w="0" w:type="dxa"/>
            <w:left w:w="108" w:type="dxa"/>
            <w:bottom w:w="0" w:type="dxa"/>
            <w:right w:w="108" w:type="dxa"/>
          </w:tblCellMar>
        </w:tblPrEx>
        <w:trPr>
          <w:trHeight w:val="469" w:hRule="atLeast"/>
        </w:trPr>
        <w:tc>
          <w:tcPr>
            <w:tcW w:w="5742" w:type="dxa"/>
            <w:gridSpan w:val="2"/>
            <w:noWrap w:val="0"/>
            <w:vAlign w:val="top"/>
          </w:tcPr>
          <w:p>
            <w:pPr>
              <w:jc w:val="center"/>
              <w:rPr>
                <w:szCs w:val="21"/>
                <w:highlight w:val="none"/>
              </w:rPr>
            </w:pPr>
            <w:r>
              <w:rPr>
                <w:szCs w:val="21"/>
                <w:highlight w:val="none"/>
              </w:rPr>
              <w:t>卷轴与水平面的垂直度</w:t>
            </w:r>
          </w:p>
        </w:tc>
        <w:tc>
          <w:tcPr>
            <w:tcW w:w="3828" w:type="dxa"/>
            <w:noWrap w:val="0"/>
            <w:vAlign w:val="top"/>
          </w:tcPr>
          <w:p>
            <w:pPr>
              <w:jc w:val="center"/>
              <w:rPr>
                <w:szCs w:val="21"/>
                <w:highlight w:val="none"/>
              </w:rPr>
            </w:pPr>
            <w:r>
              <w:rPr>
                <w:szCs w:val="21"/>
                <w:highlight w:val="none"/>
              </w:rPr>
              <w:t>≤3</w:t>
            </w:r>
          </w:p>
        </w:tc>
      </w:tr>
      <w:tr>
        <w:tblPrEx>
          <w:tblCellMar>
            <w:top w:w="0" w:type="dxa"/>
            <w:left w:w="108" w:type="dxa"/>
            <w:bottom w:w="0" w:type="dxa"/>
            <w:right w:w="108" w:type="dxa"/>
          </w:tblCellMar>
        </w:tblPrEx>
        <w:tc>
          <w:tcPr>
            <w:tcW w:w="5742" w:type="dxa"/>
            <w:gridSpan w:val="2"/>
            <w:noWrap w:val="0"/>
            <w:vAlign w:val="top"/>
          </w:tcPr>
          <w:p>
            <w:pPr>
              <w:jc w:val="center"/>
              <w:rPr>
                <w:szCs w:val="21"/>
                <w:highlight w:val="none"/>
              </w:rPr>
            </w:pPr>
            <w:r>
              <w:rPr>
                <w:szCs w:val="21"/>
                <w:highlight w:val="none"/>
              </w:rPr>
              <w:t>座条与水平面的垂直度</w:t>
            </w:r>
          </w:p>
        </w:tc>
        <w:tc>
          <w:tcPr>
            <w:tcW w:w="3828" w:type="dxa"/>
            <w:noWrap w:val="0"/>
            <w:vAlign w:val="top"/>
          </w:tcPr>
          <w:p>
            <w:pPr>
              <w:jc w:val="center"/>
              <w:rPr>
                <w:szCs w:val="21"/>
                <w:highlight w:val="none"/>
              </w:rPr>
            </w:pPr>
            <w:r>
              <w:rPr>
                <w:szCs w:val="21"/>
                <w:highlight w:val="none"/>
              </w:rPr>
              <w:t>≤5</w:t>
            </w:r>
          </w:p>
        </w:tc>
      </w:tr>
    </w:tbl>
    <w:p>
      <w:pPr>
        <w:rPr>
          <w:highlight w:val="none"/>
        </w:rPr>
      </w:pPr>
      <w:r>
        <w:rPr>
          <w:highlight w:val="none"/>
        </w:rPr>
        <w:t>9.5.3.6运行性能</w:t>
      </w:r>
    </w:p>
    <w:p>
      <w:pPr>
        <w:numPr>
          <w:ilvl w:val="0"/>
          <w:numId w:val="58"/>
        </w:numPr>
        <w:spacing w:line="360" w:lineRule="auto"/>
        <w:rPr>
          <w:highlight w:val="none"/>
        </w:rPr>
      </w:pPr>
      <w:r>
        <w:rPr>
          <w:highlight w:val="none"/>
        </w:rPr>
        <w:t>手动卷帘门窗的启闭运行应平稳、顺畅，手动启闭操作力不应大于118N。</w:t>
      </w:r>
    </w:p>
    <w:p>
      <w:pPr>
        <w:numPr>
          <w:ilvl w:val="0"/>
          <w:numId w:val="58"/>
        </w:numPr>
        <w:spacing w:line="360" w:lineRule="auto"/>
        <w:rPr>
          <w:highlight w:val="none"/>
        </w:rPr>
      </w:pPr>
      <w:r>
        <w:rPr>
          <w:highlight w:val="none"/>
        </w:rPr>
        <w:t>电动卷帘门窗运行应平稳、顺畅，启闭运行应符合以下要求：</w:t>
      </w:r>
    </w:p>
    <w:p>
      <w:pPr>
        <w:numPr>
          <w:ilvl w:val="0"/>
          <w:numId w:val="58"/>
        </w:numPr>
        <w:spacing w:line="360" w:lineRule="auto"/>
        <w:ind w:left="0" w:firstLine="0"/>
        <w:rPr>
          <w:highlight w:val="none"/>
        </w:rPr>
      </w:pPr>
      <w:r>
        <w:rPr>
          <w:highlight w:val="none"/>
        </w:rPr>
        <w:t>普通卷帘门窗的关闭运行速度不应大于0.35m／s；快速卷帘门的关闭运行速度不宜大于0.8m／s，开启运行速度不宜大于3.0m／s；</w:t>
      </w:r>
    </w:p>
    <w:p>
      <w:pPr>
        <w:numPr>
          <w:ilvl w:val="0"/>
          <w:numId w:val="58"/>
        </w:numPr>
        <w:spacing w:line="360" w:lineRule="auto"/>
        <w:rPr>
          <w:highlight w:val="none"/>
        </w:rPr>
      </w:pPr>
      <w:r>
        <w:rPr>
          <w:highlight w:val="none"/>
        </w:rPr>
        <w:t>制动装置应灵敏，运行过程中能在任意位置停止；</w:t>
      </w:r>
    </w:p>
    <w:p>
      <w:pPr>
        <w:numPr>
          <w:ilvl w:val="0"/>
          <w:numId w:val="58"/>
        </w:numPr>
        <w:spacing w:line="360" w:lineRule="auto"/>
        <w:ind w:left="0" w:firstLine="0"/>
        <w:rPr>
          <w:highlight w:val="none"/>
        </w:rPr>
      </w:pPr>
      <w:r>
        <w:rPr>
          <w:highlight w:val="none"/>
        </w:rPr>
        <w:t>卷帘门窗运行至上、下限位置时应能自动停止，限位应符合JG／T 411-2013中6.2.2的要求；</w:t>
      </w:r>
    </w:p>
    <w:p>
      <w:pPr>
        <w:numPr>
          <w:ilvl w:val="0"/>
          <w:numId w:val="58"/>
        </w:numPr>
        <w:spacing w:line="360" w:lineRule="auto"/>
        <w:rPr>
          <w:highlight w:val="none"/>
        </w:rPr>
      </w:pPr>
      <w:r>
        <w:rPr>
          <w:highlight w:val="none"/>
        </w:rPr>
        <w:t>卷帘门窗的运行噪声不应大于65dB（A）；</w:t>
      </w:r>
    </w:p>
    <w:p>
      <w:pPr>
        <w:numPr>
          <w:ilvl w:val="0"/>
          <w:numId w:val="58"/>
        </w:numPr>
        <w:spacing w:line="360" w:lineRule="auto"/>
        <w:ind w:left="0" w:firstLine="0"/>
        <w:rPr>
          <w:highlight w:val="none"/>
        </w:rPr>
      </w:pPr>
      <w:r>
        <w:rPr>
          <w:highlight w:val="none"/>
        </w:rPr>
        <w:t>快速卷帘门、工业用普通卷帘门应配置急停按钮，操作急停按钮应能切断驱动电机电源；</w:t>
      </w:r>
    </w:p>
    <w:p>
      <w:pPr>
        <w:numPr>
          <w:ilvl w:val="0"/>
          <w:numId w:val="58"/>
        </w:numPr>
        <w:spacing w:line="360" w:lineRule="auto"/>
        <w:rPr>
          <w:highlight w:val="none"/>
        </w:rPr>
      </w:pPr>
      <w:r>
        <w:rPr>
          <w:highlight w:val="none"/>
        </w:rPr>
        <w:t>切断电源，电动卷帘门应能手动启闭，其操作力应小于260N；</w:t>
      </w:r>
    </w:p>
    <w:p>
      <w:pPr>
        <w:numPr>
          <w:ilvl w:val="0"/>
          <w:numId w:val="58"/>
        </w:numPr>
        <w:spacing w:line="360" w:lineRule="auto"/>
        <w:rPr>
          <w:highlight w:val="none"/>
        </w:rPr>
      </w:pPr>
      <w:r>
        <w:rPr>
          <w:highlight w:val="none"/>
        </w:rPr>
        <w:t>电动卷门以设定的运行速度运行，当非接触传感器被屏蔽时，帘体碰撞到人或障碍物产生的最大动态冲击力不应大于400N。</w:t>
      </w:r>
    </w:p>
    <w:p>
      <w:pPr>
        <w:rPr>
          <w:b/>
          <w:highlight w:val="none"/>
        </w:rPr>
      </w:pPr>
      <w:r>
        <w:rPr>
          <w:b/>
          <w:highlight w:val="none"/>
        </w:rPr>
        <w:t xml:space="preserve">9.5.3.7  </w:t>
      </w:r>
      <w:r>
        <w:rPr>
          <w:rFonts w:hint="eastAsia"/>
          <w:b/>
          <w:highlight w:val="none"/>
        </w:rPr>
        <w:t>P</w:t>
      </w:r>
      <w:r>
        <w:rPr>
          <w:b/>
          <w:highlight w:val="none"/>
        </w:rPr>
        <w:t>VC</w:t>
      </w:r>
      <w:r>
        <w:rPr>
          <w:rFonts w:hint="eastAsia"/>
          <w:b/>
          <w:highlight w:val="none"/>
        </w:rPr>
        <w:t>快速卷帘门（室内门）</w:t>
      </w:r>
    </w:p>
    <w:p>
      <w:pPr>
        <w:pStyle w:val="20"/>
        <w:numPr>
          <w:ilvl w:val="0"/>
          <w:numId w:val="59"/>
        </w:numPr>
        <w:spacing w:line="360" w:lineRule="auto"/>
        <w:ind w:firstLineChars="0"/>
        <w:rPr>
          <w:b/>
          <w:sz w:val="24"/>
          <w:highlight w:val="none"/>
        </w:rPr>
      </w:pPr>
      <w:r>
        <w:rPr>
          <w:rFonts w:hint="eastAsia"/>
          <w:sz w:val="24"/>
          <w:highlight w:val="none"/>
        </w:rPr>
        <w:t>最大速度：1.</w:t>
      </w:r>
      <w:r>
        <w:rPr>
          <w:sz w:val="24"/>
          <w:highlight w:val="none"/>
        </w:rPr>
        <w:t>0</w:t>
      </w:r>
      <w:r>
        <w:rPr>
          <w:rFonts w:hint="eastAsia"/>
          <w:sz w:val="24"/>
          <w:highlight w:val="none"/>
        </w:rPr>
        <w:t>m/s(开启) ，0.6m/s(关闭)</w:t>
      </w:r>
    </w:p>
    <w:p>
      <w:pPr>
        <w:pStyle w:val="20"/>
        <w:numPr>
          <w:ilvl w:val="0"/>
          <w:numId w:val="59"/>
        </w:numPr>
        <w:spacing w:line="360" w:lineRule="auto"/>
        <w:ind w:firstLineChars="0"/>
        <w:rPr>
          <w:b/>
          <w:sz w:val="24"/>
          <w:highlight w:val="none"/>
        </w:rPr>
      </w:pPr>
      <w:r>
        <w:rPr>
          <w:rFonts w:hint="eastAsia"/>
          <w:sz w:val="24"/>
          <w:highlight w:val="none"/>
        </w:rPr>
        <w:t>门帘材料：2.0mm厚高强度编织纤维门帘，门帘中间选配透明视窗。</w:t>
      </w:r>
    </w:p>
    <w:p>
      <w:pPr>
        <w:pStyle w:val="20"/>
        <w:numPr>
          <w:ilvl w:val="0"/>
          <w:numId w:val="59"/>
        </w:numPr>
        <w:spacing w:line="360" w:lineRule="auto"/>
        <w:ind w:firstLineChars="0"/>
        <w:rPr>
          <w:b/>
          <w:sz w:val="24"/>
          <w:highlight w:val="none"/>
        </w:rPr>
      </w:pPr>
      <w:r>
        <w:rPr>
          <w:rFonts w:hint="eastAsia"/>
          <w:sz w:val="24"/>
          <w:highlight w:val="none"/>
        </w:rPr>
        <w:t>门框材料：304不锈钢。</w:t>
      </w:r>
    </w:p>
    <w:p>
      <w:pPr>
        <w:pStyle w:val="20"/>
        <w:numPr>
          <w:ilvl w:val="0"/>
          <w:numId w:val="59"/>
        </w:numPr>
        <w:spacing w:line="360" w:lineRule="auto"/>
        <w:ind w:firstLineChars="0"/>
        <w:rPr>
          <w:b/>
          <w:sz w:val="24"/>
          <w:highlight w:val="none"/>
        </w:rPr>
      </w:pPr>
      <w:r>
        <w:rPr>
          <w:rFonts w:hint="eastAsia"/>
          <w:sz w:val="24"/>
          <w:highlight w:val="none"/>
        </w:rPr>
        <w:t>电机罩壳：304不锈钢。</w:t>
      </w:r>
    </w:p>
    <w:p>
      <w:pPr>
        <w:pStyle w:val="20"/>
        <w:numPr>
          <w:ilvl w:val="0"/>
          <w:numId w:val="59"/>
        </w:numPr>
        <w:spacing w:line="360" w:lineRule="auto"/>
        <w:ind w:firstLineChars="0"/>
        <w:rPr>
          <w:b/>
          <w:sz w:val="24"/>
          <w:highlight w:val="none"/>
        </w:rPr>
      </w:pPr>
      <w:r>
        <w:rPr>
          <w:rFonts w:hint="eastAsia"/>
          <w:sz w:val="24"/>
          <w:highlight w:val="none"/>
        </w:rPr>
        <w:t>卷轴罩壳：304不锈钢。</w:t>
      </w:r>
    </w:p>
    <w:p>
      <w:pPr>
        <w:pStyle w:val="20"/>
        <w:numPr>
          <w:ilvl w:val="0"/>
          <w:numId w:val="59"/>
        </w:numPr>
        <w:spacing w:line="360" w:lineRule="auto"/>
        <w:ind w:firstLineChars="0"/>
        <w:rPr>
          <w:b/>
          <w:sz w:val="24"/>
          <w:highlight w:val="none"/>
        </w:rPr>
      </w:pPr>
      <w:r>
        <w:rPr>
          <w:rFonts w:hint="eastAsia"/>
          <w:sz w:val="24"/>
          <w:highlight w:val="none"/>
        </w:rPr>
        <w:t>安全系统：门框内置微型安全光眼，监测通道安全。</w:t>
      </w:r>
    </w:p>
    <w:p>
      <w:pPr>
        <w:pStyle w:val="20"/>
        <w:numPr>
          <w:ilvl w:val="0"/>
          <w:numId w:val="59"/>
        </w:numPr>
        <w:spacing w:line="360" w:lineRule="auto"/>
        <w:ind w:firstLineChars="0"/>
        <w:rPr>
          <w:b/>
          <w:sz w:val="24"/>
          <w:highlight w:val="none"/>
        </w:rPr>
      </w:pPr>
      <w:r>
        <w:rPr>
          <w:rFonts w:hint="eastAsia"/>
          <w:sz w:val="24"/>
          <w:highlight w:val="none"/>
        </w:rPr>
        <w:t>底    梁：双层铝合金矩形底梁配重门帘。</w:t>
      </w:r>
    </w:p>
    <w:p>
      <w:pPr>
        <w:pStyle w:val="20"/>
        <w:numPr>
          <w:ilvl w:val="0"/>
          <w:numId w:val="59"/>
        </w:numPr>
        <w:spacing w:line="360" w:lineRule="auto"/>
        <w:ind w:firstLineChars="0"/>
        <w:rPr>
          <w:b/>
          <w:sz w:val="24"/>
          <w:highlight w:val="none"/>
        </w:rPr>
      </w:pPr>
      <w:r>
        <w:rPr>
          <w:rFonts w:hint="eastAsia"/>
          <w:sz w:val="24"/>
          <w:highlight w:val="none"/>
        </w:rPr>
        <w:t>底    边：底部密封条为EPDM型材。</w:t>
      </w:r>
    </w:p>
    <w:p>
      <w:pPr>
        <w:pStyle w:val="20"/>
        <w:numPr>
          <w:ilvl w:val="0"/>
          <w:numId w:val="59"/>
        </w:numPr>
        <w:spacing w:line="360" w:lineRule="auto"/>
        <w:ind w:firstLineChars="0"/>
        <w:rPr>
          <w:b/>
          <w:sz w:val="24"/>
          <w:highlight w:val="none"/>
        </w:rPr>
      </w:pPr>
      <w:r>
        <w:rPr>
          <w:rFonts w:hint="eastAsia"/>
          <w:sz w:val="24"/>
          <w:highlight w:val="none"/>
        </w:rPr>
        <w:t>其它部件：合金传动轴、端盖板五金件等。</w:t>
      </w:r>
    </w:p>
    <w:p>
      <w:pPr>
        <w:pStyle w:val="20"/>
        <w:numPr>
          <w:ilvl w:val="0"/>
          <w:numId w:val="59"/>
        </w:numPr>
        <w:spacing w:line="360" w:lineRule="auto"/>
        <w:ind w:firstLineChars="0"/>
        <w:rPr>
          <w:b/>
          <w:sz w:val="24"/>
          <w:highlight w:val="none"/>
        </w:rPr>
      </w:pPr>
      <w:r>
        <w:rPr>
          <w:rFonts w:hint="eastAsia"/>
          <w:sz w:val="24"/>
          <w:highlight w:val="none"/>
        </w:rPr>
        <w:t>控制系统: 标配微电脑处理器；集成开/停/关覆膜按键；急停按钮；人机界面；</w:t>
      </w:r>
    </w:p>
    <w:p>
      <w:pPr>
        <w:pStyle w:val="20"/>
        <w:numPr>
          <w:ilvl w:val="0"/>
          <w:numId w:val="59"/>
        </w:numPr>
        <w:spacing w:line="360" w:lineRule="auto"/>
        <w:ind w:firstLineChars="0"/>
        <w:rPr>
          <w:b/>
          <w:sz w:val="24"/>
          <w:highlight w:val="none"/>
        </w:rPr>
      </w:pPr>
      <w:r>
        <w:rPr>
          <w:rFonts w:hint="eastAsia"/>
          <w:sz w:val="24"/>
          <w:highlight w:val="none"/>
        </w:rPr>
        <w:t>液晶显示屏；故障自动检测提示。</w:t>
      </w:r>
    </w:p>
    <w:p>
      <w:pPr>
        <w:pStyle w:val="20"/>
        <w:numPr>
          <w:ilvl w:val="0"/>
          <w:numId w:val="59"/>
        </w:numPr>
        <w:spacing w:line="360" w:lineRule="auto"/>
        <w:ind w:firstLineChars="0"/>
        <w:rPr>
          <w:b/>
          <w:sz w:val="24"/>
          <w:highlight w:val="none"/>
        </w:rPr>
      </w:pPr>
      <w:r>
        <w:rPr>
          <w:rFonts w:hint="eastAsia"/>
          <w:sz w:val="24"/>
          <w:highlight w:val="none"/>
        </w:rPr>
        <w:t>控 制 箱：防护等级为IP54；具备完善保护功能：位置保护，运行时间保护，堵转保护等，一旦发生问题立即停止运行并显示故障信息。</w:t>
      </w:r>
    </w:p>
    <w:p>
      <w:pPr>
        <w:pStyle w:val="20"/>
        <w:numPr>
          <w:ilvl w:val="0"/>
          <w:numId w:val="59"/>
        </w:numPr>
        <w:spacing w:line="360" w:lineRule="auto"/>
        <w:ind w:firstLineChars="0"/>
        <w:rPr>
          <w:b/>
          <w:sz w:val="24"/>
          <w:highlight w:val="none"/>
        </w:rPr>
      </w:pPr>
      <w:r>
        <w:rPr>
          <w:rFonts w:hint="eastAsia"/>
          <w:sz w:val="24"/>
          <w:highlight w:val="none"/>
        </w:rPr>
        <w:t>驱动系统：轴驱高速门专用电机，品牌：poweyer。</w:t>
      </w:r>
    </w:p>
    <w:p>
      <w:pPr>
        <w:pStyle w:val="20"/>
        <w:numPr>
          <w:ilvl w:val="0"/>
          <w:numId w:val="59"/>
        </w:numPr>
        <w:spacing w:line="360" w:lineRule="auto"/>
        <w:ind w:firstLineChars="0"/>
        <w:rPr>
          <w:b/>
          <w:sz w:val="24"/>
          <w:highlight w:val="none"/>
        </w:rPr>
      </w:pPr>
      <w:r>
        <w:rPr>
          <w:rFonts w:hint="eastAsia"/>
          <w:sz w:val="24"/>
          <w:highlight w:val="none"/>
        </w:rPr>
        <w:t>定位系统：全程多圈绝对值编码器，可实时检测门体位置；电子式运行限位设置，可通过控制器设置门体运行限位。</w:t>
      </w:r>
    </w:p>
    <w:p>
      <w:pPr>
        <w:pStyle w:val="4"/>
        <w:rPr>
          <w:highlight w:val="none"/>
        </w:rPr>
      </w:pPr>
      <w:bookmarkStart w:id="168" w:name="_Toc133335450"/>
      <w:r>
        <w:rPr>
          <w:highlight w:val="none"/>
        </w:rPr>
        <w:t>9.5.4防火卷帘</w:t>
      </w:r>
      <w:bookmarkEnd w:id="168"/>
    </w:p>
    <w:p>
      <w:pPr>
        <w:rPr>
          <w:highlight w:val="none"/>
        </w:rPr>
      </w:pPr>
      <w:r>
        <w:rPr>
          <w:highlight w:val="none"/>
        </w:rPr>
        <w:t>9.5.4.1防火卷帘检验</w:t>
      </w:r>
    </w:p>
    <w:p>
      <w:pPr>
        <w:numPr>
          <w:ilvl w:val="0"/>
          <w:numId w:val="60"/>
        </w:numPr>
        <w:spacing w:line="360" w:lineRule="auto"/>
        <w:ind w:left="0" w:firstLine="0"/>
        <w:rPr>
          <w:highlight w:val="none"/>
        </w:rPr>
      </w:pPr>
      <w:r>
        <w:rPr>
          <w:highlight w:val="none"/>
        </w:rPr>
        <w:t>防火卷帘的钢质帘面及卷门机，控制器等金属零部件的表面不应有裂纹、压坑及明显的凹凸、锤痕、毛刺等缺陷。</w:t>
      </w:r>
    </w:p>
    <w:p>
      <w:pPr>
        <w:numPr>
          <w:ilvl w:val="0"/>
          <w:numId w:val="60"/>
        </w:numPr>
        <w:spacing w:line="360" w:lineRule="auto"/>
        <w:ind w:left="0" w:firstLine="0"/>
        <w:rPr>
          <w:highlight w:val="none"/>
        </w:rPr>
      </w:pPr>
      <w:r>
        <w:rPr>
          <w:highlight w:val="none"/>
        </w:rPr>
        <w:t>防火卷帘无机纤维复合帘面，不应有撕裂、缺角、挖补、倾斜、跳线、断线、经纬纱密度明显不匀及色差等缺陷。</w:t>
      </w:r>
    </w:p>
    <w:p>
      <w:pPr>
        <w:rPr>
          <w:highlight w:val="none"/>
        </w:rPr>
      </w:pPr>
      <w:r>
        <w:rPr>
          <w:highlight w:val="none"/>
        </w:rPr>
        <w:t>9.5.4.2防火卷帘安装</w:t>
      </w:r>
    </w:p>
    <w:p>
      <w:pPr>
        <w:numPr>
          <w:ilvl w:val="0"/>
          <w:numId w:val="61"/>
        </w:numPr>
        <w:spacing w:line="360" w:lineRule="auto"/>
        <w:rPr>
          <w:highlight w:val="none"/>
        </w:rPr>
      </w:pPr>
      <w:r>
        <w:rPr>
          <w:highlight w:val="none"/>
        </w:rPr>
        <w:t>钢质防火卷帘相邻帘板串联后应转动灵活，摆动90°不应脱落。</w:t>
      </w:r>
    </w:p>
    <w:p>
      <w:pPr>
        <w:numPr>
          <w:ilvl w:val="0"/>
          <w:numId w:val="61"/>
        </w:numPr>
        <w:spacing w:line="360" w:lineRule="auto"/>
        <w:rPr>
          <w:highlight w:val="none"/>
        </w:rPr>
      </w:pPr>
      <w:r>
        <w:rPr>
          <w:highlight w:val="none"/>
        </w:rPr>
        <w:t>钢质防火卷帘的帘板装配完毕后应平直，不应有孔洞或缝隙。</w:t>
      </w:r>
    </w:p>
    <w:p>
      <w:pPr>
        <w:numPr>
          <w:ilvl w:val="0"/>
          <w:numId w:val="61"/>
        </w:numPr>
        <w:spacing w:line="360" w:lineRule="auto"/>
        <w:ind w:left="0" w:firstLine="0"/>
        <w:rPr>
          <w:highlight w:val="none"/>
        </w:rPr>
      </w:pPr>
      <w:r>
        <w:rPr>
          <w:highlight w:val="none"/>
        </w:rPr>
        <w:t>钢质防火卷帘帘板两端挡板或防窜机构应装配牢固，卷帘运行时，相邻帘板窜动量不应大于2mm。</w:t>
      </w:r>
    </w:p>
    <w:p>
      <w:pPr>
        <w:numPr>
          <w:ilvl w:val="0"/>
          <w:numId w:val="61"/>
        </w:numPr>
        <w:spacing w:line="360" w:lineRule="auto"/>
        <w:rPr>
          <w:highlight w:val="none"/>
        </w:rPr>
      </w:pPr>
      <w:r>
        <w:rPr>
          <w:highlight w:val="none"/>
        </w:rPr>
        <w:t>无机纤维复合防火卷帘帘面两端应安装防风钩。</w:t>
      </w:r>
    </w:p>
    <w:p>
      <w:pPr>
        <w:numPr>
          <w:ilvl w:val="0"/>
          <w:numId w:val="61"/>
        </w:numPr>
        <w:spacing w:line="360" w:lineRule="auto"/>
        <w:rPr>
          <w:highlight w:val="none"/>
        </w:rPr>
      </w:pPr>
      <w:r>
        <w:rPr>
          <w:highlight w:val="none"/>
        </w:rPr>
        <w:t>无机纤维复合防火卷帘帘面应通过固定件与卷轴相连。</w:t>
      </w:r>
    </w:p>
    <w:p>
      <w:pPr>
        <w:numPr>
          <w:ilvl w:val="0"/>
          <w:numId w:val="61"/>
        </w:numPr>
        <w:spacing w:line="360" w:lineRule="auto"/>
        <w:ind w:left="0" w:firstLine="0"/>
        <w:rPr>
          <w:highlight w:val="none"/>
        </w:rPr>
      </w:pPr>
      <w:r>
        <w:rPr>
          <w:highlight w:val="none"/>
        </w:rPr>
        <w:t>单帘面卷帘的两根导轨应互相平行，双帘面卷帘不同帘面的导轨也应互相平行，其平行度误差均不应大于5mm。</w:t>
      </w:r>
    </w:p>
    <w:p>
      <w:pPr>
        <w:numPr>
          <w:ilvl w:val="0"/>
          <w:numId w:val="61"/>
        </w:numPr>
        <w:spacing w:line="360" w:lineRule="auto"/>
        <w:rPr>
          <w:highlight w:val="none"/>
        </w:rPr>
      </w:pPr>
      <w:r>
        <w:rPr>
          <w:highlight w:val="none"/>
        </w:rPr>
        <w:t>卷帘的导轨安装后相对于基础面的垂直度误差不应大于1.5mm/m,全长不应大于20mm。</w:t>
      </w:r>
    </w:p>
    <w:p>
      <w:pPr>
        <w:rPr>
          <w:highlight w:val="none"/>
        </w:rPr>
      </w:pPr>
      <w:r>
        <w:rPr>
          <w:highlight w:val="none"/>
        </w:rPr>
        <w:t>9.5.4.3防火卷帘调试</w:t>
      </w:r>
    </w:p>
    <w:p>
      <w:pPr>
        <w:numPr>
          <w:ilvl w:val="0"/>
          <w:numId w:val="62"/>
        </w:numPr>
        <w:spacing w:line="360" w:lineRule="auto"/>
        <w:ind w:left="0" w:firstLine="0"/>
        <w:rPr>
          <w:highlight w:val="none"/>
        </w:rPr>
      </w:pPr>
      <w:r>
        <w:rPr>
          <w:highlight w:val="none"/>
        </w:rPr>
        <w:t>通电功能调试时，应将防火卷帘控制器分别与消防控制室的火灾报警控制器或消防联动控制设备、相关的火灾探测器、卷门机等连接并通电，防火卷帘控制器应处于正常工作状态。</w:t>
      </w:r>
    </w:p>
    <w:p>
      <w:pPr>
        <w:numPr>
          <w:ilvl w:val="0"/>
          <w:numId w:val="62"/>
        </w:numPr>
        <w:spacing w:line="360" w:lineRule="auto"/>
        <w:ind w:left="0" w:firstLine="0"/>
        <w:rPr>
          <w:highlight w:val="none"/>
        </w:rPr>
      </w:pPr>
      <w:r>
        <w:rPr>
          <w:highlight w:val="none"/>
        </w:rPr>
        <w:t>火灾报警功能调试时，防火卷帘控制器应直接或间接的接收来自火灾探测器组发出的火灾报警信号，并应发出声光报警信号。</w:t>
      </w:r>
    </w:p>
    <w:p>
      <w:pPr>
        <w:numPr>
          <w:ilvl w:val="0"/>
          <w:numId w:val="62"/>
        </w:numPr>
        <w:spacing w:line="360" w:lineRule="auto"/>
        <w:ind w:left="0" w:firstLine="0"/>
        <w:rPr>
          <w:highlight w:val="none"/>
        </w:rPr>
      </w:pPr>
      <w:r>
        <w:rPr>
          <w:highlight w:val="none"/>
        </w:rPr>
        <w:t>卷门机应设有自动限位装置，当防火卷帘启闭至上下限位时应自动停止，其重复定位误差不应小于20mm。</w:t>
      </w:r>
    </w:p>
    <w:p>
      <w:pPr>
        <w:pStyle w:val="4"/>
        <w:rPr>
          <w:highlight w:val="none"/>
        </w:rPr>
      </w:pPr>
      <w:bookmarkStart w:id="169" w:name="_Toc133335451"/>
      <w:r>
        <w:rPr>
          <w:highlight w:val="none"/>
        </w:rPr>
        <w:t>9.5.5 窗</w:t>
      </w:r>
      <w:bookmarkEnd w:id="169"/>
    </w:p>
    <w:p>
      <w:pPr>
        <w:rPr>
          <w:highlight w:val="none"/>
        </w:rPr>
      </w:pPr>
      <w:r>
        <w:rPr>
          <w:highlight w:val="none"/>
        </w:rPr>
        <w:t>9.5.5.1干燥洁净区域的参观走廊两侧隔墙均需设置观察窗（观察窗尺寸见图纸），参观走廊侧贴单向透视膜。</w:t>
      </w:r>
    </w:p>
    <w:p>
      <w:pPr>
        <w:rPr>
          <w:highlight w:val="none"/>
        </w:rPr>
      </w:pPr>
      <w:r>
        <w:rPr>
          <w:highlight w:val="none"/>
        </w:rPr>
        <w:t>9.5.5.2参观走廊隔墙上设置参观窗（具体布置方案与参观通道及车间的灯、消防风口、风柱等综合考虑，需进一步讨论），窗上沿应与门上沿平齐，两侧相对的观察窗位置应一致。</w:t>
      </w:r>
    </w:p>
    <w:p>
      <w:pPr>
        <w:rPr>
          <w:highlight w:val="none"/>
        </w:rPr>
      </w:pPr>
      <w:r>
        <w:rPr>
          <w:highlight w:val="none"/>
        </w:rPr>
        <w:t>9.5.5.3参观窗材料采用6+12A+6双层中空玻璃，耐火时间1h，内充惰性气体，应具有良好的防结露功能；铝合金型材窗框厚度≥1.4mm，窗四周圆弧角过渡。</w:t>
      </w:r>
    </w:p>
    <w:p>
      <w:pPr>
        <w:rPr>
          <w:highlight w:val="none"/>
        </w:rPr>
      </w:pPr>
      <w:r>
        <w:rPr>
          <w:highlight w:val="none"/>
        </w:rPr>
        <w:t>9.5.5.4具体门窗要求如下表：</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340"/>
        <w:gridCol w:w="3000"/>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1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3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类型</w:t>
            </w:r>
          </w:p>
        </w:tc>
        <w:tc>
          <w:tcPr>
            <w:tcW w:w="300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要求</w:t>
            </w:r>
          </w:p>
        </w:tc>
        <w:tc>
          <w:tcPr>
            <w:tcW w:w="298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1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门</w:t>
            </w:r>
          </w:p>
          <w:p>
            <w:pPr>
              <w:jc w:val="center"/>
              <w:rPr>
                <w:szCs w:val="21"/>
                <w:highlight w:val="none"/>
              </w:rPr>
            </w:pPr>
          </w:p>
        </w:tc>
        <w:tc>
          <w:tcPr>
            <w:tcW w:w="23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净化车间常规门（非消防要求的）</w:t>
            </w:r>
          </w:p>
        </w:tc>
        <w:tc>
          <w:tcPr>
            <w:tcW w:w="30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按设计院要求</w:t>
            </w:r>
          </w:p>
        </w:tc>
        <w:tc>
          <w:tcPr>
            <w:tcW w:w="29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制作美观的“推/拉”标识，不采用球头锁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1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3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设备门</w:t>
            </w:r>
          </w:p>
        </w:tc>
        <w:tc>
          <w:tcPr>
            <w:tcW w:w="30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按设计院要求</w:t>
            </w:r>
          </w:p>
        </w:tc>
        <w:tc>
          <w:tcPr>
            <w:tcW w:w="29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1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3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消防门</w:t>
            </w:r>
          </w:p>
        </w:tc>
        <w:tc>
          <w:tcPr>
            <w:tcW w:w="30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按设计院要求</w:t>
            </w:r>
          </w:p>
        </w:tc>
        <w:tc>
          <w:tcPr>
            <w:tcW w:w="29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1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3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安全逃生门</w:t>
            </w:r>
          </w:p>
        </w:tc>
        <w:tc>
          <w:tcPr>
            <w:tcW w:w="30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采用压杆式逃生门</w:t>
            </w:r>
          </w:p>
        </w:tc>
        <w:tc>
          <w:tcPr>
            <w:tcW w:w="29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11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3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风淋门、货淋门</w:t>
            </w:r>
          </w:p>
        </w:tc>
        <w:tc>
          <w:tcPr>
            <w:tcW w:w="30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采购标准尺寸整体式风淋门，而非现场制作</w:t>
            </w:r>
          </w:p>
        </w:tc>
        <w:tc>
          <w:tcPr>
            <w:tcW w:w="29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风淋清洁度比车间清洁度高一个等级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10"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窗</w:t>
            </w:r>
          </w:p>
        </w:tc>
        <w:tc>
          <w:tcPr>
            <w:tcW w:w="234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防火窗</w:t>
            </w:r>
          </w:p>
        </w:tc>
        <w:tc>
          <w:tcPr>
            <w:tcW w:w="30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符合国家标准</w:t>
            </w:r>
          </w:p>
        </w:tc>
        <w:tc>
          <w:tcPr>
            <w:tcW w:w="29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10" w:type="dxa"/>
            <w:vMerge w:val="continue"/>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p>
        </w:tc>
        <w:tc>
          <w:tcPr>
            <w:tcW w:w="234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参观窗</w:t>
            </w:r>
          </w:p>
        </w:tc>
        <w:tc>
          <w:tcPr>
            <w:tcW w:w="30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采用6+12A+6双层中空玻璃洁净窗，外观美观</w:t>
            </w:r>
          </w:p>
        </w:tc>
        <w:tc>
          <w:tcPr>
            <w:tcW w:w="29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jc w:val="center"/>
              <w:rPr>
                <w:szCs w:val="21"/>
                <w:highlight w:val="none"/>
              </w:rPr>
            </w:pPr>
            <w:r>
              <w:rPr>
                <w:szCs w:val="21"/>
                <w:highlight w:val="none"/>
              </w:rPr>
              <w:t>贴单向透视膜</w:t>
            </w:r>
          </w:p>
        </w:tc>
      </w:tr>
    </w:tbl>
    <w:p>
      <w:pPr>
        <w:pStyle w:val="4"/>
        <w:rPr>
          <w:highlight w:val="none"/>
        </w:rPr>
      </w:pPr>
      <w:bookmarkStart w:id="170" w:name="_Toc133335452"/>
      <w:r>
        <w:rPr>
          <w:highlight w:val="none"/>
        </w:rPr>
        <w:t>9.5.6 风淋室、货淋室</w:t>
      </w:r>
      <w:bookmarkEnd w:id="170"/>
    </w:p>
    <w:p>
      <w:pPr>
        <w:rPr>
          <w:highlight w:val="none"/>
        </w:rPr>
      </w:pPr>
      <w:r>
        <w:rPr>
          <w:highlight w:val="none"/>
        </w:rPr>
        <w:t>9.5.6.1风淋室应依据工艺生产区域环境、工艺需求、人员进出需求设计，货淋室需要与AGV设备联动时预留通讯接口。</w:t>
      </w:r>
    </w:p>
    <w:p>
      <w:pPr>
        <w:rPr>
          <w:highlight w:val="none"/>
        </w:rPr>
      </w:pPr>
      <w:r>
        <w:rPr>
          <w:highlight w:val="none"/>
        </w:rPr>
        <w:t>9.5.6.2风淋室采用全自动控制运行，两面配置快速卷帘门及防撞柱，双门电子互锁，红外感应，自动吹淋，带报警功能和语音提示功能，室内设有PLC控制面板，风淋时间0~90s可调。</w:t>
      </w:r>
    </w:p>
    <w:p>
      <w:pPr>
        <w:rPr>
          <w:highlight w:val="none"/>
        </w:rPr>
      </w:pPr>
      <w:r>
        <w:rPr>
          <w:highlight w:val="none"/>
        </w:rPr>
        <w:t>9.5.6.3风淋室外部材质与墙板一致，内部采用304不锈钢，不锈钢板厚≥1.2mm，门采用不锈钢整体门。</w:t>
      </w:r>
    </w:p>
    <w:p>
      <w:pPr>
        <w:rPr>
          <w:highlight w:val="none"/>
        </w:rPr>
      </w:pPr>
      <w:r>
        <w:rPr>
          <w:highlight w:val="none"/>
        </w:rPr>
        <w:t>9.5.6.4采用无隔板高效过滤器，过滤效率不低于99.99%；喷嘴采用多角度可调不锈钢喷嘴；采用大风量低噪音风机。</w:t>
      </w:r>
    </w:p>
    <w:p>
      <w:pPr>
        <w:rPr>
          <w:highlight w:val="none"/>
        </w:rPr>
      </w:pPr>
      <w:r>
        <w:rPr>
          <w:highlight w:val="none"/>
        </w:rPr>
        <w:t>9.5.6.5风淋门外观需求：</w:t>
      </w:r>
    </w:p>
    <w:p>
      <w:pPr>
        <w:numPr>
          <w:ilvl w:val="0"/>
          <w:numId w:val="63"/>
        </w:numPr>
        <w:spacing w:line="360" w:lineRule="auto"/>
        <w:ind w:left="0" w:firstLine="0"/>
        <w:rPr>
          <w:highlight w:val="none"/>
        </w:rPr>
      </w:pPr>
      <w:r>
        <w:rPr>
          <w:highlight w:val="none"/>
        </w:rPr>
        <w:t>风淋内腔表面及喷嘴采用全不锈钢制作，外表面采用铝合金，表面无明显划痕，易清洁。</w:t>
      </w:r>
    </w:p>
    <w:p>
      <w:pPr>
        <w:numPr>
          <w:ilvl w:val="0"/>
          <w:numId w:val="63"/>
        </w:numPr>
        <w:spacing w:line="360" w:lineRule="auto"/>
        <w:rPr>
          <w:highlight w:val="none"/>
        </w:rPr>
      </w:pPr>
      <w:r>
        <w:rPr>
          <w:highlight w:val="none"/>
        </w:rPr>
        <w:t>全部风淋采用内嵌式安装，四周打胶包边严密且美观，满足参观需求。</w:t>
      </w:r>
    </w:p>
    <w:p>
      <w:pPr>
        <w:rPr>
          <w:highlight w:val="none"/>
        </w:rPr>
      </w:pPr>
      <w:r>
        <w:rPr>
          <w:highlight w:val="none"/>
        </w:rPr>
        <w:t>9.5.6.6风淋门参数要求:</w:t>
      </w:r>
    </w:p>
    <w:p>
      <w:pPr>
        <w:numPr>
          <w:ilvl w:val="0"/>
          <w:numId w:val="64"/>
        </w:numPr>
        <w:spacing w:line="360" w:lineRule="auto"/>
        <w:rPr>
          <w:highlight w:val="none"/>
        </w:rPr>
      </w:pPr>
      <w:r>
        <w:rPr>
          <w:highlight w:val="none"/>
        </w:rPr>
        <w:t>吹淋时间保证在0秒-99秒可调；</w:t>
      </w:r>
    </w:p>
    <w:p>
      <w:pPr>
        <w:numPr>
          <w:ilvl w:val="0"/>
          <w:numId w:val="64"/>
        </w:numPr>
        <w:spacing w:line="360" w:lineRule="auto"/>
        <w:rPr>
          <w:highlight w:val="none"/>
        </w:rPr>
      </w:pPr>
      <w:r>
        <w:rPr>
          <w:highlight w:val="none"/>
        </w:rPr>
        <w:t>风淋室其初始风速不应低于25m/s，最佳28m/s；</w:t>
      </w:r>
    </w:p>
    <w:p>
      <w:pPr>
        <w:numPr>
          <w:ilvl w:val="0"/>
          <w:numId w:val="64"/>
        </w:numPr>
        <w:spacing w:line="360" w:lineRule="auto"/>
        <w:rPr>
          <w:highlight w:val="none"/>
        </w:rPr>
      </w:pPr>
      <w:r>
        <w:rPr>
          <w:highlight w:val="none"/>
        </w:rPr>
        <w:t>噪声要求离风淋1m远处，噪音≤75分贝；</w:t>
      </w:r>
    </w:p>
    <w:p>
      <w:pPr>
        <w:numPr>
          <w:ilvl w:val="0"/>
          <w:numId w:val="64"/>
        </w:numPr>
        <w:spacing w:line="360" w:lineRule="auto"/>
        <w:rPr>
          <w:highlight w:val="none"/>
        </w:rPr>
      </w:pPr>
      <w:r>
        <w:rPr>
          <w:highlight w:val="none"/>
        </w:rPr>
        <w:t>风淋室吹淋角度保证在30度－60度；</w:t>
      </w:r>
    </w:p>
    <w:p>
      <w:pPr>
        <w:numPr>
          <w:ilvl w:val="0"/>
          <w:numId w:val="64"/>
        </w:numPr>
        <w:spacing w:line="360" w:lineRule="auto"/>
        <w:rPr>
          <w:highlight w:val="none"/>
        </w:rPr>
      </w:pPr>
      <w:r>
        <w:rPr>
          <w:highlight w:val="none"/>
        </w:rPr>
        <w:t>采用全自动控制运行，双门电子互锁，感应自动吹淋，吹淋时双门锁闭；照明系统。</w:t>
      </w:r>
    </w:p>
    <w:p>
      <w:pPr>
        <w:pStyle w:val="4"/>
        <w:rPr>
          <w:highlight w:val="none"/>
        </w:rPr>
      </w:pPr>
      <w:bookmarkStart w:id="171" w:name="_Toc133335453"/>
      <w:r>
        <w:rPr>
          <w:highlight w:val="none"/>
        </w:rPr>
        <w:t>9.5.7装修装饰不合格示例：</w:t>
      </w:r>
      <w:bookmarkEnd w:id="171"/>
    </w:p>
    <w:p>
      <w:pPr>
        <w:rPr>
          <w:highlight w:val="none"/>
        </w:rPr>
      </w:pPr>
      <w:r>
        <w:rPr>
          <w:highlight w:val="none"/>
        </w:rPr>
        <w:t>下表为门窗施工不合格的案例，制作过程中要避免以下问题（不限于以下问题）。</w:t>
      </w:r>
    </w:p>
    <w:tbl>
      <w:tblPr>
        <w:tblStyle w:val="16"/>
        <w:tblW w:w="9497" w:type="dxa"/>
        <w:tblInd w:w="108" w:type="dxa"/>
        <w:tblLayout w:type="fixed"/>
        <w:tblCellMar>
          <w:top w:w="0" w:type="dxa"/>
          <w:left w:w="108" w:type="dxa"/>
          <w:bottom w:w="0" w:type="dxa"/>
          <w:right w:w="108" w:type="dxa"/>
        </w:tblCellMar>
      </w:tblPr>
      <w:tblGrid>
        <w:gridCol w:w="708"/>
        <w:gridCol w:w="3544"/>
        <w:gridCol w:w="2126"/>
        <w:gridCol w:w="2127"/>
        <w:gridCol w:w="992"/>
      </w:tblGrid>
      <w:tr>
        <w:tblPrEx>
          <w:tblCellMar>
            <w:top w:w="0" w:type="dxa"/>
            <w:left w:w="108" w:type="dxa"/>
            <w:bottom w:w="0" w:type="dxa"/>
            <w:right w:w="108" w:type="dxa"/>
          </w:tblCellMar>
        </w:tblPrEx>
        <w:trPr>
          <w:tblHeader/>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序号</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highlight w:val="none"/>
              </w:rPr>
            </w:pPr>
            <w:r>
              <w:rPr>
                <w:highlight w:val="none"/>
              </w:rPr>
              <w:t>不合格示例</w:t>
            </w: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highlight w:val="none"/>
              </w:rPr>
            </w:pPr>
            <w:r>
              <w:rPr>
                <w:highlight w:val="none"/>
              </w:rPr>
              <w:t>不合格说明</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highlight w:val="none"/>
              </w:rPr>
            </w:pPr>
            <w:r>
              <w:rPr>
                <w:highlight w:val="none"/>
              </w:rPr>
              <w:t>要求</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highlight w:val="none"/>
              </w:rPr>
            </w:pPr>
            <w:r>
              <w:rPr>
                <w:highlight w:val="none"/>
              </w:rPr>
              <w:t>备注</w:t>
            </w:r>
          </w:p>
        </w:tc>
      </w:tr>
      <w:tr>
        <w:tblPrEx>
          <w:tblCellMar>
            <w:top w:w="0" w:type="dxa"/>
            <w:left w:w="108" w:type="dxa"/>
            <w:bottom w:w="0" w:type="dxa"/>
            <w:right w:w="108" w:type="dxa"/>
          </w:tblCellMar>
        </w:tblPrEx>
        <w:trPr>
          <w:trHeight w:val="2831"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1</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left"/>
              <w:rPr>
                <w:highlight w:val="none"/>
              </w:rPr>
            </w:pPr>
            <w:bookmarkStart w:id="172" w:name="OLE_LINK1"/>
            <w:r>
              <w:rPr>
                <w:highlight w:val="none"/>
              </w:rPr>
              <mc:AlternateContent>
                <mc:Choice Requires="wps">
                  <w:drawing>
                    <wp:anchor distT="0" distB="0" distL="114300" distR="114300" simplePos="0" relativeHeight="251663360" behindDoc="0" locked="0" layoutInCell="1" allowOverlap="1">
                      <wp:simplePos x="0" y="0"/>
                      <wp:positionH relativeFrom="column">
                        <wp:posOffset>1179830</wp:posOffset>
                      </wp:positionH>
                      <wp:positionV relativeFrom="paragraph">
                        <wp:posOffset>895350</wp:posOffset>
                      </wp:positionV>
                      <wp:extent cx="657225" cy="292735"/>
                      <wp:effectExtent l="4445" t="4445" r="5080" b="7620"/>
                      <wp:wrapNone/>
                      <wp:docPr id="52" name="椭圆 52"/>
                      <wp:cNvGraphicFramePr/>
                      <a:graphic xmlns:a="http://schemas.openxmlformats.org/drawingml/2006/main">
                        <a:graphicData uri="http://schemas.microsoft.com/office/word/2010/wordprocessingShape">
                          <wps:wsp>
                            <wps:cNvSpPr/>
                            <wps:spPr>
                              <a:xfrm>
                                <a:off x="0" y="0"/>
                                <a:ext cx="657225" cy="292735"/>
                              </a:xfrm>
                              <a:prstGeom prst="ellipse">
                                <a:avLst/>
                              </a:prstGeom>
                              <a:no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92.9pt;margin-top:70.5pt;height:23.05pt;width:51.75pt;z-index:251663360;mso-width-relative:page;mso-height-relative:page;" filled="f" stroked="t" coordsize="21600,21600" o:gfxdata="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dYvz2QAAAAsBAAAPAAAAAAAAAAEAIAAAACIAAABkcnMvZG93&#10;bnJldi54bWxQSwECFAAUAAAACACHTuJAvm/V1/8BAAAIBAAADgAAAAAAAAABACAAAAAoAQAAZHJz&#10;L2Uyb0RvYy54bWxQSwUGAAAAAAYABgBZAQAAmQUAAAAA&#10;">
                      <v:fill on="f" focussize="0,0"/>
                      <v:stroke color="#FF0000" joinstyle="round"/>
                      <v:imagedata o:title=""/>
                      <o:lock v:ext="edit" aspectratio="f"/>
                      <v:textbox>
                        <w:txbxContent>
                          <w:p/>
                        </w:txbxContent>
                      </v:textbox>
                    </v:shape>
                  </w:pict>
                </mc:Fallback>
              </mc:AlternateContent>
            </w:r>
            <w:r>
              <w:rPr>
                <w:highlight w:val="none"/>
              </w:rPr>
              <mc:AlternateContent>
                <mc:Choice Requires="wps">
                  <w:drawing>
                    <wp:anchor distT="0" distB="0" distL="114300" distR="114300" simplePos="0" relativeHeight="251662336" behindDoc="0" locked="0" layoutInCell="1" allowOverlap="1">
                      <wp:simplePos x="0" y="0"/>
                      <wp:positionH relativeFrom="column">
                        <wp:posOffset>722630</wp:posOffset>
                      </wp:positionH>
                      <wp:positionV relativeFrom="paragraph">
                        <wp:posOffset>104775</wp:posOffset>
                      </wp:positionV>
                      <wp:extent cx="457200" cy="1524000"/>
                      <wp:effectExtent l="4445" t="4445" r="14605" b="14605"/>
                      <wp:wrapNone/>
                      <wp:docPr id="51" name="椭圆 51"/>
                      <wp:cNvGraphicFramePr/>
                      <a:graphic xmlns:a="http://schemas.openxmlformats.org/drawingml/2006/main">
                        <a:graphicData uri="http://schemas.microsoft.com/office/word/2010/wordprocessingShape">
                          <wps:wsp>
                            <wps:cNvSpPr/>
                            <wps:spPr>
                              <a:xfrm>
                                <a:off x="0" y="0"/>
                                <a:ext cx="457200" cy="1524000"/>
                              </a:xfrm>
                              <a:prstGeom prst="ellipse">
                                <a:avLst/>
                              </a:prstGeom>
                              <a:no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56.9pt;margin-top:8.25pt;height:120pt;width:36pt;z-index:251662336;mso-width-relative:page;mso-height-relative:page;" filled="f" stroked="t" coordsize="21600,21600" o:gfxdata="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08VMtgAAAAKAQAADwAAAAAAAAABACAAAAAiAAAAZHJzL2Rvd25y&#10;ZXYueG1sUEsBAhQAFAAAAAgAh07iQBeSYaD+AQAACQQAAA4AAAAAAAAAAQAgAAAAJwEAAGRycy9l&#10;Mm9Eb2MueG1sUEsFBgAAAAAGAAYAWQEAAJcFAAAAAA==&#10;">
                      <v:fill on="f" focussize="0,0"/>
                      <v:stroke color="#FF0000" joinstyle="round"/>
                      <v:imagedata o:title=""/>
                      <o:lock v:ext="edit" aspectratio="f"/>
                      <v:textbox>
                        <w:txbxContent>
                          <w:p/>
                        </w:txbxContent>
                      </v:textbox>
                    </v:shape>
                  </w:pict>
                </mc:Fallback>
              </mc:AlternateContent>
            </w:r>
            <w:r>
              <w:rPr>
                <w:highlight w:val="none"/>
              </w:rPr>
              <w:drawing>
                <wp:anchor distT="0" distB="0" distL="114300" distR="114300" simplePos="0" relativeHeight="251660288" behindDoc="1" locked="0" layoutInCell="1" allowOverlap="1">
                  <wp:simplePos x="0" y="0"/>
                  <wp:positionH relativeFrom="column">
                    <wp:posOffset>15875</wp:posOffset>
                  </wp:positionH>
                  <wp:positionV relativeFrom="paragraph">
                    <wp:posOffset>37465</wp:posOffset>
                  </wp:positionV>
                  <wp:extent cx="2113280" cy="1692275"/>
                  <wp:effectExtent l="0" t="0" r="1270" b="3175"/>
                  <wp:wrapNone/>
                  <wp:docPr id="19" name="图片 4" descr="fImage27733889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fImage277338896827"/>
                          <pic:cNvPicPr>
                            <a:picLocks noChangeAspect="1"/>
                          </pic:cNvPicPr>
                        </pic:nvPicPr>
                        <pic:blipFill>
                          <a:blip r:embed="rId33"/>
                          <a:stretch>
                            <a:fillRect/>
                          </a:stretch>
                        </pic:blipFill>
                        <pic:spPr>
                          <a:xfrm>
                            <a:off x="0" y="0"/>
                            <a:ext cx="2113280" cy="1692275"/>
                          </a:xfrm>
                          <a:prstGeom prst="rect">
                            <a:avLst/>
                          </a:prstGeom>
                          <a:noFill/>
                          <a:ln>
                            <a:noFill/>
                          </a:ln>
                        </pic:spPr>
                      </pic:pic>
                    </a:graphicData>
                  </a:graphic>
                </wp:anchor>
              </w:drawing>
            </w:r>
            <w:bookmarkEnd w:id="172"/>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1、门与门框活动连接面间隙太大。</w:t>
            </w:r>
          </w:p>
          <w:p>
            <w:pPr>
              <w:rPr>
                <w:highlight w:val="none"/>
              </w:rPr>
            </w:pPr>
            <w:r>
              <w:rPr>
                <w:highlight w:val="none"/>
              </w:rPr>
              <w:t>2、不密封，漏气。</w:t>
            </w:r>
          </w:p>
          <w:p>
            <w:pPr>
              <w:rPr>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1、门缝2±0.5mm。</w:t>
            </w:r>
          </w:p>
          <w:p>
            <w:pPr>
              <w:rPr>
                <w:highlight w:val="none"/>
              </w:rPr>
            </w:pPr>
            <w:r>
              <w:rPr>
                <w:highlight w:val="none"/>
              </w:rPr>
              <w:t>2、活动连接面密封良好，不漏气。</w:t>
            </w:r>
          </w:p>
          <w:p>
            <w:pPr>
              <w:rPr>
                <w:highlight w:val="none"/>
              </w:rPr>
            </w:pP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2298"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2</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drawing>
                <wp:anchor distT="0" distB="0" distL="114300" distR="114300" simplePos="0" relativeHeight="251670528" behindDoc="0" locked="0" layoutInCell="1" allowOverlap="1">
                  <wp:simplePos x="0" y="0"/>
                  <wp:positionH relativeFrom="column">
                    <wp:posOffset>81280</wp:posOffset>
                  </wp:positionH>
                  <wp:positionV relativeFrom="paragraph">
                    <wp:posOffset>59055</wp:posOffset>
                  </wp:positionV>
                  <wp:extent cx="2136775" cy="1467485"/>
                  <wp:effectExtent l="0" t="0" r="15875" b="18415"/>
                  <wp:wrapNone/>
                  <wp:docPr id="31" name="图片 5" descr="69690611129084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696906111290845148"/>
                          <pic:cNvPicPr>
                            <a:picLocks noChangeAspect="1"/>
                          </pic:cNvPicPr>
                        </pic:nvPicPr>
                        <pic:blipFill>
                          <a:blip r:embed="rId34"/>
                          <a:stretch>
                            <a:fillRect/>
                          </a:stretch>
                        </pic:blipFill>
                        <pic:spPr>
                          <a:xfrm>
                            <a:off x="0" y="0"/>
                            <a:ext cx="2136775" cy="1467485"/>
                          </a:xfrm>
                          <a:prstGeom prst="rect">
                            <a:avLst/>
                          </a:prstGeom>
                          <a:noFill/>
                          <a:ln>
                            <a:noFill/>
                          </a:ln>
                        </pic:spPr>
                      </pic:pic>
                    </a:graphicData>
                  </a:graphic>
                </wp:anchor>
              </w:drawing>
            </w:r>
          </w:p>
          <w:p>
            <w:pPr>
              <w:rPr>
                <w:highlight w:val="none"/>
              </w:rPr>
            </w:pPr>
            <w:r>
              <w:rPr>
                <w:highlight w:val="none"/>
              </w:rPr>
              <mc:AlternateContent>
                <mc:Choice Requires="wps">
                  <w:drawing>
                    <wp:anchor distT="0" distB="0" distL="114300" distR="114300" simplePos="0" relativeHeight="251672576" behindDoc="0" locked="0" layoutInCell="1" allowOverlap="1">
                      <wp:simplePos x="0" y="0"/>
                      <wp:positionH relativeFrom="column">
                        <wp:posOffset>763905</wp:posOffset>
                      </wp:positionH>
                      <wp:positionV relativeFrom="paragraph">
                        <wp:posOffset>35560</wp:posOffset>
                      </wp:positionV>
                      <wp:extent cx="523875" cy="1190625"/>
                      <wp:effectExtent l="34925" t="0" r="50800" b="0"/>
                      <wp:wrapNone/>
                      <wp:docPr id="45" name="椭圆 45"/>
                      <wp:cNvGraphicFramePr/>
                      <a:graphic xmlns:a="http://schemas.openxmlformats.org/drawingml/2006/main">
                        <a:graphicData uri="http://schemas.microsoft.com/office/word/2010/wordprocessingShape">
                          <wps:wsp>
                            <wps:cNvSpPr/>
                            <wps:spPr>
                              <a:xfrm rot="840000">
                                <a:off x="0" y="0"/>
                                <a:ext cx="523875" cy="1190625"/>
                              </a:xfrm>
                              <a:prstGeom prst="ellipse">
                                <a:avLst/>
                              </a:prstGeom>
                              <a:no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60.15pt;margin-top:2.8pt;height:93.75pt;width:41.25pt;rotation:917504f;z-index:251672576;mso-width-relative:page;mso-height-relative:page;" filled="f" stroked="t" coordsize="21600,21600" o:gfxdata="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8VlPr1wAAAAkBAAAPAAAAAAAAAAEAIAAAACIA&#10;AABkcnMvZG93bnJldi54bWxQSwECFAAUAAAACACHTuJAeCK9uQoCAAAWBAAADgAAAAAAAAABACAA&#10;AAAmAQAAZHJzL2Uyb0RvYy54bWxQSwUGAAAAAAYABgBZAQAAogUAAAAA&#10;">
                      <v:fill on="f" focussize="0,0"/>
                      <v:stroke color="#FF0000" joinstyle="round"/>
                      <v:imagedata o:title=""/>
                      <o:lock v:ext="edit" aspectratio="f"/>
                      <v:textbox>
                        <w:txbxContent>
                          <w:p/>
                        </w:txbxContent>
                      </v:textbox>
                    </v:shape>
                  </w:pict>
                </mc:Fallback>
              </mc:AlternateContent>
            </w:r>
          </w:p>
          <w:p>
            <w:pPr>
              <w:rPr>
                <w:highlight w:val="none"/>
              </w:rPr>
            </w:pPr>
          </w:p>
          <w:p>
            <w:pPr>
              <w:rPr>
                <w:highlight w:val="none"/>
              </w:rPr>
            </w:pPr>
          </w:p>
          <w:p>
            <w:pPr>
              <w:rPr>
                <w:highlight w:val="none"/>
              </w:rPr>
            </w:pP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1、打胶密封不美观，不满足参观要求。</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1、精细化施工及管理，各工序按SOP执行。</w:t>
            </w:r>
          </w:p>
          <w:p>
            <w:pPr>
              <w:rPr>
                <w:highlight w:val="none"/>
              </w:rPr>
            </w:pPr>
            <w:r>
              <w:rPr>
                <w:highlight w:val="none"/>
              </w:rPr>
              <w:t>2、施工完成后干净、整洁。</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2606"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3</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mc:AlternateContent>
                <mc:Choice Requires="wps">
                  <w:drawing>
                    <wp:anchor distT="0" distB="0" distL="114300" distR="114300" simplePos="0" relativeHeight="251673600" behindDoc="0" locked="0" layoutInCell="1" allowOverlap="1">
                      <wp:simplePos x="0" y="0"/>
                      <wp:positionH relativeFrom="column">
                        <wp:posOffset>868680</wp:posOffset>
                      </wp:positionH>
                      <wp:positionV relativeFrom="paragraph">
                        <wp:posOffset>261620</wp:posOffset>
                      </wp:positionV>
                      <wp:extent cx="388620" cy="1333500"/>
                      <wp:effectExtent l="29210" t="0" r="39370" b="2540"/>
                      <wp:wrapNone/>
                      <wp:docPr id="44" name="椭圆 44"/>
                      <wp:cNvGraphicFramePr/>
                      <a:graphic xmlns:a="http://schemas.openxmlformats.org/drawingml/2006/main">
                        <a:graphicData uri="http://schemas.microsoft.com/office/word/2010/wordprocessingShape">
                          <wps:wsp>
                            <wps:cNvSpPr/>
                            <wps:spPr>
                              <a:xfrm rot="540000">
                                <a:off x="0" y="0"/>
                                <a:ext cx="388620" cy="1333500"/>
                              </a:xfrm>
                              <a:prstGeom prst="ellipse">
                                <a:avLst/>
                              </a:prstGeom>
                              <a:no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68.4pt;margin-top:20.6pt;height:105pt;width:30.6pt;rotation:589824f;z-index:251673600;mso-width-relative:page;mso-height-relative:page;" filled="f" stroked="t" coordsize="21600,21600" o:gfxdata="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iMce2AAAAAoBAAAPAAAAAAAAAAEAIAAAACIA&#10;AABkcnMvZG93bnJldi54bWxQSwECFAAUAAAACACHTuJA0SgXxQkCAAAWBAAADgAAAAAAAAABACAA&#10;AAAnAQAAZHJzL2Uyb0RvYy54bWxQSwUGAAAAAAYABgBZAQAAogUAAAAA&#10;">
                      <v:fill on="f" focussize="0,0"/>
                      <v:stroke color="#FF0000" joinstyle="round"/>
                      <v:imagedata o:title=""/>
                      <o:lock v:ext="edit" aspectratio="f"/>
                      <v:textbox>
                        <w:txbxContent>
                          <w:p/>
                        </w:txbxContent>
                      </v:textbox>
                    </v:shape>
                  </w:pict>
                </mc:Fallback>
              </mc:AlternateContent>
            </w:r>
            <w:r>
              <w:rPr>
                <w:highlight w:val="none"/>
              </w:rPr>
              <w:drawing>
                <wp:anchor distT="0" distB="0" distL="114300" distR="114300" simplePos="0" relativeHeight="251674624" behindDoc="0" locked="0" layoutInCell="1" allowOverlap="1">
                  <wp:simplePos x="0" y="0"/>
                  <wp:positionH relativeFrom="column">
                    <wp:posOffset>83185</wp:posOffset>
                  </wp:positionH>
                  <wp:positionV relativeFrom="paragraph">
                    <wp:posOffset>74295</wp:posOffset>
                  </wp:positionV>
                  <wp:extent cx="2114550" cy="1755775"/>
                  <wp:effectExtent l="0" t="0" r="0" b="15875"/>
                  <wp:wrapNone/>
                  <wp:docPr id="20" name="图片 8" descr="64164118847603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641641188476038114"/>
                          <pic:cNvPicPr>
                            <a:picLocks noChangeAspect="1"/>
                          </pic:cNvPicPr>
                        </pic:nvPicPr>
                        <pic:blipFill>
                          <a:blip r:embed="rId35"/>
                          <a:stretch>
                            <a:fillRect/>
                          </a:stretch>
                        </pic:blipFill>
                        <pic:spPr>
                          <a:xfrm>
                            <a:off x="0" y="0"/>
                            <a:ext cx="2114550" cy="1755775"/>
                          </a:xfrm>
                          <a:prstGeom prst="rect">
                            <a:avLst/>
                          </a:prstGeom>
                          <a:noFill/>
                          <a:ln>
                            <a:noFill/>
                          </a:ln>
                        </pic:spPr>
                      </pic:pic>
                    </a:graphicData>
                  </a:graphic>
                </wp:anchor>
              </w:drawing>
            </w:r>
          </w:p>
          <w:p>
            <w:pPr>
              <w:rPr>
                <w:highlight w:val="none"/>
              </w:rPr>
            </w:pPr>
          </w:p>
          <w:p>
            <w:pPr>
              <w:rPr>
                <w:highlight w:val="none"/>
              </w:rPr>
            </w:pPr>
          </w:p>
          <w:p>
            <w:pPr>
              <w:rPr>
                <w:highlight w:val="none"/>
              </w:rPr>
            </w:pPr>
          </w:p>
          <w:p>
            <w:pPr>
              <w:rPr>
                <w:highlight w:val="none"/>
              </w:rPr>
            </w:pPr>
          </w:p>
          <w:p>
            <w:pPr>
              <w:rPr>
                <w:highlight w:val="none"/>
              </w:rPr>
            </w:pP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1、密封条损坏脱落。</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1、选用合适、可行的密封方式，达到使用要求。</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1805"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4</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drawing>
                <wp:anchor distT="0" distB="0" distL="114300" distR="114300" simplePos="0" relativeHeight="251675648" behindDoc="0" locked="0" layoutInCell="1" allowOverlap="1">
                  <wp:simplePos x="0" y="0"/>
                  <wp:positionH relativeFrom="column">
                    <wp:posOffset>64135</wp:posOffset>
                  </wp:positionH>
                  <wp:positionV relativeFrom="paragraph">
                    <wp:posOffset>64770</wp:posOffset>
                  </wp:positionV>
                  <wp:extent cx="2090420" cy="1717675"/>
                  <wp:effectExtent l="0" t="0" r="5080" b="15875"/>
                  <wp:wrapNone/>
                  <wp:docPr id="25" name="图片 9" descr="66318388054492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663183880544926969"/>
                          <pic:cNvPicPr>
                            <a:picLocks noChangeAspect="1"/>
                          </pic:cNvPicPr>
                        </pic:nvPicPr>
                        <pic:blipFill>
                          <a:blip r:embed="rId36"/>
                          <a:stretch>
                            <a:fillRect/>
                          </a:stretch>
                        </pic:blipFill>
                        <pic:spPr>
                          <a:xfrm>
                            <a:off x="0" y="0"/>
                            <a:ext cx="2090420" cy="1717675"/>
                          </a:xfrm>
                          <a:prstGeom prst="rect">
                            <a:avLst/>
                          </a:prstGeom>
                          <a:noFill/>
                          <a:ln>
                            <a:noFill/>
                          </a:ln>
                        </pic:spPr>
                      </pic:pic>
                    </a:graphicData>
                  </a:graphic>
                </wp:anchor>
              </w:drawing>
            </w:r>
          </w:p>
          <w:p>
            <w:pPr>
              <w:rPr>
                <w:highlight w:val="none"/>
              </w:rPr>
            </w:pPr>
            <w:r>
              <w:rPr>
                <w:highlight w:val="none"/>
              </w:rPr>
              <mc:AlternateContent>
                <mc:Choice Requires="wps">
                  <w:drawing>
                    <wp:anchor distT="0" distB="0" distL="114300" distR="114300" simplePos="0" relativeHeight="251677696" behindDoc="0" locked="0" layoutInCell="1" allowOverlap="1">
                      <wp:simplePos x="0" y="0"/>
                      <wp:positionH relativeFrom="column">
                        <wp:posOffset>959485</wp:posOffset>
                      </wp:positionH>
                      <wp:positionV relativeFrom="paragraph">
                        <wp:posOffset>180975</wp:posOffset>
                      </wp:positionV>
                      <wp:extent cx="340995" cy="277495"/>
                      <wp:effectExtent l="4445" t="4445" r="16510" b="22860"/>
                      <wp:wrapNone/>
                      <wp:docPr id="40" name="椭圆 40"/>
                      <wp:cNvGraphicFramePr/>
                      <a:graphic xmlns:a="http://schemas.openxmlformats.org/drawingml/2006/main">
                        <a:graphicData uri="http://schemas.microsoft.com/office/word/2010/wordprocessingShape">
                          <wps:wsp>
                            <wps:cNvSpPr/>
                            <wps:spPr>
                              <a:xfrm>
                                <a:off x="0" y="0"/>
                                <a:ext cx="340995" cy="277495"/>
                              </a:xfrm>
                              <a:prstGeom prst="ellipse">
                                <a:avLst/>
                              </a:prstGeom>
                              <a:noFill/>
                              <a:ln w="9525" cap="flat" cmpd="sng">
                                <a:solidFill>
                                  <a:srgbClr val="FF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5.55pt;margin-top:14.25pt;height:21.85pt;width:26.85pt;z-index:251677696;mso-width-relative:page;mso-height-relative:page;" filled="f" stroked="t" coordsize="21600,21600" o:gfxdata="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WU1ktcAAAAJAQAADwAAAAAAAAABACAAAAAiAAAAZHJzL2Rvd25yZXYueG1s&#10;UEsBAhQAFAAAAAgAh07iQA7pLvb5AQAA/QMAAA4AAAAAAAAAAQAgAAAAJgEAAGRycy9lMm9Eb2Mu&#10;eG1sUEsFBgAAAAAGAAYAWQEAAJEFAAAAAA==&#10;">
                      <v:fill on="f" focussize="0,0"/>
                      <v:stroke color="#FF0000" joinstyle="round"/>
                      <v:imagedata o:title=""/>
                      <o:lock v:ext="edit" aspectratio="f"/>
                    </v:shape>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1676672" behindDoc="0" locked="0" layoutInCell="1" allowOverlap="1">
                      <wp:simplePos x="0" y="0"/>
                      <wp:positionH relativeFrom="column">
                        <wp:posOffset>1007110</wp:posOffset>
                      </wp:positionH>
                      <wp:positionV relativeFrom="paragraph">
                        <wp:posOffset>111125</wp:posOffset>
                      </wp:positionV>
                      <wp:extent cx="340995" cy="277495"/>
                      <wp:effectExtent l="4445" t="4445" r="16510" b="22860"/>
                      <wp:wrapNone/>
                      <wp:docPr id="38" name="椭圆 38"/>
                      <wp:cNvGraphicFramePr/>
                      <a:graphic xmlns:a="http://schemas.openxmlformats.org/drawingml/2006/main">
                        <a:graphicData uri="http://schemas.microsoft.com/office/word/2010/wordprocessingShape">
                          <wps:wsp>
                            <wps:cNvSpPr/>
                            <wps:spPr>
                              <a:xfrm>
                                <a:off x="0" y="0"/>
                                <a:ext cx="340995" cy="277495"/>
                              </a:xfrm>
                              <a:prstGeom prst="ellipse">
                                <a:avLst/>
                              </a:prstGeom>
                              <a:noFill/>
                              <a:ln w="9525" cap="flat" cmpd="sng">
                                <a:solidFill>
                                  <a:srgbClr val="FF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9.3pt;margin-top:8.75pt;height:21.85pt;width:26.85pt;z-index:251676672;mso-width-relative:page;mso-height-relative:page;" filled="f" stroked="t" coordsize="21600,21600" o:gfxdata="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kz952AAAAAkBAAAPAAAAAAAAAAEAIAAAACIAAABkcnMvZG93bnJldi54&#10;bWxQSwECFAAUAAAACACHTuJAuSrmDfoBAAD9AwAADgAAAAAAAAABACAAAAAnAQAAZHJzL2Uyb0Rv&#10;Yy54bWxQSwUGAAAAAAYABgBZAQAAkwUAAAAA&#10;">
                      <v:fill on="f" focussize="0,0"/>
                      <v:stroke color="#FF0000" joinstyle="round"/>
                      <v:imagedata o:title=""/>
                      <o:lock v:ext="edit" aspectratio="f"/>
                    </v:shape>
                  </w:pict>
                </mc:Fallback>
              </mc:AlternateContent>
            </w:r>
          </w:p>
          <w:p>
            <w:pPr>
              <w:rPr>
                <w:highlight w:val="none"/>
              </w:rPr>
            </w:pPr>
          </w:p>
          <w:p>
            <w:pPr>
              <w:rPr>
                <w:highlight w:val="none"/>
              </w:rPr>
            </w:pP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1、门框孔位未进行密封装饰处理。</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1、精细化施工及管理，各工序按SOP执行。</w:t>
            </w:r>
          </w:p>
          <w:p>
            <w:pPr>
              <w:rPr>
                <w:highlight w:val="none"/>
              </w:rPr>
            </w:pPr>
            <w:r>
              <w:rPr>
                <w:highlight w:val="none"/>
              </w:rPr>
              <w:t>2、密封完整美观，满足使用和参观需求。</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2914"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5</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drawing>
                <wp:anchor distT="0" distB="0" distL="114300" distR="114300" simplePos="0" relativeHeight="251678720" behindDoc="0" locked="0" layoutInCell="1" allowOverlap="1">
                  <wp:simplePos x="0" y="0"/>
                  <wp:positionH relativeFrom="column">
                    <wp:posOffset>84455</wp:posOffset>
                  </wp:positionH>
                  <wp:positionV relativeFrom="paragraph">
                    <wp:posOffset>53975</wp:posOffset>
                  </wp:positionV>
                  <wp:extent cx="2102485" cy="1751965"/>
                  <wp:effectExtent l="0" t="0" r="12065" b="635"/>
                  <wp:wrapNone/>
                  <wp:docPr id="33" name="图片 12" descr="33064027297967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330640272979674059"/>
                          <pic:cNvPicPr>
                            <a:picLocks noChangeAspect="1"/>
                          </pic:cNvPicPr>
                        </pic:nvPicPr>
                        <pic:blipFill>
                          <a:blip r:embed="rId37"/>
                          <a:stretch>
                            <a:fillRect/>
                          </a:stretch>
                        </pic:blipFill>
                        <pic:spPr>
                          <a:xfrm>
                            <a:off x="0" y="0"/>
                            <a:ext cx="2102485" cy="1751965"/>
                          </a:xfrm>
                          <a:prstGeom prst="rect">
                            <a:avLst/>
                          </a:prstGeom>
                          <a:noFill/>
                          <a:ln>
                            <a:noFill/>
                          </a:ln>
                        </pic:spPr>
                      </pic:pic>
                    </a:graphicData>
                  </a:graphic>
                </wp:anchor>
              </w:drawing>
            </w:r>
          </w:p>
          <w:p>
            <w:pPr>
              <w:rPr>
                <w:highlight w:val="none"/>
              </w:rPr>
            </w:pPr>
          </w:p>
          <w:p>
            <w:pPr>
              <w:rPr>
                <w:highlight w:val="none"/>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832485</wp:posOffset>
                      </wp:positionH>
                      <wp:positionV relativeFrom="paragraph">
                        <wp:posOffset>285750</wp:posOffset>
                      </wp:positionV>
                      <wp:extent cx="444500" cy="372745"/>
                      <wp:effectExtent l="4445" t="4445" r="8255" b="22860"/>
                      <wp:wrapNone/>
                      <wp:docPr id="42" name="椭圆 42"/>
                      <wp:cNvGraphicFramePr/>
                      <a:graphic xmlns:a="http://schemas.openxmlformats.org/drawingml/2006/main">
                        <a:graphicData uri="http://schemas.microsoft.com/office/word/2010/wordprocessingShape">
                          <wps:wsp>
                            <wps:cNvSpPr/>
                            <wps:spPr>
                              <a:xfrm>
                                <a:off x="0" y="0"/>
                                <a:ext cx="444500" cy="372745"/>
                              </a:xfrm>
                              <a:prstGeom prst="ellipse">
                                <a:avLst/>
                              </a:prstGeom>
                              <a:noFill/>
                              <a:ln w="9525" cap="flat" cmpd="sng">
                                <a:solidFill>
                                  <a:srgbClr val="FF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5.55pt;margin-top:22.5pt;height:29.35pt;width:35pt;z-index:251679744;mso-width-relative:page;mso-height-relative:page;" filled="f" stroked="t" coordsize="21600,21600" o:gfxdata="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LZ3DfXAAAACgEAAA8AAAAAAAAAAQAgAAAAIgAAAGRycy9kb3ducmV2Lnht&#10;bFBLAQIUABQAAAAIAIdO4kBXksA3+gEAAP0DAAAOAAAAAAAAAAEAIAAAACYBAABkcnMvZTJvRG9j&#10;LnhtbFBLBQYAAAAABgAGAFkBAACSBQAAAAA=&#10;">
                      <v:fill on="f" focussize="0,0"/>
                      <v:stroke color="#FF0000" joinstyle="round"/>
                      <v:imagedata o:title=""/>
                      <o:lock v:ext="edit" aspectratio="f"/>
                    </v:shape>
                  </w:pict>
                </mc:Fallback>
              </mc:AlternateContent>
            </w:r>
          </w:p>
          <w:p>
            <w:pPr>
              <w:rPr>
                <w:highlight w:val="none"/>
              </w:rPr>
            </w:pPr>
          </w:p>
          <w:p>
            <w:pPr>
              <w:rPr>
                <w:highlight w:val="none"/>
              </w:rPr>
            </w:pP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1、门框固定螺丝松动。</w:t>
            </w:r>
          </w:p>
          <w:p>
            <w:pPr>
              <w:rPr>
                <w:highlight w:val="none"/>
              </w:rPr>
            </w:pP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1、选用合适的螺钉，保证不锈钢门表面整齐美观，固定可靠。</w:t>
            </w:r>
          </w:p>
          <w:p>
            <w:pPr>
              <w:rPr>
                <w:highlight w:val="none"/>
              </w:rPr>
            </w:pP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2695"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6</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mc:AlternateContent>
                <mc:Choice Requires="wps">
                  <w:drawing>
                    <wp:anchor distT="0" distB="0" distL="114300" distR="114300" simplePos="0" relativeHeight="251681792" behindDoc="0" locked="0" layoutInCell="1" allowOverlap="1">
                      <wp:simplePos x="0" y="0"/>
                      <wp:positionH relativeFrom="column">
                        <wp:posOffset>817245</wp:posOffset>
                      </wp:positionH>
                      <wp:positionV relativeFrom="paragraph">
                        <wp:posOffset>251460</wp:posOffset>
                      </wp:positionV>
                      <wp:extent cx="436245" cy="396875"/>
                      <wp:effectExtent l="4445" t="4445" r="16510" b="17780"/>
                      <wp:wrapNone/>
                      <wp:docPr id="64" name="椭圆 64"/>
                      <wp:cNvGraphicFramePr/>
                      <a:graphic xmlns:a="http://schemas.openxmlformats.org/drawingml/2006/main">
                        <a:graphicData uri="http://schemas.microsoft.com/office/word/2010/wordprocessingShape">
                          <wps:wsp>
                            <wps:cNvSpPr/>
                            <wps:spPr>
                              <a:xfrm>
                                <a:off x="0" y="0"/>
                                <a:ext cx="436245" cy="396875"/>
                              </a:xfrm>
                              <a:prstGeom prst="ellipse">
                                <a:avLst/>
                              </a:prstGeom>
                              <a:noFill/>
                              <a:ln w="9525" cap="flat" cmpd="sng">
                                <a:solidFill>
                                  <a:srgbClr val="FF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64.35pt;margin-top:19.8pt;height:31.25pt;width:34.35pt;z-index:251681792;mso-width-relative:page;mso-height-relative:page;" filled="f" stroked="t" coordsize="21600,21600" o:gfxdata="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BA8F2gAAAAoBAAAPAAAAAAAAAAEAIAAAACIAAABkcnMvZG93bnJl&#10;di54bWxQSwECFAAUAAAACACHTuJAoxLhSfsBAAD9AwAADgAAAAAAAAABACAAAAApAQAAZHJzL2Uy&#10;b0RvYy54bWxQSwUGAAAAAAYABgBZAQAAlgUAAAAA&#10;">
                      <v:fill on="f" focussize="0,0"/>
                      <v:stroke color="#FF0000" joinstyle="round"/>
                      <v:imagedata o:title=""/>
                      <o:lock v:ext="edit" aspectratio="f"/>
                    </v:shape>
                  </w:pict>
                </mc:Fallback>
              </mc:AlternateContent>
            </w:r>
            <w:r>
              <w:rPr>
                <w:highlight w:val="none"/>
              </w:rPr>
              <w:drawing>
                <wp:anchor distT="0" distB="0" distL="114300" distR="114300" simplePos="0" relativeHeight="251680768" behindDoc="0" locked="0" layoutInCell="1" allowOverlap="1">
                  <wp:simplePos x="0" y="0"/>
                  <wp:positionH relativeFrom="column">
                    <wp:posOffset>64770</wp:posOffset>
                  </wp:positionH>
                  <wp:positionV relativeFrom="paragraph">
                    <wp:posOffset>48895</wp:posOffset>
                  </wp:positionV>
                  <wp:extent cx="2138680" cy="1612265"/>
                  <wp:effectExtent l="0" t="0" r="13970" b="6985"/>
                  <wp:wrapNone/>
                  <wp:docPr id="55" name="图片 15" descr="91102422724124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descr="911024227241249603"/>
                          <pic:cNvPicPr>
                            <a:picLocks noChangeAspect="1"/>
                          </pic:cNvPicPr>
                        </pic:nvPicPr>
                        <pic:blipFill>
                          <a:blip r:embed="rId38"/>
                          <a:stretch>
                            <a:fillRect/>
                          </a:stretch>
                        </pic:blipFill>
                        <pic:spPr>
                          <a:xfrm>
                            <a:off x="0" y="0"/>
                            <a:ext cx="2138680" cy="1612265"/>
                          </a:xfrm>
                          <a:prstGeom prst="rect">
                            <a:avLst/>
                          </a:prstGeom>
                          <a:noFill/>
                          <a:ln>
                            <a:noFill/>
                          </a:ln>
                        </pic:spPr>
                      </pic:pic>
                    </a:graphicData>
                  </a:graphic>
                </wp:anchor>
              </w:drawing>
            </w:r>
          </w:p>
          <w:p>
            <w:pPr>
              <w:rPr>
                <w:highlight w:val="none"/>
              </w:rPr>
            </w:pPr>
          </w:p>
          <w:p>
            <w:pPr>
              <w:rPr>
                <w:highlight w:val="none"/>
              </w:rPr>
            </w:pPr>
          </w:p>
          <w:p>
            <w:pPr>
              <w:rPr>
                <w:highlight w:val="none"/>
              </w:rPr>
            </w:pPr>
          </w:p>
          <w:p>
            <w:pPr>
              <w:rPr>
                <w:highlight w:val="none"/>
              </w:rPr>
            </w:pP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1、门框包边固定方式不合适。</w:t>
            </w:r>
          </w:p>
          <w:p>
            <w:pPr>
              <w:rPr>
                <w:highlight w:val="none"/>
              </w:rPr>
            </w:pPr>
            <w:r>
              <w:rPr>
                <w:highlight w:val="none"/>
              </w:rPr>
              <w:t>2、门框包边拼接处有明显扭翘、变形情况。</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1、制订合适的方案。</w:t>
            </w:r>
          </w:p>
          <w:p>
            <w:pPr>
              <w:rPr>
                <w:highlight w:val="none"/>
              </w:rPr>
            </w:pPr>
            <w:r>
              <w:rPr>
                <w:highlight w:val="none"/>
              </w:rPr>
              <w:t>2、满足使用和参观需求。</w:t>
            </w:r>
          </w:p>
          <w:p>
            <w:pPr>
              <w:rPr>
                <w:highlight w:val="none"/>
              </w:rPr>
            </w:pP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3162"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7</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drawing>
                <wp:anchor distT="0" distB="0" distL="114300" distR="114300" simplePos="0" relativeHeight="251682816" behindDoc="0" locked="0" layoutInCell="1" allowOverlap="1">
                  <wp:simplePos x="0" y="0"/>
                  <wp:positionH relativeFrom="column">
                    <wp:posOffset>68580</wp:posOffset>
                  </wp:positionH>
                  <wp:positionV relativeFrom="paragraph">
                    <wp:posOffset>62865</wp:posOffset>
                  </wp:positionV>
                  <wp:extent cx="2134235" cy="1903730"/>
                  <wp:effectExtent l="0" t="0" r="18415" b="1270"/>
                  <wp:wrapNone/>
                  <wp:docPr id="57" name="图片 16" descr="60441364323580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descr="604413643235801246"/>
                          <pic:cNvPicPr>
                            <a:picLocks noChangeAspect="1"/>
                          </pic:cNvPicPr>
                        </pic:nvPicPr>
                        <pic:blipFill>
                          <a:blip r:embed="rId39"/>
                          <a:stretch>
                            <a:fillRect/>
                          </a:stretch>
                        </pic:blipFill>
                        <pic:spPr>
                          <a:xfrm>
                            <a:off x="0" y="0"/>
                            <a:ext cx="2134235" cy="1903730"/>
                          </a:xfrm>
                          <a:prstGeom prst="rect">
                            <a:avLst/>
                          </a:prstGeom>
                          <a:noFill/>
                          <a:ln>
                            <a:noFill/>
                          </a:ln>
                        </pic:spPr>
                      </pic:pic>
                    </a:graphicData>
                  </a:graphic>
                </wp:anchor>
              </w:drawing>
            </w:r>
          </w:p>
          <w:p>
            <w:pPr>
              <w:rPr>
                <w:highlight w:val="none"/>
              </w:rPr>
            </w:pPr>
            <w:r>
              <w:rPr>
                <w:highlight w:val="none"/>
              </w:rPr>
              <mc:AlternateContent>
                <mc:Choice Requires="wps">
                  <w:drawing>
                    <wp:anchor distT="0" distB="0" distL="114300" distR="114300" simplePos="0" relativeHeight="251683840" behindDoc="0" locked="0" layoutInCell="1" allowOverlap="1">
                      <wp:simplePos x="0" y="0"/>
                      <wp:positionH relativeFrom="column">
                        <wp:posOffset>427355</wp:posOffset>
                      </wp:positionH>
                      <wp:positionV relativeFrom="paragraph">
                        <wp:posOffset>278765</wp:posOffset>
                      </wp:positionV>
                      <wp:extent cx="539750" cy="1317625"/>
                      <wp:effectExtent l="17780" t="0" r="33020" b="16510"/>
                      <wp:wrapNone/>
                      <wp:docPr id="49" name="椭圆 49"/>
                      <wp:cNvGraphicFramePr/>
                      <a:graphic xmlns:a="http://schemas.openxmlformats.org/drawingml/2006/main">
                        <a:graphicData uri="http://schemas.microsoft.com/office/word/2010/wordprocessingShape">
                          <wps:wsp>
                            <wps:cNvSpPr/>
                            <wps:spPr>
                              <a:xfrm rot="480000">
                                <a:off x="0" y="0"/>
                                <a:ext cx="539750" cy="1317625"/>
                              </a:xfrm>
                              <a:prstGeom prst="ellipse">
                                <a:avLst/>
                              </a:prstGeom>
                              <a:noFill/>
                              <a:ln w="9525" cap="flat" cmpd="sng">
                                <a:solidFill>
                                  <a:srgbClr val="FF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3.65pt;margin-top:21.95pt;height:103.75pt;width:42.5pt;rotation:524288f;z-index:251683840;mso-width-relative:page;mso-height-relative:page;" filled="f" stroked="t" coordsize="21600,21600" o:gfxdata="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pjW2fZAAAACQEAAA8AAAAAAAAAAQAgAAAAIgAAAGRy&#10;cy9kb3ducmV2LnhtbFBLAQIUABQAAAAIAIdO4kCuKbjwBAIAAAsEAAAOAAAAAAAAAAEAIAAAACgB&#10;AABkcnMvZTJvRG9jLnhtbFBLBQYAAAAABgAGAFkBAACeBQAAAAA=&#10;">
                      <v:fill on="f" focussize="0,0"/>
                      <v:stroke color="#FF0000" joinstyle="round"/>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1、门没有做密封措施。</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1、门活动连接面有有效的密封装置。</w:t>
            </w:r>
          </w:p>
          <w:p>
            <w:pPr>
              <w:rPr>
                <w:highlight w:val="none"/>
              </w:rPr>
            </w:pP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3114"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8</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drawing>
                <wp:anchor distT="0" distB="0" distL="114300" distR="114300" simplePos="0" relativeHeight="251686912" behindDoc="0" locked="0" layoutInCell="1" allowOverlap="1">
                  <wp:simplePos x="0" y="0"/>
                  <wp:positionH relativeFrom="column">
                    <wp:posOffset>78105</wp:posOffset>
                  </wp:positionH>
                  <wp:positionV relativeFrom="paragraph">
                    <wp:posOffset>67945</wp:posOffset>
                  </wp:positionV>
                  <wp:extent cx="2145665" cy="1841500"/>
                  <wp:effectExtent l="0" t="0" r="6985" b="6350"/>
                  <wp:wrapNone/>
                  <wp:docPr id="86" name="图片 18" descr="fImage562482103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8" descr="fImage5624821032391"/>
                          <pic:cNvPicPr>
                            <a:picLocks noChangeAspect="1"/>
                          </pic:cNvPicPr>
                        </pic:nvPicPr>
                        <pic:blipFill>
                          <a:blip r:embed="rId40"/>
                          <a:srcRect l="32867" t="18542" r="31557" b="20531"/>
                          <a:stretch>
                            <a:fillRect/>
                          </a:stretch>
                        </pic:blipFill>
                        <pic:spPr>
                          <a:xfrm>
                            <a:off x="0" y="0"/>
                            <a:ext cx="2145665" cy="1841500"/>
                          </a:xfrm>
                          <a:prstGeom prst="rect">
                            <a:avLst/>
                          </a:prstGeom>
                          <a:noFill/>
                          <a:ln>
                            <a:noFill/>
                          </a:ln>
                        </pic:spPr>
                      </pic:pic>
                    </a:graphicData>
                  </a:graphic>
                </wp:anchor>
              </w:drawing>
            </w:r>
            <w:r>
              <w:rPr>
                <w:highlight w:val="none"/>
              </w:rPr>
              <mc:AlternateContent>
                <mc:Choice Requires="wps">
                  <w:drawing>
                    <wp:anchor distT="0" distB="0" distL="114300" distR="114300" simplePos="0" relativeHeight="251665408" behindDoc="0" locked="0" layoutInCell="1" allowOverlap="1">
                      <wp:simplePos x="0" y="0"/>
                      <wp:positionH relativeFrom="column">
                        <wp:posOffset>273050</wp:posOffset>
                      </wp:positionH>
                      <wp:positionV relativeFrom="paragraph">
                        <wp:posOffset>352425</wp:posOffset>
                      </wp:positionV>
                      <wp:extent cx="874395" cy="257175"/>
                      <wp:effectExtent l="4445" t="4445" r="16510" b="5080"/>
                      <wp:wrapNone/>
                      <wp:docPr id="70" name="椭圆 70"/>
                      <wp:cNvGraphicFramePr/>
                      <a:graphic xmlns:a="http://schemas.openxmlformats.org/drawingml/2006/main">
                        <a:graphicData uri="http://schemas.microsoft.com/office/word/2010/wordprocessingShape">
                          <wps:wsp>
                            <wps:cNvSpPr/>
                            <wps:spPr>
                              <a:xfrm>
                                <a:off x="0" y="0"/>
                                <a:ext cx="874395" cy="257175"/>
                              </a:xfrm>
                              <a:prstGeom prst="ellipse">
                                <a:avLst/>
                              </a:prstGeom>
                              <a:no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21.5pt;margin-top:27.75pt;height:20.25pt;width:68.85pt;z-index:251665408;mso-width-relative:page;mso-height-relative:page;" filled="f" stroked="t" coordsize="21600,21600" o:gfxdata="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ghPnbYAAAACAEAAA8AAAAAAAAAAQAgAAAAIgAAAGRycy9kb3du&#10;cmV2LnhtbFBLAQIUABQAAAAIAIdO4kAoft5c/wEAAAgEAAAOAAAAAAAAAAEAIAAAACcBAABkcnMv&#10;ZTJvRG9jLnhtbFBLBQYAAAAABgAGAFkBAACYBQAAAAA=&#10;">
                      <v:fill on="f" focussize="0,0"/>
                      <v:stroke color="#FF0000" joinstyle="round"/>
                      <v:imagedata o:title=""/>
                      <o:lock v:ext="edit" aspectratio="f"/>
                      <v:textbox>
                        <w:txbxContent>
                          <w:p/>
                        </w:txbxContent>
                      </v:textbox>
                    </v:shape>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olumn">
                        <wp:posOffset>328295</wp:posOffset>
                      </wp:positionH>
                      <wp:positionV relativeFrom="paragraph">
                        <wp:posOffset>644525</wp:posOffset>
                      </wp:positionV>
                      <wp:extent cx="276225" cy="990600"/>
                      <wp:effectExtent l="4445" t="4445" r="5080" b="14605"/>
                      <wp:wrapNone/>
                      <wp:docPr id="73" name="椭圆 73"/>
                      <wp:cNvGraphicFramePr/>
                      <a:graphic xmlns:a="http://schemas.openxmlformats.org/drawingml/2006/main">
                        <a:graphicData uri="http://schemas.microsoft.com/office/word/2010/wordprocessingShape">
                          <wps:wsp>
                            <wps:cNvSpPr/>
                            <wps:spPr>
                              <a:xfrm>
                                <a:off x="0" y="0"/>
                                <a:ext cx="276225" cy="990600"/>
                              </a:xfrm>
                              <a:prstGeom prst="ellipse">
                                <a:avLst/>
                              </a:prstGeom>
                              <a:no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25.85pt;margin-top:50.75pt;height:78pt;width:21.75pt;z-index:251664384;mso-width-relative:page;mso-height-relative:page;" filled="f" stroked="t" coordsize="21600,21600" o:gfxdata="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3uGaQ2AAAAAkBAAAPAAAAAAAAAAEAIAAAACIAAABkcnMvZG93&#10;bnJldi54bWxQSwECFAAUAAAACACHTuJA3LHX6gACAAAIBAAADgAAAAAAAAABACAAAAAnAQAAZHJz&#10;L2Uyb0RvYy54bWxQSwUGAAAAAAYABgBZAQAAmQUAAAAA&#10;">
                      <v:fill on="f" focussize="0,0"/>
                      <v:stroke color="#FF0000" joinstyle="round"/>
                      <v:imagedata o:title=""/>
                      <o:lock v:ext="edit" aspectratio="f"/>
                      <v:textbox>
                        <w:txbxContent>
                          <w:p/>
                        </w:txbxContent>
                      </v:textbox>
                    </v:shape>
                  </w:pict>
                </mc:Fallback>
              </mc:AlternateContent>
            </w: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1、设备门与与门框固定连接面间隙太大。</w:t>
            </w:r>
          </w:p>
          <w:p>
            <w:pPr>
              <w:rPr>
                <w:highlight w:val="none"/>
              </w:rPr>
            </w:pPr>
            <w:r>
              <w:rPr>
                <w:highlight w:val="none"/>
              </w:rPr>
              <w:t>2、密封胶脱落。</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1、固定连接面间隙小于1mm。</w:t>
            </w:r>
          </w:p>
          <w:p>
            <w:pPr>
              <w:rPr>
                <w:highlight w:val="none"/>
              </w:rPr>
            </w:pPr>
            <w:r>
              <w:rPr>
                <w:highlight w:val="none"/>
              </w:rPr>
              <w:t>2、所有连接面均涂合适、可行的密封胶。</w:t>
            </w:r>
          </w:p>
          <w:p>
            <w:pPr>
              <w:rPr>
                <w:highlight w:val="none"/>
              </w:rPr>
            </w:pP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2279"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9</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drawing>
                <wp:anchor distT="0" distB="0" distL="114300" distR="114300" simplePos="0" relativeHeight="251684864" behindDoc="0" locked="0" layoutInCell="1" allowOverlap="1">
                  <wp:simplePos x="0" y="0"/>
                  <wp:positionH relativeFrom="column">
                    <wp:posOffset>0</wp:posOffset>
                  </wp:positionH>
                  <wp:positionV relativeFrom="paragraph">
                    <wp:posOffset>45720</wp:posOffset>
                  </wp:positionV>
                  <wp:extent cx="2134870" cy="1349375"/>
                  <wp:effectExtent l="0" t="0" r="17780" b="3175"/>
                  <wp:wrapNone/>
                  <wp:docPr id="43" name="图片 21" descr="fImage987052106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descr="fImage9870521064604"/>
                          <pic:cNvPicPr>
                            <a:picLocks noChangeAspect="1"/>
                          </pic:cNvPicPr>
                        </pic:nvPicPr>
                        <pic:blipFill>
                          <a:blip r:embed="rId41"/>
                          <a:srcRect l="33229" t="35431" r="32278" b="14238"/>
                          <a:stretch>
                            <a:fillRect/>
                          </a:stretch>
                        </pic:blipFill>
                        <pic:spPr>
                          <a:xfrm>
                            <a:off x="0" y="0"/>
                            <a:ext cx="2134870" cy="1349375"/>
                          </a:xfrm>
                          <a:prstGeom prst="rect">
                            <a:avLst/>
                          </a:prstGeom>
                          <a:noFill/>
                          <a:ln>
                            <a:noFill/>
                          </a:ln>
                        </pic:spPr>
                      </pic:pic>
                    </a:graphicData>
                  </a:graphic>
                </wp:anchor>
              </w:drawing>
            </w: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1、设备门与与门框固定连接面间隙太大。</w:t>
            </w:r>
          </w:p>
          <w:p>
            <w:pPr>
              <w:rPr>
                <w:highlight w:val="none"/>
              </w:rPr>
            </w:pPr>
            <w:r>
              <w:rPr>
                <w:highlight w:val="none"/>
              </w:rPr>
              <w:t>2、密封胶脱落。</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1、固定连接面间隙小于1mm。</w:t>
            </w:r>
          </w:p>
          <w:p>
            <w:pPr>
              <w:rPr>
                <w:highlight w:val="none"/>
              </w:rPr>
            </w:pPr>
            <w:r>
              <w:rPr>
                <w:highlight w:val="none"/>
              </w:rPr>
              <w:t>2、所有连接面均涂合适、可行的密封胶。</w:t>
            </w:r>
          </w:p>
          <w:p>
            <w:pPr>
              <w:rPr>
                <w:highlight w:val="none"/>
              </w:rPr>
            </w:pP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2799"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10</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mc:AlternateContent>
                <mc:Choice Requires="wps">
                  <w:drawing>
                    <wp:anchor distT="0" distB="0" distL="114300" distR="114300" simplePos="0" relativeHeight="251667456" behindDoc="0" locked="0" layoutInCell="1" allowOverlap="1">
                      <wp:simplePos x="0" y="0"/>
                      <wp:positionH relativeFrom="column">
                        <wp:posOffset>1875790</wp:posOffset>
                      </wp:positionH>
                      <wp:positionV relativeFrom="paragraph">
                        <wp:posOffset>260985</wp:posOffset>
                      </wp:positionV>
                      <wp:extent cx="228600" cy="1471295"/>
                      <wp:effectExtent l="4445" t="4445" r="14605" b="10160"/>
                      <wp:wrapNone/>
                      <wp:docPr id="68" name="矩形 68"/>
                      <wp:cNvGraphicFramePr/>
                      <a:graphic xmlns:a="http://schemas.openxmlformats.org/drawingml/2006/main">
                        <a:graphicData uri="http://schemas.microsoft.com/office/word/2010/wordprocessingShape">
                          <wps:wsp>
                            <wps:cNvSpPr/>
                            <wps:spPr>
                              <a:xfrm>
                                <a:off x="0" y="0"/>
                                <a:ext cx="228600" cy="1471295"/>
                              </a:xfrm>
                              <a:prstGeom prst="rect">
                                <a:avLst/>
                              </a:prstGeom>
                              <a:no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rect id="_x0000_s1026" o:spid="_x0000_s1026" o:spt="1" style="position:absolute;left:0pt;margin-left:147.7pt;margin-top:20.55pt;height:115.85pt;width:18pt;z-index:251667456;mso-width-relative:page;mso-height-relative:page;" filled="f" stroked="t" coordsize="21600,21600" o:gfxdata="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&#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OBjc2gAAAAoBAAAPAAAAAAAAAAEAIAAAACIAAABk&#10;cnMvZG93bnJldi54bWxQSwECFAAUAAAACACHTuJA941+YQQCAAAQBAAADgAAAAAAAAABACAAAAAp&#10;AQAAZHJzL2Uyb0RvYy54bWxQSwUGAAAAAAYABgBZAQAAnwUAAAAA&#10;">
                      <v:fill on="f" focussize="0,0"/>
                      <v:stroke color="#FF0000" joinstyle="miter"/>
                      <v:imagedata o:title=""/>
                      <o:lock v:ext="edit" aspectratio="f"/>
                      <v:textbox>
                        <w:txbxContent>
                          <w:p/>
                        </w:txbxContent>
                      </v:textbox>
                    </v:rect>
                  </w:pict>
                </mc:Fallback>
              </mc:AlternateContent>
            </w:r>
            <w:r>
              <w:rPr>
                <w:highlight w:val="none"/>
              </w:rPr>
              <mc:AlternateContent>
                <mc:Choice Requires="wps">
                  <w:drawing>
                    <wp:anchor distT="0" distB="0" distL="114300" distR="114300" simplePos="0" relativeHeight="251668480" behindDoc="0" locked="0" layoutInCell="1" allowOverlap="1">
                      <wp:simplePos x="0" y="0"/>
                      <wp:positionH relativeFrom="column">
                        <wp:posOffset>-6985</wp:posOffset>
                      </wp:positionH>
                      <wp:positionV relativeFrom="paragraph">
                        <wp:posOffset>47625</wp:posOffset>
                      </wp:positionV>
                      <wp:extent cx="2110740" cy="193675"/>
                      <wp:effectExtent l="4445" t="4445" r="18415" b="11430"/>
                      <wp:wrapNone/>
                      <wp:docPr id="50" name="矩形 50"/>
                      <wp:cNvGraphicFramePr/>
                      <a:graphic xmlns:a="http://schemas.openxmlformats.org/drawingml/2006/main">
                        <a:graphicData uri="http://schemas.microsoft.com/office/word/2010/wordprocessingShape">
                          <wps:wsp>
                            <wps:cNvSpPr/>
                            <wps:spPr>
                              <a:xfrm flipV="1">
                                <a:off x="0" y="0"/>
                                <a:ext cx="2110740" cy="193675"/>
                              </a:xfrm>
                              <a:prstGeom prst="rect">
                                <a:avLst/>
                              </a:prstGeom>
                              <a:no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rect id="_x0000_s1026" o:spid="_x0000_s1026" o:spt="1" style="position:absolute;left:0pt;flip:y;margin-left:-0.55pt;margin-top:3.75pt;height:15.25pt;width:166.2pt;z-index:251668480;mso-width-relative:page;mso-height-relative:page;" filled="f" stroked="t" coordsize="21600,21600" o:gfxdata="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lXldNYAAAAHAQAADwAAAAAAAAABACAAAAAi&#10;AAAAZHJzL2Rvd25yZXYueG1sUEsBAhQAFAAAAAgAh07iQMpEMwMMAgAAGgQAAA4AAAAAAAAAAQAg&#10;AAAAJQEAAGRycy9lMm9Eb2MueG1sUEsFBgAAAAAGAAYAWQEAAKMFAAAAAA==&#10;">
                      <v:fill on="f" focussize="0,0"/>
                      <v:stroke color="#FF0000" joinstyle="miter"/>
                      <v:imagedata o:title=""/>
                      <o:lock v:ext="edit" aspectratio="f"/>
                      <v:textbox>
                        <w:txbxContent>
                          <w:p/>
                        </w:txbxContent>
                      </v:textbox>
                    </v:rect>
                  </w:pict>
                </mc:Fallback>
              </mc:AlternateContent>
            </w:r>
            <w:r>
              <w:rPr>
                <w:highlight w:val="none"/>
              </w:rPr>
              <w:drawing>
                <wp:anchor distT="0" distB="0" distL="114300" distR="114300" simplePos="0" relativeHeight="251661312" behindDoc="1" locked="0" layoutInCell="1" allowOverlap="1">
                  <wp:simplePos x="0" y="0"/>
                  <wp:positionH relativeFrom="column">
                    <wp:posOffset>9525</wp:posOffset>
                  </wp:positionH>
                  <wp:positionV relativeFrom="paragraph">
                    <wp:posOffset>41910</wp:posOffset>
                  </wp:positionV>
                  <wp:extent cx="2103120" cy="1715135"/>
                  <wp:effectExtent l="0" t="0" r="11430" b="18415"/>
                  <wp:wrapNone/>
                  <wp:docPr id="87" name="图片 24" descr="fImage1528211109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4" descr="fImage15282111093902"/>
                          <pic:cNvPicPr>
                            <a:picLocks noChangeAspect="1"/>
                          </pic:cNvPicPr>
                        </pic:nvPicPr>
                        <pic:blipFill>
                          <a:blip r:embed="rId42"/>
                          <a:srcRect l="18240" t="5629" r="18192" b="4967"/>
                          <a:stretch>
                            <a:fillRect/>
                          </a:stretch>
                        </pic:blipFill>
                        <pic:spPr>
                          <a:xfrm>
                            <a:off x="0" y="0"/>
                            <a:ext cx="2103120" cy="1715135"/>
                          </a:xfrm>
                          <a:prstGeom prst="rect">
                            <a:avLst/>
                          </a:prstGeom>
                          <a:noFill/>
                          <a:ln>
                            <a:noFill/>
                          </a:ln>
                        </pic:spPr>
                      </pic:pic>
                    </a:graphicData>
                  </a:graphic>
                </wp:anchor>
              </w:drawing>
            </w:r>
            <w:r>
              <w:rPr>
                <w:highlight w:val="none"/>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255270</wp:posOffset>
                      </wp:positionV>
                      <wp:extent cx="287655" cy="1470025"/>
                      <wp:effectExtent l="4445" t="5080" r="12700" b="10795"/>
                      <wp:wrapNone/>
                      <wp:docPr id="76" name="矩形 76"/>
                      <wp:cNvGraphicFramePr/>
                      <a:graphic xmlns:a="http://schemas.openxmlformats.org/drawingml/2006/main">
                        <a:graphicData uri="http://schemas.microsoft.com/office/word/2010/wordprocessingShape">
                          <wps:wsp>
                            <wps:cNvSpPr/>
                            <wps:spPr>
                              <a:xfrm>
                                <a:off x="0" y="0"/>
                                <a:ext cx="287655" cy="1470025"/>
                              </a:xfrm>
                              <a:prstGeom prst="rect">
                                <a:avLst/>
                              </a:prstGeom>
                              <a:no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rect id="_x0000_s1026" o:spid="_x0000_s1026" o:spt="1" style="position:absolute;left:0pt;margin-left:0.05pt;margin-top:20.1pt;height:115.75pt;width:22.65pt;z-index:251666432;mso-width-relative:page;mso-height-relative:page;" filled="f" stroked="t" coordsize="21600,21600" o:gfxdata="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MlHWAAAABgEAAA8AAAAAAAAAAQAgAAAAIgAAAGRycy9k&#10;b3ducmV2LnhtbFBLAQIUABQAAAAIAIdO4kApDjUgBAIAABAEAAAOAAAAAAAAAAEAIAAAACUBAABk&#10;cnMvZTJvRG9jLnhtbFBLBQYAAAAABgAGAFkBAACbBQAAAAA=&#10;">
                      <v:fill on="f" focussize="0,0"/>
                      <v:stroke color="#FF0000" joinstyle="miter"/>
                      <v:imagedata o:title=""/>
                      <o:lock v:ext="edit" aspectratio="f"/>
                      <v:textbox>
                        <w:txbxContent>
                          <w:p/>
                        </w:txbxContent>
                      </v:textbox>
                    </v:rect>
                  </w:pict>
                </mc:Fallback>
              </mc:AlternateContent>
            </w: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1、物料门现场制作非整体式风淋门。</w:t>
            </w:r>
          </w:p>
          <w:p>
            <w:pPr>
              <w:rPr>
                <w:highlight w:val="none"/>
              </w:rPr>
            </w:pPr>
            <w:r>
              <w:rPr>
                <w:highlight w:val="none"/>
              </w:rPr>
              <w:t>2、风淋门与周边墙体用彩钢板修补，不满足要求。</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1、采购整体式风淋门。</w:t>
            </w:r>
          </w:p>
          <w:p>
            <w:pPr>
              <w:rPr>
                <w:highlight w:val="none"/>
              </w:rPr>
            </w:pPr>
            <w:r>
              <w:rPr>
                <w:highlight w:val="none"/>
              </w:rPr>
              <w:t>2、风淋门进行整体包边并与周边墙体无缝对接。</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2403"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11</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drawing>
                <wp:anchor distT="0" distB="0" distL="114300" distR="114300" simplePos="0" relativeHeight="251687936" behindDoc="0" locked="0" layoutInCell="1" allowOverlap="1">
                  <wp:simplePos x="0" y="0"/>
                  <wp:positionH relativeFrom="column">
                    <wp:posOffset>0</wp:posOffset>
                  </wp:positionH>
                  <wp:positionV relativeFrom="paragraph">
                    <wp:posOffset>50800</wp:posOffset>
                  </wp:positionV>
                  <wp:extent cx="2108835" cy="1438910"/>
                  <wp:effectExtent l="0" t="0" r="5715" b="8890"/>
                  <wp:wrapNone/>
                  <wp:docPr id="71" name="图片 26" descr="fImage65822911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descr="fImage658229111153"/>
                          <pic:cNvPicPr>
                            <a:picLocks noChangeAspect="1"/>
                          </pic:cNvPicPr>
                        </pic:nvPicPr>
                        <pic:blipFill>
                          <a:blip r:embed="rId43"/>
                          <a:srcRect l="33229" t="12251" r="32639" b="10596"/>
                          <a:stretch>
                            <a:fillRect/>
                          </a:stretch>
                        </pic:blipFill>
                        <pic:spPr>
                          <a:xfrm>
                            <a:off x="0" y="0"/>
                            <a:ext cx="2108835" cy="1438910"/>
                          </a:xfrm>
                          <a:prstGeom prst="rect">
                            <a:avLst/>
                          </a:prstGeom>
                          <a:noFill/>
                          <a:ln>
                            <a:noFill/>
                          </a:ln>
                        </pic:spPr>
                      </pic:pic>
                    </a:graphicData>
                  </a:graphic>
                </wp:anchor>
              </w:drawing>
            </w: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1、防火门不满足参观要求。</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1、采购美观的防火门。</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2392"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12</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drawing>
                <wp:anchor distT="0" distB="0" distL="114300" distR="114300" simplePos="0" relativeHeight="251685888" behindDoc="0" locked="0" layoutInCell="1" allowOverlap="1">
                  <wp:simplePos x="0" y="0"/>
                  <wp:positionH relativeFrom="column">
                    <wp:posOffset>0</wp:posOffset>
                  </wp:positionH>
                  <wp:positionV relativeFrom="paragraph">
                    <wp:posOffset>41910</wp:posOffset>
                  </wp:positionV>
                  <wp:extent cx="2113915" cy="1453515"/>
                  <wp:effectExtent l="0" t="0" r="635" b="13335"/>
                  <wp:wrapNone/>
                  <wp:docPr id="84" name="图片 27" descr="fImage6077771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descr="fImage607777112292"/>
                          <pic:cNvPicPr>
                            <a:picLocks noChangeAspect="1"/>
                          </pic:cNvPicPr>
                        </pic:nvPicPr>
                        <pic:blipFill>
                          <a:blip r:embed="rId44"/>
                          <a:srcRect l="35396" t="12251" r="34084" b="15894"/>
                          <a:stretch>
                            <a:fillRect/>
                          </a:stretch>
                        </pic:blipFill>
                        <pic:spPr>
                          <a:xfrm>
                            <a:off x="0" y="0"/>
                            <a:ext cx="2113915" cy="1453515"/>
                          </a:xfrm>
                          <a:prstGeom prst="rect">
                            <a:avLst/>
                          </a:prstGeom>
                          <a:noFill/>
                          <a:ln>
                            <a:noFill/>
                          </a:ln>
                        </pic:spPr>
                      </pic:pic>
                    </a:graphicData>
                  </a:graphic>
                </wp:anchor>
              </w:drawing>
            </w: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rPr>
                <w:highlight w:val="none"/>
              </w:rPr>
            </w:pPr>
            <w:r>
              <w:rPr>
                <w:highlight w:val="none"/>
              </w:rPr>
              <w:t>无</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1、采用中空双层净化观察窗户，外观美观，满足要求</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r>
        <w:tblPrEx>
          <w:tblCellMar>
            <w:top w:w="0" w:type="dxa"/>
            <w:left w:w="108" w:type="dxa"/>
            <w:bottom w:w="0" w:type="dxa"/>
            <w:right w:w="108" w:type="dxa"/>
          </w:tblCellMar>
        </w:tblPrEx>
        <w:trPr>
          <w:trHeight w:val="2549" w:hRule="atLeast"/>
        </w:trPr>
        <w:tc>
          <w:tcPr>
            <w:tcW w:w="7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highlight w:val="none"/>
              </w:rPr>
            </w:pPr>
            <w:r>
              <w:rPr>
                <w:highlight w:val="none"/>
              </w:rPr>
              <w:t>13</w:t>
            </w:r>
          </w:p>
        </w:tc>
        <w:tc>
          <w:tcPr>
            <w:tcW w:w="35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highlight w:val="none"/>
              </w:rPr>
            </w:pPr>
            <w:r>
              <w:rPr>
                <w:highlight w:val="none"/>
              </w:rPr>
              <w:drawing>
                <wp:anchor distT="0" distB="0" distL="114300" distR="114300" simplePos="0" relativeHeight="251669504" behindDoc="0" locked="0" layoutInCell="1" allowOverlap="1">
                  <wp:simplePos x="0" y="0"/>
                  <wp:positionH relativeFrom="column">
                    <wp:posOffset>4445</wp:posOffset>
                  </wp:positionH>
                  <wp:positionV relativeFrom="paragraph">
                    <wp:posOffset>50165</wp:posOffset>
                  </wp:positionV>
                  <wp:extent cx="2106295" cy="1552575"/>
                  <wp:effectExtent l="0" t="0" r="8255" b="9525"/>
                  <wp:wrapNone/>
                  <wp:docPr id="54" name="图片 28" descr="压杆式逃生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descr="压杆式逃生门"/>
                          <pic:cNvPicPr>
                            <a:picLocks noChangeAspect="1"/>
                          </pic:cNvPicPr>
                        </pic:nvPicPr>
                        <pic:blipFill>
                          <a:blip r:embed="rId45"/>
                          <a:stretch>
                            <a:fillRect/>
                          </a:stretch>
                        </pic:blipFill>
                        <pic:spPr>
                          <a:xfrm>
                            <a:off x="0" y="0"/>
                            <a:ext cx="2106295" cy="1552575"/>
                          </a:xfrm>
                          <a:prstGeom prst="rect">
                            <a:avLst/>
                          </a:prstGeom>
                          <a:noFill/>
                          <a:ln>
                            <a:noFill/>
                          </a:ln>
                        </pic:spPr>
                      </pic:pic>
                    </a:graphicData>
                  </a:graphic>
                </wp:anchor>
              </w:drawing>
            </w:r>
          </w:p>
        </w:tc>
        <w:tc>
          <w:tcPr>
            <w:tcW w:w="212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1、逃生门边框为白色</w:t>
            </w:r>
          </w:p>
        </w:tc>
        <w:tc>
          <w:tcPr>
            <w:tcW w:w="21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r>
              <w:rPr>
                <w:highlight w:val="none"/>
              </w:rPr>
              <w:t>1、满足要求，按此制作，要求制作为红色边框。</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rPr>
                <w:highlight w:val="none"/>
              </w:rPr>
            </w:pPr>
          </w:p>
        </w:tc>
      </w:tr>
    </w:tbl>
    <w:p>
      <w:pPr>
        <w:ind w:firstLine="480"/>
        <w:jc w:val="center"/>
        <w:rPr>
          <w:highlight w:val="none"/>
        </w:rPr>
      </w:pPr>
      <w:r>
        <w:rPr>
          <w:highlight w:val="none"/>
        </w:rPr>
        <w:t>表5.6</w:t>
      </w:r>
    </w:p>
    <w:p>
      <w:pPr>
        <w:pStyle w:val="3"/>
        <w:rPr>
          <w:sz w:val="28"/>
          <w:szCs w:val="28"/>
          <w:highlight w:val="none"/>
        </w:rPr>
      </w:pPr>
      <w:bookmarkStart w:id="173" w:name="_Toc133335454"/>
      <w:r>
        <w:rPr>
          <w:sz w:val="28"/>
          <w:szCs w:val="28"/>
          <w:highlight w:val="none"/>
        </w:rPr>
        <w:t>十、电气工程技术要求</w:t>
      </w:r>
      <w:bookmarkEnd w:id="173"/>
    </w:p>
    <w:p>
      <w:pPr>
        <w:pStyle w:val="3"/>
        <w:rPr>
          <w:highlight w:val="none"/>
        </w:rPr>
      </w:pPr>
      <w:bookmarkStart w:id="174" w:name="_Toc133335455"/>
      <w:r>
        <w:rPr>
          <w:highlight w:val="none"/>
        </w:rPr>
        <w:t>10.1 低压电缆技术要求</w:t>
      </w:r>
      <w:bookmarkEnd w:id="174"/>
    </w:p>
    <w:p>
      <w:pPr>
        <w:pStyle w:val="4"/>
        <w:rPr>
          <w:sz w:val="24"/>
          <w:szCs w:val="24"/>
          <w:highlight w:val="none"/>
        </w:rPr>
      </w:pPr>
      <w:bookmarkStart w:id="175" w:name="_Toc133335456"/>
      <w:r>
        <w:rPr>
          <w:sz w:val="24"/>
          <w:szCs w:val="24"/>
          <w:highlight w:val="none"/>
        </w:rPr>
        <w:t>10.1.1 使用环境条件</w:t>
      </w:r>
      <w:bookmarkEnd w:id="175"/>
    </w:p>
    <w:p>
      <w:pPr>
        <w:pStyle w:val="19"/>
        <w:numPr>
          <w:ilvl w:val="0"/>
          <w:numId w:val="65"/>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安装场所：户内、户外</w:t>
      </w:r>
    </w:p>
    <w:p>
      <w:pPr>
        <w:pStyle w:val="19"/>
        <w:numPr>
          <w:ilvl w:val="0"/>
          <w:numId w:val="65"/>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 xml:space="preserve">环境湿度：日平均相对湿度不大于95%，月平均相对湿度不大于90% </w:t>
      </w:r>
    </w:p>
    <w:p>
      <w:pPr>
        <w:pStyle w:val="19"/>
        <w:numPr>
          <w:ilvl w:val="0"/>
          <w:numId w:val="65"/>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运行环境温度：-20～+70℃，土壤环境温度：-20～+35℃</w:t>
      </w:r>
    </w:p>
    <w:p>
      <w:pPr>
        <w:pStyle w:val="19"/>
        <w:numPr>
          <w:ilvl w:val="0"/>
          <w:numId w:val="65"/>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海拔高度：≤2000M，地震烈度：≤7度</w:t>
      </w:r>
    </w:p>
    <w:p>
      <w:pPr>
        <w:pStyle w:val="4"/>
        <w:rPr>
          <w:sz w:val="24"/>
          <w:szCs w:val="24"/>
          <w:highlight w:val="none"/>
        </w:rPr>
      </w:pPr>
      <w:bookmarkStart w:id="176" w:name="_Toc133335457"/>
      <w:r>
        <w:rPr>
          <w:sz w:val="24"/>
          <w:szCs w:val="24"/>
          <w:highlight w:val="none"/>
        </w:rPr>
        <w:t>10.1.2 电缆性能要求</w:t>
      </w:r>
      <w:bookmarkEnd w:id="176"/>
    </w:p>
    <w:p>
      <w:pPr>
        <w:pStyle w:val="5"/>
        <w:numPr>
          <w:ilvl w:val="0"/>
          <w:numId w:val="66"/>
        </w:numPr>
        <w:spacing w:before="163" w:beforeLines="0" w:after="163" w:afterLines="0"/>
        <w:jc w:val="both"/>
        <w:rPr>
          <w:szCs w:val="28"/>
          <w:highlight w:val="none"/>
        </w:rPr>
      </w:pPr>
      <w:r>
        <w:rPr>
          <w:szCs w:val="28"/>
          <w:highlight w:val="none"/>
        </w:rPr>
        <w:t>导体</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导体应是无氧铜线。导体表面光洁、无油污、无损伤屏蔽及绝缘的毛刺、锐边，无突起或断裂的单线。导体应采用圆型单线绞合紧压导体，其组成、性能和外观应符合GB/T 3956标准的规定，紧压系数不小于0.89。</w:t>
      </w:r>
    </w:p>
    <w:p>
      <w:pPr>
        <w:pStyle w:val="5"/>
        <w:numPr>
          <w:ilvl w:val="0"/>
          <w:numId w:val="66"/>
        </w:numPr>
        <w:spacing w:before="163" w:beforeLines="0" w:after="163" w:afterLines="0"/>
        <w:jc w:val="both"/>
        <w:rPr>
          <w:szCs w:val="28"/>
          <w:highlight w:val="none"/>
        </w:rPr>
      </w:pPr>
      <w:r>
        <w:rPr>
          <w:szCs w:val="28"/>
          <w:highlight w:val="none"/>
        </w:rPr>
        <w:t>电缆的允许弯曲半径</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无铠装层的电缆，应不小于电缆外径的6倍；有铠装或铜带屏蔽结构的电缆，应不小于电缆外径的12倍；有屏蔽层结构的软电缆，应不小于电缆外径的6倍。</w:t>
      </w:r>
    </w:p>
    <w:p>
      <w:pPr>
        <w:pStyle w:val="5"/>
        <w:numPr>
          <w:ilvl w:val="0"/>
          <w:numId w:val="66"/>
        </w:numPr>
        <w:spacing w:before="163" w:beforeLines="0" w:after="163" w:afterLines="0"/>
        <w:jc w:val="both"/>
        <w:rPr>
          <w:szCs w:val="28"/>
          <w:highlight w:val="none"/>
        </w:rPr>
      </w:pPr>
      <w:r>
        <w:rPr>
          <w:szCs w:val="28"/>
          <w:highlight w:val="none"/>
        </w:rPr>
        <w:t>绝缘</w:t>
      </w:r>
    </w:p>
    <w:p>
      <w:pPr>
        <w:pStyle w:val="19"/>
        <w:numPr>
          <w:ilvl w:val="0"/>
          <w:numId w:val="67"/>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绝缘应紧密挤包在导体上，绝缘表面应平整，色泽均匀。且应容易剥离而不损伤绝缘体、导体或镀层。各截面绝缘标称厚度见GB/T 9330，绝缘厚度平均值最小测量值应不小于标称值。绝缘线芯应能经受GB/T 3048.9《电线电缆绝缘线芯工频火花试验方法》规定的交流50 Hz火花试验作为中间检查。绝缘线芯应采用颜色标志或数字标志以示识别，并应符合GB/T 6995.4《 电线电缆识别标志第四部分:电气装备电线电缆绝缘线芯鉴别标志》的规定。</w:t>
      </w:r>
    </w:p>
    <w:p>
      <w:pPr>
        <w:pStyle w:val="19"/>
        <w:numPr>
          <w:ilvl w:val="0"/>
          <w:numId w:val="67"/>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电缆的绝缘为XLPC型（聚乙烯或聚氯乙烯），符合GB12706标准的规定，并且其偏心度应符合：（最大厚度－最小厚度）/最大厚度 ≤12.5%。PVC（聚氯乙烯）护套，符合GB2952标准的规定。正常运行导体最高额定温度为70℃。护套表面应光亮，印字清晰，并有正确的计米标志，电缆截面应呈圆形，不圆度：（最大外径－最小外径）/标称外径 ≤15%。</w:t>
      </w:r>
    </w:p>
    <w:p>
      <w:pPr>
        <w:pStyle w:val="5"/>
        <w:numPr>
          <w:ilvl w:val="0"/>
          <w:numId w:val="66"/>
        </w:numPr>
        <w:spacing w:before="163" w:beforeLines="0" w:after="163" w:afterLines="0"/>
        <w:jc w:val="both"/>
        <w:rPr>
          <w:szCs w:val="28"/>
          <w:highlight w:val="none"/>
        </w:rPr>
      </w:pPr>
      <w:r>
        <w:rPr>
          <w:szCs w:val="28"/>
          <w:highlight w:val="none"/>
        </w:rPr>
        <w:t>屏蔽</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屏蔽型电缆在缆芯外应有铜带或圆铜线编织构成的屏蔽层。应留有屏蔽层接地线，其线径应大于0.5mm。圆铜线编织屏蔽允许用软圆铜线或镀锡圆铜线构成，其编织密度应不小于80%。编织层不允许整体接续，露出的铜线头应修齐。每1m长度上允许更换金属线锭一次。允许采用 0.05～0.15mm的软铜带重迭绕包。屏蔽和缆芯之间应重迭绕包二层合适的非吸湿性带子。屏蔽后，允许绕包一层合适的非吸湿性带子。</w:t>
      </w:r>
    </w:p>
    <w:p>
      <w:pPr>
        <w:pStyle w:val="5"/>
        <w:numPr>
          <w:ilvl w:val="0"/>
          <w:numId w:val="66"/>
        </w:numPr>
        <w:spacing w:before="163" w:beforeLines="0" w:after="163" w:afterLines="0"/>
        <w:jc w:val="both"/>
        <w:rPr>
          <w:szCs w:val="28"/>
          <w:highlight w:val="none"/>
        </w:rPr>
      </w:pPr>
      <w:r>
        <w:rPr>
          <w:szCs w:val="28"/>
          <w:highlight w:val="none"/>
        </w:rPr>
        <w:t>内衬层</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金属铠装电缆应有内衬层，内衬层可以挤包或绕包。挤包的内衬层应不粘连绝缘线芯，绕包的内衬层可以采用双层或多层重叠绕包。挤包或绕包内衬层厚度最小值应不小于GB/T 9330标准规定标称值的80%。</w:t>
      </w:r>
    </w:p>
    <w:p>
      <w:pPr>
        <w:pStyle w:val="5"/>
        <w:numPr>
          <w:ilvl w:val="0"/>
          <w:numId w:val="66"/>
        </w:numPr>
        <w:spacing w:before="163" w:beforeLines="0" w:after="163" w:afterLines="0"/>
        <w:jc w:val="both"/>
        <w:rPr>
          <w:szCs w:val="28"/>
          <w:highlight w:val="none"/>
        </w:rPr>
      </w:pPr>
      <w:r>
        <w:rPr>
          <w:szCs w:val="28"/>
          <w:highlight w:val="none"/>
        </w:rPr>
        <w:t>填充物及隔离层</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绝缘线芯间的间隙允许采用非吸湿性、且适合电缆运行温度并与电缆绝缘材料相兼容的材料填充，填充物应不粘连绝缘线芯。成缆线芯和填充物可以用非吸湿性材料薄膜带绕包隔离层。</w:t>
      </w:r>
    </w:p>
    <w:p>
      <w:pPr>
        <w:pStyle w:val="5"/>
        <w:numPr>
          <w:ilvl w:val="0"/>
          <w:numId w:val="66"/>
        </w:numPr>
        <w:spacing w:before="163" w:beforeLines="0" w:after="163" w:afterLines="0"/>
        <w:jc w:val="both"/>
        <w:rPr>
          <w:szCs w:val="28"/>
          <w:highlight w:val="none"/>
        </w:rPr>
      </w:pPr>
      <w:r>
        <w:rPr>
          <w:szCs w:val="28"/>
          <w:highlight w:val="none"/>
        </w:rPr>
        <w:t>铠装（如有）</w:t>
      </w:r>
    </w:p>
    <w:p>
      <w:pPr>
        <w:pStyle w:val="19"/>
        <w:spacing w:before="0" w:beforeAutospacing="0" w:after="0" w:afterAutospacing="0" w:line="360" w:lineRule="auto"/>
        <w:ind w:firstLine="480" w:firstLineChars="200"/>
        <w:jc w:val="both"/>
        <w:rPr>
          <w:rFonts w:ascii="Times New Roman" w:hAnsi="Times New Roman" w:eastAsia="宋体"/>
          <w:color w:val="000000"/>
          <w:highlight w:val="none"/>
        </w:rPr>
      </w:pPr>
      <w:r>
        <w:rPr>
          <w:rFonts w:ascii="Times New Roman" w:hAnsi="Times New Roman" w:eastAsia="宋体"/>
          <w:color w:val="000000"/>
          <w:highlight w:val="none"/>
        </w:rPr>
        <w:t>铠装采用双层镀锌钢带，螺旋绕包两层，外层钢带的中间大致在内层钢带间隙上方，包带间隙应不大于钢带宽度的50%。</w:t>
      </w:r>
    </w:p>
    <w:p>
      <w:pPr>
        <w:pStyle w:val="5"/>
        <w:numPr>
          <w:ilvl w:val="0"/>
          <w:numId w:val="66"/>
        </w:numPr>
        <w:spacing w:before="163" w:beforeLines="0" w:after="163" w:afterLines="0"/>
        <w:jc w:val="both"/>
        <w:rPr>
          <w:szCs w:val="28"/>
          <w:highlight w:val="none"/>
        </w:rPr>
      </w:pPr>
      <w:r>
        <w:rPr>
          <w:szCs w:val="28"/>
          <w:highlight w:val="none"/>
        </w:rPr>
        <w:t>外护套</w:t>
      </w:r>
    </w:p>
    <w:p>
      <w:pPr>
        <w:pStyle w:val="19"/>
        <w:numPr>
          <w:ilvl w:val="0"/>
          <w:numId w:val="68"/>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外护套应采用聚氯乙烯料挤包。外护套应紧密挤包在绞合的绝缘线芯、隔离层或金属铠装层（若有）上，且容易剥离而不损伤绝缘或护套。护套表面应光洁、色泽均匀。</w:t>
      </w:r>
    </w:p>
    <w:p>
      <w:pPr>
        <w:pStyle w:val="19"/>
        <w:numPr>
          <w:ilvl w:val="0"/>
          <w:numId w:val="68"/>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外护套厚度符合GB/T 9330标准的规定。护套平均厚度不小于标称值，任一处最小厚度不得小于标称值的90%-0.1mm。护套表面应光亮，印字清晰（采用激光喷墨打印系统），并有正确的计米标志，电缆截面应呈圆形，不圆度：（电缆最大外径－电缆最小外径）/标称外径 ≤15%。</w:t>
      </w:r>
    </w:p>
    <w:p>
      <w:pPr>
        <w:pStyle w:val="19"/>
        <w:numPr>
          <w:ilvl w:val="0"/>
          <w:numId w:val="68"/>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XLPE（交联聚乙烯）护套，符合GB2952标准的规定。正常运行导体最高额定温度为90℃。</w:t>
      </w:r>
    </w:p>
    <w:p>
      <w:pPr>
        <w:pStyle w:val="19"/>
        <w:numPr>
          <w:ilvl w:val="0"/>
          <w:numId w:val="68"/>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PVC(聚氯乙烯)护套，符合GB2952标准的规定。正常运行导体最高额定温度为70℃。</w:t>
      </w:r>
    </w:p>
    <w:p>
      <w:pPr>
        <w:pStyle w:val="5"/>
        <w:numPr>
          <w:ilvl w:val="0"/>
          <w:numId w:val="66"/>
        </w:numPr>
        <w:spacing w:before="163" w:beforeLines="0" w:after="163" w:afterLines="0"/>
        <w:jc w:val="both"/>
        <w:rPr>
          <w:szCs w:val="28"/>
          <w:highlight w:val="none"/>
        </w:rPr>
      </w:pPr>
      <w:r>
        <w:rPr>
          <w:szCs w:val="28"/>
          <w:highlight w:val="none"/>
        </w:rPr>
        <w:t>电缆不圆度</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电缆不圆度应不大于10%。</w:t>
      </w:r>
    </w:p>
    <w:p>
      <w:pPr>
        <w:pStyle w:val="5"/>
        <w:numPr>
          <w:ilvl w:val="0"/>
          <w:numId w:val="66"/>
        </w:numPr>
        <w:spacing w:before="163" w:beforeLines="0" w:after="163" w:afterLines="0"/>
        <w:jc w:val="both"/>
        <w:rPr>
          <w:szCs w:val="28"/>
          <w:highlight w:val="none"/>
        </w:rPr>
      </w:pPr>
      <w:r>
        <w:rPr>
          <w:szCs w:val="28"/>
          <w:highlight w:val="none"/>
        </w:rPr>
        <w:t>电缆阻燃要求</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采用阻燃电缆时，电缆的阻燃特性和技术参数要求需符合GB/T 19666标准的规定。</w:t>
      </w:r>
    </w:p>
    <w:p>
      <w:pPr>
        <w:pStyle w:val="5"/>
        <w:numPr>
          <w:ilvl w:val="0"/>
          <w:numId w:val="66"/>
        </w:numPr>
        <w:spacing w:before="163" w:beforeLines="0" w:after="163" w:afterLines="0"/>
        <w:jc w:val="both"/>
        <w:rPr>
          <w:szCs w:val="28"/>
          <w:highlight w:val="none"/>
        </w:rPr>
      </w:pPr>
      <w:r>
        <w:rPr>
          <w:szCs w:val="28"/>
          <w:highlight w:val="none"/>
        </w:rPr>
        <w:t>电缆端头</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 xml:space="preserve">应可靠密封，伸出电缆盘外的电缆端头应加防护罩。 </w:t>
      </w:r>
    </w:p>
    <w:p>
      <w:pPr>
        <w:pStyle w:val="5"/>
        <w:numPr>
          <w:ilvl w:val="0"/>
          <w:numId w:val="66"/>
        </w:numPr>
        <w:spacing w:before="163" w:beforeLines="0" w:after="163" w:afterLines="0"/>
        <w:jc w:val="both"/>
        <w:rPr>
          <w:szCs w:val="28"/>
          <w:highlight w:val="none"/>
        </w:rPr>
      </w:pPr>
      <w:r>
        <w:rPr>
          <w:szCs w:val="28"/>
          <w:highlight w:val="none"/>
        </w:rPr>
        <w:t>强度</w:t>
      </w:r>
    </w:p>
    <w:p>
      <w:pPr>
        <w:pStyle w:val="19"/>
        <w:numPr>
          <w:ilvl w:val="0"/>
          <w:numId w:val="69"/>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XLPC/PVC或PVC/PVC电力电缆（聚乙烯绝缘聚氯乙烯护套或聚氯乙烯绝缘聚氯乙烯护套电力电缆）应满足IEC502标准、IEC840标准或GB12706.1～3标准，可直接安装在管道、支架或直接用夹子固定，所有电缆必须有足够的强度以满足管线施工的需要，至少保证在间隔50m的管道中牵引不损伤。电力电缆应按国标GB12706.1～3 或IEC502、IEC840规定考核。</w:t>
      </w:r>
    </w:p>
    <w:p>
      <w:pPr>
        <w:pStyle w:val="19"/>
        <w:numPr>
          <w:ilvl w:val="0"/>
          <w:numId w:val="69"/>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XLPC/PVC或PVC/PVC钢带铠装电力电缆应满足IEC502标准、IEC840标准或GB12706.1～3标准，可直埋敷设，所有电缆必须有足够的强度以满足管线施工的需要，至少保证在地下0.7m处直埋敷设及在间隔50m的管道中牵引时不会受损伤。电力电缆应按国标GB12706.1～3 或IEC502、IEC840规定考核。</w:t>
      </w:r>
    </w:p>
    <w:p>
      <w:pPr>
        <w:pStyle w:val="5"/>
        <w:numPr>
          <w:ilvl w:val="0"/>
          <w:numId w:val="66"/>
        </w:numPr>
        <w:spacing w:before="163" w:beforeLines="0" w:after="163" w:afterLines="0"/>
        <w:jc w:val="both"/>
        <w:rPr>
          <w:szCs w:val="28"/>
          <w:highlight w:val="none"/>
        </w:rPr>
      </w:pPr>
      <w:r>
        <w:rPr>
          <w:szCs w:val="28"/>
          <w:highlight w:val="none"/>
        </w:rPr>
        <w:t>电压</w:t>
      </w:r>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0.4kV电缆的额定工频线电压1kV，额定工频相电压0.6kV。</w:t>
      </w:r>
    </w:p>
    <w:p>
      <w:pPr>
        <w:pStyle w:val="5"/>
        <w:numPr>
          <w:ilvl w:val="0"/>
          <w:numId w:val="66"/>
        </w:numPr>
        <w:spacing w:before="163" w:beforeLines="0" w:after="163" w:afterLines="0"/>
        <w:jc w:val="both"/>
        <w:rPr>
          <w:szCs w:val="28"/>
          <w:highlight w:val="none"/>
        </w:rPr>
      </w:pPr>
      <w:r>
        <w:rPr>
          <w:szCs w:val="28"/>
          <w:highlight w:val="none"/>
        </w:rPr>
        <w:t>直流电阻</w:t>
      </w:r>
    </w:p>
    <w:p>
      <w:pPr>
        <w:pStyle w:val="19"/>
        <w:spacing w:before="0" w:beforeAutospacing="0" w:after="0" w:afterAutospacing="0" w:line="360" w:lineRule="auto"/>
        <w:ind w:firstLine="482" w:firstLineChars="200"/>
        <w:jc w:val="both"/>
        <w:rPr>
          <w:rFonts w:ascii="Times New Roman" w:hAnsi="Times New Roman" w:eastAsia="宋体"/>
          <w:b/>
          <w:color w:val="000000"/>
          <w:highlight w:val="none"/>
        </w:rPr>
      </w:pPr>
      <w:r>
        <w:rPr>
          <w:rFonts w:ascii="Times New Roman" w:hAnsi="Times New Roman" w:eastAsia="宋体"/>
          <w:b/>
          <w:color w:val="000000"/>
          <w:highlight w:val="none"/>
        </w:rPr>
        <w:t>电缆导体的直流电阻20℃时应小于下列数值：</w:t>
      </w:r>
    </w:p>
    <w:tbl>
      <w:tblPr>
        <w:tblStyle w:val="16"/>
        <w:tblW w:w="9459" w:type="dxa"/>
        <w:tblInd w:w="0" w:type="dxa"/>
        <w:tblLayout w:type="fixed"/>
        <w:tblCellMar>
          <w:top w:w="15" w:type="dxa"/>
          <w:left w:w="15" w:type="dxa"/>
          <w:bottom w:w="15" w:type="dxa"/>
          <w:right w:w="15" w:type="dxa"/>
        </w:tblCellMar>
      </w:tblPr>
      <w:tblGrid>
        <w:gridCol w:w="3062"/>
        <w:gridCol w:w="1357"/>
        <w:gridCol w:w="1146"/>
        <w:gridCol w:w="1189"/>
        <w:gridCol w:w="1211"/>
        <w:gridCol w:w="1494"/>
      </w:tblGrid>
      <w:tr>
        <w:tblPrEx>
          <w:tblCellMar>
            <w:top w:w="15" w:type="dxa"/>
            <w:left w:w="15" w:type="dxa"/>
            <w:bottom w:w="15" w:type="dxa"/>
            <w:right w:w="15" w:type="dxa"/>
          </w:tblCellMar>
        </w:tblPrEx>
        <w:trPr>
          <w:trHeight w:val="340" w:hRule="atLeast"/>
        </w:trPr>
        <w:tc>
          <w:tcPr>
            <w:tcW w:w="306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导体标称截面(mm2)</w:t>
            </w:r>
          </w:p>
        </w:tc>
        <w:tc>
          <w:tcPr>
            <w:tcW w:w="135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w:t>
            </w:r>
          </w:p>
        </w:tc>
        <w:tc>
          <w:tcPr>
            <w:tcW w:w="114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2.5</w:t>
            </w:r>
          </w:p>
        </w:tc>
        <w:tc>
          <w:tcPr>
            <w:tcW w:w="1189"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w:t>
            </w:r>
          </w:p>
        </w:tc>
        <w:tc>
          <w:tcPr>
            <w:tcW w:w="121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w:t>
            </w:r>
          </w:p>
        </w:tc>
        <w:tc>
          <w:tcPr>
            <w:tcW w:w="149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w:t>
            </w:r>
          </w:p>
        </w:tc>
      </w:tr>
      <w:tr>
        <w:tblPrEx>
          <w:tblCellMar>
            <w:top w:w="15" w:type="dxa"/>
            <w:left w:w="15" w:type="dxa"/>
            <w:bottom w:w="15" w:type="dxa"/>
            <w:right w:w="15" w:type="dxa"/>
          </w:tblCellMar>
        </w:tblPrEx>
        <w:trPr>
          <w:trHeight w:val="340" w:hRule="atLeast"/>
        </w:trPr>
        <w:tc>
          <w:tcPr>
            <w:tcW w:w="306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最大导体直流电(Ω/km)</w:t>
            </w:r>
          </w:p>
        </w:tc>
        <w:tc>
          <w:tcPr>
            <w:tcW w:w="135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12.1</w:t>
            </w:r>
          </w:p>
        </w:tc>
        <w:tc>
          <w:tcPr>
            <w:tcW w:w="11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7.41</w:t>
            </w:r>
          </w:p>
        </w:tc>
        <w:tc>
          <w:tcPr>
            <w:tcW w:w="11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4.61</w:t>
            </w:r>
          </w:p>
        </w:tc>
        <w:tc>
          <w:tcPr>
            <w:tcW w:w="121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3.08</w:t>
            </w:r>
          </w:p>
        </w:tc>
        <w:tc>
          <w:tcPr>
            <w:tcW w:w="149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1.83</w:t>
            </w:r>
          </w:p>
        </w:tc>
      </w:tr>
      <w:tr>
        <w:tblPrEx>
          <w:tblCellMar>
            <w:top w:w="15" w:type="dxa"/>
            <w:left w:w="15" w:type="dxa"/>
            <w:bottom w:w="15" w:type="dxa"/>
            <w:right w:w="15" w:type="dxa"/>
          </w:tblCellMar>
        </w:tblPrEx>
        <w:trPr>
          <w:trHeight w:val="340" w:hRule="atLeast"/>
        </w:trPr>
        <w:tc>
          <w:tcPr>
            <w:tcW w:w="306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导体标称截面(mm</w:t>
            </w:r>
            <w:r>
              <w:rPr>
                <w:rFonts w:ascii="Times New Roman" w:hAnsi="Times New Roman" w:eastAsia="宋体"/>
                <w:color w:val="000000"/>
                <w:sz w:val="21"/>
                <w:szCs w:val="21"/>
                <w:highlight w:val="none"/>
                <w:vertAlign w:val="superscript"/>
              </w:rPr>
              <w:t>2</w:t>
            </w:r>
            <w:r>
              <w:rPr>
                <w:rFonts w:ascii="Times New Roman" w:hAnsi="Times New Roman" w:eastAsia="宋体"/>
                <w:color w:val="000000"/>
                <w:sz w:val="21"/>
                <w:szCs w:val="21"/>
                <w:highlight w:val="none"/>
              </w:rPr>
              <w:t>)</w:t>
            </w:r>
          </w:p>
        </w:tc>
        <w:tc>
          <w:tcPr>
            <w:tcW w:w="135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16</w:t>
            </w:r>
          </w:p>
        </w:tc>
        <w:tc>
          <w:tcPr>
            <w:tcW w:w="11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25</w:t>
            </w:r>
          </w:p>
        </w:tc>
        <w:tc>
          <w:tcPr>
            <w:tcW w:w="11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35</w:t>
            </w:r>
          </w:p>
        </w:tc>
        <w:tc>
          <w:tcPr>
            <w:tcW w:w="121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50</w:t>
            </w:r>
          </w:p>
        </w:tc>
        <w:tc>
          <w:tcPr>
            <w:tcW w:w="149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70</w:t>
            </w:r>
          </w:p>
        </w:tc>
      </w:tr>
      <w:tr>
        <w:trPr>
          <w:trHeight w:val="340" w:hRule="atLeast"/>
        </w:trPr>
        <w:tc>
          <w:tcPr>
            <w:tcW w:w="306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最大导体直流电(Ω/km)</w:t>
            </w:r>
          </w:p>
        </w:tc>
        <w:tc>
          <w:tcPr>
            <w:tcW w:w="135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1.15</w:t>
            </w:r>
          </w:p>
        </w:tc>
        <w:tc>
          <w:tcPr>
            <w:tcW w:w="11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0.727</w:t>
            </w:r>
          </w:p>
        </w:tc>
        <w:tc>
          <w:tcPr>
            <w:tcW w:w="11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0.524</w:t>
            </w:r>
          </w:p>
        </w:tc>
        <w:tc>
          <w:tcPr>
            <w:tcW w:w="121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0.387</w:t>
            </w:r>
          </w:p>
        </w:tc>
        <w:tc>
          <w:tcPr>
            <w:tcW w:w="149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0.268</w:t>
            </w:r>
          </w:p>
        </w:tc>
      </w:tr>
      <w:tr>
        <w:tblPrEx>
          <w:tblCellMar>
            <w:top w:w="15" w:type="dxa"/>
            <w:left w:w="15" w:type="dxa"/>
            <w:bottom w:w="15" w:type="dxa"/>
            <w:right w:w="15" w:type="dxa"/>
          </w:tblCellMar>
        </w:tblPrEx>
        <w:trPr>
          <w:trHeight w:val="340" w:hRule="atLeast"/>
        </w:trPr>
        <w:tc>
          <w:tcPr>
            <w:tcW w:w="306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导体标称截面(mm2)</w:t>
            </w:r>
          </w:p>
        </w:tc>
        <w:tc>
          <w:tcPr>
            <w:tcW w:w="135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95</w:t>
            </w:r>
          </w:p>
        </w:tc>
        <w:tc>
          <w:tcPr>
            <w:tcW w:w="11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120</w:t>
            </w:r>
          </w:p>
        </w:tc>
        <w:tc>
          <w:tcPr>
            <w:tcW w:w="11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150</w:t>
            </w:r>
          </w:p>
        </w:tc>
        <w:tc>
          <w:tcPr>
            <w:tcW w:w="121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185</w:t>
            </w:r>
          </w:p>
        </w:tc>
        <w:tc>
          <w:tcPr>
            <w:tcW w:w="149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240</w:t>
            </w:r>
          </w:p>
        </w:tc>
      </w:tr>
      <w:tr>
        <w:tblPrEx>
          <w:tblCellMar>
            <w:top w:w="15" w:type="dxa"/>
            <w:left w:w="15" w:type="dxa"/>
            <w:bottom w:w="15" w:type="dxa"/>
            <w:right w:w="15" w:type="dxa"/>
          </w:tblCellMar>
        </w:tblPrEx>
        <w:trPr>
          <w:trHeight w:val="340" w:hRule="atLeast"/>
        </w:trPr>
        <w:tc>
          <w:tcPr>
            <w:tcW w:w="306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最大导体直流电(Ω/km)</w:t>
            </w:r>
          </w:p>
        </w:tc>
        <w:tc>
          <w:tcPr>
            <w:tcW w:w="135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0.193</w:t>
            </w:r>
          </w:p>
        </w:tc>
        <w:tc>
          <w:tcPr>
            <w:tcW w:w="114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0.153</w:t>
            </w:r>
          </w:p>
        </w:tc>
        <w:tc>
          <w:tcPr>
            <w:tcW w:w="1189"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0.124</w:t>
            </w:r>
          </w:p>
        </w:tc>
        <w:tc>
          <w:tcPr>
            <w:tcW w:w="1211"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0.0991</w:t>
            </w:r>
          </w:p>
        </w:tc>
        <w:tc>
          <w:tcPr>
            <w:tcW w:w="149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0.0754</w:t>
            </w:r>
          </w:p>
        </w:tc>
      </w:tr>
    </w:tbl>
    <w:p>
      <w:pPr>
        <w:pStyle w:val="5"/>
        <w:numPr>
          <w:ilvl w:val="0"/>
          <w:numId w:val="66"/>
        </w:numPr>
        <w:spacing w:before="163" w:beforeLines="0" w:after="163" w:afterLines="0"/>
        <w:jc w:val="both"/>
        <w:rPr>
          <w:szCs w:val="28"/>
          <w:highlight w:val="none"/>
        </w:rPr>
      </w:pPr>
      <w:r>
        <w:rPr>
          <w:szCs w:val="28"/>
          <w:highlight w:val="none"/>
        </w:rPr>
        <w:t>短路电流</w:t>
      </w:r>
    </w:p>
    <w:tbl>
      <w:tblPr>
        <w:tblStyle w:val="16"/>
        <w:tblW w:w="9325" w:type="dxa"/>
        <w:tblInd w:w="134" w:type="dxa"/>
        <w:tblLayout w:type="fixed"/>
        <w:tblCellMar>
          <w:top w:w="15" w:type="dxa"/>
          <w:left w:w="15" w:type="dxa"/>
          <w:bottom w:w="15" w:type="dxa"/>
          <w:right w:w="15" w:type="dxa"/>
        </w:tblCellMar>
      </w:tblPr>
      <w:tblGrid>
        <w:gridCol w:w="2551"/>
        <w:gridCol w:w="3544"/>
        <w:gridCol w:w="3230"/>
      </w:tblGrid>
      <w:tr>
        <w:trPr>
          <w:trHeight w:val="340" w:hRule="atLeast"/>
        </w:trPr>
        <w:tc>
          <w:tcPr>
            <w:tcW w:w="255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导体截面积（mm</w:t>
            </w:r>
            <w:r>
              <w:rPr>
                <w:rFonts w:ascii="Times New Roman" w:hAnsi="Times New Roman" w:eastAsia="宋体"/>
                <w:color w:val="000000"/>
                <w:sz w:val="21"/>
                <w:szCs w:val="21"/>
                <w:highlight w:val="none"/>
                <w:vertAlign w:val="superscript"/>
              </w:rPr>
              <w:t>2</w:t>
            </w:r>
            <w:r>
              <w:rPr>
                <w:rFonts w:ascii="Times New Roman" w:hAnsi="Times New Roman" w:eastAsia="宋体"/>
                <w:color w:val="000000"/>
                <w:sz w:val="21"/>
                <w:szCs w:val="21"/>
                <w:highlight w:val="none"/>
              </w:rPr>
              <w:t>）</w:t>
            </w:r>
          </w:p>
        </w:tc>
        <w:tc>
          <w:tcPr>
            <w:tcW w:w="3544"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导体短路电流值（kA）</w:t>
            </w:r>
          </w:p>
        </w:tc>
        <w:tc>
          <w:tcPr>
            <w:tcW w:w="323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短路电流持续时间（S）</w:t>
            </w:r>
          </w:p>
        </w:tc>
      </w:tr>
      <w:tr>
        <w:tblPrEx>
          <w:tblCellMar>
            <w:top w:w="15" w:type="dxa"/>
            <w:left w:w="15" w:type="dxa"/>
            <w:bottom w:w="15" w:type="dxa"/>
            <w:right w:w="15" w:type="dxa"/>
          </w:tblCellMar>
        </w:tblPrEx>
        <w:trPr>
          <w:trHeight w:val="340" w:hRule="atLeast"/>
        </w:trPr>
        <w:tc>
          <w:tcPr>
            <w:tcW w:w="255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300</w:t>
            </w:r>
          </w:p>
        </w:tc>
        <w:tc>
          <w:tcPr>
            <w:tcW w:w="354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43</w:t>
            </w:r>
          </w:p>
        </w:tc>
        <w:tc>
          <w:tcPr>
            <w:tcW w:w="3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r>
      <w:tr>
        <w:tblPrEx>
          <w:tblCellMar>
            <w:top w:w="15" w:type="dxa"/>
            <w:left w:w="15" w:type="dxa"/>
            <w:bottom w:w="15" w:type="dxa"/>
            <w:right w:w="15" w:type="dxa"/>
          </w:tblCellMar>
        </w:tblPrEx>
        <w:trPr>
          <w:trHeight w:val="340" w:hRule="atLeast"/>
        </w:trPr>
        <w:tc>
          <w:tcPr>
            <w:tcW w:w="255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240</w:t>
            </w:r>
          </w:p>
        </w:tc>
        <w:tc>
          <w:tcPr>
            <w:tcW w:w="354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34</w:t>
            </w:r>
          </w:p>
        </w:tc>
        <w:tc>
          <w:tcPr>
            <w:tcW w:w="3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r>
      <w:tr>
        <w:tblPrEx>
          <w:tblCellMar>
            <w:top w:w="15" w:type="dxa"/>
            <w:left w:w="15" w:type="dxa"/>
            <w:bottom w:w="15" w:type="dxa"/>
            <w:right w:w="15" w:type="dxa"/>
          </w:tblCellMar>
        </w:tblPrEx>
        <w:trPr>
          <w:trHeight w:val="340" w:hRule="atLeast"/>
        </w:trPr>
        <w:tc>
          <w:tcPr>
            <w:tcW w:w="255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185</w:t>
            </w:r>
          </w:p>
        </w:tc>
        <w:tc>
          <w:tcPr>
            <w:tcW w:w="354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26</w:t>
            </w:r>
          </w:p>
        </w:tc>
        <w:tc>
          <w:tcPr>
            <w:tcW w:w="3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r>
      <w:tr>
        <w:tblPrEx>
          <w:tblCellMar>
            <w:top w:w="15" w:type="dxa"/>
            <w:left w:w="15" w:type="dxa"/>
            <w:bottom w:w="15" w:type="dxa"/>
            <w:right w:w="15" w:type="dxa"/>
          </w:tblCellMar>
        </w:tblPrEx>
        <w:trPr>
          <w:trHeight w:val="340" w:hRule="atLeast"/>
        </w:trPr>
        <w:tc>
          <w:tcPr>
            <w:tcW w:w="255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150</w:t>
            </w:r>
          </w:p>
        </w:tc>
        <w:tc>
          <w:tcPr>
            <w:tcW w:w="354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21</w:t>
            </w:r>
          </w:p>
        </w:tc>
        <w:tc>
          <w:tcPr>
            <w:tcW w:w="3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r>
      <w:tr>
        <w:tblPrEx>
          <w:tblCellMar>
            <w:top w:w="15" w:type="dxa"/>
            <w:left w:w="15" w:type="dxa"/>
            <w:bottom w:w="15" w:type="dxa"/>
            <w:right w:w="15" w:type="dxa"/>
          </w:tblCellMar>
        </w:tblPrEx>
        <w:trPr>
          <w:trHeight w:val="340" w:hRule="atLeast"/>
        </w:trPr>
        <w:tc>
          <w:tcPr>
            <w:tcW w:w="255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120</w:t>
            </w:r>
          </w:p>
        </w:tc>
        <w:tc>
          <w:tcPr>
            <w:tcW w:w="354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17</w:t>
            </w:r>
          </w:p>
        </w:tc>
        <w:tc>
          <w:tcPr>
            <w:tcW w:w="3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r>
      <w:tr>
        <w:tblPrEx>
          <w:tblCellMar>
            <w:top w:w="15" w:type="dxa"/>
            <w:left w:w="15" w:type="dxa"/>
            <w:bottom w:w="15" w:type="dxa"/>
            <w:right w:w="15" w:type="dxa"/>
          </w:tblCellMar>
        </w:tblPrEx>
        <w:trPr>
          <w:trHeight w:val="340" w:hRule="atLeast"/>
        </w:trPr>
        <w:tc>
          <w:tcPr>
            <w:tcW w:w="255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95</w:t>
            </w:r>
          </w:p>
        </w:tc>
        <w:tc>
          <w:tcPr>
            <w:tcW w:w="354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13</w:t>
            </w:r>
          </w:p>
        </w:tc>
        <w:tc>
          <w:tcPr>
            <w:tcW w:w="3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r>
      <w:tr>
        <w:tblPrEx>
          <w:tblCellMar>
            <w:top w:w="15" w:type="dxa"/>
            <w:left w:w="15" w:type="dxa"/>
            <w:bottom w:w="15" w:type="dxa"/>
            <w:right w:w="15" w:type="dxa"/>
          </w:tblCellMar>
        </w:tblPrEx>
        <w:trPr>
          <w:trHeight w:val="340" w:hRule="atLeast"/>
        </w:trPr>
        <w:tc>
          <w:tcPr>
            <w:tcW w:w="2551"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70</w:t>
            </w:r>
          </w:p>
        </w:tc>
        <w:tc>
          <w:tcPr>
            <w:tcW w:w="3544"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w:t>
            </w:r>
          </w:p>
        </w:tc>
        <w:tc>
          <w:tcPr>
            <w:tcW w:w="323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r>
    </w:tbl>
    <w:p>
      <w:pPr>
        <w:pStyle w:val="4"/>
        <w:rPr>
          <w:sz w:val="24"/>
          <w:szCs w:val="28"/>
          <w:highlight w:val="none"/>
        </w:rPr>
      </w:pPr>
      <w:bookmarkStart w:id="177" w:name="_Toc133335458"/>
      <w:r>
        <w:rPr>
          <w:sz w:val="24"/>
          <w:szCs w:val="28"/>
          <w:highlight w:val="none"/>
        </w:rPr>
        <w:t>10.1.2.16 缆技术要求</w:t>
      </w:r>
      <w:bookmarkEnd w:id="177"/>
    </w:p>
    <w:p>
      <w:pPr>
        <w:pStyle w:val="19"/>
        <w:spacing w:before="0" w:beforeAutospacing="0" w:after="0" w:afterAutospacing="0"/>
        <w:jc w:val="center"/>
        <w:rPr>
          <w:rFonts w:ascii="Times New Roman" w:hAnsi="Times New Roman" w:eastAsia="宋体"/>
          <w:b/>
          <w:highlight w:val="none"/>
        </w:rPr>
      </w:pPr>
      <w:r>
        <w:rPr>
          <w:rFonts w:ascii="Times New Roman" w:hAnsi="Times New Roman" w:eastAsia="宋体"/>
          <w:b/>
          <w:color w:val="000000"/>
          <w:highlight w:val="none"/>
        </w:rPr>
        <w:t>0.6/1kV挤包绝缘电力电缆结构参数表</w:t>
      </w:r>
    </w:p>
    <w:tbl>
      <w:tblPr>
        <w:tblStyle w:val="16"/>
        <w:tblpPr w:leftFromText="180" w:rightFromText="180" w:vertAnchor="text" w:horzAnchor="page" w:tblpX="1416" w:tblpY="477"/>
        <w:tblOverlap w:val="never"/>
        <w:tblW w:w="9566" w:type="dxa"/>
        <w:tblInd w:w="0" w:type="dxa"/>
        <w:tblLayout w:type="fixed"/>
        <w:tblCellMar>
          <w:top w:w="15" w:type="dxa"/>
          <w:left w:w="15" w:type="dxa"/>
          <w:bottom w:w="15" w:type="dxa"/>
          <w:right w:w="15" w:type="dxa"/>
        </w:tblCellMar>
      </w:tblPr>
      <w:tblGrid>
        <w:gridCol w:w="882"/>
        <w:gridCol w:w="1493"/>
        <w:gridCol w:w="3627"/>
        <w:gridCol w:w="882"/>
        <w:gridCol w:w="1797"/>
        <w:gridCol w:w="885"/>
      </w:tblGrid>
      <w:tr>
        <w:tblPrEx>
          <w:tblCellMar>
            <w:top w:w="15" w:type="dxa"/>
            <w:left w:w="15" w:type="dxa"/>
            <w:bottom w:w="15" w:type="dxa"/>
            <w:right w:w="15" w:type="dxa"/>
          </w:tblCellMar>
        </w:tblPrEx>
        <w:trPr>
          <w:trHeight w:val="405" w:hRule="atLeast"/>
        </w:trPr>
        <w:tc>
          <w:tcPr>
            <w:tcW w:w="88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序号</w:t>
            </w:r>
          </w:p>
        </w:tc>
        <w:tc>
          <w:tcPr>
            <w:tcW w:w="5120"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 目</w:t>
            </w:r>
          </w:p>
        </w:tc>
        <w:tc>
          <w:tcPr>
            <w:tcW w:w="88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单位</w:t>
            </w:r>
          </w:p>
        </w:tc>
        <w:tc>
          <w:tcPr>
            <w:tcW w:w="179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标准参数值</w:t>
            </w:r>
          </w:p>
        </w:tc>
        <w:tc>
          <w:tcPr>
            <w:tcW w:w="88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highlight w:val="none"/>
              </w:rPr>
            </w:pPr>
            <w:r>
              <w:rPr>
                <w:rFonts w:ascii="Times New Roman" w:hAnsi="Times New Roman" w:eastAsia="宋体"/>
                <w:color w:val="000000"/>
                <w:highlight w:val="none"/>
              </w:rPr>
              <w:t>备注</w:t>
            </w:r>
          </w:p>
        </w:tc>
      </w:tr>
      <w:tr>
        <w:tblPrEx>
          <w:tblCellMar>
            <w:top w:w="15" w:type="dxa"/>
            <w:left w:w="15" w:type="dxa"/>
            <w:bottom w:w="15" w:type="dxa"/>
            <w:right w:w="15" w:type="dxa"/>
          </w:tblCellMar>
        </w:tblPrEx>
        <w:trPr>
          <w:trHeight w:val="405" w:hRule="atLeast"/>
        </w:trPr>
        <w:tc>
          <w:tcPr>
            <w:tcW w:w="88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c>
          <w:tcPr>
            <w:tcW w:w="5120"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电缆型号</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2682"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270" w:hRule="atLeast"/>
        </w:trPr>
        <w:tc>
          <w:tcPr>
            <w:tcW w:w="882"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w:t>
            </w:r>
          </w:p>
        </w:tc>
        <w:tc>
          <w:tcPr>
            <w:tcW w:w="1493"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 xml:space="preserve">  铜导体</w:t>
            </w:r>
          </w:p>
        </w:tc>
        <w:tc>
          <w:tcPr>
            <w:tcW w:w="36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材料</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铜</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highlight w:val="none"/>
              </w:rPr>
            </w:pPr>
          </w:p>
        </w:tc>
      </w:tr>
      <w:tr>
        <w:tblPrEx>
          <w:tblCellMar>
            <w:top w:w="15" w:type="dxa"/>
            <w:left w:w="15" w:type="dxa"/>
            <w:bottom w:w="15" w:type="dxa"/>
            <w:right w:w="15" w:type="dxa"/>
          </w:tblCellMar>
        </w:tblPrEx>
        <w:trPr>
          <w:trHeight w:val="195"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材料生产厂及牌号</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highlight w:val="none"/>
              </w:rPr>
            </w:pPr>
          </w:p>
        </w:tc>
      </w:tr>
      <w:tr>
        <w:tblPrEx>
          <w:tblCellMar>
            <w:top w:w="15" w:type="dxa"/>
            <w:left w:w="15" w:type="dxa"/>
            <w:bottom w:w="15" w:type="dxa"/>
            <w:right w:w="15" w:type="dxa"/>
          </w:tblCellMar>
        </w:tblPrEx>
        <w:trPr>
          <w:trHeight w:val="422"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结构形式</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圆形紧压</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highlight w:val="none"/>
              </w:rPr>
            </w:pPr>
          </w:p>
        </w:tc>
      </w:tr>
      <w:tr>
        <w:tblPrEx>
          <w:tblCellMar>
            <w:top w:w="15" w:type="dxa"/>
            <w:left w:w="15" w:type="dxa"/>
            <w:bottom w:w="15" w:type="dxa"/>
            <w:right w:w="15" w:type="dxa"/>
          </w:tblCellMar>
        </w:tblPrEx>
        <w:trPr>
          <w:trHeight w:val="157"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紧压系数</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≥0.9</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highlight w:val="none"/>
              </w:rPr>
            </w:pPr>
          </w:p>
        </w:tc>
      </w:tr>
      <w:tr>
        <w:tblPrEx>
          <w:tblCellMar>
            <w:top w:w="15" w:type="dxa"/>
            <w:left w:w="15" w:type="dxa"/>
            <w:bottom w:w="15" w:type="dxa"/>
            <w:right w:w="15" w:type="dxa"/>
          </w:tblCellMar>
        </w:tblPrEx>
        <w:trPr>
          <w:trHeight w:val="225" w:hRule="atLeast"/>
        </w:trPr>
        <w:tc>
          <w:tcPr>
            <w:tcW w:w="882"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w:t>
            </w:r>
          </w:p>
        </w:tc>
        <w:tc>
          <w:tcPr>
            <w:tcW w:w="1493"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绝缘</w:t>
            </w:r>
          </w:p>
        </w:tc>
        <w:tc>
          <w:tcPr>
            <w:tcW w:w="36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材料、生产厂及牌号</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221"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最薄点厚度不小于标称值</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90</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221"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偏心度</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233" w:hRule="atLeast"/>
        </w:trPr>
        <w:tc>
          <w:tcPr>
            <w:tcW w:w="882"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w:t>
            </w:r>
          </w:p>
        </w:tc>
        <w:tc>
          <w:tcPr>
            <w:tcW w:w="1493"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金属屏蔽</w:t>
            </w:r>
          </w:p>
        </w:tc>
        <w:tc>
          <w:tcPr>
            <w:tcW w:w="36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铜带层数</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层</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233"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铜带厚度</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mm</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≥0.10</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233"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搭盖率不小于</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355" w:hRule="atLeast"/>
        </w:trPr>
        <w:tc>
          <w:tcPr>
            <w:tcW w:w="88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w:t>
            </w:r>
          </w:p>
        </w:tc>
        <w:tc>
          <w:tcPr>
            <w:tcW w:w="14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填充层</w:t>
            </w:r>
          </w:p>
        </w:tc>
        <w:tc>
          <w:tcPr>
            <w:tcW w:w="36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填充材料</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255" w:hRule="atLeast"/>
        </w:trPr>
        <w:tc>
          <w:tcPr>
            <w:tcW w:w="88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7</w:t>
            </w:r>
          </w:p>
        </w:tc>
        <w:tc>
          <w:tcPr>
            <w:tcW w:w="14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隔离套</w:t>
            </w:r>
          </w:p>
        </w:tc>
        <w:tc>
          <w:tcPr>
            <w:tcW w:w="36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挤包材料</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337" w:hRule="atLeast"/>
        </w:trPr>
        <w:tc>
          <w:tcPr>
            <w:tcW w:w="882"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w:t>
            </w:r>
          </w:p>
        </w:tc>
        <w:tc>
          <w:tcPr>
            <w:tcW w:w="149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内衬层</w:t>
            </w:r>
          </w:p>
        </w:tc>
        <w:tc>
          <w:tcPr>
            <w:tcW w:w="36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材料</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285" w:hRule="atLeast"/>
        </w:trPr>
        <w:tc>
          <w:tcPr>
            <w:tcW w:w="882"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9</w:t>
            </w:r>
          </w:p>
        </w:tc>
        <w:tc>
          <w:tcPr>
            <w:tcW w:w="1493"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铠装层</w:t>
            </w:r>
          </w:p>
        </w:tc>
        <w:tc>
          <w:tcPr>
            <w:tcW w:w="36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材料</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镀锌钢带</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158"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钢带厚度直径</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mm</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0.2~0.8</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429"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钢带层数</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层</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210" w:hRule="atLeast"/>
        </w:trPr>
        <w:tc>
          <w:tcPr>
            <w:tcW w:w="882"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w:t>
            </w:r>
          </w:p>
        </w:tc>
        <w:tc>
          <w:tcPr>
            <w:tcW w:w="1493"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外护套</w:t>
            </w:r>
          </w:p>
        </w:tc>
        <w:tc>
          <w:tcPr>
            <w:tcW w:w="362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材料</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PVC/PE</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150"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材料生产厂及牌号</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150"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颜色</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黑色/红色</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150" w:hRule="atLeast"/>
        </w:trPr>
        <w:tc>
          <w:tcPr>
            <w:tcW w:w="882"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1493"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627"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最薄点厚度不小于标称值</w:t>
            </w:r>
          </w:p>
        </w:tc>
        <w:tc>
          <w:tcPr>
            <w:tcW w:w="882"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797"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80</w:t>
            </w:r>
          </w:p>
        </w:tc>
        <w:tc>
          <w:tcPr>
            <w:tcW w:w="88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bl>
    <w:p>
      <w:pPr>
        <w:pStyle w:val="19"/>
        <w:spacing w:before="0" w:beforeAutospacing="0" w:after="0" w:afterAutospacing="0" w:line="360" w:lineRule="auto"/>
        <w:jc w:val="center"/>
        <w:rPr>
          <w:rFonts w:ascii="Times New Roman" w:hAnsi="Times New Roman" w:eastAsia="宋体"/>
          <w:b/>
          <w:bCs/>
          <w:color w:val="000000"/>
          <w:highlight w:val="none"/>
        </w:rPr>
      </w:pPr>
    </w:p>
    <w:p>
      <w:pPr>
        <w:pStyle w:val="19"/>
        <w:spacing w:before="0" w:beforeAutospacing="0" w:after="0" w:afterAutospacing="0" w:line="360" w:lineRule="auto"/>
        <w:jc w:val="center"/>
        <w:rPr>
          <w:rFonts w:ascii="Times New Roman" w:hAnsi="Times New Roman" w:eastAsia="宋体"/>
          <w:b/>
          <w:bCs/>
          <w:color w:val="000000"/>
          <w:highlight w:val="none"/>
        </w:rPr>
      </w:pPr>
      <w:r>
        <w:rPr>
          <w:rFonts w:ascii="Times New Roman" w:hAnsi="Times New Roman" w:eastAsia="宋体"/>
          <w:b/>
          <w:bCs/>
          <w:color w:val="000000"/>
          <w:highlight w:val="none"/>
        </w:rPr>
        <w:t xml:space="preserve"> 0.6/1kV挤包绝缘电力电缆技术参数表</w:t>
      </w:r>
    </w:p>
    <w:tbl>
      <w:tblPr>
        <w:tblStyle w:val="16"/>
        <w:tblW w:w="9546" w:type="dxa"/>
        <w:tblInd w:w="0" w:type="dxa"/>
        <w:tblLayout w:type="fixed"/>
        <w:tblCellMar>
          <w:top w:w="15" w:type="dxa"/>
          <w:left w:w="15" w:type="dxa"/>
          <w:bottom w:w="15" w:type="dxa"/>
          <w:right w:w="15" w:type="dxa"/>
        </w:tblCellMar>
      </w:tblPr>
      <w:tblGrid>
        <w:gridCol w:w="696"/>
        <w:gridCol w:w="3336"/>
        <w:gridCol w:w="950"/>
        <w:gridCol w:w="683"/>
        <w:gridCol w:w="816"/>
        <w:gridCol w:w="3065"/>
      </w:tblGrid>
      <w:tr>
        <w:tblPrEx>
          <w:tblCellMar>
            <w:top w:w="15" w:type="dxa"/>
            <w:left w:w="15" w:type="dxa"/>
            <w:bottom w:w="15" w:type="dxa"/>
            <w:right w:w="15" w:type="dxa"/>
          </w:tblCellMar>
        </w:tblPrEx>
        <w:trPr>
          <w:trHeight w:val="465" w:hRule="atLeast"/>
        </w:trPr>
        <w:tc>
          <w:tcPr>
            <w:tcW w:w="6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序号</w:t>
            </w:r>
          </w:p>
        </w:tc>
        <w:tc>
          <w:tcPr>
            <w:tcW w:w="333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 目</w:t>
            </w:r>
          </w:p>
        </w:tc>
        <w:tc>
          <w:tcPr>
            <w:tcW w:w="95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单位</w:t>
            </w:r>
          </w:p>
        </w:tc>
        <w:tc>
          <w:tcPr>
            <w:tcW w:w="1499" w:type="dxa"/>
            <w:gridSpan w:val="2"/>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标准参数值</w:t>
            </w:r>
          </w:p>
        </w:tc>
        <w:tc>
          <w:tcPr>
            <w:tcW w:w="3065"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备注</w:t>
            </w:r>
          </w:p>
        </w:tc>
      </w:tr>
      <w:tr>
        <w:tblPrEx>
          <w:tblCellMar>
            <w:top w:w="15" w:type="dxa"/>
            <w:left w:w="15" w:type="dxa"/>
            <w:bottom w:w="15" w:type="dxa"/>
            <w:right w:w="15" w:type="dxa"/>
          </w:tblCellMar>
        </w:tblPrEx>
        <w:trPr>
          <w:trHeight w:val="465" w:hRule="atLeast"/>
        </w:trPr>
        <w:tc>
          <w:tcPr>
            <w:tcW w:w="6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c>
          <w:tcPr>
            <w:tcW w:w="33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电缆型号</w:t>
            </w:r>
          </w:p>
        </w:tc>
        <w:tc>
          <w:tcPr>
            <w:tcW w:w="2449" w:type="dxa"/>
            <w:gridSpan w:val="3"/>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ZR-YJV22</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570" w:hRule="atLeast"/>
        </w:trPr>
        <w:tc>
          <w:tcPr>
            <w:tcW w:w="6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w:t>
            </w:r>
          </w:p>
        </w:tc>
        <w:tc>
          <w:tcPr>
            <w:tcW w:w="33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20℃时铜导体最大直流电阻</w:t>
            </w:r>
          </w:p>
        </w:tc>
        <w:tc>
          <w:tcPr>
            <w:tcW w:w="9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Ω/km</w:t>
            </w:r>
          </w:p>
        </w:tc>
        <w:tc>
          <w:tcPr>
            <w:tcW w:w="68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铜</w:t>
            </w:r>
          </w:p>
        </w:tc>
        <w:tc>
          <w:tcPr>
            <w:tcW w:w="81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铜</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465" w:hRule="atLeast"/>
        </w:trPr>
        <w:tc>
          <w:tcPr>
            <w:tcW w:w="696" w:type="dxa"/>
            <w:vMerge w:val="restart"/>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w:t>
            </w:r>
          </w:p>
        </w:tc>
        <w:tc>
          <w:tcPr>
            <w:tcW w:w="3336"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导体温度</w:t>
            </w:r>
          </w:p>
        </w:tc>
        <w:tc>
          <w:tcPr>
            <w:tcW w:w="950" w:type="dxa"/>
            <w:vMerge w:val="restart"/>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68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PVC</w:t>
            </w:r>
          </w:p>
        </w:tc>
        <w:tc>
          <w:tcPr>
            <w:tcW w:w="81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XLPE</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465" w:hRule="atLeast"/>
        </w:trPr>
        <w:tc>
          <w:tcPr>
            <w:tcW w:w="696"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336"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950"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68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70</w:t>
            </w:r>
          </w:p>
        </w:tc>
        <w:tc>
          <w:tcPr>
            <w:tcW w:w="81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90</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正常运行时最高允许温度</w:t>
            </w:r>
          </w:p>
        </w:tc>
      </w:tr>
      <w:tr>
        <w:tblPrEx>
          <w:tblCellMar>
            <w:top w:w="15" w:type="dxa"/>
            <w:left w:w="15" w:type="dxa"/>
            <w:bottom w:w="15" w:type="dxa"/>
            <w:right w:w="15" w:type="dxa"/>
          </w:tblCellMar>
        </w:tblPrEx>
        <w:trPr>
          <w:trHeight w:val="465" w:hRule="atLeast"/>
        </w:trPr>
        <w:tc>
          <w:tcPr>
            <w:tcW w:w="696" w:type="dxa"/>
            <w:vMerge w:val="continue"/>
            <w:tcBorders>
              <w:top w:val="single" w:color="000000"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3336"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950" w:type="dxa"/>
            <w:vMerge w:val="continue"/>
            <w:tcBorders>
              <w:top w:val="single" w:color="CBCDD1" w:sz="6" w:space="0"/>
              <w:left w:val="single" w:color="000000" w:sz="6" w:space="0"/>
              <w:bottom w:val="single" w:color="000000" w:sz="6" w:space="0"/>
              <w:right w:val="single" w:color="000000" w:sz="6" w:space="0"/>
            </w:tcBorders>
            <w:noWrap w:val="0"/>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c>
          <w:tcPr>
            <w:tcW w:w="68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160</w:t>
            </w:r>
          </w:p>
        </w:tc>
        <w:tc>
          <w:tcPr>
            <w:tcW w:w="81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250</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短路时最高允许温度</w:t>
            </w:r>
          </w:p>
        </w:tc>
      </w:tr>
      <w:tr>
        <w:tblPrEx>
          <w:tblCellMar>
            <w:top w:w="15" w:type="dxa"/>
            <w:left w:w="15" w:type="dxa"/>
            <w:bottom w:w="15" w:type="dxa"/>
            <w:right w:w="15" w:type="dxa"/>
          </w:tblCellMar>
        </w:tblPrEx>
        <w:trPr>
          <w:trHeight w:val="465" w:hRule="atLeast"/>
        </w:trPr>
        <w:tc>
          <w:tcPr>
            <w:tcW w:w="6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w:t>
            </w:r>
          </w:p>
        </w:tc>
        <w:tc>
          <w:tcPr>
            <w:tcW w:w="33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出厂工频电压试验</w:t>
            </w:r>
          </w:p>
        </w:tc>
        <w:tc>
          <w:tcPr>
            <w:tcW w:w="9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kV/min</w:t>
            </w:r>
          </w:p>
        </w:tc>
        <w:tc>
          <w:tcPr>
            <w:tcW w:w="1499"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3.5/5</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465" w:hRule="atLeast"/>
        </w:trPr>
        <w:tc>
          <w:tcPr>
            <w:tcW w:w="6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w:t>
            </w:r>
          </w:p>
        </w:tc>
        <w:tc>
          <w:tcPr>
            <w:tcW w:w="33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电缆敷设时允许环境温度</w:t>
            </w:r>
          </w:p>
        </w:tc>
        <w:tc>
          <w:tcPr>
            <w:tcW w:w="9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499"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≥0</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615" w:hRule="atLeast"/>
        </w:trPr>
        <w:tc>
          <w:tcPr>
            <w:tcW w:w="6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w:t>
            </w:r>
          </w:p>
        </w:tc>
        <w:tc>
          <w:tcPr>
            <w:tcW w:w="33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电缆在正常使用条件下的寿命</w:t>
            </w:r>
          </w:p>
        </w:tc>
        <w:tc>
          <w:tcPr>
            <w:tcW w:w="9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年</w:t>
            </w:r>
          </w:p>
        </w:tc>
        <w:tc>
          <w:tcPr>
            <w:tcW w:w="1499"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≥30</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p>
        </w:tc>
      </w:tr>
      <w:tr>
        <w:tblPrEx>
          <w:tblCellMar>
            <w:top w:w="15" w:type="dxa"/>
            <w:left w:w="15" w:type="dxa"/>
            <w:bottom w:w="15" w:type="dxa"/>
            <w:right w:w="15" w:type="dxa"/>
          </w:tblCellMar>
        </w:tblPrEx>
        <w:trPr>
          <w:trHeight w:val="465" w:hRule="atLeast"/>
        </w:trPr>
        <w:tc>
          <w:tcPr>
            <w:tcW w:w="6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7</w:t>
            </w:r>
          </w:p>
        </w:tc>
        <w:tc>
          <w:tcPr>
            <w:tcW w:w="33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最大烟密度（低烟）</w:t>
            </w:r>
          </w:p>
        </w:tc>
        <w:tc>
          <w:tcPr>
            <w:tcW w:w="9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499"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60</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采用阻燃电缆时填写</w:t>
            </w:r>
          </w:p>
        </w:tc>
      </w:tr>
      <w:tr>
        <w:tblPrEx>
          <w:tblCellMar>
            <w:top w:w="15" w:type="dxa"/>
            <w:left w:w="15" w:type="dxa"/>
            <w:bottom w:w="15" w:type="dxa"/>
            <w:right w:w="15" w:type="dxa"/>
          </w:tblCellMar>
        </w:tblPrEx>
        <w:trPr>
          <w:trHeight w:val="465" w:hRule="atLeast"/>
        </w:trPr>
        <w:tc>
          <w:tcPr>
            <w:tcW w:w="6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w:t>
            </w:r>
          </w:p>
        </w:tc>
        <w:tc>
          <w:tcPr>
            <w:tcW w:w="33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最大烟密度（低烟）</w:t>
            </w:r>
          </w:p>
        </w:tc>
        <w:tc>
          <w:tcPr>
            <w:tcW w:w="9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w:t>
            </w:r>
          </w:p>
        </w:tc>
        <w:tc>
          <w:tcPr>
            <w:tcW w:w="1499"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80</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采用低烟无卤电缆时填写</w:t>
            </w:r>
          </w:p>
        </w:tc>
      </w:tr>
      <w:tr>
        <w:tblPrEx>
          <w:tblCellMar>
            <w:top w:w="15" w:type="dxa"/>
            <w:left w:w="15" w:type="dxa"/>
            <w:bottom w:w="15" w:type="dxa"/>
            <w:right w:w="15" w:type="dxa"/>
          </w:tblCellMar>
        </w:tblPrEx>
        <w:trPr>
          <w:trHeight w:val="465" w:hRule="atLeast"/>
        </w:trPr>
        <w:tc>
          <w:tcPr>
            <w:tcW w:w="69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9</w:t>
            </w:r>
          </w:p>
        </w:tc>
        <w:tc>
          <w:tcPr>
            <w:tcW w:w="3336"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电缆阻燃级别</w:t>
            </w:r>
          </w:p>
        </w:tc>
        <w:tc>
          <w:tcPr>
            <w:tcW w:w="95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级</w:t>
            </w:r>
          </w:p>
        </w:tc>
        <w:tc>
          <w:tcPr>
            <w:tcW w:w="1499" w:type="dxa"/>
            <w:gridSpan w:val="2"/>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投标人填写</w:t>
            </w:r>
          </w:p>
        </w:tc>
        <w:tc>
          <w:tcPr>
            <w:tcW w:w="3065"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采用阻燃电缆时填写</w:t>
            </w:r>
          </w:p>
        </w:tc>
      </w:tr>
    </w:tbl>
    <w:p>
      <w:pPr>
        <w:pStyle w:val="3"/>
        <w:rPr>
          <w:sz w:val="28"/>
          <w:szCs w:val="28"/>
          <w:highlight w:val="none"/>
        </w:rPr>
      </w:pPr>
      <w:bookmarkStart w:id="178" w:name="_Toc133335459"/>
      <w:r>
        <w:rPr>
          <w:sz w:val="28"/>
          <w:szCs w:val="28"/>
          <w:highlight w:val="none"/>
        </w:rPr>
        <w:t>10.2 低压热镀锌桥架技术要求</w:t>
      </w:r>
      <w:bookmarkEnd w:id="178"/>
    </w:p>
    <w:p>
      <w:pPr>
        <w:pStyle w:val="4"/>
        <w:rPr>
          <w:sz w:val="24"/>
          <w:szCs w:val="24"/>
          <w:highlight w:val="none"/>
        </w:rPr>
      </w:pPr>
      <w:bookmarkStart w:id="179" w:name="_Toc133335460"/>
      <w:r>
        <w:rPr>
          <w:sz w:val="24"/>
          <w:szCs w:val="24"/>
          <w:highlight w:val="none"/>
        </w:rPr>
        <w:t>10.2.1 桥架类型</w:t>
      </w:r>
      <w:bookmarkEnd w:id="179"/>
    </w:p>
    <w:p>
      <w:pPr>
        <w:pStyle w:val="19"/>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槽式电缆桥架、托盘式电缆桥架、梯级式电缆桥架。</w:t>
      </w:r>
    </w:p>
    <w:p>
      <w:pPr>
        <w:pStyle w:val="4"/>
        <w:rPr>
          <w:sz w:val="24"/>
          <w:szCs w:val="24"/>
          <w:highlight w:val="none"/>
        </w:rPr>
      </w:pPr>
      <w:bookmarkStart w:id="180" w:name="_Toc133335461"/>
      <w:r>
        <w:rPr>
          <w:sz w:val="24"/>
          <w:szCs w:val="24"/>
          <w:highlight w:val="none"/>
        </w:rPr>
        <w:t>10.2.2 技术要求</w:t>
      </w:r>
      <w:bookmarkEnd w:id="180"/>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桥架表面外理:桥架采用热镀锌，表面外理，涂层质量应符合以下规定</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热镀锌:表面应均匀，无毛刺、过烧、挂灰、伤痕等缺陷；</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桥架加工形成后，断面形状应端正，无扭曲，弯曲，裂纹，边缘毛刺等缺陷；</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桥架的走线槽应光滑、平整、无损伤电缆绝缘的凸起和尖角；</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所有焊缝应平滑、饱满，不应有气孔、夹渣、虚焊、咬边等缺陷；</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所有桥架中梯形框槽口应向下焊接；</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桥架长度的极限偏差范围:当长度≥2米时，极限偏差为±4mm。</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钢板:冷轧板。</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钢板厚度:桥架宽度大干300mm，钢板厚度≥2.5mm；桥架宽度小于300mm(含300mm)钢板厚度2.0mm，所采用板材应符合 GB/T192GB/T11253中的有关规定(偏差±0.15mm)，桥架焊接应符合GB/T5117中有关规定，成套供应盖板，盖板厚度≥1.5mm。</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连接片:桥架内外采用连接片双面固定，卖方需提供型号相符合、足量的桥架连接片、镀锌连接螺栓、螺帽等附件。</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防护厚度按JB/T 10216-2000《电控配电用电缆桥架》表10要求，电镀大于12μm，热镀大于65μm，喷塑大于50μm，防火大于500μm，可以用测厚仪测出来。</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检验:a、载荷试验；b、外观质量检验；c、外形尺寸精度校验；d、镀锌层检验；</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所有桥架要求整体热镀锌，要求先加工、焊接，最后进行整体热镀锌。</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所有桥架(包括:直通、弯通、三通、四通)、盖板、工字钢立柱、连接片、螺栓等全部要求热镀锌。</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所有直通、弯通、三通、四通电缆桥架要求配套盖板、内外连接片、螺栓等附件。</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长度为6米的梯级式电缆桥架要求采用大跨距加强型电缆桥架。</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桥架盖板接头处要采用压盖板形式。</w:t>
      </w:r>
    </w:p>
    <w:p>
      <w:pPr>
        <w:pStyle w:val="19"/>
        <w:numPr>
          <w:ilvl w:val="0"/>
          <w:numId w:val="70"/>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投标单位在招标前要提前向业主方提供梯级式、槽式、托盘式3种电缆桥架样品(要求不同规格，不同厚度，每种形式不小于3个)，样品长度不小干200mm，配套盖板，样品要标明桥架的规格型号和生产厂家。</w:t>
      </w:r>
    </w:p>
    <w:p>
      <w:pPr>
        <w:pStyle w:val="4"/>
        <w:rPr>
          <w:sz w:val="24"/>
          <w:szCs w:val="24"/>
          <w:highlight w:val="none"/>
        </w:rPr>
      </w:pPr>
      <w:bookmarkStart w:id="181" w:name="_Toc133335463"/>
      <w:r>
        <w:rPr>
          <w:sz w:val="24"/>
          <w:szCs w:val="24"/>
          <w:highlight w:val="none"/>
        </w:rPr>
        <w:t>10.2.3 检查验收</w:t>
      </w:r>
      <w:bookmarkEnd w:id="181"/>
    </w:p>
    <w:p>
      <w:pPr>
        <w:pStyle w:val="19"/>
        <w:numPr>
          <w:ilvl w:val="0"/>
          <w:numId w:val="71"/>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依据企业标准对桥架检验</w:t>
      </w:r>
    </w:p>
    <w:p>
      <w:pPr>
        <w:pStyle w:val="19"/>
        <w:numPr>
          <w:ilvl w:val="0"/>
          <w:numId w:val="71"/>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检验程序及检测方法：</w:t>
      </w:r>
    </w:p>
    <w:p>
      <w:pPr>
        <w:pStyle w:val="19"/>
        <w:numPr>
          <w:ilvl w:val="0"/>
          <w:numId w:val="72"/>
        </w:numPr>
        <w:adjustRightInd w:val="0"/>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外观:桥架镀、涂表面应符合相关标准规定。</w:t>
      </w:r>
    </w:p>
    <w:p>
      <w:pPr>
        <w:pStyle w:val="19"/>
        <w:numPr>
          <w:ilvl w:val="0"/>
          <w:numId w:val="72"/>
        </w:numPr>
        <w:adjustRightInd w:val="0"/>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外形:两对边应平行，两侧边对底边应垂直，断面形状应端正，无弯曲、扭曲、裂纹、边沿毛刺等缺陷。</w:t>
      </w:r>
    </w:p>
    <w:p>
      <w:pPr>
        <w:pStyle w:val="19"/>
        <w:numPr>
          <w:ilvl w:val="0"/>
          <w:numId w:val="72"/>
        </w:numPr>
        <w:adjustRightInd w:val="0"/>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汇线槽应光滑、平整、无损伤电缆绝缘，凸起和尖角。</w:t>
      </w:r>
    </w:p>
    <w:p>
      <w:pPr>
        <w:pStyle w:val="19"/>
        <w:numPr>
          <w:ilvl w:val="0"/>
          <w:numId w:val="72"/>
        </w:numPr>
        <w:adjustRightInd w:val="0"/>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表面处理：桥架表面应根据工作环境的要求进行镀、涂防护处理，各种防护层的厚度和附着力应符合相关标准的规定；</w:t>
      </w:r>
    </w:p>
    <w:p>
      <w:pPr>
        <w:pStyle w:val="19"/>
        <w:numPr>
          <w:ilvl w:val="0"/>
          <w:numId w:val="72"/>
        </w:numPr>
        <w:adjustRightInd w:val="0"/>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厚度-热镀锌桥架主体对2.5mm厚度，检测标准:GB/T13912-92，检测方法:用磁性测厚仪检测。</w:t>
      </w:r>
    </w:p>
    <w:p>
      <w:pPr>
        <w:pStyle w:val="19"/>
        <w:numPr>
          <w:ilvl w:val="0"/>
          <w:numId w:val="72"/>
        </w:numPr>
        <w:adjustRightInd w:val="0"/>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附着力-镀涂层对底材的粘合牢度，热镀锌按相关标准试验应不脱落。</w:t>
      </w:r>
    </w:p>
    <w:p>
      <w:pPr>
        <w:pStyle w:val="19"/>
        <w:numPr>
          <w:ilvl w:val="0"/>
          <w:numId w:val="71"/>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光泽度：防护处理的表面光泽应不低于60%，检测方法:按GB1743，油膜光泽度测定法，用光泽度仪测量数字直接显示。</w:t>
      </w:r>
    </w:p>
    <w:p>
      <w:pPr>
        <w:pStyle w:val="19"/>
        <w:numPr>
          <w:ilvl w:val="0"/>
          <w:numId w:val="71"/>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耐盐雾性：表面防护层应具有相关标准规定的3级耐盐雾性。</w:t>
      </w:r>
    </w:p>
    <w:p>
      <w:pPr>
        <w:pStyle w:val="19"/>
        <w:numPr>
          <w:ilvl w:val="0"/>
          <w:numId w:val="71"/>
        </w:numPr>
        <w:spacing w:before="0" w:beforeAutospacing="0" w:after="0" w:afterAutospacing="0" w:line="360" w:lineRule="auto"/>
        <w:ind w:firstLine="0"/>
        <w:jc w:val="both"/>
        <w:rPr>
          <w:rFonts w:ascii="Times New Roman" w:hAnsi="Times New Roman" w:eastAsia="宋体"/>
          <w:color w:val="000000"/>
          <w:highlight w:val="none"/>
        </w:rPr>
      </w:pPr>
      <w:r>
        <w:rPr>
          <w:rFonts w:ascii="Times New Roman" w:hAnsi="Times New Roman" w:eastAsia="宋体"/>
          <w:color w:val="000000"/>
          <w:highlight w:val="none"/>
        </w:rPr>
        <w:t>制造精度：</w:t>
      </w:r>
    </w:p>
    <w:p>
      <w:pPr>
        <w:pStyle w:val="19"/>
        <w:numPr>
          <w:ilvl w:val="0"/>
          <w:numId w:val="7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桥架的长度极限偏差：当长度大于等于2米时，极限偏差为+4mm。</w:t>
      </w:r>
    </w:p>
    <w:p>
      <w:pPr>
        <w:pStyle w:val="19"/>
        <w:numPr>
          <w:ilvl w:val="0"/>
          <w:numId w:val="7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桥架的宽度极限偏差：当宽度大于400mm时，极限偏差为±4mm。</w:t>
      </w:r>
    </w:p>
    <w:p>
      <w:pPr>
        <w:pStyle w:val="19"/>
        <w:numPr>
          <w:ilvl w:val="0"/>
          <w:numId w:val="7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说明：盖板取正偏差，槽底宽取负偏差。</w:t>
      </w:r>
    </w:p>
    <w:p>
      <w:pPr>
        <w:pStyle w:val="19"/>
        <w:numPr>
          <w:ilvl w:val="0"/>
          <w:numId w:val="7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桥架的宽度极限偏差：当宽度大于400mm时，极限偏差为+4mm。</w:t>
      </w:r>
    </w:p>
    <w:p>
      <w:pPr>
        <w:pStyle w:val="19"/>
        <w:numPr>
          <w:ilvl w:val="0"/>
          <w:numId w:val="7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说明：盖板取正偏差，槽底宽取负偏差。</w:t>
      </w:r>
    </w:p>
    <w:p>
      <w:pPr>
        <w:pStyle w:val="19"/>
        <w:numPr>
          <w:ilvl w:val="0"/>
          <w:numId w:val="7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桥架表面平面度允差：热镀锌防护处理平面度允差每米不大于8mm。</w:t>
      </w:r>
    </w:p>
    <w:p>
      <w:pPr>
        <w:pStyle w:val="19"/>
        <w:numPr>
          <w:ilvl w:val="0"/>
          <w:numId w:val="7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托臂自由状态时垂直高度允差为上翘1/100。</w:t>
      </w:r>
    </w:p>
    <w:p>
      <w:pPr>
        <w:pStyle w:val="19"/>
        <w:numPr>
          <w:ilvl w:val="0"/>
          <w:numId w:val="73"/>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其它尺寸公差按GB1804-V(标准中最粗级)。</w:t>
      </w:r>
    </w:p>
    <w:p>
      <w:pPr>
        <w:pStyle w:val="19"/>
        <w:spacing w:before="0" w:beforeAutospacing="0" w:after="0" w:afterAutospacing="0" w:line="360" w:lineRule="auto"/>
        <w:ind w:left="240"/>
        <w:jc w:val="both"/>
        <w:rPr>
          <w:rFonts w:ascii="Times New Roman" w:hAnsi="Times New Roman" w:eastAsia="宋体"/>
          <w:color w:val="000000"/>
          <w:highlight w:val="none"/>
        </w:rPr>
      </w:pPr>
    </w:p>
    <w:p>
      <w:pPr>
        <w:pStyle w:val="3"/>
        <w:rPr>
          <w:sz w:val="28"/>
          <w:szCs w:val="28"/>
          <w:highlight w:val="none"/>
        </w:rPr>
      </w:pPr>
      <w:bookmarkStart w:id="182" w:name="_Toc133335464"/>
      <w:r>
        <w:rPr>
          <w:sz w:val="28"/>
          <w:szCs w:val="28"/>
          <w:highlight w:val="none"/>
        </w:rPr>
        <w:t>10.3 照明技术要求</w:t>
      </w:r>
      <w:bookmarkEnd w:id="182"/>
    </w:p>
    <w:p>
      <w:pPr>
        <w:pStyle w:val="4"/>
        <w:rPr>
          <w:sz w:val="24"/>
          <w:szCs w:val="24"/>
          <w:highlight w:val="none"/>
        </w:rPr>
      </w:pPr>
      <w:bookmarkStart w:id="183" w:name="_Toc133335465"/>
      <w:r>
        <w:rPr>
          <w:sz w:val="24"/>
          <w:szCs w:val="24"/>
          <w:highlight w:val="none"/>
        </w:rPr>
        <w:t>10.3.1 技术要求</w:t>
      </w:r>
      <w:bookmarkEnd w:id="183"/>
    </w:p>
    <w:p>
      <w:pPr>
        <w:pStyle w:val="19"/>
        <w:numPr>
          <w:ilvl w:val="0"/>
          <w:numId w:val="7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基本要求：所有送达工地的设备均须为全新的；安装前的设备需装箱保护。深化设计和安装施工的产品必须符合国家、行业和当地的规范要求。</w:t>
      </w:r>
    </w:p>
    <w:p>
      <w:pPr>
        <w:pStyle w:val="19"/>
        <w:numPr>
          <w:ilvl w:val="0"/>
          <w:numId w:val="7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外观要求：涂漆色泽均匀，无气孔，无裂缝，无杂质。涂层必须紧紧粘附在基础材料上。产品各部件表面应光洁，平整，不应有划伤，裂缝，变形等缺陷。</w:t>
      </w:r>
    </w:p>
    <w:p>
      <w:pPr>
        <w:pStyle w:val="19"/>
        <w:numPr>
          <w:ilvl w:val="0"/>
          <w:numId w:val="7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装配要求：产品表面各紧固螺钉应拧紧，边缘应无毛刺和锐边，各连接应牢固无松动，必要时产品要牢固以及密封，符合国家标准。</w:t>
      </w:r>
    </w:p>
    <w:p>
      <w:pPr>
        <w:pStyle w:val="19"/>
        <w:numPr>
          <w:ilvl w:val="0"/>
          <w:numId w:val="7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灯具技术参数偏差要求：光通量应为正偏差；功率10W以下偏差±1W之内，10W以上偏差在-10%~20%之内；产品规格尺寸偏差在±10%之内。照度要求应满足设计图纸要求，照度偏差不大于10%。</w:t>
      </w:r>
    </w:p>
    <w:p>
      <w:pPr>
        <w:pStyle w:val="19"/>
        <w:numPr>
          <w:ilvl w:val="0"/>
          <w:numId w:val="7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环境条件：</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产品在温度-20℃~70℃范围内能可靠的工作。</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产品在温度-40℃~85℃范围内能可靠存储。</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产品在相对湿度≦95%RH能可靠工作。</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产品间歇暴露在震动条件下不会危害到产品的正常工作。</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产品在搬运期间遭受的自由跌落不会危害到产品的正常工作。</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产品在大气压力86~106Kpa范围内能可靠工作。</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灯具温升:应能满足环境温度40℃时正常工作。</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灯具的防电击保护分类:I类。</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防爆区域灯具环境:应适用于爆炸性气体混合物危险场所2区，温度组别达到T4.防爆标志为Ex-d-II B。</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海拔高度:小于2000米。环境温度:-10℃~+45℃ 。</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环境湿度:一般相对湿度在+40摄氏度时不超过50%，在+20摄氏度可达90%。</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使用情况:户内使用，连续工作。</w:t>
      </w:r>
    </w:p>
    <w:p>
      <w:pPr>
        <w:pStyle w:val="19"/>
        <w:numPr>
          <w:ilvl w:val="0"/>
          <w:numId w:val="7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工作电源：额定电压：220V；工作电压：100~240V；额定频率：50Hz。</w:t>
      </w:r>
    </w:p>
    <w:p>
      <w:pPr>
        <w:pStyle w:val="4"/>
        <w:rPr>
          <w:sz w:val="24"/>
          <w:szCs w:val="24"/>
          <w:highlight w:val="none"/>
        </w:rPr>
      </w:pPr>
      <w:bookmarkStart w:id="184" w:name="_Toc133335466"/>
      <w:r>
        <w:rPr>
          <w:sz w:val="24"/>
          <w:szCs w:val="24"/>
          <w:highlight w:val="none"/>
        </w:rPr>
        <w:t>10.3.2 性能要求</w:t>
      </w:r>
      <w:bookmarkEnd w:id="184"/>
    </w:p>
    <w:p>
      <w:pPr>
        <w:pStyle w:val="19"/>
        <w:numPr>
          <w:ilvl w:val="0"/>
          <w:numId w:val="76"/>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保证产品在正常环境工作时，铝基电板温度不得超过65度并有过温，过流保护功能。铝基板建议75℃，Ta=25℃，过流、过温一般针对电源。</w:t>
      </w:r>
    </w:p>
    <w:p>
      <w:pPr>
        <w:pStyle w:val="19"/>
        <w:numPr>
          <w:ilvl w:val="0"/>
          <w:numId w:val="76"/>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防护等级：灯具结构应达到《GB4208-2017》外壳防护等级指标。</w:t>
      </w:r>
    </w:p>
    <w:p>
      <w:pPr>
        <w:pStyle w:val="19"/>
        <w:numPr>
          <w:ilvl w:val="0"/>
          <w:numId w:val="76"/>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采用LED光源芯片：选用低热阻、散热良好、耐高温、抗高压的封装及高折射率、抗劣化封装材料，提高出光效率和降低热阻，保证功率型LED工作的稳定性、可靠性及高效性。</w:t>
      </w:r>
    </w:p>
    <w:p>
      <w:pPr>
        <w:pStyle w:val="19"/>
        <w:numPr>
          <w:ilvl w:val="0"/>
          <w:numId w:val="76"/>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驱动电源：适合180V～240V的交流电源，输出直流电压与LED负载相匹配，并为LED提供恒定直流电流驱动。基本要求如下：能输出恒定电流，使各个LED的电流相匹配，以保持各个LED的亮度均匀一致；功率转换效率达85%以上；LED的最大电流可以设定；具有短路、过负荷、过压、输出开路保护、输入输出隔离、熔丝保护功能；经久耐用，不低于3年的使用寿命，无内置风扇；采用工业等级的高质量元件，电容等元件的使用寿命不低于5年；对其它电路的干扰小，总谐波失真&lt;10% ；具有CQC的产品认证；提供驱动电源配置优化方案。</w:t>
      </w:r>
    </w:p>
    <w:p>
      <w:pPr>
        <w:pStyle w:val="19"/>
        <w:numPr>
          <w:ilvl w:val="0"/>
          <w:numId w:val="76"/>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灯具内导线应为105度阻燃耐热线，规格应与负载相匹配并适应短时冲击电流。</w:t>
      </w:r>
    </w:p>
    <w:p>
      <w:pPr>
        <w:pStyle w:val="19"/>
        <w:numPr>
          <w:ilvl w:val="0"/>
          <w:numId w:val="76"/>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灯具应耐潮、耐腐蚀、防静电吸尘，电子元器件均为工业使用等级类，所有金属构件、配件均按照相关规定进行防锈、防腐蚀、防火处理。</w:t>
      </w:r>
    </w:p>
    <w:p>
      <w:pPr>
        <w:pStyle w:val="19"/>
        <w:numPr>
          <w:ilvl w:val="0"/>
          <w:numId w:val="76"/>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灯具标识应完整，符合国家标准规范要求。</w:t>
      </w:r>
    </w:p>
    <w:p>
      <w:pPr>
        <w:pStyle w:val="19"/>
        <w:numPr>
          <w:ilvl w:val="0"/>
          <w:numId w:val="76"/>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灯具及电器产品必须取得3C 认证，具备产品型式检验报告；</w:t>
      </w:r>
    </w:p>
    <w:p>
      <w:pPr>
        <w:pStyle w:val="19"/>
        <w:numPr>
          <w:ilvl w:val="0"/>
          <w:numId w:val="76"/>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应采用无频闪灯具，频闪要求：依据IEEE Std1789 标准要求，符合低风险限值。</w:t>
      </w:r>
    </w:p>
    <w:p>
      <w:pPr>
        <w:pStyle w:val="19"/>
        <w:spacing w:before="0" w:beforeAutospacing="0" w:after="0" w:afterAutospacing="0" w:line="360" w:lineRule="auto"/>
        <w:jc w:val="center"/>
        <w:rPr>
          <w:rFonts w:ascii="Times New Roman" w:hAnsi="Times New Roman" w:eastAsia="宋体"/>
          <w:b/>
          <w:color w:val="000000"/>
          <w:highlight w:val="none"/>
        </w:rPr>
      </w:pPr>
      <w:r>
        <w:rPr>
          <w:rFonts w:ascii="Times New Roman" w:hAnsi="Times New Roman" w:eastAsia="宋体"/>
          <w:b/>
          <w:color w:val="000000"/>
          <w:highlight w:val="none"/>
        </w:rPr>
        <w:t>各类照明用LED灯具通用标准要求</w:t>
      </w:r>
    </w:p>
    <w:tbl>
      <w:tblPr>
        <w:tblStyle w:val="16"/>
        <w:tblW w:w="9601" w:type="dxa"/>
        <w:jc w:val="center"/>
        <w:tblLayout w:type="autofit"/>
        <w:tblCellMar>
          <w:top w:w="17" w:type="dxa"/>
          <w:left w:w="17" w:type="dxa"/>
          <w:bottom w:w="17" w:type="dxa"/>
          <w:right w:w="17" w:type="dxa"/>
        </w:tblCellMar>
      </w:tblPr>
      <w:tblGrid>
        <w:gridCol w:w="788"/>
        <w:gridCol w:w="1200"/>
        <w:gridCol w:w="7613"/>
      </w:tblGrid>
      <w:tr>
        <w:tblPrEx>
          <w:tblCellMar>
            <w:top w:w="17" w:type="dxa"/>
            <w:left w:w="17" w:type="dxa"/>
            <w:bottom w:w="17" w:type="dxa"/>
            <w:right w:w="17" w:type="dxa"/>
          </w:tblCellMar>
        </w:tblPrEx>
        <w:trPr>
          <w:trHeight w:val="578"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序号</w:t>
            </w:r>
          </w:p>
        </w:tc>
        <w:tc>
          <w:tcPr>
            <w:tcW w:w="120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项目名称</w:t>
            </w:r>
          </w:p>
        </w:tc>
        <w:tc>
          <w:tcPr>
            <w:tcW w:w="7613"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要求</w:t>
            </w:r>
          </w:p>
        </w:tc>
      </w:tr>
      <w:tr>
        <w:tblPrEx>
          <w:tblCellMar>
            <w:top w:w="17" w:type="dxa"/>
            <w:left w:w="17" w:type="dxa"/>
            <w:bottom w:w="17" w:type="dxa"/>
            <w:right w:w="17" w:type="dxa"/>
          </w:tblCellMar>
        </w:tblPrEx>
        <w:trPr>
          <w:trHeight w:val="405"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安全性能</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1、所有灯具达到GB/T 20145-2006中“无危险”级别。</w:t>
            </w:r>
          </w:p>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2、射灯、筒灯达到蓝光危害达到RG1，其他达到蓝光危害达到RG0豁免级。</w:t>
            </w:r>
          </w:p>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3、所有灯具达到具有断路保护、短路保护、过载保护、隔离保护、输出异常保护等功能。</w:t>
            </w:r>
          </w:p>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4、保证产品在正常环境工作时，铝基电板温度不得超过65℃并有异常保护功能。</w:t>
            </w:r>
          </w:p>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5、产品应具有抗LED异常工作能力，即LED灯具中，LED串联组由恒流电力驱动，该恒流电路应保证有LED击穿异常情况下能安全运行，并且电流稳定。</w:t>
            </w:r>
          </w:p>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6、防护等级：灯具结构应达到《GB/T 4208-2017外壳防护等级》指标。室外/防爆灯具防护等级为IP65，室内灯具防护等级为IP40。LED灯具外壳（不含散热器）温度满载负荷两小时后，温度升高不大于30℃。</w:t>
            </w:r>
          </w:p>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7、防触电：断电1min后，输出端电压不超过50V。防触电保护等级：I或者II。</w:t>
            </w:r>
          </w:p>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8、电气强度：基本绝缘2U+1000V 双重或加强绝缘 4U+2000V。</w:t>
            </w:r>
          </w:p>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9、电磁干扰：频率范围5M-30M Hz 准峰值限值60dB 平均值限值50dB；30M-300M 准峰值限值37dB。</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2</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驱动电源</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LED驱动电源根据具体灯具配置内置或外置驱动电源</w:t>
            </w:r>
            <w:r>
              <w:rPr>
                <w:rFonts w:hint="eastAsia" w:ascii="Times New Roman" w:hAnsi="Times New Roman" w:eastAsia="宋体"/>
                <w:color w:val="000000"/>
                <w:sz w:val="21"/>
                <w:szCs w:val="21"/>
                <w:highlight w:val="none"/>
              </w:rPr>
              <w:t>。LED驱动要求选用明纬、英飞特、茂硕或同等品质自产驱动（自产驱动须提供自产有效证明资料），</w:t>
            </w:r>
            <w:r>
              <w:rPr>
                <w:rFonts w:ascii="Times New Roman" w:hAnsi="Times New Roman" w:eastAsia="宋体"/>
                <w:color w:val="000000"/>
                <w:sz w:val="21"/>
                <w:szCs w:val="21"/>
                <w:highlight w:val="none"/>
              </w:rPr>
              <w:t>驱动电源必须符合国家相关标准。</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3</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LED芯片</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采用高发光效率LED芯片，LED芯片的发光效率1</w:t>
            </w:r>
            <w:r>
              <w:rPr>
                <w:rFonts w:ascii="Times New Roman" w:hAnsi="Times New Roman" w:eastAsia="宋体"/>
                <w:color w:val="000000"/>
                <w:sz w:val="21"/>
                <w:szCs w:val="21"/>
                <w:highlight w:val="none"/>
              </w:rPr>
              <w:t>4</w:t>
            </w:r>
            <w:r>
              <w:rPr>
                <w:rFonts w:hint="eastAsia" w:ascii="Times New Roman" w:hAnsi="Times New Roman" w:eastAsia="宋体"/>
                <w:color w:val="000000"/>
                <w:sz w:val="21"/>
                <w:szCs w:val="21"/>
                <w:highlight w:val="none"/>
              </w:rPr>
              <w:t>0Lm/w及以上，无重影、低光衰。灯具应选用单颗粒LED芯片。单颗LED光源功率≤2W。LED芯片要求选用国际知名品牌，美国科锐CREE、普瑞、飞利浦，</w:t>
            </w:r>
            <w:r>
              <w:rPr>
                <w:rFonts w:ascii="Times New Roman" w:hAnsi="Times New Roman" w:eastAsia="宋体"/>
                <w:color w:val="000000"/>
                <w:sz w:val="21"/>
                <w:szCs w:val="21"/>
                <w:highlight w:val="none"/>
              </w:rPr>
              <w:t>该电源必须为灯具标配，不得随意更换。</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4</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谐波电流</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LED灯具的谐波电流限值应符合GB17625.1的规定。</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5</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电磁兼容</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LED灯具的电磁兼容抗扰度应符合GB/T 18595的规定。</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6</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骚扰电压</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LED灯具的骚扰电压应符合GB17743的规定。</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7</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功率因数</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小于5W的灯具不作要求，大于等于5W且小于25W的灯具功率因数≥0.5， 大于25W的灯具功率因数≥0.9，且应满足国家相关标准；</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8</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频闪</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室内照明、车库应采用无频闪灯具(依IEEE Std 1789-2015标准要求，符合不可察觉限值)。</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9</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外部接线</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外部接线：普通灯具不小于2.5mm2</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10</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光输出波形</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用于人员长期工作或停留场所的一般照明的LED灯具，其光输出波形的波动深度应符合以下的规定：f≤9Hz，FPF≤0.288；9Hz＜f≤3125Hz，FPF≤f 0.08/2.5；f＞3125Hz，FPF无限制。</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11</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色坐标</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LED灯具在不同方向上的色品坐标与其加权平均值偏差在GB/T 7921-2008规定的CIE1976均匀色度标尺图中，不应大于0.004。</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12</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色容差</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LED灯具的色容差一般情况下不应大于5 SDCM。</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13</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寿命</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LED灯珠、灯具及驱动电源在正常条件下的平均寿命不小于5万小时。</w:t>
            </w:r>
          </w:p>
        </w:tc>
      </w:tr>
      <w:tr>
        <w:tblPrEx>
          <w:tblCellMar>
            <w:top w:w="17" w:type="dxa"/>
            <w:left w:w="17" w:type="dxa"/>
            <w:bottom w:w="17" w:type="dxa"/>
            <w:right w:w="17" w:type="dxa"/>
          </w:tblCellMar>
        </w:tblPrEx>
        <w:trPr>
          <w:trHeight w:val="858"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14</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显色指数</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用于人员长期工作或停留场所的一般照明的LED光源一般显色指数大于80，特殊显示指数Ra应大于0.99。</w:t>
            </w:r>
          </w:p>
        </w:tc>
      </w:tr>
      <w:tr>
        <w:tblPrEx>
          <w:tblCellMar>
            <w:top w:w="17" w:type="dxa"/>
            <w:left w:w="17" w:type="dxa"/>
            <w:bottom w:w="17" w:type="dxa"/>
            <w:right w:w="17" w:type="dxa"/>
          </w:tblCellMar>
        </w:tblPrEx>
        <w:trPr>
          <w:trHeight w:val="70" w:hRule="atLeast"/>
          <w:jc w:val="center"/>
        </w:trPr>
        <w:tc>
          <w:tcPr>
            <w:tcW w:w="788"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15</w:t>
            </w:r>
          </w:p>
        </w:tc>
        <w:tc>
          <w:tcPr>
            <w:tcW w:w="1200"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老化性能</w:t>
            </w:r>
          </w:p>
        </w:tc>
        <w:tc>
          <w:tcPr>
            <w:tcW w:w="7613" w:type="dxa"/>
            <w:tcBorders>
              <w:top w:val="single" w:color="CBCDD1"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pStyle w:val="19"/>
              <w:spacing w:before="0" w:beforeAutospacing="0" w:after="0" w:afterAutospacing="0" w:line="360" w:lineRule="auto"/>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LED灯芯片使用寿命≥ 50000h，50000h光衰小于20%，色温为5700K，显色指数不低于80（Ra≥80）</w:t>
            </w:r>
          </w:p>
        </w:tc>
      </w:tr>
    </w:tbl>
    <w:p>
      <w:pPr>
        <w:pStyle w:val="4"/>
        <w:rPr>
          <w:sz w:val="24"/>
          <w:szCs w:val="24"/>
          <w:highlight w:val="none"/>
        </w:rPr>
      </w:pPr>
      <w:bookmarkStart w:id="185" w:name="_Toc133335467"/>
      <w:r>
        <w:rPr>
          <w:sz w:val="24"/>
          <w:szCs w:val="24"/>
          <w:highlight w:val="none"/>
        </w:rPr>
        <w:t>10.3.3 灯具安装要求</w:t>
      </w:r>
      <w:bookmarkEnd w:id="185"/>
    </w:p>
    <w:p>
      <w:pPr>
        <w:pStyle w:val="19"/>
        <w:numPr>
          <w:ilvl w:val="0"/>
          <w:numId w:val="77"/>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各生产区的照度要求应满足设计图纸照度要求，照度偏差不大于10%；</w:t>
      </w:r>
    </w:p>
    <w:p>
      <w:pPr>
        <w:pStyle w:val="19"/>
        <w:numPr>
          <w:ilvl w:val="0"/>
          <w:numId w:val="77"/>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灯具应采用高效率LED节能灯具，具有防尘、防水、防腐功能，使用寿命不低于50000小时，洁净区域及走廊采用吸顶式LED密闭洁净平板照明灯具；</w:t>
      </w:r>
    </w:p>
    <w:p>
      <w:pPr>
        <w:pStyle w:val="19"/>
        <w:numPr>
          <w:ilvl w:val="0"/>
          <w:numId w:val="77"/>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在整个生产区域，灯具的排列采用同一种模式，或“横”排或“竖”排；</w:t>
      </w:r>
    </w:p>
    <w:p>
      <w:pPr>
        <w:pStyle w:val="19"/>
        <w:numPr>
          <w:ilvl w:val="0"/>
          <w:numId w:val="77"/>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照明灯具布置及开关控制能够提供所在房间的分区开闭、亮度减半、全部关闭、应急照明等功能；开关采用暗藏式开关，开关下边缘离地高度1200mm；</w:t>
      </w:r>
    </w:p>
    <w:p>
      <w:pPr>
        <w:pStyle w:val="19"/>
        <w:numPr>
          <w:ilvl w:val="0"/>
          <w:numId w:val="77"/>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每个开关均有标识，标识本开关所控制的区域，标识要美观；每个区域标识开关控制示意图。</w:t>
      </w:r>
    </w:p>
    <w:p>
      <w:pPr>
        <w:pStyle w:val="3"/>
        <w:rPr>
          <w:sz w:val="28"/>
          <w:szCs w:val="28"/>
          <w:highlight w:val="none"/>
        </w:rPr>
      </w:pPr>
      <w:bookmarkStart w:id="186" w:name="_Toc133335468"/>
      <w:r>
        <w:rPr>
          <w:sz w:val="28"/>
          <w:szCs w:val="28"/>
          <w:highlight w:val="none"/>
        </w:rPr>
        <w:t>10.4 消防电工程</w:t>
      </w:r>
      <w:bookmarkEnd w:id="186"/>
    </w:p>
    <w:p>
      <w:pPr>
        <w:pStyle w:val="4"/>
        <w:rPr>
          <w:sz w:val="24"/>
          <w:szCs w:val="24"/>
          <w:highlight w:val="none"/>
        </w:rPr>
      </w:pPr>
      <w:bookmarkStart w:id="187" w:name="_Toc133335469"/>
      <w:r>
        <w:rPr>
          <w:sz w:val="24"/>
          <w:szCs w:val="24"/>
          <w:highlight w:val="none"/>
        </w:rPr>
        <w:t>10.4.1质量控制点及控制措施</w:t>
      </w:r>
      <w:bookmarkEnd w:id="187"/>
    </w:p>
    <w:tbl>
      <w:tblPr>
        <w:tblStyle w:val="16"/>
        <w:tblW w:w="9378" w:type="dxa"/>
        <w:jc w:val="center"/>
        <w:tblLayout w:type="fixed"/>
        <w:tblCellMar>
          <w:top w:w="15" w:type="dxa"/>
          <w:left w:w="15" w:type="dxa"/>
          <w:bottom w:w="15" w:type="dxa"/>
          <w:right w:w="15" w:type="dxa"/>
        </w:tblCellMar>
      </w:tblPr>
      <w:tblGrid>
        <w:gridCol w:w="1237"/>
        <w:gridCol w:w="3064"/>
        <w:gridCol w:w="4327"/>
        <w:gridCol w:w="750"/>
      </w:tblGrid>
      <w:tr>
        <w:tblPrEx>
          <w:tblCellMar>
            <w:top w:w="15" w:type="dxa"/>
            <w:left w:w="15" w:type="dxa"/>
            <w:bottom w:w="15" w:type="dxa"/>
            <w:right w:w="15" w:type="dxa"/>
          </w:tblCellMar>
        </w:tblPrEx>
        <w:trPr>
          <w:trHeight w:val="689" w:hRule="atLeast"/>
          <w:jc w:val="center"/>
        </w:trPr>
        <w:tc>
          <w:tcPr>
            <w:tcW w:w="123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分项工程</w:t>
            </w:r>
          </w:p>
        </w:tc>
        <w:tc>
          <w:tcPr>
            <w:tcW w:w="3064"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质量控制点</w:t>
            </w:r>
          </w:p>
        </w:tc>
        <w:tc>
          <w:tcPr>
            <w:tcW w:w="432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质量控制措施</w:t>
            </w:r>
          </w:p>
        </w:tc>
        <w:tc>
          <w:tcPr>
            <w:tcW w:w="750"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center"/>
              <w:rPr>
                <w:rFonts w:ascii="Times New Roman" w:hAnsi="Times New Roman" w:eastAsia="宋体"/>
                <w:sz w:val="21"/>
                <w:szCs w:val="21"/>
                <w:highlight w:val="none"/>
              </w:rPr>
            </w:pPr>
            <w:r>
              <w:rPr>
                <w:rFonts w:ascii="Times New Roman" w:hAnsi="Times New Roman" w:eastAsia="宋体"/>
                <w:bCs/>
                <w:color w:val="000000"/>
                <w:sz w:val="21"/>
                <w:szCs w:val="21"/>
                <w:highlight w:val="none"/>
              </w:rPr>
              <w:t>备注</w:t>
            </w:r>
          </w:p>
        </w:tc>
      </w:tr>
      <w:tr>
        <w:tblPrEx>
          <w:tblCellMar>
            <w:top w:w="15" w:type="dxa"/>
            <w:left w:w="15" w:type="dxa"/>
            <w:bottom w:w="15" w:type="dxa"/>
            <w:right w:w="15" w:type="dxa"/>
          </w:tblCellMar>
        </w:tblPrEx>
        <w:trPr>
          <w:trHeight w:val="1011" w:hRule="atLeast"/>
          <w:jc w:val="center"/>
        </w:trPr>
        <w:tc>
          <w:tcPr>
            <w:tcW w:w="123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消防主机选择</w:t>
            </w:r>
          </w:p>
        </w:tc>
        <w:tc>
          <w:tcPr>
            <w:tcW w:w="3064"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按品牌清单内选型</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各系统相关的消防主机必须严格达到同品牌要求，避免后期联动调试时产生厂家协议问题，以及非同一品牌无法按要求接入图形显示装置等问题。</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863" w:hRule="atLeast"/>
          <w:jc w:val="center"/>
        </w:trPr>
        <w:tc>
          <w:tcPr>
            <w:tcW w:w="1237" w:type="dxa"/>
            <w:vMerge w:val="restart"/>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消控室</w:t>
            </w:r>
          </w:p>
        </w:tc>
        <w:tc>
          <w:tcPr>
            <w:tcW w:w="3064"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消控室主机布置</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rPr>
                <w:rFonts w:ascii="Times New Roman" w:hAnsi="Times New Roman" w:eastAsia="宋体"/>
                <w:sz w:val="21"/>
                <w:szCs w:val="21"/>
                <w:highlight w:val="none"/>
              </w:rPr>
            </w:pPr>
            <w:r>
              <w:rPr>
                <w:rFonts w:ascii="Times New Roman" w:hAnsi="Times New Roman" w:eastAsia="宋体"/>
                <w:color w:val="000000"/>
                <w:sz w:val="21"/>
                <w:szCs w:val="21"/>
                <w:highlight w:val="none"/>
              </w:rPr>
              <w:t xml:space="preserve">消控室内主机由高到低，同系统主机放在一起，摆放整齐，在满足空间的情况下，大主机以琴台主机为标准，小主机壁挂为准。 </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593" w:hRule="atLeast"/>
          <w:jc w:val="center"/>
        </w:trPr>
        <w:tc>
          <w:tcPr>
            <w:tcW w:w="1237" w:type="dxa"/>
            <w:vMerge w:val="continue"/>
            <w:tcBorders>
              <w:top w:val="single" w:color="A6A6A6" w:sz="6" w:space="0"/>
              <w:left w:val="single" w:color="A6A6A6" w:sz="6" w:space="0"/>
              <w:bottom w:val="single" w:color="A6A6A6" w:sz="6" w:space="0"/>
              <w:right w:val="single" w:color="A6A6A6" w:sz="6" w:space="0"/>
            </w:tcBorders>
            <w:noWrap w:val="0"/>
            <w:vAlign w:val="center"/>
          </w:tcPr>
          <w:p>
            <w:pPr>
              <w:widowControl/>
              <w:rPr>
                <w:szCs w:val="21"/>
                <w:highlight w:val="none"/>
              </w:rPr>
            </w:pPr>
          </w:p>
        </w:tc>
        <w:tc>
          <w:tcPr>
            <w:tcW w:w="3064"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线槽线路走位，及布线要求</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线槽除上墙部分，其余必需走静电地板下面，线槽内各系统线路区分明显，且布置美观合理；线路布置合理美观，要方便后期</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439" w:hRule="atLeast"/>
          <w:jc w:val="center"/>
        </w:trPr>
        <w:tc>
          <w:tcPr>
            <w:tcW w:w="1237" w:type="dxa"/>
            <w:vMerge w:val="continue"/>
            <w:tcBorders>
              <w:top w:val="single" w:color="A6A6A6" w:sz="6" w:space="0"/>
              <w:left w:val="single" w:color="A6A6A6" w:sz="6" w:space="0"/>
              <w:bottom w:val="single" w:color="A6A6A6" w:sz="6" w:space="0"/>
              <w:right w:val="single" w:color="A6A6A6" w:sz="6" w:space="0"/>
            </w:tcBorders>
            <w:noWrap w:val="0"/>
            <w:vAlign w:val="center"/>
          </w:tcPr>
          <w:p>
            <w:pPr>
              <w:widowControl/>
              <w:rPr>
                <w:szCs w:val="21"/>
                <w:highlight w:val="none"/>
              </w:rPr>
            </w:pPr>
          </w:p>
        </w:tc>
        <w:tc>
          <w:tcPr>
            <w:tcW w:w="3064"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标签标识张贴</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各消防回路的线路必须严格按要求做好标签（例如，1回路为-1#厂房-1F 001号-200号）且要粘贴牢固防掉落；主机上面张贴准确按钮位置或设备信息，如风机直起、广播模块等信息；以及相关设备厂家的联系方式，必需有主要联系人联系方式和备用联系方式。</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313" w:hRule="atLeast"/>
          <w:jc w:val="center"/>
        </w:trPr>
        <w:tc>
          <w:tcPr>
            <w:tcW w:w="1237" w:type="dxa"/>
            <w:vMerge w:val="continue"/>
            <w:tcBorders>
              <w:top w:val="single" w:color="A6A6A6" w:sz="6" w:space="0"/>
              <w:left w:val="single" w:color="A6A6A6" w:sz="6" w:space="0"/>
              <w:bottom w:val="single" w:color="A6A6A6" w:sz="6" w:space="0"/>
              <w:right w:val="single" w:color="A6A6A6" w:sz="6" w:space="0"/>
            </w:tcBorders>
            <w:noWrap w:val="0"/>
            <w:vAlign w:val="center"/>
          </w:tcPr>
          <w:p>
            <w:pPr>
              <w:widowControl/>
              <w:rPr>
                <w:szCs w:val="21"/>
                <w:highlight w:val="none"/>
              </w:rPr>
            </w:pPr>
          </w:p>
        </w:tc>
        <w:tc>
          <w:tcPr>
            <w:tcW w:w="3064"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消防回路信息，图纸及点位编码表</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所有消防点位信息做成书本形式，并有目录及页数等信息，方便及时查找火警；蓝图上必须标好消防报警设备点位编码，且有电子版图纸，放在消防控制室。</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797" w:hRule="atLeast"/>
          <w:jc w:val="center"/>
        </w:trPr>
        <w:tc>
          <w:tcPr>
            <w:tcW w:w="1237" w:type="dxa"/>
            <w:vMerge w:val="continue"/>
            <w:tcBorders>
              <w:top w:val="single" w:color="A6A6A6" w:sz="6" w:space="0"/>
              <w:left w:val="single" w:color="A6A6A6" w:sz="6" w:space="0"/>
              <w:bottom w:val="single" w:color="A6A6A6" w:sz="6" w:space="0"/>
              <w:right w:val="single" w:color="A6A6A6" w:sz="6" w:space="0"/>
            </w:tcBorders>
            <w:noWrap w:val="0"/>
            <w:vAlign w:val="center"/>
          </w:tcPr>
          <w:p>
            <w:pPr>
              <w:widowControl/>
              <w:rPr>
                <w:szCs w:val="21"/>
                <w:highlight w:val="none"/>
              </w:rPr>
            </w:pPr>
          </w:p>
        </w:tc>
        <w:tc>
          <w:tcPr>
            <w:tcW w:w="3064"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主机操作流程</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各个系统主机操作流程必需准确，且简单易于操作，张贴在相对应的主机上或方面查看的墙上。</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601" w:hRule="atLeast"/>
          <w:jc w:val="center"/>
        </w:trPr>
        <w:tc>
          <w:tcPr>
            <w:tcW w:w="123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施工准备</w:t>
            </w:r>
          </w:p>
        </w:tc>
        <w:tc>
          <w:tcPr>
            <w:tcW w:w="3064"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材料计划和送审、施工方案</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认真编制</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541" w:hRule="atLeast"/>
          <w:jc w:val="center"/>
        </w:trPr>
        <w:tc>
          <w:tcPr>
            <w:tcW w:w="123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孔洞留设</w:t>
            </w:r>
          </w:p>
        </w:tc>
        <w:tc>
          <w:tcPr>
            <w:tcW w:w="3064"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漏留、错留</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编制孔洞留洞图和留洞检查表</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768" w:hRule="atLeast"/>
          <w:jc w:val="center"/>
        </w:trPr>
        <w:tc>
          <w:tcPr>
            <w:tcW w:w="123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管路暗敷</w:t>
            </w:r>
          </w:p>
        </w:tc>
        <w:tc>
          <w:tcPr>
            <w:tcW w:w="3064"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rPr>
                <w:rFonts w:ascii="Times New Roman" w:hAnsi="Times New Roman" w:eastAsia="宋体"/>
                <w:sz w:val="21"/>
                <w:szCs w:val="21"/>
                <w:highlight w:val="none"/>
              </w:rPr>
            </w:pPr>
            <w:r>
              <w:rPr>
                <w:rFonts w:ascii="Times New Roman" w:hAnsi="Times New Roman" w:eastAsia="宋体"/>
                <w:color w:val="000000"/>
                <w:sz w:val="21"/>
                <w:szCs w:val="21"/>
                <w:highlight w:val="none"/>
              </w:rPr>
              <w:t>接线盒、过线盒接线正确</w:t>
            </w:r>
          </w:p>
          <w:p>
            <w:pPr>
              <w:pStyle w:val="19"/>
              <w:spacing w:before="120" w:beforeAutospacing="0" w:after="120" w:afterAutospacing="0"/>
              <w:rPr>
                <w:rFonts w:ascii="Times New Roman" w:hAnsi="Times New Roman" w:eastAsia="宋体"/>
                <w:sz w:val="21"/>
                <w:szCs w:val="21"/>
                <w:highlight w:val="none"/>
              </w:rPr>
            </w:pPr>
            <w:r>
              <w:rPr>
                <w:rFonts w:ascii="Times New Roman" w:hAnsi="Times New Roman" w:eastAsia="宋体"/>
                <w:color w:val="000000"/>
                <w:sz w:val="21"/>
                <w:szCs w:val="21"/>
                <w:highlight w:val="none"/>
              </w:rPr>
              <w:t>管路弯扁度合格</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详细交底，消除质量通病</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766" w:hRule="atLeast"/>
          <w:jc w:val="center"/>
        </w:trPr>
        <w:tc>
          <w:tcPr>
            <w:tcW w:w="123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管路明敷</w:t>
            </w:r>
          </w:p>
        </w:tc>
        <w:tc>
          <w:tcPr>
            <w:tcW w:w="3064"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rPr>
                <w:rFonts w:ascii="Times New Roman" w:hAnsi="Times New Roman" w:eastAsia="宋体"/>
                <w:sz w:val="21"/>
                <w:szCs w:val="21"/>
                <w:highlight w:val="none"/>
              </w:rPr>
            </w:pPr>
            <w:r>
              <w:rPr>
                <w:rFonts w:ascii="Times New Roman" w:hAnsi="Times New Roman" w:eastAsia="宋体"/>
                <w:color w:val="000000"/>
                <w:sz w:val="21"/>
                <w:szCs w:val="21"/>
                <w:highlight w:val="none"/>
              </w:rPr>
              <w:t>支架间距、管路平直</w:t>
            </w:r>
          </w:p>
          <w:p>
            <w:pPr>
              <w:pStyle w:val="19"/>
              <w:spacing w:before="120" w:beforeAutospacing="0" w:after="120" w:afterAutospacing="0"/>
              <w:rPr>
                <w:rFonts w:ascii="Times New Roman" w:hAnsi="Times New Roman" w:eastAsia="宋体"/>
                <w:sz w:val="21"/>
                <w:szCs w:val="21"/>
                <w:highlight w:val="none"/>
              </w:rPr>
            </w:pPr>
            <w:r>
              <w:rPr>
                <w:rFonts w:ascii="Times New Roman" w:hAnsi="Times New Roman" w:eastAsia="宋体"/>
                <w:color w:val="000000"/>
                <w:sz w:val="21"/>
                <w:szCs w:val="21"/>
                <w:highlight w:val="none"/>
              </w:rPr>
              <w:t>与其它管道间距正确</w:t>
            </w:r>
          </w:p>
          <w:p>
            <w:pPr>
              <w:pStyle w:val="19"/>
              <w:spacing w:before="120" w:beforeAutospacing="0" w:after="120" w:afterAutospacing="0"/>
              <w:rPr>
                <w:rFonts w:ascii="Times New Roman" w:hAnsi="Times New Roman" w:eastAsia="宋体"/>
                <w:sz w:val="21"/>
                <w:szCs w:val="21"/>
                <w:highlight w:val="none"/>
              </w:rPr>
            </w:pPr>
            <w:r>
              <w:rPr>
                <w:rFonts w:ascii="Times New Roman" w:hAnsi="Times New Roman" w:eastAsia="宋体"/>
                <w:color w:val="000000"/>
                <w:sz w:val="21"/>
                <w:szCs w:val="21"/>
                <w:highlight w:val="none"/>
              </w:rPr>
              <w:t>接线盒、过线盒接线正确</w:t>
            </w:r>
          </w:p>
          <w:p>
            <w:pPr>
              <w:pStyle w:val="19"/>
              <w:spacing w:before="120" w:beforeAutospacing="0" w:after="120" w:afterAutospacing="0"/>
              <w:rPr>
                <w:rFonts w:ascii="Times New Roman" w:hAnsi="Times New Roman" w:eastAsia="宋体"/>
                <w:sz w:val="21"/>
                <w:szCs w:val="21"/>
                <w:highlight w:val="none"/>
              </w:rPr>
            </w:pPr>
            <w:r>
              <w:rPr>
                <w:rFonts w:ascii="Times New Roman" w:hAnsi="Times New Roman" w:eastAsia="宋体"/>
                <w:color w:val="000000"/>
                <w:sz w:val="21"/>
                <w:szCs w:val="21"/>
                <w:highlight w:val="none"/>
              </w:rPr>
              <w:t>管路弯扁度</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详细交底，消除质量通病</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725" w:hRule="atLeast"/>
          <w:jc w:val="center"/>
        </w:trPr>
        <w:tc>
          <w:tcPr>
            <w:tcW w:w="123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穿线配线</w:t>
            </w:r>
          </w:p>
        </w:tc>
        <w:tc>
          <w:tcPr>
            <w:tcW w:w="3064"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导线涮锡、导线损伤</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sz w:val="21"/>
                <w:szCs w:val="21"/>
                <w:highlight w:val="none"/>
              </w:rPr>
            </w:pPr>
            <w:r>
              <w:rPr>
                <w:rFonts w:ascii="Times New Roman" w:hAnsi="Times New Roman" w:eastAsia="宋体"/>
                <w:color w:val="000000"/>
                <w:sz w:val="21"/>
                <w:szCs w:val="21"/>
                <w:highlight w:val="none"/>
              </w:rPr>
              <w:t>严格涮锡工艺，穿线时注意保护导线</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1113" w:hRule="atLeast"/>
          <w:jc w:val="center"/>
        </w:trPr>
        <w:tc>
          <w:tcPr>
            <w:tcW w:w="123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设备安装</w:t>
            </w:r>
          </w:p>
        </w:tc>
        <w:tc>
          <w:tcPr>
            <w:tcW w:w="3064"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设备固定方法正确</w:t>
            </w:r>
          </w:p>
          <w:p>
            <w:pPr>
              <w:pStyle w:val="19"/>
              <w:spacing w:before="120" w:beforeAutospacing="0" w:after="120" w:afterAutospacing="0" w:line="399"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位置标高正确</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明确各种设备的安装方法，熟悉装修做法，准确定位</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r>
        <w:tblPrEx>
          <w:tblCellMar>
            <w:top w:w="15" w:type="dxa"/>
            <w:left w:w="15" w:type="dxa"/>
            <w:bottom w:w="15" w:type="dxa"/>
            <w:right w:w="15" w:type="dxa"/>
          </w:tblCellMar>
        </w:tblPrEx>
        <w:trPr>
          <w:trHeight w:val="313" w:hRule="atLeast"/>
          <w:jc w:val="center"/>
        </w:trPr>
        <w:tc>
          <w:tcPr>
            <w:tcW w:w="1237" w:type="dxa"/>
            <w:tcBorders>
              <w:top w:val="single" w:color="A6A6A6"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调试</w:t>
            </w:r>
          </w:p>
        </w:tc>
        <w:tc>
          <w:tcPr>
            <w:tcW w:w="3064"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绝缘摇测全面开关动作可靠，所有消防设备联动正常，在图形显示装置上正常显示设备运行状态</w:t>
            </w:r>
          </w:p>
        </w:tc>
        <w:tc>
          <w:tcPr>
            <w:tcW w:w="4327"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pStyle w:val="19"/>
              <w:spacing w:before="120" w:beforeAutospacing="0" w:after="120" w:afterAutospacing="0" w:line="399" w:lineRule="auto"/>
              <w:jc w:val="both"/>
              <w:rPr>
                <w:rFonts w:ascii="Times New Roman" w:hAnsi="Times New Roman" w:eastAsia="宋体"/>
                <w:sz w:val="21"/>
                <w:szCs w:val="21"/>
                <w:highlight w:val="none"/>
              </w:rPr>
            </w:pPr>
            <w:r>
              <w:rPr>
                <w:rFonts w:ascii="Times New Roman" w:hAnsi="Times New Roman" w:eastAsia="宋体"/>
                <w:color w:val="000000"/>
                <w:sz w:val="21"/>
                <w:szCs w:val="21"/>
                <w:highlight w:val="none"/>
              </w:rPr>
              <w:t>制订专项调试方案，按要求在图形显示装置上正常显示消防报警点位、防火门模块、电气火灾监控模块、设备电源监控模块</w:t>
            </w:r>
          </w:p>
        </w:tc>
        <w:tc>
          <w:tcPr>
            <w:tcW w:w="750" w:type="dxa"/>
            <w:tcBorders>
              <w:top w:val="single" w:color="CBCDD1" w:sz="6" w:space="0"/>
              <w:left w:val="single" w:color="A6A6A6" w:sz="6" w:space="0"/>
              <w:bottom w:val="single" w:color="A6A6A6" w:sz="6" w:space="0"/>
              <w:right w:val="single" w:color="A6A6A6" w:sz="6" w:space="0"/>
            </w:tcBorders>
            <w:noWrap w:val="0"/>
            <w:tcMar>
              <w:top w:w="0" w:type="dxa"/>
              <w:left w:w="108" w:type="dxa"/>
              <w:bottom w:w="0" w:type="dxa"/>
              <w:right w:w="108" w:type="dxa"/>
            </w:tcMar>
            <w:vAlign w:val="center"/>
          </w:tcPr>
          <w:p>
            <w:pPr>
              <w:rPr>
                <w:szCs w:val="21"/>
                <w:highlight w:val="none"/>
              </w:rPr>
            </w:pPr>
          </w:p>
        </w:tc>
      </w:tr>
    </w:tbl>
    <w:p>
      <w:pPr>
        <w:pStyle w:val="4"/>
        <w:rPr>
          <w:sz w:val="24"/>
          <w:szCs w:val="24"/>
          <w:highlight w:val="none"/>
        </w:rPr>
      </w:pPr>
      <w:bookmarkStart w:id="188" w:name="_Toc133335470"/>
      <w:r>
        <w:rPr>
          <w:sz w:val="24"/>
          <w:szCs w:val="24"/>
          <w:highlight w:val="none"/>
        </w:rPr>
        <w:t>10.4.2 材料要求</w:t>
      </w:r>
      <w:bookmarkEnd w:id="188"/>
    </w:p>
    <w:p>
      <w:pPr>
        <w:rPr>
          <w:highlight w:val="none"/>
        </w:rPr>
      </w:pPr>
      <w:r>
        <w:rPr>
          <w:highlight w:val="none"/>
        </w:rPr>
        <w:t>10.4.2.1系统设备材料要求</w:t>
      </w:r>
    </w:p>
    <w:p>
      <w:pPr>
        <w:pStyle w:val="19"/>
        <w:numPr>
          <w:ilvl w:val="0"/>
          <w:numId w:val="78"/>
        </w:numPr>
        <w:spacing w:before="0" w:beforeAutospacing="0" w:after="0" w:afterAutospacing="0" w:line="360" w:lineRule="auto"/>
        <w:ind w:left="0" w:firstLine="0"/>
        <w:jc w:val="both"/>
        <w:rPr>
          <w:rFonts w:ascii="Times New Roman" w:hAnsi="Times New Roman" w:eastAsia="宋体"/>
          <w:color w:val="000000"/>
          <w:highlight w:val="none"/>
          <w:shd w:val="clear" w:color="auto" w:fill="FFFFFF"/>
        </w:rPr>
      </w:pPr>
      <w:r>
        <w:rPr>
          <w:rFonts w:ascii="Times New Roman" w:hAnsi="Times New Roman" w:eastAsia="宋体"/>
          <w:color w:val="000000"/>
          <w:highlight w:val="none"/>
          <w:shd w:val="clear" w:color="auto" w:fill="FFFFFF"/>
        </w:rPr>
        <w:t>材料、设备及配件进入施工现场应具有清单、使用说明书、质量合格证明文件、国家法定质检机构的检验报告等文件，火灾自动报警系统中的强制认证产品还应有认证证书和认证标识。</w:t>
      </w:r>
    </w:p>
    <w:p>
      <w:pPr>
        <w:pStyle w:val="19"/>
        <w:numPr>
          <w:ilvl w:val="0"/>
          <w:numId w:val="78"/>
        </w:numPr>
        <w:spacing w:before="0" w:beforeAutospacing="0" w:after="0" w:afterAutospacing="0" w:line="360" w:lineRule="auto"/>
        <w:ind w:left="0" w:firstLine="0"/>
        <w:jc w:val="both"/>
        <w:rPr>
          <w:rFonts w:ascii="Times New Roman" w:hAnsi="Times New Roman" w:eastAsia="宋体"/>
          <w:color w:val="000000"/>
          <w:highlight w:val="none"/>
          <w:shd w:val="clear" w:color="auto" w:fill="FFFFFF"/>
        </w:rPr>
      </w:pPr>
      <w:r>
        <w:rPr>
          <w:rFonts w:ascii="Times New Roman" w:hAnsi="Times New Roman" w:eastAsia="宋体"/>
          <w:color w:val="000000"/>
          <w:highlight w:val="none"/>
          <w:shd w:val="clear" w:color="auto" w:fill="FFFFFF"/>
        </w:rPr>
        <w:t>系统中国家强制认证产品的名称、型号、规格应与认证证书和检验报告一致。</w:t>
      </w:r>
    </w:p>
    <w:p>
      <w:pPr>
        <w:pStyle w:val="19"/>
        <w:numPr>
          <w:ilvl w:val="0"/>
          <w:numId w:val="78"/>
        </w:numPr>
        <w:spacing w:before="0" w:beforeAutospacing="0" w:after="0" w:afterAutospacing="0" w:line="360" w:lineRule="auto"/>
        <w:ind w:left="0" w:firstLine="0"/>
        <w:jc w:val="both"/>
        <w:rPr>
          <w:rFonts w:ascii="Times New Roman" w:hAnsi="Times New Roman" w:eastAsia="宋体"/>
          <w:color w:val="000000"/>
          <w:highlight w:val="none"/>
          <w:shd w:val="clear" w:color="auto" w:fill="FFFFFF"/>
        </w:rPr>
      </w:pPr>
      <w:r>
        <w:rPr>
          <w:rFonts w:ascii="Times New Roman" w:hAnsi="Times New Roman" w:eastAsia="宋体"/>
          <w:color w:val="000000"/>
          <w:highlight w:val="none"/>
          <w:shd w:val="clear" w:color="auto" w:fill="FFFFFF"/>
        </w:rPr>
        <w:t>系统中非国家强制认证的产品名称、型号、规格应与检验报告一致，检验报告中未包括的配接产品接入系统时，应提供系统组件兼容性检验报告。</w:t>
      </w:r>
    </w:p>
    <w:p>
      <w:pPr>
        <w:pStyle w:val="19"/>
        <w:numPr>
          <w:ilvl w:val="0"/>
          <w:numId w:val="78"/>
        </w:numPr>
        <w:spacing w:before="0" w:beforeAutospacing="0" w:after="0" w:afterAutospacing="0" w:line="360" w:lineRule="auto"/>
        <w:ind w:left="0" w:firstLine="0"/>
        <w:jc w:val="both"/>
        <w:rPr>
          <w:rFonts w:ascii="Times New Roman" w:hAnsi="Times New Roman" w:eastAsia="宋体"/>
          <w:color w:val="000000"/>
          <w:highlight w:val="none"/>
          <w:shd w:val="clear" w:color="auto" w:fill="FFFFFF"/>
        </w:rPr>
      </w:pPr>
      <w:r>
        <w:rPr>
          <w:rFonts w:ascii="Times New Roman" w:hAnsi="Times New Roman" w:eastAsia="宋体"/>
          <w:color w:val="000000"/>
          <w:highlight w:val="none"/>
          <w:shd w:val="clear" w:color="auto" w:fill="FFFFFF"/>
        </w:rPr>
        <w:t>系统设备及配件的规格、型号应符合设计文件的规定。</w:t>
      </w:r>
    </w:p>
    <w:p>
      <w:pPr>
        <w:pStyle w:val="19"/>
        <w:numPr>
          <w:ilvl w:val="0"/>
          <w:numId w:val="78"/>
        </w:numPr>
        <w:spacing w:before="0" w:beforeAutospacing="0" w:after="0" w:afterAutospacing="0" w:line="360" w:lineRule="auto"/>
        <w:ind w:left="0" w:firstLine="0"/>
        <w:jc w:val="both"/>
        <w:rPr>
          <w:rFonts w:ascii="Times New Roman" w:hAnsi="Times New Roman" w:eastAsia="宋体"/>
          <w:color w:val="000000"/>
          <w:highlight w:val="none"/>
          <w:shd w:val="clear" w:color="auto" w:fill="FFFFFF"/>
        </w:rPr>
      </w:pPr>
      <w:r>
        <w:rPr>
          <w:rFonts w:ascii="Times New Roman" w:hAnsi="Times New Roman" w:eastAsia="宋体"/>
          <w:color w:val="000000"/>
          <w:highlight w:val="none"/>
          <w:shd w:val="clear" w:color="auto" w:fill="FFFFFF"/>
        </w:rPr>
        <w:t>系统设备及配件表面应无明显划痕、毛刺等机械损伤，紧固部位应无松动。</w:t>
      </w:r>
    </w:p>
    <w:p>
      <w:pPr>
        <w:rPr>
          <w:highlight w:val="none"/>
        </w:rPr>
      </w:pPr>
      <w:r>
        <w:rPr>
          <w:highlight w:val="none"/>
        </w:rPr>
        <w:t>10.4.2.2施工过程材料要求</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电线管、穿线盒应光滑无毛刺，有产品合格证；</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锁紧螺母外形完好无损，丝扣清晰，并有产品合格证；</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铁制接线盒，金属板厚度应不小于1.2mm，镀锌层无剥落，无变形开裂，敲落孔完整无缺，面板安装孔与地线焊脚齐全，并有产品合格证；</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面板盖板的规格高宽安装孔距应与盒配套，外形完整无损，板面色泽均匀，并有产品合格证；</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圆钢扁钢角钢等材质应符合国家现行规范要求，并有产品合格证或质量证明书；</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随墙配管：砖墙或加气混凝土块墙空心砖墙壁配合砌墙立管时，该管最好放在墙中心；管口向上要堵好；为使盒子平整，标高准确；</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配管时未按设计要求找出轴线位置，定位不准；应根据设计图纸要求进行修复；</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焊口不严破坏镀锌层，应将焊口焊严，受到破坏的镀锌层应及时补刷除锈漆；</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火灾自动报警系统传输线路采用绝缘导线时，应采用金属管阻燃硬质塑料管阻燃半硬质塑料管或封闭式线槽等保护方法进行布线，详见图纸要求；</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通讯和报警线路应穿金属管保护，并应敷设在非燃体结构内，其保护层厚度不应小于30mm，如明敷，应在金属管上采取防火措施；</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不同系统，不同电压，不同电流类别的线路不应穿于同一根管内或线槽的同一槽孔内；</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火灾探测器的传输线路应选择不同颜色的绝缘导线，同一工程中相同线别的绝缘导线颜色一致，接线端子应有标号；</w:t>
      </w:r>
    </w:p>
    <w:p>
      <w:pPr>
        <w:pStyle w:val="19"/>
        <w:numPr>
          <w:ilvl w:val="0"/>
          <w:numId w:val="7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穿管绝缘导线或电缆的总截面积不应超过管内截面积的40%；敷设在封闭线槽内的绝缘导线或电缆的总截面积不大于线槽净面积的50%。</w:t>
      </w:r>
    </w:p>
    <w:p>
      <w:pPr>
        <w:pStyle w:val="4"/>
        <w:rPr>
          <w:sz w:val="24"/>
          <w:szCs w:val="24"/>
          <w:highlight w:val="none"/>
        </w:rPr>
      </w:pPr>
      <w:bookmarkStart w:id="189" w:name="_Toc133335471"/>
      <w:r>
        <w:rPr>
          <w:sz w:val="24"/>
          <w:szCs w:val="24"/>
          <w:highlight w:val="none"/>
        </w:rPr>
        <w:t>10.4.3 消防元器件和设备选型及安装</w:t>
      </w:r>
      <w:bookmarkEnd w:id="189"/>
    </w:p>
    <w:p>
      <w:pPr>
        <w:pStyle w:val="19"/>
        <w:spacing w:before="0" w:beforeAutospacing="0" w:after="0" w:afterAutospacing="0" w:line="360" w:lineRule="auto"/>
        <w:ind w:firstLine="480" w:firstLineChars="200"/>
        <w:jc w:val="both"/>
        <w:rPr>
          <w:rFonts w:ascii="Times New Roman" w:hAnsi="Times New Roman" w:eastAsia="宋体"/>
          <w:highlight w:val="none"/>
        </w:rPr>
      </w:pPr>
      <w:r>
        <w:rPr>
          <w:rFonts w:ascii="Times New Roman" w:hAnsi="Times New Roman" w:eastAsia="宋体"/>
          <w:color w:val="000000"/>
          <w:highlight w:val="none"/>
        </w:rPr>
        <w:t>各种探测器性能必须符合设计和规范要求，并且是经有关部门批准生产的符合国家现行质量规范要求的产品，有产品合格证；区域报警器的主要技术指标及其功能，应符合设计和使用要求，并有产品合格证；集中报警器主要技术指标及其功能，应符合设计和使用要求，并有产品合格证；</w:t>
      </w:r>
    </w:p>
    <w:p>
      <w:pPr>
        <w:rPr>
          <w:highlight w:val="none"/>
        </w:rPr>
      </w:pPr>
      <w:r>
        <w:rPr>
          <w:highlight w:val="none"/>
        </w:rPr>
        <w:t>10.4.3.1探测器安装要求</w:t>
      </w:r>
    </w:p>
    <w:p>
      <w:pPr>
        <w:pStyle w:val="19"/>
        <w:numPr>
          <w:ilvl w:val="0"/>
          <w:numId w:val="80"/>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探测器至墙壁梁边的水平距离不应小于0.5m；</w:t>
      </w:r>
    </w:p>
    <w:p>
      <w:pPr>
        <w:pStyle w:val="19"/>
        <w:numPr>
          <w:ilvl w:val="0"/>
          <w:numId w:val="80"/>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探测器周围0.5m内不应遮挡物；探测器至空调送风口缘的水平距离不应小于1.5m；</w:t>
      </w:r>
    </w:p>
    <w:p>
      <w:pPr>
        <w:pStyle w:val="19"/>
        <w:numPr>
          <w:ilvl w:val="0"/>
          <w:numId w:val="80"/>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探测器安装主要包括预埋盒装饰圈底座探测器本体安装；预埋盒在配管时一并埋入，底座在穿管布线时事先安装完毕；</w:t>
      </w:r>
    </w:p>
    <w:p>
      <w:pPr>
        <w:pStyle w:val="19"/>
        <w:numPr>
          <w:ilvl w:val="0"/>
          <w:numId w:val="80"/>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探测器底座安装应固定牢固，其导线连接必须可靠（压接或焊接），当焊接时，不得使用带腐蚀性的助焊剂；安装底座时，探测器的确认灯应朝向主要走道或出入口方向；光电感烟探测器的底座应选用专用底座；</w:t>
      </w:r>
    </w:p>
    <w:p>
      <w:pPr>
        <w:pStyle w:val="19"/>
        <w:numPr>
          <w:ilvl w:val="0"/>
          <w:numId w:val="80"/>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探测器底座的外接导线，应留有不小于15cm的余量，入端处应有明显标志；</w:t>
      </w:r>
    </w:p>
    <w:p>
      <w:pPr>
        <w:pStyle w:val="19"/>
        <w:numPr>
          <w:ilvl w:val="0"/>
          <w:numId w:val="80"/>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烟感温感探测器在装修油漆完成后安装；烟感温感探测器安装应顾及到吊顶天棚的整体美观；</w:t>
      </w:r>
    </w:p>
    <w:p>
      <w:pPr>
        <w:rPr>
          <w:b/>
          <w:bCs/>
          <w:highlight w:val="none"/>
        </w:rPr>
      </w:pPr>
      <w:r>
        <w:rPr>
          <w:b/>
          <w:bCs/>
          <w:highlight w:val="none"/>
        </w:rPr>
        <w:t>10.4.3.2火灾报警器选型安装</w:t>
      </w:r>
    </w:p>
    <w:p>
      <w:pPr>
        <w:numPr>
          <w:ilvl w:val="0"/>
          <w:numId w:val="81"/>
        </w:numPr>
        <w:spacing w:line="360" w:lineRule="auto"/>
        <w:ind w:left="0" w:firstLine="0"/>
        <w:rPr>
          <w:highlight w:val="none"/>
        </w:rPr>
      </w:pPr>
      <w:r>
        <w:rPr>
          <w:highlight w:val="none"/>
        </w:rPr>
        <w:t>火灾报警主机消控室主机要求选择为琴台，其余各厂房区域机要求选择为壁挂或立柜机（区域机需根据回路多少配置）。</w:t>
      </w:r>
    </w:p>
    <w:p>
      <w:pPr>
        <w:pStyle w:val="19"/>
        <w:numPr>
          <w:ilvl w:val="0"/>
          <w:numId w:val="81"/>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火灾报警器在墙上安装时，其底部距地面高度要严格按照设计要求高度安装；</w:t>
      </w:r>
    </w:p>
    <w:p>
      <w:pPr>
        <w:pStyle w:val="19"/>
        <w:numPr>
          <w:ilvl w:val="0"/>
          <w:numId w:val="81"/>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火灾报警器应安装牢固，不得倾斜；</w:t>
      </w:r>
    </w:p>
    <w:p>
      <w:pPr>
        <w:pStyle w:val="19"/>
        <w:numPr>
          <w:ilvl w:val="0"/>
          <w:numId w:val="81"/>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引入报警器的电缆和导线，应配线整齐，固定牢靠；端部应标明编号，并与图纸一致；导线绑扎成束，进线管应封堵，并留有不小于20cm的余量；</w:t>
      </w:r>
    </w:p>
    <w:p>
      <w:pPr>
        <w:pStyle w:val="19"/>
        <w:numPr>
          <w:ilvl w:val="0"/>
          <w:numId w:val="81"/>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火灾报警器的主电源引入线，应直接与消防电源连接，并有明显标志；</w:t>
      </w:r>
    </w:p>
    <w:p>
      <w:pPr>
        <w:rPr>
          <w:b/>
          <w:bCs/>
          <w:highlight w:val="none"/>
        </w:rPr>
      </w:pPr>
      <w:r>
        <w:rPr>
          <w:b/>
          <w:bCs/>
          <w:highlight w:val="none"/>
        </w:rPr>
        <w:t>10.4.3.3应急照明系统选型安装</w:t>
      </w:r>
    </w:p>
    <w:p>
      <w:pPr>
        <w:pStyle w:val="19"/>
        <w:numPr>
          <w:ilvl w:val="0"/>
          <w:numId w:val="82"/>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应急照明系统应按新规选用符合图纸要求的控制器，系统由应急照明控制器、集中电源、消防应急灯具组成，系统内设备及灯具均为同一厂家生产制造。</w:t>
      </w:r>
    </w:p>
    <w:p>
      <w:pPr>
        <w:pStyle w:val="19"/>
        <w:numPr>
          <w:ilvl w:val="0"/>
          <w:numId w:val="82"/>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采用集中电源集中控制型灯具；灯具带独立的地址；采用LED光源，色温不低于2700K。</w:t>
      </w:r>
    </w:p>
    <w:p>
      <w:pPr>
        <w:pStyle w:val="19"/>
        <w:numPr>
          <w:ilvl w:val="0"/>
          <w:numId w:val="82"/>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应急照明配电箱或集中电源的输入及输出回路中不应装设剩余电流动作保护器，输出回路严禁接入系统以外的开关装置、插座及其他负载。</w:t>
      </w:r>
    </w:p>
    <w:p>
      <w:pPr>
        <w:pStyle w:val="19"/>
        <w:numPr>
          <w:ilvl w:val="0"/>
          <w:numId w:val="82"/>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应能与火灾自动报警系统通信，通信接口和通信协议的兼容性满足《火灾自动报警系统组件兼容性要求》GB22134。</w:t>
      </w:r>
    </w:p>
    <w:p>
      <w:pPr>
        <w:pStyle w:val="19"/>
        <w:numPr>
          <w:ilvl w:val="0"/>
          <w:numId w:val="82"/>
        </w:numPr>
        <w:spacing w:before="0" w:beforeAutospacing="0" w:after="0" w:afterAutospacing="0" w:line="360" w:lineRule="auto"/>
        <w:ind w:left="0" w:firstLine="0"/>
        <w:jc w:val="both"/>
        <w:rPr>
          <w:rFonts w:ascii="Times New Roman" w:hAnsi="Times New Roman" w:eastAsia="宋体"/>
          <w:highlight w:val="none"/>
        </w:rPr>
      </w:pPr>
      <w:r>
        <w:rPr>
          <w:rFonts w:hint="eastAsia" w:ascii="Times New Roman" w:hAnsi="Times New Roman" w:eastAsia="宋体"/>
          <w:color w:val="000000"/>
          <w:highlight w:val="none"/>
        </w:rPr>
        <w:t xml:space="preserve"> </w:t>
      </w:r>
      <w:r>
        <w:rPr>
          <w:rFonts w:ascii="Times New Roman" w:hAnsi="Times New Roman" w:eastAsia="宋体"/>
          <w:color w:val="000000"/>
          <w:highlight w:val="none"/>
        </w:rPr>
        <w:t>应急照明控制器的主电源由消防电源供电；控制器自带蓄电池，工作时间≥3h。</w:t>
      </w:r>
    </w:p>
    <w:p>
      <w:pPr>
        <w:pStyle w:val="19"/>
        <w:numPr>
          <w:ilvl w:val="0"/>
          <w:numId w:val="82"/>
        </w:numPr>
        <w:spacing w:before="0" w:beforeAutospacing="0" w:after="0" w:afterAutospacing="0" w:line="360" w:lineRule="auto"/>
        <w:ind w:left="0" w:firstLine="0"/>
        <w:jc w:val="both"/>
        <w:rPr>
          <w:rFonts w:ascii="Times New Roman" w:hAnsi="Times New Roman" w:eastAsia="宋体"/>
          <w:color w:val="000000"/>
          <w:highlight w:val="none"/>
        </w:rPr>
      </w:pPr>
      <w:r>
        <w:rPr>
          <w:rFonts w:hint="eastAsia" w:ascii="Times New Roman" w:hAnsi="Times New Roman" w:eastAsia="宋体"/>
          <w:color w:val="000000"/>
          <w:highlight w:val="none"/>
        </w:rPr>
        <w:t xml:space="preserve"> </w:t>
      </w:r>
      <w:r>
        <w:rPr>
          <w:rFonts w:ascii="Times New Roman" w:hAnsi="Times New Roman" w:eastAsia="宋体"/>
          <w:color w:val="000000"/>
          <w:highlight w:val="none"/>
        </w:rPr>
        <w:t>设置多台应急照明控制器时，应设置一台起集中控制功能的应急照明控制器。</w:t>
      </w:r>
    </w:p>
    <w:p>
      <w:pPr>
        <w:pStyle w:val="19"/>
        <w:numPr>
          <w:ilvl w:val="0"/>
          <w:numId w:val="82"/>
        </w:numPr>
        <w:spacing w:before="0" w:beforeAutospacing="0" w:after="0" w:afterAutospacing="0" w:line="360" w:lineRule="auto"/>
        <w:ind w:left="0" w:firstLine="0"/>
        <w:jc w:val="both"/>
        <w:rPr>
          <w:rFonts w:ascii="Times New Roman" w:hAnsi="Times New Roman" w:eastAsia="宋体"/>
          <w:color w:val="000000"/>
          <w:highlight w:val="none"/>
        </w:rPr>
      </w:pPr>
      <w:r>
        <w:rPr>
          <w:rFonts w:hint="eastAsia" w:ascii="Times New Roman" w:hAnsi="Times New Roman" w:eastAsia="宋体"/>
          <w:color w:val="000000"/>
          <w:highlight w:val="none"/>
        </w:rPr>
        <w:t xml:space="preserve"> </w:t>
      </w:r>
      <w:r>
        <w:rPr>
          <w:rFonts w:ascii="Times New Roman" w:hAnsi="Times New Roman" w:eastAsia="宋体"/>
          <w:color w:val="000000"/>
          <w:highlight w:val="none"/>
        </w:rPr>
        <w:t>应急照明灯具应选可编码型，功率、照度要求符合图纸设计，灯具类型必须完全按图纸设计要求选择。</w:t>
      </w:r>
    </w:p>
    <w:p>
      <w:pPr>
        <w:pStyle w:val="19"/>
        <w:numPr>
          <w:ilvl w:val="0"/>
          <w:numId w:val="82"/>
        </w:numPr>
        <w:spacing w:before="0" w:beforeAutospacing="0" w:after="0" w:afterAutospacing="0" w:line="360" w:lineRule="auto"/>
        <w:ind w:left="0" w:firstLine="0"/>
        <w:jc w:val="both"/>
        <w:rPr>
          <w:rFonts w:ascii="Times New Roman" w:hAnsi="Times New Roman" w:eastAsia="宋体"/>
          <w:color w:val="000000"/>
          <w:highlight w:val="none"/>
        </w:rPr>
      </w:pPr>
      <w:r>
        <w:rPr>
          <w:rFonts w:hint="eastAsia" w:ascii="Times New Roman" w:hAnsi="Times New Roman" w:eastAsia="宋体"/>
          <w:color w:val="000000"/>
          <w:highlight w:val="none"/>
        </w:rPr>
        <w:t xml:space="preserve"> </w:t>
      </w:r>
      <w:r>
        <w:rPr>
          <w:rFonts w:ascii="Times New Roman" w:hAnsi="Times New Roman" w:eastAsia="宋体"/>
          <w:color w:val="000000"/>
          <w:highlight w:val="none"/>
        </w:rPr>
        <w:t>应急照明主机应能查找安装灯具的类型、规格型号、详细位置，以及各灯具回路信息。</w:t>
      </w:r>
    </w:p>
    <w:p>
      <w:pPr>
        <w:pStyle w:val="19"/>
        <w:numPr>
          <w:ilvl w:val="0"/>
          <w:numId w:val="82"/>
        </w:numPr>
        <w:spacing w:before="0" w:beforeAutospacing="0" w:after="0" w:afterAutospacing="0" w:line="360" w:lineRule="auto"/>
        <w:ind w:left="0" w:firstLine="0"/>
        <w:jc w:val="both"/>
        <w:rPr>
          <w:rFonts w:ascii="Times New Roman" w:hAnsi="Times New Roman" w:eastAsia="宋体"/>
          <w:color w:val="000000"/>
          <w:highlight w:val="none"/>
        </w:rPr>
      </w:pPr>
      <w:r>
        <w:rPr>
          <w:rFonts w:hint="eastAsia" w:ascii="Times New Roman" w:hAnsi="Times New Roman" w:eastAsia="宋体"/>
          <w:color w:val="000000"/>
          <w:highlight w:val="none"/>
        </w:rPr>
        <w:t xml:space="preserve"> </w:t>
      </w:r>
      <w:r>
        <w:rPr>
          <w:rFonts w:ascii="Times New Roman" w:hAnsi="Times New Roman" w:eastAsia="宋体"/>
          <w:color w:val="000000"/>
          <w:highlight w:val="none"/>
        </w:rPr>
        <w:t>与火灾报警主机联网不能存在协议问题。</w:t>
      </w:r>
    </w:p>
    <w:p>
      <w:pPr>
        <w:rPr>
          <w:b/>
          <w:bCs/>
          <w:highlight w:val="none"/>
        </w:rPr>
      </w:pPr>
      <w:r>
        <w:rPr>
          <w:b/>
          <w:bCs/>
          <w:highlight w:val="none"/>
        </w:rPr>
        <w:t>10.4.3.4其他消防系统选型及安装</w:t>
      </w:r>
    </w:p>
    <w:p>
      <w:pPr>
        <w:numPr>
          <w:ilvl w:val="0"/>
          <w:numId w:val="83"/>
        </w:numPr>
        <w:spacing w:line="360" w:lineRule="auto"/>
        <w:ind w:left="0" w:firstLine="0"/>
        <w:rPr>
          <w:highlight w:val="none"/>
        </w:rPr>
      </w:pPr>
      <w:r>
        <w:rPr>
          <w:highlight w:val="none"/>
        </w:rPr>
        <w:t>电气火灾监控系统、设备电源监控系统、防火门监控系统选择品牌应保证与火灾报警主机一致性，要求为壁挂机且必须按规范接入图形显示装置（CRT）。</w:t>
      </w:r>
    </w:p>
    <w:p>
      <w:pPr>
        <w:numPr>
          <w:ilvl w:val="0"/>
          <w:numId w:val="83"/>
        </w:numPr>
        <w:spacing w:line="360" w:lineRule="auto"/>
        <w:ind w:left="0" w:firstLine="0"/>
        <w:rPr>
          <w:highlight w:val="none"/>
        </w:rPr>
      </w:pPr>
      <w:r>
        <w:rPr>
          <w:highlight w:val="none"/>
        </w:rPr>
        <w:t>气体灭火系统、可燃气体报警系统选择品牌应保证与报警主机一致性，能与火灾报警主机联网，有正常联动功能，信息能相互反馈。</w:t>
      </w:r>
    </w:p>
    <w:p>
      <w:pPr>
        <w:rPr>
          <w:b/>
          <w:bCs/>
          <w:highlight w:val="none"/>
        </w:rPr>
      </w:pPr>
      <w:r>
        <w:rPr>
          <w:b/>
          <w:bCs/>
          <w:highlight w:val="none"/>
        </w:rPr>
        <w:t>10.4.3.5端子箱安装</w:t>
      </w:r>
    </w:p>
    <w:p>
      <w:pPr>
        <w:pStyle w:val="19"/>
        <w:numPr>
          <w:ilvl w:val="0"/>
          <w:numId w:val="8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专用端子箱，应根据设计要求的高度及位置，采用金属膨胀螺栓将箱体固定地墙上，管进箱处应带好护口，将干线电缆和支线分别引入；</w:t>
      </w:r>
    </w:p>
    <w:p>
      <w:pPr>
        <w:pStyle w:val="19"/>
        <w:numPr>
          <w:ilvl w:val="0"/>
          <w:numId w:val="8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剥去电缆绝缘层和导线绝缘层，使用对线耳机，两人分别在线路两端逐根核对导线编号；</w:t>
      </w:r>
    </w:p>
    <w:p>
      <w:pPr>
        <w:pStyle w:val="19"/>
        <w:numPr>
          <w:ilvl w:val="0"/>
          <w:numId w:val="8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将导线留有一定长度的余量，然后绑扎成束，分别设置在端子板两侧，左侧为从控制中心引来的干线，右侧为火灾探测器及其它设备的控制线路，在压接线前应再次摇测绝缘电阻值；</w:t>
      </w:r>
    </w:p>
    <w:p>
      <w:pPr>
        <w:pStyle w:val="19"/>
        <w:numPr>
          <w:ilvl w:val="0"/>
          <w:numId w:val="8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原则上先压接从中心引来的干线，后压接火灾探测器的线路；</w:t>
      </w:r>
    </w:p>
    <w:p>
      <w:pPr>
        <w:numPr>
          <w:ilvl w:val="0"/>
          <w:numId w:val="84"/>
        </w:numPr>
        <w:spacing w:line="360" w:lineRule="auto"/>
        <w:ind w:left="0" w:firstLine="0"/>
        <w:rPr>
          <w:highlight w:val="none"/>
        </w:rPr>
      </w:pPr>
      <w:r>
        <w:rPr>
          <w:highlight w:val="none"/>
        </w:rPr>
        <w:t>10.4.3.6消防控制设备安装</w:t>
      </w:r>
    </w:p>
    <w:p>
      <w:pPr>
        <w:pStyle w:val="19"/>
        <w:numPr>
          <w:ilvl w:val="0"/>
          <w:numId w:val="8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消防报警总控柜在安装前应先检查柜（盘）型号是否按设计图要求排列；根据柜内的固定孔距，在基础槽钢上钻孔，安装时一端开始逐台就位，用螺栓固定，用拉线找平找正后再将各个螺栓紧固；</w:t>
      </w:r>
    </w:p>
    <w:p>
      <w:pPr>
        <w:pStyle w:val="19"/>
        <w:numPr>
          <w:ilvl w:val="0"/>
          <w:numId w:val="8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连接柜（盘）内的控制线：各回路的干线均应对号入座；</w:t>
      </w:r>
    </w:p>
    <w:p>
      <w:pPr>
        <w:pStyle w:val="19"/>
        <w:numPr>
          <w:ilvl w:val="0"/>
          <w:numId w:val="8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消防控制设备的外接导线，采用金属软管作套管，其长度不应大于2m，用管卡固定；固定点间距不大于0.5m；金属软管与消防控制设备的接线盒，采用锁母固定；</w:t>
      </w:r>
    </w:p>
    <w:p>
      <w:pPr>
        <w:pStyle w:val="19"/>
        <w:numPr>
          <w:ilvl w:val="0"/>
          <w:numId w:val="8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消防控制设备的外接导线的端部，应有明显标志；</w:t>
      </w:r>
    </w:p>
    <w:p>
      <w:pPr>
        <w:pStyle w:val="19"/>
        <w:numPr>
          <w:ilvl w:val="0"/>
          <w:numId w:val="8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广播扬声器配合二次装修进行安装，安装时应兼顾吊顶天棚的整体美观；</w:t>
      </w:r>
    </w:p>
    <w:p>
      <w:pPr>
        <w:pStyle w:val="19"/>
        <w:numPr>
          <w:ilvl w:val="0"/>
          <w:numId w:val="8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消火栓箱整体选用普通碳钢材质；</w:t>
      </w:r>
    </w:p>
    <w:p>
      <w:pPr>
        <w:rPr>
          <w:highlight w:val="none"/>
        </w:rPr>
      </w:pPr>
      <w:r>
        <w:rPr>
          <w:highlight w:val="none"/>
        </w:rPr>
        <w:t>10.4.3.7消防应急广播</w:t>
      </w:r>
    </w:p>
    <w:p>
      <w:pPr>
        <w:pStyle w:val="19"/>
        <w:numPr>
          <w:ilvl w:val="0"/>
          <w:numId w:val="8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检查消防中心至各楼层的火灾应急广播音频线是否到位，检查消防中心的录音机，功放的电源线、音频线是否正确连接，对各楼层进行消防广播试验；</w:t>
      </w:r>
    </w:p>
    <w:p>
      <w:pPr>
        <w:pStyle w:val="19"/>
        <w:numPr>
          <w:ilvl w:val="0"/>
          <w:numId w:val="85"/>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 xml:space="preserve">必需有现场喊麦功能，可对各厂房进行独立操作。 </w:t>
      </w:r>
    </w:p>
    <w:p>
      <w:pPr>
        <w:rPr>
          <w:highlight w:val="none"/>
        </w:rPr>
      </w:pPr>
      <w:r>
        <w:rPr>
          <w:highlight w:val="none"/>
        </w:rPr>
        <w:t>10.4.3.8消防电话</w:t>
      </w:r>
    </w:p>
    <w:p>
      <w:pPr>
        <w:numPr>
          <w:ilvl w:val="0"/>
          <w:numId w:val="86"/>
        </w:numPr>
        <w:spacing w:line="360" w:lineRule="auto"/>
        <w:ind w:left="0" w:firstLine="0"/>
        <w:rPr>
          <w:highlight w:val="none"/>
        </w:rPr>
      </w:pPr>
      <w:r>
        <w:rPr>
          <w:highlight w:val="none"/>
        </w:rPr>
        <w:t>不受网络信号影响通话质量，保证所有的语音清晰。</w:t>
      </w:r>
    </w:p>
    <w:p>
      <w:pPr>
        <w:numPr>
          <w:ilvl w:val="0"/>
          <w:numId w:val="86"/>
        </w:numPr>
        <w:spacing w:line="360" w:lineRule="auto"/>
        <w:ind w:left="0" w:firstLine="0"/>
        <w:rPr>
          <w:highlight w:val="none"/>
        </w:rPr>
      </w:pPr>
      <w:r>
        <w:rPr>
          <w:highlight w:val="none"/>
        </w:rPr>
        <w:t>支持多方同时通话，且电话编码位置简单，方便随时从控制室拨号至各电话分机，电话分机无需拨号，拿起可直接拨通消控室电话主机。</w:t>
      </w:r>
    </w:p>
    <w:p>
      <w:pPr>
        <w:numPr>
          <w:ilvl w:val="0"/>
          <w:numId w:val="86"/>
        </w:numPr>
        <w:spacing w:line="360" w:lineRule="auto"/>
        <w:ind w:left="0" w:firstLine="0"/>
        <w:rPr>
          <w:highlight w:val="none"/>
        </w:rPr>
      </w:pPr>
      <w:r>
        <w:rPr>
          <w:highlight w:val="none"/>
        </w:rPr>
        <w:t>安装位置易于操作。</w:t>
      </w:r>
    </w:p>
    <w:p>
      <w:pPr>
        <w:pStyle w:val="4"/>
        <w:rPr>
          <w:sz w:val="24"/>
          <w:szCs w:val="24"/>
          <w:highlight w:val="none"/>
        </w:rPr>
      </w:pPr>
      <w:bookmarkStart w:id="190" w:name="_Toc133335472"/>
      <w:r>
        <w:rPr>
          <w:sz w:val="24"/>
          <w:szCs w:val="24"/>
          <w:highlight w:val="none"/>
        </w:rPr>
        <w:t>10.4.4 施工中关键工序技术质量保证措施</w:t>
      </w:r>
      <w:bookmarkEnd w:id="190"/>
    </w:p>
    <w:p>
      <w:pPr>
        <w:pStyle w:val="19"/>
        <w:spacing w:before="0" w:beforeAutospacing="0" w:after="0" w:afterAutospacing="0" w:line="360" w:lineRule="auto"/>
        <w:ind w:firstLine="480" w:firstLineChars="200"/>
        <w:jc w:val="both"/>
        <w:rPr>
          <w:rFonts w:ascii="Times New Roman" w:hAnsi="Times New Roman" w:eastAsia="宋体"/>
          <w:highlight w:val="none"/>
        </w:rPr>
      </w:pPr>
      <w:r>
        <w:rPr>
          <w:rFonts w:ascii="Times New Roman" w:hAnsi="Times New Roman" w:eastAsia="宋体"/>
          <w:color w:val="000000"/>
          <w:highlight w:val="none"/>
        </w:rPr>
        <w:t>以火灾自动报警、应急照明系统、综合布线系统、其他消防报警系统等按专业系统的国家（行业）标准执行。具体设备安装、线路敷设、电源接地施工过程中特别注意如下：</w:t>
      </w:r>
    </w:p>
    <w:p>
      <w:pPr>
        <w:pStyle w:val="19"/>
        <w:numPr>
          <w:ilvl w:val="0"/>
          <w:numId w:val="87"/>
        </w:numPr>
        <w:tabs>
          <w:tab w:val="left" w:pos="720"/>
        </w:tabs>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支架安装应避开有较大振动、热源、腐蚀性液滴及排污管沟位置，同时避开高温、高压、腐蚀性及易燃易爆等介质的工艺设备、管道以及能移动的构筑物，必须敷设支架时，要采取隔离、防腐等措施。</w:t>
      </w:r>
    </w:p>
    <w:p>
      <w:pPr>
        <w:pStyle w:val="19"/>
        <w:numPr>
          <w:ilvl w:val="0"/>
          <w:numId w:val="87"/>
        </w:numPr>
        <w:tabs>
          <w:tab w:val="left" w:pos="720"/>
        </w:tabs>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暗配管道的弯曲半径，弯曲数量是否符合施工规范及设置接线盒的标准，保护层厚度大于15mm，预埋盒和管子连接处要密封，按设计要求接地时，确保金属管道接地可靠性，连续性。</w:t>
      </w:r>
    </w:p>
    <w:p>
      <w:pPr>
        <w:pStyle w:val="19"/>
        <w:numPr>
          <w:ilvl w:val="0"/>
          <w:numId w:val="87"/>
        </w:numPr>
        <w:tabs>
          <w:tab w:val="left" w:pos="720"/>
        </w:tabs>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当强弱电都采用PVC管时，应避免平行敷设，必须平行敷设时，为防止干扰相隔间距应大于0.5m，终端用金属软管时长度小于2m。导线接头设置在接线盒内焊接或端子连接，导线在管内或线槽内不应有接头。</w:t>
      </w:r>
    </w:p>
    <w:p>
      <w:pPr>
        <w:pStyle w:val="19"/>
        <w:numPr>
          <w:ilvl w:val="0"/>
          <w:numId w:val="87"/>
        </w:numPr>
        <w:tabs>
          <w:tab w:val="left" w:pos="720"/>
        </w:tabs>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在同一线槽内的不同信号、不同电压等级的电缆要分类布置，广播和电话等电压等级较高的线路应用隔板与无屏蔽的信号线路隔开敷设，或单独用线槽敷设。220V交流电源线路和连锁线路不能与弱电信号电缆同槽敷设。</w:t>
      </w:r>
    </w:p>
    <w:p>
      <w:pPr>
        <w:pStyle w:val="19"/>
        <w:numPr>
          <w:ilvl w:val="0"/>
          <w:numId w:val="87"/>
        </w:numPr>
        <w:tabs>
          <w:tab w:val="left" w:pos="720"/>
        </w:tabs>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柜、屏、箱金属柜架和基础型钢应当可靠接地，基础型钢应直接和箱柜内接地可靠连接。金属线槽、桥架和钢管进出配电箱、柜时，应当用铜导线和箱、柜内接地排可靠连接。柜、箱、盘内同一接线端子上不应多于二根导线。</w:t>
      </w:r>
    </w:p>
    <w:p>
      <w:pPr>
        <w:pStyle w:val="19"/>
        <w:numPr>
          <w:ilvl w:val="0"/>
          <w:numId w:val="87"/>
        </w:numPr>
        <w:tabs>
          <w:tab w:val="left" w:pos="720"/>
        </w:tabs>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消防弱电系统电缆回路地绝缘电阻值大于20MΩ，系统接地电阻值小于4Ω，联合接地体时，接地电阻值小于1Ω。</w:t>
      </w:r>
    </w:p>
    <w:p>
      <w:pPr>
        <w:pStyle w:val="19"/>
        <w:numPr>
          <w:ilvl w:val="0"/>
          <w:numId w:val="87"/>
        </w:numPr>
        <w:tabs>
          <w:tab w:val="left" w:pos="720"/>
        </w:tabs>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所有消防设备安装调试均要考虑美观实用，例如，喷头、灯具、烟温感、风口等设备成直线状态，且符合规范要求。</w:t>
      </w:r>
    </w:p>
    <w:p>
      <w:pPr>
        <w:pStyle w:val="4"/>
        <w:rPr>
          <w:highlight w:val="none"/>
        </w:rPr>
      </w:pPr>
      <w:bookmarkStart w:id="191" w:name="_Toc133335473"/>
      <w:r>
        <w:rPr>
          <w:highlight w:val="none"/>
        </w:rPr>
        <w:t>10.4.5 消防电调试</w:t>
      </w:r>
      <w:bookmarkEnd w:id="191"/>
    </w:p>
    <w:p>
      <w:pPr>
        <w:rPr>
          <w:b/>
          <w:bCs/>
          <w:highlight w:val="none"/>
        </w:rPr>
      </w:pPr>
      <w:r>
        <w:rPr>
          <w:b/>
          <w:bCs/>
          <w:highlight w:val="none"/>
        </w:rPr>
        <w:t>10.4.5.1调试前准备</w:t>
      </w:r>
    </w:p>
    <w:p>
      <w:pPr>
        <w:pStyle w:val="19"/>
        <w:numPr>
          <w:ilvl w:val="0"/>
          <w:numId w:val="88"/>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调试人员应在调试前，认真阅读消防系统原理图，平面图（施工布线图）透彻理解设计意图，了解火警设备的性能及技术指标；对有关数据的整定值，调整技术标准做到心中有数；对本工程采用的系统模式所要达到的报警及联动控制功能要求必须完全领会，方可进行调整试验工作；</w:t>
      </w:r>
    </w:p>
    <w:p>
      <w:pPr>
        <w:pStyle w:val="19"/>
        <w:numPr>
          <w:ilvl w:val="0"/>
          <w:numId w:val="88"/>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调试开通的质量与速度在很大程度上取决于管线敷设及设备安装质量；因此，调试开通前，技术人员要向施工单位了解管线布置及安装质量状况；</w:t>
      </w:r>
    </w:p>
    <w:p>
      <w:pPr>
        <w:pStyle w:val="19"/>
        <w:numPr>
          <w:ilvl w:val="0"/>
          <w:numId w:val="88"/>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调试前应按设计要求查验设备的规格型号数量，如发现管线或安装与设计不符现象，应立即和有关部分协商并制定整改计划；</w:t>
      </w:r>
    </w:p>
    <w:p>
      <w:pPr>
        <w:pStyle w:val="19"/>
        <w:numPr>
          <w:ilvl w:val="0"/>
          <w:numId w:val="88"/>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在各种设备系统联接与试运行过程中，应由厂家参加协调，进行统一系统调试，发现问题及时解决，做好详细的调试记录；线缆测试。</w:t>
      </w:r>
    </w:p>
    <w:p>
      <w:pPr>
        <w:rPr>
          <w:b/>
          <w:bCs/>
          <w:highlight w:val="none"/>
        </w:rPr>
      </w:pPr>
      <w:r>
        <w:rPr>
          <w:b/>
          <w:bCs/>
          <w:highlight w:val="none"/>
        </w:rPr>
        <w:t>10.4.5.2线路测试</w:t>
      </w:r>
    </w:p>
    <w:p>
      <w:pPr>
        <w:pStyle w:val="19"/>
        <w:numPr>
          <w:ilvl w:val="0"/>
          <w:numId w:val="8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外部检查按图纸检查各种配线情况，首先是强电弱电线是否到位，是否存在不同性质线缆共管的现象，其次是各种火警设备接线是否正确，接线排列是否合理；接线端子处标准编号是否齐全，工作接地和保护接地是否接地正确；</w:t>
      </w:r>
    </w:p>
    <w:p>
      <w:pPr>
        <w:pStyle w:val="19"/>
        <w:numPr>
          <w:ilvl w:val="0"/>
          <w:numId w:val="89"/>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线路校验先将被校回路中的各个部件装置与设备接线端子打开进行查对，一般都用万用表以导通法逐线查对传输线路敷设，接线是否正确，现在可采用数字式多路查线仪检查，效果好，速度快，检查探测回路线，通信线是否短路或开路；采用兆欧表测试回路绝缘电阻，应对导线与导线，导线对地线，导线对屏蔽层的绝缘电阻进行分别测试并记录，其绝缘电阻值不小于20兆欧。</w:t>
      </w:r>
    </w:p>
    <w:p>
      <w:pPr>
        <w:rPr>
          <w:b/>
          <w:bCs/>
          <w:highlight w:val="none"/>
        </w:rPr>
      </w:pPr>
      <w:r>
        <w:rPr>
          <w:b/>
          <w:bCs/>
          <w:highlight w:val="none"/>
        </w:rPr>
        <w:t>10.4.5.3单体调试</w:t>
      </w:r>
    </w:p>
    <w:p>
      <w:pPr>
        <w:numPr>
          <w:ilvl w:val="0"/>
          <w:numId w:val="90"/>
        </w:numPr>
        <w:spacing w:line="360" w:lineRule="auto"/>
        <w:ind w:left="425"/>
        <w:rPr>
          <w:highlight w:val="none"/>
        </w:rPr>
      </w:pPr>
      <w:r>
        <w:rPr>
          <w:color w:val="000000"/>
          <w:highlight w:val="none"/>
        </w:rPr>
        <w:t>探测器的检查</w:t>
      </w:r>
    </w:p>
    <w:p>
      <w:pPr>
        <w:pStyle w:val="19"/>
        <w:spacing w:before="0" w:beforeAutospacing="0" w:after="0" w:afterAutospacing="0" w:line="360" w:lineRule="auto"/>
        <w:ind w:firstLine="480" w:firstLineChars="200"/>
        <w:jc w:val="both"/>
        <w:rPr>
          <w:rFonts w:ascii="Times New Roman" w:hAnsi="Times New Roman" w:eastAsia="宋体"/>
          <w:highlight w:val="none"/>
        </w:rPr>
      </w:pPr>
      <w:r>
        <w:rPr>
          <w:rFonts w:ascii="Times New Roman" w:hAnsi="Times New Roman" w:eastAsia="宋体"/>
          <w:color w:val="000000"/>
          <w:highlight w:val="none"/>
        </w:rPr>
        <w:t>在安装施工现场一般作定性试验，对于使用数量较大的开关量探测器可利用专用的火灾探测器检查装置检测，目前施工现场大多没有这类检查设备，可利用报警控制器代替，让报警控制器首先接出一个回路开通探测器底座，然后利用报警控制器的自检报警功能对探测器进行单体试验；</w:t>
      </w:r>
    </w:p>
    <w:p>
      <w:pPr>
        <w:pStyle w:val="19"/>
        <w:numPr>
          <w:ilvl w:val="0"/>
          <w:numId w:val="91"/>
        </w:numPr>
        <w:spacing w:before="0" w:beforeAutospacing="0" w:after="0" w:afterAutospacing="0" w:line="360" w:lineRule="auto"/>
        <w:jc w:val="both"/>
        <w:rPr>
          <w:rFonts w:ascii="Times New Roman" w:hAnsi="Times New Roman" w:eastAsia="宋体"/>
          <w:color w:val="000000"/>
          <w:highlight w:val="none"/>
        </w:rPr>
      </w:pPr>
      <w:r>
        <w:rPr>
          <w:rFonts w:ascii="Times New Roman" w:hAnsi="Times New Roman" w:eastAsia="宋体"/>
          <w:color w:val="000000"/>
          <w:highlight w:val="none"/>
        </w:rPr>
        <w:t>报警控制器试验</w:t>
      </w:r>
    </w:p>
    <w:p>
      <w:pPr>
        <w:pStyle w:val="19"/>
        <w:numPr>
          <w:ilvl w:val="0"/>
          <w:numId w:val="92"/>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报警控制器单机开通前，首先不接报警点，使机器空载运行，确定控制器是否在运输和安装过程中损坏开机后将带上探测点进行编码，并在平面上作详细记录；对未带上探测点要逐个检查，如果是管线问题，则在排除线路故障后再开机测试，如果是探测器问题，则更换探测器；</w:t>
      </w:r>
    </w:p>
    <w:p>
      <w:pPr>
        <w:pStyle w:val="19"/>
        <w:numPr>
          <w:ilvl w:val="0"/>
          <w:numId w:val="92"/>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对报警控制器要作如下功能检查：火灾报警自检功能消音复位功能，故障报警功能，火灾优先功能，报警记忆功能，电源自动转换及设备用电源的自动充电功能，备用电源的欠压，过压报警功能等；</w:t>
      </w:r>
    </w:p>
    <w:p>
      <w:pPr>
        <w:pStyle w:val="19"/>
        <w:numPr>
          <w:ilvl w:val="0"/>
          <w:numId w:val="92"/>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火灾探测器的现场检测</w:t>
      </w:r>
    </w:p>
    <w:p>
      <w:pPr>
        <w:pStyle w:val="19"/>
        <w:numPr>
          <w:ilvl w:val="0"/>
          <w:numId w:val="92"/>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火灾报警系统调试结束后，应采用专用检测器对探测器逐个检测，要求探测器动作准确无误；以规定速度导入烟感探测器的感烟室，对其感烟功能进行测试，一般探测器在加烟后30秒后以内确认灯亮，表示探测器工作，否则不正常；单项系统调试；线缆测试完毕后，进行各系统设备调试，如消防报警系统、应急照明系统、消防防排烟系统、气体灭火系统、事故排风系统、可燃气体报警系统、电气火灾监控系统、设备电源监控系统、防火门监控系统等，各子系统的独立调试，做好调试记录要有业主和监理确认。</w:t>
      </w:r>
    </w:p>
    <w:p>
      <w:pPr>
        <w:rPr>
          <w:highlight w:val="none"/>
        </w:rPr>
      </w:pPr>
      <w:r>
        <w:rPr>
          <w:highlight w:val="none"/>
        </w:rPr>
        <w:t>10.4.5.4联动控制系统的调试开通</w:t>
      </w:r>
    </w:p>
    <w:p>
      <w:pPr>
        <w:pStyle w:val="19"/>
        <w:numPr>
          <w:ilvl w:val="0"/>
          <w:numId w:val="93"/>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开通前，首先对线路作仔细检查，查看导线标准是否与施工图的标准吻合，检查接线端子的压线是否与接线端表的规定一致，排除线路故障；</w:t>
      </w:r>
    </w:p>
    <w:p>
      <w:pPr>
        <w:pStyle w:val="19"/>
        <w:numPr>
          <w:ilvl w:val="0"/>
          <w:numId w:val="93"/>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对所需要联动设备要在现场做模拟联动试验，确定联动设备单机运行是否正确，在此项工作结束前，不能打开联动控制器电源，以免因外设备故障损坏联动控制中心设备；</w:t>
      </w:r>
    </w:p>
    <w:p>
      <w:pPr>
        <w:pStyle w:val="19"/>
        <w:numPr>
          <w:ilvl w:val="0"/>
          <w:numId w:val="93"/>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所有联动设备现场模拟试验均无问题后，再从消防控制中心对各设备进行手动或自动操作系统调试；</w:t>
      </w:r>
    </w:p>
    <w:p>
      <w:pPr>
        <w:pStyle w:val="19"/>
        <w:numPr>
          <w:ilvl w:val="0"/>
          <w:numId w:val="93"/>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调试完毕后，将调试记录，接线端子表整理齐全。</w:t>
      </w:r>
    </w:p>
    <w:p>
      <w:pPr>
        <w:rPr>
          <w:highlight w:val="none"/>
        </w:rPr>
      </w:pPr>
      <w:r>
        <w:rPr>
          <w:highlight w:val="none"/>
        </w:rPr>
        <w:t>10.4.5.5整体调试开通</w:t>
      </w:r>
    </w:p>
    <w:p>
      <w:pPr>
        <w:pStyle w:val="19"/>
        <w:spacing w:before="0" w:beforeAutospacing="0" w:after="0" w:afterAutospacing="0" w:line="360" w:lineRule="auto"/>
        <w:ind w:firstLine="480" w:firstLineChars="200"/>
        <w:jc w:val="both"/>
        <w:rPr>
          <w:rFonts w:ascii="Times New Roman" w:hAnsi="Times New Roman" w:eastAsia="宋体"/>
          <w:highlight w:val="none"/>
        </w:rPr>
      </w:pPr>
      <w:r>
        <w:rPr>
          <w:rFonts w:ascii="Times New Roman" w:hAnsi="Times New Roman" w:eastAsia="宋体"/>
          <w:color w:val="000000"/>
          <w:highlight w:val="none"/>
        </w:rPr>
        <w:t>单体调试开通运行正常后，按系统调试程序进行系统功能检查，对各项系统分别进行调试开通：</w:t>
      </w:r>
    </w:p>
    <w:p>
      <w:pPr>
        <w:pStyle w:val="19"/>
        <w:numPr>
          <w:ilvl w:val="0"/>
          <w:numId w:val="9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控制喷淋泵的启停</w:t>
      </w:r>
    </w:p>
    <w:p>
      <w:pPr>
        <w:pStyle w:val="19"/>
        <w:numPr>
          <w:ilvl w:val="0"/>
          <w:numId w:val="9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显示报警阀，压力开关，水流指示器工作状态</w:t>
      </w:r>
    </w:p>
    <w:p>
      <w:pPr>
        <w:pStyle w:val="19"/>
        <w:numPr>
          <w:ilvl w:val="0"/>
          <w:numId w:val="9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室内消火栓系统</w:t>
      </w:r>
    </w:p>
    <w:p>
      <w:pPr>
        <w:pStyle w:val="19"/>
        <w:numPr>
          <w:ilvl w:val="0"/>
          <w:numId w:val="9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显示控制消防水泵的启停</w:t>
      </w:r>
    </w:p>
    <w:p>
      <w:pPr>
        <w:pStyle w:val="19"/>
        <w:numPr>
          <w:ilvl w:val="0"/>
          <w:numId w:val="9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显示消防水泵的工作状态</w:t>
      </w:r>
    </w:p>
    <w:p>
      <w:pPr>
        <w:pStyle w:val="19"/>
        <w:numPr>
          <w:ilvl w:val="0"/>
          <w:numId w:val="9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显示启泵按钮起泵位置</w:t>
      </w:r>
    </w:p>
    <w:p>
      <w:pPr>
        <w:pStyle w:val="19"/>
        <w:numPr>
          <w:ilvl w:val="0"/>
          <w:numId w:val="9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防排烟阀正压送风在消防控制室应有以下控制显示功能：</w:t>
      </w:r>
    </w:p>
    <w:p>
      <w:pPr>
        <w:pStyle w:val="19"/>
        <w:numPr>
          <w:ilvl w:val="0"/>
          <w:numId w:val="94"/>
        </w:numPr>
        <w:spacing w:before="0" w:beforeAutospacing="0" w:after="0" w:afterAutospacing="0" w:line="360" w:lineRule="auto"/>
        <w:ind w:left="0" w:firstLine="0"/>
        <w:jc w:val="both"/>
        <w:rPr>
          <w:rFonts w:ascii="Times New Roman" w:hAnsi="Times New Roman" w:eastAsia="宋体"/>
          <w:highlight w:val="none"/>
        </w:rPr>
      </w:pPr>
      <w:r>
        <w:rPr>
          <w:rFonts w:ascii="Times New Roman" w:hAnsi="Times New Roman" w:eastAsia="宋体"/>
          <w:color w:val="000000"/>
          <w:highlight w:val="none"/>
        </w:rPr>
        <w:t>关闭上述有关部位的防火门，并接收其反馈信号；</w:t>
      </w:r>
    </w:p>
    <w:p>
      <w:pPr>
        <w:pStyle w:val="19"/>
        <w:numPr>
          <w:ilvl w:val="0"/>
          <w:numId w:val="94"/>
        </w:numPr>
        <w:spacing w:before="0" w:beforeAutospacing="0" w:after="0" w:afterAutospacing="0" w:line="360" w:lineRule="auto"/>
        <w:ind w:left="0" w:firstLine="0"/>
        <w:jc w:val="both"/>
        <w:rPr>
          <w:rFonts w:ascii="Times New Roman" w:hAnsi="Times New Roman" w:eastAsia="宋体"/>
          <w:color w:val="000000"/>
          <w:highlight w:val="none"/>
        </w:rPr>
      </w:pPr>
      <w:r>
        <w:rPr>
          <w:rFonts w:ascii="Times New Roman" w:hAnsi="Times New Roman" w:eastAsia="宋体"/>
          <w:color w:val="000000"/>
          <w:highlight w:val="none"/>
        </w:rPr>
        <w:t>火灾报警后，消防控制设备应启动有关部位（即报警部位的防烟、排烟正压送风等）并接受其反馈信号。</w:t>
      </w:r>
    </w:p>
    <w:p>
      <w:pPr>
        <w:pStyle w:val="4"/>
        <w:rPr>
          <w:szCs w:val="28"/>
          <w:highlight w:val="none"/>
        </w:rPr>
      </w:pPr>
      <w:bookmarkStart w:id="192" w:name="_Toc133335474"/>
      <w:bookmarkStart w:id="193" w:name="_Toc32558"/>
      <w:r>
        <w:rPr>
          <w:szCs w:val="28"/>
          <w:highlight w:val="none"/>
        </w:rPr>
        <w:t>10.4.6其他消防部分</w:t>
      </w:r>
      <w:bookmarkEnd w:id="192"/>
      <w:bookmarkEnd w:id="193"/>
    </w:p>
    <w:p>
      <w:pPr>
        <w:pStyle w:val="4"/>
        <w:rPr>
          <w:sz w:val="24"/>
          <w:szCs w:val="24"/>
          <w:highlight w:val="none"/>
        </w:rPr>
      </w:pPr>
      <w:bookmarkStart w:id="194" w:name="_Toc133335475"/>
      <w:bookmarkStart w:id="195" w:name="_Toc22557"/>
      <w:r>
        <w:rPr>
          <w:rStyle w:val="22"/>
          <w:b w:val="0"/>
          <w:bCs w:val="0"/>
          <w:sz w:val="24"/>
          <w:szCs w:val="24"/>
          <w:highlight w:val="none"/>
        </w:rPr>
        <w:t>10.4.6.1消防管道安装后防火封堵；</w:t>
      </w:r>
      <w:bookmarkEnd w:id="194"/>
      <w:bookmarkEnd w:id="195"/>
    </w:p>
    <w:p>
      <w:pPr>
        <w:numPr>
          <w:ilvl w:val="0"/>
          <w:numId w:val="95"/>
        </w:numPr>
        <w:spacing w:line="360" w:lineRule="auto"/>
        <w:ind w:left="0" w:firstLine="0"/>
        <w:rPr>
          <w:highlight w:val="none"/>
        </w:rPr>
      </w:pPr>
      <w:r>
        <w:rPr>
          <w:highlight w:val="none"/>
        </w:rPr>
        <w:t>电线、电缆、可燃气体和甲、乙、丙类液体的管道不宜穿过建筑内的变形缝，确需穿过时，应在穿过处加设不燃材料制作的套管或采取其他防变形措施，并应采用防火封堵材料封堵。</w:t>
      </w:r>
    </w:p>
    <w:p>
      <w:pPr>
        <w:numPr>
          <w:ilvl w:val="0"/>
          <w:numId w:val="95"/>
        </w:numPr>
        <w:spacing w:line="360" w:lineRule="auto"/>
        <w:ind w:left="0" w:firstLine="0"/>
        <w:rPr>
          <w:highlight w:val="none"/>
        </w:rPr>
      </w:pPr>
      <w:r>
        <w:rPr>
          <w:highlight w:val="none"/>
        </w:rPr>
        <w:t>防烟、排烟、供暖、通风和空气调节系统中的管道及建筑内的其他管道，在穿越防火隔墙、楼板和防火墙处的孔隙应采用防火封堵材料封堵。</w:t>
      </w:r>
    </w:p>
    <w:p>
      <w:pPr>
        <w:numPr>
          <w:ilvl w:val="0"/>
          <w:numId w:val="95"/>
        </w:numPr>
        <w:spacing w:line="360" w:lineRule="auto"/>
        <w:ind w:left="0" w:firstLine="0"/>
        <w:rPr>
          <w:highlight w:val="none"/>
        </w:rPr>
      </w:pPr>
      <w:r>
        <w:rPr>
          <w:highlight w:val="none"/>
        </w:rPr>
        <w:t>风管穿过防火隔墙、楼板和防火墙时，穿越处风管上的防火阀、排烟防火阀两侧各2.0m范围内的风管应采用耐火风管或风管外壁应采取防火保护措施，且耐火极限不应低于该防火分隔体的耐火极限。</w:t>
      </w:r>
    </w:p>
    <w:p>
      <w:pPr>
        <w:numPr>
          <w:ilvl w:val="0"/>
          <w:numId w:val="95"/>
        </w:numPr>
        <w:spacing w:line="360" w:lineRule="auto"/>
        <w:ind w:left="0" w:firstLine="0"/>
        <w:rPr>
          <w:highlight w:val="none"/>
        </w:rPr>
      </w:pPr>
      <w:r>
        <w:rPr>
          <w:highlight w:val="none"/>
        </w:rPr>
        <w:t>管道、电气线路敷设在墙体内或穿过楼板、墙体时，应采取防火保护措施，与墙体、楼板之间的缝隙应采用防火封堵材料填塞密实。</w:t>
      </w:r>
    </w:p>
    <w:p>
      <w:pPr>
        <w:numPr>
          <w:ilvl w:val="0"/>
          <w:numId w:val="95"/>
        </w:numPr>
        <w:spacing w:line="360" w:lineRule="auto"/>
        <w:ind w:left="0" w:firstLine="0"/>
        <w:rPr>
          <w:highlight w:val="none"/>
        </w:rPr>
      </w:pPr>
      <w:r>
        <w:rPr>
          <w:highlight w:val="none"/>
        </w:rPr>
        <w:t>防火卷帘应具有防烟性能，与楼板、梁、墙、柱之间的空隙应采用防火封堵材料封堵。</w:t>
      </w:r>
    </w:p>
    <w:p>
      <w:pPr>
        <w:numPr>
          <w:ilvl w:val="0"/>
          <w:numId w:val="95"/>
        </w:numPr>
        <w:spacing w:line="360" w:lineRule="auto"/>
        <w:ind w:left="0" w:firstLine="0"/>
        <w:rPr>
          <w:highlight w:val="none"/>
        </w:rPr>
      </w:pPr>
      <w:r>
        <w:rPr>
          <w:highlight w:val="none"/>
        </w:rPr>
        <w:t>其他图纸未明确此要求的，但施工过程必需增加防火封堵的。</w:t>
      </w:r>
    </w:p>
    <w:p>
      <w:pPr>
        <w:pStyle w:val="4"/>
        <w:rPr>
          <w:sz w:val="24"/>
          <w:szCs w:val="24"/>
          <w:highlight w:val="none"/>
        </w:rPr>
      </w:pPr>
      <w:bookmarkStart w:id="196" w:name="_Toc133335476"/>
      <w:bookmarkStart w:id="197" w:name="_Toc8269"/>
      <w:r>
        <w:rPr>
          <w:rStyle w:val="22"/>
          <w:b w:val="0"/>
          <w:bCs w:val="0"/>
          <w:sz w:val="24"/>
          <w:szCs w:val="24"/>
          <w:highlight w:val="none"/>
        </w:rPr>
        <w:t>10.4.6.2</w:t>
      </w:r>
      <w:r>
        <w:rPr>
          <w:sz w:val="24"/>
          <w:szCs w:val="24"/>
          <w:highlight w:val="none"/>
        </w:rPr>
        <w:t xml:space="preserve"> 抗震支架安装；</w:t>
      </w:r>
      <w:bookmarkEnd w:id="196"/>
      <w:bookmarkEnd w:id="197"/>
    </w:p>
    <w:p>
      <w:pPr>
        <w:ind w:firstLine="420" w:firstLineChars="200"/>
        <w:outlineLvl w:val="3"/>
        <w:rPr>
          <w:highlight w:val="none"/>
        </w:rPr>
      </w:pPr>
      <w:r>
        <w:rPr>
          <w:highlight w:val="none"/>
        </w:rPr>
        <w:t xml:space="preserve">按消防设计要求安装，详见设计图纸 </w:t>
      </w:r>
    </w:p>
    <w:p>
      <w:pPr>
        <w:pStyle w:val="4"/>
        <w:rPr>
          <w:sz w:val="24"/>
          <w:szCs w:val="24"/>
          <w:highlight w:val="none"/>
        </w:rPr>
      </w:pPr>
      <w:bookmarkStart w:id="198" w:name="_Toc20144"/>
      <w:bookmarkStart w:id="199" w:name="_Toc133335477"/>
      <w:r>
        <w:rPr>
          <w:rStyle w:val="22"/>
          <w:b w:val="0"/>
          <w:bCs w:val="0"/>
          <w:sz w:val="24"/>
          <w:szCs w:val="24"/>
          <w:highlight w:val="none"/>
        </w:rPr>
        <w:t>10.4.6.3</w:t>
      </w:r>
      <w:r>
        <w:rPr>
          <w:sz w:val="24"/>
          <w:szCs w:val="24"/>
          <w:highlight w:val="none"/>
        </w:rPr>
        <w:t xml:space="preserve"> 防火涂料喷涂；</w:t>
      </w:r>
      <w:bookmarkEnd w:id="198"/>
      <w:bookmarkEnd w:id="199"/>
    </w:p>
    <w:p>
      <w:pPr>
        <w:numPr>
          <w:ilvl w:val="0"/>
          <w:numId w:val="96"/>
        </w:numPr>
        <w:spacing w:line="360" w:lineRule="auto"/>
        <w:ind w:left="0" w:firstLine="0"/>
        <w:rPr>
          <w:highlight w:val="none"/>
        </w:rPr>
      </w:pPr>
      <w:r>
        <w:rPr>
          <w:highlight w:val="none"/>
        </w:rPr>
        <w:t xml:space="preserve">钢结构或其他金属结构的防火保护措施，一般包括无机耐火材料包覆和防火涂料喷涂等方式，考虑到砖石、砂浆、防火板等无机耐火材料包覆的可靠性更好，应优先采用。对这些部位的金属结构的防火保护，要求能够达到本规范第3.2.1条规定的相应耐火等级建筑对该结构的耐火极限要求。 </w:t>
      </w:r>
    </w:p>
    <w:p>
      <w:pPr>
        <w:numPr>
          <w:ilvl w:val="0"/>
          <w:numId w:val="96"/>
        </w:numPr>
        <w:spacing w:line="360" w:lineRule="auto"/>
        <w:ind w:left="0" w:firstLine="0"/>
        <w:rPr>
          <w:highlight w:val="none"/>
        </w:rPr>
      </w:pPr>
      <w:r>
        <w:rPr>
          <w:highlight w:val="none"/>
        </w:rPr>
        <w:t>其他有防火涂料要求的管道、管线、设备、结构等。</w:t>
      </w:r>
    </w:p>
    <w:p>
      <w:pPr>
        <w:pStyle w:val="4"/>
        <w:rPr>
          <w:sz w:val="24"/>
          <w:szCs w:val="24"/>
          <w:highlight w:val="none"/>
        </w:rPr>
      </w:pPr>
      <w:bookmarkStart w:id="200" w:name="_Toc28383"/>
      <w:bookmarkStart w:id="201" w:name="_Toc133335478"/>
      <w:r>
        <w:rPr>
          <w:rStyle w:val="22"/>
          <w:b w:val="0"/>
          <w:bCs w:val="0"/>
          <w:sz w:val="24"/>
          <w:szCs w:val="24"/>
          <w:highlight w:val="none"/>
        </w:rPr>
        <w:t>10.4.6.4</w:t>
      </w:r>
      <w:r>
        <w:rPr>
          <w:sz w:val="24"/>
          <w:szCs w:val="24"/>
          <w:highlight w:val="none"/>
        </w:rPr>
        <w:t xml:space="preserve"> 消防设备防爆安装等措施。</w:t>
      </w:r>
      <w:bookmarkEnd w:id="200"/>
      <w:bookmarkEnd w:id="201"/>
    </w:p>
    <w:p>
      <w:pPr>
        <w:numPr>
          <w:ilvl w:val="0"/>
          <w:numId w:val="97"/>
        </w:numPr>
        <w:spacing w:line="360" w:lineRule="auto"/>
        <w:rPr>
          <w:highlight w:val="none"/>
        </w:rPr>
      </w:pPr>
      <w:r>
        <w:rPr>
          <w:highlight w:val="none"/>
        </w:rPr>
        <w:t>爆炸危险的仓库或仓库内有爆炸危险的部位，按规定采取防爆措施、设置泄压设施。</w:t>
      </w:r>
    </w:p>
    <w:p>
      <w:pPr>
        <w:numPr>
          <w:ilvl w:val="0"/>
          <w:numId w:val="97"/>
        </w:numPr>
        <w:spacing w:line="360" w:lineRule="auto"/>
        <w:outlineLvl w:val="3"/>
        <w:rPr>
          <w:highlight w:val="none"/>
        </w:rPr>
      </w:pPr>
      <w:r>
        <w:rPr>
          <w:highlight w:val="none"/>
        </w:rPr>
        <w:t>有粉尘爆炸危险的储存设施应采取防爆措施。</w:t>
      </w:r>
    </w:p>
    <w:p>
      <w:pPr>
        <w:numPr>
          <w:ilvl w:val="0"/>
          <w:numId w:val="97"/>
        </w:numPr>
        <w:spacing w:line="360" w:lineRule="auto"/>
        <w:rPr>
          <w:highlight w:val="none"/>
        </w:rPr>
      </w:pPr>
      <w:r>
        <w:rPr>
          <w:highlight w:val="none"/>
        </w:rPr>
        <w:t>可燃气体探测报警系统设置在有防爆要求的场所时，尚应符合有关防爆要求。</w:t>
      </w:r>
    </w:p>
    <w:p>
      <w:pPr>
        <w:numPr>
          <w:ilvl w:val="0"/>
          <w:numId w:val="97"/>
        </w:numPr>
        <w:spacing w:line="360" w:lineRule="auto"/>
        <w:rPr>
          <w:highlight w:val="none"/>
        </w:rPr>
      </w:pPr>
      <w:r>
        <w:rPr>
          <w:highlight w:val="none"/>
        </w:rPr>
        <w:t>其他有防爆要求的场所，必须按规范要求做防爆措施。</w:t>
      </w:r>
    </w:p>
    <w:p>
      <w:pPr>
        <w:pStyle w:val="9"/>
        <w:ind w:left="0"/>
        <w:rPr>
          <w:b/>
          <w:szCs w:val="28"/>
          <w:highlight w:val="none"/>
        </w:rPr>
      </w:pPr>
      <w:r>
        <w:rPr>
          <w:rFonts w:hint="eastAsia"/>
          <w:b/>
          <w:szCs w:val="28"/>
          <w:highlight w:val="none"/>
        </w:rPr>
        <w:t>十一、技术规格书附件：</w:t>
      </w:r>
    </w:p>
    <w:p>
      <w:pPr>
        <w:pStyle w:val="9"/>
        <w:ind w:left="0"/>
        <w:rPr>
          <w:b/>
          <w:highlight w:val="none"/>
        </w:rPr>
      </w:pPr>
      <w:r>
        <w:rPr>
          <w:rFonts w:hint="eastAsia"/>
          <w:b/>
          <w:highlight w:val="none"/>
        </w:rPr>
        <w:t>附件1</w:t>
      </w:r>
      <w:r>
        <w:rPr>
          <w:b/>
          <w:highlight w:val="none"/>
        </w:rPr>
        <w:t xml:space="preserve"> </w:t>
      </w:r>
      <w:r>
        <w:rPr>
          <w:rFonts w:hint="eastAsia"/>
          <w:b/>
          <w:highlight w:val="none"/>
        </w:rPr>
        <w:t>机电、消防、洁净工程及设备品牌表。</w:t>
      </w:r>
    </w:p>
    <w:p>
      <w:pPr>
        <w:pStyle w:val="9"/>
        <w:ind w:left="0"/>
        <w:rPr>
          <w:b/>
          <w:highlight w:val="none"/>
        </w:rPr>
      </w:pPr>
      <w:r>
        <w:rPr>
          <w:rFonts w:hint="eastAsia"/>
          <w:b/>
          <w:highlight w:val="none"/>
        </w:rPr>
        <w:t>附件2</w:t>
      </w:r>
      <w:r>
        <w:rPr>
          <w:b/>
          <w:highlight w:val="none"/>
        </w:rPr>
        <w:t xml:space="preserve"> </w:t>
      </w:r>
      <w:r>
        <w:rPr>
          <w:rFonts w:hint="eastAsia"/>
          <w:b/>
          <w:highlight w:val="none"/>
        </w:rPr>
        <w:t>冷冻站高效机房+水蓄冷系统技术规格书。</w:t>
      </w:r>
    </w:p>
    <w:p>
      <w:pPr>
        <w:pStyle w:val="9"/>
        <w:ind w:left="0"/>
        <w:rPr>
          <w:b/>
          <w:highlight w:val="none"/>
        </w:rPr>
      </w:pPr>
      <w:r>
        <w:rPr>
          <w:rFonts w:hint="eastAsia"/>
          <w:b/>
          <w:highlight w:val="none"/>
        </w:rPr>
        <w:t>附件</w:t>
      </w:r>
      <w:r>
        <w:rPr>
          <w:b/>
          <w:highlight w:val="none"/>
        </w:rPr>
        <w:t xml:space="preserve">3 </w:t>
      </w:r>
      <w:r>
        <w:rPr>
          <w:rFonts w:hint="eastAsia"/>
          <w:b/>
          <w:highlight w:val="none"/>
        </w:rPr>
        <w:t>空压机技术规格书。</w:t>
      </w:r>
    </w:p>
    <w:p>
      <w:pPr>
        <w:pStyle w:val="9"/>
        <w:ind w:left="0"/>
        <w:rPr>
          <w:rFonts w:hint="eastAsia"/>
          <w:b/>
          <w:highlight w:val="none"/>
        </w:rPr>
      </w:pPr>
      <w:r>
        <w:rPr>
          <w:rFonts w:hint="eastAsia"/>
          <w:b/>
          <w:highlight w:val="none"/>
        </w:rPr>
        <w:t>附件</w:t>
      </w:r>
      <w:r>
        <w:rPr>
          <w:b/>
          <w:highlight w:val="none"/>
        </w:rPr>
        <w:t>4</w:t>
      </w:r>
      <w:r>
        <w:rPr>
          <w:rFonts w:hint="eastAsia"/>
          <w:b/>
          <w:highlight w:val="none"/>
        </w:rPr>
        <w:t>电梯技术规格书。</w:t>
      </w:r>
    </w:p>
    <w:p>
      <w:pPr>
        <w:pStyle w:val="9"/>
        <w:ind w:left="0"/>
        <w:rPr>
          <w:rFonts w:hint="eastAsia"/>
          <w:b/>
          <w:highlight w:val="none"/>
        </w:rPr>
      </w:pPr>
    </w:p>
    <w:p>
      <w:pPr>
        <w:rPr>
          <w:rFonts w:hint="eastAsia"/>
          <w:b/>
          <w:highlight w:val="none"/>
        </w:rPr>
      </w:pPr>
      <w:r>
        <w:rPr>
          <w:rFonts w:hint="eastAsia"/>
          <w:b/>
          <w:highlight w:val="none"/>
        </w:rPr>
        <w:br w:type="page"/>
      </w:r>
    </w:p>
    <w:p>
      <w:pPr>
        <w:pStyle w:val="9"/>
        <w:ind w:left="-745" w:leftChars="-355" w:firstLine="723" w:firstLineChars="300"/>
        <w:rPr>
          <w:rFonts w:hint="eastAsia"/>
          <w:b/>
          <w:highlight w:val="none"/>
        </w:rPr>
        <w:sectPr>
          <w:footerReference r:id="rId9" w:type="default"/>
          <w:pgSz w:w="11906" w:h="16838"/>
          <w:pgMar w:top="1440" w:right="1800" w:bottom="1327" w:left="1800" w:header="851" w:footer="992" w:gutter="0"/>
          <w:pgNumType w:fmt="decimal" w:start="1"/>
          <w:cols w:space="425" w:num="1"/>
          <w:docGrid w:type="lines" w:linePitch="312" w:charSpace="0"/>
        </w:sectPr>
      </w:pPr>
    </w:p>
    <w:p>
      <w:pPr>
        <w:pStyle w:val="9"/>
        <w:ind w:left="-745" w:leftChars="-355" w:firstLine="723" w:firstLineChars="300"/>
        <w:rPr>
          <w:b/>
          <w:highlight w:val="none"/>
        </w:rPr>
      </w:pPr>
      <w:r>
        <w:rPr>
          <w:rFonts w:hint="eastAsia"/>
          <w:b/>
          <w:highlight w:val="none"/>
        </w:rPr>
        <w:t>附件1</w:t>
      </w:r>
      <w:r>
        <w:rPr>
          <w:b/>
          <w:highlight w:val="none"/>
        </w:rPr>
        <w:t xml:space="preserve"> </w:t>
      </w:r>
    </w:p>
    <w:p>
      <w:pPr>
        <w:pStyle w:val="9"/>
        <w:ind w:left="-745" w:leftChars="-355" w:firstLine="723" w:firstLineChars="300"/>
        <w:jc w:val="center"/>
        <w:rPr>
          <w:rFonts w:hint="eastAsia"/>
          <w:b/>
          <w:highlight w:val="none"/>
        </w:rPr>
      </w:pPr>
      <w:r>
        <w:rPr>
          <w:rFonts w:hint="eastAsia"/>
          <w:b/>
          <w:highlight w:val="none"/>
        </w:rPr>
        <w:t>机电、消防、洁净工程及设备品牌表</w:t>
      </w:r>
    </w:p>
    <w:p>
      <w:pPr>
        <w:pStyle w:val="9"/>
        <w:ind w:left="-745" w:leftChars="-355" w:firstLine="723" w:firstLineChars="300"/>
        <w:rPr>
          <w:rFonts w:hint="eastAsia"/>
          <w:b/>
          <w:highlight w:val="none"/>
        </w:rPr>
      </w:pPr>
    </w:p>
    <w:tbl>
      <w:tblPr>
        <w:tblStyle w:val="16"/>
        <w:tblW w:w="9870" w:type="dxa"/>
        <w:tblInd w:w="0" w:type="dxa"/>
        <w:tblLayout w:type="fixed"/>
        <w:tblCellMar>
          <w:top w:w="0" w:type="dxa"/>
          <w:left w:w="108" w:type="dxa"/>
          <w:bottom w:w="0" w:type="dxa"/>
          <w:right w:w="108" w:type="dxa"/>
        </w:tblCellMar>
      </w:tblPr>
      <w:tblGrid>
        <w:gridCol w:w="427"/>
        <w:gridCol w:w="1273"/>
        <w:gridCol w:w="1288"/>
        <w:gridCol w:w="2305"/>
        <w:gridCol w:w="3287"/>
        <w:gridCol w:w="1290"/>
      </w:tblGrid>
      <w:tr>
        <w:tblPrEx>
          <w:tblCellMar>
            <w:top w:w="0" w:type="dxa"/>
            <w:left w:w="108" w:type="dxa"/>
            <w:bottom w:w="0" w:type="dxa"/>
            <w:right w:w="108" w:type="dxa"/>
          </w:tblCellMar>
        </w:tblPrEx>
        <w:trPr>
          <w:trHeight w:val="400" w:hRule="atLeast"/>
        </w:trPr>
        <w:tc>
          <w:tcPr>
            <w:tcW w:w="9870" w:type="dxa"/>
            <w:gridSpan w:val="6"/>
            <w:tcBorders>
              <w:top w:val="single" w:color="auto" w:sz="8" w:space="0"/>
              <w:left w:val="single" w:color="auto" w:sz="8" w:space="0"/>
              <w:bottom w:val="single" w:color="auto" w:sz="4" w:space="0"/>
              <w:right w:val="single" w:color="000000" w:sz="8" w:space="0"/>
            </w:tcBorders>
            <w:vAlign w:val="center"/>
          </w:tcPr>
          <w:p>
            <w:pPr>
              <w:pStyle w:val="9"/>
              <w:ind w:left="-745" w:leftChars="-355" w:firstLine="600" w:firstLineChars="300"/>
              <w:jc w:val="center"/>
              <w:rPr>
                <w:rFonts w:ascii="等线" w:hAnsi="等线" w:eastAsia="等线" w:cs="宋体"/>
                <w:b/>
                <w:bCs/>
                <w:color w:val="000000"/>
                <w:sz w:val="20"/>
                <w:highlight w:val="none"/>
              </w:rPr>
            </w:pPr>
            <w:r>
              <w:rPr>
                <w:rFonts w:hint="eastAsia" w:ascii="等线" w:hAnsi="等线" w:eastAsia="等线" w:cs="宋体"/>
                <w:b/>
                <w:bCs/>
                <w:color w:val="000000"/>
                <w:sz w:val="20"/>
                <w:highlight w:val="none"/>
              </w:rPr>
              <w:t>推荐品牌</w:t>
            </w:r>
          </w:p>
        </w:tc>
      </w:tr>
      <w:tr>
        <w:tblPrEx>
          <w:tblCellMar>
            <w:top w:w="0" w:type="dxa"/>
            <w:left w:w="108" w:type="dxa"/>
            <w:bottom w:w="0" w:type="dxa"/>
            <w:right w:w="108" w:type="dxa"/>
          </w:tblCellMar>
        </w:tblPrEx>
        <w:trPr>
          <w:trHeight w:val="280" w:hRule="atLeast"/>
        </w:trPr>
        <w:tc>
          <w:tcPr>
            <w:tcW w:w="427" w:type="dxa"/>
            <w:tcBorders>
              <w:top w:val="nil"/>
              <w:left w:val="single" w:color="auto" w:sz="8" w:space="0"/>
              <w:bottom w:val="nil"/>
              <w:right w:val="single" w:color="auto" w:sz="4" w:space="0"/>
            </w:tcBorders>
            <w:shd w:val="clear" w:color="000000" w:fill="BDD7EE"/>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序号</w:t>
            </w:r>
          </w:p>
        </w:tc>
        <w:tc>
          <w:tcPr>
            <w:tcW w:w="1273" w:type="dxa"/>
            <w:tcBorders>
              <w:top w:val="nil"/>
              <w:left w:val="nil"/>
              <w:bottom w:val="nil"/>
              <w:right w:val="single" w:color="auto" w:sz="4" w:space="0"/>
            </w:tcBorders>
            <w:shd w:val="clear" w:color="000000" w:fill="BDD7EE"/>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名称</w:t>
            </w:r>
          </w:p>
        </w:tc>
        <w:tc>
          <w:tcPr>
            <w:tcW w:w="1288" w:type="dxa"/>
            <w:tcBorders>
              <w:top w:val="nil"/>
              <w:left w:val="nil"/>
              <w:bottom w:val="nil"/>
              <w:right w:val="single" w:color="auto" w:sz="4" w:space="0"/>
            </w:tcBorders>
            <w:shd w:val="clear" w:color="000000" w:fill="BDD7EE"/>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品牌</w:t>
            </w:r>
          </w:p>
        </w:tc>
        <w:tc>
          <w:tcPr>
            <w:tcW w:w="2305" w:type="dxa"/>
            <w:tcBorders>
              <w:top w:val="nil"/>
              <w:left w:val="nil"/>
              <w:bottom w:val="nil"/>
              <w:right w:val="single" w:color="auto" w:sz="4" w:space="0"/>
            </w:tcBorders>
            <w:shd w:val="clear" w:color="000000" w:fill="BDD7EE"/>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公司名称</w:t>
            </w:r>
          </w:p>
        </w:tc>
        <w:tc>
          <w:tcPr>
            <w:tcW w:w="3287" w:type="dxa"/>
            <w:tcBorders>
              <w:top w:val="nil"/>
              <w:left w:val="nil"/>
              <w:bottom w:val="nil"/>
              <w:right w:val="single" w:color="auto" w:sz="4" w:space="0"/>
            </w:tcBorders>
            <w:shd w:val="clear" w:color="000000" w:fill="BDD7EE"/>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技术参数</w:t>
            </w:r>
          </w:p>
        </w:tc>
        <w:tc>
          <w:tcPr>
            <w:tcW w:w="1290" w:type="dxa"/>
            <w:tcBorders>
              <w:top w:val="nil"/>
              <w:left w:val="nil"/>
              <w:bottom w:val="nil"/>
              <w:right w:val="single" w:color="auto" w:sz="8" w:space="0"/>
            </w:tcBorders>
            <w:shd w:val="clear" w:color="000000" w:fill="BDD7EE"/>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备注</w:t>
            </w:r>
          </w:p>
        </w:tc>
      </w:tr>
      <w:tr>
        <w:tblPrEx>
          <w:tblCellMar>
            <w:top w:w="0" w:type="dxa"/>
            <w:left w:w="108" w:type="dxa"/>
            <w:bottom w:w="0" w:type="dxa"/>
            <w:right w:w="108" w:type="dxa"/>
          </w:tblCellMar>
        </w:tblPrEx>
        <w:trPr>
          <w:trHeight w:val="280" w:hRule="atLeast"/>
        </w:trPr>
        <w:tc>
          <w:tcPr>
            <w:tcW w:w="9870" w:type="dxa"/>
            <w:gridSpan w:val="6"/>
            <w:tcBorders>
              <w:top w:val="single" w:color="auto" w:sz="4" w:space="0"/>
              <w:left w:val="single" w:color="auto" w:sz="8" w:space="0"/>
              <w:bottom w:val="single" w:color="auto" w:sz="4" w:space="0"/>
              <w:right w:val="single" w:color="000000" w:sz="8" w:space="0"/>
            </w:tcBorders>
            <w:shd w:val="clear" w:color="000000" w:fill="FFFFFF"/>
            <w:vAlign w:val="center"/>
          </w:tcPr>
          <w:p>
            <w:pPr>
              <w:widowControl/>
              <w:jc w:val="left"/>
              <w:rPr>
                <w:rFonts w:ascii="等线" w:hAnsi="等线" w:eastAsia="等线" w:cs="宋体"/>
                <w:b/>
                <w:bCs/>
                <w:color w:val="000000"/>
                <w:sz w:val="20"/>
                <w:highlight w:val="none"/>
              </w:rPr>
            </w:pPr>
            <w:r>
              <w:rPr>
                <w:rFonts w:hint="eastAsia" w:ascii="等线" w:hAnsi="等线" w:eastAsia="等线" w:cs="宋体"/>
                <w:b/>
                <w:bCs/>
                <w:color w:val="000000"/>
                <w:sz w:val="20"/>
                <w:highlight w:val="none"/>
              </w:rPr>
              <w:t>普通内装部分</w:t>
            </w:r>
          </w:p>
        </w:tc>
      </w:tr>
      <w:tr>
        <w:tblPrEx>
          <w:tblCellMar>
            <w:top w:w="0" w:type="dxa"/>
            <w:left w:w="108" w:type="dxa"/>
            <w:bottom w:w="0" w:type="dxa"/>
            <w:right w:w="108" w:type="dxa"/>
          </w:tblCellMar>
        </w:tblPrEx>
        <w:trPr>
          <w:trHeight w:val="52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1</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防水材料（弹性体改性沥青防水卷材(SBS)、聚合物水泥基防水涂料）</w:t>
            </w: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参照或相当于东方雨虹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北京东方雨虹防水技术股份有限公司</w:t>
            </w:r>
          </w:p>
        </w:tc>
        <w:tc>
          <w:tcPr>
            <w:tcW w:w="3287"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GB 18242-2008 《弹性体改性沥青防水卷材》、GB/T 23445-2009 《聚合物水泥防水涂料》</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或同档次产品，</w:t>
            </w:r>
            <w:r>
              <w:rPr>
                <w:rFonts w:hint="eastAsia" w:ascii="华文仿宋" w:hAnsi="华文仿宋" w:eastAsia="华文仿宋" w:cs="宋体"/>
                <w:sz w:val="20"/>
                <w:highlight w:val="none"/>
                <w:lang w:eastAsia="zh-CN"/>
              </w:rPr>
              <w:t>并并报甲方同意</w:t>
            </w:r>
            <w:r>
              <w:rPr>
                <w:rFonts w:hint="eastAsia" w:ascii="华文仿宋" w:hAnsi="华文仿宋" w:eastAsia="华文仿宋" w:cs="宋体"/>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参照或相当于科顺</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科顺防水科技股份有限公司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参照或相当于卓宝</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深圳市卓宝科技股份有限公司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参照或相当于大禹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辽宁大禹集团</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参照或相当于凯伦</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江苏凯伦建材股份有限公司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52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2</w:t>
            </w:r>
          </w:p>
        </w:tc>
        <w:tc>
          <w:tcPr>
            <w:tcW w:w="1273" w:type="dxa"/>
            <w:vMerge w:val="restart"/>
            <w:tcBorders>
              <w:top w:val="nil"/>
              <w:left w:val="single" w:color="auto" w:sz="4" w:space="0"/>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屋面、墙面保温材料</w:t>
            </w: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参照或相当于洛科威</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洛科威防火保温材料（广州）有限公司</w:t>
            </w:r>
          </w:p>
        </w:tc>
        <w:tc>
          <w:tcPr>
            <w:tcW w:w="3287" w:type="dxa"/>
            <w:vMerge w:val="restart"/>
            <w:tcBorders>
              <w:top w:val="nil"/>
              <w:left w:val="single" w:color="auto" w:sz="4" w:space="0"/>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岩棉厚度、密度、热传导系数、吸水率、耐压强度需满足设计图纸中规定参数要求及相关规范规定</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GB/T 13350-2017 《绝热用玻璃棉及其制品》</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 xml:space="preserve">GB/T 17795-2019 《建筑绝热用玻璃棉制品》 </w:t>
            </w:r>
          </w:p>
        </w:tc>
        <w:tc>
          <w:tcPr>
            <w:tcW w:w="1290" w:type="dxa"/>
            <w:vMerge w:val="restart"/>
            <w:tcBorders>
              <w:top w:val="nil"/>
              <w:left w:val="single" w:color="auto" w:sz="4" w:space="0"/>
              <w:bottom w:val="nil"/>
              <w:right w:val="single" w:color="auto" w:sz="8"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或同档次产品，</w:t>
            </w:r>
            <w:r>
              <w:rPr>
                <w:rFonts w:hint="eastAsia" w:ascii="华文仿宋" w:hAnsi="华文仿宋" w:eastAsia="华文仿宋" w:cs="宋体"/>
                <w:sz w:val="20"/>
                <w:highlight w:val="none"/>
                <w:lang w:eastAsia="zh-CN"/>
              </w:rPr>
              <w:t>并报甲方同意</w:t>
            </w:r>
            <w:r>
              <w:rPr>
                <w:rFonts w:hint="eastAsia" w:ascii="华文仿宋" w:hAnsi="华文仿宋" w:eastAsia="华文仿宋" w:cs="宋体"/>
                <w:sz w:val="20"/>
                <w:highlight w:val="none"/>
              </w:rPr>
              <w:t>。</w:t>
            </w: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参照或相当于金隅星</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北京金隅节能保温科技（大厂）有限公司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上海樱花</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上海新型建材岩棉有限公司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57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欧文斯科宁</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欧文斯科宁（中国）投资有限公司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6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金海燕</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大厂金隅金海燕玻璃棉有限公司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6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3</w:t>
            </w:r>
          </w:p>
        </w:tc>
        <w:tc>
          <w:tcPr>
            <w:tcW w:w="12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浮法玻璃/LOW-E玻璃</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南玻</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中国南玻集团股份有限公司</w:t>
            </w:r>
          </w:p>
        </w:tc>
        <w:tc>
          <w:tcPr>
            <w:tcW w:w="328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GB 11614-2009 《平板玻璃》、GB/T 11944-2012 《中空玻璃》、GB 15763.1-2009 《建筑用安全玻璃 第1部分：防火玻璃》、GB 15763.2-2005 《建筑用安全玻璃 第2部分：钢化玻璃》、   GB 15763.3-2009 《建筑用安全玻璃 第3部分：夹层玻璃》、GB 15763.4-2009 《建筑用安全玻璃 第4部分：均质钢化玻璃》、GB/T 18915.1-2013 《镀膜玻璃 第1部分：阳光控制镀膜玻璃》、GB/T 18915.2-2013 《镀膜玻璃 第2部分：低辐射镀膜玻璃》</w:t>
            </w:r>
          </w:p>
        </w:tc>
        <w:tc>
          <w:tcPr>
            <w:tcW w:w="1290" w:type="dxa"/>
            <w:vMerge w:val="restart"/>
            <w:tcBorders>
              <w:top w:val="single" w:color="auto" w:sz="4" w:space="0"/>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或同档次产品，</w:t>
            </w:r>
            <w:r>
              <w:rPr>
                <w:rFonts w:hint="eastAsia" w:ascii="华文仿宋" w:hAnsi="华文仿宋" w:eastAsia="华文仿宋" w:cs="宋体"/>
                <w:sz w:val="20"/>
                <w:highlight w:val="none"/>
                <w:lang w:eastAsia="zh-CN"/>
              </w:rPr>
              <w:t>并报甲方同意</w:t>
            </w:r>
            <w:r>
              <w:rPr>
                <w:rFonts w:hint="eastAsia" w:ascii="华文仿宋" w:hAnsi="华文仿宋" w:eastAsia="华文仿宋" w:cs="宋体"/>
                <w:sz w:val="20"/>
                <w:highlight w:val="none"/>
              </w:rPr>
              <w:t>。</w:t>
            </w: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耀皮</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上海耀皮玻璃集团股份有限公司</w:t>
            </w:r>
          </w:p>
        </w:tc>
        <w:tc>
          <w:tcPr>
            <w:tcW w:w="3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信义玻璃</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信义超薄玻璃(东莞)有限公司</w:t>
            </w:r>
          </w:p>
        </w:tc>
        <w:tc>
          <w:tcPr>
            <w:tcW w:w="3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116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福耀</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福耀玻璃工业集团股份有限公司</w:t>
            </w:r>
          </w:p>
        </w:tc>
        <w:tc>
          <w:tcPr>
            <w:tcW w:w="3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54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4</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铝型材</w:t>
            </w: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sz w:val="20"/>
                <w:highlight w:val="none"/>
              </w:rPr>
            </w:pPr>
            <w:r>
              <w:rPr>
                <w:rFonts w:hint="eastAsia" w:ascii="华文仿宋" w:hAnsi="华文仿宋" w:eastAsia="华文仿宋" w:cs="宋体"/>
                <w:sz w:val="20"/>
                <w:highlight w:val="none"/>
              </w:rPr>
              <w:t>参照或相当于</w:t>
            </w:r>
            <w:r>
              <w:rPr>
                <w:rFonts w:hint="eastAsia" w:ascii="宋体" w:hAnsi="宋体" w:cs="宋体"/>
                <w:sz w:val="20"/>
                <w:highlight w:val="none"/>
              </w:rPr>
              <w:t>前进</w:t>
            </w:r>
          </w:p>
        </w:tc>
        <w:tc>
          <w:tcPr>
            <w:tcW w:w="2305" w:type="dxa"/>
            <w:tcBorders>
              <w:top w:val="nil"/>
              <w:left w:val="nil"/>
              <w:bottom w:val="single" w:color="auto" w:sz="4" w:space="0"/>
              <w:right w:val="single" w:color="auto" w:sz="4" w:space="0"/>
            </w:tcBorders>
            <w:vAlign w:val="center"/>
          </w:tcPr>
          <w:p>
            <w:pPr>
              <w:widowControl/>
              <w:jc w:val="center"/>
              <w:rPr>
                <w:rFonts w:ascii="宋体" w:hAnsi="宋体" w:cs="宋体"/>
                <w:sz w:val="20"/>
                <w:highlight w:val="none"/>
              </w:rPr>
            </w:pPr>
            <w:r>
              <w:rPr>
                <w:rFonts w:hint="eastAsia" w:ascii="宋体" w:hAnsi="宋体" w:cs="宋体"/>
                <w:sz w:val="20"/>
                <w:highlight w:val="none"/>
              </w:rPr>
              <w:t>广州铝材厂有限公司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GB/T 5237.1-2017 《铝合金建筑型材第1部分基材》</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GB/T 5237.6-2017 《铝合金建筑型材 第6部分 隔热型材》</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或同档次产品，</w:t>
            </w:r>
            <w:r>
              <w:rPr>
                <w:rFonts w:hint="eastAsia" w:ascii="华文仿宋" w:hAnsi="华文仿宋" w:eastAsia="华文仿宋" w:cs="宋体"/>
                <w:sz w:val="20"/>
                <w:highlight w:val="none"/>
                <w:lang w:eastAsia="zh-CN"/>
              </w:rPr>
              <w:t>并报甲方同意</w:t>
            </w:r>
            <w:r>
              <w:rPr>
                <w:rFonts w:hint="eastAsia" w:ascii="华文仿宋" w:hAnsi="华文仿宋" w:eastAsia="华文仿宋" w:cs="宋体"/>
                <w:sz w:val="20"/>
                <w:highlight w:val="none"/>
              </w:rPr>
              <w:t>。</w:t>
            </w: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凤铝断桥</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广东凤铝铝业有限公司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兴发</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广东兴发铝业有限公司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坚美</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广东坚美铝型材厂（集团）有限公司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伟业铝材</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广东伟业铝厂有限公司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广亚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广亚铝业有限公司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中德</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中德铝业公司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70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5</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铝合金门窗配件</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坚朗</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广东坚朗五金制品股份有限公司</w:t>
            </w:r>
          </w:p>
        </w:tc>
        <w:tc>
          <w:tcPr>
            <w:tcW w:w="3287"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GB/T 32223-2015 《建筑门窗五金件 通用要求》</w:t>
            </w:r>
            <w:r>
              <w:rPr>
                <w:rFonts w:hint="eastAsia" w:ascii="华文仿宋" w:hAnsi="华文仿宋" w:eastAsia="华文仿宋" w:cs="宋体"/>
                <w:sz w:val="20"/>
                <w:highlight w:val="none"/>
              </w:rPr>
              <w:br w:type="textWrapping"/>
            </w:r>
            <w:r>
              <w:rPr>
                <w:rFonts w:hint="eastAsia" w:ascii="华文仿宋" w:hAnsi="华文仿宋" w:eastAsia="华文仿宋" w:cs="宋体"/>
                <w:sz w:val="20"/>
                <w:highlight w:val="none"/>
              </w:rPr>
              <w:t>JG/T 125-2017 《建筑门窗五金件 合页（铰链）》</w:t>
            </w:r>
            <w:r>
              <w:rPr>
                <w:rFonts w:hint="eastAsia" w:ascii="华文仿宋" w:hAnsi="华文仿宋" w:eastAsia="华文仿宋" w:cs="宋体"/>
                <w:sz w:val="20"/>
                <w:highlight w:val="none"/>
              </w:rPr>
              <w:br w:type="textWrapping"/>
            </w:r>
            <w:r>
              <w:rPr>
                <w:rFonts w:hint="eastAsia" w:ascii="华文仿宋" w:hAnsi="华文仿宋" w:eastAsia="华文仿宋" w:cs="宋体"/>
                <w:sz w:val="20"/>
                <w:highlight w:val="none"/>
              </w:rPr>
              <w:t>JG/T 128-2017 《建筑门窗五金件 撑挡》</w:t>
            </w:r>
            <w:r>
              <w:rPr>
                <w:rFonts w:hint="eastAsia" w:ascii="华文仿宋" w:hAnsi="华文仿宋" w:eastAsia="华文仿宋" w:cs="宋体"/>
                <w:sz w:val="20"/>
                <w:highlight w:val="none"/>
              </w:rPr>
              <w:br w:type="textWrapping"/>
            </w:r>
            <w:r>
              <w:rPr>
                <w:rFonts w:hint="eastAsia" w:ascii="华文仿宋" w:hAnsi="华文仿宋" w:eastAsia="华文仿宋" w:cs="宋体"/>
                <w:sz w:val="20"/>
                <w:highlight w:val="none"/>
              </w:rPr>
              <w:t>JG/T 213-2017 《建筑门窗五金件 旋压执手》</w:t>
            </w:r>
            <w:r>
              <w:rPr>
                <w:rFonts w:hint="eastAsia" w:ascii="华文仿宋" w:hAnsi="华文仿宋" w:eastAsia="华文仿宋" w:cs="宋体"/>
                <w:sz w:val="20"/>
                <w:highlight w:val="none"/>
              </w:rPr>
              <w:br w:type="textWrapping"/>
            </w:r>
            <w:r>
              <w:rPr>
                <w:rFonts w:hint="eastAsia" w:ascii="华文仿宋" w:hAnsi="华文仿宋" w:eastAsia="华文仿宋" w:cs="宋体"/>
                <w:sz w:val="20"/>
                <w:highlight w:val="none"/>
              </w:rPr>
              <w:t>JG/T 127-2017 《建筑门窗五金件 滑撑》</w:t>
            </w:r>
            <w:r>
              <w:rPr>
                <w:rFonts w:hint="eastAsia" w:ascii="华文仿宋" w:hAnsi="华文仿宋" w:eastAsia="华文仿宋" w:cs="宋体"/>
                <w:sz w:val="20"/>
                <w:highlight w:val="none"/>
              </w:rPr>
              <w:br w:type="textWrapping"/>
            </w:r>
            <w:r>
              <w:rPr>
                <w:rFonts w:hint="eastAsia" w:ascii="华文仿宋" w:hAnsi="华文仿宋" w:eastAsia="华文仿宋" w:cs="宋体"/>
                <w:sz w:val="20"/>
                <w:highlight w:val="none"/>
              </w:rPr>
              <w:t>JG/T 129-2017 《建筑门窗五金件 滑轮》</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或同档次产品，</w:t>
            </w:r>
            <w:r>
              <w:rPr>
                <w:rFonts w:hint="eastAsia" w:ascii="华文仿宋" w:hAnsi="华文仿宋" w:eastAsia="华文仿宋" w:cs="宋体"/>
                <w:sz w:val="20"/>
                <w:highlight w:val="none"/>
                <w:lang w:eastAsia="zh-CN"/>
              </w:rPr>
              <w:t>并报甲方同意</w:t>
            </w:r>
            <w:r>
              <w:rPr>
                <w:rFonts w:hint="eastAsia" w:ascii="华文仿宋" w:hAnsi="华文仿宋" w:eastAsia="华文仿宋" w:cs="宋体"/>
                <w:sz w:val="20"/>
                <w:highlight w:val="none"/>
              </w:rPr>
              <w:t>。</w:t>
            </w:r>
          </w:p>
        </w:tc>
      </w:tr>
      <w:tr>
        <w:tblPrEx>
          <w:tblCellMar>
            <w:top w:w="0" w:type="dxa"/>
            <w:left w:w="108" w:type="dxa"/>
            <w:bottom w:w="0" w:type="dxa"/>
            <w:right w:w="108" w:type="dxa"/>
          </w:tblCellMar>
        </w:tblPrEx>
        <w:trPr>
          <w:trHeight w:val="7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立兴</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青岛立兴杨氏门窗配件有限公司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1666"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合和</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广东合和建筑五金制品有限公司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51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6</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内外墙涂料</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电视塔、南方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广东珠江化工涂料有限公司</w:t>
            </w:r>
          </w:p>
        </w:tc>
        <w:tc>
          <w:tcPr>
            <w:tcW w:w="3287" w:type="dxa"/>
            <w:vMerge w:val="restart"/>
            <w:tcBorders>
              <w:top w:val="nil"/>
              <w:left w:val="nil"/>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GB/T 9756-2018 《合成树脂乳液内墙涂料》</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GB 18582-2008 《室内装饰装修材料内墙涂料中有害物质限量》</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JG/T 298-2010 《建筑室内用腻子》</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GB/T 1741-2007 《漆膜耐霉菌性测定法》</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 xml:space="preserve">JG/T 172-2014 《弹性建筑涂料》 </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HJ2537-2014 《环境标志产品技术要求 水性涂料》</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 xml:space="preserve">走廊、电梯口等公共部位使用经济型内墙涂料，要求耐洗刷≥500次，对比率≥0.92；                     </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 xml:space="preserve">中档装修使用一等品内墙涂料，耐洗刷≥3000次，对比率≥0.93； </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高档内墙涂料要求达到优等品的等级，耐洗刷≥5000次，对比率≥0.95</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或同档次产品，</w:t>
            </w:r>
            <w:r>
              <w:rPr>
                <w:rFonts w:hint="eastAsia" w:ascii="华文仿宋" w:hAnsi="华文仿宋" w:eastAsia="华文仿宋" w:cs="宋体"/>
                <w:sz w:val="20"/>
                <w:highlight w:val="none"/>
                <w:lang w:eastAsia="zh-CN"/>
              </w:rPr>
              <w:t>并报甲方同意</w:t>
            </w:r>
            <w:r>
              <w:rPr>
                <w:rFonts w:hint="eastAsia" w:ascii="华文仿宋" w:hAnsi="华文仿宋" w:eastAsia="华文仿宋" w:cs="宋体"/>
                <w:sz w:val="20"/>
                <w:highlight w:val="none"/>
              </w:rPr>
              <w:t>。</w:t>
            </w:r>
          </w:p>
        </w:tc>
      </w:tr>
      <w:tr>
        <w:tblPrEx>
          <w:tblCellMar>
            <w:top w:w="0" w:type="dxa"/>
            <w:left w:w="108" w:type="dxa"/>
            <w:bottom w:w="0" w:type="dxa"/>
            <w:right w:w="108" w:type="dxa"/>
          </w:tblCellMar>
        </w:tblPrEx>
        <w:trPr>
          <w:trHeight w:val="7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多乐士专业（ICI专业）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阿克苏诺贝尔（中国）投资有限公司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7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嘉宝莉漆</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嘉宝莉化工集团股份有限公司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7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立邦</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立邦涂料(中国)有限公司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7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华润</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广东华润涂料有限公司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7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三棵树</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三棵树涂料股份有限公司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龙牌（北新）</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北新集团建材股份有限公司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圣戈班</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圣戈班高科技材料（上海）有限公司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优时吉博罗</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优时吉博罗石膏建材(上海)有限公司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阿姆斯壮</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阿姆斯壮(中国)投资有限公司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杰森</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杰森石膏板（嘉兴）有限公司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3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7</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石膏板、防火板等轻钢龙骨外贴板材</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可耐福</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可耐福新型建筑材料（芜湖）有限公司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GB/T 9775-2008 《纸面石膏板》</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JC/T 997-2006 《装饰纸面石膏板》</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GB 6566-2010 《建筑材料放射性核素限量》</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JC/T 997-2017 《装饰纸面石膏板标准》</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外观质量、厚度满足要求；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龙牌（北新）</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北新集团建材股份有限公司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优时吉博罗</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优时吉博罗石膏建材(上海)有限公司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圣戈班</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圣戈班高科技材料（上海）有限公司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杰森</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杰森石膏板（嘉兴）有限公司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泰山</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泰山集团股份有限公司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8</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合金及非金属耐磨骨料</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巴斯夫</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巴斯夫（中国）有限公司</w:t>
            </w:r>
          </w:p>
        </w:tc>
        <w:tc>
          <w:tcPr>
            <w:tcW w:w="3287"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JC/T 906-2002 《混凝土地面用水泥基耐磨材料》</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西卡</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西卡（中国）有限公司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凯伦</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江苏凯伦建材股份有限公司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马贝</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马贝建筑材料（广州）有限公司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9</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铠装缝</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远致</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常熟市远致工程材料有限公司</w:t>
            </w:r>
          </w:p>
        </w:tc>
        <w:tc>
          <w:tcPr>
            <w:tcW w:w="3287"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热镀锌钢板：强度Q235B，镀锌≥80g/㎡，厚度2mm</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传力板：强度Q345B，厚度≥6mm</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铠装缝顶部需配置加强筋</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迈铠</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上海迈道建材有限公司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无锡工拓</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无锡工拓建筑材料科技有限公司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上海温尚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上海温尚建筑装饰工程有限公司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3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10</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瓷砖</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马可波罗</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广东马可波罗陶瓷有限公司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GB/T4100-2015 《陶瓷砖》</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瓷砖样品须经代表认可后方可采购</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东鹏</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广东东鹏控股股份有限公司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唯美L&amp;D</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广东家美陶瓷有限公司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冠军</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信益陶瓷（中国）有限公司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诺贝尔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杭州诺贝尔陶瓷有限公司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11</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洁具（含五金配件）</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箭牌</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佛山市顺德区乐华陶瓷洁具有限公司</w:t>
            </w:r>
          </w:p>
        </w:tc>
        <w:tc>
          <w:tcPr>
            <w:tcW w:w="3287"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GB6952-2015 《卫生陶瓷》</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GJ/T 194-2014 《非接触式给水器具》</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CJ/T 164-2014 《节水型生活用水器具》</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JC/T 931-2003 《机械式便器冲洗阀》</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QB/T 2658-2017《卫生设备用台盆》</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QB/T 1560-2017 《卫生间附属配件》</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GB/T 23448-2009 《卫生洁具 软管》</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九牧</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九牧厨卫股份有限公司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恒洁</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广东恒洁卫浴有限公司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3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12</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烘手器</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TOTO</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东陶（中国）有限公司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技术参数详见图纸</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西门子</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西门子（中国）有限公司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松下</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松下电器（中国）有限公司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restart"/>
            <w:tcBorders>
              <w:top w:val="nil"/>
              <w:left w:val="single" w:color="auto" w:sz="8" w:space="0"/>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13</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结构胶(密封胶）</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陶熙（道康宁）</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陶氏（上海）投资有限公司</w:t>
            </w:r>
          </w:p>
        </w:tc>
        <w:tc>
          <w:tcPr>
            <w:tcW w:w="3287"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GB/T 14683-2017 《硅酮和改性硅酮建筑密封胶》</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JC/T 482-2003 《聚氨酯建筑密封胶》</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GB/T 24267-2009 《建筑用阻燃密封胶》</w:t>
            </w: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GB 16776-2005 《建筑用硅酮结构密封胶》</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西卡</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西卡（中国）有限公司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硅宝</w:t>
            </w:r>
          </w:p>
        </w:tc>
        <w:tc>
          <w:tcPr>
            <w:tcW w:w="2305" w:type="dxa"/>
            <w:tcBorders>
              <w:top w:val="nil"/>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成都硅宝科技股份有限公司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restart"/>
            <w:tcBorders>
              <w:top w:val="single" w:color="auto" w:sz="4" w:space="0"/>
              <w:left w:val="single" w:color="auto" w:sz="8" w:space="0"/>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14</w:t>
            </w:r>
          </w:p>
        </w:tc>
        <w:tc>
          <w:tcPr>
            <w:tcW w:w="1273"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铝扣板</w:t>
            </w:r>
          </w:p>
        </w:tc>
        <w:tc>
          <w:tcPr>
            <w:tcW w:w="1288"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前进</w:t>
            </w:r>
          </w:p>
        </w:tc>
        <w:tc>
          <w:tcPr>
            <w:tcW w:w="2305"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广州铝材厂有限公司</w:t>
            </w:r>
          </w:p>
        </w:tc>
        <w:tc>
          <w:tcPr>
            <w:tcW w:w="3287" w:type="dxa"/>
            <w:vMerge w:val="restart"/>
            <w:tcBorders>
              <w:top w:val="single" w:color="auto" w:sz="4" w:space="0"/>
              <w:left w:val="nil"/>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技术参数详见图纸</w:t>
            </w:r>
          </w:p>
        </w:tc>
        <w:tc>
          <w:tcPr>
            <w:tcW w:w="1290" w:type="dxa"/>
            <w:vMerge w:val="restart"/>
            <w:tcBorders>
              <w:top w:val="single" w:color="auto" w:sz="4" w:space="0"/>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龙新</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江苏龙新铝业有限公司</w:t>
            </w:r>
          </w:p>
        </w:tc>
        <w:tc>
          <w:tcPr>
            <w:tcW w:w="3287" w:type="dxa"/>
            <w:vMerge w:val="continue"/>
            <w:tcBorders>
              <w:top w:val="single" w:color="auto" w:sz="4" w:space="0"/>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620" w:hRule="atLeast"/>
        </w:trPr>
        <w:tc>
          <w:tcPr>
            <w:tcW w:w="42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辰峰</w:t>
            </w:r>
          </w:p>
        </w:tc>
        <w:tc>
          <w:tcPr>
            <w:tcW w:w="2305" w:type="dxa"/>
            <w:tcBorders>
              <w:top w:val="nil"/>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辰峰洁净系统科技（昆山）有限公司</w:t>
            </w:r>
          </w:p>
        </w:tc>
        <w:tc>
          <w:tcPr>
            <w:tcW w:w="3287" w:type="dxa"/>
            <w:vMerge w:val="continue"/>
            <w:tcBorders>
              <w:top w:val="single" w:color="auto" w:sz="4" w:space="0"/>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兔宝宝</w:t>
            </w:r>
          </w:p>
        </w:tc>
        <w:tc>
          <w:tcPr>
            <w:tcW w:w="2305"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德华兔宝宝装饰新材股份有限公司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千年舟</w:t>
            </w:r>
          </w:p>
        </w:tc>
        <w:tc>
          <w:tcPr>
            <w:tcW w:w="2305"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千年舟新材科技集团股份有限公司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3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15</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PVC塑胶地板</w:t>
            </w:r>
          </w:p>
        </w:tc>
        <w:tc>
          <w:tcPr>
            <w:tcW w:w="1288"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阿姆斯壮</w:t>
            </w:r>
          </w:p>
        </w:tc>
        <w:tc>
          <w:tcPr>
            <w:tcW w:w="2305"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阿姆斯壮(中国)投资有限公司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满足设计图纸及相关规范要求</w:t>
            </w:r>
          </w:p>
        </w:tc>
        <w:tc>
          <w:tcPr>
            <w:tcW w:w="1290" w:type="dxa"/>
            <w:vMerge w:val="restart"/>
            <w:tcBorders>
              <w:top w:val="single" w:color="auto" w:sz="4" w:space="0"/>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洁福</w:t>
            </w:r>
          </w:p>
        </w:tc>
        <w:tc>
          <w:tcPr>
            <w:tcW w:w="2305"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洁福地板（中国）有限公司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得嘉</w:t>
            </w:r>
          </w:p>
        </w:tc>
        <w:tc>
          <w:tcPr>
            <w:tcW w:w="2305"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得嘉亚太（上海）管理有限公司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9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16</w:t>
            </w:r>
          </w:p>
        </w:tc>
        <w:tc>
          <w:tcPr>
            <w:tcW w:w="1273" w:type="dxa"/>
            <w:vMerge w:val="restart"/>
            <w:tcBorders>
              <w:top w:val="nil"/>
              <w:left w:val="single" w:color="auto" w:sz="4" w:space="0"/>
              <w:bottom w:val="single" w:color="000000" w:sz="8"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木工板，饰面板</w:t>
            </w:r>
          </w:p>
        </w:tc>
        <w:tc>
          <w:tcPr>
            <w:tcW w:w="1288"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参照或相当于兔宝宝</w:t>
            </w:r>
          </w:p>
        </w:tc>
        <w:tc>
          <w:tcPr>
            <w:tcW w:w="2305" w:type="dxa"/>
            <w:tcBorders>
              <w:top w:val="single" w:color="auto" w:sz="4" w:space="0"/>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德华兔宝宝装饰新材股份有限公司</w:t>
            </w:r>
          </w:p>
        </w:tc>
        <w:tc>
          <w:tcPr>
            <w:tcW w:w="3287" w:type="dxa"/>
            <w:vMerge w:val="restart"/>
            <w:tcBorders>
              <w:top w:val="nil"/>
              <w:left w:val="single" w:color="auto" w:sz="4" w:space="0"/>
              <w:bottom w:val="single" w:color="000000" w:sz="8"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满足设计图纸及相关规范要求</w:t>
            </w:r>
          </w:p>
        </w:tc>
        <w:tc>
          <w:tcPr>
            <w:tcW w:w="1290" w:type="dxa"/>
            <w:vMerge w:val="restart"/>
            <w:tcBorders>
              <w:top w:val="nil"/>
              <w:left w:val="single" w:color="auto" w:sz="4" w:space="0"/>
              <w:bottom w:val="single" w:color="000000" w:sz="8"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29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8"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参照或相当于莫干山</w:t>
            </w:r>
          </w:p>
        </w:tc>
        <w:tc>
          <w:tcPr>
            <w:tcW w:w="2305" w:type="dxa"/>
            <w:tcBorders>
              <w:top w:val="nil"/>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浙江升华云峰新材股份有限公司</w:t>
            </w:r>
          </w:p>
        </w:tc>
        <w:tc>
          <w:tcPr>
            <w:tcW w:w="3287" w:type="dxa"/>
            <w:vMerge w:val="continue"/>
            <w:tcBorders>
              <w:top w:val="nil"/>
              <w:left w:val="single" w:color="auto" w:sz="4" w:space="0"/>
              <w:bottom w:val="single" w:color="000000" w:sz="8"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8"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9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8"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参照或相当于千年舟</w:t>
            </w:r>
          </w:p>
        </w:tc>
        <w:tc>
          <w:tcPr>
            <w:tcW w:w="2305" w:type="dxa"/>
            <w:tcBorders>
              <w:top w:val="nil"/>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千年舟新材科技集团股份有限公司</w:t>
            </w:r>
          </w:p>
        </w:tc>
        <w:tc>
          <w:tcPr>
            <w:tcW w:w="3287" w:type="dxa"/>
            <w:vMerge w:val="continue"/>
            <w:tcBorders>
              <w:top w:val="nil"/>
              <w:left w:val="single" w:color="auto" w:sz="4" w:space="0"/>
              <w:bottom w:val="single" w:color="000000" w:sz="8"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8"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9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8"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参照或相当于福湘</w:t>
            </w:r>
          </w:p>
        </w:tc>
        <w:tc>
          <w:tcPr>
            <w:tcW w:w="2305" w:type="dxa"/>
            <w:tcBorders>
              <w:top w:val="nil"/>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湖南福湘木业有限责任公司</w:t>
            </w:r>
          </w:p>
        </w:tc>
        <w:tc>
          <w:tcPr>
            <w:tcW w:w="3287" w:type="dxa"/>
            <w:vMerge w:val="continue"/>
            <w:tcBorders>
              <w:top w:val="nil"/>
              <w:left w:val="single" w:color="auto" w:sz="4" w:space="0"/>
              <w:bottom w:val="single" w:color="000000" w:sz="8"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8"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8"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8"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参照或相当于福庆</w:t>
            </w:r>
          </w:p>
        </w:tc>
        <w:tc>
          <w:tcPr>
            <w:tcW w:w="2305" w:type="dxa"/>
            <w:tcBorders>
              <w:top w:val="nil"/>
              <w:left w:val="nil"/>
              <w:bottom w:val="single" w:color="auto" w:sz="8"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江苏福庆木业有限公司</w:t>
            </w:r>
          </w:p>
        </w:tc>
        <w:tc>
          <w:tcPr>
            <w:tcW w:w="3287" w:type="dxa"/>
            <w:vMerge w:val="continue"/>
            <w:tcBorders>
              <w:top w:val="nil"/>
              <w:left w:val="single" w:color="auto" w:sz="4" w:space="0"/>
              <w:bottom w:val="single" w:color="000000" w:sz="8"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8"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17</w:t>
            </w:r>
          </w:p>
        </w:tc>
        <w:tc>
          <w:tcPr>
            <w:tcW w:w="12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电动感应门</w:t>
            </w:r>
          </w:p>
        </w:tc>
        <w:tc>
          <w:tcPr>
            <w:tcW w:w="1288"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参照或相当于多玛</w:t>
            </w:r>
          </w:p>
        </w:tc>
        <w:tc>
          <w:tcPr>
            <w:tcW w:w="2305"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多玛凯拔门控系统有限公司</w:t>
            </w:r>
          </w:p>
        </w:tc>
        <w:tc>
          <w:tcPr>
            <w:tcW w:w="328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满足设计图纸及相关规范要求</w:t>
            </w:r>
          </w:p>
        </w:tc>
        <w:tc>
          <w:tcPr>
            <w:tcW w:w="1290" w:type="dxa"/>
            <w:vMerge w:val="restart"/>
            <w:tcBorders>
              <w:top w:val="single" w:color="auto" w:sz="4" w:space="0"/>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参照或相当于盖泽</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盖泽工业（天津）有限公司</w:t>
            </w:r>
          </w:p>
        </w:tc>
        <w:tc>
          <w:tcPr>
            <w:tcW w:w="3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参照或相当于宝盾</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北京宝盾门业技术有限公司</w:t>
            </w:r>
          </w:p>
        </w:tc>
        <w:tc>
          <w:tcPr>
            <w:tcW w:w="3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参照或相当于Besam必盛</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亚萨合莱（中国）投资有限公司</w:t>
            </w:r>
          </w:p>
        </w:tc>
        <w:tc>
          <w:tcPr>
            <w:tcW w:w="3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18</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普通灯具系列</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广日电气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广州广日电气设备有限公司</w:t>
            </w:r>
          </w:p>
        </w:tc>
        <w:tc>
          <w:tcPr>
            <w:tcW w:w="3287" w:type="dxa"/>
            <w:vMerge w:val="restart"/>
            <w:tcBorders>
              <w:top w:val="nil"/>
              <w:left w:val="nil"/>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参照或相当于欧普</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欧普照明股份有限公司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欧司朗</w:t>
            </w:r>
          </w:p>
        </w:tc>
        <w:tc>
          <w:tcPr>
            <w:tcW w:w="2305" w:type="dxa"/>
            <w:tcBorders>
              <w:top w:val="nil"/>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欧司朗光电半导体（中国）有限公司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飞利浦</w:t>
            </w:r>
          </w:p>
        </w:tc>
        <w:tc>
          <w:tcPr>
            <w:tcW w:w="2305" w:type="dxa"/>
            <w:tcBorders>
              <w:top w:val="nil"/>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飞利浦（中国）投资有限公司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TCL照明</w:t>
            </w:r>
          </w:p>
        </w:tc>
        <w:tc>
          <w:tcPr>
            <w:tcW w:w="2305" w:type="dxa"/>
            <w:tcBorders>
              <w:top w:val="nil"/>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TCL科技集团股份有限公司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三雄极光</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广东三雄极光照明股份有限公司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雷士</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雷士照明（中国）有限公司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亚字</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上海亚明照明有限公司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36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19</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照明开关、插座</w:t>
            </w:r>
          </w:p>
        </w:tc>
        <w:tc>
          <w:tcPr>
            <w:tcW w:w="1288"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公牛</w:t>
            </w:r>
          </w:p>
        </w:tc>
        <w:tc>
          <w:tcPr>
            <w:tcW w:w="2305" w:type="dxa"/>
            <w:tcBorders>
              <w:top w:val="nil"/>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公牛集团有限公司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德力西</w:t>
            </w:r>
          </w:p>
        </w:tc>
        <w:tc>
          <w:tcPr>
            <w:tcW w:w="2305"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德力西集团有限公司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正泰</w:t>
            </w:r>
          </w:p>
        </w:tc>
        <w:tc>
          <w:tcPr>
            <w:tcW w:w="2305" w:type="dxa"/>
            <w:tcBorders>
              <w:top w:val="single" w:color="auto" w:sz="4" w:space="0"/>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正泰集团股份有限公司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10" w:hRule="atLeast"/>
        </w:trPr>
        <w:tc>
          <w:tcPr>
            <w:tcW w:w="9870" w:type="dxa"/>
            <w:gridSpan w:val="6"/>
            <w:tcBorders>
              <w:top w:val="single" w:color="auto" w:sz="4" w:space="0"/>
              <w:left w:val="single" w:color="auto" w:sz="8" w:space="0"/>
              <w:bottom w:val="single" w:color="auto" w:sz="4" w:space="0"/>
              <w:right w:val="single" w:color="000000" w:sz="8" w:space="0"/>
            </w:tcBorders>
            <w:vAlign w:val="bottom"/>
          </w:tcPr>
          <w:p>
            <w:pPr>
              <w:widowControl/>
              <w:jc w:val="left"/>
              <w:rPr>
                <w:rFonts w:ascii="等线" w:hAnsi="等线" w:eastAsia="等线" w:cs="宋体"/>
                <w:b/>
                <w:bCs/>
                <w:color w:val="000000"/>
                <w:sz w:val="20"/>
                <w:highlight w:val="none"/>
              </w:rPr>
            </w:pPr>
            <w:r>
              <w:rPr>
                <w:rFonts w:hint="eastAsia" w:ascii="等线" w:hAnsi="等线" w:eastAsia="等线" w:cs="宋体"/>
                <w:b/>
                <w:bCs/>
                <w:color w:val="000000"/>
                <w:sz w:val="20"/>
                <w:highlight w:val="none"/>
              </w:rPr>
              <w:t>洁净工程部分</w:t>
            </w:r>
          </w:p>
        </w:tc>
      </w:tr>
      <w:tr>
        <w:tblPrEx>
          <w:tblCellMar>
            <w:top w:w="0" w:type="dxa"/>
            <w:left w:w="108" w:type="dxa"/>
            <w:bottom w:w="0" w:type="dxa"/>
            <w:right w:w="108" w:type="dxa"/>
          </w:tblCellMar>
        </w:tblPrEx>
        <w:trPr>
          <w:trHeight w:val="52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1</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工业门（提升门、卷帘门、快速卷帘门、防火卷帘门、防火门、洁净门等）</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快联(FASTLINK)</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上海快联门业有限公司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08CJ17 《快速软帘卷门 透明分节门 滑升门 卷帘门》</w:t>
            </w:r>
            <w:r>
              <w:rPr>
                <w:rFonts w:hint="eastAsia" w:ascii="华文仿宋" w:hAnsi="华文仿宋" w:eastAsia="华文仿宋" w:cs="宋体"/>
                <w:sz w:val="20"/>
                <w:highlight w:val="none"/>
              </w:rPr>
              <w:br w:type="textWrapping"/>
            </w:r>
            <w:r>
              <w:rPr>
                <w:rFonts w:hint="eastAsia" w:ascii="华文仿宋" w:hAnsi="华文仿宋" w:eastAsia="华文仿宋" w:cs="宋体"/>
                <w:sz w:val="20"/>
                <w:highlight w:val="none"/>
              </w:rPr>
              <w:t>03J611-4 《铝合金、彩钢、不锈钢平芯板大门》</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sz w:val="20"/>
                <w:highlight w:val="none"/>
              </w:rPr>
            </w:pPr>
            <w:r>
              <w:rPr>
                <w:rFonts w:hint="eastAsia" w:ascii="华文仿宋" w:hAnsi="华文仿宋" w:eastAsia="华文仿宋" w:cs="宋体"/>
                <w:sz w:val="20"/>
                <w:highlight w:val="none"/>
              </w:rPr>
              <w:t>或同档次产品，</w:t>
            </w:r>
            <w:r>
              <w:rPr>
                <w:rFonts w:hint="eastAsia" w:ascii="华文仿宋" w:hAnsi="华文仿宋" w:eastAsia="华文仿宋" w:cs="宋体"/>
                <w:sz w:val="20"/>
                <w:highlight w:val="none"/>
                <w:lang w:eastAsia="zh-CN"/>
              </w:rPr>
              <w:t>并报甲方同意</w:t>
            </w:r>
            <w:r>
              <w:rPr>
                <w:rFonts w:hint="eastAsia" w:ascii="华文仿宋" w:hAnsi="华文仿宋" w:eastAsia="华文仿宋" w:cs="宋体"/>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道瀚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苏州道瀚新型金属材料有限公司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霍曼</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霍曼（北京）门业有限公司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宝产三和</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上海宝产三和门业有限公司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尚高</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上海尚高机械设备有限公司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江苏丹特斯</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 江苏丹特斯科技有限公司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飞腾</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江苏飞腾智能门业有限公司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远大净化</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苏州市远大净化设备厂</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轩源</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上海轩源金属建材有限公司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2</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环氧地坪漆、地坪固化剂</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电视塔、南方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广东珠江化工涂料有限公司</w:t>
            </w:r>
          </w:p>
        </w:tc>
        <w:tc>
          <w:tcPr>
            <w:tcW w:w="3287"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JC/T 2158-2012 《渗透型液体硬化剂》、GB/T 22374-2018 《地坪涂装材料》</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秀柏</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广州秀柏化工涂料有限公司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凯伦</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江苏凯伦建材股份有限公司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7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3</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洁净彩钢板（岩棉板、玻镁岩棉板）及配套铝合金型材</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协多利</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昆山协多利洁净系统股份有限公司</w:t>
            </w:r>
          </w:p>
        </w:tc>
        <w:tc>
          <w:tcPr>
            <w:tcW w:w="3287" w:type="dxa"/>
            <w:vMerge w:val="restart"/>
            <w:tcBorders>
              <w:top w:val="nil"/>
              <w:left w:val="single" w:color="auto" w:sz="4" w:space="0"/>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1、四边企口包边（手工板）。2、满足设计图纸及相关规范要求</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华南</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吴江市华南净化彩板有限公司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多维</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多维联合集团有限公司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林森</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苏州林森净化集团有限公司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万事达</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万事达节能新材料（江苏）股份有限公司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80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4</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风淋室、货淋室</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苏净</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江苏苏净集团有限公司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1、外部材质与墙板一致，内部采用304不锈钢，不锈钢板厚≥1.2mm，门采用不锈钢整体门。2、采用无隔板高效过滤器，过滤效率不低于99.99%；3、喷嘴采用多角度可调不锈钢喷嘴；4、采用大风量低噪音风机吹淋时间保证在0秒-99秒可调；5、风淋室其初始风速不应低于25m/s，最佳28m/s；6、噪声要求离风淋1m远处，噪音≤75分贝；  7 、风淋室吹淋角度保证在30度－60度；8、采用全自动控制运行，双门电子互锁，感应自动吹淋，吹淋时双门锁闭；照明系统：</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8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苏州国立</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苏州国立洁净技术有限公司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8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美埃</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美埃（中国）环境科技股份有限公司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8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AAF</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爱美克空气过滤器（苏州）有限公司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8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远大净化</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苏州市远大净化设备厂</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7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5</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高效过滤器/FFU/送风口</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AAF</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爱美克空气过滤器（苏州）有限公司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55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康霏尔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康斐尔空气污染控制设备（太仓）有限公司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美埃</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美埃（中国）环境科技股份有限公司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苏州国立</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苏州国立洁净技术有限公司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66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6</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风口、风阀</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阿斯顿</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阿斯顿空气控制科技(苏州工业园区)有限公司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威士文</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上海威士文通风工程设备有限公司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苏州国立</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苏州国立洁净技术有限公司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美埃</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美埃（中国）环境科技股份有限公司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7</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LED照明灯具（洁净灯、工矿灯、防爆灯等）</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广日电气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广州广日电气设备有限公司</w:t>
            </w:r>
          </w:p>
        </w:tc>
        <w:tc>
          <w:tcPr>
            <w:tcW w:w="3287" w:type="dxa"/>
            <w:vMerge w:val="restart"/>
            <w:tcBorders>
              <w:top w:val="nil"/>
              <w:left w:val="nil"/>
              <w:bottom w:val="single" w:color="000000"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或同档次产品，</w:t>
            </w:r>
            <w:r>
              <w:rPr>
                <w:rFonts w:hint="eastAsia" w:ascii="华文仿宋" w:hAnsi="华文仿宋" w:eastAsia="华文仿宋" w:cs="宋体"/>
                <w:color w:val="000000"/>
                <w:sz w:val="20"/>
                <w:highlight w:val="none"/>
                <w:lang w:eastAsia="zh-CN"/>
              </w:rPr>
              <w:t>并报甲方同意</w:t>
            </w:r>
            <w:r>
              <w:rPr>
                <w:rFonts w:hint="eastAsia" w:ascii="华文仿宋" w:hAnsi="华文仿宋" w:eastAsia="华文仿宋" w:cs="宋体"/>
                <w:color w:val="000000"/>
                <w:sz w:val="20"/>
                <w:highlight w:val="none"/>
              </w:rPr>
              <w:t>。</w:t>
            </w:r>
          </w:p>
        </w:tc>
      </w:tr>
      <w:tr>
        <w:tblPrEx>
          <w:tblCellMar>
            <w:top w:w="0" w:type="dxa"/>
            <w:left w:w="108" w:type="dxa"/>
            <w:bottom w:w="0" w:type="dxa"/>
            <w:right w:w="108" w:type="dxa"/>
          </w:tblCellMar>
        </w:tblPrEx>
        <w:trPr>
          <w:trHeight w:val="33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亚字</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上海亚明照明有限公司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欧司朗</w:t>
            </w:r>
          </w:p>
        </w:tc>
        <w:tc>
          <w:tcPr>
            <w:tcW w:w="2305" w:type="dxa"/>
            <w:tcBorders>
              <w:top w:val="nil"/>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欧司朗光电半导体（中国）有限公司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9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佛山照明</w:t>
            </w:r>
          </w:p>
        </w:tc>
        <w:tc>
          <w:tcPr>
            <w:tcW w:w="2305" w:type="dxa"/>
            <w:tcBorders>
              <w:top w:val="nil"/>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佛山电器照明股份有限公司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9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海洋王</w:t>
            </w:r>
          </w:p>
        </w:tc>
        <w:tc>
          <w:tcPr>
            <w:tcW w:w="2305" w:type="dxa"/>
            <w:tcBorders>
              <w:top w:val="nil"/>
              <w:left w:val="nil"/>
              <w:bottom w:val="single" w:color="auto" w:sz="4" w:space="0"/>
              <w:right w:val="single" w:color="auto" w:sz="4" w:space="0"/>
            </w:tcBorders>
            <w:vAlign w:val="bottom"/>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海洋王照明科技股份有限公司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三雄极光</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广东三雄极光照明股份有限公司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森本照明</w:t>
            </w:r>
          </w:p>
        </w:tc>
        <w:tc>
          <w:tcPr>
            <w:tcW w:w="2305" w:type="dxa"/>
            <w:tcBorders>
              <w:top w:val="nil"/>
              <w:left w:val="nil"/>
              <w:bottom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十二年本照明有限公司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华文仿宋" w:hAnsi="华文仿宋" w:eastAsia="华文仿宋"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华文仿宋" w:hAnsi="华文仿宋" w:eastAsia="华文仿宋" w:cs="宋体"/>
                <w:color w:val="000000"/>
                <w:sz w:val="20"/>
                <w:highlight w:val="none"/>
              </w:rPr>
            </w:pPr>
          </w:p>
        </w:tc>
      </w:tr>
      <w:tr>
        <w:tblPrEx>
          <w:tblCellMar>
            <w:top w:w="0" w:type="dxa"/>
            <w:left w:w="108" w:type="dxa"/>
            <w:bottom w:w="0" w:type="dxa"/>
            <w:right w:w="108" w:type="dxa"/>
          </w:tblCellMar>
        </w:tblPrEx>
        <w:trPr>
          <w:trHeight w:val="4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8</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空调末端风机盘管、组合式空调机组</w:t>
            </w:r>
          </w:p>
        </w:tc>
        <w:tc>
          <w:tcPr>
            <w:tcW w:w="1288"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日立</w:t>
            </w:r>
          </w:p>
        </w:tc>
        <w:tc>
          <w:tcPr>
            <w:tcW w:w="2305"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江森自控日立万宝空调（广州）有限公司</w:t>
            </w:r>
          </w:p>
        </w:tc>
        <w:tc>
          <w:tcPr>
            <w:tcW w:w="3287" w:type="dxa"/>
            <w:vMerge w:val="restart"/>
            <w:tcBorders>
              <w:top w:val="nil"/>
              <w:left w:val="nil"/>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变频器、PLC品牌：ABB、西门子、施耐德、丹弗斯</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33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清华同方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广州同方瑞风节能科技股份有限公司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申凌</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广东申菱环境系统股份有限公司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盾安</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盾安控股集团有限公司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欧博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浩金欧博环境科技有限公司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佳力图</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南京佳力图空调机电有限公司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台佳</w:t>
            </w:r>
          </w:p>
        </w:tc>
        <w:tc>
          <w:tcPr>
            <w:tcW w:w="2305"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台佳空调系统（江苏）有限公司</w:t>
            </w:r>
          </w:p>
        </w:tc>
        <w:tc>
          <w:tcPr>
            <w:tcW w:w="3287" w:type="dxa"/>
            <w:vMerge w:val="continue"/>
            <w:tcBorders>
              <w:top w:val="nil"/>
              <w:left w:val="nil"/>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9</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组合式除湿机组</w:t>
            </w:r>
          </w:p>
        </w:tc>
        <w:tc>
          <w:tcPr>
            <w:tcW w:w="1288"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捷瑞</w:t>
            </w:r>
          </w:p>
        </w:tc>
        <w:tc>
          <w:tcPr>
            <w:tcW w:w="2305" w:type="dxa"/>
            <w:tcBorders>
              <w:top w:val="single" w:color="auto" w:sz="4" w:space="0"/>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杭州捷瑞空气处理设备有限公司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 xml:space="preserve">1、转轮品牌：瑞典Proflute、日本Nichias。2、风机品牌亿利达。3、变频器、PLC品牌：ABB/西门子、施耐德。4、执行元器件：施耐德。5、比例调节阀：西门子。6、露点探头品牌：维萨拉VAISALA </w:t>
            </w:r>
          </w:p>
        </w:tc>
        <w:tc>
          <w:tcPr>
            <w:tcW w:w="1290" w:type="dxa"/>
            <w:vMerge w:val="restart"/>
            <w:tcBorders>
              <w:top w:val="nil"/>
              <w:left w:val="single" w:color="auto" w:sz="4" w:space="0"/>
              <w:bottom w:val="single" w:color="000000" w:sz="4" w:space="0"/>
              <w:right w:val="single" w:color="auto" w:sz="8" w:space="0"/>
            </w:tcBorders>
            <w:vAlign w:val="bottom"/>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　</w:t>
            </w: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蒙特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蒙特空气处理设备（北京）有限公司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迪思特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迪思特空气处理设备（常熟）有限公司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31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10</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分体式空调、VRV多联机</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松下</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广州松下空调器有限公司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310" w:hRule="atLeast"/>
        </w:trPr>
        <w:tc>
          <w:tcPr>
            <w:tcW w:w="427" w:type="dxa"/>
            <w:vMerge w:val="continue"/>
            <w:tcBorders>
              <w:left w:val="single" w:color="auto" w:sz="8" w:space="0"/>
              <w:right w:val="single" w:color="auto" w:sz="4" w:space="0"/>
            </w:tcBorders>
            <w:vAlign w:val="center"/>
          </w:tcPr>
          <w:p>
            <w:pPr>
              <w:widowControl/>
              <w:jc w:val="center"/>
              <w:rPr>
                <w:rFonts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center"/>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大金</w:t>
            </w:r>
          </w:p>
        </w:tc>
        <w:tc>
          <w:tcPr>
            <w:tcW w:w="2305" w:type="dxa"/>
            <w:tcBorders>
              <w:top w:val="nil"/>
              <w:left w:val="nil"/>
              <w:bottom w:val="single" w:color="auto" w:sz="4" w:space="0"/>
              <w:right w:val="single" w:color="auto" w:sz="4" w:space="0"/>
            </w:tcBorders>
            <w:vAlign w:val="center"/>
          </w:tcPr>
          <w:p>
            <w:pPr>
              <w:pStyle w:val="3"/>
              <w:widowControl/>
              <w:shd w:val="clear" w:color="auto" w:fill="FFFFFF"/>
              <w:spacing w:beforeAutospacing="0" w:afterAutospacing="0" w:line="420" w:lineRule="atLeast"/>
              <w:rPr>
                <w:rFonts w:hint="default" w:ascii="华文仿宋" w:hAnsi="华文仿宋" w:eastAsia="华文仿宋"/>
                <w:b w:val="0"/>
                <w:bCs w:val="0"/>
                <w:color w:val="000000"/>
                <w:kern w:val="2"/>
                <w:sz w:val="20"/>
                <w:szCs w:val="22"/>
                <w:highlight w:val="none"/>
              </w:rPr>
            </w:pPr>
            <w:r>
              <w:rPr>
                <w:rFonts w:hint="default" w:ascii="华文仿宋" w:hAnsi="华文仿宋" w:eastAsia="华文仿宋" w:cs="宋体"/>
                <w:b w:val="0"/>
                <w:bCs w:val="0"/>
                <w:color w:val="000000"/>
                <w:kern w:val="2"/>
                <w:sz w:val="20"/>
                <w:szCs w:val="22"/>
                <w:highlight w:val="none"/>
              </w:rPr>
              <w:t>大金空调技术（中国）有限公司</w:t>
            </w:r>
          </w:p>
          <w:p>
            <w:pPr>
              <w:widowControl/>
              <w:jc w:val="center"/>
              <w:rPr>
                <w:rFonts w:ascii="华文仿宋" w:hAnsi="华文仿宋" w:eastAsia="华文仿宋" w:cs="宋体"/>
                <w:color w:val="000000"/>
                <w:sz w:val="20"/>
                <w:highlight w:val="none"/>
              </w:rPr>
            </w:pPr>
          </w:p>
        </w:tc>
        <w:tc>
          <w:tcPr>
            <w:tcW w:w="3287" w:type="dxa"/>
            <w:vMerge w:val="continue"/>
            <w:tcBorders>
              <w:left w:val="single" w:color="auto" w:sz="4" w:space="0"/>
              <w:right w:val="single" w:color="auto" w:sz="4" w:space="0"/>
            </w:tcBorders>
            <w:vAlign w:val="center"/>
          </w:tcPr>
          <w:p>
            <w:pPr>
              <w:widowControl/>
              <w:jc w:val="center"/>
              <w:rPr>
                <w:rFonts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center"/>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约克</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约克（中国）商贸有限公司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9870" w:type="dxa"/>
            <w:gridSpan w:val="6"/>
            <w:tcBorders>
              <w:top w:val="single" w:color="auto" w:sz="4" w:space="0"/>
              <w:left w:val="single" w:color="auto" w:sz="8" w:space="0"/>
              <w:bottom w:val="single" w:color="auto" w:sz="4" w:space="0"/>
              <w:right w:val="single" w:color="000000" w:sz="8" w:space="0"/>
            </w:tcBorders>
            <w:vAlign w:val="bottom"/>
          </w:tcPr>
          <w:p>
            <w:pPr>
              <w:widowControl/>
              <w:jc w:val="left"/>
              <w:rPr>
                <w:rFonts w:ascii="等线" w:hAnsi="等线" w:eastAsia="等线" w:cs="宋体"/>
                <w:b/>
                <w:bCs/>
                <w:color w:val="000000"/>
                <w:sz w:val="20"/>
                <w:highlight w:val="none"/>
              </w:rPr>
            </w:pPr>
            <w:r>
              <w:rPr>
                <w:rFonts w:hint="eastAsia" w:ascii="等线" w:hAnsi="等线" w:eastAsia="等线" w:cs="宋体"/>
                <w:b/>
                <w:bCs/>
                <w:color w:val="000000"/>
                <w:sz w:val="20"/>
                <w:highlight w:val="none"/>
              </w:rPr>
              <w:t>一般机电消防</w:t>
            </w: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restart"/>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南方风机</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南方风机股份有限公司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restart"/>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浙江上风</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浙江上风高科专风实业股份有限公司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沃克通风</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上海沃克通用设备有限公司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英飞</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英飞同仁风机股份有限公司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德通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广东肇庆德通有限公司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restart"/>
            <w:tcBorders>
              <w:top w:val="nil"/>
              <w:left w:val="single" w:color="auto" w:sz="8"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2</w:t>
            </w:r>
          </w:p>
        </w:tc>
        <w:tc>
          <w:tcPr>
            <w:tcW w:w="1273" w:type="dxa"/>
            <w:vMerge w:val="restart"/>
            <w:tcBorders>
              <w:top w:val="nil"/>
              <w:left w:val="single" w:color="auto" w:sz="4"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水泵、消防水泵</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上海东方泵业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上海东方泵业（集团）有限公司</w:t>
            </w:r>
          </w:p>
        </w:tc>
        <w:tc>
          <w:tcPr>
            <w:tcW w:w="3287" w:type="dxa"/>
            <w:vMerge w:val="restart"/>
            <w:tcBorders>
              <w:top w:val="nil"/>
              <w:left w:val="single" w:color="auto" w:sz="4"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1、满足设计图纸及相关规范要求。2、轴承品牌：NSK。3、叶轮材质：不锈钢。</w:t>
            </w:r>
          </w:p>
        </w:tc>
        <w:tc>
          <w:tcPr>
            <w:tcW w:w="1290" w:type="dxa"/>
            <w:vMerge w:val="restart"/>
            <w:tcBorders>
              <w:top w:val="nil"/>
              <w:left w:val="single" w:color="auto" w:sz="4" w:space="0"/>
              <w:bottom w:val="nil"/>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南方泵业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南方泵业股份有限公司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上海凯泉泵业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上海凯泉泵业(集团)有限公司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上海熊猫</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上海熊猫机械（集团）有限公司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single" w:color="auto" w:sz="4" w:space="0"/>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3</w:t>
            </w:r>
          </w:p>
        </w:tc>
        <w:tc>
          <w:tcPr>
            <w:tcW w:w="1273"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手动阀门</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埃美柯</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埃美柯集团有限公司</w:t>
            </w:r>
          </w:p>
        </w:tc>
        <w:tc>
          <w:tcPr>
            <w:tcW w:w="3287"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single" w:color="auto" w:sz="4" w:space="0"/>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浙江盾安</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浙江盾安精工集团有限公司</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宁波杰克龙</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宁波杰克龙精工有限公司</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远大尧字</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远大阀门集团有限公司</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上海沪工</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上海沪工阀门厂（集团）有</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中阀控股</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中阀控股（集团）有限公司</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天津卡尔斯</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天津卡尔斯阀门股份有限公司</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4</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电动阀门</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西门子</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西门子（中国）有限公司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丹佛斯</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丹佛斯（天津）有限公司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霍尼韦尔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霍尼韦尔(天津)有限公司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5</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蒸汽阀门、减压阀、疏水阀、</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阿姆斯壮</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阿姆斯壮阀门（中国）有限公司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斯派莎克</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斯派莎克阀门(中国)有限公司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林德韦特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林德韦特工程技术有限公司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6</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镀锌钢管</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泰丰侨</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广东泰丰侨金属制品有限公司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珠江</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广州珠江管业科技有限公司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华通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中山华通钢塑管有限公司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7</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无缝钢管</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邯钢</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邯钢集团邯宝钢铁有限公司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宝钢</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宝山钢铁股份有限公司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武钢</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武钢集团有限公司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敬业钢铁</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敬业钢铁有限公司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8</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不锈钢管</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邯钢</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邯钢集团邯宝钢铁有限公司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宝钢</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宝山钢铁股份有限公司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武钢</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武钢集团有限公司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敬业钢铁</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敬业钢铁有限公司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9</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铝合金管道</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康帕斯</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浙江康帕斯流体技术股份有限公司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安耐特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安耐特流体输送科技有限公司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福斯特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广东福斯特流体技术有限公司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10</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钢丝网骨架聚乙烯复合管，UPV-C管，PPR管，HDPE双壁波纹管</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联塑</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广东联塑科技实业有限公司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伟星</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浙江伟星新型建材股份有限公司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白蝶管业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上海白蝶管业科技股份有限公司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中财</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浙江中财管道科技股份有限公司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衡水京华</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衡水京华制管有限公司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金德</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金德管业集团有限公司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兴高管业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河南兴高管业有限公司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11</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自来水表</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宁波东海</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宁波东海集团有限公司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江西三川</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江西三川集团有限公司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唐山汇中</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汇中仪表股份有限公司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高翔水表</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高翔水表有限公司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连云港连利</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连云港连利水表有限公司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新天水表</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新天科技股份有限公司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福州中福</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福州中福水表有限公司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12</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管道保温材料（橡塑板保温B1级）</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兆胜</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江苏兆胜空调有限公司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华美</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河北华美保温材料有限公司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阿乐斯</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阿乐斯绝热材料（广州）有限公司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恒祥福诺斯</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湖北恒祥科技股份有限公司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13</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消防器材（喷头、报警阀组、水流指示器、水泵接合器、灭火器箱、灭火器、柜式七氟丙烷气体灭火）</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海湾安全</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海湾安全技术有限公司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北大清鸟</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北大清鸟环宇消防设备股份有限公司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北京利达</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北京利达集团</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上海海消</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上海海消消防集团有限公司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上海金盾</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上海金盾消防安全设备有限公司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南京消防</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南京消防器材股份有限公司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14</w:t>
            </w:r>
          </w:p>
        </w:tc>
        <w:tc>
          <w:tcPr>
            <w:tcW w:w="1273" w:type="dxa"/>
            <w:vMerge w:val="restart"/>
            <w:tcBorders>
              <w:top w:val="nil"/>
              <w:left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消防报警、监控系统，气体探测报警系统，消防控制中心系统</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广州禹成</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广州市禹成消防科技有限公司</w:t>
            </w:r>
          </w:p>
        </w:tc>
        <w:tc>
          <w:tcPr>
            <w:tcW w:w="3287" w:type="dxa"/>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left w:val="single" w:color="auto" w:sz="8" w:space="0"/>
              <w:right w:val="single" w:color="auto" w:sz="4" w:space="0"/>
            </w:tcBorders>
            <w:vAlign w:val="center"/>
          </w:tcPr>
          <w:p>
            <w:pPr>
              <w:widowControl/>
              <w:jc w:val="center"/>
              <w:rPr>
                <w:rFonts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center"/>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海湾安全</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海湾安全技术有限公司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消防报警系统需满足最新的消防法规</w:t>
            </w:r>
            <w:r>
              <w:rPr>
                <w:rFonts w:hint="eastAsia" w:ascii="等线" w:hAnsi="等线" w:eastAsia="等线" w:cs="宋体"/>
                <w:color w:val="000000"/>
                <w:sz w:val="20"/>
                <w:highlight w:val="none"/>
              </w:rPr>
              <w:br w:type="textWrapping"/>
            </w:r>
            <w:r>
              <w:rPr>
                <w:rFonts w:hint="eastAsia" w:ascii="等线" w:hAnsi="等线" w:eastAsia="等线" w:cs="宋体"/>
                <w:color w:val="000000"/>
                <w:sz w:val="20"/>
                <w:highlight w:val="none"/>
              </w:rPr>
              <w:t>烟感探测器、温感探测器、手动报警按钮、闭路电视监视系统、火警警铃、消防广播系统、电话对讲机等通讯联络器材组成，中报警器、联动控制柜、消防电梯控制器、管道煤气紧急切断装置、消防广播话筒扩音机和控制器、通讯装置等组成。</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600" w:hRule="atLeast"/>
        </w:trPr>
        <w:tc>
          <w:tcPr>
            <w:tcW w:w="427" w:type="dxa"/>
            <w:vMerge w:val="continue"/>
            <w:tcBorders>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北大清鸟</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青鸟消防股份有限公司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北京利达</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北京利达集团</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3593" w:type="dxa"/>
            <w:gridSpan w:val="2"/>
            <w:tcBorders>
              <w:top w:val="nil"/>
              <w:left w:val="nil"/>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 xml:space="preserve">清远市清新区太和镇宏达塑料管厂 </w:t>
            </w:r>
          </w:p>
        </w:tc>
        <w:tc>
          <w:tcPr>
            <w:tcW w:w="3287"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1</w:t>
            </w:r>
            <w:r>
              <w:rPr>
                <w:rFonts w:ascii="等线" w:hAnsi="等线" w:eastAsia="等线" w:cs="宋体"/>
                <w:color w:val="000000"/>
                <w:sz w:val="20"/>
                <w:highlight w:val="none"/>
              </w:rPr>
              <w:t>5</w:t>
            </w:r>
          </w:p>
        </w:tc>
        <w:tc>
          <w:tcPr>
            <w:tcW w:w="1273" w:type="dxa"/>
            <w:vMerge w:val="restart"/>
            <w:tcBorders>
              <w:top w:val="nil"/>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浪涌保护器</w:t>
            </w: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徽电科技</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安徽徽电科技股份有限公司</w:t>
            </w:r>
          </w:p>
        </w:tc>
        <w:tc>
          <w:tcPr>
            <w:tcW w:w="3287" w:type="dxa"/>
            <w:vMerge w:val="restart"/>
            <w:tcBorders>
              <w:top w:val="nil"/>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right w:val="single" w:color="auto" w:sz="8" w:space="0"/>
            </w:tcBorders>
            <w:vAlign w:val="center"/>
          </w:tcPr>
          <w:p>
            <w:pPr>
              <w:widowControl/>
              <w:jc w:val="center"/>
              <w:rPr>
                <w:rFonts w:hint="eastAsia" w:ascii="等线" w:hAnsi="等线" w:eastAsia="等线" w:cs="宋体"/>
                <w:color w:val="000000"/>
                <w:sz w:val="20"/>
                <w:highlight w:val="none"/>
                <w:lang w:eastAsia="zh-CN"/>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泰永长征</w:t>
            </w:r>
          </w:p>
        </w:tc>
        <w:tc>
          <w:tcPr>
            <w:tcW w:w="23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贵州泰永长征技术股份有限公司</w:t>
            </w:r>
          </w:p>
        </w:tc>
        <w:tc>
          <w:tcPr>
            <w:tcW w:w="3287"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金力</w:t>
            </w:r>
          </w:p>
        </w:tc>
        <w:tc>
          <w:tcPr>
            <w:tcW w:w="23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安徽金力电气技术有限公司</w:t>
            </w:r>
          </w:p>
        </w:tc>
        <w:tc>
          <w:tcPr>
            <w:tcW w:w="3287"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海格电气</w:t>
            </w:r>
          </w:p>
        </w:tc>
        <w:tc>
          <w:tcPr>
            <w:tcW w:w="23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海格电气(惠州)有限公司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16</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应急照明系统</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敏华</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广东敏华电器有限公司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1.采用集中电源集中控制型灯具；灯具带独立的地址；采用LED光源，色温不低于2700K。</w:t>
            </w:r>
            <w:r>
              <w:rPr>
                <w:rFonts w:hint="eastAsia" w:ascii="等线" w:hAnsi="等线" w:eastAsia="等线" w:cs="宋体"/>
                <w:color w:val="000000"/>
                <w:sz w:val="20"/>
                <w:highlight w:val="none"/>
              </w:rPr>
              <w:br w:type="textWrapping"/>
            </w:r>
            <w:r>
              <w:rPr>
                <w:rFonts w:hint="eastAsia" w:ascii="等线" w:hAnsi="等线" w:eastAsia="等线" w:cs="宋体"/>
                <w:color w:val="000000"/>
                <w:sz w:val="20"/>
                <w:highlight w:val="none"/>
              </w:rPr>
              <w:t xml:space="preserve"> 2.安装高度≤8m的灯具采用A型灯具；＞8m采用B型灯具。3.产品应符合《消防安全标志》GB13495和《消防应急照明和疏散指示系统》GB17945的规定</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振辉</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广东振辉消防科技有限公司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台谊</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浙江台谊消防股份有限公司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西默电气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珠海西默电气股份有限公司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39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17</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管道支吊架（含抗震支吊架）</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优力特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br w:type="textWrapping"/>
            </w:r>
            <w:r>
              <w:rPr>
                <w:rFonts w:hint="eastAsia" w:ascii="华文仿宋" w:hAnsi="华文仿宋" w:eastAsia="华文仿宋" w:cs="宋体"/>
                <w:color w:val="000000"/>
                <w:sz w:val="20"/>
                <w:highlight w:val="none"/>
              </w:rPr>
              <w:t xml:space="preserve">广东优力特金属科技有限公司   </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固德威</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广州固德威科技有限公司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奥睿德</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广东奥睿德科技发展有限公司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469"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18</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热镀锌桥架、电线管</w:t>
            </w:r>
          </w:p>
        </w:tc>
        <w:tc>
          <w:tcPr>
            <w:tcW w:w="3593" w:type="dxa"/>
            <w:gridSpan w:val="2"/>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 xml:space="preserve">广州一州电气设备有限公司 </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508"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3593" w:type="dxa"/>
            <w:gridSpan w:val="2"/>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广东宏际线管实业有限公司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309"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3593" w:type="dxa"/>
            <w:gridSpan w:val="2"/>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佛山市联希线槽有限公司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rPr>
                <w:rFonts w:ascii="等线" w:hAnsi="等线" w:eastAsia="等线" w:cs="宋体"/>
                <w:color w:val="000000"/>
                <w:sz w:val="20"/>
                <w:highlight w:val="none"/>
              </w:rPr>
            </w:pPr>
            <w:r>
              <w:rPr>
                <w:rFonts w:hint="eastAsia" w:ascii="等线" w:hAnsi="等线" w:eastAsia="等线" w:cs="宋体"/>
                <w:color w:val="000000"/>
                <w:sz w:val="20"/>
                <w:highlight w:val="none"/>
              </w:rPr>
              <w:t>19</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变频器、软启动</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ABB</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ABB（中国）有限公司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西门子</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西门子（中国）有限公司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丹佛斯</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丹佛斯（中国）有限公司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施耐德</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施耐德电气（中国）有限公司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20</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断路器（含微断）</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常熟</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常熟开关制造有限公司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1、常熟框架-CW3、塑壳-CM5E系列。2、上联框架-RMW2、塑壳-RMM3E、3、罗格朗框架-DPX3系列、塑壳-DMX3E系列。4、良信框架-NDW5系列、塑壳-NDM5E。5、北元框架-BW3、塑壳-BM3E系列。</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52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上联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上海电器股份有限公司上海人民电器厂</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罗格朗</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TCL-罗格朗集团</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北元</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北京北元电器有限公司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良信</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上海良信电器股份有限公司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21</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高、低压电缆</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中联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广东中联电缆集团有限公司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南洋</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广州南洋电缆集团有限公司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双菱</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广州电缆有限公司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番缆</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广州番禺电缆集团有限公司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2</w:t>
            </w:r>
            <w:r>
              <w:rPr>
                <w:rFonts w:ascii="等线" w:hAnsi="等线" w:eastAsia="等线" w:cs="宋体"/>
                <w:color w:val="000000"/>
                <w:sz w:val="20"/>
                <w:highlight w:val="none"/>
              </w:rPr>
              <w:t>2</w:t>
            </w:r>
          </w:p>
        </w:tc>
        <w:tc>
          <w:tcPr>
            <w:tcW w:w="1273" w:type="dxa"/>
            <w:vMerge w:val="restart"/>
            <w:tcBorders>
              <w:top w:val="nil"/>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浪涌保护器</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徽电科技</w:t>
            </w:r>
          </w:p>
        </w:tc>
        <w:tc>
          <w:tcPr>
            <w:tcW w:w="23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安徽徽电科技股份有限公司</w:t>
            </w:r>
          </w:p>
        </w:tc>
        <w:tc>
          <w:tcPr>
            <w:tcW w:w="3287" w:type="dxa"/>
            <w:vMerge w:val="restart"/>
            <w:tcBorders>
              <w:top w:val="nil"/>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right w:val="single" w:color="auto" w:sz="8"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泰永长征</w:t>
            </w:r>
          </w:p>
        </w:tc>
        <w:tc>
          <w:tcPr>
            <w:tcW w:w="2305" w:type="dxa"/>
            <w:tcBorders>
              <w:top w:val="nil"/>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贵州泰永长征技术股份有限公司</w:t>
            </w:r>
          </w:p>
        </w:tc>
        <w:tc>
          <w:tcPr>
            <w:tcW w:w="3287"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金力</w:t>
            </w:r>
          </w:p>
        </w:tc>
        <w:tc>
          <w:tcPr>
            <w:tcW w:w="2305" w:type="dxa"/>
            <w:tcBorders>
              <w:top w:val="nil"/>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安徽金力电气技术有限公司</w:t>
            </w:r>
          </w:p>
        </w:tc>
        <w:tc>
          <w:tcPr>
            <w:tcW w:w="3287"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海格电气</w:t>
            </w:r>
          </w:p>
        </w:tc>
        <w:tc>
          <w:tcPr>
            <w:tcW w:w="2305" w:type="dxa"/>
            <w:tcBorders>
              <w:top w:val="nil"/>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海格电气(惠州)有限公司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2</w:t>
            </w:r>
            <w:r>
              <w:rPr>
                <w:rFonts w:ascii="等线" w:hAnsi="等线" w:eastAsia="等线" w:cs="宋体"/>
                <w:color w:val="000000"/>
                <w:sz w:val="20"/>
                <w:highlight w:val="none"/>
              </w:rPr>
              <w:t>3</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双电源切换开关</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泰永长征</w:t>
            </w:r>
          </w:p>
        </w:tc>
        <w:tc>
          <w:tcPr>
            <w:tcW w:w="2305" w:type="dxa"/>
            <w:tcBorders>
              <w:top w:val="nil"/>
              <w:left w:val="nil"/>
              <w:bottom w:val="single" w:color="auto" w:sz="4" w:space="0"/>
              <w:right w:val="single" w:color="auto" w:sz="4" w:space="0"/>
            </w:tcBorders>
            <w:vAlign w:val="center"/>
          </w:tcPr>
          <w:p>
            <w:pPr>
              <w:pStyle w:val="2"/>
              <w:widowControl/>
              <w:shd w:val="clear" w:color="auto" w:fill="FFFFFF"/>
              <w:spacing w:beforeAutospacing="0" w:afterAutospacing="0" w:line="420" w:lineRule="atLeast"/>
              <w:textAlignment w:val="center"/>
              <w:rPr>
                <w:rFonts w:hint="default" w:ascii="华文仿宋" w:hAnsi="华文仿宋" w:eastAsia="华文仿宋"/>
                <w:b w:val="0"/>
                <w:bCs w:val="0"/>
                <w:color w:val="000000"/>
                <w:kern w:val="2"/>
                <w:sz w:val="20"/>
                <w:szCs w:val="22"/>
                <w:highlight w:val="none"/>
              </w:rPr>
            </w:pPr>
            <w:r>
              <w:rPr>
                <w:rFonts w:hint="default" w:ascii="华文仿宋" w:hAnsi="华文仿宋" w:eastAsia="华文仿宋" w:cs="宋体"/>
                <w:b w:val="0"/>
                <w:bCs w:val="0"/>
                <w:color w:val="000000"/>
                <w:kern w:val="2"/>
                <w:sz w:val="20"/>
                <w:szCs w:val="22"/>
                <w:highlight w:val="none"/>
              </w:rPr>
              <w:t>贵州泰永长征技术股份有限公司</w:t>
            </w:r>
          </w:p>
          <w:p>
            <w:pPr>
              <w:widowControl/>
              <w:jc w:val="center"/>
              <w:rPr>
                <w:rFonts w:ascii="华文仿宋" w:hAnsi="华文仿宋" w:eastAsia="华文仿宋" w:cs="宋体"/>
                <w:color w:val="000000"/>
                <w:sz w:val="20"/>
                <w:highlight w:val="none"/>
              </w:rPr>
            </w:pP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泰永长征：TBBQ系列；罗格朗：DQP系列；海格电气：HE系列</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罗格朗</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罗格朗电器股份有限公司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海格电气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海格电气(惠州)有限公司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2</w:t>
            </w:r>
            <w:r>
              <w:rPr>
                <w:rFonts w:ascii="等线" w:hAnsi="等线" w:eastAsia="等线" w:cs="宋体"/>
                <w:color w:val="000000"/>
                <w:sz w:val="20"/>
                <w:highlight w:val="none"/>
              </w:rPr>
              <w:t>4</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智能表计</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雅达</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广东雅达电子股份有限公司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国网诺博特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国网诺博特江苏自动化设备有限公司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汉光</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广州汉光电气股份有限公司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中电</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 xml:space="preserve">深圳市中电电力技术股份有限公司 </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2</w:t>
            </w:r>
            <w:r>
              <w:rPr>
                <w:rFonts w:ascii="等线" w:hAnsi="等线" w:eastAsia="等线" w:cs="宋体"/>
                <w:color w:val="000000"/>
                <w:sz w:val="20"/>
                <w:highlight w:val="none"/>
              </w:rPr>
              <w:t>5</w:t>
            </w:r>
          </w:p>
        </w:tc>
        <w:tc>
          <w:tcPr>
            <w:tcW w:w="1273" w:type="dxa"/>
            <w:vMerge w:val="restart"/>
            <w:tcBorders>
              <w:top w:val="nil"/>
              <w:left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直流电源</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三辰</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浙江三辰电器股份有限公司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山特电子</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山特电子（深圳）有限公司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华海</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大连旅顺电力电子设备有限公司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艾默生</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艾默生电气公司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restart"/>
            <w:tcBorders>
              <w:top w:val="nil"/>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r>
              <w:rPr>
                <w:rFonts w:hint="eastAsia" w:ascii="等线" w:hAnsi="等线" w:eastAsia="等线" w:cs="宋体"/>
                <w:color w:val="000000"/>
                <w:sz w:val="20"/>
                <w:highlight w:val="none"/>
              </w:rPr>
              <w:t>2</w:t>
            </w:r>
            <w:r>
              <w:rPr>
                <w:rFonts w:ascii="等线" w:hAnsi="等线" w:eastAsia="等线" w:cs="宋体"/>
                <w:color w:val="000000"/>
                <w:sz w:val="20"/>
                <w:highlight w:val="none"/>
              </w:rPr>
              <w:t>6</w:t>
            </w:r>
          </w:p>
        </w:tc>
        <w:tc>
          <w:tcPr>
            <w:tcW w:w="1273" w:type="dxa"/>
            <w:vMerge w:val="restart"/>
            <w:tcBorders>
              <w:top w:val="nil"/>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r>
              <w:rPr>
                <w:rFonts w:hint="eastAsia" w:ascii="等线" w:hAnsi="等线" w:eastAsia="等线" w:cs="宋体"/>
                <w:color w:val="000000"/>
                <w:sz w:val="20"/>
                <w:highlight w:val="none"/>
              </w:rPr>
              <w:t>S</w:t>
            </w:r>
            <w:r>
              <w:rPr>
                <w:rFonts w:ascii="等线" w:hAnsi="等线" w:eastAsia="等线" w:cs="宋体"/>
                <w:color w:val="000000"/>
                <w:sz w:val="20"/>
                <w:highlight w:val="none"/>
              </w:rPr>
              <w:t>VG/APF</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Novtium</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新能动力(北京)电气科技有限公司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continue"/>
            <w:tcBorders>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北京英博</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北京英博电气股份有限公司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施耐德</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施耐德电气（中国）有限公司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2</w:t>
            </w:r>
            <w:r>
              <w:rPr>
                <w:rFonts w:ascii="等线" w:hAnsi="等线" w:eastAsia="等线" w:cs="宋体"/>
                <w:color w:val="000000"/>
                <w:sz w:val="20"/>
                <w:highlight w:val="none"/>
              </w:rPr>
              <w:t>7</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高压真空断路器</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西门子</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上海西门子开关有限公司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ABB：VD4系列；西门子：3AE8系列；常州伊顿：E-VAC系列；库柏：VN2-24E系列；</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ABB</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厦门ABB开关有限公司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常州伊顿</w:t>
            </w:r>
          </w:p>
        </w:tc>
        <w:tc>
          <w:tcPr>
            <w:tcW w:w="23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伊顿电力设备有限公司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库柏</w:t>
            </w:r>
          </w:p>
        </w:tc>
        <w:tc>
          <w:tcPr>
            <w:tcW w:w="2305" w:type="dxa"/>
            <w:tcBorders>
              <w:top w:val="single" w:color="auto" w:sz="4" w:space="0"/>
              <w:left w:val="nil"/>
              <w:bottom w:val="single" w:color="auto" w:sz="4" w:space="0"/>
              <w:right w:val="single" w:color="auto" w:sz="4" w:space="0"/>
            </w:tcBorders>
            <w:shd w:val="clear" w:color="auto" w:fill="auto"/>
            <w:vAlign w:val="bottom"/>
          </w:tcPr>
          <w:p>
            <w:pPr>
              <w:jc w:val="center"/>
              <w:rPr>
                <w:rFonts w:hint="eastAsia" w:ascii="宋体" w:hAnsi="宋体"/>
                <w:color w:val="000000"/>
                <w:highlight w:val="none"/>
              </w:rPr>
            </w:pPr>
            <w:r>
              <w:rPr>
                <w:rFonts w:hint="eastAsia"/>
                <w:color w:val="000000"/>
                <w:highlight w:val="none"/>
              </w:rPr>
              <w:t>库柏（宁波）电气有限公司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施耐德</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施耐德电气(中国)有限公司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2</w:t>
            </w:r>
            <w:r>
              <w:rPr>
                <w:rFonts w:ascii="等线" w:hAnsi="等线" w:eastAsia="等线" w:cs="宋体"/>
                <w:color w:val="000000"/>
                <w:sz w:val="20"/>
                <w:highlight w:val="none"/>
              </w:rPr>
              <w:t>8</w:t>
            </w:r>
          </w:p>
        </w:tc>
        <w:tc>
          <w:tcPr>
            <w:tcW w:w="1273" w:type="dxa"/>
            <w:vMerge w:val="restart"/>
            <w:tcBorders>
              <w:top w:val="nil"/>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电流、电压互感器</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大连一互</w:t>
            </w:r>
          </w:p>
        </w:tc>
        <w:tc>
          <w:tcPr>
            <w:tcW w:w="2305" w:type="dxa"/>
            <w:tcBorders>
              <w:top w:val="single" w:color="auto" w:sz="4" w:space="0"/>
              <w:left w:val="nil"/>
              <w:bottom w:val="single" w:color="auto" w:sz="4" w:space="0"/>
              <w:right w:val="single" w:color="auto" w:sz="4" w:space="0"/>
            </w:tcBorders>
            <w:shd w:val="clear" w:color="auto" w:fill="auto"/>
            <w:vAlign w:val="bottom"/>
          </w:tcPr>
          <w:p>
            <w:pPr>
              <w:jc w:val="center"/>
              <w:rPr>
                <w:rFonts w:hint="eastAsia" w:ascii="宋体" w:hAnsi="宋体"/>
                <w:color w:val="000000"/>
                <w:highlight w:val="none"/>
              </w:rPr>
            </w:pPr>
            <w:r>
              <w:rPr>
                <w:rFonts w:hint="eastAsia"/>
                <w:color w:val="000000"/>
                <w:highlight w:val="none"/>
              </w:rPr>
              <w:t>大连第一互感器有限责任公司</w:t>
            </w:r>
          </w:p>
        </w:tc>
        <w:tc>
          <w:tcPr>
            <w:tcW w:w="328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single" w:color="auto" w:sz="4" w:space="0"/>
              <w:left w:val="single" w:color="auto" w:sz="4" w:space="0"/>
              <w:bottom w:val="single" w:color="000000" w:sz="4" w:space="0"/>
              <w:right w:val="single" w:color="auto" w:sz="8" w:space="0"/>
            </w:tcBorders>
            <w:shd w:val="clear" w:color="auto" w:fill="auto"/>
            <w:vAlign w:val="center"/>
          </w:tcPr>
          <w:p>
            <w:pPr>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大连二互</w:t>
            </w:r>
          </w:p>
        </w:tc>
        <w:tc>
          <w:tcPr>
            <w:tcW w:w="2305" w:type="dxa"/>
            <w:tcBorders>
              <w:top w:val="nil"/>
              <w:left w:val="nil"/>
              <w:bottom w:val="single" w:color="auto" w:sz="4" w:space="0"/>
              <w:right w:val="single" w:color="auto" w:sz="4" w:space="0"/>
            </w:tcBorders>
            <w:shd w:val="clear" w:color="auto" w:fill="auto"/>
            <w:vAlign w:val="bottom"/>
          </w:tcPr>
          <w:p>
            <w:pPr>
              <w:jc w:val="center"/>
              <w:rPr>
                <w:rFonts w:hint="eastAsia" w:ascii="宋体" w:hAnsi="宋体"/>
                <w:color w:val="000000"/>
                <w:highlight w:val="none"/>
              </w:rPr>
            </w:pPr>
            <w:r>
              <w:rPr>
                <w:rFonts w:hint="eastAsia"/>
                <w:color w:val="000000"/>
                <w:highlight w:val="none"/>
              </w:rPr>
              <w:t>大连第二互感器有限责任公司</w:t>
            </w:r>
          </w:p>
        </w:tc>
        <w:tc>
          <w:tcPr>
            <w:tcW w:w="3287"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大连北方</w:t>
            </w:r>
          </w:p>
        </w:tc>
        <w:tc>
          <w:tcPr>
            <w:tcW w:w="2305" w:type="dxa"/>
            <w:tcBorders>
              <w:top w:val="nil"/>
              <w:left w:val="nil"/>
              <w:bottom w:val="single" w:color="auto" w:sz="4" w:space="0"/>
              <w:right w:val="single" w:color="auto" w:sz="4" w:space="0"/>
            </w:tcBorders>
            <w:shd w:val="clear" w:color="auto" w:fill="auto"/>
            <w:vAlign w:val="bottom"/>
          </w:tcPr>
          <w:p>
            <w:pPr>
              <w:jc w:val="center"/>
              <w:rPr>
                <w:rFonts w:hint="eastAsia" w:ascii="宋体" w:hAnsi="宋体"/>
                <w:color w:val="000000"/>
                <w:highlight w:val="none"/>
              </w:rPr>
            </w:pPr>
            <w:r>
              <w:rPr>
                <w:rFonts w:hint="eastAsia"/>
                <w:color w:val="000000"/>
                <w:highlight w:val="none"/>
              </w:rPr>
              <w:t>大连北方互感器集团</w:t>
            </w:r>
          </w:p>
        </w:tc>
        <w:tc>
          <w:tcPr>
            <w:tcW w:w="3287" w:type="dxa"/>
            <w:vMerge w:val="continue"/>
            <w:tcBorders>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2</w:t>
            </w:r>
            <w:r>
              <w:rPr>
                <w:rFonts w:ascii="等线" w:hAnsi="等线" w:eastAsia="等线" w:cs="宋体"/>
                <w:color w:val="000000"/>
                <w:sz w:val="20"/>
                <w:highlight w:val="none"/>
              </w:rPr>
              <w:t>9</w:t>
            </w:r>
          </w:p>
        </w:tc>
        <w:tc>
          <w:tcPr>
            <w:tcW w:w="127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olor w:val="000000"/>
                <w:kern w:val="0"/>
                <w:sz w:val="22"/>
                <w:highlight w:val="none"/>
              </w:rPr>
            </w:pPr>
            <w:r>
              <w:rPr>
                <w:rFonts w:hint="eastAsia" w:ascii="等线" w:hAnsi="等线" w:eastAsia="等线" w:cs="宋体"/>
                <w:color w:val="000000"/>
                <w:sz w:val="20"/>
                <w:highlight w:val="none"/>
              </w:rPr>
              <w:t>综合继电保护</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许继</w:t>
            </w:r>
          </w:p>
        </w:tc>
        <w:tc>
          <w:tcPr>
            <w:tcW w:w="2305" w:type="dxa"/>
            <w:tcBorders>
              <w:top w:val="single" w:color="auto" w:sz="4" w:space="0"/>
              <w:left w:val="nil"/>
              <w:bottom w:val="single" w:color="auto" w:sz="4" w:space="0"/>
              <w:right w:val="single" w:color="auto" w:sz="4" w:space="0"/>
            </w:tcBorders>
            <w:shd w:val="clear" w:color="auto" w:fill="auto"/>
            <w:vAlign w:val="bottom"/>
          </w:tcPr>
          <w:p>
            <w:pPr>
              <w:jc w:val="center"/>
              <w:rPr>
                <w:rFonts w:hint="eastAsia" w:ascii="宋体" w:hAnsi="宋体"/>
                <w:color w:val="000000"/>
                <w:highlight w:val="none"/>
              </w:rPr>
            </w:pPr>
            <w:r>
              <w:rPr>
                <w:rFonts w:hint="eastAsia"/>
                <w:color w:val="000000"/>
                <w:highlight w:val="none"/>
              </w:rPr>
              <w:t>许继电气股份有限公司</w:t>
            </w:r>
          </w:p>
        </w:tc>
        <w:tc>
          <w:tcPr>
            <w:tcW w:w="328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许继：WTY-871Z系列；南自：PS-640U系列；南瑞：PCS-9700系列；北四方：CSC-2000系列；</w:t>
            </w:r>
          </w:p>
        </w:tc>
        <w:tc>
          <w:tcPr>
            <w:tcW w:w="1290" w:type="dxa"/>
            <w:vMerge w:val="restart"/>
            <w:tcBorders>
              <w:top w:val="single" w:color="auto" w:sz="4" w:space="0"/>
              <w:left w:val="single" w:color="auto" w:sz="4" w:space="0"/>
              <w:bottom w:val="single" w:color="000000" w:sz="4" w:space="0"/>
              <w:right w:val="single" w:color="auto" w:sz="8" w:space="0"/>
            </w:tcBorders>
            <w:shd w:val="clear" w:color="auto" w:fill="auto"/>
            <w:vAlign w:val="center"/>
          </w:tcPr>
          <w:p>
            <w:pPr>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南自</w:t>
            </w:r>
          </w:p>
        </w:tc>
        <w:tc>
          <w:tcPr>
            <w:tcW w:w="2305" w:type="dxa"/>
            <w:tcBorders>
              <w:top w:val="nil"/>
              <w:left w:val="nil"/>
              <w:bottom w:val="single" w:color="auto" w:sz="4" w:space="0"/>
              <w:right w:val="single" w:color="auto" w:sz="4" w:space="0"/>
            </w:tcBorders>
            <w:shd w:val="clear" w:color="auto" w:fill="auto"/>
            <w:vAlign w:val="bottom"/>
          </w:tcPr>
          <w:p>
            <w:pPr>
              <w:jc w:val="center"/>
              <w:rPr>
                <w:rFonts w:hint="eastAsia" w:ascii="宋体" w:hAnsi="宋体"/>
                <w:color w:val="000000"/>
                <w:highlight w:val="none"/>
              </w:rPr>
            </w:pPr>
            <w:r>
              <w:rPr>
                <w:rFonts w:hint="eastAsia"/>
                <w:color w:val="000000"/>
                <w:highlight w:val="none"/>
              </w:rPr>
              <w:t>国电南京自动化股份有限公司</w:t>
            </w:r>
          </w:p>
        </w:tc>
        <w:tc>
          <w:tcPr>
            <w:tcW w:w="3287"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南瑞</w:t>
            </w:r>
          </w:p>
        </w:tc>
        <w:tc>
          <w:tcPr>
            <w:tcW w:w="2305" w:type="dxa"/>
            <w:tcBorders>
              <w:top w:val="nil"/>
              <w:left w:val="nil"/>
              <w:bottom w:val="single" w:color="auto" w:sz="4" w:space="0"/>
              <w:right w:val="single" w:color="auto" w:sz="4" w:space="0"/>
            </w:tcBorders>
            <w:shd w:val="clear" w:color="auto" w:fill="auto"/>
            <w:vAlign w:val="bottom"/>
          </w:tcPr>
          <w:p>
            <w:pPr>
              <w:jc w:val="center"/>
              <w:rPr>
                <w:rFonts w:hint="eastAsia" w:ascii="宋体" w:hAnsi="宋体"/>
                <w:color w:val="000000"/>
                <w:highlight w:val="none"/>
              </w:rPr>
            </w:pPr>
            <w:r>
              <w:rPr>
                <w:rFonts w:hint="eastAsia"/>
                <w:color w:val="000000"/>
                <w:highlight w:val="none"/>
              </w:rPr>
              <w:t>国电南京南瑞继保电气有限公司</w:t>
            </w:r>
          </w:p>
        </w:tc>
        <w:tc>
          <w:tcPr>
            <w:tcW w:w="3287" w:type="dxa"/>
            <w:vMerge w:val="continue"/>
            <w:tcBorders>
              <w:left w:val="single" w:color="auto"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北四方</w:t>
            </w:r>
          </w:p>
        </w:tc>
        <w:tc>
          <w:tcPr>
            <w:tcW w:w="2305" w:type="dxa"/>
            <w:tcBorders>
              <w:top w:val="nil"/>
              <w:left w:val="nil"/>
              <w:bottom w:val="nil"/>
              <w:right w:val="nil"/>
            </w:tcBorders>
            <w:shd w:val="clear" w:color="auto" w:fill="auto"/>
            <w:vAlign w:val="bottom"/>
          </w:tcPr>
          <w:p>
            <w:pPr>
              <w:jc w:val="center"/>
              <w:rPr>
                <w:rFonts w:hint="eastAsia" w:ascii="宋体" w:hAnsi="宋体"/>
                <w:color w:val="000000"/>
                <w:highlight w:val="none"/>
              </w:rPr>
            </w:pPr>
            <w:r>
              <w:rPr>
                <w:rFonts w:hint="eastAsia"/>
                <w:color w:val="000000"/>
                <w:highlight w:val="none"/>
              </w:rPr>
              <w:t>北京四方继保自动化股份有限公司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center"/>
              <w:rPr>
                <w:rFonts w:hint="eastAsia"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center"/>
              <w:rPr>
                <w:rFonts w:hint="eastAsia"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right w:val="single" w:color="auto" w:sz="4" w:space="0"/>
            </w:tcBorders>
            <w:vAlign w:val="center"/>
          </w:tcPr>
          <w:p>
            <w:pPr>
              <w:widowControl/>
              <w:jc w:val="center"/>
              <w:rPr>
                <w:rFonts w:ascii="等线" w:hAnsi="等线" w:eastAsia="等线" w:cs="宋体"/>
                <w:color w:val="000000"/>
                <w:sz w:val="20"/>
                <w:highlight w:val="none"/>
              </w:rPr>
            </w:pPr>
            <w:r>
              <w:rPr>
                <w:rFonts w:ascii="等线" w:hAnsi="等线" w:eastAsia="等线" w:cs="宋体"/>
                <w:color w:val="000000"/>
                <w:sz w:val="20"/>
                <w:highlight w:val="none"/>
              </w:rPr>
              <w:t>30</w:t>
            </w:r>
          </w:p>
        </w:tc>
        <w:tc>
          <w:tcPr>
            <w:tcW w:w="1273" w:type="dxa"/>
            <w:vMerge w:val="restart"/>
            <w:tcBorders>
              <w:top w:val="nil"/>
              <w:left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智能操显装置、除湿装置</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珠海一多</w:t>
            </w:r>
          </w:p>
        </w:tc>
        <w:tc>
          <w:tcPr>
            <w:tcW w:w="2305"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color w:val="000000"/>
                <w:sz w:val="20"/>
                <w:highlight w:val="none"/>
              </w:rPr>
            </w:pPr>
            <w:r>
              <w:rPr>
                <w:rFonts w:hint="eastAsia" w:ascii="宋体" w:hAnsi="宋体" w:cs="宋体"/>
                <w:color w:val="000000"/>
                <w:sz w:val="20"/>
                <w:highlight w:val="none"/>
              </w:rPr>
              <w:t>珠海一多电气自动化有限公司</w:t>
            </w:r>
          </w:p>
        </w:tc>
        <w:tc>
          <w:tcPr>
            <w:tcW w:w="3287" w:type="dxa"/>
            <w:vMerge w:val="restart"/>
            <w:tcBorders>
              <w:top w:val="nil"/>
              <w:left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珠海一多：Yado-EDO系列；无锡汇尔：WHR-X006；珠海黑石：BSCX-60。开关状态显示、高压带电显示、温湿度控制、带通讯功能、人体接近语音提示功能。</w:t>
            </w:r>
          </w:p>
        </w:tc>
        <w:tc>
          <w:tcPr>
            <w:tcW w:w="1290" w:type="dxa"/>
            <w:vMerge w:val="restart"/>
            <w:tcBorders>
              <w:top w:val="nil"/>
              <w:left w:val="single" w:color="auto"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无锡汇尔</w:t>
            </w:r>
          </w:p>
        </w:tc>
        <w:tc>
          <w:tcPr>
            <w:tcW w:w="2305" w:type="dxa"/>
            <w:tcBorders>
              <w:top w:val="nil"/>
              <w:left w:val="nil"/>
              <w:bottom w:val="single" w:color="auto" w:sz="4" w:space="0"/>
              <w:right w:val="single" w:color="auto" w:sz="4" w:space="0"/>
            </w:tcBorders>
            <w:vAlign w:val="bottom"/>
          </w:tcPr>
          <w:p>
            <w:pPr>
              <w:widowControl/>
              <w:jc w:val="center"/>
              <w:rPr>
                <w:rFonts w:ascii="宋体" w:hAnsi="宋体" w:cs="宋体"/>
                <w:color w:val="000000"/>
                <w:sz w:val="20"/>
                <w:highlight w:val="none"/>
              </w:rPr>
            </w:pPr>
            <w:r>
              <w:rPr>
                <w:rFonts w:hint="eastAsia" w:ascii="宋体" w:hAnsi="宋体" w:cs="宋体"/>
                <w:color w:val="000000"/>
                <w:sz w:val="20"/>
                <w:highlight w:val="none"/>
              </w:rPr>
              <w:t>无锡汇尔科技有限公司</w:t>
            </w:r>
          </w:p>
        </w:tc>
        <w:tc>
          <w:tcPr>
            <w:tcW w:w="3287"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珠海黑石</w:t>
            </w:r>
          </w:p>
        </w:tc>
        <w:tc>
          <w:tcPr>
            <w:tcW w:w="2305" w:type="dxa"/>
            <w:tcBorders>
              <w:top w:val="nil"/>
              <w:left w:val="nil"/>
              <w:bottom w:val="single" w:color="auto" w:sz="4" w:space="0"/>
              <w:right w:val="single" w:color="auto" w:sz="4" w:space="0"/>
            </w:tcBorders>
            <w:vAlign w:val="bottom"/>
          </w:tcPr>
          <w:p>
            <w:pPr>
              <w:widowControl/>
              <w:jc w:val="center"/>
              <w:rPr>
                <w:rFonts w:ascii="宋体" w:hAnsi="宋体" w:cs="宋体"/>
                <w:color w:val="000000"/>
                <w:sz w:val="20"/>
                <w:highlight w:val="none"/>
              </w:rPr>
            </w:pPr>
            <w:r>
              <w:rPr>
                <w:rFonts w:hint="eastAsia" w:ascii="宋体" w:hAnsi="宋体" w:cs="宋体"/>
                <w:color w:val="000000"/>
                <w:sz w:val="20"/>
                <w:highlight w:val="none"/>
              </w:rPr>
              <w:t>珠海黑石电气自动化科技有限公司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r>
              <w:rPr>
                <w:rFonts w:hint="eastAsia" w:ascii="等线" w:hAnsi="等线" w:eastAsia="等线" w:cs="宋体"/>
                <w:color w:val="000000"/>
                <w:sz w:val="20"/>
                <w:highlight w:val="none"/>
              </w:rPr>
              <w:t>3</w:t>
            </w:r>
            <w:r>
              <w:rPr>
                <w:rFonts w:ascii="等线" w:hAnsi="等线" w:eastAsia="等线" w:cs="宋体"/>
                <w:color w:val="000000"/>
                <w:sz w:val="20"/>
                <w:highlight w:val="none"/>
              </w:rPr>
              <w:t>1</w:t>
            </w:r>
          </w:p>
        </w:tc>
        <w:tc>
          <w:tcPr>
            <w:tcW w:w="1273" w:type="dxa"/>
            <w:vMerge w:val="restart"/>
            <w:tcBorders>
              <w:top w:val="nil"/>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r>
              <w:rPr>
                <w:rFonts w:hint="eastAsia" w:ascii="等线" w:hAnsi="等线" w:eastAsia="等线" w:cs="宋体"/>
                <w:color w:val="000000"/>
                <w:sz w:val="20"/>
                <w:highlight w:val="none"/>
              </w:rPr>
              <w:t>抑制柜/消弧柜、小电流选线、过电压保护器、绝缘监测装置</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蓝科</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安徽蓝科电力科技有限公司</w:t>
            </w:r>
          </w:p>
        </w:tc>
        <w:tc>
          <w:tcPr>
            <w:tcW w:w="328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满足设计图纸及相关规范要求</w:t>
            </w:r>
          </w:p>
        </w:tc>
        <w:tc>
          <w:tcPr>
            <w:tcW w:w="1290" w:type="dxa"/>
            <w:vMerge w:val="restart"/>
            <w:tcBorders>
              <w:top w:val="single" w:color="auto" w:sz="4" w:space="0"/>
              <w:left w:val="single" w:color="auto" w:sz="4" w:space="0"/>
              <w:bottom w:val="single" w:color="000000" w:sz="4" w:space="0"/>
              <w:right w:val="single" w:color="auto" w:sz="8" w:space="0"/>
            </w:tcBorders>
            <w:shd w:val="clear" w:color="auto" w:fill="auto"/>
            <w:vAlign w:val="center"/>
          </w:tcPr>
          <w:p>
            <w:pPr>
              <w:jc w:val="center"/>
              <w:rPr>
                <w:rFonts w:hint="eastAsia"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徽电科技</w:t>
            </w:r>
          </w:p>
        </w:tc>
        <w:tc>
          <w:tcPr>
            <w:tcW w:w="23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安徽徽电科技股份有限公司</w:t>
            </w:r>
          </w:p>
        </w:tc>
        <w:tc>
          <w:tcPr>
            <w:tcW w:w="3287"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沃华</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安徽沃华电力设备有限公司</w:t>
            </w:r>
          </w:p>
        </w:tc>
        <w:tc>
          <w:tcPr>
            <w:tcW w:w="3287" w:type="dxa"/>
            <w:vMerge w:val="continue"/>
            <w:tcBorders>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志辰电气</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安徽志辰电气有限公司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right w:val="single" w:color="auto" w:sz="4" w:space="0"/>
            </w:tcBorders>
            <w:vAlign w:val="center"/>
          </w:tcPr>
          <w:p>
            <w:pPr>
              <w:widowControl/>
              <w:jc w:val="left"/>
              <w:rPr>
                <w:rFonts w:ascii="等线" w:hAnsi="等线" w:eastAsia="等线" w:cs="宋体"/>
                <w:color w:val="000000"/>
                <w:sz w:val="20"/>
                <w:highlight w:val="none"/>
              </w:rPr>
            </w:pPr>
            <w:r>
              <w:rPr>
                <w:rFonts w:ascii="等线" w:hAnsi="等线" w:eastAsia="等线" w:cs="宋体"/>
                <w:color w:val="000000"/>
                <w:sz w:val="20"/>
                <w:highlight w:val="none"/>
              </w:rPr>
              <w:t>32</w:t>
            </w:r>
          </w:p>
        </w:tc>
        <w:tc>
          <w:tcPr>
            <w:tcW w:w="1273" w:type="dxa"/>
            <w:vMerge w:val="restart"/>
            <w:tcBorders>
              <w:top w:val="nil"/>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r>
              <w:rPr>
                <w:rFonts w:hint="eastAsia" w:ascii="等线" w:hAnsi="等线" w:eastAsia="等线" w:cs="宋体"/>
                <w:color w:val="000000"/>
                <w:sz w:val="20"/>
                <w:highlight w:val="none"/>
              </w:rPr>
              <w:t>高、低压柜配电箱成套厂家</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明阳</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广东明阳电气股份有限公司</w:t>
            </w:r>
          </w:p>
        </w:tc>
        <w:tc>
          <w:tcPr>
            <w:tcW w:w="3287" w:type="dxa"/>
            <w:vMerge w:val="restart"/>
            <w:tcBorders>
              <w:top w:val="nil"/>
              <w:left w:val="single" w:color="auto" w:sz="4" w:space="0"/>
              <w:right w:val="single" w:color="auto" w:sz="4" w:space="0"/>
            </w:tcBorders>
            <w:vAlign w:val="center"/>
          </w:tcPr>
          <w:p>
            <w:pPr>
              <w:widowControl/>
              <w:jc w:val="left"/>
              <w:rPr>
                <w:rFonts w:ascii="等线" w:hAnsi="等线" w:eastAsia="等线" w:cs="宋体"/>
                <w:color w:val="000000"/>
                <w:sz w:val="20"/>
                <w:highlight w:val="none"/>
              </w:rPr>
            </w:pPr>
            <w:r>
              <w:rPr>
                <w:rFonts w:hint="eastAsia" w:ascii="等线" w:hAnsi="等线" w:eastAsia="等线" w:cs="宋体"/>
                <w:color w:val="000000"/>
                <w:sz w:val="20"/>
                <w:highlight w:val="none"/>
              </w:rPr>
              <w:t>开关柜型按KYN28A-12设计，20年免维护，柜体设计应严格满足DL／T404-2007或优于该标准的相关条款要求，柜体外壳及各功能单元的隔板均用厚度≥2mm铝锌复合钢板。过载能力，交流电流回路：2倍额定电压流连续工作，10倍额定电流允许10s，40倍额定电流允许1s，交流电压回路：1.2倍额定电压连续工作，直流电源回路：80%~110%额定电压连续工</w:t>
            </w:r>
          </w:p>
        </w:tc>
        <w:tc>
          <w:tcPr>
            <w:tcW w:w="1290" w:type="dxa"/>
            <w:vMerge w:val="restart"/>
            <w:tcBorders>
              <w:top w:val="nil"/>
              <w:left w:val="single" w:color="auto" w:sz="4" w:space="0"/>
              <w:right w:val="single" w:color="auto" w:sz="8" w:space="0"/>
            </w:tcBorders>
            <w:vAlign w:val="center"/>
          </w:tcPr>
          <w:p>
            <w:pPr>
              <w:widowControl/>
              <w:jc w:val="left"/>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大全</w:t>
            </w:r>
          </w:p>
        </w:tc>
        <w:tc>
          <w:tcPr>
            <w:tcW w:w="23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南京大全电气有限公司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山东泰开</w:t>
            </w:r>
          </w:p>
        </w:tc>
        <w:tc>
          <w:tcPr>
            <w:tcW w:w="23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山东泰开成套电器有限公司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广缆义明</w:t>
            </w:r>
          </w:p>
        </w:tc>
        <w:tc>
          <w:tcPr>
            <w:tcW w:w="2305" w:type="dxa"/>
            <w:tcBorders>
              <w:top w:val="nil"/>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广州广缆义明电气有限公司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olor w:val="000000"/>
                <w:kern w:val="0"/>
                <w:sz w:val="24"/>
                <w:szCs w:val="24"/>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无锡双欢</w:t>
            </w:r>
          </w:p>
        </w:tc>
        <w:tc>
          <w:tcPr>
            <w:tcW w:w="23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无锡双欢电气有限公司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olor w:val="000000"/>
                <w:highlight w:val="none"/>
              </w:rPr>
              <w:t>亿能电气</w:t>
            </w:r>
          </w:p>
        </w:tc>
        <w:tc>
          <w:tcPr>
            <w:tcW w:w="2305" w:type="dxa"/>
            <w:tcBorders>
              <w:top w:val="nil"/>
              <w:left w:val="nil"/>
              <w:bottom w:val="single" w:color="auto" w:sz="4" w:space="0"/>
              <w:right w:val="single" w:color="auto" w:sz="4" w:space="0"/>
            </w:tcBorders>
            <w:shd w:val="clear" w:color="auto" w:fill="auto"/>
            <w:vAlign w:val="center"/>
          </w:tcPr>
          <w:p>
            <w:pPr>
              <w:jc w:val="center"/>
              <w:rPr>
                <w:rFonts w:hint="eastAsia" w:ascii="华文仿宋" w:hAnsi="华文仿宋" w:eastAsia="华文仿宋"/>
                <w:color w:val="000000"/>
                <w:highlight w:val="none"/>
              </w:rPr>
            </w:pPr>
            <w:r>
              <w:rPr>
                <w:rFonts w:hint="eastAsia" w:ascii="华文仿宋" w:hAnsi="华文仿宋" w:eastAsia="华文仿宋"/>
                <w:color w:val="000000"/>
                <w:highlight w:val="none"/>
              </w:rPr>
              <w:t>江苏亿能电气有限公司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白云电器</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广州白云电器设备股份有限公司</w:t>
            </w:r>
          </w:p>
        </w:tc>
        <w:tc>
          <w:tcPr>
            <w:tcW w:w="3287" w:type="dxa"/>
            <w:vMerge w:val="continue"/>
            <w:tcBorders>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424" w:hRule="atLeast"/>
        </w:trPr>
        <w:tc>
          <w:tcPr>
            <w:tcW w:w="427" w:type="dxa"/>
            <w:vMerge w:val="restart"/>
            <w:tcBorders>
              <w:top w:val="nil"/>
              <w:left w:val="single" w:color="auto" w:sz="8"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ascii="等线" w:hAnsi="等线" w:eastAsia="等线" w:cs="宋体"/>
                <w:color w:val="000000"/>
                <w:sz w:val="20"/>
                <w:highlight w:val="none"/>
              </w:rPr>
              <w:t>33</w:t>
            </w:r>
          </w:p>
        </w:tc>
        <w:tc>
          <w:tcPr>
            <w:tcW w:w="1273" w:type="dxa"/>
            <w:vMerge w:val="restart"/>
            <w:tcBorders>
              <w:top w:val="nil"/>
              <w:left w:val="single" w:color="auto" w:sz="4"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密集母线</w:t>
            </w:r>
          </w:p>
        </w:tc>
        <w:tc>
          <w:tcPr>
            <w:tcW w:w="1288" w:type="dxa"/>
            <w:tcBorders>
              <w:top w:val="nil"/>
              <w:left w:val="nil"/>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向荣</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向荣集团有限公司</w:t>
            </w:r>
          </w:p>
        </w:tc>
        <w:tc>
          <w:tcPr>
            <w:tcW w:w="3287" w:type="dxa"/>
            <w:vMerge w:val="restart"/>
            <w:tcBorders>
              <w:top w:val="nil"/>
              <w:left w:val="single" w:color="auto" w:sz="4"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 xml:space="preserve"> 母线槽A、B、C、N四相导体采用T2电解铜轧制的高导电率TMY 电工硬铜排，硬度HB≥65，N线、PE线的材料及制造工艺与相线相同，铜的纯度须达到99.95%以上，导电率达到97.5%以上(需提供相关检测报告)  ，铜排搭接处表面要求镀银处理 。 </w:t>
            </w:r>
          </w:p>
        </w:tc>
        <w:tc>
          <w:tcPr>
            <w:tcW w:w="1290" w:type="dxa"/>
            <w:vMerge w:val="restart"/>
            <w:tcBorders>
              <w:top w:val="nil"/>
              <w:left w:val="single" w:color="auto" w:sz="4" w:space="0"/>
              <w:bottom w:val="nil"/>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双菱</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广州电缆厂有限公司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威腾</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威腾电气集团有限公司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伊顿</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伊顿母线（江苏）有限公司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槽公</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广东思科通用电力科技有限公司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nil"/>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single" w:color="auto" w:sz="4" w:space="0"/>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3</w:t>
            </w:r>
            <w:r>
              <w:rPr>
                <w:rFonts w:ascii="等线" w:hAnsi="等线" w:eastAsia="等线" w:cs="宋体"/>
                <w:color w:val="000000"/>
                <w:sz w:val="20"/>
                <w:highlight w:val="none"/>
              </w:rPr>
              <w:t>4</w:t>
            </w:r>
          </w:p>
        </w:tc>
        <w:tc>
          <w:tcPr>
            <w:tcW w:w="1273"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变压器</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西门子</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西门子变压器有限公司</w:t>
            </w:r>
          </w:p>
        </w:tc>
        <w:tc>
          <w:tcPr>
            <w:tcW w:w="3287"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绝缘水平：工频耐压 50KV(高压)/3kV（低压），冲击耐压125kV 。接线组别：D，Yn-11。防护等级:IP40 。绝缘等级：F级。  正常使用寿命:达到30年及以上 。过载能力：具备过载≤120%长期运行 。最高温升：100k。 冷却方式：ANAF 。变压器材质：全铜、铜的纯度须达到99.95%以上</w:t>
            </w:r>
          </w:p>
        </w:tc>
        <w:tc>
          <w:tcPr>
            <w:tcW w:w="1290" w:type="dxa"/>
            <w:vMerge w:val="restart"/>
            <w:tcBorders>
              <w:top w:val="single" w:color="auto" w:sz="4" w:space="0"/>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天津特变</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天津市特变电工变压器有限公司</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顺特</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顺特电气设备有限公司</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江苏亚威</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江苏亚威变压器有限公司</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single" w:color="auto" w:sz="4" w:space="0"/>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江苏瑞恩</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江苏瑞恩电气股份有限公司</w:t>
            </w:r>
          </w:p>
        </w:tc>
        <w:tc>
          <w:tcPr>
            <w:tcW w:w="328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single" w:color="auto" w:sz="4" w:space="0"/>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restart"/>
            <w:tcBorders>
              <w:top w:val="nil"/>
              <w:left w:val="single" w:color="auto" w:sz="8" w:space="0"/>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3</w:t>
            </w:r>
            <w:r>
              <w:rPr>
                <w:rFonts w:ascii="等线" w:hAnsi="等线" w:eastAsia="等线" w:cs="宋体"/>
                <w:color w:val="000000"/>
                <w:sz w:val="20"/>
                <w:highlight w:val="none"/>
              </w:rPr>
              <w:t>5</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冷却水塔</w:t>
            </w: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金日</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highlight w:val="none"/>
              </w:rPr>
              <w:fldChar w:fldCharType="begin"/>
            </w:r>
            <w:r>
              <w:rPr>
                <w:highlight w:val="none"/>
              </w:rPr>
              <w:instrText xml:space="preserve"> HYPERLINK "https://www.tianyancha.com/company/1051669699" </w:instrText>
            </w:r>
            <w:r>
              <w:rPr>
                <w:highlight w:val="none"/>
              </w:rPr>
              <w:fldChar w:fldCharType="separate"/>
            </w:r>
            <w:r>
              <w:rPr>
                <w:rFonts w:hint="eastAsia" w:ascii="华文仿宋" w:hAnsi="华文仿宋" w:eastAsia="华文仿宋" w:cs="宋体"/>
                <w:color w:val="000000"/>
                <w:sz w:val="20"/>
                <w:highlight w:val="none"/>
              </w:rPr>
              <w:t>上海金日冷却设备有限公司</w:t>
            </w:r>
            <w:r>
              <w:rPr>
                <w:rFonts w:hint="eastAsia" w:ascii="华文仿宋" w:hAnsi="华文仿宋" w:eastAsia="华文仿宋" w:cs="宋体"/>
                <w:color w:val="000000"/>
                <w:sz w:val="20"/>
                <w:highlight w:val="none"/>
              </w:rPr>
              <w:fldChar w:fldCharType="end"/>
            </w:r>
          </w:p>
        </w:tc>
        <w:tc>
          <w:tcPr>
            <w:tcW w:w="328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1、蒸发损失≤0.83%。2、飘水损失≤0.0015%。3、标准测点Dm处噪音≤63dB（A）。4、播水方式冷却塔喷头布水。5、风机传动类型：齿轮传动。6、其余项目满足设计图纸及相关规范要求</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台佳</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台佳空调系统（江苏）有限公司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良机</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highlight w:val="none"/>
              </w:rPr>
              <w:fldChar w:fldCharType="begin"/>
            </w:r>
            <w:r>
              <w:rPr>
                <w:highlight w:val="none"/>
              </w:rPr>
              <w:instrText xml:space="preserve"> HYPERLINK "https://www.tianyancha.com/company/686520842" </w:instrText>
            </w:r>
            <w:r>
              <w:rPr>
                <w:highlight w:val="none"/>
              </w:rPr>
              <w:fldChar w:fldCharType="separate"/>
            </w:r>
            <w:r>
              <w:rPr>
                <w:rFonts w:hint="eastAsia" w:ascii="华文仿宋" w:hAnsi="华文仿宋" w:eastAsia="华文仿宋" w:cs="宋体"/>
                <w:color w:val="000000"/>
                <w:sz w:val="20"/>
                <w:highlight w:val="none"/>
              </w:rPr>
              <w:t>上海良机冷却设备有限公司</w:t>
            </w:r>
            <w:r>
              <w:rPr>
                <w:rFonts w:hint="eastAsia" w:ascii="华文仿宋" w:hAnsi="华文仿宋" w:eastAsia="华文仿宋" w:cs="宋体"/>
                <w:color w:val="000000"/>
                <w:sz w:val="20"/>
                <w:highlight w:val="none"/>
              </w:rPr>
              <w:fldChar w:fldCharType="end"/>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海冷</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浙江海冷冷却科技有限公司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sz w:val="20"/>
                <w:highlight w:val="none"/>
              </w:rPr>
              <w:t>参照或相当于</w:t>
            </w:r>
            <w:r>
              <w:rPr>
                <w:rFonts w:hint="eastAsia" w:ascii="华文仿宋" w:hAnsi="华文仿宋" w:eastAsia="华文仿宋" w:cs="宋体"/>
                <w:color w:val="000000"/>
                <w:sz w:val="20"/>
                <w:highlight w:val="none"/>
              </w:rPr>
              <w:t>宏明</w:t>
            </w:r>
          </w:p>
        </w:tc>
        <w:tc>
          <w:tcPr>
            <w:tcW w:w="2305" w:type="dxa"/>
            <w:tcBorders>
              <w:top w:val="nil"/>
              <w:left w:val="nil"/>
              <w:bottom w:val="single" w:color="auto" w:sz="4" w:space="0"/>
              <w:right w:val="single" w:color="auto" w:sz="4" w:space="0"/>
            </w:tcBorders>
            <w:vAlign w:val="center"/>
          </w:tcPr>
          <w:p>
            <w:pPr>
              <w:widowControl/>
              <w:jc w:val="center"/>
              <w:rPr>
                <w:rFonts w:ascii="华文仿宋" w:hAnsi="华文仿宋" w:eastAsia="华文仿宋" w:cs="宋体"/>
                <w:color w:val="000000"/>
                <w:sz w:val="20"/>
                <w:highlight w:val="none"/>
              </w:rPr>
            </w:pPr>
            <w:r>
              <w:rPr>
                <w:rFonts w:hint="eastAsia" w:ascii="华文仿宋" w:hAnsi="华文仿宋" w:eastAsia="华文仿宋" w:cs="宋体"/>
                <w:color w:val="000000"/>
                <w:sz w:val="20"/>
                <w:highlight w:val="none"/>
              </w:rPr>
              <w:t>山西宏明空调科技有限公司</w:t>
            </w:r>
          </w:p>
        </w:tc>
        <w:tc>
          <w:tcPr>
            <w:tcW w:w="328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9870" w:type="dxa"/>
            <w:gridSpan w:val="6"/>
            <w:tcBorders>
              <w:top w:val="single" w:color="auto" w:sz="4" w:space="0"/>
              <w:left w:val="single" w:color="auto" w:sz="8" w:space="0"/>
              <w:bottom w:val="single" w:color="auto" w:sz="4" w:space="0"/>
              <w:right w:val="single" w:color="000000" w:sz="8" w:space="0"/>
            </w:tcBorders>
            <w:vAlign w:val="bottom"/>
          </w:tcPr>
          <w:p>
            <w:pPr>
              <w:widowControl/>
              <w:jc w:val="left"/>
              <w:rPr>
                <w:rFonts w:ascii="等线" w:hAnsi="等线" w:eastAsia="等线" w:cs="宋体"/>
                <w:b/>
                <w:bCs/>
                <w:color w:val="000000"/>
                <w:sz w:val="20"/>
                <w:highlight w:val="none"/>
              </w:rPr>
            </w:pPr>
            <w:r>
              <w:rPr>
                <w:rFonts w:hint="eastAsia" w:ascii="等线" w:hAnsi="等线" w:eastAsia="等线" w:cs="宋体"/>
                <w:b/>
                <w:bCs/>
                <w:color w:val="000000"/>
                <w:sz w:val="20"/>
                <w:highlight w:val="none"/>
              </w:rPr>
              <w:t>动力设备部分</w:t>
            </w:r>
          </w:p>
        </w:tc>
      </w:tr>
      <w:tr>
        <w:tblPrEx>
          <w:tblCellMar>
            <w:top w:w="0" w:type="dxa"/>
            <w:left w:w="108" w:type="dxa"/>
            <w:bottom w:w="0" w:type="dxa"/>
            <w:right w:w="108" w:type="dxa"/>
          </w:tblCellMar>
        </w:tblPrEx>
        <w:trPr>
          <w:trHeight w:val="40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冷水机</w:t>
            </w: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参照或相当于日立</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江森自控日立万宝空调（广州）有限公司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1、变频离心机IPLV（GB/T18430.1）≥8.1，定频离心机国标工况COP≥6.3，满足国家标准一级能效及以上。2、启动方式：软启动。</w:t>
            </w:r>
          </w:p>
        </w:tc>
        <w:tc>
          <w:tcPr>
            <w:tcW w:w="1290" w:type="dxa"/>
            <w:vMerge w:val="restart"/>
            <w:tcBorders>
              <w:top w:val="nil"/>
              <w:left w:val="single" w:color="auto" w:sz="4" w:space="0"/>
              <w:bottom w:val="single" w:color="auto" w:sz="4" w:space="0"/>
              <w:right w:val="single" w:color="auto" w:sz="8" w:space="0"/>
            </w:tcBorders>
            <w:vAlign w:val="bottom"/>
          </w:tcPr>
          <w:p>
            <w:pPr>
              <w:widowControl/>
              <w:jc w:val="center"/>
              <w:rPr>
                <w:rFonts w:ascii="等线" w:hAnsi="等线" w:eastAsia="等线" w:cs="宋体"/>
                <w:b/>
                <w:bCs/>
                <w:color w:val="000000"/>
                <w:sz w:val="20"/>
                <w:highlight w:val="none"/>
              </w:rPr>
            </w:pPr>
            <w:r>
              <w:rPr>
                <w:rFonts w:hint="eastAsia" w:ascii="等线" w:hAnsi="等线" w:eastAsia="等线" w:cs="宋体"/>
                <w:b/>
                <w:bCs/>
                <w:color w:val="000000"/>
                <w:sz w:val="20"/>
                <w:highlight w:val="none"/>
              </w:rPr>
              <w:t>　</w:t>
            </w: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bottom"/>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参照或相当于约克</w:t>
            </w:r>
          </w:p>
        </w:tc>
        <w:tc>
          <w:tcPr>
            <w:tcW w:w="2305" w:type="dxa"/>
            <w:tcBorders>
              <w:top w:val="nil"/>
              <w:left w:val="nil"/>
              <w:bottom w:val="single" w:color="auto" w:sz="4" w:space="0"/>
              <w:right w:val="single" w:color="auto" w:sz="4" w:space="0"/>
            </w:tcBorders>
            <w:vAlign w:val="bottom"/>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约克（中国）商贸有限公司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b/>
                <w:bCs/>
                <w:color w:val="000000"/>
                <w:sz w:val="20"/>
                <w:highlight w:val="none"/>
              </w:rPr>
            </w:pP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bottom"/>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参照或相当于特灵</w:t>
            </w:r>
          </w:p>
        </w:tc>
        <w:tc>
          <w:tcPr>
            <w:tcW w:w="2305" w:type="dxa"/>
            <w:tcBorders>
              <w:top w:val="nil"/>
              <w:left w:val="nil"/>
              <w:bottom w:val="single" w:color="auto" w:sz="4" w:space="0"/>
              <w:right w:val="single" w:color="auto" w:sz="4" w:space="0"/>
            </w:tcBorders>
            <w:vAlign w:val="bottom"/>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特灵空调系统（中国）有限公司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b/>
                <w:bCs/>
                <w:color w:val="000000"/>
                <w:sz w:val="20"/>
                <w:highlight w:val="none"/>
              </w:rPr>
            </w:pPr>
          </w:p>
        </w:tc>
      </w:tr>
      <w:tr>
        <w:tblPrEx>
          <w:tblCellMar>
            <w:top w:w="0" w:type="dxa"/>
            <w:left w:w="108" w:type="dxa"/>
            <w:bottom w:w="0" w:type="dxa"/>
            <w:right w:w="108" w:type="dxa"/>
          </w:tblCellMar>
        </w:tblPrEx>
        <w:trPr>
          <w:trHeight w:val="68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2</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螺杆空压机</w:t>
            </w: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参照或相当于阿特拉斯</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阿特拉斯·科普柯上海贸易有限公司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1、电机品牌：ABB/西门子/空压机同品牌。2、变频器：ABB/西门子/施耐德。3、满足国家标准一级能效及以上。4、冷却方式：水冷。</w:t>
            </w:r>
          </w:p>
        </w:tc>
        <w:tc>
          <w:tcPr>
            <w:tcW w:w="1290" w:type="dxa"/>
            <w:vMerge w:val="restart"/>
            <w:tcBorders>
              <w:top w:val="nil"/>
              <w:left w:val="single" w:color="auto" w:sz="4" w:space="0"/>
              <w:bottom w:val="single" w:color="auto" w:sz="4" w:space="0"/>
              <w:right w:val="single" w:color="auto" w:sz="8" w:space="0"/>
            </w:tcBorders>
            <w:vAlign w:val="bottom"/>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　</w:t>
            </w: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参照或相当于英格索兰</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上海英格索兰压缩机有限公司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参照或相当于寿力</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日立压缩机（苏州）有限公司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64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3</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螺杆空压机</w:t>
            </w: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参照或相当于阿特拉斯</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阿特拉斯·科普柯上海贸易有限公司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1、电机品牌：ABB/西门子/空压机同品牌。2、高压启动柜高压真空断路器品牌：ABB/西门子/施耐德；3、满足国家标准一级能效及以上。4、冷却方式：水冷。</w:t>
            </w:r>
          </w:p>
        </w:tc>
        <w:tc>
          <w:tcPr>
            <w:tcW w:w="1290" w:type="dxa"/>
            <w:vMerge w:val="restart"/>
            <w:tcBorders>
              <w:top w:val="nil"/>
              <w:left w:val="single" w:color="auto" w:sz="4" w:space="0"/>
              <w:bottom w:val="single" w:color="auto" w:sz="4" w:space="0"/>
              <w:right w:val="single" w:color="auto" w:sz="8" w:space="0"/>
            </w:tcBorders>
            <w:vAlign w:val="bottom"/>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　</w:t>
            </w: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参照或相当于英格索兰</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上海英格索兰压缩机有限公司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77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参照或相当于寿力</w:t>
            </w:r>
          </w:p>
        </w:tc>
        <w:tc>
          <w:tcPr>
            <w:tcW w:w="2305" w:type="dxa"/>
            <w:tcBorders>
              <w:top w:val="nil"/>
              <w:left w:val="nil"/>
              <w:bottom w:val="single" w:color="auto" w:sz="4" w:space="0"/>
              <w:right w:val="single" w:color="auto" w:sz="4" w:space="0"/>
            </w:tcBorders>
            <w:vAlign w:val="center"/>
          </w:tcPr>
          <w:p>
            <w:pPr>
              <w:widowControl/>
              <w:jc w:val="center"/>
              <w:rPr>
                <w:rFonts w:hint="eastAsia" w:ascii="华文仿宋" w:hAnsi="华文仿宋" w:eastAsia="华文仿宋" w:cs="宋体"/>
                <w:sz w:val="20"/>
                <w:highlight w:val="none"/>
              </w:rPr>
            </w:pPr>
            <w:r>
              <w:rPr>
                <w:rFonts w:hint="eastAsia" w:ascii="华文仿宋" w:hAnsi="华文仿宋" w:eastAsia="华文仿宋" w:cs="宋体"/>
                <w:sz w:val="20"/>
                <w:highlight w:val="none"/>
              </w:rPr>
              <w:t>IHI寿力压缩技术（苏州）有限公司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4</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宋体" w:hAnsi="宋体" w:cs="宋体"/>
                <w:color w:val="000000"/>
                <w:sz w:val="20"/>
                <w:highlight w:val="none"/>
              </w:rPr>
              <w:t>压缩热再生干燥机</w:t>
            </w: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汉克森</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SPX空气处理设备（上海）有限公司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成品常压露点≤-60℃。2、自耗气量为≤3%。3、流量：适配离心机。4、压缩热再生干燥机匹配离心机空压机。5、吸咐剂：品牌/巴斯夫/环球UOP/美国铝业，粒径φ3—φ5mm，干燥剂寿命为5年及以上。6、自带在线露点检测装置，露点探头品牌瑞典VAISALA。</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宋体" w:hAnsi="宋体"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多米尼克</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英国多米尼克</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宋体" w:hAnsi="宋体"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贝克欧</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德国贝克欧</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宋体" w:hAnsi="宋体" w:cs="宋体"/>
                <w:color w:val="000000"/>
                <w:sz w:val="20"/>
                <w:highlight w:val="none"/>
              </w:rPr>
            </w:pPr>
          </w:p>
        </w:tc>
      </w:tr>
      <w:tr>
        <w:tblPrEx>
          <w:tblCellMar>
            <w:top w:w="0" w:type="dxa"/>
            <w:left w:w="108" w:type="dxa"/>
            <w:bottom w:w="0" w:type="dxa"/>
            <w:right w:w="108" w:type="dxa"/>
          </w:tblCellMar>
        </w:tblPrEx>
        <w:trPr>
          <w:trHeight w:val="60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5</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鼓风热再生吸附式干燥机</w:t>
            </w: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汉克森</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SPX空气处理设备（上海）有限公司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成品常压露点≤-60℃。2、自耗气量为≤3%。3、流量：Q≥匹配对应螺杆空压机产气量1.3倍。4、鼓风热再生吸附式干燥机匹配螺杆空压机。5、吸咐剂：品牌/巴斯夫/环球UOP/美国铝业，粒径φ3—φ5mm，干燥剂寿命为5年及以上。6、自带在线露点检测装置，露点探头品牌瑞典VAISALA。</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宋体" w:hAnsi="宋体"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多米尼克</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英国多米尼克</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宋体" w:hAnsi="宋体" w:cs="宋体"/>
                <w:color w:val="000000"/>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贝克欧</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德国贝克欧</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宋体" w:hAnsi="宋体" w:cs="宋体"/>
                <w:color w:val="000000"/>
                <w:sz w:val="20"/>
                <w:highlight w:val="none"/>
              </w:rPr>
            </w:pPr>
          </w:p>
        </w:tc>
      </w:tr>
      <w:tr>
        <w:tblPrEx>
          <w:tblCellMar>
            <w:top w:w="0" w:type="dxa"/>
            <w:left w:w="108" w:type="dxa"/>
            <w:bottom w:w="0" w:type="dxa"/>
            <w:right w:w="108" w:type="dxa"/>
          </w:tblCellMar>
        </w:tblPrEx>
        <w:trPr>
          <w:trHeight w:val="77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6</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sz w:val="20"/>
                <w:highlight w:val="none"/>
              </w:rPr>
            </w:pPr>
            <w:r>
              <w:rPr>
                <w:rFonts w:hint="eastAsia" w:ascii="宋体" w:hAnsi="宋体" w:cs="宋体"/>
                <w:color w:val="000000"/>
                <w:sz w:val="20"/>
                <w:highlight w:val="none"/>
              </w:rPr>
              <w:t>压缩空气除尘过滤器</w:t>
            </w: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汉克森</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SPX空气处理设备（上海）有限公司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1、材质：SS304。2、处理量：≥匹配对应空压机产气量1.3倍。3、自带压差计、自动排水阀。</w:t>
            </w:r>
          </w:p>
        </w:tc>
        <w:tc>
          <w:tcPr>
            <w:tcW w:w="1290" w:type="dxa"/>
            <w:vMerge w:val="restart"/>
            <w:tcBorders>
              <w:top w:val="nil"/>
              <w:left w:val="single" w:color="auto" w:sz="4" w:space="0"/>
              <w:bottom w:val="single" w:color="auto" w:sz="4" w:space="0"/>
              <w:right w:val="single" w:color="auto" w:sz="8" w:space="0"/>
            </w:tcBorders>
            <w:vAlign w:val="center"/>
          </w:tcPr>
          <w:p>
            <w:pPr>
              <w:widowControl/>
              <w:jc w:val="center"/>
              <w:rPr>
                <w:rFonts w:ascii="宋体" w:hAnsi="宋体" w:cs="宋体"/>
                <w:color w:val="000000"/>
                <w:sz w:val="20"/>
                <w:highlight w:val="none"/>
              </w:rPr>
            </w:pPr>
            <w:r>
              <w:rPr>
                <w:rFonts w:hint="eastAsia" w:ascii="等线" w:hAnsi="等线" w:eastAsia="等线" w:cs="宋体"/>
                <w:color w:val="auto"/>
                <w:sz w:val="20"/>
              </w:rPr>
              <w:t>或同档次产品</w:t>
            </w:r>
            <w:r>
              <w:rPr>
                <w:rFonts w:hint="eastAsia" w:ascii="宋体" w:hAnsi="宋体" w:cs="宋体"/>
                <w:color w:val="auto"/>
                <w:sz w:val="20"/>
                <w:lang w:eastAsia="zh-CN"/>
              </w:rPr>
              <w:t>，</w:t>
            </w:r>
            <w:r>
              <w:rPr>
                <w:rFonts w:hint="eastAsia" w:ascii="等线" w:hAnsi="等线" w:eastAsia="等线" w:cs="宋体"/>
                <w:color w:val="auto"/>
                <w:sz w:val="20"/>
              </w:rPr>
              <w:t>报甲方同意</w:t>
            </w: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多米尼克</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英国多米尼克</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宋体" w:hAnsi="宋体" w:cs="宋体"/>
                <w:color w:val="000000"/>
                <w:sz w:val="20"/>
                <w:highlight w:val="none"/>
              </w:rPr>
            </w:pP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贝克欧</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德国贝克欧</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auto" w:sz="4" w:space="0"/>
              <w:right w:val="single" w:color="auto" w:sz="8" w:space="0"/>
            </w:tcBorders>
            <w:vAlign w:val="center"/>
          </w:tcPr>
          <w:p>
            <w:pPr>
              <w:widowControl/>
              <w:jc w:val="left"/>
              <w:rPr>
                <w:rFonts w:ascii="宋体" w:hAnsi="宋体" w:cs="宋体"/>
                <w:color w:val="000000"/>
                <w:sz w:val="20"/>
                <w:highlight w:val="none"/>
              </w:rPr>
            </w:pPr>
          </w:p>
        </w:tc>
      </w:tr>
      <w:tr>
        <w:tblPrEx>
          <w:tblCellMar>
            <w:top w:w="0" w:type="dxa"/>
            <w:left w:w="108" w:type="dxa"/>
            <w:bottom w:w="0" w:type="dxa"/>
            <w:right w:w="108" w:type="dxa"/>
          </w:tblCellMar>
        </w:tblPrEx>
        <w:trPr>
          <w:trHeight w:val="40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7</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压缩空气储气罐（含底座）</w:t>
            </w:r>
          </w:p>
        </w:tc>
        <w:tc>
          <w:tcPr>
            <w:tcW w:w="128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申牌</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上海申江压力容器有限公司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1、材质：SS304。2、自带压力表、安全阀、自动排水阀。</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nil"/>
              <w:right w:val="nil"/>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申江牌</w:t>
            </w:r>
          </w:p>
        </w:tc>
        <w:tc>
          <w:tcPr>
            <w:tcW w:w="2305" w:type="dxa"/>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上海市奉贤设备容器厂有限公司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青岛海空</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青岛海空压力容器有限公司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60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8</w:t>
            </w:r>
          </w:p>
        </w:tc>
        <w:tc>
          <w:tcPr>
            <w:tcW w:w="1273"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制氮机</w:t>
            </w:r>
          </w:p>
        </w:tc>
        <w:tc>
          <w:tcPr>
            <w:tcW w:w="128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杭州博大</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杭州博大净化设备有限公司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制氮机主机材质：碳钢。2、氮气常压露点：≤-60℃。3、氮气纯度：≥99.99%。4、氮气含油量：0。5、氮气含尘量：≤0.01μm。6、空氮比：≤5：1。6、碳分子筛寿命达到6-8年，提供不低于六年的质量承诺书。7、自带氮气分析仪品牌：上海昶艾/美国ADV或同档次品牌。8、电气元器件：ABB/西门子/施耐德。9、气缸/气动电磁阀/气管接头：SMC/CKD/FESTO。</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杭州天利</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杭州天利空分设备制造有限公司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杭州天跃</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杭州天跃全套设备制造有限公司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6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浙江正大</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浙江正大空分设备有限公司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400" w:hRule="atLeast"/>
        </w:trPr>
        <w:tc>
          <w:tcPr>
            <w:tcW w:w="427" w:type="dxa"/>
            <w:vMerge w:val="restart"/>
            <w:tcBorders>
              <w:top w:val="nil"/>
              <w:left w:val="single" w:color="auto" w:sz="8"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9</w:t>
            </w:r>
          </w:p>
        </w:tc>
        <w:tc>
          <w:tcPr>
            <w:tcW w:w="1273"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氮气储气罐（含底座）</w:t>
            </w:r>
          </w:p>
        </w:tc>
        <w:tc>
          <w:tcPr>
            <w:tcW w:w="128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申牌</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上海申江压力容器有限公司</w:t>
            </w:r>
          </w:p>
        </w:tc>
        <w:tc>
          <w:tcPr>
            <w:tcW w:w="3287" w:type="dxa"/>
            <w:vMerge w:val="restart"/>
            <w:tcBorders>
              <w:top w:val="nil"/>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1、材质：SS304。2、自带压力表、安全阀。。</w:t>
            </w:r>
          </w:p>
        </w:tc>
        <w:tc>
          <w:tcPr>
            <w:tcW w:w="1290" w:type="dxa"/>
            <w:vMerge w:val="restart"/>
            <w:tcBorders>
              <w:top w:val="nil"/>
              <w:left w:val="single" w:color="auto" w:sz="4" w:space="0"/>
              <w:bottom w:val="single" w:color="000000" w:sz="4" w:space="0"/>
              <w:right w:val="single" w:color="auto" w:sz="8"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或同档次产品，</w:t>
            </w:r>
            <w:r>
              <w:rPr>
                <w:rFonts w:hint="eastAsia" w:ascii="等线" w:hAnsi="等线" w:eastAsia="等线" w:cs="宋体"/>
                <w:color w:val="000000"/>
                <w:sz w:val="20"/>
                <w:highlight w:val="none"/>
                <w:lang w:eastAsia="zh-CN"/>
              </w:rPr>
              <w:t>并报甲方同意</w:t>
            </w:r>
            <w:r>
              <w:rPr>
                <w:rFonts w:hint="eastAsia" w:ascii="等线" w:hAnsi="等线" w:eastAsia="等线" w:cs="宋体"/>
                <w:color w:val="000000"/>
                <w:sz w:val="20"/>
                <w:highlight w:val="none"/>
              </w:rPr>
              <w:t>。</w:t>
            </w:r>
          </w:p>
        </w:tc>
      </w:tr>
      <w:tr>
        <w:tblPrEx>
          <w:tblCellMar>
            <w:top w:w="0" w:type="dxa"/>
            <w:left w:w="108" w:type="dxa"/>
            <w:bottom w:w="0" w:type="dxa"/>
            <w:right w:w="108" w:type="dxa"/>
          </w:tblCellMar>
        </w:tblPrEx>
        <w:trPr>
          <w:trHeight w:val="40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nil"/>
              <w:right w:val="nil"/>
            </w:tcBorders>
            <w:vAlign w:val="center"/>
          </w:tcPr>
          <w:p>
            <w:pPr>
              <w:widowControl/>
              <w:jc w:val="center"/>
              <w:rPr>
                <w:rFonts w:ascii="宋体" w:hAnsi="宋体" w:cs="宋体"/>
                <w:color w:val="000000"/>
                <w:sz w:val="20"/>
                <w:highlight w:val="none"/>
              </w:rPr>
            </w:pPr>
            <w:r>
              <w:rPr>
                <w:rFonts w:hint="eastAsia" w:ascii="华文仿宋" w:hAnsi="华文仿宋" w:eastAsia="华文仿宋" w:cs="宋体"/>
                <w:sz w:val="20"/>
                <w:highlight w:val="none"/>
              </w:rPr>
              <w:t>参照或相当于</w:t>
            </w:r>
            <w:r>
              <w:rPr>
                <w:rFonts w:hint="eastAsia" w:ascii="宋体" w:hAnsi="宋体" w:cs="宋体"/>
                <w:color w:val="000000"/>
                <w:sz w:val="20"/>
                <w:highlight w:val="none"/>
              </w:rPr>
              <w:t>申江牌</w:t>
            </w:r>
          </w:p>
        </w:tc>
        <w:tc>
          <w:tcPr>
            <w:tcW w:w="2305" w:type="dxa"/>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上海市奉贤设备容器厂有限公司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280" w:hRule="atLeast"/>
        </w:trPr>
        <w:tc>
          <w:tcPr>
            <w:tcW w:w="427" w:type="dxa"/>
            <w:vMerge w:val="continue"/>
            <w:tcBorders>
              <w:top w:val="nil"/>
              <w:left w:val="single" w:color="auto" w:sz="8"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青岛海空</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青岛海空压力容器有限公司</w:t>
            </w:r>
          </w:p>
        </w:tc>
        <w:tc>
          <w:tcPr>
            <w:tcW w:w="3287" w:type="dxa"/>
            <w:vMerge w:val="continue"/>
            <w:tcBorders>
              <w:top w:val="nil"/>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restart"/>
            <w:tcBorders>
              <w:top w:val="nil"/>
              <w:left w:val="single" w:color="auto" w:sz="8"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10</w:t>
            </w:r>
          </w:p>
        </w:tc>
        <w:tc>
          <w:tcPr>
            <w:tcW w:w="1273" w:type="dxa"/>
            <w:vMerge w:val="restart"/>
            <w:tcBorders>
              <w:top w:val="nil"/>
              <w:left w:val="single" w:color="auto" w:sz="4"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水蓄冷水系统</w:t>
            </w:r>
          </w:p>
        </w:tc>
        <w:tc>
          <w:tcPr>
            <w:tcW w:w="128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日立</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江森自控日立万宝空调（广州）有限公司</w:t>
            </w:r>
          </w:p>
        </w:tc>
        <w:tc>
          <w:tcPr>
            <w:tcW w:w="3287" w:type="dxa"/>
            <w:vMerge w:val="restart"/>
            <w:tcBorders>
              <w:top w:val="nil"/>
              <w:left w:val="single" w:color="auto" w:sz="4"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罐体保温标准24小时温升(℃)≤0.2℃。2、蓄放冷效率＞90%。3、布水器及罐内水流阻力≤4m。4、布水器类型：环状（八角型）均压布水器。5、布水器材质：SS304。6、24小时冷损失率≤2%。6、温度测点/温度传感器：每隔500mm设置一个测温点。</w:t>
            </w:r>
          </w:p>
        </w:tc>
        <w:tc>
          <w:tcPr>
            <w:tcW w:w="1290" w:type="dxa"/>
            <w:vMerge w:val="restart"/>
            <w:tcBorders>
              <w:top w:val="nil"/>
              <w:left w:val="single" w:color="auto" w:sz="4" w:space="0"/>
              <w:bottom w:val="single" w:color="000000" w:sz="4" w:space="0"/>
              <w:right w:val="single" w:color="auto" w:sz="8" w:space="0"/>
            </w:tcBorders>
            <w:vAlign w:val="bottom"/>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　</w:t>
            </w: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北京英沣特</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北京英沣特能源技术有限公司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深圳达实</w:t>
            </w:r>
          </w:p>
        </w:tc>
        <w:tc>
          <w:tcPr>
            <w:tcW w:w="2305"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深圳达实智能股份有限公司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500" w:hRule="atLeast"/>
        </w:trPr>
        <w:tc>
          <w:tcPr>
            <w:tcW w:w="427" w:type="dxa"/>
            <w:vMerge w:val="continue"/>
            <w:tcBorders>
              <w:top w:val="nil"/>
              <w:left w:val="single" w:color="auto" w:sz="8"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73"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88" w:type="dxa"/>
            <w:tcBorders>
              <w:top w:val="nil"/>
              <w:left w:val="nil"/>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申凌</w:t>
            </w:r>
          </w:p>
        </w:tc>
        <w:tc>
          <w:tcPr>
            <w:tcW w:w="2305" w:type="dxa"/>
            <w:tcBorders>
              <w:top w:val="nil"/>
              <w:left w:val="nil"/>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广东申菱环境系统股份有限公司</w:t>
            </w:r>
          </w:p>
        </w:tc>
        <w:tc>
          <w:tcPr>
            <w:tcW w:w="3287" w:type="dxa"/>
            <w:vMerge w:val="continue"/>
            <w:tcBorders>
              <w:top w:val="nil"/>
              <w:left w:val="single" w:color="auto" w:sz="4" w:space="0"/>
              <w:bottom w:val="nil"/>
              <w:right w:val="single" w:color="auto" w:sz="4" w:space="0"/>
            </w:tcBorders>
            <w:vAlign w:val="center"/>
          </w:tcPr>
          <w:p>
            <w:pPr>
              <w:widowControl/>
              <w:jc w:val="left"/>
              <w:rPr>
                <w:rFonts w:ascii="等线" w:hAnsi="等线" w:eastAsia="等线" w:cs="宋体"/>
                <w:color w:val="000000"/>
                <w:sz w:val="20"/>
                <w:highlight w:val="none"/>
              </w:rPr>
            </w:pPr>
          </w:p>
        </w:tc>
        <w:tc>
          <w:tcPr>
            <w:tcW w:w="1290" w:type="dxa"/>
            <w:vMerge w:val="continue"/>
            <w:tcBorders>
              <w:top w:val="nil"/>
              <w:left w:val="single" w:color="auto" w:sz="4" w:space="0"/>
              <w:bottom w:val="single" w:color="000000" w:sz="4" w:space="0"/>
              <w:right w:val="single" w:color="auto" w:sz="8" w:space="0"/>
            </w:tcBorders>
            <w:vAlign w:val="center"/>
          </w:tcPr>
          <w:p>
            <w:pPr>
              <w:widowControl/>
              <w:jc w:val="left"/>
              <w:rPr>
                <w:rFonts w:ascii="等线" w:hAnsi="等线" w:eastAsia="等线" w:cs="宋体"/>
                <w:color w:val="000000"/>
                <w:sz w:val="20"/>
                <w:highlight w:val="none"/>
              </w:rPr>
            </w:pPr>
          </w:p>
        </w:tc>
      </w:tr>
      <w:tr>
        <w:tblPrEx>
          <w:tblCellMar>
            <w:top w:w="0" w:type="dxa"/>
            <w:left w:w="108" w:type="dxa"/>
            <w:bottom w:w="0" w:type="dxa"/>
            <w:right w:w="108" w:type="dxa"/>
          </w:tblCellMar>
        </w:tblPrEx>
        <w:trPr>
          <w:trHeight w:val="400" w:hRule="atLeast"/>
        </w:trPr>
        <w:tc>
          <w:tcPr>
            <w:tcW w:w="427" w:type="dxa"/>
            <w:tcBorders>
              <w:top w:val="single" w:color="auto" w:sz="4" w:space="0"/>
              <w:left w:val="single" w:color="auto" w:sz="8" w:space="0"/>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11</w:t>
            </w:r>
          </w:p>
        </w:tc>
        <w:tc>
          <w:tcPr>
            <w:tcW w:w="1273" w:type="dxa"/>
            <w:tcBorders>
              <w:top w:val="single" w:color="auto" w:sz="4" w:space="0"/>
              <w:left w:val="nil"/>
              <w:bottom w:val="nil"/>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载货电梯</w:t>
            </w:r>
          </w:p>
        </w:tc>
        <w:tc>
          <w:tcPr>
            <w:tcW w:w="6880" w:type="dxa"/>
            <w:gridSpan w:val="3"/>
            <w:tcBorders>
              <w:top w:val="single" w:color="auto" w:sz="4" w:space="0"/>
              <w:left w:val="nil"/>
              <w:bottom w:val="single" w:color="auto" w:sz="4" w:space="0"/>
              <w:right w:val="single" w:color="000000" w:sz="4" w:space="0"/>
            </w:tcBorders>
            <w:vAlign w:val="center"/>
          </w:tcPr>
          <w:p>
            <w:pPr>
              <w:widowControl/>
              <w:jc w:val="left"/>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西继迅达/富士达/广日/菱王/康力</w:t>
            </w:r>
          </w:p>
        </w:tc>
        <w:tc>
          <w:tcPr>
            <w:tcW w:w="1290" w:type="dxa"/>
            <w:tcBorders>
              <w:top w:val="nil"/>
              <w:left w:val="nil"/>
              <w:bottom w:val="single" w:color="auto" w:sz="4" w:space="0"/>
              <w:right w:val="single" w:color="auto" w:sz="8" w:space="0"/>
            </w:tcBorders>
            <w:vAlign w:val="bottom"/>
          </w:tcPr>
          <w:p>
            <w:pPr>
              <w:widowControl/>
              <w:jc w:val="left"/>
              <w:rPr>
                <w:rFonts w:ascii="等线" w:hAnsi="等线" w:eastAsia="等线" w:cs="宋体"/>
                <w:color w:val="000000"/>
                <w:sz w:val="20"/>
                <w:highlight w:val="none"/>
              </w:rPr>
            </w:pPr>
            <w:r>
              <w:rPr>
                <w:rFonts w:hint="eastAsia" w:ascii="等线" w:hAnsi="等线" w:eastAsia="等线" w:cs="宋体"/>
                <w:color w:val="000000"/>
                <w:sz w:val="20"/>
                <w:highlight w:val="none"/>
              </w:rPr>
              <w:t>　</w:t>
            </w:r>
          </w:p>
        </w:tc>
      </w:tr>
      <w:tr>
        <w:tblPrEx>
          <w:tblCellMar>
            <w:top w:w="0" w:type="dxa"/>
            <w:left w:w="108" w:type="dxa"/>
            <w:bottom w:w="0" w:type="dxa"/>
            <w:right w:w="108" w:type="dxa"/>
          </w:tblCellMar>
        </w:tblPrEx>
        <w:trPr>
          <w:trHeight w:val="400" w:hRule="atLeast"/>
        </w:trPr>
        <w:tc>
          <w:tcPr>
            <w:tcW w:w="427" w:type="dxa"/>
            <w:tcBorders>
              <w:top w:val="single" w:color="auto" w:sz="4" w:space="0"/>
              <w:left w:val="single" w:color="auto" w:sz="8" w:space="0"/>
              <w:bottom w:val="single" w:color="auto" w:sz="8"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12</w:t>
            </w:r>
          </w:p>
        </w:tc>
        <w:tc>
          <w:tcPr>
            <w:tcW w:w="1273" w:type="dxa"/>
            <w:tcBorders>
              <w:top w:val="single" w:color="auto" w:sz="4" w:space="0"/>
              <w:left w:val="nil"/>
              <w:bottom w:val="single" w:color="auto" w:sz="8" w:space="0"/>
              <w:right w:val="single" w:color="auto" w:sz="4" w:space="0"/>
            </w:tcBorders>
            <w:vAlign w:val="center"/>
          </w:tcPr>
          <w:p>
            <w:pPr>
              <w:widowControl/>
              <w:jc w:val="center"/>
              <w:rPr>
                <w:rFonts w:ascii="等线" w:hAnsi="等线" w:eastAsia="等线" w:cs="宋体"/>
                <w:color w:val="000000"/>
                <w:sz w:val="20"/>
                <w:highlight w:val="none"/>
              </w:rPr>
            </w:pPr>
            <w:r>
              <w:rPr>
                <w:rFonts w:hint="eastAsia" w:ascii="等线" w:hAnsi="等线" w:eastAsia="等线" w:cs="宋体"/>
                <w:color w:val="000000"/>
                <w:sz w:val="20"/>
                <w:highlight w:val="none"/>
              </w:rPr>
              <w:t>客梯</w:t>
            </w:r>
          </w:p>
        </w:tc>
        <w:tc>
          <w:tcPr>
            <w:tcW w:w="6880" w:type="dxa"/>
            <w:gridSpan w:val="3"/>
            <w:tcBorders>
              <w:top w:val="single" w:color="auto" w:sz="4" w:space="0"/>
              <w:left w:val="nil"/>
              <w:bottom w:val="single" w:color="auto" w:sz="8" w:space="0"/>
              <w:right w:val="single" w:color="auto" w:sz="4" w:space="0"/>
            </w:tcBorders>
            <w:vAlign w:val="center"/>
          </w:tcPr>
          <w:p>
            <w:pPr>
              <w:widowControl/>
              <w:jc w:val="left"/>
              <w:rPr>
                <w:rFonts w:ascii="等线" w:hAnsi="等线" w:eastAsia="等线" w:cs="宋体"/>
                <w:color w:val="000000"/>
                <w:sz w:val="20"/>
                <w:highlight w:val="none"/>
              </w:rPr>
            </w:pPr>
            <w:r>
              <w:rPr>
                <w:rFonts w:hint="eastAsia" w:ascii="华文仿宋" w:hAnsi="华文仿宋" w:eastAsia="华文仿宋" w:cs="宋体"/>
                <w:sz w:val="20"/>
                <w:highlight w:val="none"/>
              </w:rPr>
              <w:t>参照或相当于</w:t>
            </w:r>
            <w:r>
              <w:rPr>
                <w:rFonts w:hint="eastAsia" w:ascii="等线" w:hAnsi="等线" w:eastAsia="等线" w:cs="宋体"/>
                <w:color w:val="000000"/>
                <w:sz w:val="20"/>
                <w:highlight w:val="none"/>
              </w:rPr>
              <w:t>通力/日立/上海三菱/蒂升/广日</w:t>
            </w:r>
          </w:p>
        </w:tc>
        <w:tc>
          <w:tcPr>
            <w:tcW w:w="1290" w:type="dxa"/>
            <w:tcBorders>
              <w:top w:val="nil"/>
              <w:left w:val="nil"/>
              <w:bottom w:val="single" w:color="auto" w:sz="8" w:space="0"/>
              <w:right w:val="single" w:color="auto" w:sz="8" w:space="0"/>
            </w:tcBorders>
            <w:vAlign w:val="bottom"/>
          </w:tcPr>
          <w:p>
            <w:pPr>
              <w:widowControl/>
              <w:jc w:val="left"/>
              <w:rPr>
                <w:rFonts w:ascii="等线" w:hAnsi="等线" w:eastAsia="等线" w:cs="宋体"/>
                <w:color w:val="000000"/>
                <w:sz w:val="20"/>
                <w:highlight w:val="none"/>
              </w:rPr>
            </w:pPr>
            <w:r>
              <w:rPr>
                <w:rFonts w:hint="eastAsia" w:ascii="等线" w:hAnsi="等线" w:eastAsia="等线" w:cs="宋体"/>
                <w:color w:val="000000"/>
                <w:sz w:val="20"/>
                <w:highlight w:val="none"/>
              </w:rPr>
              <w:t>　</w:t>
            </w:r>
          </w:p>
        </w:tc>
      </w:tr>
    </w:tbl>
    <w:p>
      <w:pPr>
        <w:pStyle w:val="9"/>
        <w:ind w:left="-745" w:leftChars="-355" w:firstLine="723" w:firstLineChars="300"/>
        <w:rPr>
          <w:b/>
          <w:highlight w:val="none"/>
        </w:rPr>
      </w:pPr>
      <w:r>
        <w:rPr>
          <w:rFonts w:hint="eastAsia"/>
          <w:b/>
          <w:highlight w:val="none"/>
        </w:rPr>
        <w:t>附件1</w:t>
      </w:r>
      <w:r>
        <w:rPr>
          <w:b/>
          <w:highlight w:val="none"/>
        </w:rPr>
        <w:t xml:space="preserve"> </w:t>
      </w:r>
      <w:r>
        <w:rPr>
          <w:rFonts w:hint="eastAsia"/>
          <w:b/>
          <w:highlight w:val="none"/>
        </w:rPr>
        <w:t>机电消防、洁净装修工程品牌目录：</w:t>
      </w:r>
    </w:p>
    <w:p>
      <w:pPr>
        <w:ind w:left="-248" w:leftChars="-119" w:right="-745" w:rightChars="-355" w:hanging="2"/>
        <w:rPr>
          <w:rFonts w:hint="eastAsia"/>
          <w:b/>
          <w:highlight w:val="none"/>
        </w:rPr>
      </w:pPr>
      <w:r>
        <w:rPr>
          <w:rFonts w:hint="eastAsia"/>
          <w:b/>
          <w:highlight w:val="none"/>
        </w:rPr>
        <w:br w:type="page"/>
      </w:r>
    </w:p>
    <w:p>
      <w:pPr>
        <w:pStyle w:val="9"/>
        <w:ind w:left="-248" w:leftChars="-119" w:right="-745" w:rightChars="-355" w:hanging="2"/>
        <w:rPr>
          <w:b/>
          <w:highlight w:val="none"/>
        </w:rPr>
      </w:pPr>
      <w:r>
        <w:rPr>
          <w:rFonts w:hint="eastAsia"/>
          <w:b/>
          <w:highlight w:val="none"/>
        </w:rPr>
        <w:t>附件2</w:t>
      </w:r>
      <w:r>
        <w:rPr>
          <w:b/>
          <w:highlight w:val="none"/>
        </w:rPr>
        <w:t xml:space="preserve"> </w:t>
      </w:r>
      <w:r>
        <w:rPr>
          <w:rFonts w:hint="eastAsia"/>
          <w:b/>
          <w:highlight w:val="none"/>
        </w:rPr>
        <w:t>冷冻站高效机房+水蓄冷系统技术规格书：</w:t>
      </w:r>
    </w:p>
    <w:p>
      <w:pPr>
        <w:pStyle w:val="19"/>
        <w:spacing w:before="0" w:beforeAutospacing="0" w:after="0" w:afterAutospacing="0" w:line="360" w:lineRule="auto"/>
        <w:jc w:val="center"/>
        <w:rPr>
          <w:rFonts w:ascii="Times New Roman" w:hAnsi="Times New Roman" w:eastAsia="宋体"/>
          <w:color w:val="000000"/>
          <w:sz w:val="52"/>
          <w:szCs w:val="52"/>
          <w:highlight w:val="none"/>
        </w:rPr>
      </w:pPr>
      <w:r>
        <w:rPr>
          <w:rFonts w:hint="eastAsia" w:ascii="Times New Roman" w:hAnsi="Times New Roman" w:eastAsia="宋体"/>
          <w:color w:val="000000"/>
          <w:sz w:val="52"/>
          <w:szCs w:val="52"/>
          <w:highlight w:val="none"/>
        </w:rPr>
        <w:t>广州30gwh项目冷冻站高效机房+水蓄冷工程</w:t>
      </w:r>
      <w:r>
        <w:rPr>
          <w:rFonts w:ascii="Times New Roman" w:hAnsi="Times New Roman" w:eastAsia="宋体"/>
          <w:color w:val="000000"/>
          <w:sz w:val="52"/>
          <w:szCs w:val="52"/>
          <w:highlight w:val="none"/>
        </w:rPr>
        <w:t>技术规格书</w:t>
      </w:r>
    </w:p>
    <w:p>
      <w:pPr>
        <w:pStyle w:val="23"/>
        <w:rPr>
          <w:b/>
          <w:sz w:val="32"/>
          <w:szCs w:val="32"/>
          <w:highlight w:val="none"/>
        </w:rPr>
      </w:pPr>
      <w:bookmarkStart w:id="202" w:name="_Toc21440"/>
      <w:r>
        <w:rPr>
          <w:rFonts w:hint="eastAsia"/>
          <w:b/>
          <w:sz w:val="32"/>
          <w:szCs w:val="32"/>
          <w:highlight w:val="none"/>
        </w:rPr>
        <w:t>一、总则</w:t>
      </w:r>
      <w:bookmarkEnd w:id="202"/>
    </w:p>
    <w:p>
      <w:pPr>
        <w:keepNext/>
        <w:keepLines/>
        <w:outlineLvl w:val="1"/>
        <w:rPr>
          <w:b/>
          <w:bCs/>
          <w:sz w:val="30"/>
          <w:szCs w:val="32"/>
          <w:highlight w:val="none"/>
        </w:rPr>
      </w:pPr>
      <w:bookmarkStart w:id="203" w:name="_Toc13996"/>
      <w:bookmarkStart w:id="204" w:name="_Toc8151"/>
      <w:r>
        <w:rPr>
          <w:rFonts w:hint="eastAsia"/>
          <w:b/>
          <w:bCs/>
          <w:sz w:val="30"/>
          <w:szCs w:val="32"/>
          <w:highlight w:val="none"/>
        </w:rPr>
        <w:t>1、高效机房</w:t>
      </w:r>
      <w:r>
        <w:rPr>
          <w:rFonts w:hint="eastAsia" w:ascii="宋体" w:hAnsi="宋体" w:cs="宋体"/>
          <w:b/>
          <w:bCs/>
          <w:snapToGrid w:val="0"/>
          <w:sz w:val="30"/>
          <w:szCs w:val="30"/>
          <w:highlight w:val="none"/>
        </w:rPr>
        <w:t>能效总体要求</w:t>
      </w:r>
      <w:bookmarkEnd w:id="203"/>
    </w:p>
    <w:p>
      <w:pPr>
        <w:keepNext/>
        <w:keepLines/>
        <w:outlineLvl w:val="2"/>
        <w:rPr>
          <w:rFonts w:ascii="宋体" w:hAnsi="宋体" w:cs="宋体"/>
          <w:b/>
          <w:bCs/>
          <w:sz w:val="28"/>
          <w:szCs w:val="32"/>
          <w:highlight w:val="none"/>
        </w:rPr>
      </w:pPr>
      <w:bookmarkStart w:id="205" w:name="_Toc17404"/>
      <w:r>
        <w:rPr>
          <w:rFonts w:hint="eastAsia" w:ascii="宋体" w:hAnsi="宋体" w:cs="宋体"/>
          <w:b/>
          <w:bCs/>
          <w:sz w:val="28"/>
          <w:szCs w:val="32"/>
          <w:highlight w:val="none"/>
        </w:rPr>
        <w:t>1.1 能效目标要求</w:t>
      </w:r>
      <w:bookmarkEnd w:id="205"/>
    </w:p>
    <w:p>
      <w:pPr>
        <w:widowControl/>
        <w:tabs>
          <w:tab w:val="left" w:pos="0"/>
          <w:tab w:val="left" w:pos="993"/>
          <w:tab w:val="left" w:pos="1134"/>
        </w:tabs>
        <w:snapToGrid w:val="0"/>
        <w:ind w:right="221" w:firstLine="420"/>
        <w:rPr>
          <w:rFonts w:ascii="宋体" w:hAnsi="宋体" w:cs="宋体"/>
          <w:szCs w:val="21"/>
          <w:highlight w:val="none"/>
        </w:rPr>
      </w:pPr>
      <w:r>
        <w:rPr>
          <w:rFonts w:hint="eastAsia" w:ascii="宋体" w:hAnsi="宋体" w:cs="宋体"/>
          <w:szCs w:val="24"/>
          <w:highlight w:val="none"/>
        </w:rPr>
        <w:t>为打造</w:t>
      </w:r>
      <w:r>
        <w:rPr>
          <w:rFonts w:hint="eastAsia" w:ascii="宋体" w:hAnsi="宋体" w:cs="宋体"/>
          <w:spacing w:val="-3"/>
          <w:szCs w:val="24"/>
          <w:highlight w:val="none"/>
        </w:rPr>
        <w:t>高</w:t>
      </w:r>
      <w:r>
        <w:rPr>
          <w:rFonts w:hint="eastAsia" w:ascii="宋体" w:hAnsi="宋体" w:cs="宋体"/>
          <w:szCs w:val="24"/>
          <w:highlight w:val="none"/>
        </w:rPr>
        <w:t>效机</w:t>
      </w:r>
      <w:r>
        <w:rPr>
          <w:rFonts w:hint="eastAsia" w:ascii="宋体" w:hAnsi="宋体" w:cs="宋体"/>
          <w:spacing w:val="-3"/>
          <w:szCs w:val="24"/>
          <w:highlight w:val="none"/>
        </w:rPr>
        <w:t>房</w:t>
      </w:r>
      <w:r>
        <w:rPr>
          <w:rFonts w:hint="eastAsia" w:ascii="宋体" w:hAnsi="宋体" w:cs="宋体"/>
          <w:szCs w:val="24"/>
          <w:highlight w:val="none"/>
        </w:rPr>
        <w:t>+水</w:t>
      </w:r>
      <w:r>
        <w:rPr>
          <w:rFonts w:hint="eastAsia" w:ascii="宋体" w:hAnsi="宋体" w:cs="宋体"/>
          <w:spacing w:val="-3"/>
          <w:szCs w:val="24"/>
          <w:highlight w:val="none"/>
        </w:rPr>
        <w:t>蓄</w:t>
      </w:r>
      <w:r>
        <w:rPr>
          <w:rFonts w:hint="eastAsia" w:ascii="宋体" w:hAnsi="宋体" w:cs="宋体"/>
          <w:szCs w:val="24"/>
          <w:highlight w:val="none"/>
        </w:rPr>
        <w:t>冷</w:t>
      </w:r>
      <w:r>
        <w:rPr>
          <w:rFonts w:hint="eastAsia" w:ascii="宋体" w:hAnsi="宋体" w:cs="宋体"/>
          <w:spacing w:val="-3"/>
          <w:szCs w:val="24"/>
          <w:highlight w:val="none"/>
        </w:rPr>
        <w:t>的</w:t>
      </w:r>
      <w:r>
        <w:rPr>
          <w:rFonts w:hint="eastAsia" w:ascii="宋体" w:hAnsi="宋体" w:cs="宋体"/>
          <w:szCs w:val="24"/>
          <w:highlight w:val="none"/>
        </w:rPr>
        <w:t>标杆项</w:t>
      </w:r>
      <w:r>
        <w:rPr>
          <w:rFonts w:hint="eastAsia" w:ascii="宋体" w:hAnsi="宋体" w:cs="宋体"/>
          <w:spacing w:val="-3"/>
          <w:szCs w:val="24"/>
          <w:highlight w:val="none"/>
        </w:rPr>
        <w:t>目</w:t>
      </w:r>
      <w:r>
        <w:rPr>
          <w:rFonts w:hint="eastAsia" w:ascii="宋体" w:hAnsi="宋体" w:cs="宋体"/>
          <w:szCs w:val="24"/>
          <w:highlight w:val="none"/>
        </w:rPr>
        <w:t>，</w:t>
      </w:r>
      <w:r>
        <w:rPr>
          <w:rFonts w:hint="eastAsia" w:ascii="宋体" w:hAnsi="宋体" w:cs="宋体"/>
          <w:b/>
          <w:bCs/>
          <w:szCs w:val="24"/>
          <w:highlight w:val="none"/>
        </w:rPr>
        <w:t>本</w:t>
      </w:r>
      <w:r>
        <w:rPr>
          <w:rFonts w:hint="eastAsia" w:ascii="宋体" w:hAnsi="宋体" w:cs="宋体"/>
          <w:b/>
          <w:bCs/>
          <w:spacing w:val="-3"/>
          <w:szCs w:val="24"/>
          <w:highlight w:val="none"/>
        </w:rPr>
        <w:t>项</w:t>
      </w:r>
      <w:r>
        <w:rPr>
          <w:rFonts w:hint="eastAsia" w:ascii="宋体" w:hAnsi="宋体" w:cs="宋体"/>
          <w:b/>
          <w:bCs/>
          <w:szCs w:val="24"/>
          <w:highlight w:val="none"/>
        </w:rPr>
        <w:t>目制</w:t>
      </w:r>
      <w:r>
        <w:rPr>
          <w:rFonts w:hint="eastAsia" w:ascii="宋体" w:hAnsi="宋体" w:cs="宋体"/>
          <w:b/>
          <w:bCs/>
          <w:spacing w:val="-3"/>
          <w:szCs w:val="24"/>
          <w:highlight w:val="none"/>
        </w:rPr>
        <w:t>冷机</w:t>
      </w:r>
      <w:r>
        <w:rPr>
          <w:rFonts w:hint="eastAsia" w:ascii="宋体" w:hAnsi="宋体" w:cs="宋体"/>
          <w:b/>
          <w:bCs/>
          <w:szCs w:val="24"/>
          <w:highlight w:val="none"/>
        </w:rPr>
        <w:t>房系统</w:t>
      </w:r>
      <w:r>
        <w:rPr>
          <w:rFonts w:hint="eastAsia" w:ascii="宋体" w:hAnsi="宋体" w:cs="宋体"/>
          <w:b/>
          <w:bCs/>
          <w:spacing w:val="-3"/>
          <w:szCs w:val="24"/>
          <w:highlight w:val="none"/>
        </w:rPr>
        <w:t>全</w:t>
      </w:r>
      <w:r>
        <w:rPr>
          <w:rFonts w:hint="eastAsia" w:ascii="宋体" w:hAnsi="宋体" w:cs="宋体"/>
          <w:b/>
          <w:bCs/>
          <w:szCs w:val="24"/>
          <w:highlight w:val="none"/>
        </w:rPr>
        <w:t>年平</w:t>
      </w:r>
      <w:r>
        <w:rPr>
          <w:rFonts w:hint="eastAsia" w:ascii="宋体" w:hAnsi="宋体" w:cs="宋体"/>
          <w:b/>
          <w:bCs/>
          <w:spacing w:val="-3"/>
          <w:szCs w:val="24"/>
          <w:highlight w:val="none"/>
        </w:rPr>
        <w:t>均</w:t>
      </w:r>
      <w:r>
        <w:rPr>
          <w:rFonts w:hint="eastAsia" w:ascii="宋体" w:hAnsi="宋体" w:cs="宋体"/>
          <w:b/>
          <w:bCs/>
          <w:szCs w:val="24"/>
          <w:highlight w:val="none"/>
        </w:rPr>
        <w:t>能效</w:t>
      </w:r>
      <w:r>
        <w:rPr>
          <w:rFonts w:hint="eastAsia" w:ascii="宋体" w:hAnsi="宋体" w:cs="宋体"/>
          <w:b/>
          <w:bCs/>
          <w:spacing w:val="-3"/>
          <w:szCs w:val="24"/>
          <w:highlight w:val="none"/>
        </w:rPr>
        <w:t>比达</w:t>
      </w:r>
      <w:r>
        <w:rPr>
          <w:rFonts w:hint="eastAsia" w:ascii="宋体" w:hAnsi="宋体" w:cs="宋体"/>
          <w:b/>
          <w:bCs/>
          <w:szCs w:val="24"/>
          <w:highlight w:val="none"/>
        </w:rPr>
        <w:t>到《广</w:t>
      </w:r>
      <w:r>
        <w:rPr>
          <w:rFonts w:hint="eastAsia" w:ascii="宋体" w:hAnsi="宋体" w:cs="宋体"/>
          <w:b/>
          <w:bCs/>
          <w:spacing w:val="-3"/>
          <w:szCs w:val="24"/>
          <w:highlight w:val="none"/>
        </w:rPr>
        <w:t>东</w:t>
      </w:r>
      <w:r>
        <w:rPr>
          <w:rFonts w:hint="eastAsia" w:ascii="宋体" w:hAnsi="宋体" w:cs="宋体"/>
          <w:b/>
          <w:bCs/>
          <w:szCs w:val="24"/>
          <w:highlight w:val="none"/>
        </w:rPr>
        <w:t>省地</w:t>
      </w:r>
      <w:r>
        <w:rPr>
          <w:rFonts w:hint="eastAsia" w:ascii="宋体" w:hAnsi="宋体" w:cs="宋体"/>
          <w:b/>
          <w:bCs/>
          <w:spacing w:val="-3"/>
          <w:szCs w:val="24"/>
          <w:highlight w:val="none"/>
        </w:rPr>
        <w:t>方</w:t>
      </w:r>
      <w:r>
        <w:rPr>
          <w:rFonts w:hint="eastAsia" w:ascii="宋体" w:hAnsi="宋体" w:cs="宋体"/>
          <w:b/>
          <w:bCs/>
          <w:szCs w:val="24"/>
          <w:highlight w:val="none"/>
        </w:rPr>
        <w:t>标准 集中</w:t>
      </w:r>
      <w:r>
        <w:rPr>
          <w:rFonts w:hint="eastAsia" w:ascii="宋体" w:hAnsi="宋体" w:cs="宋体"/>
          <w:b/>
          <w:bCs/>
          <w:spacing w:val="-3"/>
          <w:szCs w:val="24"/>
          <w:highlight w:val="none"/>
        </w:rPr>
        <w:t>空</w:t>
      </w:r>
      <w:r>
        <w:rPr>
          <w:rFonts w:hint="eastAsia" w:ascii="宋体" w:hAnsi="宋体" w:cs="宋体"/>
          <w:b/>
          <w:bCs/>
          <w:szCs w:val="24"/>
          <w:highlight w:val="none"/>
        </w:rPr>
        <w:t>调</w:t>
      </w:r>
      <w:r>
        <w:rPr>
          <w:rFonts w:hint="eastAsia" w:ascii="宋体" w:hAnsi="宋体" w:cs="宋体"/>
          <w:b/>
          <w:bCs/>
          <w:spacing w:val="-3"/>
          <w:szCs w:val="24"/>
          <w:highlight w:val="none"/>
        </w:rPr>
        <w:t>制</w:t>
      </w:r>
      <w:r>
        <w:rPr>
          <w:rFonts w:hint="eastAsia" w:ascii="宋体" w:hAnsi="宋体" w:cs="宋体"/>
          <w:b/>
          <w:bCs/>
          <w:szCs w:val="24"/>
          <w:highlight w:val="none"/>
        </w:rPr>
        <w:t>冷</w:t>
      </w:r>
      <w:r>
        <w:rPr>
          <w:rFonts w:hint="eastAsia" w:ascii="宋体" w:hAnsi="宋体" w:cs="宋体"/>
          <w:b/>
          <w:bCs/>
          <w:spacing w:val="-3"/>
          <w:szCs w:val="24"/>
          <w:highlight w:val="none"/>
        </w:rPr>
        <w:t>机</w:t>
      </w:r>
      <w:r>
        <w:rPr>
          <w:rFonts w:hint="eastAsia" w:ascii="宋体" w:hAnsi="宋体" w:cs="宋体"/>
          <w:b/>
          <w:bCs/>
          <w:szCs w:val="24"/>
          <w:highlight w:val="none"/>
        </w:rPr>
        <w:t>房</w:t>
      </w:r>
      <w:r>
        <w:rPr>
          <w:rFonts w:hint="eastAsia" w:ascii="宋体" w:hAnsi="宋体" w:cs="宋体"/>
          <w:b/>
          <w:bCs/>
          <w:spacing w:val="-3"/>
          <w:szCs w:val="24"/>
          <w:highlight w:val="none"/>
        </w:rPr>
        <w:t>系</w:t>
      </w:r>
      <w:r>
        <w:rPr>
          <w:rFonts w:hint="eastAsia" w:ascii="宋体" w:hAnsi="宋体" w:cs="宋体"/>
          <w:b/>
          <w:bCs/>
          <w:szCs w:val="24"/>
          <w:highlight w:val="none"/>
        </w:rPr>
        <w:t>统</w:t>
      </w:r>
      <w:r>
        <w:rPr>
          <w:rFonts w:hint="eastAsia" w:ascii="宋体" w:hAnsi="宋体" w:cs="宋体"/>
          <w:b/>
          <w:bCs/>
          <w:spacing w:val="-3"/>
          <w:szCs w:val="24"/>
          <w:highlight w:val="none"/>
        </w:rPr>
        <w:t>能</w:t>
      </w:r>
      <w:r>
        <w:rPr>
          <w:rFonts w:hint="eastAsia" w:ascii="宋体" w:hAnsi="宋体" w:cs="宋体"/>
          <w:b/>
          <w:bCs/>
          <w:szCs w:val="24"/>
          <w:highlight w:val="none"/>
        </w:rPr>
        <w:t>效监</w:t>
      </w:r>
      <w:r>
        <w:rPr>
          <w:rFonts w:hint="eastAsia" w:ascii="宋体" w:hAnsi="宋体" w:cs="宋体"/>
          <w:b/>
          <w:bCs/>
          <w:spacing w:val="-3"/>
          <w:szCs w:val="24"/>
          <w:highlight w:val="none"/>
        </w:rPr>
        <w:t>测</w:t>
      </w:r>
      <w:r>
        <w:rPr>
          <w:rFonts w:hint="eastAsia" w:ascii="宋体" w:hAnsi="宋体" w:cs="宋体"/>
          <w:b/>
          <w:bCs/>
          <w:szCs w:val="24"/>
          <w:highlight w:val="none"/>
        </w:rPr>
        <w:t>及</w:t>
      </w:r>
      <w:r>
        <w:rPr>
          <w:rFonts w:hint="eastAsia" w:ascii="宋体" w:hAnsi="宋体" w:cs="宋体"/>
          <w:b/>
          <w:bCs/>
          <w:spacing w:val="-3"/>
          <w:szCs w:val="24"/>
          <w:highlight w:val="none"/>
        </w:rPr>
        <w:t>评</w:t>
      </w:r>
      <w:r>
        <w:rPr>
          <w:rFonts w:hint="eastAsia" w:ascii="宋体" w:hAnsi="宋体" w:cs="宋体"/>
          <w:b/>
          <w:bCs/>
          <w:szCs w:val="24"/>
          <w:highlight w:val="none"/>
        </w:rPr>
        <w:t>价</w:t>
      </w:r>
      <w:r>
        <w:rPr>
          <w:rFonts w:hint="eastAsia" w:ascii="宋体" w:hAnsi="宋体" w:cs="宋体"/>
          <w:b/>
          <w:bCs/>
          <w:spacing w:val="-3"/>
          <w:szCs w:val="24"/>
          <w:highlight w:val="none"/>
        </w:rPr>
        <w:t>标准</w:t>
      </w:r>
      <w:r>
        <w:rPr>
          <w:rFonts w:hint="eastAsia" w:ascii="宋体" w:hAnsi="宋体" w:cs="宋体"/>
          <w:b/>
          <w:bCs/>
          <w:spacing w:val="-13"/>
          <w:szCs w:val="24"/>
          <w:highlight w:val="none"/>
        </w:rPr>
        <w:t>》</w:t>
      </w:r>
      <w:r>
        <w:rPr>
          <w:rFonts w:hint="eastAsia" w:ascii="宋体" w:hAnsi="宋体" w:cs="宋体"/>
          <w:b/>
          <w:bCs/>
          <w:spacing w:val="-3"/>
          <w:szCs w:val="24"/>
          <w:highlight w:val="none"/>
        </w:rPr>
        <w:t>一级</w:t>
      </w:r>
      <w:r>
        <w:rPr>
          <w:rFonts w:hint="eastAsia" w:ascii="宋体" w:hAnsi="宋体" w:cs="宋体"/>
          <w:b/>
          <w:bCs/>
          <w:szCs w:val="24"/>
          <w:highlight w:val="none"/>
        </w:rPr>
        <w:t>能效</w:t>
      </w:r>
      <w:r>
        <w:rPr>
          <w:rFonts w:hint="eastAsia" w:ascii="宋体" w:hAnsi="宋体" w:cs="宋体"/>
          <w:b/>
          <w:bCs/>
          <w:spacing w:val="-3"/>
          <w:szCs w:val="24"/>
          <w:highlight w:val="none"/>
        </w:rPr>
        <w:t>标</w:t>
      </w:r>
      <w:r>
        <w:rPr>
          <w:rFonts w:hint="eastAsia" w:ascii="宋体" w:hAnsi="宋体" w:cs="宋体"/>
          <w:b/>
          <w:bCs/>
          <w:szCs w:val="24"/>
          <w:highlight w:val="none"/>
        </w:rPr>
        <w:t>准</w:t>
      </w:r>
      <w:r>
        <w:rPr>
          <w:rFonts w:hint="eastAsia" w:ascii="宋体" w:hAnsi="宋体" w:cs="宋体"/>
          <w:b/>
          <w:bCs/>
          <w:spacing w:val="-3"/>
          <w:szCs w:val="24"/>
          <w:highlight w:val="none"/>
        </w:rPr>
        <w:t>以上</w:t>
      </w:r>
      <w:r>
        <w:rPr>
          <w:rFonts w:hint="eastAsia" w:ascii="宋体" w:hAnsi="宋体" w:cs="宋体"/>
          <w:b/>
          <w:bCs/>
          <w:spacing w:val="-13"/>
          <w:szCs w:val="24"/>
          <w:highlight w:val="none"/>
        </w:rPr>
        <w:t>，</w:t>
      </w:r>
      <w:r>
        <w:rPr>
          <w:rFonts w:hint="eastAsia" w:ascii="宋体" w:hAnsi="宋体" w:cs="宋体"/>
          <w:b/>
          <w:bCs/>
          <w:spacing w:val="-3"/>
          <w:szCs w:val="24"/>
          <w:highlight w:val="none"/>
        </w:rPr>
        <w:t>即</w:t>
      </w:r>
      <w:r>
        <w:rPr>
          <w:rFonts w:hint="eastAsia" w:ascii="宋体" w:hAnsi="宋体" w:cs="宋体"/>
          <w:b/>
          <w:bCs/>
          <w:szCs w:val="24"/>
          <w:highlight w:val="none"/>
        </w:rPr>
        <w:t>全</w:t>
      </w:r>
      <w:r>
        <w:rPr>
          <w:rFonts w:hint="eastAsia" w:ascii="宋体" w:hAnsi="宋体" w:cs="宋体"/>
          <w:b/>
          <w:bCs/>
          <w:spacing w:val="-3"/>
          <w:szCs w:val="24"/>
          <w:highlight w:val="none"/>
        </w:rPr>
        <w:t>年平</w:t>
      </w:r>
      <w:r>
        <w:rPr>
          <w:rFonts w:hint="eastAsia" w:ascii="宋体" w:hAnsi="宋体" w:cs="宋体"/>
          <w:b/>
          <w:bCs/>
          <w:szCs w:val="24"/>
          <w:highlight w:val="none"/>
        </w:rPr>
        <w:t>均能</w:t>
      </w:r>
      <w:r>
        <w:rPr>
          <w:rFonts w:hint="eastAsia" w:ascii="宋体" w:hAnsi="宋体" w:cs="宋体"/>
          <w:b/>
          <w:bCs/>
          <w:spacing w:val="-3"/>
          <w:szCs w:val="24"/>
          <w:highlight w:val="none"/>
        </w:rPr>
        <w:t>效</w:t>
      </w:r>
      <w:r>
        <w:rPr>
          <w:rFonts w:hint="eastAsia" w:ascii="宋体" w:hAnsi="宋体" w:cs="宋体"/>
          <w:b/>
          <w:bCs/>
          <w:szCs w:val="24"/>
          <w:highlight w:val="none"/>
        </w:rPr>
        <w:t>比</w:t>
      </w:r>
      <w:r>
        <w:rPr>
          <w:rFonts w:hint="eastAsia" w:ascii="宋体" w:hAnsi="宋体" w:cs="宋体"/>
          <w:b/>
          <w:bCs/>
          <w:spacing w:val="-3"/>
          <w:szCs w:val="24"/>
          <w:highlight w:val="none"/>
        </w:rPr>
        <w:t>不小</w:t>
      </w:r>
      <w:r>
        <w:rPr>
          <w:rFonts w:hint="eastAsia" w:ascii="宋体" w:hAnsi="宋体" w:cs="宋体"/>
          <w:b/>
          <w:bCs/>
          <w:szCs w:val="24"/>
          <w:highlight w:val="none"/>
        </w:rPr>
        <w:t>于</w:t>
      </w:r>
      <w:r>
        <w:rPr>
          <w:rFonts w:hint="eastAsia" w:ascii="宋体" w:hAnsi="宋体" w:cs="宋体"/>
          <w:b/>
          <w:bCs/>
          <w:spacing w:val="-53"/>
          <w:szCs w:val="24"/>
          <w:highlight w:val="none"/>
        </w:rPr>
        <w:t xml:space="preserve"> </w:t>
      </w:r>
      <w:r>
        <w:rPr>
          <w:rFonts w:hint="eastAsia" w:ascii="宋体" w:hAnsi="宋体" w:cs="宋体"/>
          <w:b/>
          <w:bCs/>
          <w:szCs w:val="24"/>
          <w:highlight w:val="none"/>
        </w:rPr>
        <w:t>5.</w:t>
      </w:r>
      <w:r>
        <w:rPr>
          <w:rFonts w:hint="eastAsia" w:ascii="宋体" w:hAnsi="宋体" w:cs="宋体"/>
          <w:b/>
          <w:bCs/>
          <w:spacing w:val="-3"/>
          <w:szCs w:val="24"/>
          <w:highlight w:val="none"/>
        </w:rPr>
        <w:t>0</w:t>
      </w:r>
      <w:r>
        <w:rPr>
          <w:rFonts w:hint="eastAsia" w:ascii="宋体" w:hAnsi="宋体" w:cs="宋体"/>
          <w:b/>
          <w:bCs/>
          <w:spacing w:val="-15"/>
          <w:szCs w:val="24"/>
          <w:highlight w:val="none"/>
        </w:rPr>
        <w:t>。</w:t>
      </w:r>
      <w:r>
        <w:rPr>
          <w:rFonts w:hint="eastAsia" w:ascii="宋体" w:hAnsi="宋体" w:cs="宋体"/>
          <w:szCs w:val="24"/>
          <w:highlight w:val="none"/>
        </w:rPr>
        <w:t>制冷 机房全</w:t>
      </w:r>
      <w:r>
        <w:rPr>
          <w:rFonts w:hint="eastAsia" w:ascii="宋体" w:hAnsi="宋体" w:cs="宋体"/>
          <w:spacing w:val="-3"/>
          <w:szCs w:val="24"/>
          <w:highlight w:val="none"/>
        </w:rPr>
        <w:t>年</w:t>
      </w:r>
      <w:r>
        <w:rPr>
          <w:rFonts w:hint="eastAsia" w:ascii="宋体" w:hAnsi="宋体" w:cs="宋体"/>
          <w:szCs w:val="24"/>
          <w:highlight w:val="none"/>
        </w:rPr>
        <w:t>平均</w:t>
      </w:r>
      <w:r>
        <w:rPr>
          <w:rFonts w:hint="eastAsia" w:ascii="宋体" w:hAnsi="宋体" w:cs="宋体"/>
          <w:spacing w:val="-3"/>
          <w:szCs w:val="24"/>
          <w:highlight w:val="none"/>
        </w:rPr>
        <w:t>能</w:t>
      </w:r>
      <w:r>
        <w:rPr>
          <w:rFonts w:hint="eastAsia" w:ascii="宋体" w:hAnsi="宋体" w:cs="宋体"/>
          <w:szCs w:val="24"/>
          <w:highlight w:val="none"/>
        </w:rPr>
        <w:t>效比</w:t>
      </w:r>
      <w:r>
        <w:rPr>
          <w:rFonts w:hint="eastAsia" w:ascii="宋体" w:hAnsi="宋体" w:cs="宋体"/>
          <w:spacing w:val="-3"/>
          <w:szCs w:val="24"/>
          <w:highlight w:val="none"/>
        </w:rPr>
        <w:t xml:space="preserve"> </w:t>
      </w:r>
      <w:r>
        <w:rPr>
          <w:rFonts w:hint="eastAsia" w:ascii="宋体" w:hAnsi="宋体" w:cs="宋体"/>
          <w:szCs w:val="24"/>
          <w:highlight w:val="none"/>
        </w:rPr>
        <w:t>kW/</w:t>
      </w:r>
      <w:r>
        <w:rPr>
          <w:rFonts w:hint="eastAsia" w:ascii="宋体" w:hAnsi="宋体" w:cs="宋体"/>
          <w:spacing w:val="-3"/>
          <w:szCs w:val="24"/>
          <w:highlight w:val="none"/>
        </w:rPr>
        <w:t>k</w:t>
      </w:r>
      <w:r>
        <w:rPr>
          <w:rFonts w:hint="eastAsia" w:ascii="宋体" w:hAnsi="宋体" w:cs="宋体"/>
          <w:szCs w:val="24"/>
          <w:highlight w:val="none"/>
        </w:rPr>
        <w:t>W﹦全年</w:t>
      </w:r>
      <w:r>
        <w:rPr>
          <w:rFonts w:hint="eastAsia" w:ascii="宋体" w:hAnsi="宋体" w:cs="宋体"/>
          <w:spacing w:val="-3"/>
          <w:szCs w:val="24"/>
          <w:highlight w:val="none"/>
        </w:rPr>
        <w:t>总</w:t>
      </w:r>
      <w:r>
        <w:rPr>
          <w:rFonts w:hint="eastAsia" w:ascii="宋体" w:hAnsi="宋体" w:cs="宋体"/>
          <w:szCs w:val="24"/>
          <w:highlight w:val="none"/>
        </w:rPr>
        <w:t>供</w:t>
      </w:r>
      <w:r>
        <w:rPr>
          <w:rFonts w:hint="eastAsia" w:ascii="宋体" w:hAnsi="宋体" w:cs="宋体"/>
          <w:spacing w:val="-3"/>
          <w:szCs w:val="24"/>
          <w:highlight w:val="none"/>
        </w:rPr>
        <w:t>冷</w:t>
      </w:r>
      <w:r>
        <w:rPr>
          <w:rFonts w:hint="eastAsia" w:ascii="宋体" w:hAnsi="宋体" w:cs="宋体"/>
          <w:szCs w:val="24"/>
          <w:highlight w:val="none"/>
        </w:rPr>
        <w:t>量÷</w:t>
      </w:r>
      <w:r>
        <w:rPr>
          <w:rFonts w:hint="eastAsia" w:ascii="宋体" w:hAnsi="宋体" w:cs="宋体"/>
          <w:spacing w:val="-3"/>
          <w:szCs w:val="24"/>
          <w:highlight w:val="none"/>
        </w:rPr>
        <w:t>制</w:t>
      </w:r>
      <w:r>
        <w:rPr>
          <w:rFonts w:hint="eastAsia" w:ascii="宋体" w:hAnsi="宋体" w:cs="宋体"/>
          <w:szCs w:val="24"/>
          <w:highlight w:val="none"/>
        </w:rPr>
        <w:t>冷</w:t>
      </w:r>
      <w:r>
        <w:rPr>
          <w:rFonts w:hint="eastAsia" w:ascii="宋体" w:hAnsi="宋体" w:cs="宋体"/>
          <w:spacing w:val="-3"/>
          <w:szCs w:val="24"/>
          <w:highlight w:val="none"/>
        </w:rPr>
        <w:t>机</w:t>
      </w:r>
      <w:r>
        <w:rPr>
          <w:rFonts w:hint="eastAsia" w:ascii="宋体" w:hAnsi="宋体" w:cs="宋体"/>
          <w:szCs w:val="24"/>
          <w:highlight w:val="none"/>
        </w:rPr>
        <w:t>房（主机</w:t>
      </w:r>
      <w:r>
        <w:rPr>
          <w:rFonts w:hint="eastAsia" w:ascii="宋体" w:hAnsi="宋体" w:cs="宋体"/>
          <w:spacing w:val="-3"/>
          <w:szCs w:val="24"/>
          <w:highlight w:val="none"/>
        </w:rPr>
        <w:t>+</w:t>
      </w:r>
      <w:r>
        <w:rPr>
          <w:rFonts w:hint="eastAsia" w:ascii="宋体" w:hAnsi="宋体" w:cs="宋体"/>
          <w:szCs w:val="24"/>
          <w:highlight w:val="none"/>
        </w:rPr>
        <w:t>水泵</w:t>
      </w:r>
      <w:r>
        <w:rPr>
          <w:rFonts w:hint="eastAsia" w:ascii="宋体" w:hAnsi="宋体" w:cs="宋体"/>
          <w:spacing w:val="-3"/>
          <w:szCs w:val="24"/>
          <w:highlight w:val="none"/>
        </w:rPr>
        <w:t>+</w:t>
      </w:r>
      <w:r>
        <w:rPr>
          <w:rFonts w:hint="eastAsia" w:ascii="宋体" w:hAnsi="宋体" w:cs="宋体"/>
          <w:szCs w:val="24"/>
          <w:highlight w:val="none"/>
        </w:rPr>
        <w:t>冷却塔</w:t>
      </w:r>
      <w:r>
        <w:rPr>
          <w:rFonts w:hint="eastAsia" w:ascii="宋体" w:hAnsi="宋体" w:cs="宋体"/>
          <w:spacing w:val="-3"/>
          <w:szCs w:val="24"/>
          <w:highlight w:val="none"/>
        </w:rPr>
        <w:t>+制</w:t>
      </w:r>
      <w:r>
        <w:rPr>
          <w:rFonts w:hint="eastAsia" w:ascii="宋体" w:hAnsi="宋体" w:cs="宋体"/>
          <w:szCs w:val="24"/>
          <w:highlight w:val="none"/>
        </w:rPr>
        <w:t>冷机房</w:t>
      </w:r>
      <w:r>
        <w:rPr>
          <w:rFonts w:hint="eastAsia" w:ascii="宋体" w:hAnsi="宋体" w:cs="宋体"/>
          <w:spacing w:val="-3"/>
          <w:szCs w:val="24"/>
          <w:highlight w:val="none"/>
        </w:rPr>
        <w:t>内</w:t>
      </w:r>
      <w:r>
        <w:rPr>
          <w:rFonts w:hint="eastAsia" w:ascii="宋体" w:hAnsi="宋体" w:cs="宋体"/>
          <w:szCs w:val="24"/>
          <w:highlight w:val="none"/>
        </w:rPr>
        <w:t>制冷</w:t>
      </w:r>
      <w:r>
        <w:rPr>
          <w:rFonts w:hint="eastAsia" w:ascii="宋体" w:hAnsi="宋体" w:cs="宋体"/>
          <w:spacing w:val="-3"/>
          <w:szCs w:val="24"/>
          <w:highlight w:val="none"/>
        </w:rPr>
        <w:t>系</w:t>
      </w:r>
      <w:r>
        <w:rPr>
          <w:rFonts w:hint="eastAsia" w:ascii="宋体" w:hAnsi="宋体" w:cs="宋体"/>
          <w:szCs w:val="24"/>
          <w:highlight w:val="none"/>
        </w:rPr>
        <w:t>统</w:t>
      </w:r>
      <w:r>
        <w:rPr>
          <w:rFonts w:hint="eastAsia" w:ascii="宋体" w:hAnsi="宋体" w:cs="宋体"/>
          <w:spacing w:val="-3"/>
          <w:szCs w:val="24"/>
          <w:highlight w:val="none"/>
        </w:rPr>
        <w:t>所</w:t>
      </w:r>
      <w:r>
        <w:rPr>
          <w:rFonts w:hint="eastAsia" w:ascii="宋体" w:hAnsi="宋体" w:cs="宋体"/>
          <w:szCs w:val="24"/>
          <w:highlight w:val="none"/>
        </w:rPr>
        <w:t>有 辅助</w:t>
      </w:r>
      <w:r>
        <w:rPr>
          <w:rFonts w:hint="eastAsia" w:ascii="宋体" w:hAnsi="宋体" w:cs="宋体"/>
          <w:spacing w:val="-3"/>
          <w:szCs w:val="24"/>
          <w:highlight w:val="none"/>
        </w:rPr>
        <w:t>设备</w:t>
      </w:r>
      <w:r>
        <w:rPr>
          <w:rFonts w:hint="eastAsia" w:ascii="宋体" w:hAnsi="宋体" w:cs="宋体"/>
          <w:spacing w:val="-15"/>
          <w:szCs w:val="24"/>
          <w:highlight w:val="none"/>
        </w:rPr>
        <w:t>）</w:t>
      </w:r>
      <w:r>
        <w:rPr>
          <w:rFonts w:hint="eastAsia" w:ascii="宋体" w:hAnsi="宋体" w:cs="宋体"/>
          <w:spacing w:val="-3"/>
          <w:szCs w:val="24"/>
          <w:highlight w:val="none"/>
        </w:rPr>
        <w:t>全</w:t>
      </w:r>
      <w:r>
        <w:rPr>
          <w:rFonts w:hint="eastAsia" w:ascii="宋体" w:hAnsi="宋体" w:cs="宋体"/>
          <w:szCs w:val="24"/>
          <w:highlight w:val="none"/>
        </w:rPr>
        <w:t>年</w:t>
      </w:r>
      <w:r>
        <w:rPr>
          <w:rFonts w:hint="eastAsia" w:ascii="宋体" w:hAnsi="宋体" w:cs="宋体"/>
          <w:spacing w:val="-3"/>
          <w:szCs w:val="24"/>
          <w:highlight w:val="none"/>
        </w:rPr>
        <w:t>总</w:t>
      </w:r>
      <w:r>
        <w:rPr>
          <w:rFonts w:hint="eastAsia" w:ascii="宋体" w:hAnsi="宋体" w:cs="宋体"/>
          <w:szCs w:val="24"/>
          <w:highlight w:val="none"/>
        </w:rPr>
        <w:t>耗</w:t>
      </w:r>
      <w:r>
        <w:rPr>
          <w:rFonts w:hint="eastAsia" w:ascii="宋体" w:hAnsi="宋体" w:cs="宋体"/>
          <w:spacing w:val="-3"/>
          <w:szCs w:val="24"/>
          <w:highlight w:val="none"/>
        </w:rPr>
        <w:t>电量</w:t>
      </w:r>
      <w:r>
        <w:rPr>
          <w:rFonts w:hint="eastAsia" w:ascii="宋体" w:hAnsi="宋体" w:cs="宋体"/>
          <w:spacing w:val="-15"/>
          <w:szCs w:val="24"/>
          <w:highlight w:val="none"/>
        </w:rPr>
        <w:t>，</w:t>
      </w:r>
      <w:r>
        <w:rPr>
          <w:rFonts w:hint="eastAsia" w:ascii="宋体" w:hAnsi="宋体" w:cs="宋体"/>
          <w:spacing w:val="-3"/>
          <w:szCs w:val="24"/>
          <w:highlight w:val="none"/>
        </w:rPr>
        <w:t>其</w:t>
      </w:r>
      <w:r>
        <w:rPr>
          <w:rFonts w:hint="eastAsia" w:ascii="宋体" w:hAnsi="宋体" w:cs="宋体"/>
          <w:szCs w:val="24"/>
          <w:highlight w:val="none"/>
        </w:rPr>
        <w:t>中</w:t>
      </w:r>
      <w:r>
        <w:rPr>
          <w:rFonts w:hint="eastAsia" w:ascii="宋体" w:hAnsi="宋体" w:cs="宋体"/>
          <w:spacing w:val="-3"/>
          <w:szCs w:val="24"/>
          <w:highlight w:val="none"/>
        </w:rPr>
        <w:t>制</w:t>
      </w:r>
      <w:r>
        <w:rPr>
          <w:rFonts w:hint="eastAsia" w:ascii="宋体" w:hAnsi="宋体" w:cs="宋体"/>
          <w:szCs w:val="24"/>
          <w:highlight w:val="none"/>
        </w:rPr>
        <w:t>冷</w:t>
      </w:r>
      <w:r>
        <w:rPr>
          <w:rFonts w:hint="eastAsia" w:ascii="宋体" w:hAnsi="宋体" w:cs="宋体"/>
          <w:spacing w:val="-3"/>
          <w:szCs w:val="24"/>
          <w:highlight w:val="none"/>
        </w:rPr>
        <w:t>机</w:t>
      </w:r>
      <w:r>
        <w:rPr>
          <w:rFonts w:hint="eastAsia" w:ascii="宋体" w:hAnsi="宋体" w:cs="宋体"/>
          <w:szCs w:val="24"/>
          <w:highlight w:val="none"/>
        </w:rPr>
        <w:t>房</w:t>
      </w:r>
      <w:r>
        <w:rPr>
          <w:rFonts w:hint="eastAsia" w:ascii="宋体" w:hAnsi="宋体" w:cs="宋体"/>
          <w:spacing w:val="-3"/>
          <w:szCs w:val="24"/>
          <w:highlight w:val="none"/>
        </w:rPr>
        <w:t>用</w:t>
      </w:r>
      <w:r>
        <w:rPr>
          <w:rFonts w:hint="eastAsia" w:ascii="宋体" w:hAnsi="宋体" w:cs="宋体"/>
          <w:szCs w:val="24"/>
          <w:highlight w:val="none"/>
        </w:rPr>
        <w:t>电</w:t>
      </w:r>
      <w:r>
        <w:rPr>
          <w:rFonts w:hint="eastAsia" w:ascii="宋体" w:hAnsi="宋体" w:cs="宋体"/>
          <w:spacing w:val="-3"/>
          <w:szCs w:val="24"/>
          <w:highlight w:val="none"/>
        </w:rPr>
        <w:t>设备</w:t>
      </w:r>
      <w:r>
        <w:rPr>
          <w:rFonts w:hint="eastAsia" w:ascii="宋体" w:hAnsi="宋体" w:cs="宋体"/>
          <w:szCs w:val="24"/>
          <w:highlight w:val="none"/>
        </w:rPr>
        <w:t>包括</w:t>
      </w:r>
      <w:r>
        <w:rPr>
          <w:rFonts w:hint="eastAsia" w:ascii="宋体" w:hAnsi="宋体" w:cs="宋体"/>
          <w:spacing w:val="-3"/>
          <w:szCs w:val="24"/>
          <w:highlight w:val="none"/>
        </w:rPr>
        <w:t>冷</w:t>
      </w:r>
      <w:r>
        <w:rPr>
          <w:rFonts w:hint="eastAsia" w:ascii="宋体" w:hAnsi="宋体" w:cs="宋体"/>
          <w:szCs w:val="24"/>
          <w:highlight w:val="none"/>
        </w:rPr>
        <w:t>水</w:t>
      </w:r>
      <w:r>
        <w:rPr>
          <w:rFonts w:hint="eastAsia" w:ascii="宋体" w:hAnsi="宋体" w:cs="宋体"/>
          <w:spacing w:val="-3"/>
          <w:szCs w:val="24"/>
          <w:highlight w:val="none"/>
        </w:rPr>
        <w:t>机组</w:t>
      </w:r>
      <w:r>
        <w:rPr>
          <w:rFonts w:hint="eastAsia" w:ascii="宋体" w:hAnsi="宋体" w:cs="宋体"/>
          <w:spacing w:val="-15"/>
          <w:szCs w:val="24"/>
          <w:highlight w:val="none"/>
        </w:rPr>
        <w:t>、</w:t>
      </w:r>
      <w:r>
        <w:rPr>
          <w:rFonts w:hint="eastAsia" w:ascii="宋体" w:hAnsi="宋体" w:cs="宋体"/>
          <w:spacing w:val="-3"/>
          <w:szCs w:val="24"/>
          <w:highlight w:val="none"/>
        </w:rPr>
        <w:t>冷</w:t>
      </w:r>
      <w:r>
        <w:rPr>
          <w:rFonts w:hint="eastAsia" w:ascii="宋体" w:hAnsi="宋体" w:cs="宋体"/>
          <w:szCs w:val="24"/>
          <w:highlight w:val="none"/>
        </w:rPr>
        <w:t>水</w:t>
      </w:r>
      <w:r>
        <w:rPr>
          <w:rFonts w:hint="eastAsia" w:ascii="宋体" w:hAnsi="宋体" w:cs="宋体"/>
          <w:spacing w:val="-3"/>
          <w:szCs w:val="24"/>
          <w:highlight w:val="none"/>
        </w:rPr>
        <w:t>泵</w:t>
      </w:r>
      <w:r>
        <w:rPr>
          <w:rFonts w:hint="eastAsia" w:ascii="宋体" w:hAnsi="宋体" w:cs="宋体"/>
          <w:spacing w:val="-17"/>
          <w:szCs w:val="24"/>
          <w:highlight w:val="none"/>
        </w:rPr>
        <w:t>、</w:t>
      </w:r>
      <w:r>
        <w:rPr>
          <w:rFonts w:hint="eastAsia" w:ascii="宋体" w:hAnsi="宋体" w:cs="宋体"/>
          <w:szCs w:val="24"/>
          <w:highlight w:val="none"/>
        </w:rPr>
        <w:t>冷却</w:t>
      </w:r>
      <w:r>
        <w:rPr>
          <w:rFonts w:hint="eastAsia" w:ascii="宋体" w:hAnsi="宋体" w:cs="宋体"/>
          <w:spacing w:val="-3"/>
          <w:szCs w:val="24"/>
          <w:highlight w:val="none"/>
        </w:rPr>
        <w:t>水泵</w:t>
      </w:r>
      <w:r>
        <w:rPr>
          <w:rFonts w:hint="eastAsia" w:ascii="宋体" w:hAnsi="宋体" w:cs="宋体"/>
          <w:spacing w:val="-15"/>
          <w:szCs w:val="24"/>
          <w:highlight w:val="none"/>
        </w:rPr>
        <w:t>、</w:t>
      </w:r>
      <w:r>
        <w:rPr>
          <w:rFonts w:hint="eastAsia" w:ascii="宋体" w:hAnsi="宋体" w:cs="宋体"/>
          <w:spacing w:val="-3"/>
          <w:szCs w:val="24"/>
          <w:highlight w:val="none"/>
        </w:rPr>
        <w:t>蓄</w:t>
      </w:r>
      <w:r>
        <w:rPr>
          <w:rFonts w:hint="eastAsia" w:ascii="宋体" w:hAnsi="宋体" w:cs="宋体"/>
          <w:szCs w:val="24"/>
          <w:highlight w:val="none"/>
        </w:rPr>
        <w:t>放</w:t>
      </w:r>
      <w:r>
        <w:rPr>
          <w:rFonts w:hint="eastAsia" w:ascii="宋体" w:hAnsi="宋体" w:cs="宋体"/>
          <w:spacing w:val="-3"/>
          <w:szCs w:val="24"/>
          <w:highlight w:val="none"/>
        </w:rPr>
        <w:t>冷</w:t>
      </w:r>
      <w:r>
        <w:rPr>
          <w:rFonts w:hint="eastAsia" w:ascii="宋体" w:hAnsi="宋体" w:cs="宋体"/>
          <w:szCs w:val="24"/>
          <w:highlight w:val="none"/>
        </w:rPr>
        <w:t>泵</w:t>
      </w:r>
      <w:r>
        <w:rPr>
          <w:rFonts w:hint="eastAsia" w:ascii="宋体" w:hAnsi="宋体" w:cs="宋体"/>
          <w:spacing w:val="-17"/>
          <w:szCs w:val="24"/>
          <w:highlight w:val="none"/>
        </w:rPr>
        <w:t>、</w:t>
      </w:r>
      <w:r>
        <w:rPr>
          <w:rFonts w:hint="eastAsia" w:ascii="宋体" w:hAnsi="宋体" w:cs="宋体"/>
          <w:spacing w:val="-3"/>
          <w:szCs w:val="24"/>
          <w:highlight w:val="none"/>
        </w:rPr>
        <w:t>冷</w:t>
      </w:r>
      <w:r>
        <w:rPr>
          <w:rFonts w:hint="eastAsia" w:ascii="宋体" w:hAnsi="宋体" w:cs="宋体"/>
          <w:szCs w:val="24"/>
          <w:highlight w:val="none"/>
        </w:rPr>
        <w:t>却塔等</w:t>
      </w:r>
      <w:r>
        <w:rPr>
          <w:rFonts w:hint="eastAsia" w:ascii="宋体" w:hAnsi="宋体" w:cs="宋体"/>
          <w:spacing w:val="-3"/>
          <w:szCs w:val="24"/>
          <w:highlight w:val="none"/>
        </w:rPr>
        <w:t>。</w:t>
      </w:r>
      <w:r>
        <w:rPr>
          <w:rFonts w:hint="eastAsia" w:ascii="宋体" w:hAnsi="宋体" w:cs="宋体"/>
          <w:szCs w:val="24"/>
          <w:highlight w:val="none"/>
        </w:rPr>
        <w:t>承</w:t>
      </w:r>
      <w:r>
        <w:rPr>
          <w:rFonts w:hint="eastAsia" w:ascii="宋体" w:hAnsi="宋体" w:cs="宋体"/>
          <w:spacing w:val="-3"/>
          <w:szCs w:val="24"/>
          <w:highlight w:val="none"/>
        </w:rPr>
        <w:t>包</w:t>
      </w:r>
      <w:r>
        <w:rPr>
          <w:rFonts w:hint="eastAsia" w:ascii="宋体" w:hAnsi="宋体" w:cs="宋体"/>
          <w:szCs w:val="24"/>
          <w:highlight w:val="none"/>
        </w:rPr>
        <w:t>人需</w:t>
      </w:r>
      <w:r>
        <w:rPr>
          <w:rFonts w:hint="eastAsia" w:ascii="宋体" w:hAnsi="宋体" w:cs="宋体"/>
          <w:spacing w:val="-3"/>
          <w:szCs w:val="24"/>
          <w:highlight w:val="none"/>
        </w:rPr>
        <w:t>在</w:t>
      </w:r>
      <w:r>
        <w:rPr>
          <w:rFonts w:hint="eastAsia" w:ascii="宋体" w:hAnsi="宋体" w:cs="宋体"/>
          <w:szCs w:val="24"/>
          <w:highlight w:val="none"/>
        </w:rPr>
        <w:t>投</w:t>
      </w:r>
      <w:r>
        <w:rPr>
          <w:rFonts w:hint="eastAsia" w:ascii="宋体" w:hAnsi="宋体" w:cs="宋体"/>
          <w:spacing w:val="-3"/>
          <w:szCs w:val="24"/>
          <w:highlight w:val="none"/>
        </w:rPr>
        <w:t>标</w:t>
      </w:r>
      <w:r>
        <w:rPr>
          <w:rFonts w:hint="eastAsia" w:ascii="宋体" w:hAnsi="宋体" w:cs="宋体"/>
          <w:szCs w:val="24"/>
          <w:highlight w:val="none"/>
        </w:rPr>
        <w:t>文</w:t>
      </w:r>
      <w:r>
        <w:rPr>
          <w:rFonts w:hint="eastAsia" w:ascii="宋体" w:hAnsi="宋体" w:cs="宋体"/>
          <w:spacing w:val="-3"/>
          <w:szCs w:val="24"/>
          <w:highlight w:val="none"/>
        </w:rPr>
        <w:t>件</w:t>
      </w:r>
      <w:r>
        <w:rPr>
          <w:rFonts w:hint="eastAsia" w:ascii="宋体" w:hAnsi="宋体" w:cs="宋体"/>
          <w:szCs w:val="24"/>
          <w:highlight w:val="none"/>
        </w:rPr>
        <w:t>中</w:t>
      </w:r>
      <w:r>
        <w:rPr>
          <w:rFonts w:hint="eastAsia" w:ascii="宋体" w:hAnsi="宋体" w:cs="宋体"/>
          <w:spacing w:val="-3"/>
          <w:szCs w:val="24"/>
          <w:highlight w:val="none"/>
        </w:rPr>
        <w:t>承</w:t>
      </w:r>
      <w:r>
        <w:rPr>
          <w:rFonts w:hint="eastAsia" w:ascii="宋体" w:hAnsi="宋体" w:cs="宋体"/>
          <w:szCs w:val="24"/>
          <w:highlight w:val="none"/>
        </w:rPr>
        <w:t>诺</w:t>
      </w:r>
      <w:r>
        <w:rPr>
          <w:rFonts w:hint="eastAsia" w:ascii="宋体" w:hAnsi="宋体" w:cs="宋体"/>
          <w:spacing w:val="-3"/>
          <w:szCs w:val="24"/>
          <w:highlight w:val="none"/>
        </w:rPr>
        <w:t>能</w:t>
      </w:r>
      <w:r>
        <w:rPr>
          <w:rFonts w:hint="eastAsia" w:ascii="宋体" w:hAnsi="宋体" w:cs="宋体"/>
          <w:szCs w:val="24"/>
          <w:highlight w:val="none"/>
        </w:rPr>
        <w:t>效目</w:t>
      </w:r>
      <w:r>
        <w:rPr>
          <w:rFonts w:hint="eastAsia" w:ascii="宋体" w:hAnsi="宋体" w:cs="宋体"/>
          <w:spacing w:val="-3"/>
          <w:szCs w:val="24"/>
          <w:highlight w:val="none"/>
        </w:rPr>
        <w:t>标</w:t>
      </w:r>
      <w:r>
        <w:rPr>
          <w:rFonts w:hint="eastAsia" w:ascii="宋体" w:hAnsi="宋体" w:cs="宋体"/>
          <w:szCs w:val="24"/>
          <w:highlight w:val="none"/>
        </w:rPr>
        <w:t>，</w:t>
      </w:r>
      <w:r>
        <w:rPr>
          <w:rFonts w:hint="eastAsia" w:ascii="宋体" w:hAnsi="宋体" w:cs="宋体"/>
          <w:spacing w:val="-3"/>
          <w:szCs w:val="24"/>
          <w:highlight w:val="none"/>
        </w:rPr>
        <w:t>且</w:t>
      </w:r>
      <w:r>
        <w:rPr>
          <w:rFonts w:hint="eastAsia" w:ascii="宋体" w:hAnsi="宋体" w:cs="宋体"/>
          <w:szCs w:val="24"/>
          <w:highlight w:val="none"/>
        </w:rPr>
        <w:t>提</w:t>
      </w:r>
      <w:r>
        <w:rPr>
          <w:rFonts w:hint="eastAsia" w:ascii="宋体" w:hAnsi="宋体" w:cs="宋体"/>
          <w:spacing w:val="-3"/>
          <w:szCs w:val="24"/>
          <w:highlight w:val="none"/>
        </w:rPr>
        <w:t>供</w:t>
      </w:r>
      <w:r>
        <w:rPr>
          <w:rFonts w:hint="eastAsia" w:ascii="宋体" w:hAnsi="宋体" w:cs="宋体"/>
          <w:szCs w:val="24"/>
          <w:highlight w:val="none"/>
        </w:rPr>
        <w:t>详</w:t>
      </w:r>
      <w:r>
        <w:rPr>
          <w:rFonts w:hint="eastAsia" w:ascii="宋体" w:hAnsi="宋体" w:cs="宋体"/>
          <w:spacing w:val="-3"/>
          <w:szCs w:val="24"/>
          <w:highlight w:val="none"/>
        </w:rPr>
        <w:t>细</w:t>
      </w:r>
      <w:r>
        <w:rPr>
          <w:rFonts w:hint="eastAsia" w:ascii="宋体" w:hAnsi="宋体" w:cs="宋体"/>
          <w:szCs w:val="24"/>
          <w:highlight w:val="none"/>
        </w:rPr>
        <w:t>的</w:t>
      </w:r>
      <w:r>
        <w:rPr>
          <w:rFonts w:hint="eastAsia" w:ascii="宋体" w:hAnsi="宋体" w:cs="宋体"/>
          <w:spacing w:val="-3"/>
          <w:szCs w:val="24"/>
          <w:highlight w:val="none"/>
        </w:rPr>
        <w:t>保</w:t>
      </w:r>
      <w:r>
        <w:rPr>
          <w:rFonts w:hint="eastAsia" w:ascii="宋体" w:hAnsi="宋体" w:cs="宋体"/>
          <w:szCs w:val="24"/>
          <w:highlight w:val="none"/>
        </w:rPr>
        <w:t>证能</w:t>
      </w:r>
      <w:r>
        <w:rPr>
          <w:rFonts w:hint="eastAsia" w:ascii="宋体" w:hAnsi="宋体" w:cs="宋体"/>
          <w:spacing w:val="-3"/>
          <w:szCs w:val="24"/>
          <w:highlight w:val="none"/>
        </w:rPr>
        <w:t>效</w:t>
      </w:r>
      <w:r>
        <w:rPr>
          <w:rFonts w:hint="eastAsia" w:ascii="宋体" w:hAnsi="宋体" w:cs="宋体"/>
          <w:szCs w:val="24"/>
          <w:highlight w:val="none"/>
        </w:rPr>
        <w:t>目</w:t>
      </w:r>
      <w:r>
        <w:rPr>
          <w:rFonts w:hint="eastAsia" w:ascii="宋体" w:hAnsi="宋体" w:cs="宋体"/>
          <w:spacing w:val="-3"/>
          <w:szCs w:val="24"/>
          <w:highlight w:val="none"/>
        </w:rPr>
        <w:t>标</w:t>
      </w:r>
      <w:r>
        <w:rPr>
          <w:rFonts w:hint="eastAsia" w:ascii="宋体" w:hAnsi="宋体" w:cs="宋体"/>
          <w:szCs w:val="24"/>
          <w:highlight w:val="none"/>
        </w:rPr>
        <w:t>实</w:t>
      </w:r>
      <w:r>
        <w:rPr>
          <w:rFonts w:hint="eastAsia" w:ascii="宋体" w:hAnsi="宋体" w:cs="宋体"/>
          <w:spacing w:val="-3"/>
          <w:szCs w:val="24"/>
          <w:highlight w:val="none"/>
        </w:rPr>
        <w:t>现</w:t>
      </w:r>
      <w:r>
        <w:rPr>
          <w:rFonts w:hint="eastAsia" w:ascii="宋体" w:hAnsi="宋体" w:cs="宋体"/>
          <w:szCs w:val="24"/>
          <w:highlight w:val="none"/>
        </w:rPr>
        <w:t>方</w:t>
      </w:r>
      <w:r>
        <w:rPr>
          <w:rFonts w:hint="eastAsia" w:ascii="宋体" w:hAnsi="宋体" w:cs="宋体"/>
          <w:spacing w:val="-3"/>
          <w:szCs w:val="24"/>
          <w:highlight w:val="none"/>
        </w:rPr>
        <w:t>案。</w:t>
      </w:r>
      <w:r>
        <w:rPr>
          <w:rFonts w:hint="eastAsia" w:ascii="宋体" w:hAnsi="宋体" w:cs="宋体"/>
          <w:szCs w:val="21"/>
          <w:highlight w:val="none"/>
        </w:rPr>
        <w:t xml:space="preserve"> </w:t>
      </w:r>
    </w:p>
    <w:p>
      <w:pPr>
        <w:keepNext/>
        <w:keepLines/>
        <w:outlineLvl w:val="2"/>
        <w:rPr>
          <w:b/>
          <w:bCs/>
          <w:sz w:val="28"/>
          <w:szCs w:val="32"/>
          <w:highlight w:val="none"/>
        </w:rPr>
      </w:pPr>
      <w:bookmarkStart w:id="206" w:name="_Toc26886"/>
      <w:r>
        <w:rPr>
          <w:b/>
          <w:bCs/>
          <w:sz w:val="28"/>
          <w:szCs w:val="32"/>
          <w:highlight w:val="none"/>
        </w:rPr>
        <w:t>1</w:t>
      </w:r>
      <w:r>
        <w:rPr>
          <w:rFonts w:hint="eastAsia"/>
          <w:b/>
          <w:bCs/>
          <w:sz w:val="28"/>
          <w:szCs w:val="32"/>
          <w:highlight w:val="none"/>
        </w:rPr>
        <w:t>.2 总体要求</w:t>
      </w:r>
      <w:bookmarkEnd w:id="206"/>
    </w:p>
    <w:p>
      <w:pPr>
        <w:widowControl/>
        <w:tabs>
          <w:tab w:val="left" w:pos="0"/>
          <w:tab w:val="left" w:pos="993"/>
          <w:tab w:val="left" w:pos="1134"/>
        </w:tabs>
        <w:snapToGrid w:val="0"/>
        <w:ind w:right="118"/>
        <w:rPr>
          <w:rFonts w:ascii="宋体" w:hAnsi="宋体" w:cs="宋体"/>
          <w:szCs w:val="24"/>
          <w:highlight w:val="none"/>
        </w:rPr>
      </w:pPr>
      <w:r>
        <w:rPr>
          <w:rFonts w:hint="eastAsia" w:ascii="宋体" w:hAnsi="宋体" w:cs="宋体"/>
          <w:szCs w:val="24"/>
          <w:highlight w:val="none"/>
        </w:rPr>
        <w:t>1</w:t>
      </w:r>
      <w:r>
        <w:rPr>
          <w:rFonts w:hint="eastAsia" w:ascii="宋体" w:hAnsi="宋体" w:cs="宋体"/>
          <w:spacing w:val="-51"/>
          <w:szCs w:val="24"/>
          <w:highlight w:val="none"/>
        </w:rPr>
        <w:t>、</w:t>
      </w:r>
      <w:r>
        <w:rPr>
          <w:rFonts w:hint="eastAsia" w:ascii="宋体" w:hAnsi="宋体" w:cs="宋体"/>
          <w:szCs w:val="24"/>
          <w:highlight w:val="none"/>
        </w:rPr>
        <w:t>应</w:t>
      </w:r>
      <w:r>
        <w:rPr>
          <w:rFonts w:hint="eastAsia" w:ascii="宋体" w:hAnsi="宋体" w:cs="宋体"/>
          <w:spacing w:val="-3"/>
          <w:szCs w:val="24"/>
          <w:highlight w:val="none"/>
        </w:rPr>
        <w:t>遵</w:t>
      </w:r>
      <w:r>
        <w:rPr>
          <w:rFonts w:hint="eastAsia" w:ascii="宋体" w:hAnsi="宋体" w:cs="宋体"/>
          <w:szCs w:val="24"/>
          <w:highlight w:val="none"/>
        </w:rPr>
        <w:t>守</w:t>
      </w:r>
      <w:r>
        <w:rPr>
          <w:rFonts w:hint="eastAsia" w:ascii="宋体" w:hAnsi="宋体" w:cs="宋体"/>
          <w:spacing w:val="-3"/>
          <w:szCs w:val="24"/>
          <w:highlight w:val="none"/>
        </w:rPr>
        <w:t>所</w:t>
      </w:r>
      <w:r>
        <w:rPr>
          <w:rFonts w:hint="eastAsia" w:ascii="宋体" w:hAnsi="宋体" w:cs="宋体"/>
          <w:szCs w:val="24"/>
          <w:highlight w:val="none"/>
        </w:rPr>
        <w:t>有</w:t>
      </w:r>
      <w:r>
        <w:rPr>
          <w:rFonts w:hint="eastAsia" w:ascii="宋体" w:hAnsi="宋体" w:cs="宋体"/>
          <w:spacing w:val="-3"/>
          <w:szCs w:val="24"/>
          <w:highlight w:val="none"/>
        </w:rPr>
        <w:t>相</w:t>
      </w:r>
      <w:r>
        <w:rPr>
          <w:rFonts w:hint="eastAsia" w:ascii="宋体" w:hAnsi="宋体" w:cs="宋体"/>
          <w:szCs w:val="24"/>
          <w:highlight w:val="none"/>
        </w:rPr>
        <w:t>关国</w:t>
      </w:r>
      <w:r>
        <w:rPr>
          <w:rFonts w:hint="eastAsia" w:ascii="宋体" w:hAnsi="宋体" w:cs="宋体"/>
          <w:spacing w:val="-3"/>
          <w:szCs w:val="24"/>
          <w:highlight w:val="none"/>
        </w:rPr>
        <w:t>家规</w:t>
      </w:r>
      <w:r>
        <w:rPr>
          <w:rFonts w:hint="eastAsia" w:ascii="宋体" w:hAnsi="宋体" w:cs="宋体"/>
          <w:szCs w:val="24"/>
          <w:highlight w:val="none"/>
        </w:rPr>
        <w:t>范</w:t>
      </w:r>
      <w:r>
        <w:rPr>
          <w:rFonts w:hint="eastAsia" w:ascii="宋体" w:hAnsi="宋体" w:cs="宋体"/>
          <w:spacing w:val="-51"/>
          <w:szCs w:val="24"/>
          <w:highlight w:val="none"/>
        </w:rPr>
        <w:t>、</w:t>
      </w:r>
      <w:r>
        <w:rPr>
          <w:rFonts w:hint="eastAsia" w:ascii="宋体" w:hAnsi="宋体" w:cs="宋体"/>
          <w:szCs w:val="24"/>
          <w:highlight w:val="none"/>
        </w:rPr>
        <w:t>地</w:t>
      </w:r>
      <w:r>
        <w:rPr>
          <w:rFonts w:hint="eastAsia" w:ascii="宋体" w:hAnsi="宋体" w:cs="宋体"/>
          <w:spacing w:val="-3"/>
          <w:szCs w:val="24"/>
          <w:highlight w:val="none"/>
        </w:rPr>
        <w:t>方</w:t>
      </w:r>
      <w:r>
        <w:rPr>
          <w:rFonts w:hint="eastAsia" w:ascii="宋体" w:hAnsi="宋体" w:cs="宋体"/>
          <w:szCs w:val="24"/>
          <w:highlight w:val="none"/>
        </w:rPr>
        <w:t>标</w:t>
      </w:r>
      <w:r>
        <w:rPr>
          <w:rFonts w:hint="eastAsia" w:ascii="宋体" w:hAnsi="宋体" w:cs="宋体"/>
          <w:spacing w:val="-3"/>
          <w:szCs w:val="24"/>
          <w:highlight w:val="none"/>
        </w:rPr>
        <w:t>准</w:t>
      </w:r>
      <w:r>
        <w:rPr>
          <w:rFonts w:hint="eastAsia" w:ascii="宋体" w:hAnsi="宋体" w:cs="宋体"/>
          <w:szCs w:val="24"/>
          <w:highlight w:val="none"/>
        </w:rPr>
        <w:t>以</w:t>
      </w:r>
      <w:r>
        <w:rPr>
          <w:rFonts w:hint="eastAsia" w:ascii="宋体" w:hAnsi="宋体" w:cs="宋体"/>
          <w:spacing w:val="-3"/>
          <w:szCs w:val="24"/>
          <w:highlight w:val="none"/>
        </w:rPr>
        <w:t>及</w:t>
      </w:r>
      <w:r>
        <w:rPr>
          <w:rFonts w:hint="eastAsia" w:ascii="宋体" w:hAnsi="宋体" w:cs="宋体"/>
          <w:szCs w:val="24"/>
          <w:highlight w:val="none"/>
        </w:rPr>
        <w:t>施</w:t>
      </w:r>
      <w:r>
        <w:rPr>
          <w:rFonts w:hint="eastAsia" w:ascii="宋体" w:hAnsi="宋体" w:cs="宋体"/>
          <w:spacing w:val="-3"/>
          <w:szCs w:val="24"/>
          <w:highlight w:val="none"/>
        </w:rPr>
        <w:t>工图</w:t>
      </w:r>
      <w:r>
        <w:rPr>
          <w:rFonts w:hint="eastAsia" w:ascii="宋体" w:hAnsi="宋体" w:cs="宋体"/>
          <w:szCs w:val="24"/>
          <w:highlight w:val="none"/>
        </w:rPr>
        <w:t>纸要</w:t>
      </w:r>
      <w:r>
        <w:rPr>
          <w:rFonts w:hint="eastAsia" w:ascii="宋体" w:hAnsi="宋体" w:cs="宋体"/>
          <w:spacing w:val="-3"/>
          <w:szCs w:val="24"/>
          <w:highlight w:val="none"/>
        </w:rPr>
        <w:t>求</w:t>
      </w:r>
      <w:r>
        <w:rPr>
          <w:rFonts w:hint="eastAsia" w:ascii="宋体" w:hAnsi="宋体" w:cs="宋体"/>
          <w:spacing w:val="-51"/>
          <w:szCs w:val="24"/>
          <w:highlight w:val="none"/>
        </w:rPr>
        <w:t>，</w:t>
      </w:r>
      <w:r>
        <w:rPr>
          <w:rFonts w:hint="eastAsia" w:ascii="宋体" w:hAnsi="宋体" w:cs="宋体"/>
          <w:szCs w:val="24"/>
          <w:highlight w:val="none"/>
        </w:rPr>
        <w:t>如</w:t>
      </w:r>
      <w:r>
        <w:rPr>
          <w:rFonts w:hint="eastAsia" w:ascii="宋体" w:hAnsi="宋体" w:cs="宋体"/>
          <w:spacing w:val="-3"/>
          <w:szCs w:val="24"/>
          <w:highlight w:val="none"/>
        </w:rPr>
        <w:t>有</w:t>
      </w:r>
      <w:r>
        <w:rPr>
          <w:rFonts w:hint="eastAsia" w:ascii="宋体" w:hAnsi="宋体" w:cs="宋体"/>
          <w:szCs w:val="24"/>
          <w:highlight w:val="none"/>
        </w:rPr>
        <w:t>差</w:t>
      </w:r>
      <w:r>
        <w:rPr>
          <w:rFonts w:hint="eastAsia" w:ascii="宋体" w:hAnsi="宋体" w:cs="宋体"/>
          <w:spacing w:val="-3"/>
          <w:szCs w:val="24"/>
          <w:highlight w:val="none"/>
        </w:rPr>
        <w:t>异</w:t>
      </w:r>
      <w:r>
        <w:rPr>
          <w:rFonts w:hint="eastAsia" w:ascii="宋体" w:hAnsi="宋体" w:cs="宋体"/>
          <w:spacing w:val="-51"/>
          <w:szCs w:val="24"/>
          <w:highlight w:val="none"/>
        </w:rPr>
        <w:t>，</w:t>
      </w:r>
      <w:r>
        <w:rPr>
          <w:rFonts w:hint="eastAsia" w:ascii="宋体" w:hAnsi="宋体" w:cs="宋体"/>
          <w:szCs w:val="24"/>
          <w:highlight w:val="none"/>
        </w:rPr>
        <w:t>应</w:t>
      </w:r>
      <w:r>
        <w:rPr>
          <w:rFonts w:hint="eastAsia" w:ascii="宋体" w:hAnsi="宋体" w:cs="宋体"/>
          <w:spacing w:val="-3"/>
          <w:szCs w:val="24"/>
          <w:highlight w:val="none"/>
        </w:rPr>
        <w:t>按最</w:t>
      </w:r>
      <w:r>
        <w:rPr>
          <w:rFonts w:hint="eastAsia" w:ascii="宋体" w:hAnsi="宋体" w:cs="宋体"/>
          <w:szCs w:val="24"/>
          <w:highlight w:val="none"/>
        </w:rPr>
        <w:t>新和</w:t>
      </w:r>
      <w:r>
        <w:rPr>
          <w:rFonts w:hint="eastAsia" w:ascii="宋体" w:hAnsi="宋体" w:cs="宋体"/>
          <w:spacing w:val="-3"/>
          <w:szCs w:val="24"/>
          <w:highlight w:val="none"/>
        </w:rPr>
        <w:t>要</w:t>
      </w:r>
      <w:r>
        <w:rPr>
          <w:rFonts w:hint="eastAsia" w:ascii="宋体" w:hAnsi="宋体" w:cs="宋体"/>
          <w:szCs w:val="24"/>
          <w:highlight w:val="none"/>
        </w:rPr>
        <w:t>求</w:t>
      </w:r>
      <w:r>
        <w:rPr>
          <w:rFonts w:hint="eastAsia" w:ascii="宋体" w:hAnsi="宋体" w:cs="宋体"/>
          <w:spacing w:val="-3"/>
          <w:szCs w:val="24"/>
          <w:highlight w:val="none"/>
        </w:rPr>
        <w:t>高</w:t>
      </w:r>
      <w:r>
        <w:rPr>
          <w:rFonts w:hint="eastAsia" w:ascii="宋体" w:hAnsi="宋体" w:cs="宋体"/>
          <w:szCs w:val="24"/>
          <w:highlight w:val="none"/>
        </w:rPr>
        <w:t>的</w:t>
      </w:r>
      <w:r>
        <w:rPr>
          <w:rFonts w:hint="eastAsia" w:ascii="宋体" w:hAnsi="宋体" w:cs="宋体"/>
          <w:spacing w:val="-3"/>
          <w:szCs w:val="24"/>
          <w:highlight w:val="none"/>
        </w:rPr>
        <w:t>规</w:t>
      </w:r>
      <w:r>
        <w:rPr>
          <w:rFonts w:hint="eastAsia" w:ascii="宋体" w:hAnsi="宋体" w:cs="宋体"/>
          <w:szCs w:val="24"/>
          <w:highlight w:val="none"/>
        </w:rPr>
        <w:t>范</w:t>
      </w:r>
      <w:r>
        <w:rPr>
          <w:rFonts w:hint="eastAsia" w:ascii="宋体" w:hAnsi="宋体" w:cs="宋体"/>
          <w:spacing w:val="-3"/>
          <w:szCs w:val="24"/>
          <w:highlight w:val="none"/>
        </w:rPr>
        <w:t>执</w:t>
      </w:r>
      <w:r>
        <w:rPr>
          <w:rFonts w:hint="eastAsia" w:ascii="宋体" w:hAnsi="宋体" w:cs="宋体"/>
          <w:szCs w:val="24"/>
          <w:highlight w:val="none"/>
        </w:rPr>
        <w:t>行</w:t>
      </w:r>
      <w:r>
        <w:rPr>
          <w:rFonts w:hint="eastAsia" w:ascii="宋体" w:hAnsi="宋体" w:cs="宋体"/>
          <w:spacing w:val="-3"/>
          <w:szCs w:val="24"/>
          <w:highlight w:val="none"/>
        </w:rPr>
        <w:t>。</w:t>
      </w:r>
      <w:r>
        <w:rPr>
          <w:rFonts w:hint="eastAsia" w:ascii="宋体" w:hAnsi="宋体" w:cs="宋体"/>
          <w:szCs w:val="24"/>
          <w:highlight w:val="none"/>
        </w:rPr>
        <w:t xml:space="preserve"> </w:t>
      </w:r>
    </w:p>
    <w:p>
      <w:pPr>
        <w:widowControl/>
        <w:tabs>
          <w:tab w:val="left" w:pos="0"/>
          <w:tab w:val="left" w:pos="993"/>
          <w:tab w:val="left" w:pos="1134"/>
        </w:tabs>
        <w:snapToGrid w:val="0"/>
        <w:rPr>
          <w:rFonts w:ascii="宋体" w:hAnsi="宋体" w:cs="宋体"/>
          <w:szCs w:val="24"/>
          <w:highlight w:val="none"/>
        </w:rPr>
      </w:pPr>
      <w:r>
        <w:rPr>
          <w:rFonts w:hint="eastAsia" w:ascii="宋体" w:hAnsi="宋体" w:cs="宋体"/>
          <w:szCs w:val="24"/>
          <w:highlight w:val="none"/>
        </w:rPr>
        <w:t>2</w:t>
      </w:r>
      <w:r>
        <w:rPr>
          <w:rFonts w:hint="eastAsia" w:ascii="宋体" w:hAnsi="宋体" w:cs="宋体"/>
          <w:spacing w:val="-13"/>
          <w:szCs w:val="24"/>
          <w:highlight w:val="none"/>
        </w:rPr>
        <w:t>、</w:t>
      </w:r>
      <w:r>
        <w:rPr>
          <w:rFonts w:hint="eastAsia" w:ascii="宋体" w:hAnsi="宋体" w:cs="宋体"/>
          <w:szCs w:val="24"/>
          <w:highlight w:val="none"/>
        </w:rPr>
        <w:t>现</w:t>
      </w:r>
      <w:r>
        <w:rPr>
          <w:rFonts w:hint="eastAsia" w:ascii="宋体" w:hAnsi="宋体" w:cs="宋体"/>
          <w:spacing w:val="-3"/>
          <w:szCs w:val="24"/>
          <w:highlight w:val="none"/>
        </w:rPr>
        <w:t>设</w:t>
      </w:r>
      <w:r>
        <w:rPr>
          <w:rFonts w:hint="eastAsia" w:ascii="宋体" w:hAnsi="宋体" w:cs="宋体"/>
          <w:szCs w:val="24"/>
          <w:highlight w:val="none"/>
        </w:rPr>
        <w:t>计</w:t>
      </w:r>
      <w:r>
        <w:rPr>
          <w:rFonts w:hint="eastAsia" w:ascii="宋体" w:hAnsi="宋体" w:cs="宋体"/>
          <w:spacing w:val="-3"/>
          <w:szCs w:val="24"/>
          <w:highlight w:val="none"/>
        </w:rPr>
        <w:t>条</w:t>
      </w:r>
      <w:r>
        <w:rPr>
          <w:rFonts w:hint="eastAsia" w:ascii="宋体" w:hAnsi="宋体" w:cs="宋体"/>
          <w:szCs w:val="24"/>
          <w:highlight w:val="none"/>
        </w:rPr>
        <w:t>件</w:t>
      </w:r>
      <w:r>
        <w:rPr>
          <w:rFonts w:hint="eastAsia" w:ascii="宋体" w:hAnsi="宋体" w:cs="宋体"/>
          <w:spacing w:val="-15"/>
          <w:szCs w:val="24"/>
          <w:highlight w:val="none"/>
        </w:rPr>
        <w:t>：</w:t>
      </w:r>
      <w:r>
        <w:rPr>
          <w:rFonts w:hint="eastAsia" w:ascii="宋体" w:hAnsi="宋体" w:cs="宋体"/>
          <w:szCs w:val="24"/>
          <w:highlight w:val="none"/>
        </w:rPr>
        <w:t>冷</w:t>
      </w:r>
      <w:r>
        <w:rPr>
          <w:rFonts w:hint="eastAsia" w:ascii="宋体" w:hAnsi="宋体" w:cs="宋体"/>
          <w:spacing w:val="-3"/>
          <w:szCs w:val="24"/>
          <w:highlight w:val="none"/>
        </w:rPr>
        <w:t>冻</w:t>
      </w:r>
      <w:r>
        <w:rPr>
          <w:rFonts w:hint="eastAsia" w:ascii="宋体" w:hAnsi="宋体" w:cs="宋体"/>
          <w:szCs w:val="24"/>
          <w:highlight w:val="none"/>
        </w:rPr>
        <w:t>水</w:t>
      </w:r>
      <w:r>
        <w:rPr>
          <w:rFonts w:hint="eastAsia" w:ascii="宋体" w:hAnsi="宋体" w:cs="宋体"/>
          <w:spacing w:val="-3"/>
          <w:szCs w:val="24"/>
          <w:highlight w:val="none"/>
        </w:rPr>
        <w:t>供</w:t>
      </w:r>
      <w:r>
        <w:rPr>
          <w:rFonts w:hint="eastAsia" w:ascii="宋体" w:hAnsi="宋体" w:cs="宋体"/>
          <w:spacing w:val="-13"/>
          <w:szCs w:val="24"/>
          <w:highlight w:val="none"/>
        </w:rPr>
        <w:t>、</w:t>
      </w:r>
      <w:r>
        <w:rPr>
          <w:rFonts w:hint="eastAsia" w:ascii="宋体" w:hAnsi="宋体" w:cs="宋体"/>
          <w:szCs w:val="24"/>
          <w:highlight w:val="none"/>
        </w:rPr>
        <w:t>回</w:t>
      </w:r>
      <w:r>
        <w:rPr>
          <w:rFonts w:hint="eastAsia" w:ascii="宋体" w:hAnsi="宋体" w:cs="宋体"/>
          <w:spacing w:val="-3"/>
          <w:szCs w:val="24"/>
          <w:highlight w:val="none"/>
        </w:rPr>
        <w:t>水</w:t>
      </w:r>
      <w:r>
        <w:rPr>
          <w:rFonts w:hint="eastAsia" w:ascii="宋体" w:hAnsi="宋体" w:cs="宋体"/>
          <w:szCs w:val="24"/>
          <w:highlight w:val="none"/>
        </w:rPr>
        <w:t>温度</w:t>
      </w:r>
      <w:r>
        <w:rPr>
          <w:rFonts w:hint="eastAsia" w:ascii="宋体" w:hAnsi="宋体" w:cs="宋体"/>
          <w:spacing w:val="-15"/>
          <w:szCs w:val="24"/>
          <w:highlight w:val="none"/>
        </w:rPr>
        <w:t>：</w:t>
      </w:r>
      <w:r>
        <w:rPr>
          <w:rFonts w:hint="eastAsia" w:ascii="宋体" w:hAnsi="宋体" w:cs="宋体"/>
          <w:szCs w:val="24"/>
          <w:highlight w:val="none"/>
        </w:rPr>
        <w:t>6℃</w:t>
      </w:r>
      <w:r>
        <w:rPr>
          <w:rFonts w:hint="eastAsia" w:ascii="宋体" w:hAnsi="宋体" w:cs="宋体"/>
          <w:spacing w:val="-3"/>
          <w:szCs w:val="24"/>
          <w:highlight w:val="none"/>
        </w:rPr>
        <w:t xml:space="preserve"> </w:t>
      </w:r>
      <w:r>
        <w:rPr>
          <w:rFonts w:hint="eastAsia" w:ascii="宋体" w:hAnsi="宋体" w:cs="宋体"/>
          <w:szCs w:val="24"/>
          <w:highlight w:val="none"/>
        </w:rPr>
        <w:t>/1</w:t>
      </w:r>
      <w:r>
        <w:rPr>
          <w:rFonts w:hint="eastAsia" w:ascii="宋体" w:hAnsi="宋体" w:cs="宋体"/>
          <w:spacing w:val="-3"/>
          <w:szCs w:val="24"/>
          <w:highlight w:val="none"/>
        </w:rPr>
        <w:t>3</w:t>
      </w:r>
      <w:r>
        <w:rPr>
          <w:rFonts w:hint="eastAsia" w:ascii="宋体" w:hAnsi="宋体" w:cs="宋体"/>
          <w:szCs w:val="24"/>
          <w:highlight w:val="none"/>
        </w:rPr>
        <w:t>℃</w:t>
      </w:r>
      <w:r>
        <w:rPr>
          <w:rFonts w:hint="eastAsia" w:ascii="宋体" w:hAnsi="宋体" w:cs="宋体"/>
          <w:spacing w:val="-15"/>
          <w:szCs w:val="24"/>
          <w:highlight w:val="none"/>
        </w:rPr>
        <w:t>；</w:t>
      </w:r>
      <w:r>
        <w:rPr>
          <w:rFonts w:hint="eastAsia" w:ascii="宋体" w:hAnsi="宋体" w:cs="宋体"/>
          <w:szCs w:val="24"/>
          <w:highlight w:val="none"/>
        </w:rPr>
        <w:t>蓄冷</w:t>
      </w:r>
      <w:r>
        <w:rPr>
          <w:rFonts w:hint="eastAsia" w:ascii="宋体" w:hAnsi="宋体" w:cs="宋体"/>
          <w:spacing w:val="-3"/>
          <w:szCs w:val="24"/>
          <w:highlight w:val="none"/>
        </w:rPr>
        <w:t>供</w:t>
      </w:r>
      <w:r>
        <w:rPr>
          <w:rFonts w:hint="eastAsia" w:ascii="宋体" w:hAnsi="宋体" w:cs="宋体"/>
          <w:spacing w:val="-13"/>
          <w:szCs w:val="24"/>
          <w:highlight w:val="none"/>
        </w:rPr>
        <w:t>、</w:t>
      </w:r>
      <w:r>
        <w:rPr>
          <w:rFonts w:hint="eastAsia" w:ascii="宋体" w:hAnsi="宋体" w:cs="宋体"/>
          <w:spacing w:val="-3"/>
          <w:szCs w:val="24"/>
          <w:highlight w:val="none"/>
        </w:rPr>
        <w:t>回</w:t>
      </w:r>
      <w:r>
        <w:rPr>
          <w:rFonts w:hint="eastAsia" w:ascii="宋体" w:hAnsi="宋体" w:cs="宋体"/>
          <w:szCs w:val="24"/>
          <w:highlight w:val="none"/>
        </w:rPr>
        <w:t>水</w:t>
      </w:r>
      <w:r>
        <w:rPr>
          <w:rFonts w:hint="eastAsia" w:ascii="宋体" w:hAnsi="宋体" w:cs="宋体"/>
          <w:spacing w:val="-3"/>
          <w:szCs w:val="24"/>
          <w:highlight w:val="none"/>
        </w:rPr>
        <w:t>温</w:t>
      </w:r>
      <w:r>
        <w:rPr>
          <w:rFonts w:hint="eastAsia" w:ascii="宋体" w:hAnsi="宋体" w:cs="宋体"/>
          <w:szCs w:val="24"/>
          <w:highlight w:val="none"/>
        </w:rPr>
        <w:t>度</w:t>
      </w:r>
      <w:r>
        <w:rPr>
          <w:rFonts w:hint="eastAsia" w:ascii="宋体" w:hAnsi="宋体" w:cs="宋体"/>
          <w:spacing w:val="-12"/>
          <w:szCs w:val="24"/>
          <w:highlight w:val="none"/>
        </w:rPr>
        <w:t>：</w:t>
      </w:r>
      <w:r>
        <w:rPr>
          <w:rFonts w:hint="eastAsia" w:ascii="宋体" w:hAnsi="宋体" w:cs="宋体"/>
          <w:spacing w:val="-3"/>
          <w:szCs w:val="24"/>
          <w:highlight w:val="none"/>
        </w:rPr>
        <w:t>4</w:t>
      </w:r>
      <w:r>
        <w:rPr>
          <w:rFonts w:hint="eastAsia" w:ascii="宋体" w:hAnsi="宋体" w:cs="宋体"/>
          <w:szCs w:val="24"/>
          <w:highlight w:val="none"/>
        </w:rPr>
        <w:t>℃/</w:t>
      </w:r>
      <w:r>
        <w:rPr>
          <w:rFonts w:hint="eastAsia" w:ascii="宋体" w:hAnsi="宋体" w:cs="宋体"/>
          <w:spacing w:val="-3"/>
          <w:szCs w:val="24"/>
          <w:highlight w:val="none"/>
        </w:rPr>
        <w:t>1</w:t>
      </w:r>
      <w:r>
        <w:rPr>
          <w:rFonts w:hint="eastAsia" w:ascii="宋体" w:hAnsi="宋体" w:cs="宋体"/>
          <w:szCs w:val="24"/>
          <w:highlight w:val="none"/>
        </w:rPr>
        <w:t>3℃</w:t>
      </w:r>
      <w:r>
        <w:rPr>
          <w:rFonts w:hint="eastAsia" w:ascii="宋体" w:hAnsi="宋体" w:cs="宋体"/>
          <w:spacing w:val="-13"/>
          <w:szCs w:val="24"/>
          <w:highlight w:val="none"/>
        </w:rPr>
        <w:t>，</w:t>
      </w:r>
      <w:r>
        <w:rPr>
          <w:rFonts w:hint="eastAsia" w:ascii="宋体" w:hAnsi="宋体" w:cs="宋体"/>
          <w:spacing w:val="-3"/>
          <w:szCs w:val="24"/>
          <w:highlight w:val="none"/>
        </w:rPr>
        <w:t>该</w:t>
      </w:r>
      <w:r>
        <w:rPr>
          <w:rFonts w:hint="eastAsia" w:ascii="宋体" w:hAnsi="宋体" w:cs="宋体"/>
          <w:szCs w:val="24"/>
          <w:highlight w:val="none"/>
        </w:rPr>
        <w:t>设</w:t>
      </w:r>
      <w:r>
        <w:rPr>
          <w:rFonts w:hint="eastAsia" w:ascii="宋体" w:hAnsi="宋体" w:cs="宋体"/>
          <w:spacing w:val="-3"/>
          <w:szCs w:val="24"/>
          <w:highlight w:val="none"/>
        </w:rPr>
        <w:t>计</w:t>
      </w:r>
      <w:r>
        <w:rPr>
          <w:rFonts w:hint="eastAsia" w:ascii="宋体" w:hAnsi="宋体" w:cs="宋体"/>
          <w:szCs w:val="24"/>
          <w:highlight w:val="none"/>
        </w:rPr>
        <w:t>条</w:t>
      </w:r>
      <w:r>
        <w:rPr>
          <w:rFonts w:hint="eastAsia" w:ascii="宋体" w:hAnsi="宋体" w:cs="宋体"/>
          <w:spacing w:val="-3"/>
          <w:szCs w:val="24"/>
          <w:highlight w:val="none"/>
        </w:rPr>
        <w:t>件</w:t>
      </w:r>
      <w:r>
        <w:rPr>
          <w:rFonts w:hint="eastAsia" w:ascii="宋体" w:hAnsi="宋体" w:cs="宋体"/>
          <w:szCs w:val="24"/>
          <w:highlight w:val="none"/>
        </w:rPr>
        <w:t>需</w:t>
      </w:r>
      <w:r>
        <w:rPr>
          <w:rFonts w:hint="eastAsia" w:ascii="宋体" w:hAnsi="宋体" w:cs="宋体"/>
          <w:spacing w:val="-3"/>
          <w:szCs w:val="24"/>
          <w:highlight w:val="none"/>
        </w:rPr>
        <w:t>得</w:t>
      </w:r>
      <w:r>
        <w:rPr>
          <w:rFonts w:hint="eastAsia" w:ascii="宋体" w:hAnsi="宋体" w:cs="宋体"/>
          <w:szCs w:val="24"/>
          <w:highlight w:val="none"/>
        </w:rPr>
        <w:t>到保证</w:t>
      </w:r>
      <w:r>
        <w:rPr>
          <w:rFonts w:hint="eastAsia" w:ascii="宋体" w:hAnsi="宋体" w:cs="宋体"/>
          <w:spacing w:val="-3"/>
          <w:szCs w:val="24"/>
          <w:highlight w:val="none"/>
        </w:rPr>
        <w:t>。</w:t>
      </w:r>
      <w:r>
        <w:rPr>
          <w:rFonts w:hint="eastAsia" w:ascii="宋体" w:hAnsi="宋体" w:cs="宋体"/>
          <w:szCs w:val="24"/>
          <w:highlight w:val="none"/>
        </w:rPr>
        <w:t xml:space="preserve"> </w:t>
      </w:r>
    </w:p>
    <w:p>
      <w:pPr>
        <w:widowControl/>
        <w:tabs>
          <w:tab w:val="left" w:pos="0"/>
          <w:tab w:val="left" w:pos="993"/>
          <w:tab w:val="left" w:pos="1134"/>
        </w:tabs>
        <w:snapToGrid w:val="0"/>
        <w:ind w:right="88"/>
        <w:rPr>
          <w:rFonts w:ascii="宋体" w:hAnsi="宋体" w:cs="宋体"/>
          <w:szCs w:val="24"/>
          <w:highlight w:val="none"/>
        </w:rPr>
      </w:pPr>
      <w:r>
        <w:rPr>
          <w:rFonts w:hint="eastAsia" w:ascii="宋体" w:hAnsi="宋体" w:cs="宋体"/>
          <w:szCs w:val="24"/>
          <w:highlight w:val="none"/>
        </w:rPr>
        <w:t>3</w:t>
      </w:r>
      <w:r>
        <w:rPr>
          <w:rFonts w:hint="eastAsia" w:ascii="宋体" w:hAnsi="宋体" w:cs="宋体"/>
          <w:spacing w:val="-3"/>
          <w:szCs w:val="24"/>
          <w:highlight w:val="none"/>
        </w:rPr>
        <w:t>、</w:t>
      </w:r>
      <w:r>
        <w:rPr>
          <w:rFonts w:hint="eastAsia" w:ascii="宋体" w:hAnsi="宋体" w:cs="宋体"/>
          <w:szCs w:val="24"/>
          <w:highlight w:val="none"/>
        </w:rPr>
        <w:t>冷却</w:t>
      </w:r>
      <w:r>
        <w:rPr>
          <w:rFonts w:hint="eastAsia" w:ascii="宋体" w:hAnsi="宋体" w:cs="宋体"/>
          <w:spacing w:val="-3"/>
          <w:szCs w:val="24"/>
          <w:highlight w:val="none"/>
        </w:rPr>
        <w:t>塔</w:t>
      </w:r>
      <w:r>
        <w:rPr>
          <w:rFonts w:hint="eastAsia" w:ascii="宋体" w:hAnsi="宋体" w:cs="宋体"/>
          <w:szCs w:val="24"/>
          <w:highlight w:val="none"/>
        </w:rPr>
        <w:t>的</w:t>
      </w:r>
      <w:r>
        <w:rPr>
          <w:rFonts w:hint="eastAsia" w:ascii="宋体" w:hAnsi="宋体" w:cs="宋体"/>
          <w:spacing w:val="-3"/>
          <w:szCs w:val="24"/>
          <w:highlight w:val="none"/>
        </w:rPr>
        <w:t>优</w:t>
      </w:r>
      <w:r>
        <w:rPr>
          <w:rFonts w:hint="eastAsia" w:ascii="宋体" w:hAnsi="宋体" w:cs="宋体"/>
          <w:szCs w:val="24"/>
          <w:highlight w:val="none"/>
        </w:rPr>
        <w:t>化</w:t>
      </w:r>
      <w:r>
        <w:rPr>
          <w:rFonts w:hint="eastAsia" w:ascii="宋体" w:hAnsi="宋体" w:cs="宋体"/>
          <w:spacing w:val="-3"/>
          <w:szCs w:val="24"/>
          <w:highlight w:val="none"/>
        </w:rPr>
        <w:t>设</w:t>
      </w:r>
      <w:r>
        <w:rPr>
          <w:rFonts w:hint="eastAsia" w:ascii="宋体" w:hAnsi="宋体" w:cs="宋体"/>
          <w:szCs w:val="24"/>
          <w:highlight w:val="none"/>
        </w:rPr>
        <w:t>计</w:t>
      </w:r>
      <w:r>
        <w:rPr>
          <w:rFonts w:hint="eastAsia" w:ascii="宋体" w:hAnsi="宋体" w:cs="宋体"/>
          <w:spacing w:val="-3"/>
          <w:szCs w:val="24"/>
          <w:highlight w:val="none"/>
        </w:rPr>
        <w:t>不</w:t>
      </w:r>
      <w:r>
        <w:rPr>
          <w:rFonts w:hint="eastAsia" w:ascii="宋体" w:hAnsi="宋体" w:cs="宋体"/>
          <w:szCs w:val="24"/>
          <w:highlight w:val="none"/>
        </w:rPr>
        <w:t>应</w:t>
      </w:r>
      <w:r>
        <w:rPr>
          <w:rFonts w:hint="eastAsia" w:ascii="宋体" w:hAnsi="宋体" w:cs="宋体"/>
          <w:spacing w:val="-3"/>
          <w:szCs w:val="24"/>
          <w:highlight w:val="none"/>
        </w:rPr>
        <w:t>突</w:t>
      </w:r>
      <w:r>
        <w:rPr>
          <w:rFonts w:hint="eastAsia" w:ascii="宋体" w:hAnsi="宋体" w:cs="宋体"/>
          <w:szCs w:val="24"/>
          <w:highlight w:val="none"/>
        </w:rPr>
        <w:t>破现</w:t>
      </w:r>
      <w:r>
        <w:rPr>
          <w:rFonts w:hint="eastAsia" w:ascii="宋体" w:hAnsi="宋体" w:cs="宋体"/>
          <w:spacing w:val="-3"/>
          <w:szCs w:val="24"/>
          <w:highlight w:val="none"/>
        </w:rPr>
        <w:t>有</w:t>
      </w:r>
      <w:r>
        <w:rPr>
          <w:rFonts w:hint="eastAsia" w:ascii="宋体" w:hAnsi="宋体" w:cs="宋体"/>
          <w:szCs w:val="24"/>
          <w:highlight w:val="none"/>
        </w:rPr>
        <w:t>设</w:t>
      </w:r>
      <w:r>
        <w:rPr>
          <w:rFonts w:hint="eastAsia" w:ascii="宋体" w:hAnsi="宋体" w:cs="宋体"/>
          <w:spacing w:val="-3"/>
          <w:szCs w:val="24"/>
          <w:highlight w:val="none"/>
        </w:rPr>
        <w:t>计</w:t>
      </w:r>
      <w:r>
        <w:rPr>
          <w:rFonts w:hint="eastAsia" w:ascii="宋体" w:hAnsi="宋体" w:cs="宋体"/>
          <w:szCs w:val="24"/>
          <w:highlight w:val="none"/>
        </w:rPr>
        <w:t>的</w:t>
      </w:r>
      <w:r>
        <w:rPr>
          <w:rFonts w:hint="eastAsia" w:ascii="宋体" w:hAnsi="宋体" w:cs="宋体"/>
          <w:spacing w:val="-3"/>
          <w:szCs w:val="24"/>
          <w:highlight w:val="none"/>
        </w:rPr>
        <w:t>安</w:t>
      </w:r>
      <w:r>
        <w:rPr>
          <w:rFonts w:hint="eastAsia" w:ascii="宋体" w:hAnsi="宋体" w:cs="宋体"/>
          <w:szCs w:val="24"/>
          <w:highlight w:val="none"/>
        </w:rPr>
        <w:t>装</w:t>
      </w:r>
      <w:r>
        <w:rPr>
          <w:rFonts w:hint="eastAsia" w:ascii="宋体" w:hAnsi="宋体" w:cs="宋体"/>
          <w:spacing w:val="-3"/>
          <w:szCs w:val="24"/>
          <w:highlight w:val="none"/>
        </w:rPr>
        <w:t>空</w:t>
      </w:r>
      <w:r>
        <w:rPr>
          <w:rFonts w:hint="eastAsia" w:ascii="宋体" w:hAnsi="宋体" w:cs="宋体"/>
          <w:szCs w:val="24"/>
          <w:highlight w:val="none"/>
        </w:rPr>
        <w:t>间</w:t>
      </w:r>
      <w:r>
        <w:rPr>
          <w:rFonts w:hint="eastAsia" w:ascii="宋体" w:hAnsi="宋体" w:cs="宋体"/>
          <w:spacing w:val="-3"/>
          <w:szCs w:val="24"/>
          <w:highlight w:val="none"/>
        </w:rPr>
        <w:t>及</w:t>
      </w:r>
      <w:r>
        <w:rPr>
          <w:rFonts w:hint="eastAsia" w:ascii="宋体" w:hAnsi="宋体" w:cs="宋体"/>
          <w:szCs w:val="24"/>
          <w:highlight w:val="none"/>
        </w:rPr>
        <w:t>位置</w:t>
      </w:r>
      <w:r>
        <w:rPr>
          <w:rFonts w:hint="eastAsia" w:ascii="宋体" w:hAnsi="宋体" w:cs="宋体"/>
          <w:spacing w:val="-3"/>
          <w:szCs w:val="24"/>
          <w:highlight w:val="none"/>
        </w:rPr>
        <w:t>。</w:t>
      </w:r>
      <w:r>
        <w:rPr>
          <w:rFonts w:hint="eastAsia" w:ascii="宋体" w:hAnsi="宋体" w:cs="宋体"/>
          <w:szCs w:val="24"/>
          <w:highlight w:val="none"/>
        </w:rPr>
        <w:t xml:space="preserve"> </w:t>
      </w:r>
    </w:p>
    <w:p>
      <w:pPr>
        <w:widowControl/>
        <w:tabs>
          <w:tab w:val="left" w:pos="0"/>
          <w:tab w:val="left" w:pos="993"/>
          <w:tab w:val="left" w:pos="1134"/>
        </w:tabs>
        <w:snapToGrid w:val="0"/>
        <w:ind w:right="88"/>
        <w:rPr>
          <w:rFonts w:ascii="宋体" w:hAnsi="宋体" w:cs="宋体"/>
          <w:szCs w:val="24"/>
          <w:highlight w:val="none"/>
        </w:rPr>
      </w:pPr>
      <w:r>
        <w:rPr>
          <w:rFonts w:hint="eastAsia" w:ascii="宋体" w:hAnsi="宋体" w:cs="宋体"/>
          <w:szCs w:val="24"/>
          <w:highlight w:val="none"/>
        </w:rPr>
        <w:t>4</w:t>
      </w:r>
      <w:r>
        <w:rPr>
          <w:rFonts w:hint="eastAsia" w:ascii="宋体" w:hAnsi="宋体" w:cs="宋体"/>
          <w:spacing w:val="-3"/>
          <w:szCs w:val="24"/>
          <w:highlight w:val="none"/>
        </w:rPr>
        <w:t>、</w:t>
      </w:r>
      <w:r>
        <w:rPr>
          <w:rFonts w:hint="eastAsia" w:ascii="宋体" w:hAnsi="宋体" w:cs="宋体"/>
          <w:szCs w:val="24"/>
          <w:highlight w:val="none"/>
        </w:rPr>
        <w:t>制冷</w:t>
      </w:r>
      <w:r>
        <w:rPr>
          <w:rFonts w:hint="eastAsia" w:ascii="宋体" w:hAnsi="宋体" w:cs="宋体"/>
          <w:spacing w:val="-3"/>
          <w:szCs w:val="24"/>
          <w:highlight w:val="none"/>
        </w:rPr>
        <w:t>机</w:t>
      </w:r>
      <w:r>
        <w:rPr>
          <w:rFonts w:hint="eastAsia" w:ascii="宋体" w:hAnsi="宋体" w:cs="宋体"/>
          <w:szCs w:val="24"/>
          <w:highlight w:val="none"/>
        </w:rPr>
        <w:t>房</w:t>
      </w:r>
      <w:r>
        <w:rPr>
          <w:rFonts w:hint="eastAsia" w:ascii="宋体" w:hAnsi="宋体" w:cs="宋体"/>
          <w:spacing w:val="-3"/>
          <w:szCs w:val="24"/>
          <w:highlight w:val="none"/>
        </w:rPr>
        <w:t>的</w:t>
      </w:r>
      <w:r>
        <w:rPr>
          <w:rFonts w:hint="eastAsia" w:ascii="宋体" w:hAnsi="宋体" w:cs="宋体"/>
          <w:szCs w:val="24"/>
          <w:highlight w:val="none"/>
        </w:rPr>
        <w:t>主</w:t>
      </w:r>
      <w:r>
        <w:rPr>
          <w:rFonts w:hint="eastAsia" w:ascii="宋体" w:hAnsi="宋体" w:cs="宋体"/>
          <w:spacing w:val="-3"/>
          <w:szCs w:val="24"/>
          <w:highlight w:val="none"/>
        </w:rPr>
        <w:t>要</w:t>
      </w:r>
      <w:r>
        <w:rPr>
          <w:rFonts w:hint="eastAsia" w:ascii="宋体" w:hAnsi="宋体" w:cs="宋体"/>
          <w:szCs w:val="24"/>
          <w:highlight w:val="none"/>
        </w:rPr>
        <w:t>设</w:t>
      </w:r>
      <w:r>
        <w:rPr>
          <w:rFonts w:hint="eastAsia" w:ascii="宋体" w:hAnsi="宋体" w:cs="宋体"/>
          <w:spacing w:val="-3"/>
          <w:szCs w:val="24"/>
          <w:highlight w:val="none"/>
        </w:rPr>
        <w:t>备</w:t>
      </w:r>
      <w:r>
        <w:rPr>
          <w:rFonts w:hint="eastAsia" w:ascii="宋体" w:hAnsi="宋体" w:cs="宋体"/>
          <w:szCs w:val="24"/>
          <w:highlight w:val="none"/>
        </w:rPr>
        <w:t>需</w:t>
      </w:r>
      <w:r>
        <w:rPr>
          <w:rFonts w:hint="eastAsia" w:ascii="宋体" w:hAnsi="宋体" w:cs="宋体"/>
          <w:spacing w:val="-3"/>
          <w:szCs w:val="24"/>
          <w:highlight w:val="none"/>
        </w:rPr>
        <w:t>满</w:t>
      </w:r>
      <w:r>
        <w:rPr>
          <w:rFonts w:hint="eastAsia" w:ascii="宋体" w:hAnsi="宋体" w:cs="宋体"/>
          <w:szCs w:val="24"/>
          <w:highlight w:val="none"/>
        </w:rPr>
        <w:t>足招</w:t>
      </w:r>
      <w:r>
        <w:rPr>
          <w:rFonts w:hint="eastAsia" w:ascii="宋体" w:hAnsi="宋体" w:cs="宋体"/>
          <w:spacing w:val="-3"/>
          <w:szCs w:val="24"/>
          <w:highlight w:val="none"/>
        </w:rPr>
        <w:t>标</w:t>
      </w:r>
      <w:r>
        <w:rPr>
          <w:rFonts w:hint="eastAsia" w:ascii="宋体" w:hAnsi="宋体" w:cs="宋体"/>
          <w:szCs w:val="24"/>
          <w:highlight w:val="none"/>
        </w:rPr>
        <w:t>文</w:t>
      </w:r>
      <w:r>
        <w:rPr>
          <w:rFonts w:hint="eastAsia" w:ascii="宋体" w:hAnsi="宋体" w:cs="宋体"/>
          <w:spacing w:val="-3"/>
          <w:szCs w:val="24"/>
          <w:highlight w:val="none"/>
        </w:rPr>
        <w:t>件</w:t>
      </w:r>
      <w:r>
        <w:rPr>
          <w:rFonts w:hint="eastAsia" w:ascii="宋体" w:hAnsi="宋体" w:cs="宋体"/>
          <w:szCs w:val="24"/>
          <w:highlight w:val="none"/>
        </w:rPr>
        <w:t>的</w:t>
      </w:r>
      <w:r>
        <w:rPr>
          <w:rFonts w:hint="eastAsia" w:ascii="宋体" w:hAnsi="宋体" w:cs="宋体"/>
          <w:spacing w:val="-3"/>
          <w:szCs w:val="24"/>
          <w:highlight w:val="none"/>
        </w:rPr>
        <w:t>相</w:t>
      </w:r>
      <w:r>
        <w:rPr>
          <w:rFonts w:hint="eastAsia" w:ascii="宋体" w:hAnsi="宋体" w:cs="宋体"/>
          <w:szCs w:val="24"/>
          <w:highlight w:val="none"/>
        </w:rPr>
        <w:t>关</w:t>
      </w:r>
      <w:r>
        <w:rPr>
          <w:rFonts w:hint="eastAsia" w:ascii="宋体" w:hAnsi="宋体" w:cs="宋体"/>
          <w:spacing w:val="-3"/>
          <w:szCs w:val="24"/>
          <w:highlight w:val="none"/>
        </w:rPr>
        <w:t>技</w:t>
      </w:r>
      <w:r>
        <w:rPr>
          <w:rFonts w:hint="eastAsia" w:ascii="宋体" w:hAnsi="宋体" w:cs="宋体"/>
          <w:szCs w:val="24"/>
          <w:highlight w:val="none"/>
        </w:rPr>
        <w:t>术</w:t>
      </w:r>
      <w:r>
        <w:rPr>
          <w:rFonts w:hint="eastAsia" w:ascii="宋体" w:hAnsi="宋体" w:cs="宋体"/>
          <w:spacing w:val="-3"/>
          <w:szCs w:val="24"/>
          <w:highlight w:val="none"/>
        </w:rPr>
        <w:t>规</w:t>
      </w:r>
      <w:r>
        <w:rPr>
          <w:rFonts w:hint="eastAsia" w:ascii="宋体" w:hAnsi="宋体" w:cs="宋体"/>
          <w:szCs w:val="24"/>
          <w:highlight w:val="none"/>
        </w:rPr>
        <w:t>范要</w:t>
      </w:r>
      <w:r>
        <w:rPr>
          <w:rFonts w:hint="eastAsia" w:ascii="宋体" w:hAnsi="宋体" w:cs="宋体"/>
          <w:spacing w:val="-3"/>
          <w:szCs w:val="24"/>
          <w:highlight w:val="none"/>
        </w:rPr>
        <w:t>求。</w:t>
      </w:r>
      <w:r>
        <w:rPr>
          <w:rFonts w:hint="eastAsia" w:ascii="宋体" w:hAnsi="宋体" w:cs="宋体"/>
          <w:szCs w:val="24"/>
          <w:highlight w:val="none"/>
        </w:rPr>
        <w:t xml:space="preserve"> </w:t>
      </w:r>
    </w:p>
    <w:p>
      <w:pPr>
        <w:widowControl/>
        <w:tabs>
          <w:tab w:val="left" w:pos="0"/>
          <w:tab w:val="left" w:pos="993"/>
          <w:tab w:val="left" w:pos="1134"/>
        </w:tabs>
        <w:snapToGrid w:val="0"/>
        <w:ind w:right="2230"/>
        <w:rPr>
          <w:rFonts w:ascii="宋体" w:hAnsi="宋体" w:cs="宋体"/>
          <w:szCs w:val="24"/>
          <w:highlight w:val="none"/>
        </w:rPr>
      </w:pPr>
      <w:r>
        <w:rPr>
          <w:rFonts w:hint="eastAsia" w:ascii="宋体" w:hAnsi="宋体" w:cs="宋体"/>
          <w:szCs w:val="24"/>
          <w:highlight w:val="none"/>
        </w:rPr>
        <w:t>5、机</w:t>
      </w:r>
      <w:r>
        <w:rPr>
          <w:rFonts w:hint="eastAsia" w:ascii="宋体" w:hAnsi="宋体" w:cs="宋体"/>
          <w:spacing w:val="-3"/>
          <w:szCs w:val="24"/>
          <w:highlight w:val="none"/>
        </w:rPr>
        <w:t>房</w:t>
      </w:r>
      <w:r>
        <w:rPr>
          <w:rFonts w:hint="eastAsia" w:ascii="宋体" w:hAnsi="宋体" w:cs="宋体"/>
          <w:szCs w:val="24"/>
          <w:highlight w:val="none"/>
        </w:rPr>
        <w:t>管道</w:t>
      </w:r>
      <w:r>
        <w:rPr>
          <w:rFonts w:hint="eastAsia" w:ascii="宋体" w:hAnsi="宋体" w:cs="宋体"/>
          <w:spacing w:val="-3"/>
          <w:szCs w:val="24"/>
          <w:highlight w:val="none"/>
        </w:rPr>
        <w:t>采</w:t>
      </w:r>
      <w:r>
        <w:rPr>
          <w:rFonts w:hint="eastAsia" w:ascii="宋体" w:hAnsi="宋体" w:cs="宋体"/>
          <w:szCs w:val="24"/>
          <w:highlight w:val="none"/>
        </w:rPr>
        <w:t>用</w:t>
      </w:r>
      <w:r>
        <w:rPr>
          <w:rFonts w:hint="eastAsia" w:ascii="宋体" w:hAnsi="宋体" w:cs="宋体"/>
          <w:spacing w:val="-3"/>
          <w:szCs w:val="24"/>
          <w:highlight w:val="none"/>
        </w:rPr>
        <w:t>工</w:t>
      </w:r>
      <w:r>
        <w:rPr>
          <w:rFonts w:hint="eastAsia" w:ascii="宋体" w:hAnsi="宋体" w:cs="宋体"/>
          <w:szCs w:val="24"/>
          <w:highlight w:val="none"/>
        </w:rPr>
        <w:t>字</w:t>
      </w:r>
      <w:r>
        <w:rPr>
          <w:rFonts w:hint="eastAsia" w:ascii="宋体" w:hAnsi="宋体" w:cs="宋体"/>
          <w:spacing w:val="-3"/>
          <w:szCs w:val="24"/>
          <w:highlight w:val="none"/>
        </w:rPr>
        <w:t>钢</w:t>
      </w:r>
      <w:r>
        <w:rPr>
          <w:rFonts w:hint="eastAsia" w:ascii="宋体" w:hAnsi="宋体" w:cs="宋体"/>
          <w:szCs w:val="24"/>
          <w:highlight w:val="none"/>
        </w:rPr>
        <w:t>落</w:t>
      </w:r>
      <w:r>
        <w:rPr>
          <w:rFonts w:hint="eastAsia" w:ascii="宋体" w:hAnsi="宋体" w:cs="宋体"/>
          <w:spacing w:val="-3"/>
          <w:szCs w:val="24"/>
          <w:highlight w:val="none"/>
        </w:rPr>
        <w:t>地</w:t>
      </w:r>
      <w:r>
        <w:rPr>
          <w:rFonts w:hint="eastAsia" w:ascii="宋体" w:hAnsi="宋体" w:cs="宋体"/>
          <w:szCs w:val="24"/>
          <w:highlight w:val="none"/>
        </w:rPr>
        <w:t>支</w:t>
      </w:r>
      <w:r>
        <w:rPr>
          <w:rFonts w:hint="eastAsia" w:ascii="宋体" w:hAnsi="宋体" w:cs="宋体"/>
          <w:spacing w:val="-3"/>
          <w:szCs w:val="24"/>
          <w:highlight w:val="none"/>
        </w:rPr>
        <w:t>架</w:t>
      </w:r>
      <w:r>
        <w:rPr>
          <w:rFonts w:hint="eastAsia" w:ascii="宋体" w:hAnsi="宋体" w:cs="宋体"/>
          <w:szCs w:val="24"/>
          <w:highlight w:val="none"/>
        </w:rPr>
        <w:t xml:space="preserve">。 </w:t>
      </w:r>
    </w:p>
    <w:p>
      <w:pPr>
        <w:keepNext/>
        <w:keepLines/>
        <w:outlineLvl w:val="2"/>
        <w:rPr>
          <w:b/>
          <w:bCs/>
          <w:sz w:val="28"/>
          <w:szCs w:val="32"/>
          <w:highlight w:val="none"/>
        </w:rPr>
      </w:pPr>
      <w:bookmarkStart w:id="207" w:name="_Toc1386"/>
      <w:r>
        <w:rPr>
          <w:b/>
          <w:bCs/>
          <w:sz w:val="28"/>
          <w:szCs w:val="32"/>
          <w:highlight w:val="none"/>
        </w:rPr>
        <w:t>1</w:t>
      </w:r>
      <w:r>
        <w:rPr>
          <w:rFonts w:hint="eastAsia"/>
          <w:b/>
          <w:bCs/>
          <w:sz w:val="28"/>
          <w:szCs w:val="32"/>
          <w:highlight w:val="none"/>
        </w:rPr>
        <w:t>.3 深化设计要求</w:t>
      </w:r>
      <w:bookmarkEnd w:id="207"/>
    </w:p>
    <w:p>
      <w:pPr>
        <w:widowControl/>
        <w:tabs>
          <w:tab w:val="left" w:pos="0"/>
          <w:tab w:val="left" w:pos="993"/>
          <w:tab w:val="left" w:pos="1134"/>
        </w:tabs>
        <w:snapToGrid w:val="0"/>
        <w:ind w:right="118"/>
        <w:rPr>
          <w:rFonts w:ascii="宋体" w:hAnsi="宋体" w:cs="宋体"/>
          <w:szCs w:val="24"/>
          <w:highlight w:val="none"/>
        </w:rPr>
      </w:pPr>
      <w:r>
        <w:rPr>
          <w:rFonts w:hint="eastAsia" w:ascii="宋体" w:hAnsi="宋体" w:cs="宋体"/>
          <w:szCs w:val="24"/>
          <w:highlight w:val="none"/>
        </w:rPr>
        <w:t xml:space="preserve">1、承包人对制冷机房进行深化设计，包含：系统深化设计、设备优化选型、水力平衡分析及优化、1 年运行费用模拟计算书、设备选型报告等；机房内冷冻水系统及冷却水系统管路的整体深化设计、BIM 设计、控制系统点位设计、控制系统图平面图设计、控制系统运 行策略编制和不同负荷率运行策略模拟等。 </w:t>
      </w:r>
    </w:p>
    <w:p>
      <w:pPr>
        <w:widowControl/>
        <w:tabs>
          <w:tab w:val="left" w:pos="0"/>
          <w:tab w:val="left" w:pos="993"/>
          <w:tab w:val="left" w:pos="1134"/>
        </w:tabs>
        <w:snapToGrid w:val="0"/>
        <w:ind w:right="118"/>
        <w:rPr>
          <w:rFonts w:ascii="宋体" w:hAnsi="宋体" w:cs="宋体"/>
          <w:szCs w:val="24"/>
          <w:highlight w:val="none"/>
        </w:rPr>
      </w:pPr>
      <w:r>
        <w:rPr>
          <w:rFonts w:hint="eastAsia" w:ascii="宋体" w:hAnsi="宋体" w:cs="宋体"/>
          <w:szCs w:val="24"/>
          <w:highlight w:val="none"/>
        </w:rPr>
        <w:t xml:space="preserve">2、深化设计不应突破现有条件的边界，如负荷特征、安装空间等。 </w:t>
      </w:r>
    </w:p>
    <w:p>
      <w:pPr>
        <w:widowControl/>
        <w:tabs>
          <w:tab w:val="left" w:pos="0"/>
          <w:tab w:val="left" w:pos="993"/>
          <w:tab w:val="left" w:pos="1134"/>
        </w:tabs>
        <w:snapToGrid w:val="0"/>
        <w:ind w:right="118"/>
        <w:rPr>
          <w:rFonts w:ascii="宋体" w:hAnsi="宋体" w:cs="宋体"/>
          <w:szCs w:val="24"/>
          <w:highlight w:val="none"/>
        </w:rPr>
      </w:pPr>
      <w:r>
        <w:rPr>
          <w:rFonts w:hint="eastAsia" w:ascii="宋体" w:hAnsi="宋体" w:cs="宋体"/>
          <w:szCs w:val="24"/>
          <w:highlight w:val="none"/>
        </w:rPr>
        <w:t xml:space="preserve">3、承包人提供的高效水蓄冷机房深化方案的冷量需满足招标图纸的要求，各机房系统的尖峰供冷量（详见设计说明）允许正偏差，不允许负偏差。 </w:t>
      </w:r>
    </w:p>
    <w:p>
      <w:pPr>
        <w:widowControl/>
        <w:tabs>
          <w:tab w:val="left" w:pos="0"/>
          <w:tab w:val="left" w:pos="993"/>
          <w:tab w:val="left" w:pos="1134"/>
        </w:tabs>
        <w:snapToGrid w:val="0"/>
        <w:ind w:right="118"/>
        <w:rPr>
          <w:rFonts w:ascii="宋体" w:hAnsi="宋体" w:cs="宋体"/>
          <w:szCs w:val="24"/>
          <w:highlight w:val="none"/>
        </w:rPr>
      </w:pPr>
      <w:r>
        <w:rPr>
          <w:rFonts w:hint="eastAsia" w:ascii="宋体" w:hAnsi="宋体" w:cs="宋体"/>
          <w:szCs w:val="24"/>
          <w:highlight w:val="none"/>
        </w:rPr>
        <w:t xml:space="preserve">4、冷冻水泵、冷却水泵、蓄、放冷水泵的流量、扬程可自行优化其参数（功率不得超过招标图纸中给 定的数值），但必须有足够的冗余功率，以确保系统正常及高效运行。 </w:t>
      </w:r>
    </w:p>
    <w:p>
      <w:pPr>
        <w:widowControl/>
        <w:tabs>
          <w:tab w:val="left" w:pos="0"/>
          <w:tab w:val="left" w:pos="993"/>
          <w:tab w:val="left" w:pos="1134"/>
        </w:tabs>
        <w:snapToGrid w:val="0"/>
        <w:ind w:right="118"/>
        <w:rPr>
          <w:rFonts w:ascii="宋体" w:hAnsi="宋体" w:cs="宋体"/>
          <w:szCs w:val="24"/>
          <w:highlight w:val="none"/>
        </w:rPr>
      </w:pPr>
      <w:r>
        <w:rPr>
          <w:rFonts w:hint="eastAsia" w:ascii="宋体" w:hAnsi="宋体" w:cs="宋体"/>
          <w:szCs w:val="24"/>
          <w:highlight w:val="none"/>
        </w:rPr>
        <w:t xml:space="preserve">5、 对机房设备、冷冻水管路系统、冷却水管路系统、蓄放冷管路系统进行深化设计，尽量选用标准弯 头、减少非标弯头导致的急弯、减少阀门、采用顺流三通设计，以使管路系统更加顺畅、使管路系统阻 力更小，合理选择管道流速，降低水泵的扬程，降低水泵能耗。提供深化图纸、BIM 设计图纸及技术说明文件。 </w:t>
      </w:r>
    </w:p>
    <w:p>
      <w:pPr>
        <w:widowControl/>
        <w:tabs>
          <w:tab w:val="left" w:pos="0"/>
          <w:tab w:val="left" w:pos="993"/>
          <w:tab w:val="left" w:pos="1134"/>
        </w:tabs>
        <w:snapToGrid w:val="0"/>
        <w:ind w:right="118"/>
        <w:rPr>
          <w:rFonts w:ascii="宋体" w:hAnsi="宋体" w:cs="宋体"/>
          <w:szCs w:val="24"/>
          <w:highlight w:val="none"/>
        </w:rPr>
      </w:pPr>
      <w:r>
        <w:rPr>
          <w:rFonts w:hint="eastAsia" w:ascii="宋体" w:hAnsi="宋体" w:cs="宋体"/>
          <w:szCs w:val="24"/>
          <w:highlight w:val="none"/>
        </w:rPr>
        <w:t xml:space="preserve">6、对制冷机房群控系统（含监测系统）进行规划及实施，含控制策略的分析和制定、并给出控制相关工艺图、原理图、平面布置图等相关施工图。 </w:t>
      </w:r>
    </w:p>
    <w:p>
      <w:pPr>
        <w:widowControl/>
        <w:tabs>
          <w:tab w:val="left" w:pos="0"/>
          <w:tab w:val="left" w:pos="993"/>
          <w:tab w:val="left" w:pos="1134"/>
        </w:tabs>
        <w:snapToGrid w:val="0"/>
        <w:ind w:right="118"/>
        <w:rPr>
          <w:rFonts w:ascii="宋体" w:hAnsi="宋体" w:cs="宋体"/>
          <w:szCs w:val="24"/>
          <w:highlight w:val="none"/>
        </w:rPr>
      </w:pPr>
      <w:r>
        <w:rPr>
          <w:rFonts w:hint="eastAsia" w:ascii="宋体" w:hAnsi="宋体" w:cs="宋体"/>
          <w:szCs w:val="24"/>
          <w:highlight w:val="none"/>
        </w:rPr>
        <w:t xml:space="preserve">7、 提供调试方案及计划。项目各单体建筑末端均安装完成后，组织系统整体调试，由承包人提供具体 的调试方案报招标单位审批，方案通过后由承包人实施，调试目标：满足末端负荷，系统高效运行。 </w:t>
      </w:r>
    </w:p>
    <w:p>
      <w:pPr>
        <w:widowControl/>
        <w:tabs>
          <w:tab w:val="left" w:pos="0"/>
          <w:tab w:val="left" w:pos="993"/>
          <w:tab w:val="left" w:pos="1134"/>
        </w:tabs>
        <w:snapToGrid w:val="0"/>
        <w:ind w:right="118"/>
        <w:rPr>
          <w:rFonts w:ascii="宋体" w:hAnsi="宋体" w:cs="宋体"/>
          <w:szCs w:val="21"/>
          <w:highlight w:val="none"/>
        </w:rPr>
      </w:pPr>
      <w:r>
        <w:rPr>
          <w:rFonts w:hint="eastAsia" w:ascii="宋体" w:hAnsi="宋体" w:cs="宋体"/>
          <w:szCs w:val="24"/>
          <w:highlight w:val="none"/>
        </w:rPr>
        <w:t>8、所有深化设计必须经过甲方同意。</w:t>
      </w:r>
      <w:r>
        <w:rPr>
          <w:rFonts w:hint="eastAsia" w:ascii="宋体" w:hAnsi="宋体" w:cs="宋体"/>
          <w:szCs w:val="21"/>
          <w:highlight w:val="none"/>
        </w:rPr>
        <w:t xml:space="preserve"> </w:t>
      </w:r>
    </w:p>
    <w:p>
      <w:pPr>
        <w:widowControl/>
        <w:tabs>
          <w:tab w:val="left" w:pos="0"/>
          <w:tab w:val="left" w:pos="993"/>
          <w:tab w:val="left" w:pos="1134"/>
        </w:tabs>
        <w:snapToGrid w:val="0"/>
        <w:ind w:right="139"/>
        <w:rPr>
          <w:rFonts w:ascii="宋体" w:hAnsi="宋体" w:cs="宋体"/>
          <w:szCs w:val="21"/>
          <w:highlight w:val="none"/>
        </w:rPr>
      </w:pPr>
    </w:p>
    <w:p>
      <w:pPr>
        <w:keepNext/>
        <w:keepLines/>
        <w:outlineLvl w:val="1"/>
        <w:rPr>
          <w:b/>
          <w:bCs/>
          <w:sz w:val="30"/>
          <w:szCs w:val="32"/>
          <w:highlight w:val="none"/>
        </w:rPr>
      </w:pPr>
      <w:bookmarkStart w:id="208" w:name="_Toc30312"/>
      <w:r>
        <w:rPr>
          <w:rFonts w:hint="eastAsia"/>
          <w:b/>
          <w:bCs/>
          <w:sz w:val="30"/>
          <w:szCs w:val="32"/>
          <w:highlight w:val="none"/>
        </w:rPr>
        <w:t>2、相关国家规范及标准</w:t>
      </w:r>
      <w:bookmarkEnd w:id="208"/>
    </w:p>
    <w:p>
      <w:pPr>
        <w:keepNext/>
        <w:keepLines/>
        <w:outlineLvl w:val="2"/>
        <w:rPr>
          <w:b/>
          <w:bCs/>
          <w:sz w:val="28"/>
          <w:szCs w:val="32"/>
          <w:highlight w:val="none"/>
        </w:rPr>
      </w:pPr>
      <w:bookmarkStart w:id="209" w:name="_Toc22244"/>
      <w:r>
        <w:rPr>
          <w:rFonts w:hint="eastAsia"/>
          <w:b/>
          <w:bCs/>
          <w:sz w:val="28"/>
          <w:szCs w:val="32"/>
          <w:highlight w:val="none"/>
        </w:rPr>
        <w:t>1</w:t>
      </w:r>
      <w:r>
        <w:rPr>
          <w:b/>
          <w:bCs/>
          <w:sz w:val="28"/>
          <w:szCs w:val="32"/>
          <w:highlight w:val="none"/>
        </w:rPr>
        <w:t>.1</w:t>
      </w:r>
      <w:r>
        <w:rPr>
          <w:rFonts w:hint="eastAsia"/>
          <w:b/>
          <w:bCs/>
          <w:sz w:val="28"/>
          <w:szCs w:val="32"/>
          <w:highlight w:val="none"/>
        </w:rPr>
        <w:t xml:space="preserve"> </w:t>
      </w:r>
      <w:r>
        <w:rPr>
          <w:b/>
          <w:bCs/>
          <w:sz w:val="28"/>
          <w:szCs w:val="32"/>
          <w:highlight w:val="none"/>
        </w:rPr>
        <w:t>技术</w:t>
      </w:r>
      <w:r>
        <w:rPr>
          <w:rFonts w:hint="eastAsia"/>
          <w:b/>
          <w:bCs/>
          <w:sz w:val="28"/>
          <w:szCs w:val="32"/>
          <w:highlight w:val="none"/>
        </w:rPr>
        <w:t>要求说明及</w:t>
      </w:r>
      <w:r>
        <w:rPr>
          <w:b/>
          <w:bCs/>
          <w:sz w:val="28"/>
          <w:szCs w:val="32"/>
          <w:highlight w:val="none"/>
        </w:rPr>
        <w:t>标准：</w:t>
      </w:r>
      <w:bookmarkEnd w:id="204"/>
      <w:bookmarkEnd w:id="209"/>
    </w:p>
    <w:p>
      <w:pPr>
        <w:widowControl/>
        <w:ind w:firstLine="420" w:firstLineChars="200"/>
        <w:rPr>
          <w:szCs w:val="24"/>
          <w:highlight w:val="none"/>
        </w:rPr>
      </w:pPr>
      <w:r>
        <w:rPr>
          <w:color w:val="000000"/>
          <w:szCs w:val="24"/>
          <w:highlight w:val="none"/>
        </w:rPr>
        <w:t>满足本文件各章节及附件要求、满足设计施工图纸要求、满足国标和地标（</w:t>
      </w:r>
      <w:r>
        <w:rPr>
          <w:rFonts w:hint="eastAsia"/>
          <w:color w:val="000000"/>
          <w:szCs w:val="24"/>
          <w:highlight w:val="none"/>
        </w:rPr>
        <w:t>广东</w:t>
      </w:r>
      <w:r>
        <w:rPr>
          <w:color w:val="000000"/>
          <w:szCs w:val="24"/>
          <w:highlight w:val="none"/>
        </w:rPr>
        <w:t>省及</w:t>
      </w:r>
      <w:r>
        <w:rPr>
          <w:rFonts w:hint="eastAsia"/>
          <w:color w:val="000000"/>
          <w:szCs w:val="24"/>
          <w:highlight w:val="none"/>
        </w:rPr>
        <w:t>广州</w:t>
      </w:r>
      <w:r>
        <w:rPr>
          <w:color w:val="000000"/>
          <w:szCs w:val="24"/>
          <w:highlight w:val="none"/>
        </w:rPr>
        <w:t>市本地）相关内容的技术要求。</w:t>
      </w:r>
    </w:p>
    <w:p>
      <w:pPr>
        <w:keepNext/>
        <w:keepLines/>
        <w:outlineLvl w:val="2"/>
        <w:rPr>
          <w:b/>
          <w:bCs/>
          <w:sz w:val="28"/>
          <w:szCs w:val="32"/>
          <w:highlight w:val="none"/>
        </w:rPr>
      </w:pPr>
      <w:bookmarkStart w:id="210" w:name="_Toc21803"/>
      <w:bookmarkStart w:id="211" w:name="_Toc18750"/>
      <w:r>
        <w:rPr>
          <w:rFonts w:hint="eastAsia"/>
          <w:b/>
          <w:bCs/>
          <w:sz w:val="28"/>
          <w:szCs w:val="32"/>
          <w:highlight w:val="none"/>
        </w:rPr>
        <w:t>1.2 质量标准：</w:t>
      </w:r>
      <w:bookmarkEnd w:id="210"/>
      <w:bookmarkEnd w:id="211"/>
    </w:p>
    <w:p>
      <w:pPr>
        <w:widowControl/>
        <w:ind w:firstLine="420" w:firstLineChars="200"/>
        <w:rPr>
          <w:szCs w:val="24"/>
          <w:highlight w:val="none"/>
        </w:rPr>
      </w:pPr>
      <w:r>
        <w:rPr>
          <w:color w:val="000000"/>
          <w:szCs w:val="24"/>
          <w:highlight w:val="none"/>
        </w:rPr>
        <w:t>达到国家及地方相关验收规范要求，且一次性验收合格。</w:t>
      </w:r>
    </w:p>
    <w:p>
      <w:pPr>
        <w:keepNext/>
        <w:keepLines/>
        <w:outlineLvl w:val="2"/>
        <w:rPr>
          <w:b/>
          <w:bCs/>
          <w:sz w:val="28"/>
          <w:szCs w:val="32"/>
          <w:highlight w:val="none"/>
        </w:rPr>
      </w:pPr>
      <w:bookmarkStart w:id="212" w:name="_Toc27699"/>
      <w:bookmarkStart w:id="213" w:name="_Toc26695"/>
      <w:r>
        <w:rPr>
          <w:rFonts w:hint="eastAsia"/>
          <w:b/>
          <w:bCs/>
          <w:sz w:val="28"/>
          <w:szCs w:val="32"/>
          <w:highlight w:val="none"/>
        </w:rPr>
        <w:t>1.3 主要遵循包括但不仅限于下列规范：</w:t>
      </w:r>
      <w:bookmarkEnd w:id="212"/>
      <w:bookmarkEnd w:id="213"/>
    </w:p>
    <w:p>
      <w:pPr>
        <w:widowControl/>
        <w:ind w:firstLine="210" w:firstLineChars="100"/>
        <w:rPr>
          <w:color w:val="000000"/>
          <w:szCs w:val="24"/>
          <w:highlight w:val="none"/>
        </w:rPr>
      </w:pPr>
      <w:r>
        <w:rPr>
          <w:rFonts w:hint="eastAsia"/>
          <w:color w:val="000000"/>
          <w:szCs w:val="24"/>
          <w:highlight w:val="none"/>
        </w:rPr>
        <w:t>《容积式和离心式冷水（热泵）机组安全要求》(JB8654-1997</w:t>
      </w:r>
      <w:r>
        <w:rPr>
          <w:rFonts w:hint="eastAsia"/>
          <w:color w:val="000000"/>
          <w:szCs w:val="24"/>
          <w:highlight w:val="none"/>
        </w:rPr>
        <w:tab/>
      </w:r>
      <w:r>
        <w:rPr>
          <w:rFonts w:hint="eastAsia"/>
          <w:color w:val="000000"/>
          <w:szCs w:val="24"/>
          <w:highlight w:val="none"/>
        </w:rPr>
        <w:t>)；</w:t>
      </w:r>
    </w:p>
    <w:p>
      <w:pPr>
        <w:widowControl/>
        <w:ind w:left="420" w:leftChars="100" w:hanging="210" w:hangingChars="100"/>
        <w:rPr>
          <w:color w:val="000000"/>
          <w:szCs w:val="24"/>
          <w:highlight w:val="none"/>
        </w:rPr>
      </w:pPr>
      <w:r>
        <w:rPr>
          <w:rFonts w:hint="eastAsia"/>
          <w:color w:val="000000"/>
          <w:szCs w:val="24"/>
          <w:highlight w:val="none"/>
        </w:rPr>
        <w:t>《蒸汽压缩循环冷水热泵机组第1部分 工业或商业用及类似用途的冷水（热泵机组）》(GB/T 18430.1-2007</w:t>
      </w:r>
      <w:r>
        <w:rPr>
          <w:rFonts w:hint="eastAsia"/>
          <w:color w:val="000000"/>
          <w:szCs w:val="24"/>
          <w:highlight w:val="none"/>
        </w:rPr>
        <w:tab/>
      </w:r>
      <w:r>
        <w:rPr>
          <w:rFonts w:hint="eastAsia"/>
          <w:color w:val="000000"/>
          <w:szCs w:val="24"/>
          <w:highlight w:val="none"/>
        </w:rPr>
        <w:t>)；</w:t>
      </w:r>
    </w:p>
    <w:p>
      <w:pPr>
        <w:widowControl/>
        <w:ind w:firstLine="210" w:firstLineChars="100"/>
        <w:rPr>
          <w:color w:val="000000"/>
          <w:szCs w:val="24"/>
          <w:highlight w:val="none"/>
        </w:rPr>
      </w:pPr>
      <w:r>
        <w:rPr>
          <w:rFonts w:hint="eastAsia"/>
          <w:color w:val="000000"/>
          <w:szCs w:val="24"/>
          <w:highlight w:val="none"/>
        </w:rPr>
        <w:t>《容积式和离心式冷水（热泵）机组性能试验方法》(GB/T10870-2004</w:t>
      </w:r>
      <w:r>
        <w:rPr>
          <w:rFonts w:hint="eastAsia"/>
          <w:color w:val="000000"/>
          <w:szCs w:val="24"/>
          <w:highlight w:val="none"/>
        </w:rPr>
        <w:tab/>
      </w:r>
      <w:r>
        <w:rPr>
          <w:rFonts w:hint="eastAsia"/>
          <w:color w:val="000000"/>
          <w:szCs w:val="24"/>
          <w:highlight w:val="none"/>
        </w:rPr>
        <w:t>)；</w:t>
      </w:r>
    </w:p>
    <w:p>
      <w:pPr>
        <w:widowControl/>
        <w:ind w:firstLine="210" w:firstLineChars="100"/>
        <w:rPr>
          <w:color w:val="000000"/>
          <w:szCs w:val="24"/>
          <w:highlight w:val="none"/>
        </w:rPr>
      </w:pPr>
      <w:r>
        <w:rPr>
          <w:rFonts w:hint="eastAsia"/>
          <w:color w:val="000000"/>
          <w:szCs w:val="24"/>
          <w:highlight w:val="none"/>
        </w:rPr>
        <w:t>《JB6917-1998</w:t>
      </w:r>
      <w:r>
        <w:rPr>
          <w:rFonts w:hint="eastAsia"/>
          <w:color w:val="000000"/>
          <w:szCs w:val="24"/>
          <w:highlight w:val="none"/>
        </w:rPr>
        <w:tab/>
      </w:r>
      <w:r>
        <w:rPr>
          <w:rFonts w:hint="eastAsia"/>
          <w:color w:val="000000"/>
          <w:szCs w:val="24"/>
          <w:highlight w:val="none"/>
        </w:rPr>
        <w:t>制冷装置用压力容器》(JB6917-1998</w:t>
      </w:r>
      <w:r>
        <w:rPr>
          <w:rFonts w:hint="eastAsia"/>
          <w:color w:val="000000"/>
          <w:szCs w:val="24"/>
          <w:highlight w:val="none"/>
        </w:rPr>
        <w:tab/>
      </w:r>
      <w:r>
        <w:rPr>
          <w:rFonts w:hint="eastAsia"/>
          <w:color w:val="000000"/>
          <w:szCs w:val="24"/>
          <w:highlight w:val="none"/>
        </w:rPr>
        <w:t>）；</w:t>
      </w:r>
    </w:p>
    <w:p>
      <w:pPr>
        <w:widowControl/>
        <w:ind w:firstLine="210" w:firstLineChars="100"/>
        <w:rPr>
          <w:color w:val="000000"/>
          <w:szCs w:val="24"/>
          <w:highlight w:val="none"/>
        </w:rPr>
      </w:pPr>
      <w:r>
        <w:rPr>
          <w:rFonts w:hint="eastAsia"/>
          <w:color w:val="000000"/>
          <w:szCs w:val="24"/>
          <w:highlight w:val="none"/>
        </w:rPr>
        <w:t>《制冷和供热用机械制冷系统》（GB9237-2001）；</w:t>
      </w:r>
      <w:r>
        <w:rPr>
          <w:rFonts w:hint="eastAsia"/>
          <w:color w:val="000000"/>
          <w:szCs w:val="24"/>
          <w:highlight w:val="none"/>
        </w:rPr>
        <w:tab/>
      </w:r>
    </w:p>
    <w:p>
      <w:pPr>
        <w:widowControl/>
        <w:ind w:firstLine="210" w:firstLineChars="100"/>
        <w:rPr>
          <w:color w:val="000000"/>
          <w:szCs w:val="24"/>
          <w:highlight w:val="none"/>
        </w:rPr>
      </w:pPr>
      <w:r>
        <w:rPr>
          <w:rFonts w:hint="eastAsia"/>
          <w:color w:val="000000"/>
          <w:szCs w:val="24"/>
          <w:highlight w:val="none"/>
        </w:rPr>
        <w:t>《制冷空调设备噪声的测定》（JB/T4330-1999）；</w:t>
      </w:r>
      <w:r>
        <w:rPr>
          <w:rFonts w:hint="eastAsia"/>
          <w:color w:val="000000"/>
          <w:szCs w:val="24"/>
          <w:highlight w:val="none"/>
        </w:rPr>
        <w:tab/>
      </w:r>
    </w:p>
    <w:p>
      <w:pPr>
        <w:widowControl/>
        <w:ind w:firstLine="210" w:firstLineChars="100"/>
        <w:rPr>
          <w:color w:val="000000"/>
          <w:szCs w:val="24"/>
          <w:highlight w:val="none"/>
        </w:rPr>
      </w:pPr>
      <w:r>
        <w:rPr>
          <w:rFonts w:hint="eastAsia"/>
          <w:color w:val="000000"/>
          <w:szCs w:val="24"/>
          <w:highlight w:val="none"/>
        </w:rPr>
        <w:t>《氟利昂制冷装置用水冷冷凝器》（JB/T7659.2-95）；</w:t>
      </w:r>
      <w:r>
        <w:rPr>
          <w:rFonts w:hint="eastAsia"/>
          <w:color w:val="000000"/>
          <w:szCs w:val="24"/>
          <w:highlight w:val="none"/>
        </w:rPr>
        <w:tab/>
      </w:r>
    </w:p>
    <w:p>
      <w:pPr>
        <w:widowControl/>
        <w:ind w:firstLine="210" w:firstLineChars="100"/>
        <w:rPr>
          <w:color w:val="000000"/>
          <w:szCs w:val="24"/>
          <w:highlight w:val="none"/>
        </w:rPr>
      </w:pPr>
      <w:r>
        <w:rPr>
          <w:rFonts w:hint="eastAsia"/>
          <w:color w:val="000000"/>
          <w:szCs w:val="24"/>
          <w:highlight w:val="none"/>
        </w:rPr>
        <w:t>《制冷装置用截止阀》（JB/T7245-2017</w:t>
      </w:r>
      <w:r>
        <w:rPr>
          <w:rFonts w:hint="eastAsia"/>
          <w:color w:val="000000"/>
          <w:szCs w:val="24"/>
          <w:highlight w:val="none"/>
        </w:rPr>
        <w:tab/>
      </w:r>
      <w:r>
        <w:rPr>
          <w:rFonts w:hint="eastAsia"/>
          <w:color w:val="000000"/>
          <w:szCs w:val="24"/>
          <w:highlight w:val="none"/>
        </w:rPr>
        <w:t>）；</w:t>
      </w:r>
    </w:p>
    <w:p>
      <w:pPr>
        <w:widowControl/>
        <w:ind w:firstLine="210" w:firstLineChars="100"/>
        <w:rPr>
          <w:color w:val="000000"/>
          <w:szCs w:val="24"/>
          <w:highlight w:val="none"/>
        </w:rPr>
      </w:pPr>
      <w:r>
        <w:rPr>
          <w:rFonts w:hint="eastAsia"/>
          <w:color w:val="000000"/>
          <w:szCs w:val="24"/>
          <w:highlight w:val="none"/>
        </w:rPr>
        <w:t>《低压电器基本标准》（GB1497-85）；</w:t>
      </w:r>
    </w:p>
    <w:p>
      <w:pPr>
        <w:widowControl/>
        <w:ind w:firstLine="210" w:firstLineChars="100"/>
        <w:rPr>
          <w:color w:val="000000"/>
          <w:szCs w:val="24"/>
          <w:highlight w:val="none"/>
        </w:rPr>
      </w:pPr>
      <w:r>
        <w:rPr>
          <w:rFonts w:hint="eastAsia"/>
          <w:color w:val="000000"/>
          <w:szCs w:val="24"/>
          <w:highlight w:val="none"/>
        </w:rPr>
        <w:t>《低压成套开关设备》（GB7251-87）；</w:t>
      </w:r>
    </w:p>
    <w:p>
      <w:pPr>
        <w:widowControl/>
        <w:ind w:firstLine="210" w:firstLineChars="100"/>
        <w:rPr>
          <w:color w:val="000000"/>
          <w:szCs w:val="24"/>
          <w:highlight w:val="none"/>
        </w:rPr>
      </w:pPr>
      <w:r>
        <w:rPr>
          <w:rFonts w:hint="eastAsia"/>
          <w:color w:val="000000"/>
          <w:szCs w:val="24"/>
          <w:highlight w:val="none"/>
        </w:rPr>
        <w:t>《制冷装置用压力容器》（NB/T 47012-2010）；</w:t>
      </w:r>
    </w:p>
    <w:p>
      <w:pPr>
        <w:widowControl/>
        <w:ind w:firstLine="210" w:firstLineChars="100"/>
        <w:rPr>
          <w:color w:val="000000"/>
          <w:szCs w:val="24"/>
          <w:highlight w:val="none"/>
        </w:rPr>
      </w:pPr>
      <w:r>
        <w:rPr>
          <w:rFonts w:hint="eastAsia"/>
          <w:color w:val="000000"/>
          <w:szCs w:val="24"/>
          <w:highlight w:val="none"/>
        </w:rPr>
        <w:t>《采暖通风与空气调节设计规范》（GB50019-2003）；</w:t>
      </w:r>
    </w:p>
    <w:p>
      <w:pPr>
        <w:widowControl/>
        <w:ind w:firstLine="210" w:firstLineChars="100"/>
        <w:rPr>
          <w:color w:val="000000"/>
          <w:szCs w:val="24"/>
          <w:highlight w:val="none"/>
        </w:rPr>
      </w:pPr>
      <w:r>
        <w:rPr>
          <w:rFonts w:hint="eastAsia"/>
          <w:color w:val="000000"/>
          <w:szCs w:val="24"/>
          <w:highlight w:val="none"/>
        </w:rPr>
        <w:t>《建筑设计防火规范》（GB50016-2006</w:t>
      </w:r>
      <w:r>
        <w:rPr>
          <w:rFonts w:hint="eastAsia"/>
          <w:color w:val="000000"/>
          <w:szCs w:val="24"/>
          <w:highlight w:val="none"/>
        </w:rPr>
        <w:tab/>
      </w:r>
      <w:r>
        <w:rPr>
          <w:rFonts w:hint="eastAsia"/>
          <w:color w:val="000000"/>
          <w:szCs w:val="24"/>
          <w:highlight w:val="none"/>
        </w:rPr>
        <w:t>）；</w:t>
      </w:r>
    </w:p>
    <w:p>
      <w:pPr>
        <w:widowControl/>
        <w:ind w:firstLine="210" w:firstLineChars="100"/>
        <w:rPr>
          <w:color w:val="000000"/>
          <w:szCs w:val="24"/>
          <w:highlight w:val="none"/>
        </w:rPr>
      </w:pPr>
      <w:r>
        <w:rPr>
          <w:rFonts w:hint="eastAsia"/>
          <w:color w:val="000000"/>
          <w:szCs w:val="24"/>
          <w:highlight w:val="none"/>
        </w:rPr>
        <w:t>《高压开关设备和控制设备》（GB/T28811-2012）；</w:t>
      </w:r>
    </w:p>
    <w:p>
      <w:pPr>
        <w:ind w:firstLine="210" w:firstLineChars="100"/>
        <w:jc w:val="left"/>
        <w:rPr>
          <w:rFonts w:ascii="宋体" w:cs="宋体"/>
          <w:color w:val="FF0000"/>
          <w:szCs w:val="21"/>
          <w:highlight w:val="none"/>
          <w:shd w:val="clear" w:color="auto" w:fill="92D050"/>
        </w:rPr>
      </w:pPr>
      <w:r>
        <w:rPr>
          <w:rFonts w:hint="eastAsia" w:ascii="宋体" w:hAnsi="宋体" w:cs="宋体"/>
          <w:szCs w:val="21"/>
          <w:highlight w:val="none"/>
        </w:rPr>
        <w:t>《蓄冷空调工程技术标准》（</w:t>
      </w:r>
      <w:r>
        <w:rPr>
          <w:rFonts w:ascii="宋体" w:hAnsi="宋体" w:cs="宋体"/>
          <w:szCs w:val="21"/>
          <w:highlight w:val="none"/>
        </w:rPr>
        <w:t>JGJ158-2018</w:t>
      </w:r>
      <w:r>
        <w:rPr>
          <w:rFonts w:hint="eastAsia" w:ascii="宋体" w:hAnsi="宋体" w:cs="宋体"/>
          <w:szCs w:val="21"/>
          <w:highlight w:val="none"/>
        </w:rPr>
        <w:t>）；</w:t>
      </w:r>
    </w:p>
    <w:p>
      <w:pPr>
        <w:ind w:firstLine="210" w:firstLineChars="100"/>
        <w:jc w:val="left"/>
        <w:rPr>
          <w:rFonts w:ascii="宋体" w:cs="宋体"/>
          <w:szCs w:val="21"/>
          <w:highlight w:val="none"/>
        </w:rPr>
      </w:pPr>
      <w:r>
        <w:rPr>
          <w:rFonts w:hint="eastAsia" w:ascii="宋体" w:hAnsi="宋体" w:cs="宋体"/>
          <w:szCs w:val="21"/>
          <w:highlight w:val="none"/>
        </w:rPr>
        <w:t>《民用建筑采暖通风与空气调节设计规范》（</w:t>
      </w:r>
      <w:r>
        <w:rPr>
          <w:rFonts w:ascii="宋体" w:hAnsi="宋体" w:cs="宋体"/>
          <w:szCs w:val="21"/>
          <w:highlight w:val="none"/>
        </w:rPr>
        <w:t>GB50736-2012</w:t>
      </w:r>
      <w:r>
        <w:rPr>
          <w:rFonts w:hint="eastAsia" w:ascii="宋体" w:hAnsi="宋体" w:cs="宋体"/>
          <w:szCs w:val="21"/>
          <w:highlight w:val="none"/>
        </w:rPr>
        <w:t>）；</w:t>
      </w:r>
    </w:p>
    <w:p>
      <w:pPr>
        <w:ind w:firstLine="210" w:firstLineChars="100"/>
        <w:jc w:val="left"/>
        <w:rPr>
          <w:rFonts w:ascii="宋体" w:cs="宋体"/>
          <w:szCs w:val="21"/>
          <w:highlight w:val="none"/>
        </w:rPr>
      </w:pPr>
      <w:r>
        <w:rPr>
          <w:rFonts w:hint="eastAsia" w:ascii="宋体" w:hAnsi="宋体" w:cs="宋体"/>
          <w:szCs w:val="21"/>
          <w:highlight w:val="none"/>
        </w:rPr>
        <w:t>《通风与空调工程施工质量验收规范》（</w:t>
      </w:r>
      <w:r>
        <w:rPr>
          <w:rFonts w:ascii="宋体" w:hAnsi="宋体" w:cs="宋体"/>
          <w:szCs w:val="21"/>
          <w:highlight w:val="none"/>
        </w:rPr>
        <w:t>GB 50243-2016</w:t>
      </w:r>
      <w:r>
        <w:rPr>
          <w:rFonts w:hint="eastAsia" w:ascii="宋体" w:hAnsi="宋体" w:cs="宋体"/>
          <w:szCs w:val="21"/>
          <w:highlight w:val="none"/>
        </w:rPr>
        <w:t>）；</w:t>
      </w:r>
    </w:p>
    <w:p>
      <w:pPr>
        <w:ind w:firstLine="210" w:firstLineChars="100"/>
        <w:jc w:val="left"/>
        <w:rPr>
          <w:rFonts w:ascii="宋体" w:hAnsi="宋体" w:cs="宋体"/>
          <w:szCs w:val="21"/>
          <w:highlight w:val="none"/>
        </w:rPr>
      </w:pPr>
      <w:r>
        <w:rPr>
          <w:rFonts w:hint="eastAsia" w:ascii="宋体" w:hAnsi="宋体" w:cs="宋体"/>
          <w:szCs w:val="21"/>
          <w:highlight w:val="none"/>
        </w:rPr>
        <w:t>《工业设备及管道绝热工程施工质量验收规范》（</w:t>
      </w:r>
      <w:r>
        <w:rPr>
          <w:rFonts w:ascii="宋体" w:hAnsi="宋体" w:cs="宋体"/>
          <w:szCs w:val="21"/>
          <w:highlight w:val="none"/>
        </w:rPr>
        <w:t>GB50185-2019</w:t>
      </w:r>
      <w:r>
        <w:rPr>
          <w:rFonts w:hint="eastAsia" w:ascii="宋体" w:hAnsi="宋体" w:cs="宋体"/>
          <w:szCs w:val="21"/>
          <w:highlight w:val="none"/>
        </w:rPr>
        <w:t>）；</w:t>
      </w:r>
    </w:p>
    <w:p>
      <w:pPr>
        <w:ind w:firstLine="210" w:firstLineChars="100"/>
        <w:jc w:val="left"/>
        <w:rPr>
          <w:rFonts w:ascii="宋体" w:hAnsi="宋体" w:cs="宋体"/>
          <w:szCs w:val="21"/>
          <w:highlight w:val="none"/>
        </w:rPr>
      </w:pPr>
      <w:r>
        <w:rPr>
          <w:rFonts w:hint="eastAsia" w:ascii="宋体" w:hAnsi="宋体" w:cs="宋体"/>
          <w:szCs w:val="21"/>
          <w:highlight w:val="none"/>
        </w:rPr>
        <w:t>《工业设备及管道绝热工程设计规范》（</w:t>
      </w:r>
      <w:r>
        <w:rPr>
          <w:rFonts w:ascii="宋体" w:hAnsi="宋体" w:cs="宋体"/>
          <w:szCs w:val="21"/>
          <w:highlight w:val="none"/>
        </w:rPr>
        <w:t>GB50264-2013</w:t>
      </w:r>
      <w:r>
        <w:rPr>
          <w:rFonts w:hint="eastAsia" w:ascii="宋体" w:hAnsi="宋体" w:cs="宋体"/>
          <w:szCs w:val="21"/>
          <w:highlight w:val="none"/>
        </w:rPr>
        <w:t>）；</w:t>
      </w:r>
    </w:p>
    <w:p>
      <w:pPr>
        <w:ind w:firstLine="210" w:firstLineChars="100"/>
        <w:jc w:val="left"/>
        <w:rPr>
          <w:rFonts w:ascii="宋体" w:cs="宋体"/>
          <w:szCs w:val="21"/>
          <w:highlight w:val="none"/>
        </w:rPr>
      </w:pPr>
      <w:r>
        <w:rPr>
          <w:rFonts w:hint="eastAsia" w:ascii="宋体" w:hAnsi="宋体" w:cs="宋体"/>
          <w:szCs w:val="21"/>
          <w:highlight w:val="none"/>
        </w:rPr>
        <w:t>《硬质聚氨脂泡沫塑料现场发泡施工工艺标准》（</w:t>
      </w:r>
      <w:r>
        <w:rPr>
          <w:rFonts w:ascii="宋体" w:hAnsi="宋体" w:cs="宋体"/>
          <w:szCs w:val="21"/>
          <w:highlight w:val="none"/>
        </w:rPr>
        <w:t>J04106-2004</w:t>
      </w:r>
      <w:r>
        <w:rPr>
          <w:rFonts w:hint="eastAsia" w:ascii="宋体" w:hAnsi="宋体" w:cs="宋体"/>
          <w:szCs w:val="21"/>
          <w:highlight w:val="none"/>
        </w:rPr>
        <w:t>）。</w:t>
      </w:r>
    </w:p>
    <w:p>
      <w:pPr>
        <w:widowControl/>
        <w:ind w:firstLine="210" w:firstLineChars="100"/>
        <w:rPr>
          <w:color w:val="000000"/>
          <w:szCs w:val="24"/>
          <w:highlight w:val="none"/>
        </w:rPr>
      </w:pPr>
      <w:r>
        <w:rPr>
          <w:rFonts w:hint="eastAsia"/>
          <w:color w:val="000000"/>
          <w:szCs w:val="24"/>
          <w:highlight w:val="none"/>
        </w:rPr>
        <w:t>《工业用水冷却设备通用技术条件》（GB/T7190-2008）；</w:t>
      </w:r>
    </w:p>
    <w:p>
      <w:pPr>
        <w:widowControl/>
        <w:ind w:firstLine="210" w:firstLineChars="100"/>
        <w:rPr>
          <w:color w:val="000000"/>
          <w:szCs w:val="24"/>
          <w:highlight w:val="none"/>
        </w:rPr>
      </w:pPr>
      <w:r>
        <w:rPr>
          <w:rFonts w:hint="eastAsia"/>
          <w:color w:val="000000"/>
          <w:szCs w:val="24"/>
          <w:highlight w:val="none"/>
        </w:rPr>
        <w:t>《机械通风冷却塔工艺设计规范》（GB/T50392-2016）；</w:t>
      </w:r>
    </w:p>
    <w:p>
      <w:pPr>
        <w:widowControl/>
        <w:ind w:firstLine="210" w:firstLineChars="100"/>
        <w:rPr>
          <w:color w:val="000000"/>
          <w:szCs w:val="24"/>
          <w:highlight w:val="none"/>
        </w:rPr>
      </w:pPr>
      <w:r>
        <w:rPr>
          <w:rFonts w:hint="eastAsia"/>
          <w:color w:val="000000"/>
          <w:szCs w:val="24"/>
          <w:highlight w:val="none"/>
        </w:rPr>
        <w:t>《声环境质量标准》（GB3096-2008）；</w:t>
      </w:r>
    </w:p>
    <w:p>
      <w:pPr>
        <w:widowControl/>
        <w:ind w:firstLine="210" w:firstLineChars="100"/>
        <w:rPr>
          <w:color w:val="000000"/>
          <w:szCs w:val="24"/>
          <w:highlight w:val="none"/>
        </w:rPr>
      </w:pPr>
      <w:r>
        <w:rPr>
          <w:rFonts w:hint="eastAsia"/>
          <w:color w:val="000000"/>
          <w:szCs w:val="24"/>
          <w:highlight w:val="none"/>
        </w:rPr>
        <w:t>《工业循环水冷却设计规范》（GB/T5010-2003）；</w:t>
      </w:r>
    </w:p>
    <w:p>
      <w:pPr>
        <w:widowControl/>
        <w:ind w:firstLine="210" w:firstLineChars="100"/>
        <w:rPr>
          <w:color w:val="000000"/>
          <w:szCs w:val="24"/>
          <w:highlight w:val="none"/>
        </w:rPr>
      </w:pPr>
      <w:r>
        <w:rPr>
          <w:rFonts w:hint="eastAsia"/>
          <w:color w:val="000000"/>
          <w:szCs w:val="24"/>
          <w:highlight w:val="none"/>
        </w:rPr>
        <w:t>《大型玻璃纤维增强塑料冷却塔》（GB/7190.2-1997）；</w:t>
      </w:r>
    </w:p>
    <w:p>
      <w:pPr>
        <w:widowControl/>
        <w:ind w:firstLine="210" w:firstLineChars="100"/>
        <w:rPr>
          <w:color w:val="000000"/>
          <w:szCs w:val="24"/>
          <w:highlight w:val="none"/>
        </w:rPr>
      </w:pPr>
      <w:r>
        <w:rPr>
          <w:rFonts w:hint="eastAsia"/>
          <w:color w:val="000000"/>
          <w:szCs w:val="24"/>
          <w:highlight w:val="none"/>
        </w:rPr>
        <w:t>《一般工业用铸造碳钢件》（GB11352-2009）；</w:t>
      </w:r>
      <w:r>
        <w:rPr>
          <w:rFonts w:hint="eastAsia"/>
          <w:color w:val="000000"/>
          <w:szCs w:val="24"/>
          <w:highlight w:val="none"/>
        </w:rPr>
        <w:tab/>
      </w:r>
    </w:p>
    <w:p>
      <w:pPr>
        <w:widowControl/>
        <w:ind w:firstLine="210" w:firstLineChars="100"/>
        <w:rPr>
          <w:color w:val="000000"/>
          <w:szCs w:val="24"/>
          <w:highlight w:val="none"/>
        </w:rPr>
      </w:pPr>
      <w:r>
        <w:rPr>
          <w:rFonts w:hint="eastAsia"/>
          <w:color w:val="000000"/>
          <w:szCs w:val="24"/>
          <w:highlight w:val="none"/>
        </w:rPr>
        <w:t>《建筑结构荷载规范》（GB50009-2001</w:t>
      </w:r>
      <w:r>
        <w:rPr>
          <w:rFonts w:hint="eastAsia"/>
          <w:color w:val="000000"/>
          <w:szCs w:val="24"/>
          <w:highlight w:val="none"/>
        </w:rPr>
        <w:tab/>
      </w:r>
      <w:r>
        <w:rPr>
          <w:rFonts w:hint="eastAsia"/>
          <w:color w:val="000000"/>
          <w:szCs w:val="24"/>
          <w:highlight w:val="none"/>
        </w:rPr>
        <w:t>）；</w:t>
      </w:r>
    </w:p>
    <w:p>
      <w:pPr>
        <w:widowControl/>
        <w:ind w:firstLine="210" w:firstLineChars="100"/>
        <w:rPr>
          <w:color w:val="000000"/>
          <w:szCs w:val="24"/>
          <w:highlight w:val="none"/>
        </w:rPr>
      </w:pPr>
      <w:r>
        <w:rPr>
          <w:rFonts w:hint="eastAsia"/>
          <w:color w:val="000000"/>
          <w:szCs w:val="24"/>
          <w:highlight w:val="none"/>
        </w:rPr>
        <w:t>《建筑地基基础设计规范》（GB50007-2011）；</w:t>
      </w:r>
    </w:p>
    <w:p>
      <w:pPr>
        <w:widowControl/>
        <w:ind w:firstLine="210" w:firstLineChars="100"/>
        <w:rPr>
          <w:color w:val="000000"/>
          <w:szCs w:val="24"/>
          <w:highlight w:val="none"/>
        </w:rPr>
      </w:pPr>
      <w:r>
        <w:rPr>
          <w:rFonts w:hint="eastAsia"/>
          <w:color w:val="000000"/>
          <w:szCs w:val="24"/>
          <w:highlight w:val="none"/>
        </w:rPr>
        <w:t>《建筑抗震设计规范》（GB50011-2010</w:t>
      </w:r>
      <w:r>
        <w:rPr>
          <w:rFonts w:hint="eastAsia"/>
          <w:color w:val="000000"/>
          <w:szCs w:val="24"/>
          <w:highlight w:val="none"/>
        </w:rPr>
        <w:tab/>
      </w:r>
      <w:r>
        <w:rPr>
          <w:rFonts w:hint="eastAsia"/>
          <w:color w:val="000000"/>
          <w:szCs w:val="24"/>
          <w:highlight w:val="none"/>
        </w:rPr>
        <w:t>）；</w:t>
      </w:r>
    </w:p>
    <w:p>
      <w:pPr>
        <w:widowControl/>
        <w:ind w:firstLine="210" w:firstLineChars="100"/>
        <w:rPr>
          <w:color w:val="000000"/>
          <w:szCs w:val="24"/>
          <w:highlight w:val="none"/>
        </w:rPr>
      </w:pPr>
      <w:r>
        <w:rPr>
          <w:rFonts w:hint="eastAsia"/>
          <w:color w:val="000000"/>
          <w:szCs w:val="24"/>
          <w:highlight w:val="none"/>
        </w:rPr>
        <w:t>《电机外壳保护等级》（GB4942</w:t>
      </w:r>
      <w:r>
        <w:rPr>
          <w:rFonts w:hint="eastAsia"/>
          <w:color w:val="000000"/>
          <w:szCs w:val="24"/>
          <w:highlight w:val="none"/>
        </w:rPr>
        <w:tab/>
      </w:r>
      <w:r>
        <w:rPr>
          <w:rFonts w:hint="eastAsia"/>
          <w:color w:val="000000"/>
          <w:szCs w:val="24"/>
          <w:highlight w:val="none"/>
        </w:rPr>
        <w:t>）；</w:t>
      </w:r>
    </w:p>
    <w:p>
      <w:pPr>
        <w:ind w:firstLine="420" w:firstLineChars="200"/>
        <w:rPr>
          <w:highlight w:val="none"/>
        </w:rPr>
      </w:pPr>
      <w:r>
        <w:rPr>
          <w:rFonts w:hint="eastAsia"/>
          <w:highlight w:val="none"/>
        </w:rPr>
        <w:t>施工中采用的工程技术文件、承包合同文件对施工质量验收的要求不得低于本技术要求。设备安装质量验收除应执行本规范外，尚应符合国家现行有关标准、规范的规定。</w:t>
      </w:r>
    </w:p>
    <w:p>
      <w:pPr>
        <w:pStyle w:val="23"/>
        <w:rPr>
          <w:rFonts w:ascii="宋体" w:hAnsi="宋体"/>
          <w:b/>
          <w:sz w:val="32"/>
          <w:szCs w:val="32"/>
          <w:highlight w:val="none"/>
        </w:rPr>
      </w:pPr>
      <w:bookmarkStart w:id="214" w:name="_Toc13560"/>
      <w:bookmarkStart w:id="215" w:name="_Toc9373"/>
      <w:r>
        <w:rPr>
          <w:rFonts w:hint="eastAsia" w:ascii="宋体" w:hAnsi="宋体"/>
          <w:b/>
          <w:sz w:val="32"/>
          <w:szCs w:val="32"/>
          <w:highlight w:val="none"/>
        </w:rPr>
        <w:t>二、设备参数要求</w:t>
      </w:r>
      <w:bookmarkEnd w:id="214"/>
      <w:bookmarkEnd w:id="215"/>
    </w:p>
    <w:p>
      <w:pPr>
        <w:keepNext/>
        <w:keepLines/>
        <w:outlineLvl w:val="2"/>
        <w:rPr>
          <w:b/>
          <w:bCs/>
          <w:sz w:val="28"/>
          <w:szCs w:val="32"/>
          <w:highlight w:val="none"/>
        </w:rPr>
      </w:pPr>
      <w:bookmarkStart w:id="216" w:name="_Toc9902"/>
      <w:bookmarkStart w:id="217" w:name="_Toc8651"/>
      <w:r>
        <w:rPr>
          <w:rFonts w:hint="eastAsia"/>
          <w:b/>
          <w:bCs/>
          <w:sz w:val="28"/>
          <w:szCs w:val="32"/>
          <w:highlight w:val="none"/>
        </w:rPr>
        <w:t>2.1 冷水机组参数</w:t>
      </w:r>
      <w:bookmarkEnd w:id="216"/>
      <w:bookmarkEnd w:id="217"/>
    </w:p>
    <w:p>
      <w:pPr>
        <w:rPr>
          <w:rFonts w:ascii="宋体" w:hAnsi="宋体"/>
          <w:spacing w:val="10"/>
          <w:sz w:val="28"/>
          <w:szCs w:val="28"/>
          <w:highlight w:val="none"/>
        </w:rPr>
      </w:pPr>
      <w:bookmarkStart w:id="218" w:name="_Toc73429234"/>
      <w:bookmarkStart w:id="219" w:name="_Toc27736"/>
      <w:bookmarkStart w:id="220" w:name="_Toc405466645"/>
      <w:r>
        <w:rPr>
          <w:rFonts w:hint="eastAsia" w:ascii="宋体" w:hAnsi="宋体"/>
          <w:spacing w:val="10"/>
          <w:sz w:val="28"/>
          <w:szCs w:val="28"/>
          <w:highlight w:val="none"/>
        </w:rPr>
        <w:t>2.1.1.</w:t>
      </w:r>
      <w:bookmarkEnd w:id="218"/>
      <w:bookmarkEnd w:id="219"/>
      <w:bookmarkEnd w:id="220"/>
      <w:r>
        <w:rPr>
          <w:rFonts w:hint="eastAsia" w:ascii="宋体" w:hAnsi="宋体"/>
          <w:spacing w:val="10"/>
          <w:sz w:val="28"/>
          <w:szCs w:val="28"/>
          <w:highlight w:val="none"/>
        </w:rPr>
        <w:t>1600RT变频离心式冷水机组技术要求：</w:t>
      </w:r>
    </w:p>
    <w:tbl>
      <w:tblPr>
        <w:tblStyle w:val="16"/>
        <w:tblW w:w="51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0"/>
        <w:gridCol w:w="1251"/>
        <w:gridCol w:w="164"/>
        <w:gridCol w:w="2576"/>
        <w:gridCol w:w="5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46" w:type="pct"/>
            <w:vMerge w:val="restart"/>
            <w:noWrap w:val="0"/>
            <w:vAlign w:val="center"/>
          </w:tcPr>
          <w:p>
            <w:pPr>
              <w:spacing w:before="153"/>
              <w:ind w:left="104" w:right="103"/>
              <w:jc w:val="center"/>
              <w:rPr>
                <w:rFonts w:ascii="等线" w:hAnsi="等线"/>
                <w:sz w:val="20"/>
                <w:highlight w:val="none"/>
                <w:lang w:eastAsia="en-US"/>
              </w:rPr>
            </w:pPr>
            <w:r>
              <w:rPr>
                <w:rFonts w:hint="eastAsia" w:ascii="等线" w:hAnsi="等线"/>
                <w:sz w:val="20"/>
                <w:highlight w:val="none"/>
              </w:rPr>
              <w:t>序号</w:t>
            </w:r>
          </w:p>
        </w:tc>
        <w:tc>
          <w:tcPr>
            <w:tcW w:w="2090" w:type="pct"/>
            <w:gridSpan w:val="3"/>
            <w:vMerge w:val="restart"/>
            <w:noWrap w:val="0"/>
            <w:vAlign w:val="center"/>
          </w:tcPr>
          <w:p>
            <w:pPr>
              <w:tabs>
                <w:tab w:val="left" w:pos="1806"/>
              </w:tabs>
              <w:spacing w:before="19"/>
              <w:ind w:left="767"/>
              <w:jc w:val="left"/>
              <w:rPr>
                <w:rFonts w:ascii="等线" w:hAnsi="等线"/>
                <w:sz w:val="20"/>
                <w:highlight w:val="none"/>
                <w:lang w:eastAsia="en-US"/>
              </w:rPr>
            </w:pPr>
            <w:r>
              <w:rPr>
                <w:rFonts w:hint="eastAsia" w:ascii="等线" w:hAnsi="等线"/>
                <w:sz w:val="20"/>
                <w:highlight w:val="none"/>
              </w:rPr>
              <w:t>项</w:t>
            </w:r>
            <w:r>
              <w:rPr>
                <w:rFonts w:ascii="等线" w:hAnsi="等线"/>
                <w:sz w:val="20"/>
                <w:highlight w:val="none"/>
              </w:rPr>
              <w:tab/>
            </w:r>
            <w:r>
              <w:rPr>
                <w:rFonts w:hint="eastAsia" w:ascii="等线" w:hAnsi="等线"/>
                <w:sz w:val="20"/>
                <w:highlight w:val="none"/>
              </w:rPr>
              <w:t>目</w:t>
            </w:r>
          </w:p>
        </w:tc>
        <w:tc>
          <w:tcPr>
            <w:tcW w:w="2664" w:type="pct"/>
            <w:vMerge w:val="restart"/>
            <w:noWrap w:val="0"/>
            <w:vAlign w:val="center"/>
          </w:tcPr>
          <w:p>
            <w:pPr>
              <w:tabs>
                <w:tab w:val="left" w:pos="1728"/>
                <w:tab w:val="left" w:pos="2508"/>
                <w:tab w:val="left" w:pos="3290"/>
              </w:tabs>
              <w:spacing w:before="19"/>
              <w:ind w:left="133"/>
              <w:jc w:val="center"/>
              <w:rPr>
                <w:rFonts w:ascii="等线" w:hAnsi="等线"/>
                <w:b/>
                <w:bCs/>
                <w:sz w:val="20"/>
                <w:highlight w:val="none"/>
              </w:rPr>
            </w:pPr>
            <w:r>
              <w:rPr>
                <w:rFonts w:hint="eastAsia" w:ascii="等线" w:hAnsi="等线"/>
                <w:b/>
                <w:bCs/>
                <w:sz w:val="20"/>
                <w:highlight w:val="none"/>
              </w:rPr>
              <w:t>1</w:t>
            </w:r>
            <w:r>
              <w:rPr>
                <w:rFonts w:ascii="等线" w:hAnsi="等线"/>
                <w:b/>
                <w:bCs/>
                <w:sz w:val="20"/>
                <w:highlight w:val="none"/>
              </w:rPr>
              <w:t>6</w:t>
            </w:r>
            <w:r>
              <w:rPr>
                <w:rFonts w:hint="eastAsia" w:ascii="等线" w:hAnsi="等线"/>
                <w:b/>
                <w:bCs/>
                <w:sz w:val="20"/>
                <w:highlight w:val="none"/>
              </w:rPr>
              <w:t>00RT变频离心式冷水机组</w:t>
            </w:r>
          </w:p>
          <w:p>
            <w:pPr>
              <w:tabs>
                <w:tab w:val="left" w:pos="1728"/>
                <w:tab w:val="left" w:pos="2508"/>
                <w:tab w:val="left" w:pos="3290"/>
              </w:tabs>
              <w:spacing w:before="19"/>
              <w:ind w:left="133"/>
              <w:jc w:val="center"/>
              <w:rPr>
                <w:rFonts w:ascii="等线" w:hAnsi="等线"/>
                <w:b/>
                <w:bCs/>
                <w:sz w:val="20"/>
                <w:highlight w:val="none"/>
              </w:rPr>
            </w:pPr>
            <w:r>
              <w:rPr>
                <w:rFonts w:hint="eastAsia" w:ascii="等线" w:hAnsi="等线"/>
                <w:b/>
                <w:bCs/>
                <w:sz w:val="20"/>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246" w:type="pct"/>
            <w:vMerge w:val="continue"/>
            <w:noWrap w:val="0"/>
            <w:vAlign w:val="center"/>
          </w:tcPr>
          <w:p>
            <w:pPr>
              <w:jc w:val="center"/>
              <w:rPr>
                <w:rFonts w:ascii="等线" w:hAnsi="等线"/>
                <w:highlight w:val="none"/>
              </w:rPr>
            </w:pPr>
          </w:p>
        </w:tc>
        <w:tc>
          <w:tcPr>
            <w:tcW w:w="2090" w:type="pct"/>
            <w:gridSpan w:val="3"/>
            <w:vMerge w:val="continue"/>
            <w:noWrap w:val="0"/>
            <w:vAlign w:val="center"/>
          </w:tcPr>
          <w:p>
            <w:pPr>
              <w:jc w:val="center"/>
              <w:rPr>
                <w:rFonts w:ascii="等线" w:hAnsi="等线"/>
                <w:highlight w:val="none"/>
              </w:rPr>
            </w:pPr>
          </w:p>
        </w:tc>
        <w:tc>
          <w:tcPr>
            <w:tcW w:w="2664" w:type="pct"/>
            <w:vMerge w:val="continue"/>
            <w:noWrap w:val="0"/>
            <w:vAlign w:val="center"/>
          </w:tcPr>
          <w:p>
            <w:pPr>
              <w:jc w:val="center"/>
              <w:rPr>
                <w:rFonts w:ascii="等线" w:hAnsi="等线"/>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noWrap w:val="0"/>
            <w:vAlign w:val="center"/>
          </w:tcPr>
          <w:p>
            <w:pPr>
              <w:jc w:val="center"/>
              <w:rPr>
                <w:rFonts w:ascii="等线" w:hAnsi="等线"/>
                <w:sz w:val="20"/>
                <w:highlight w:val="none"/>
                <w:lang w:eastAsia="en-US"/>
              </w:rPr>
            </w:pPr>
            <w:r>
              <w:rPr>
                <w:rFonts w:ascii="等线" w:hAnsi="等线"/>
                <w:w w:val="99"/>
                <w:sz w:val="20"/>
                <w:highlight w:val="none"/>
              </w:rPr>
              <w:t>1</w:t>
            </w:r>
          </w:p>
        </w:tc>
        <w:tc>
          <w:tcPr>
            <w:tcW w:w="2090" w:type="pct"/>
            <w:gridSpan w:val="3"/>
            <w:noWrap w:val="0"/>
            <w:vAlign w:val="center"/>
          </w:tcPr>
          <w:p>
            <w:pPr>
              <w:spacing w:before="14"/>
              <w:ind w:left="28"/>
              <w:jc w:val="center"/>
              <w:rPr>
                <w:rFonts w:ascii="等线" w:hAnsi="等线"/>
                <w:sz w:val="20"/>
                <w:highlight w:val="none"/>
                <w:lang w:eastAsia="en-US"/>
              </w:rPr>
            </w:pPr>
            <w:r>
              <w:rPr>
                <w:rFonts w:hint="eastAsia" w:ascii="等线" w:hAnsi="等线"/>
                <w:sz w:val="20"/>
                <w:highlight w:val="none"/>
              </w:rPr>
              <w:t>使用场所</w:t>
            </w: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lang w:eastAsia="en-US"/>
              </w:rPr>
            </w:pPr>
            <w:r>
              <w:rPr>
                <w:rFonts w:hint="eastAsia" w:ascii="等线" w:hAnsi="等线"/>
                <w:sz w:val="20"/>
                <w:highlight w:val="non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noWrap w:val="0"/>
            <w:vAlign w:val="center"/>
          </w:tcPr>
          <w:p>
            <w:pPr>
              <w:jc w:val="center"/>
              <w:rPr>
                <w:rFonts w:ascii="等线" w:hAnsi="等线"/>
                <w:w w:val="99"/>
                <w:sz w:val="20"/>
                <w:highlight w:val="none"/>
              </w:rPr>
            </w:pPr>
            <w:r>
              <w:rPr>
                <w:rFonts w:ascii="等线" w:hAnsi="等线"/>
                <w:w w:val="99"/>
                <w:sz w:val="20"/>
                <w:highlight w:val="none"/>
              </w:rPr>
              <w:t>2</w:t>
            </w:r>
          </w:p>
        </w:tc>
        <w:tc>
          <w:tcPr>
            <w:tcW w:w="2090" w:type="pct"/>
            <w:gridSpan w:val="3"/>
            <w:noWrap w:val="0"/>
            <w:vAlign w:val="center"/>
          </w:tcPr>
          <w:p>
            <w:pPr>
              <w:spacing w:before="14"/>
              <w:ind w:left="28"/>
              <w:jc w:val="center"/>
              <w:rPr>
                <w:rFonts w:ascii="等线" w:hAnsi="等线"/>
                <w:sz w:val="20"/>
                <w:highlight w:val="none"/>
              </w:rPr>
            </w:pPr>
            <w:r>
              <w:rPr>
                <w:rFonts w:hint="eastAsia" w:ascii="等线" w:hAnsi="等线"/>
                <w:sz w:val="20"/>
                <w:highlight w:val="none"/>
              </w:rPr>
              <w:t>数量</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246" w:type="pct"/>
            <w:vMerge w:val="restart"/>
            <w:noWrap w:val="0"/>
            <w:vAlign w:val="center"/>
          </w:tcPr>
          <w:p>
            <w:pPr>
              <w:jc w:val="center"/>
              <w:rPr>
                <w:rFonts w:ascii="等线" w:hAnsi="等线"/>
                <w:sz w:val="20"/>
                <w:highlight w:val="none"/>
                <w:lang w:eastAsia="en-US"/>
              </w:rPr>
            </w:pPr>
            <w:r>
              <w:rPr>
                <w:rFonts w:ascii="等线" w:hAnsi="等线"/>
                <w:w w:val="99"/>
                <w:sz w:val="20"/>
                <w:highlight w:val="none"/>
              </w:rPr>
              <w:t>3</w:t>
            </w:r>
          </w:p>
        </w:tc>
        <w:tc>
          <w:tcPr>
            <w:tcW w:w="655" w:type="pct"/>
            <w:vMerge w:val="restart"/>
            <w:noWrap w:val="0"/>
            <w:vAlign w:val="center"/>
          </w:tcPr>
          <w:p>
            <w:pPr>
              <w:spacing w:before="240"/>
              <w:ind w:right="18"/>
              <w:jc w:val="center"/>
              <w:rPr>
                <w:rFonts w:ascii="等线" w:hAnsi="等线"/>
                <w:sz w:val="20"/>
                <w:highlight w:val="none"/>
                <w:lang w:eastAsia="en-US"/>
              </w:rPr>
            </w:pPr>
            <w:r>
              <w:rPr>
                <w:rFonts w:hint="eastAsia" w:ascii="等线" w:hAnsi="等线"/>
                <w:sz w:val="20"/>
                <w:highlight w:val="none"/>
              </w:rPr>
              <w:t>制冷参数</w:t>
            </w: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冷冻水进</w:t>
            </w:r>
            <w:r>
              <w:rPr>
                <w:rFonts w:ascii="等线" w:hAnsi="等线"/>
                <w:sz w:val="20"/>
                <w:highlight w:val="none"/>
              </w:rPr>
              <w:t>/</w:t>
            </w:r>
            <w:r>
              <w:rPr>
                <w:rFonts w:hint="eastAsia" w:ascii="等线" w:hAnsi="等线"/>
                <w:sz w:val="20"/>
                <w:highlight w:val="none"/>
              </w:rPr>
              <w:t>出水温度</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运行工况：13℃/6℃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b/>
                <w:bCs/>
                <w:sz w:val="20"/>
                <w:highlight w:val="none"/>
              </w:rPr>
            </w:pPr>
            <w:r>
              <w:rPr>
                <w:rFonts w:hint="eastAsia" w:ascii="等线" w:hAnsi="等线"/>
                <w:bCs/>
                <w:color w:val="000000"/>
                <w:sz w:val="20"/>
                <w:highlight w:val="none"/>
              </w:rPr>
              <w:t>蒸发器污垢系数</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≤0.0176㎡·K/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冷却水进</w:t>
            </w:r>
            <w:r>
              <w:rPr>
                <w:rFonts w:ascii="等线" w:hAnsi="等线"/>
                <w:sz w:val="20"/>
                <w:highlight w:val="none"/>
              </w:rPr>
              <w:t>/</w:t>
            </w:r>
            <w:r>
              <w:rPr>
                <w:rFonts w:hint="eastAsia" w:ascii="等线" w:hAnsi="等线"/>
                <w:sz w:val="20"/>
                <w:highlight w:val="none"/>
              </w:rPr>
              <w:t>出水温度</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运行工况：32℃/37℃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冷凝器污垢系数</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≤0.0440㎡·K/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制冷量</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≥5626kw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蒸发器压降</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≤52KPa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冷凝器压降</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≤74KPa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运行模式</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一年365天，24小时运行。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冷凝器清洗功能</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冷凝器自动在线清洗装置的胶球顺利走完冷凝器全管程，不卡球。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restart"/>
            <w:noWrap w:val="0"/>
            <w:vAlign w:val="center"/>
          </w:tcPr>
          <w:p>
            <w:pPr>
              <w:jc w:val="center"/>
              <w:rPr>
                <w:rFonts w:ascii="等线" w:hAnsi="等线"/>
                <w:w w:val="99"/>
                <w:sz w:val="20"/>
                <w:highlight w:val="none"/>
              </w:rPr>
            </w:pPr>
            <w:r>
              <w:rPr>
                <w:rFonts w:ascii="等线" w:hAnsi="等线"/>
                <w:w w:val="99"/>
                <w:sz w:val="20"/>
                <w:highlight w:val="none"/>
              </w:rPr>
              <w:t>4</w:t>
            </w:r>
          </w:p>
        </w:tc>
        <w:tc>
          <w:tcPr>
            <w:tcW w:w="655" w:type="pct"/>
            <w:vMerge w:val="restart"/>
            <w:noWrap w:val="0"/>
            <w:vAlign w:val="center"/>
          </w:tcPr>
          <w:p>
            <w:pPr>
              <w:jc w:val="center"/>
              <w:rPr>
                <w:rFonts w:ascii="等线" w:hAnsi="等线"/>
                <w:sz w:val="20"/>
                <w:highlight w:val="none"/>
              </w:rPr>
            </w:pPr>
            <w:r>
              <w:rPr>
                <w:rFonts w:hint="eastAsia" w:ascii="等线" w:hAnsi="等线"/>
                <w:sz w:val="20"/>
                <w:highlight w:val="none"/>
              </w:rPr>
              <w:t>能耗</w:t>
            </w: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制冷量</w:t>
            </w:r>
            <w:r>
              <w:rPr>
                <w:rFonts w:ascii="等线" w:hAnsi="等线"/>
                <w:sz w:val="20"/>
                <w:highlight w:val="none"/>
              </w:rPr>
              <w:t>(</w:t>
            </w:r>
            <w:r>
              <w:rPr>
                <w:rFonts w:hint="eastAsia" w:ascii="等线" w:hAnsi="等线" w:cs="等线"/>
                <w:sz w:val="20"/>
                <w:highlight w:val="none"/>
              </w:rPr>
              <w:t>国标工况</w:t>
            </w:r>
            <w:r>
              <w:rPr>
                <w:rFonts w:ascii="等线" w:hAnsi="等线" w:cs="等线"/>
                <w:sz w:val="20"/>
                <w:highlight w:val="none"/>
              </w:rPr>
              <w:t>)</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≥5626kw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综合部分负荷性能系数</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IPLV（GB/T18430.1）≥8.1；</w:t>
            </w:r>
          </w:p>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IPLV满足国家标准一级能效及以上。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选型报告</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提供满足AHRI认证国标工况(含IPLV)、设计工况及10-100%（10个点）部分负荷选型报告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restart"/>
            <w:noWrap w:val="0"/>
            <w:vAlign w:val="center"/>
          </w:tcPr>
          <w:p>
            <w:pPr>
              <w:jc w:val="center"/>
              <w:rPr>
                <w:rFonts w:ascii="等线" w:hAnsi="等线"/>
                <w:sz w:val="20"/>
                <w:highlight w:val="none"/>
              </w:rPr>
            </w:pPr>
            <w:r>
              <w:rPr>
                <w:rFonts w:hint="eastAsia" w:ascii="等线" w:hAnsi="等线"/>
                <w:sz w:val="20"/>
                <w:highlight w:val="none"/>
              </w:rPr>
              <w:t>5</w:t>
            </w:r>
          </w:p>
        </w:tc>
        <w:tc>
          <w:tcPr>
            <w:tcW w:w="655" w:type="pct"/>
            <w:vMerge w:val="restart"/>
            <w:noWrap w:val="0"/>
            <w:vAlign w:val="center"/>
          </w:tcPr>
          <w:p>
            <w:pPr>
              <w:spacing w:before="233"/>
              <w:ind w:left="28" w:right="18"/>
              <w:jc w:val="center"/>
              <w:rPr>
                <w:rFonts w:ascii="等线" w:hAnsi="等线"/>
                <w:sz w:val="20"/>
                <w:highlight w:val="none"/>
                <w:lang w:eastAsia="en-US"/>
              </w:rPr>
            </w:pPr>
            <w:r>
              <w:rPr>
                <w:rFonts w:hint="eastAsia" w:ascii="等线" w:hAnsi="等线"/>
                <w:sz w:val="20"/>
                <w:highlight w:val="none"/>
              </w:rPr>
              <w:t>噪声及振动</w:t>
            </w: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噪声值</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≤85dBA，提供AHRI认证选型报告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振动值</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≤15μm/m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减振器型式</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橡胶减振器或弹簧减震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46" w:type="pct"/>
            <w:noWrap w:val="0"/>
            <w:vAlign w:val="center"/>
          </w:tcPr>
          <w:p>
            <w:pPr>
              <w:spacing w:before="153"/>
              <w:jc w:val="center"/>
              <w:rPr>
                <w:rFonts w:ascii="等线" w:hAnsi="等线"/>
                <w:sz w:val="20"/>
                <w:highlight w:val="none"/>
                <w:lang w:eastAsia="en-US"/>
              </w:rPr>
            </w:pPr>
            <w:r>
              <w:rPr>
                <w:rFonts w:ascii="等线" w:hAnsi="等线"/>
                <w:w w:val="99"/>
                <w:sz w:val="20"/>
                <w:highlight w:val="none"/>
              </w:rPr>
              <w:t>6</w:t>
            </w:r>
          </w:p>
        </w:tc>
        <w:tc>
          <w:tcPr>
            <w:tcW w:w="655" w:type="pct"/>
            <w:noWrap w:val="0"/>
            <w:vAlign w:val="center"/>
          </w:tcPr>
          <w:p>
            <w:pPr>
              <w:spacing w:before="230"/>
              <w:ind w:left="138" w:right="128"/>
              <w:jc w:val="center"/>
              <w:rPr>
                <w:rFonts w:ascii="等线" w:hAnsi="等线"/>
                <w:sz w:val="20"/>
                <w:highlight w:val="none"/>
                <w:lang w:eastAsia="en-US"/>
              </w:rPr>
            </w:pPr>
            <w:r>
              <w:rPr>
                <w:rFonts w:hint="eastAsia" w:ascii="等线" w:hAnsi="等线"/>
                <w:sz w:val="20"/>
                <w:highlight w:val="none"/>
              </w:rPr>
              <w:t>冷媒</w:t>
            </w: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冷媒</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R134a、R514a或R1233zd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46" w:type="pct"/>
            <w:vMerge w:val="restart"/>
            <w:noWrap w:val="0"/>
            <w:vAlign w:val="center"/>
          </w:tcPr>
          <w:p>
            <w:pPr>
              <w:ind w:right="-17" w:rightChars="-8"/>
              <w:jc w:val="center"/>
              <w:rPr>
                <w:rFonts w:ascii="等线" w:hAnsi="等线"/>
                <w:sz w:val="20"/>
                <w:highlight w:val="none"/>
              </w:rPr>
            </w:pPr>
            <w:r>
              <w:rPr>
                <w:rFonts w:ascii="等线" w:hAnsi="等线"/>
                <w:sz w:val="20"/>
                <w:highlight w:val="none"/>
              </w:rPr>
              <w:t>7</w:t>
            </w:r>
          </w:p>
        </w:tc>
        <w:tc>
          <w:tcPr>
            <w:tcW w:w="655" w:type="pct"/>
            <w:vMerge w:val="restart"/>
            <w:noWrap w:val="0"/>
            <w:vAlign w:val="center"/>
          </w:tcPr>
          <w:p>
            <w:pPr>
              <w:spacing w:before="131" w:line="201" w:lineRule="auto"/>
              <w:ind w:left="124" w:right="117"/>
              <w:jc w:val="center"/>
              <w:rPr>
                <w:rFonts w:ascii="等线" w:hAnsi="等线"/>
                <w:sz w:val="20"/>
                <w:highlight w:val="none"/>
                <w:lang w:eastAsia="en-US"/>
              </w:rPr>
            </w:pPr>
            <w:r>
              <w:rPr>
                <w:rFonts w:hint="eastAsia" w:ascii="等线" w:hAnsi="等线"/>
                <w:sz w:val="20"/>
                <w:highlight w:val="none"/>
              </w:rPr>
              <w:t>能量调节</w:t>
            </w:r>
          </w:p>
        </w:tc>
        <w:tc>
          <w:tcPr>
            <w:tcW w:w="1435" w:type="pct"/>
            <w:gridSpan w:val="2"/>
            <w:noWrap w:val="0"/>
            <w:vAlign w:val="center"/>
          </w:tcPr>
          <w:p>
            <w:pPr>
              <w:spacing w:before="24" w:line="316" w:lineRule="exact"/>
              <w:ind w:left="28"/>
              <w:jc w:val="center"/>
              <w:rPr>
                <w:rFonts w:ascii="等线" w:hAnsi="等线"/>
                <w:sz w:val="20"/>
                <w:highlight w:val="none"/>
                <w:lang w:eastAsia="en-US"/>
              </w:rPr>
            </w:pPr>
            <w:r>
              <w:rPr>
                <w:rFonts w:hint="eastAsia" w:ascii="等线" w:hAnsi="等线"/>
                <w:sz w:val="20"/>
                <w:highlight w:val="none"/>
              </w:rPr>
              <w:t>调节机构</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导流叶片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46" w:type="pct"/>
            <w:vMerge w:val="continue"/>
            <w:noWrap w:val="0"/>
            <w:vAlign w:val="center"/>
          </w:tcPr>
          <w:p>
            <w:pPr>
              <w:jc w:val="center"/>
              <w:rPr>
                <w:rFonts w:ascii="等线" w:hAnsi="等线"/>
                <w:sz w:val="20"/>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6" w:line="316" w:lineRule="exact"/>
              <w:ind w:left="28"/>
              <w:jc w:val="center"/>
              <w:rPr>
                <w:rFonts w:ascii="等线" w:hAnsi="等线"/>
                <w:sz w:val="20"/>
                <w:highlight w:val="none"/>
                <w:lang w:eastAsia="en-US"/>
              </w:rPr>
            </w:pPr>
            <w:r>
              <w:rPr>
                <w:rFonts w:hint="eastAsia" w:ascii="等线" w:hAnsi="等线"/>
                <w:sz w:val="20"/>
                <w:highlight w:val="none"/>
              </w:rPr>
              <w:t>调节级数</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20~100%范围内无级调节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46" w:type="pct"/>
            <w:vMerge w:val="continue"/>
            <w:noWrap w:val="0"/>
            <w:vAlign w:val="center"/>
          </w:tcPr>
          <w:p>
            <w:pPr>
              <w:jc w:val="center"/>
              <w:rPr>
                <w:rFonts w:ascii="等线" w:hAnsi="等线"/>
                <w:sz w:val="20"/>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4" w:line="316" w:lineRule="exact"/>
              <w:ind w:left="28"/>
              <w:jc w:val="center"/>
              <w:rPr>
                <w:rFonts w:ascii="等线" w:hAnsi="等线"/>
                <w:sz w:val="20"/>
                <w:highlight w:val="none"/>
                <w:lang w:eastAsia="en-US"/>
              </w:rPr>
            </w:pPr>
            <w:r>
              <w:rPr>
                <w:rFonts w:hint="eastAsia" w:ascii="等线" w:hAnsi="等线"/>
                <w:sz w:val="20"/>
                <w:highlight w:val="none"/>
              </w:rPr>
              <w:t>调节要求</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≥20%负荷不喘振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46" w:type="pct"/>
            <w:vMerge w:val="restart"/>
            <w:noWrap w:val="0"/>
            <w:vAlign w:val="center"/>
          </w:tcPr>
          <w:p>
            <w:pPr>
              <w:jc w:val="center"/>
              <w:rPr>
                <w:rFonts w:ascii="等线" w:hAnsi="等线"/>
                <w:sz w:val="20"/>
                <w:highlight w:val="none"/>
                <w:lang w:eastAsia="en-US"/>
              </w:rPr>
            </w:pPr>
            <w:r>
              <w:rPr>
                <w:rFonts w:ascii="等线" w:hAnsi="等线"/>
                <w:sz w:val="20"/>
                <w:highlight w:val="none"/>
              </w:rPr>
              <w:t>8</w:t>
            </w:r>
          </w:p>
        </w:tc>
        <w:tc>
          <w:tcPr>
            <w:tcW w:w="655" w:type="pct"/>
            <w:vMerge w:val="restart"/>
            <w:noWrap w:val="0"/>
            <w:vAlign w:val="center"/>
          </w:tcPr>
          <w:p>
            <w:pPr>
              <w:spacing w:before="210" w:line="201" w:lineRule="auto"/>
              <w:ind w:left="124" w:right="117"/>
              <w:jc w:val="center"/>
              <w:rPr>
                <w:rFonts w:ascii="等线" w:hAnsi="等线"/>
                <w:sz w:val="20"/>
                <w:highlight w:val="none"/>
                <w:lang w:eastAsia="en-US"/>
              </w:rPr>
            </w:pPr>
            <w:r>
              <w:rPr>
                <w:rFonts w:hint="eastAsia" w:ascii="等线" w:hAnsi="等线"/>
                <w:sz w:val="20"/>
                <w:highlight w:val="none"/>
              </w:rPr>
              <w:t>压缩机及变频器</w:t>
            </w:r>
          </w:p>
        </w:tc>
        <w:tc>
          <w:tcPr>
            <w:tcW w:w="1435" w:type="pct"/>
            <w:gridSpan w:val="2"/>
            <w:noWrap w:val="0"/>
            <w:vAlign w:val="center"/>
          </w:tcPr>
          <w:p>
            <w:pPr>
              <w:spacing w:line="301" w:lineRule="exact"/>
              <w:ind w:left="28"/>
              <w:jc w:val="center"/>
              <w:rPr>
                <w:rFonts w:ascii="等线" w:hAnsi="等线"/>
                <w:sz w:val="20"/>
                <w:highlight w:val="none"/>
                <w:lang w:eastAsia="en-US"/>
              </w:rPr>
            </w:pPr>
            <w:r>
              <w:rPr>
                <w:rFonts w:hint="eastAsia" w:ascii="等线" w:hAnsi="等线"/>
                <w:sz w:val="20"/>
                <w:highlight w:val="none"/>
              </w:rPr>
              <w:t>品牌</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与主机同一品牌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line="279" w:lineRule="exact"/>
              <w:ind w:left="26"/>
              <w:jc w:val="center"/>
              <w:rPr>
                <w:rFonts w:ascii="等线" w:hAnsi="等线"/>
                <w:sz w:val="20"/>
                <w:highlight w:val="none"/>
                <w:lang w:eastAsia="en-US"/>
              </w:rPr>
            </w:pPr>
            <w:r>
              <w:rPr>
                <w:rFonts w:hint="eastAsia" w:ascii="等线" w:hAnsi="等线"/>
                <w:sz w:val="20"/>
                <w:highlight w:val="none"/>
              </w:rPr>
              <w:t>品牌</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ABB 或Siemens 或Schneider 或优于所列品牌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noWrap w:val="0"/>
            <w:vAlign w:val="center"/>
          </w:tcPr>
          <w:p>
            <w:pPr>
              <w:spacing w:before="51"/>
              <w:jc w:val="center"/>
              <w:rPr>
                <w:rFonts w:ascii="等线" w:hAnsi="等线"/>
                <w:sz w:val="20"/>
                <w:highlight w:val="none"/>
              </w:rPr>
            </w:pPr>
            <w:r>
              <w:rPr>
                <w:rFonts w:hint="eastAsia" w:ascii="等线" w:hAnsi="等线"/>
                <w:sz w:val="20"/>
                <w:highlight w:val="none"/>
              </w:rPr>
              <w:t>9</w:t>
            </w:r>
          </w:p>
        </w:tc>
        <w:tc>
          <w:tcPr>
            <w:tcW w:w="2090" w:type="pct"/>
            <w:gridSpan w:val="3"/>
            <w:noWrap w:val="0"/>
            <w:vAlign w:val="center"/>
          </w:tcPr>
          <w:p>
            <w:pPr>
              <w:spacing w:line="318" w:lineRule="exact"/>
              <w:ind w:left="28"/>
              <w:jc w:val="center"/>
              <w:rPr>
                <w:rFonts w:ascii="等线" w:hAnsi="等线"/>
                <w:sz w:val="20"/>
                <w:highlight w:val="none"/>
              </w:rPr>
            </w:pPr>
            <w:r>
              <w:rPr>
                <w:rFonts w:hint="eastAsia" w:ascii="宋体" w:hAnsi="宋体" w:cs="宋体"/>
                <w:sz w:val="22"/>
                <w:szCs w:val="21"/>
                <w:highlight w:val="none"/>
                <w:lang w:eastAsia="en-US"/>
              </w:rPr>
              <w:t>报警显示</w:t>
            </w:r>
          </w:p>
        </w:tc>
        <w:tc>
          <w:tcPr>
            <w:tcW w:w="2664" w:type="pct"/>
            <w:noWrap w:val="0"/>
            <w:vAlign w:val="top"/>
          </w:tcPr>
          <w:p>
            <w:pPr>
              <w:rPr>
                <w:rFonts w:ascii="宋体" w:hAnsi="宋体" w:cs="宋体"/>
                <w:sz w:val="20"/>
                <w:highlight w:val="none"/>
              </w:rPr>
            </w:pPr>
            <w:r>
              <w:rPr>
                <w:rFonts w:hint="eastAsia" w:ascii="宋体" w:hAnsi="宋体" w:cs="宋体"/>
                <w:sz w:val="20"/>
                <w:highlight w:val="none"/>
              </w:rPr>
              <w:t>1.紧急/正常停机信息（包括系统状态、系统详情、日期、时间、停机原因等）</w:t>
            </w:r>
          </w:p>
          <w:p>
            <w:pPr>
              <w:rPr>
                <w:rFonts w:ascii="宋体" w:hAnsi="宋体" w:cs="宋体"/>
                <w:sz w:val="20"/>
                <w:highlight w:val="none"/>
              </w:rPr>
            </w:pPr>
            <w:r>
              <w:rPr>
                <w:rFonts w:hint="eastAsia" w:ascii="宋体" w:hAnsi="宋体" w:cs="宋体"/>
                <w:sz w:val="20"/>
                <w:highlight w:val="none"/>
              </w:rPr>
              <w:t>2.蒸发器、冷凝器传感器故障</w:t>
            </w:r>
          </w:p>
          <w:p>
            <w:pPr>
              <w:rPr>
                <w:rFonts w:ascii="宋体" w:hAnsi="宋体" w:cs="宋体"/>
                <w:sz w:val="20"/>
                <w:highlight w:val="none"/>
              </w:rPr>
            </w:pPr>
            <w:r>
              <w:rPr>
                <w:rFonts w:hint="eastAsia" w:ascii="宋体" w:hAnsi="宋体" w:cs="宋体"/>
                <w:sz w:val="20"/>
                <w:highlight w:val="none"/>
              </w:rPr>
              <w:t>3.制冷机液位超限</w:t>
            </w:r>
          </w:p>
          <w:p>
            <w:pPr>
              <w:rPr>
                <w:rFonts w:ascii="宋体" w:hAnsi="宋体" w:cs="宋体"/>
                <w:sz w:val="20"/>
                <w:highlight w:val="none"/>
              </w:rPr>
            </w:pPr>
            <w:r>
              <w:rPr>
                <w:rFonts w:hint="eastAsia" w:ascii="宋体" w:hAnsi="宋体" w:cs="宋体"/>
                <w:sz w:val="20"/>
                <w:highlight w:val="none"/>
              </w:rPr>
              <w:t>4.润滑油压过低</w:t>
            </w:r>
          </w:p>
          <w:p>
            <w:pPr>
              <w:rPr>
                <w:rFonts w:ascii="宋体" w:hAnsi="宋体" w:cs="宋体"/>
                <w:sz w:val="20"/>
                <w:highlight w:val="none"/>
              </w:rPr>
            </w:pPr>
            <w:r>
              <w:rPr>
                <w:rFonts w:hint="eastAsia" w:ascii="宋体" w:hAnsi="宋体" w:cs="宋体"/>
                <w:sz w:val="20"/>
                <w:highlight w:val="none"/>
              </w:rPr>
              <w:t>5.冷凝器高压极限</w:t>
            </w:r>
          </w:p>
          <w:p>
            <w:pPr>
              <w:rPr>
                <w:rFonts w:ascii="宋体" w:hAnsi="宋体" w:cs="宋体"/>
                <w:sz w:val="20"/>
                <w:highlight w:val="none"/>
              </w:rPr>
            </w:pPr>
            <w:r>
              <w:rPr>
                <w:rFonts w:hint="eastAsia" w:ascii="宋体" w:hAnsi="宋体" w:cs="宋体"/>
                <w:sz w:val="20"/>
                <w:highlight w:val="none"/>
              </w:rPr>
              <w:t>6.蒸发器低压极限</w:t>
            </w:r>
          </w:p>
          <w:p>
            <w:pPr>
              <w:rPr>
                <w:rFonts w:ascii="宋体" w:hAnsi="宋体" w:cs="宋体"/>
                <w:sz w:val="20"/>
                <w:highlight w:val="none"/>
              </w:rPr>
            </w:pPr>
            <w:r>
              <w:rPr>
                <w:rFonts w:hint="eastAsia" w:ascii="宋体" w:hAnsi="宋体" w:cs="宋体"/>
                <w:sz w:val="20"/>
                <w:highlight w:val="none"/>
              </w:rPr>
              <w:t>7.电机电流、电压过载</w:t>
            </w:r>
          </w:p>
          <w:p>
            <w:pPr>
              <w:spacing w:before="5" w:line="316" w:lineRule="exact"/>
              <w:ind w:left="27"/>
              <w:rPr>
                <w:rFonts w:ascii="宋体" w:hAnsi="宋体" w:cs="宋体"/>
                <w:sz w:val="20"/>
                <w:highlight w:val="none"/>
              </w:rPr>
            </w:pPr>
            <w:r>
              <w:rPr>
                <w:rFonts w:hint="eastAsia" w:ascii="宋体" w:hAnsi="宋体" w:cs="宋体"/>
                <w:sz w:val="20"/>
                <w:highlight w:val="none"/>
              </w:rPr>
              <w:t>8.传感器故障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restart"/>
            <w:noWrap w:val="0"/>
            <w:vAlign w:val="center"/>
          </w:tcPr>
          <w:p>
            <w:pPr>
              <w:spacing w:before="51"/>
              <w:jc w:val="center"/>
              <w:rPr>
                <w:rFonts w:ascii="等线" w:hAnsi="等线"/>
                <w:sz w:val="20"/>
                <w:highlight w:val="none"/>
              </w:rPr>
            </w:pPr>
            <w:r>
              <w:rPr>
                <w:rFonts w:ascii="等线" w:hAnsi="等线"/>
                <w:sz w:val="20"/>
                <w:highlight w:val="none"/>
              </w:rPr>
              <w:t>10</w:t>
            </w:r>
          </w:p>
        </w:tc>
        <w:tc>
          <w:tcPr>
            <w:tcW w:w="2090" w:type="pct"/>
            <w:gridSpan w:val="3"/>
            <w:vMerge w:val="restart"/>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安全装置</w:t>
            </w:r>
          </w:p>
        </w:tc>
        <w:tc>
          <w:tcPr>
            <w:tcW w:w="2664" w:type="pct"/>
            <w:noWrap w:val="0"/>
            <w:vAlign w:val="top"/>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压缩机马达过载保护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top"/>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润滑油系统保护装置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top"/>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冷凝器高压保护装置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排气温度过高保护装置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蒸发器低温低压保护装置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缺相与相序保护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noWrap w:val="0"/>
            <w:vAlign w:val="center"/>
          </w:tcPr>
          <w:p>
            <w:pPr>
              <w:spacing w:before="51"/>
              <w:jc w:val="center"/>
              <w:rPr>
                <w:rFonts w:ascii="等线" w:hAnsi="等线"/>
                <w:sz w:val="20"/>
                <w:highlight w:val="none"/>
                <w:lang w:eastAsia="en-US"/>
              </w:rPr>
            </w:pPr>
            <w:r>
              <w:rPr>
                <w:rFonts w:ascii="等线" w:hAnsi="等线"/>
                <w:sz w:val="20"/>
                <w:highlight w:val="none"/>
              </w:rPr>
              <w:t>11</w:t>
            </w:r>
          </w:p>
        </w:tc>
        <w:tc>
          <w:tcPr>
            <w:tcW w:w="2090" w:type="pct"/>
            <w:gridSpan w:val="3"/>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主要电气组件品牌</w:t>
            </w: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施耐德、西门</w:t>
            </w:r>
            <w:r>
              <w:rPr>
                <w:rFonts w:hint="eastAsia" w:ascii="宋体" w:hAnsi="宋体" w:cs="宋体"/>
                <w:sz w:val="20"/>
                <w:highlight w:val="none"/>
              </w:rPr>
              <w:t>子、ABB或优</w:t>
            </w:r>
            <w:r>
              <w:rPr>
                <w:rFonts w:hint="eastAsia" w:ascii="等线" w:hAnsi="等线"/>
                <w:sz w:val="20"/>
                <w:highlight w:val="none"/>
              </w:rPr>
              <w:t>于所列品牌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restart"/>
            <w:noWrap w:val="0"/>
            <w:vAlign w:val="center"/>
          </w:tcPr>
          <w:p>
            <w:pPr>
              <w:spacing w:before="1"/>
              <w:jc w:val="center"/>
              <w:rPr>
                <w:rFonts w:ascii="等线" w:hAnsi="等线"/>
                <w:sz w:val="20"/>
                <w:highlight w:val="none"/>
              </w:rPr>
            </w:pPr>
            <w:r>
              <w:rPr>
                <w:rFonts w:hint="eastAsia" w:ascii="等线" w:hAnsi="等线"/>
                <w:sz w:val="20"/>
                <w:highlight w:val="none"/>
              </w:rPr>
              <w:t>1</w:t>
            </w:r>
            <w:r>
              <w:rPr>
                <w:rFonts w:ascii="等线" w:hAnsi="等线"/>
                <w:sz w:val="20"/>
                <w:highlight w:val="none"/>
              </w:rPr>
              <w:t>2</w:t>
            </w:r>
          </w:p>
        </w:tc>
        <w:tc>
          <w:tcPr>
            <w:tcW w:w="655" w:type="pct"/>
            <w:vMerge w:val="restart"/>
            <w:noWrap w:val="0"/>
            <w:vAlign w:val="center"/>
          </w:tcPr>
          <w:p>
            <w:pPr>
              <w:spacing w:line="201" w:lineRule="auto"/>
              <w:ind w:right="113"/>
              <w:jc w:val="center"/>
              <w:rPr>
                <w:rFonts w:ascii="等线" w:hAnsi="等线"/>
                <w:sz w:val="20"/>
                <w:highlight w:val="none"/>
                <w:lang w:eastAsia="en-US"/>
              </w:rPr>
            </w:pPr>
            <w:r>
              <w:rPr>
                <w:rFonts w:hint="eastAsia" w:ascii="等线" w:hAnsi="等线"/>
                <w:sz w:val="20"/>
                <w:highlight w:val="none"/>
              </w:rPr>
              <w:t>控制中心</w:t>
            </w:r>
          </w:p>
        </w:tc>
        <w:tc>
          <w:tcPr>
            <w:tcW w:w="1435" w:type="pct"/>
            <w:gridSpan w:val="2"/>
            <w:noWrap w:val="0"/>
            <w:vAlign w:val="top"/>
          </w:tcPr>
          <w:p>
            <w:pPr>
              <w:spacing w:before="2" w:line="306" w:lineRule="exact"/>
              <w:ind w:left="32"/>
              <w:jc w:val="center"/>
              <w:rPr>
                <w:rFonts w:ascii="等线" w:hAnsi="等线"/>
                <w:sz w:val="20"/>
                <w:highlight w:val="none"/>
              </w:rPr>
            </w:pPr>
            <w:r>
              <w:rPr>
                <w:rFonts w:hint="eastAsia" w:ascii="等线" w:hAnsi="等线"/>
                <w:sz w:val="20"/>
                <w:highlight w:val="none"/>
              </w:rPr>
              <w:t>控制方式</w:t>
            </w: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微电脑控制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top"/>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top"/>
          </w:tcPr>
          <w:p>
            <w:pPr>
              <w:spacing w:line="300" w:lineRule="exact"/>
              <w:ind w:left="32"/>
              <w:jc w:val="center"/>
              <w:rPr>
                <w:rFonts w:ascii="等线" w:hAnsi="等线"/>
                <w:sz w:val="20"/>
                <w:highlight w:val="none"/>
              </w:rPr>
            </w:pPr>
            <w:r>
              <w:rPr>
                <w:rFonts w:hint="eastAsia" w:ascii="等线" w:hAnsi="等线"/>
                <w:sz w:val="20"/>
                <w:highlight w:val="none"/>
              </w:rPr>
              <w:t>显示方式</w:t>
            </w: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宋体" w:hAnsi="宋体" w:cs="宋体"/>
                <w:sz w:val="20"/>
                <w:highlight w:val="none"/>
              </w:rPr>
              <w:t>10英寸以上彩色中</w:t>
            </w:r>
            <w:r>
              <w:rPr>
                <w:rFonts w:hint="eastAsia" w:ascii="等线" w:hAnsi="等线"/>
                <w:sz w:val="20"/>
                <w:highlight w:val="none"/>
              </w:rPr>
              <w:t>文触摸大屏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top"/>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center"/>
          </w:tcPr>
          <w:p>
            <w:pPr>
              <w:spacing w:line="300" w:lineRule="exact"/>
              <w:ind w:left="32"/>
              <w:jc w:val="center"/>
              <w:rPr>
                <w:rFonts w:ascii="等线" w:hAnsi="等线"/>
                <w:sz w:val="20"/>
                <w:highlight w:val="none"/>
              </w:rPr>
            </w:pPr>
            <w:r>
              <w:rPr>
                <w:rFonts w:hint="eastAsia" w:ascii="等线" w:hAnsi="等线"/>
                <w:sz w:val="20"/>
                <w:highlight w:val="none"/>
              </w:rPr>
              <w:t>显示内容</w:t>
            </w: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运行状态、参数设定、故障诊断、报警等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top"/>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center"/>
          </w:tcPr>
          <w:p>
            <w:pPr>
              <w:spacing w:line="304" w:lineRule="exact"/>
              <w:ind w:left="26"/>
              <w:jc w:val="center"/>
              <w:rPr>
                <w:rFonts w:ascii="等线" w:hAnsi="等线"/>
                <w:sz w:val="20"/>
                <w:highlight w:val="none"/>
              </w:rPr>
            </w:pPr>
            <w:r>
              <w:rPr>
                <w:rFonts w:hint="eastAsia" w:ascii="等线" w:hAnsi="等线"/>
                <w:sz w:val="20"/>
                <w:highlight w:val="none"/>
              </w:rPr>
              <w:t>信息记录</w:t>
            </w: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运行时间、启停次数、历史故障、累计耗电量显示等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top"/>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top"/>
          </w:tcPr>
          <w:p>
            <w:pPr>
              <w:spacing w:line="304" w:lineRule="exact"/>
              <w:ind w:left="26"/>
              <w:jc w:val="center"/>
              <w:rPr>
                <w:rFonts w:ascii="等线" w:hAnsi="等线"/>
                <w:sz w:val="20"/>
                <w:highlight w:val="none"/>
              </w:rPr>
            </w:pPr>
            <w:r>
              <w:rPr>
                <w:rFonts w:ascii="等线" w:hAnsi="等线"/>
                <w:sz w:val="20"/>
                <w:highlight w:val="none"/>
                <w:lang w:eastAsia="en-US"/>
              </w:rPr>
              <w:t>通讯界面</w:t>
            </w: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宋体" w:hAnsi="宋体" w:cs="宋体"/>
                <w:sz w:val="20"/>
                <w:highlight w:val="none"/>
              </w:rPr>
              <w:t>提供 RS-485MODBUS RTU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center"/>
          </w:tcPr>
          <w:p>
            <w:pPr>
              <w:spacing w:before="257"/>
              <w:jc w:val="center"/>
              <w:rPr>
                <w:rFonts w:ascii="等线" w:hAnsi="等线"/>
                <w:sz w:val="20"/>
                <w:highlight w:val="none"/>
                <w:lang w:eastAsia="en-US"/>
              </w:rPr>
            </w:pPr>
            <w:r>
              <w:rPr>
                <w:rFonts w:hint="eastAsia" w:ascii="等线" w:hAnsi="等线"/>
                <w:sz w:val="20"/>
                <w:highlight w:val="none"/>
              </w:rPr>
              <w:t>网卡</w:t>
            </w: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微处理器应配有网络适配卡(含通讯模块及扩展模块)，可将所有数据下传至控制中心(监视)，提供开放</w:t>
            </w:r>
            <w:r>
              <w:rPr>
                <w:rFonts w:hint="eastAsia" w:ascii="宋体" w:hAnsi="宋体" w:cs="宋体"/>
                <w:sz w:val="20"/>
                <w:highlight w:val="none"/>
              </w:rPr>
              <w:t>式TCP/IP</w:t>
            </w:r>
            <w:r>
              <w:rPr>
                <w:rFonts w:hint="eastAsia" w:ascii="等线" w:hAnsi="等线"/>
                <w:sz w:val="20"/>
                <w:highlight w:val="none"/>
              </w:rPr>
              <w:t>通讯协议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246" w:type="pct"/>
            <w:noWrap w:val="0"/>
            <w:vAlign w:val="center"/>
          </w:tcPr>
          <w:p>
            <w:pPr>
              <w:jc w:val="center"/>
              <w:rPr>
                <w:rFonts w:ascii="等线" w:hAnsi="等线"/>
                <w:sz w:val="20"/>
                <w:highlight w:val="none"/>
              </w:rPr>
            </w:pPr>
            <w:r>
              <w:rPr>
                <w:rFonts w:hint="eastAsia" w:ascii="等线" w:hAnsi="等线"/>
                <w:sz w:val="20"/>
                <w:highlight w:val="none"/>
              </w:rPr>
              <w:t>1</w:t>
            </w:r>
            <w:r>
              <w:rPr>
                <w:rFonts w:ascii="等线" w:hAnsi="等线"/>
                <w:sz w:val="20"/>
                <w:highlight w:val="none"/>
              </w:rPr>
              <w:t>3</w:t>
            </w:r>
          </w:p>
        </w:tc>
        <w:tc>
          <w:tcPr>
            <w:tcW w:w="2090" w:type="pct"/>
            <w:gridSpan w:val="3"/>
            <w:noWrap w:val="0"/>
            <w:vAlign w:val="center"/>
          </w:tcPr>
          <w:p>
            <w:pPr>
              <w:jc w:val="center"/>
              <w:rPr>
                <w:rFonts w:ascii="等线" w:hAnsi="等线"/>
                <w:sz w:val="20"/>
                <w:highlight w:val="none"/>
                <w:lang w:eastAsia="en-US"/>
              </w:rPr>
            </w:pPr>
            <w:r>
              <w:rPr>
                <w:rFonts w:hint="eastAsia" w:ascii="等线" w:hAnsi="等线"/>
                <w:sz w:val="20"/>
                <w:highlight w:val="none"/>
              </w:rPr>
              <w:t>网络适配卡</w:t>
            </w: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微处理器应有网络适配卡将控制盘上之所有监控点数,透过传</w:t>
            </w:r>
            <w:r>
              <w:rPr>
                <w:rFonts w:hint="eastAsia" w:ascii="宋体" w:hAnsi="宋体" w:cs="宋体"/>
                <w:sz w:val="20"/>
                <w:highlight w:val="none"/>
              </w:rPr>
              <w:t>输线可在中央监控室内监控;另设备供货商应提供开放式 TCP/IP 之网络通讯协议(Protocode)或</w:t>
            </w:r>
            <w:r>
              <w:rPr>
                <w:rFonts w:hint="eastAsia" w:ascii="等线" w:hAnsi="等线"/>
                <w:sz w:val="20"/>
                <w:highlight w:val="none"/>
              </w:rPr>
              <w:t>其它网络通讯接口,供监控系统衔接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246" w:type="pct"/>
            <w:vMerge w:val="restart"/>
            <w:noWrap w:val="0"/>
            <w:vAlign w:val="center"/>
          </w:tcPr>
          <w:p>
            <w:pPr>
              <w:jc w:val="center"/>
              <w:rPr>
                <w:rFonts w:ascii="等线" w:hAnsi="等线"/>
                <w:sz w:val="20"/>
                <w:highlight w:val="none"/>
              </w:rPr>
            </w:pPr>
            <w:r>
              <w:rPr>
                <w:rFonts w:ascii="等线" w:hAnsi="等线"/>
                <w:sz w:val="20"/>
                <w:highlight w:val="none"/>
              </w:rPr>
              <w:t>14</w:t>
            </w:r>
          </w:p>
        </w:tc>
        <w:tc>
          <w:tcPr>
            <w:tcW w:w="741" w:type="pct"/>
            <w:gridSpan w:val="2"/>
            <w:vMerge w:val="restart"/>
            <w:noWrap w:val="0"/>
            <w:vAlign w:val="center"/>
          </w:tcPr>
          <w:p>
            <w:pPr>
              <w:spacing w:before="160" w:line="165" w:lineRule="auto"/>
              <w:ind w:left="43" w:right="33"/>
              <w:jc w:val="center"/>
              <w:rPr>
                <w:rFonts w:ascii="等线" w:hAnsi="等线"/>
                <w:sz w:val="20"/>
                <w:highlight w:val="none"/>
                <w:lang w:eastAsia="en-US"/>
              </w:rPr>
            </w:pPr>
            <w:r>
              <w:rPr>
                <w:rFonts w:hint="eastAsia" w:ascii="等线" w:hAnsi="等线"/>
                <w:sz w:val="20"/>
                <w:highlight w:val="none"/>
              </w:rPr>
              <w:t>启动装置</w:t>
            </w:r>
          </w:p>
        </w:tc>
        <w:tc>
          <w:tcPr>
            <w:tcW w:w="1349" w:type="pct"/>
            <w:noWrap w:val="0"/>
            <w:vAlign w:val="center"/>
          </w:tcPr>
          <w:p>
            <w:pPr>
              <w:spacing w:line="304" w:lineRule="exact"/>
              <w:ind w:left="26"/>
              <w:jc w:val="center"/>
              <w:rPr>
                <w:rFonts w:ascii="等线" w:hAnsi="等线"/>
                <w:sz w:val="20"/>
                <w:highlight w:val="none"/>
                <w:lang w:eastAsia="en-US"/>
              </w:rPr>
            </w:pPr>
            <w:r>
              <w:rPr>
                <w:rFonts w:hint="eastAsia" w:ascii="等线" w:hAnsi="等线"/>
                <w:sz w:val="20"/>
                <w:highlight w:val="none"/>
              </w:rPr>
              <w:t>启动方式</w:t>
            </w: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变频启动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246" w:type="pct"/>
            <w:vMerge w:val="continue"/>
            <w:noWrap w:val="0"/>
            <w:vAlign w:val="center"/>
          </w:tcPr>
          <w:p>
            <w:pPr>
              <w:jc w:val="center"/>
              <w:rPr>
                <w:rFonts w:ascii="等线" w:hAnsi="等线"/>
                <w:highlight w:val="none"/>
              </w:rPr>
            </w:pPr>
          </w:p>
        </w:tc>
        <w:tc>
          <w:tcPr>
            <w:tcW w:w="741" w:type="pct"/>
            <w:gridSpan w:val="2"/>
            <w:vMerge w:val="continue"/>
            <w:noWrap w:val="0"/>
            <w:vAlign w:val="top"/>
          </w:tcPr>
          <w:p>
            <w:pPr>
              <w:jc w:val="center"/>
              <w:rPr>
                <w:rFonts w:ascii="等线" w:hAnsi="等线"/>
                <w:highlight w:val="none"/>
              </w:rPr>
            </w:pPr>
          </w:p>
        </w:tc>
        <w:tc>
          <w:tcPr>
            <w:tcW w:w="1349" w:type="pct"/>
            <w:noWrap w:val="0"/>
            <w:vAlign w:val="center"/>
          </w:tcPr>
          <w:p>
            <w:pPr>
              <w:spacing w:line="304" w:lineRule="exact"/>
              <w:ind w:left="26"/>
              <w:jc w:val="center"/>
              <w:rPr>
                <w:rFonts w:ascii="等线" w:hAnsi="等线"/>
                <w:sz w:val="20"/>
                <w:highlight w:val="none"/>
              </w:rPr>
            </w:pPr>
            <w:r>
              <w:rPr>
                <w:rFonts w:hint="eastAsia" w:ascii="等线" w:hAnsi="等线"/>
                <w:sz w:val="20"/>
                <w:highlight w:val="none"/>
              </w:rPr>
              <w:t>安装位置</w:t>
            </w: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独立启动柜，由厂商配套供货（含启动柜与机组之间所有连接线缆）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restart"/>
            <w:noWrap w:val="0"/>
            <w:vAlign w:val="center"/>
          </w:tcPr>
          <w:p>
            <w:pPr>
              <w:jc w:val="center"/>
              <w:rPr>
                <w:rFonts w:ascii="等线" w:hAnsi="等线"/>
                <w:sz w:val="20"/>
                <w:highlight w:val="none"/>
              </w:rPr>
            </w:pPr>
            <w:r>
              <w:rPr>
                <w:rFonts w:ascii="等线" w:hAnsi="等线"/>
                <w:sz w:val="20"/>
                <w:highlight w:val="none"/>
              </w:rPr>
              <w:t>15</w:t>
            </w:r>
          </w:p>
        </w:tc>
        <w:tc>
          <w:tcPr>
            <w:tcW w:w="2090" w:type="pct"/>
            <w:gridSpan w:val="3"/>
            <w:vMerge w:val="restart"/>
            <w:noWrap w:val="0"/>
            <w:vAlign w:val="center"/>
          </w:tcPr>
          <w:p>
            <w:pPr>
              <w:jc w:val="center"/>
              <w:rPr>
                <w:rFonts w:ascii="等线" w:hAnsi="等线"/>
                <w:spacing w:val="-5"/>
                <w:sz w:val="20"/>
                <w:highlight w:val="none"/>
              </w:rPr>
            </w:pPr>
            <w:r>
              <w:rPr>
                <w:rFonts w:hint="eastAsia" w:ascii="等线" w:hAnsi="等线"/>
                <w:spacing w:val="-5"/>
                <w:sz w:val="20"/>
                <w:highlight w:val="none"/>
              </w:rPr>
              <w:t>交货时提供资料</w:t>
            </w: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continue"/>
            <w:noWrap w:val="0"/>
            <w:vAlign w:val="center"/>
          </w:tcPr>
          <w:p>
            <w:pPr>
              <w:jc w:val="center"/>
              <w:rPr>
                <w:rFonts w:ascii="等线" w:hAnsi="等线"/>
                <w:sz w:val="20"/>
                <w:highlight w:val="none"/>
                <w:lang w:eastAsia="en-US"/>
              </w:rPr>
            </w:pPr>
          </w:p>
        </w:tc>
        <w:tc>
          <w:tcPr>
            <w:tcW w:w="2090" w:type="pct"/>
            <w:gridSpan w:val="3"/>
            <w:vMerge w:val="continue"/>
            <w:noWrap w:val="0"/>
            <w:vAlign w:val="top"/>
          </w:tcPr>
          <w:p>
            <w:pPr>
              <w:jc w:val="center"/>
              <w:rPr>
                <w:rFonts w:ascii="等线" w:hAnsi="等线"/>
                <w:spacing w:val="-5"/>
                <w:highlight w:val="none"/>
              </w:rPr>
            </w:pP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样本型录（产品说明书）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continue"/>
            <w:noWrap w:val="0"/>
            <w:vAlign w:val="center"/>
          </w:tcPr>
          <w:p>
            <w:pPr>
              <w:jc w:val="center"/>
              <w:rPr>
                <w:rFonts w:ascii="等线" w:hAnsi="等线"/>
                <w:sz w:val="20"/>
                <w:highlight w:val="none"/>
              </w:rPr>
            </w:pPr>
          </w:p>
        </w:tc>
        <w:tc>
          <w:tcPr>
            <w:tcW w:w="2090" w:type="pct"/>
            <w:gridSpan w:val="3"/>
            <w:vMerge w:val="continue"/>
            <w:noWrap w:val="0"/>
            <w:vAlign w:val="top"/>
          </w:tcPr>
          <w:p>
            <w:pPr>
              <w:jc w:val="center"/>
              <w:rPr>
                <w:rFonts w:ascii="等线" w:hAnsi="等线"/>
                <w:spacing w:val="-5"/>
                <w:highlight w:val="none"/>
              </w:rPr>
            </w:pP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安装、操作、维修手册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continue"/>
            <w:noWrap w:val="0"/>
            <w:vAlign w:val="center"/>
          </w:tcPr>
          <w:p>
            <w:pPr>
              <w:jc w:val="center"/>
              <w:rPr>
                <w:rFonts w:ascii="等线" w:hAnsi="等线"/>
                <w:sz w:val="20"/>
                <w:highlight w:val="none"/>
              </w:rPr>
            </w:pPr>
          </w:p>
        </w:tc>
        <w:tc>
          <w:tcPr>
            <w:tcW w:w="2090" w:type="pct"/>
            <w:gridSpan w:val="3"/>
            <w:vMerge w:val="continue"/>
            <w:noWrap w:val="0"/>
            <w:vAlign w:val="top"/>
          </w:tcPr>
          <w:p>
            <w:pPr>
              <w:jc w:val="center"/>
              <w:rPr>
                <w:rFonts w:ascii="等线" w:hAnsi="等线"/>
                <w:spacing w:val="-5"/>
                <w:highlight w:val="none"/>
              </w:rPr>
            </w:pP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特种设备制造监督检验证书（冷凝器、蒸发器、经济器）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246" w:type="pct"/>
            <w:noWrap w:val="0"/>
            <w:vAlign w:val="center"/>
          </w:tcPr>
          <w:p>
            <w:pPr>
              <w:spacing w:before="5" w:line="316" w:lineRule="exact"/>
              <w:ind w:left="27"/>
              <w:jc w:val="center"/>
              <w:rPr>
                <w:rFonts w:ascii="等线" w:hAnsi="等线"/>
                <w:sz w:val="20"/>
                <w:highlight w:val="none"/>
              </w:rPr>
            </w:pPr>
            <w:r>
              <w:rPr>
                <w:rFonts w:ascii="等线" w:hAnsi="等线"/>
                <w:sz w:val="20"/>
                <w:highlight w:val="none"/>
              </w:rPr>
              <w:t>16</w:t>
            </w:r>
          </w:p>
        </w:tc>
        <w:tc>
          <w:tcPr>
            <w:tcW w:w="2090" w:type="pct"/>
            <w:gridSpan w:val="3"/>
            <w:noWrap w:val="0"/>
            <w:vAlign w:val="center"/>
          </w:tcPr>
          <w:p>
            <w:pPr>
              <w:spacing w:before="5" w:line="316" w:lineRule="exact"/>
              <w:ind w:left="27"/>
              <w:jc w:val="center"/>
              <w:rPr>
                <w:rFonts w:ascii="等线" w:hAnsi="等线"/>
                <w:sz w:val="20"/>
                <w:highlight w:val="none"/>
              </w:rPr>
            </w:pPr>
            <w:r>
              <w:rPr>
                <w:rFonts w:hint="eastAsia" w:ascii="等线" w:hAnsi="等线"/>
                <w:sz w:val="20"/>
                <w:highlight w:val="none"/>
              </w:rPr>
              <w:t>随机附件</w:t>
            </w: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水流开关二只或电子压差开关二处（安装于冷却水、冷冻水出口管上）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noWrap w:val="0"/>
            <w:vAlign w:val="center"/>
          </w:tcPr>
          <w:p>
            <w:pPr>
              <w:jc w:val="center"/>
              <w:rPr>
                <w:rFonts w:ascii="等线" w:hAnsi="等线"/>
                <w:sz w:val="20"/>
                <w:highlight w:val="none"/>
              </w:rPr>
            </w:pPr>
            <w:r>
              <w:rPr>
                <w:rFonts w:ascii="等线" w:hAnsi="等线"/>
                <w:sz w:val="20"/>
                <w:highlight w:val="none"/>
              </w:rPr>
              <w:t>17</w:t>
            </w:r>
          </w:p>
        </w:tc>
        <w:tc>
          <w:tcPr>
            <w:tcW w:w="2090" w:type="pct"/>
            <w:gridSpan w:val="3"/>
            <w:noWrap w:val="0"/>
            <w:vAlign w:val="center"/>
          </w:tcPr>
          <w:p>
            <w:pPr>
              <w:spacing w:line="320" w:lineRule="exact"/>
              <w:ind w:left="28"/>
              <w:jc w:val="center"/>
              <w:rPr>
                <w:rFonts w:ascii="等线" w:hAnsi="等线"/>
                <w:sz w:val="20"/>
                <w:highlight w:val="none"/>
                <w:lang w:eastAsia="en-US"/>
              </w:rPr>
            </w:pPr>
            <w:r>
              <w:rPr>
                <w:rFonts w:hint="eastAsia" w:ascii="等线" w:hAnsi="等线"/>
                <w:sz w:val="20"/>
                <w:highlight w:val="none"/>
              </w:rPr>
              <w:t>验收时提供资料</w:t>
            </w: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调试报告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46" w:type="pct"/>
            <w:noWrap w:val="0"/>
            <w:vAlign w:val="center"/>
          </w:tcPr>
          <w:p>
            <w:pPr>
              <w:jc w:val="center"/>
              <w:rPr>
                <w:rFonts w:ascii="等线" w:hAnsi="等线"/>
                <w:sz w:val="20"/>
                <w:highlight w:val="none"/>
              </w:rPr>
            </w:pPr>
            <w:r>
              <w:rPr>
                <w:rFonts w:ascii="等线" w:hAnsi="等线"/>
                <w:sz w:val="20"/>
                <w:highlight w:val="none"/>
              </w:rPr>
              <w:t>18</w:t>
            </w:r>
          </w:p>
        </w:tc>
        <w:tc>
          <w:tcPr>
            <w:tcW w:w="2090" w:type="pct"/>
            <w:gridSpan w:val="3"/>
            <w:noWrap w:val="0"/>
            <w:vAlign w:val="top"/>
          </w:tcPr>
          <w:p>
            <w:pPr>
              <w:spacing w:before="221"/>
              <w:ind w:left="28"/>
              <w:jc w:val="center"/>
              <w:rPr>
                <w:rFonts w:ascii="等线" w:hAnsi="等线"/>
                <w:sz w:val="20"/>
                <w:highlight w:val="none"/>
                <w:lang w:eastAsia="en-US"/>
              </w:rPr>
            </w:pPr>
            <w:r>
              <w:rPr>
                <w:rFonts w:hint="eastAsia" w:ascii="等线" w:hAnsi="等线"/>
                <w:sz w:val="20"/>
                <w:highlight w:val="none"/>
              </w:rPr>
              <w:t>售后服务</w:t>
            </w: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故障时4小时内到现场处理，故障平均修复时间为8小时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restart"/>
            <w:noWrap w:val="0"/>
            <w:vAlign w:val="center"/>
          </w:tcPr>
          <w:p>
            <w:pPr>
              <w:jc w:val="center"/>
              <w:rPr>
                <w:rFonts w:ascii="等线" w:hAnsi="等线"/>
                <w:sz w:val="20"/>
                <w:highlight w:val="none"/>
              </w:rPr>
            </w:pPr>
            <w:r>
              <w:rPr>
                <w:rFonts w:ascii="等线" w:hAnsi="等线"/>
                <w:sz w:val="20"/>
                <w:highlight w:val="none"/>
              </w:rPr>
              <w:t>19</w:t>
            </w:r>
          </w:p>
        </w:tc>
        <w:tc>
          <w:tcPr>
            <w:tcW w:w="2090" w:type="pct"/>
            <w:gridSpan w:val="3"/>
            <w:vMerge w:val="restart"/>
            <w:noWrap w:val="0"/>
            <w:vAlign w:val="center"/>
          </w:tcPr>
          <w:p>
            <w:pPr>
              <w:ind w:right="3"/>
              <w:jc w:val="center"/>
              <w:rPr>
                <w:rFonts w:ascii="等线" w:hAnsi="等线"/>
                <w:sz w:val="20"/>
                <w:highlight w:val="none"/>
                <w:lang w:eastAsia="en-US"/>
              </w:rPr>
            </w:pPr>
            <w:r>
              <w:rPr>
                <w:rFonts w:hint="eastAsia" w:ascii="等线" w:hAnsi="等线"/>
                <w:sz w:val="20"/>
                <w:highlight w:val="none"/>
              </w:rPr>
              <w:t>质保期</w:t>
            </w:r>
          </w:p>
        </w:tc>
        <w:tc>
          <w:tcPr>
            <w:tcW w:w="2664" w:type="pct"/>
            <w:noWrap w:val="0"/>
            <w:vAlign w:val="center"/>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整机调试合格之日起免费维保二年。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246" w:type="pct"/>
            <w:vMerge w:val="continue"/>
            <w:noWrap w:val="0"/>
            <w:vAlign w:val="top"/>
          </w:tcPr>
          <w:p>
            <w:pPr>
              <w:jc w:val="center"/>
              <w:rPr>
                <w:rFonts w:ascii="等线" w:hAnsi="等线"/>
                <w:highlight w:val="none"/>
              </w:rPr>
            </w:pPr>
          </w:p>
        </w:tc>
        <w:tc>
          <w:tcPr>
            <w:tcW w:w="2090" w:type="pct"/>
            <w:gridSpan w:val="3"/>
            <w:vMerge w:val="continue"/>
            <w:noWrap w:val="0"/>
            <w:vAlign w:val="top"/>
          </w:tcPr>
          <w:p>
            <w:pPr>
              <w:jc w:val="center"/>
              <w:rPr>
                <w:rFonts w:ascii="等线" w:hAnsi="等线"/>
                <w:highlight w:val="none"/>
              </w:rPr>
            </w:pP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整机质保期内免费更换冷冻机油一次；免费更换全部油过滤器。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246" w:type="pct"/>
            <w:vMerge w:val="continue"/>
            <w:noWrap w:val="0"/>
            <w:vAlign w:val="top"/>
          </w:tcPr>
          <w:p>
            <w:pPr>
              <w:jc w:val="center"/>
              <w:rPr>
                <w:rFonts w:ascii="等线" w:hAnsi="等线"/>
                <w:highlight w:val="none"/>
              </w:rPr>
            </w:pPr>
          </w:p>
        </w:tc>
        <w:tc>
          <w:tcPr>
            <w:tcW w:w="2090" w:type="pct"/>
            <w:gridSpan w:val="3"/>
            <w:vMerge w:val="continue"/>
            <w:noWrap w:val="0"/>
            <w:vAlign w:val="top"/>
          </w:tcPr>
          <w:p>
            <w:pPr>
              <w:jc w:val="center"/>
              <w:rPr>
                <w:rFonts w:ascii="等线" w:hAnsi="等线"/>
                <w:highlight w:val="none"/>
              </w:rPr>
            </w:pPr>
          </w:p>
        </w:tc>
        <w:tc>
          <w:tcPr>
            <w:tcW w:w="2664" w:type="pct"/>
            <w:noWrap w:val="0"/>
            <w:vAlign w:val="top"/>
          </w:tcPr>
          <w:p>
            <w:pPr>
              <w:tabs>
                <w:tab w:val="left" w:pos="907"/>
                <w:tab w:val="left" w:pos="2008"/>
                <w:tab w:val="left" w:pos="3155"/>
              </w:tabs>
              <w:spacing w:before="14"/>
              <w:ind w:left="26"/>
              <w:jc w:val="center"/>
              <w:rPr>
                <w:rFonts w:ascii="等线" w:hAnsi="等线"/>
                <w:sz w:val="20"/>
                <w:highlight w:val="none"/>
              </w:rPr>
            </w:pPr>
            <w:r>
              <w:rPr>
                <w:rFonts w:hint="eastAsia" w:ascii="等线" w:hAnsi="等线"/>
                <w:sz w:val="20"/>
                <w:highlight w:val="none"/>
              </w:rPr>
              <w:t>压缩机、电机、机载微电脑自调试合格之日起免费维保，质保二年。</w:t>
            </w:r>
          </w:p>
        </w:tc>
      </w:tr>
    </w:tbl>
    <w:p>
      <w:pPr>
        <w:rPr>
          <w:rFonts w:ascii="宋体" w:hAnsi="宋体"/>
          <w:spacing w:val="10"/>
          <w:sz w:val="28"/>
          <w:szCs w:val="28"/>
          <w:highlight w:val="none"/>
        </w:rPr>
      </w:pPr>
      <w:r>
        <w:rPr>
          <w:rFonts w:hint="eastAsia" w:ascii="宋体" w:hAnsi="宋体"/>
          <w:spacing w:val="10"/>
          <w:sz w:val="28"/>
          <w:szCs w:val="28"/>
          <w:highlight w:val="none"/>
        </w:rPr>
        <w:t>2.1.2.2800RT变频离心式冷水机组技术要求：</w:t>
      </w:r>
    </w:p>
    <w:tbl>
      <w:tblPr>
        <w:tblStyle w:val="16"/>
        <w:tblW w:w="51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0"/>
        <w:gridCol w:w="1251"/>
        <w:gridCol w:w="164"/>
        <w:gridCol w:w="2576"/>
        <w:gridCol w:w="5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46" w:type="pct"/>
            <w:vMerge w:val="restart"/>
            <w:noWrap w:val="0"/>
            <w:vAlign w:val="center"/>
          </w:tcPr>
          <w:p>
            <w:pPr>
              <w:spacing w:before="153"/>
              <w:ind w:left="104" w:right="103"/>
              <w:jc w:val="center"/>
              <w:rPr>
                <w:rFonts w:ascii="等线" w:hAnsi="等线"/>
                <w:sz w:val="20"/>
                <w:highlight w:val="none"/>
                <w:lang w:eastAsia="en-US"/>
              </w:rPr>
            </w:pPr>
            <w:r>
              <w:rPr>
                <w:rFonts w:hint="eastAsia" w:ascii="等线" w:hAnsi="等线"/>
                <w:sz w:val="20"/>
                <w:highlight w:val="none"/>
              </w:rPr>
              <w:t>序号</w:t>
            </w:r>
          </w:p>
        </w:tc>
        <w:tc>
          <w:tcPr>
            <w:tcW w:w="2090" w:type="pct"/>
            <w:gridSpan w:val="3"/>
            <w:vMerge w:val="restart"/>
            <w:noWrap w:val="0"/>
            <w:vAlign w:val="center"/>
          </w:tcPr>
          <w:p>
            <w:pPr>
              <w:tabs>
                <w:tab w:val="left" w:pos="1806"/>
              </w:tabs>
              <w:spacing w:before="19"/>
              <w:ind w:left="767"/>
              <w:jc w:val="left"/>
              <w:rPr>
                <w:rFonts w:ascii="等线" w:hAnsi="等线"/>
                <w:sz w:val="20"/>
                <w:highlight w:val="none"/>
                <w:lang w:eastAsia="en-US"/>
              </w:rPr>
            </w:pPr>
            <w:r>
              <w:rPr>
                <w:rFonts w:hint="eastAsia" w:ascii="等线" w:hAnsi="等线"/>
                <w:sz w:val="20"/>
                <w:highlight w:val="none"/>
              </w:rPr>
              <w:t>项</w:t>
            </w:r>
            <w:r>
              <w:rPr>
                <w:rFonts w:ascii="等线" w:hAnsi="等线"/>
                <w:sz w:val="20"/>
                <w:highlight w:val="none"/>
              </w:rPr>
              <w:tab/>
            </w:r>
            <w:r>
              <w:rPr>
                <w:rFonts w:hint="eastAsia" w:ascii="等线" w:hAnsi="等线"/>
                <w:sz w:val="20"/>
                <w:highlight w:val="none"/>
              </w:rPr>
              <w:t>目</w:t>
            </w:r>
          </w:p>
        </w:tc>
        <w:tc>
          <w:tcPr>
            <w:tcW w:w="2664" w:type="pct"/>
            <w:vMerge w:val="restart"/>
            <w:noWrap w:val="0"/>
            <w:vAlign w:val="center"/>
          </w:tcPr>
          <w:p>
            <w:pPr>
              <w:tabs>
                <w:tab w:val="left" w:pos="1728"/>
                <w:tab w:val="left" w:pos="2508"/>
                <w:tab w:val="left" w:pos="3290"/>
              </w:tabs>
              <w:spacing w:before="19"/>
              <w:ind w:left="133"/>
              <w:jc w:val="center"/>
              <w:rPr>
                <w:rFonts w:ascii="等线" w:hAnsi="等线"/>
                <w:b/>
                <w:bCs/>
                <w:sz w:val="20"/>
                <w:highlight w:val="none"/>
              </w:rPr>
            </w:pPr>
            <w:r>
              <w:rPr>
                <w:rFonts w:hint="eastAsia" w:ascii="等线" w:hAnsi="等线"/>
                <w:b/>
                <w:bCs/>
                <w:sz w:val="20"/>
                <w:highlight w:val="none"/>
              </w:rPr>
              <w:t>2800RT变频离心式冷水机组</w:t>
            </w:r>
          </w:p>
          <w:p>
            <w:pPr>
              <w:tabs>
                <w:tab w:val="left" w:pos="1728"/>
                <w:tab w:val="left" w:pos="2508"/>
                <w:tab w:val="left" w:pos="3290"/>
              </w:tabs>
              <w:spacing w:before="19"/>
              <w:ind w:left="133"/>
              <w:jc w:val="center"/>
              <w:rPr>
                <w:rFonts w:ascii="等线" w:hAnsi="等线"/>
                <w:b/>
                <w:bCs/>
                <w:sz w:val="20"/>
                <w:highlight w:val="none"/>
              </w:rPr>
            </w:pPr>
            <w:r>
              <w:rPr>
                <w:rFonts w:hint="eastAsia" w:ascii="等线" w:hAnsi="等线"/>
                <w:b/>
                <w:bCs/>
                <w:sz w:val="20"/>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246" w:type="pct"/>
            <w:vMerge w:val="continue"/>
            <w:noWrap w:val="0"/>
            <w:vAlign w:val="center"/>
          </w:tcPr>
          <w:p>
            <w:pPr>
              <w:jc w:val="center"/>
              <w:rPr>
                <w:rFonts w:ascii="等线" w:hAnsi="等线"/>
                <w:highlight w:val="none"/>
              </w:rPr>
            </w:pPr>
          </w:p>
        </w:tc>
        <w:tc>
          <w:tcPr>
            <w:tcW w:w="2090" w:type="pct"/>
            <w:gridSpan w:val="3"/>
            <w:vMerge w:val="continue"/>
            <w:noWrap w:val="0"/>
            <w:vAlign w:val="center"/>
          </w:tcPr>
          <w:p>
            <w:pPr>
              <w:jc w:val="center"/>
              <w:rPr>
                <w:rFonts w:ascii="等线" w:hAnsi="等线"/>
                <w:highlight w:val="none"/>
              </w:rPr>
            </w:pPr>
          </w:p>
        </w:tc>
        <w:tc>
          <w:tcPr>
            <w:tcW w:w="2664" w:type="pct"/>
            <w:vMerge w:val="continue"/>
            <w:noWrap w:val="0"/>
            <w:vAlign w:val="center"/>
          </w:tcPr>
          <w:p>
            <w:pPr>
              <w:jc w:val="center"/>
              <w:rPr>
                <w:rFonts w:ascii="等线" w:hAnsi="等线"/>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noWrap w:val="0"/>
            <w:vAlign w:val="center"/>
          </w:tcPr>
          <w:p>
            <w:pPr>
              <w:jc w:val="center"/>
              <w:rPr>
                <w:rFonts w:ascii="等线" w:hAnsi="等线"/>
                <w:sz w:val="20"/>
                <w:highlight w:val="none"/>
                <w:lang w:eastAsia="en-US"/>
              </w:rPr>
            </w:pPr>
            <w:r>
              <w:rPr>
                <w:rFonts w:ascii="等线" w:hAnsi="等线"/>
                <w:w w:val="99"/>
                <w:sz w:val="20"/>
                <w:highlight w:val="none"/>
              </w:rPr>
              <w:t>1</w:t>
            </w:r>
          </w:p>
        </w:tc>
        <w:tc>
          <w:tcPr>
            <w:tcW w:w="2090" w:type="pct"/>
            <w:gridSpan w:val="3"/>
            <w:noWrap w:val="0"/>
            <w:vAlign w:val="center"/>
          </w:tcPr>
          <w:p>
            <w:pPr>
              <w:spacing w:before="14"/>
              <w:ind w:left="28"/>
              <w:jc w:val="center"/>
              <w:rPr>
                <w:rFonts w:ascii="等线" w:hAnsi="等线"/>
                <w:sz w:val="20"/>
                <w:highlight w:val="none"/>
                <w:lang w:eastAsia="en-US"/>
              </w:rPr>
            </w:pPr>
            <w:r>
              <w:rPr>
                <w:rFonts w:hint="eastAsia" w:ascii="等线" w:hAnsi="等线"/>
                <w:sz w:val="20"/>
                <w:highlight w:val="none"/>
              </w:rPr>
              <w:t>使用场所</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lang w:eastAsia="en-US"/>
              </w:rPr>
            </w:pPr>
            <w:r>
              <w:rPr>
                <w:rFonts w:hint="eastAsia" w:ascii="宋体" w:hAnsi="宋体" w:cs="宋体"/>
                <w:sz w:val="20"/>
                <w:highlight w:val="non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noWrap w:val="0"/>
            <w:vAlign w:val="center"/>
          </w:tcPr>
          <w:p>
            <w:pPr>
              <w:jc w:val="center"/>
              <w:rPr>
                <w:rFonts w:ascii="等线" w:hAnsi="等线"/>
                <w:w w:val="99"/>
                <w:sz w:val="20"/>
                <w:highlight w:val="none"/>
              </w:rPr>
            </w:pPr>
            <w:r>
              <w:rPr>
                <w:rFonts w:ascii="等线" w:hAnsi="等线"/>
                <w:w w:val="99"/>
                <w:sz w:val="20"/>
                <w:highlight w:val="none"/>
              </w:rPr>
              <w:t>2</w:t>
            </w:r>
          </w:p>
        </w:tc>
        <w:tc>
          <w:tcPr>
            <w:tcW w:w="2090" w:type="pct"/>
            <w:gridSpan w:val="3"/>
            <w:noWrap w:val="0"/>
            <w:vAlign w:val="center"/>
          </w:tcPr>
          <w:p>
            <w:pPr>
              <w:spacing w:before="14"/>
              <w:ind w:left="28"/>
              <w:jc w:val="center"/>
              <w:rPr>
                <w:rFonts w:ascii="等线" w:hAnsi="等线"/>
                <w:sz w:val="20"/>
                <w:highlight w:val="none"/>
              </w:rPr>
            </w:pPr>
            <w:r>
              <w:rPr>
                <w:rFonts w:hint="eastAsia" w:ascii="等线" w:hAnsi="等线"/>
                <w:sz w:val="20"/>
                <w:highlight w:val="none"/>
              </w:rPr>
              <w:t>数量</w:t>
            </w:r>
          </w:p>
        </w:tc>
        <w:tc>
          <w:tcPr>
            <w:tcW w:w="2664"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246" w:type="pct"/>
            <w:vMerge w:val="restart"/>
            <w:noWrap w:val="0"/>
            <w:vAlign w:val="center"/>
          </w:tcPr>
          <w:p>
            <w:pPr>
              <w:jc w:val="center"/>
              <w:rPr>
                <w:rFonts w:ascii="等线" w:hAnsi="等线"/>
                <w:sz w:val="20"/>
                <w:highlight w:val="none"/>
                <w:lang w:eastAsia="en-US"/>
              </w:rPr>
            </w:pPr>
            <w:r>
              <w:rPr>
                <w:rFonts w:ascii="等线" w:hAnsi="等线"/>
                <w:w w:val="99"/>
                <w:sz w:val="20"/>
                <w:highlight w:val="none"/>
              </w:rPr>
              <w:t>3</w:t>
            </w:r>
          </w:p>
        </w:tc>
        <w:tc>
          <w:tcPr>
            <w:tcW w:w="655" w:type="pct"/>
            <w:vMerge w:val="restart"/>
            <w:noWrap w:val="0"/>
            <w:vAlign w:val="center"/>
          </w:tcPr>
          <w:p>
            <w:pPr>
              <w:spacing w:before="240"/>
              <w:ind w:right="18"/>
              <w:jc w:val="center"/>
              <w:rPr>
                <w:rFonts w:ascii="等线" w:hAnsi="等线"/>
                <w:sz w:val="20"/>
                <w:highlight w:val="none"/>
                <w:lang w:eastAsia="en-US"/>
              </w:rPr>
            </w:pPr>
            <w:r>
              <w:rPr>
                <w:rFonts w:hint="eastAsia" w:ascii="等线" w:hAnsi="等线"/>
                <w:sz w:val="20"/>
                <w:highlight w:val="none"/>
              </w:rPr>
              <w:t>制冷参数</w:t>
            </w: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冷冻水进</w:t>
            </w:r>
            <w:r>
              <w:rPr>
                <w:rFonts w:ascii="等线" w:hAnsi="等线"/>
                <w:sz w:val="20"/>
                <w:highlight w:val="none"/>
              </w:rPr>
              <w:t>/</w:t>
            </w:r>
            <w:r>
              <w:rPr>
                <w:rFonts w:hint="eastAsia" w:ascii="等线" w:hAnsi="等线"/>
                <w:sz w:val="20"/>
                <w:highlight w:val="none"/>
              </w:rPr>
              <w:t>出水温度</w:t>
            </w:r>
          </w:p>
        </w:tc>
        <w:tc>
          <w:tcPr>
            <w:tcW w:w="2664" w:type="pct"/>
            <w:noWrap w:val="0"/>
            <w:vAlign w:val="center"/>
          </w:tcPr>
          <w:p>
            <w:pPr>
              <w:spacing w:before="84"/>
              <w:ind w:left="26"/>
              <w:jc w:val="center"/>
              <w:rPr>
                <w:rFonts w:ascii="宋体" w:hAnsi="宋体" w:cs="宋体"/>
                <w:sz w:val="20"/>
                <w:highlight w:val="none"/>
              </w:rPr>
            </w:pPr>
            <w:r>
              <w:rPr>
                <w:rFonts w:hint="eastAsia" w:ascii="宋体" w:hAnsi="宋体" w:cs="宋体"/>
                <w:sz w:val="20"/>
                <w:highlight w:val="none"/>
              </w:rPr>
              <w:t>运行工况：13℃/6℃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b/>
                <w:bCs/>
                <w:sz w:val="20"/>
                <w:highlight w:val="none"/>
              </w:rPr>
            </w:pPr>
            <w:r>
              <w:rPr>
                <w:rFonts w:hint="eastAsia" w:ascii="等线" w:hAnsi="等线"/>
                <w:bCs/>
                <w:color w:val="000000"/>
                <w:sz w:val="20"/>
                <w:highlight w:val="none"/>
              </w:rPr>
              <w:t>蒸发器污垢系数</w:t>
            </w:r>
          </w:p>
        </w:tc>
        <w:tc>
          <w:tcPr>
            <w:tcW w:w="2664" w:type="pct"/>
            <w:noWrap w:val="0"/>
            <w:vAlign w:val="center"/>
          </w:tcPr>
          <w:p>
            <w:pPr>
              <w:tabs>
                <w:tab w:val="left" w:pos="1084"/>
              </w:tabs>
              <w:ind w:right="65"/>
              <w:jc w:val="center"/>
              <w:rPr>
                <w:rFonts w:ascii="宋体" w:hAnsi="宋体" w:cs="宋体"/>
                <w:sz w:val="20"/>
                <w:highlight w:val="none"/>
              </w:rPr>
            </w:pPr>
            <w:r>
              <w:rPr>
                <w:rFonts w:hint="eastAsia" w:ascii="宋体" w:hAnsi="宋体" w:cs="宋体"/>
                <w:bCs/>
                <w:color w:val="000000"/>
                <w:sz w:val="20"/>
                <w:highlight w:val="none"/>
              </w:rPr>
              <w:t>≤0.0176㎡·K/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冷却水进</w:t>
            </w:r>
            <w:r>
              <w:rPr>
                <w:rFonts w:ascii="等线" w:hAnsi="等线"/>
                <w:sz w:val="20"/>
                <w:highlight w:val="none"/>
              </w:rPr>
              <w:t>/</w:t>
            </w:r>
            <w:r>
              <w:rPr>
                <w:rFonts w:hint="eastAsia" w:ascii="等线" w:hAnsi="等线"/>
                <w:sz w:val="20"/>
                <w:highlight w:val="none"/>
              </w:rPr>
              <w:t>出水温度</w:t>
            </w:r>
          </w:p>
        </w:tc>
        <w:tc>
          <w:tcPr>
            <w:tcW w:w="2664" w:type="pct"/>
            <w:noWrap w:val="0"/>
            <w:vAlign w:val="center"/>
          </w:tcPr>
          <w:p>
            <w:pPr>
              <w:tabs>
                <w:tab w:val="left" w:pos="1084"/>
              </w:tabs>
              <w:ind w:right="65"/>
              <w:jc w:val="center"/>
              <w:rPr>
                <w:rFonts w:ascii="宋体" w:hAnsi="宋体" w:cs="宋体"/>
                <w:sz w:val="20"/>
                <w:highlight w:val="none"/>
              </w:rPr>
            </w:pPr>
            <w:r>
              <w:rPr>
                <w:rFonts w:hint="eastAsia" w:ascii="宋体" w:hAnsi="宋体" w:cs="宋体"/>
                <w:sz w:val="20"/>
                <w:highlight w:val="none"/>
              </w:rPr>
              <w:t>运行工况：32℃/37℃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冷凝器污垢系数</w:t>
            </w:r>
          </w:p>
        </w:tc>
        <w:tc>
          <w:tcPr>
            <w:tcW w:w="2664" w:type="pct"/>
            <w:noWrap w:val="0"/>
            <w:vAlign w:val="center"/>
          </w:tcPr>
          <w:p>
            <w:pPr>
              <w:spacing w:before="41"/>
              <w:ind w:left="26"/>
              <w:jc w:val="center"/>
              <w:rPr>
                <w:rFonts w:ascii="宋体" w:hAnsi="宋体" w:cs="宋体"/>
                <w:sz w:val="20"/>
                <w:highlight w:val="none"/>
              </w:rPr>
            </w:pPr>
            <w:r>
              <w:rPr>
                <w:rFonts w:hint="eastAsia" w:ascii="宋体" w:hAnsi="宋体" w:cs="宋体"/>
                <w:bCs/>
                <w:color w:val="000000"/>
                <w:sz w:val="20"/>
                <w:highlight w:val="none"/>
              </w:rPr>
              <w:t>≤0.0440㎡·K/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制冷量</w:t>
            </w:r>
          </w:p>
        </w:tc>
        <w:tc>
          <w:tcPr>
            <w:tcW w:w="2664" w:type="pct"/>
            <w:noWrap w:val="0"/>
            <w:vAlign w:val="center"/>
          </w:tcPr>
          <w:p>
            <w:pPr>
              <w:spacing w:before="41"/>
              <w:ind w:left="26"/>
              <w:jc w:val="center"/>
              <w:rPr>
                <w:rFonts w:ascii="宋体" w:hAnsi="宋体" w:cs="宋体"/>
                <w:sz w:val="20"/>
                <w:highlight w:val="none"/>
                <w:lang w:eastAsia="en-US"/>
              </w:rPr>
            </w:pPr>
            <w:r>
              <w:rPr>
                <w:rFonts w:hint="eastAsia" w:ascii="宋体" w:hAnsi="宋体" w:cs="宋体"/>
                <w:sz w:val="20"/>
                <w:highlight w:val="none"/>
              </w:rPr>
              <w:t>≥9846kw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蒸发器压降</w:t>
            </w:r>
          </w:p>
        </w:tc>
        <w:tc>
          <w:tcPr>
            <w:tcW w:w="2664" w:type="pct"/>
            <w:noWrap w:val="0"/>
            <w:vAlign w:val="center"/>
          </w:tcPr>
          <w:p>
            <w:pPr>
              <w:tabs>
                <w:tab w:val="left" w:pos="628"/>
              </w:tabs>
              <w:spacing w:before="70"/>
              <w:ind w:left="26"/>
              <w:jc w:val="center"/>
              <w:rPr>
                <w:rFonts w:ascii="宋体" w:hAnsi="宋体" w:cs="宋体"/>
                <w:sz w:val="20"/>
                <w:highlight w:val="none"/>
                <w:lang w:eastAsia="en-US"/>
              </w:rPr>
            </w:pPr>
            <w:r>
              <w:rPr>
                <w:rFonts w:hint="eastAsia" w:ascii="宋体" w:hAnsi="宋体" w:cs="宋体"/>
                <w:bCs/>
                <w:color w:val="000000"/>
                <w:sz w:val="20"/>
                <w:highlight w:val="none"/>
              </w:rPr>
              <w:t>≤</w:t>
            </w:r>
            <w:r>
              <w:rPr>
                <w:rFonts w:hint="eastAsia" w:ascii="宋体" w:hAnsi="宋体" w:cs="宋体"/>
                <w:position w:val="1"/>
                <w:sz w:val="20"/>
                <w:highlight w:val="none"/>
              </w:rPr>
              <w:t>54KPa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冷凝器压降</w:t>
            </w:r>
          </w:p>
        </w:tc>
        <w:tc>
          <w:tcPr>
            <w:tcW w:w="2664" w:type="pct"/>
            <w:noWrap w:val="0"/>
            <w:vAlign w:val="center"/>
          </w:tcPr>
          <w:p>
            <w:pPr>
              <w:tabs>
                <w:tab w:val="left" w:pos="628"/>
              </w:tabs>
              <w:spacing w:before="70"/>
              <w:jc w:val="center"/>
              <w:rPr>
                <w:rFonts w:ascii="宋体" w:hAnsi="宋体" w:cs="宋体"/>
                <w:sz w:val="20"/>
                <w:highlight w:val="none"/>
                <w:lang w:eastAsia="en-US"/>
              </w:rPr>
            </w:pPr>
            <w:r>
              <w:rPr>
                <w:rFonts w:hint="eastAsia" w:ascii="宋体" w:hAnsi="宋体" w:cs="宋体"/>
                <w:bCs/>
                <w:color w:val="000000"/>
                <w:sz w:val="20"/>
                <w:highlight w:val="none"/>
              </w:rPr>
              <w:t>≤75</w:t>
            </w:r>
            <w:r>
              <w:rPr>
                <w:rFonts w:hint="eastAsia" w:ascii="宋体" w:hAnsi="宋体" w:cs="宋体"/>
                <w:position w:val="1"/>
                <w:sz w:val="20"/>
                <w:highlight w:val="none"/>
              </w:rPr>
              <w:t>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运行模式</w:t>
            </w:r>
          </w:p>
        </w:tc>
        <w:tc>
          <w:tcPr>
            <w:tcW w:w="2664" w:type="pct"/>
            <w:noWrap w:val="0"/>
            <w:vAlign w:val="center"/>
          </w:tcPr>
          <w:p>
            <w:pPr>
              <w:tabs>
                <w:tab w:val="left" w:pos="628"/>
              </w:tabs>
              <w:spacing w:before="70"/>
              <w:jc w:val="center"/>
              <w:rPr>
                <w:rFonts w:ascii="宋体" w:hAnsi="宋体" w:cs="宋体"/>
                <w:sz w:val="20"/>
                <w:highlight w:val="none"/>
              </w:rPr>
            </w:pPr>
            <w:r>
              <w:rPr>
                <w:rFonts w:hint="eastAsia" w:ascii="宋体" w:hAnsi="宋体" w:cs="宋体"/>
                <w:sz w:val="20"/>
                <w:highlight w:val="none"/>
              </w:rPr>
              <w:t>一年365天，24小时运行。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冷凝器清洗功能</w:t>
            </w:r>
          </w:p>
        </w:tc>
        <w:tc>
          <w:tcPr>
            <w:tcW w:w="2664" w:type="pct"/>
            <w:noWrap w:val="0"/>
            <w:vAlign w:val="center"/>
          </w:tcPr>
          <w:p>
            <w:pPr>
              <w:tabs>
                <w:tab w:val="left" w:pos="628"/>
              </w:tabs>
              <w:spacing w:before="70"/>
              <w:jc w:val="center"/>
              <w:rPr>
                <w:rFonts w:ascii="宋体" w:hAnsi="宋体" w:cs="宋体"/>
                <w:sz w:val="20"/>
                <w:highlight w:val="none"/>
              </w:rPr>
            </w:pPr>
            <w:r>
              <w:rPr>
                <w:rFonts w:hint="eastAsia" w:ascii="宋体" w:hAnsi="宋体" w:cs="宋体"/>
                <w:sz w:val="20"/>
                <w:highlight w:val="none"/>
              </w:rPr>
              <w:t>冷凝器自动在线清洗装置的胶球顺利走完冷凝器全管程，不卡球。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restart"/>
            <w:noWrap w:val="0"/>
            <w:vAlign w:val="center"/>
          </w:tcPr>
          <w:p>
            <w:pPr>
              <w:jc w:val="center"/>
              <w:rPr>
                <w:rFonts w:ascii="等线" w:hAnsi="等线"/>
                <w:w w:val="99"/>
                <w:sz w:val="20"/>
                <w:highlight w:val="none"/>
              </w:rPr>
            </w:pPr>
            <w:r>
              <w:rPr>
                <w:rFonts w:ascii="等线" w:hAnsi="等线"/>
                <w:w w:val="99"/>
                <w:sz w:val="20"/>
                <w:highlight w:val="none"/>
              </w:rPr>
              <w:t>4</w:t>
            </w:r>
          </w:p>
        </w:tc>
        <w:tc>
          <w:tcPr>
            <w:tcW w:w="655" w:type="pct"/>
            <w:vMerge w:val="restart"/>
            <w:noWrap w:val="0"/>
            <w:vAlign w:val="center"/>
          </w:tcPr>
          <w:p>
            <w:pPr>
              <w:jc w:val="center"/>
              <w:rPr>
                <w:rFonts w:ascii="等线" w:hAnsi="等线"/>
                <w:sz w:val="20"/>
                <w:highlight w:val="none"/>
              </w:rPr>
            </w:pPr>
            <w:r>
              <w:rPr>
                <w:rFonts w:hint="eastAsia" w:ascii="等线" w:hAnsi="等线"/>
                <w:sz w:val="20"/>
                <w:highlight w:val="none"/>
              </w:rPr>
              <w:t>能耗</w:t>
            </w: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制冷量</w:t>
            </w:r>
            <w:r>
              <w:rPr>
                <w:rFonts w:ascii="等线" w:hAnsi="等线"/>
                <w:sz w:val="20"/>
                <w:highlight w:val="none"/>
              </w:rPr>
              <w:t>(</w:t>
            </w:r>
            <w:r>
              <w:rPr>
                <w:rFonts w:hint="eastAsia" w:ascii="等线" w:hAnsi="等线" w:cs="等线"/>
                <w:sz w:val="20"/>
                <w:highlight w:val="none"/>
              </w:rPr>
              <w:t>国标工况</w:t>
            </w:r>
            <w:r>
              <w:rPr>
                <w:rFonts w:ascii="等线" w:hAnsi="等线" w:cs="等线"/>
                <w:sz w:val="20"/>
                <w:highlight w:val="none"/>
              </w:rPr>
              <w:t>)</w:t>
            </w:r>
          </w:p>
        </w:tc>
        <w:tc>
          <w:tcPr>
            <w:tcW w:w="2664" w:type="pct"/>
            <w:noWrap w:val="0"/>
            <w:vAlign w:val="center"/>
          </w:tcPr>
          <w:p>
            <w:pPr>
              <w:tabs>
                <w:tab w:val="left" w:pos="1070"/>
              </w:tabs>
              <w:spacing w:before="14"/>
              <w:ind w:left="-140"/>
              <w:jc w:val="center"/>
              <w:rPr>
                <w:rFonts w:ascii="宋体" w:hAnsi="宋体" w:cs="宋体"/>
                <w:sz w:val="20"/>
                <w:highlight w:val="none"/>
                <w:u w:val="single"/>
              </w:rPr>
            </w:pPr>
            <w:r>
              <w:rPr>
                <w:rFonts w:hint="eastAsia" w:ascii="宋体" w:hAnsi="宋体" w:cs="宋体"/>
                <w:sz w:val="20"/>
                <w:highlight w:val="none"/>
              </w:rPr>
              <w:t>≥9846kw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综合部分负荷性能系数</w:t>
            </w:r>
          </w:p>
        </w:tc>
        <w:tc>
          <w:tcPr>
            <w:tcW w:w="2664" w:type="pct"/>
            <w:noWrap w:val="0"/>
            <w:vAlign w:val="center"/>
          </w:tcPr>
          <w:p>
            <w:pPr>
              <w:tabs>
                <w:tab w:val="left" w:pos="984"/>
              </w:tabs>
              <w:spacing w:before="14"/>
              <w:ind w:left="25" w:leftChars="12"/>
              <w:jc w:val="center"/>
              <w:rPr>
                <w:rFonts w:ascii="宋体" w:hAnsi="宋体" w:cs="宋体"/>
                <w:sz w:val="20"/>
                <w:highlight w:val="none"/>
              </w:rPr>
            </w:pPr>
            <w:r>
              <w:rPr>
                <w:rFonts w:hint="eastAsia" w:ascii="宋体" w:hAnsi="宋体" w:cs="宋体"/>
                <w:spacing w:val="-5"/>
                <w:sz w:val="20"/>
                <w:highlight w:val="none"/>
              </w:rPr>
              <w:t>IPLV（</w:t>
            </w:r>
            <w:r>
              <w:rPr>
                <w:rFonts w:hint="eastAsia" w:ascii="宋体" w:hAnsi="宋体" w:cs="宋体"/>
                <w:sz w:val="20"/>
                <w:highlight w:val="none"/>
              </w:rPr>
              <w:t>GB/T18430.1</w:t>
            </w:r>
            <w:r>
              <w:rPr>
                <w:rFonts w:hint="eastAsia" w:ascii="宋体" w:hAnsi="宋体" w:cs="宋体"/>
                <w:spacing w:val="-5"/>
                <w:sz w:val="20"/>
                <w:highlight w:val="none"/>
              </w:rPr>
              <w:t>）</w:t>
            </w:r>
            <w:r>
              <w:rPr>
                <w:rFonts w:hint="eastAsia" w:ascii="宋体" w:hAnsi="宋体" w:cs="宋体"/>
                <w:sz w:val="20"/>
                <w:highlight w:val="none"/>
              </w:rPr>
              <w:t>≥8.1；</w:t>
            </w:r>
          </w:p>
          <w:p>
            <w:pPr>
              <w:tabs>
                <w:tab w:val="left" w:pos="984"/>
              </w:tabs>
              <w:spacing w:before="14"/>
              <w:ind w:left="25" w:leftChars="12"/>
              <w:jc w:val="center"/>
              <w:rPr>
                <w:rFonts w:ascii="宋体" w:hAnsi="宋体" w:cs="宋体"/>
                <w:sz w:val="20"/>
                <w:highlight w:val="none"/>
              </w:rPr>
            </w:pPr>
            <w:r>
              <w:rPr>
                <w:rFonts w:hint="eastAsia" w:ascii="宋体" w:hAnsi="宋体" w:cs="宋体"/>
                <w:sz w:val="20"/>
                <w:highlight w:val="none"/>
              </w:rPr>
              <w:t>IPLV满足国家标准一级能效及以上。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选型报告</w:t>
            </w:r>
          </w:p>
        </w:tc>
        <w:tc>
          <w:tcPr>
            <w:tcW w:w="2664" w:type="pct"/>
            <w:noWrap w:val="0"/>
            <w:vAlign w:val="center"/>
          </w:tcPr>
          <w:p>
            <w:pPr>
              <w:tabs>
                <w:tab w:val="left" w:pos="984"/>
              </w:tabs>
              <w:spacing w:before="14"/>
              <w:ind w:left="25" w:leftChars="12"/>
              <w:jc w:val="center"/>
              <w:rPr>
                <w:rFonts w:ascii="宋体" w:hAnsi="宋体" w:cs="宋体"/>
                <w:spacing w:val="-5"/>
                <w:sz w:val="20"/>
                <w:highlight w:val="none"/>
              </w:rPr>
            </w:pPr>
            <w:r>
              <w:rPr>
                <w:rFonts w:hint="eastAsia" w:ascii="宋体" w:hAnsi="宋体" w:cs="宋体"/>
                <w:spacing w:val="-5"/>
                <w:sz w:val="20"/>
                <w:highlight w:val="none"/>
              </w:rPr>
              <w:t>提供满足AHRI认证国标工况(含IPLV)、设计工况及10-100%（10个点）部分负荷选型报告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46" w:type="pct"/>
            <w:vMerge w:val="restart"/>
            <w:noWrap w:val="0"/>
            <w:vAlign w:val="center"/>
          </w:tcPr>
          <w:p>
            <w:pPr>
              <w:jc w:val="center"/>
              <w:rPr>
                <w:rFonts w:ascii="等线" w:hAnsi="等线"/>
                <w:sz w:val="20"/>
                <w:highlight w:val="none"/>
              </w:rPr>
            </w:pPr>
            <w:r>
              <w:rPr>
                <w:rFonts w:hint="eastAsia" w:ascii="等线" w:hAnsi="等线"/>
                <w:sz w:val="20"/>
                <w:highlight w:val="none"/>
              </w:rPr>
              <w:t>5</w:t>
            </w:r>
          </w:p>
        </w:tc>
        <w:tc>
          <w:tcPr>
            <w:tcW w:w="655" w:type="pct"/>
            <w:vMerge w:val="restart"/>
            <w:noWrap w:val="0"/>
            <w:vAlign w:val="center"/>
          </w:tcPr>
          <w:p>
            <w:pPr>
              <w:spacing w:before="233"/>
              <w:ind w:left="28" w:right="18"/>
              <w:jc w:val="center"/>
              <w:rPr>
                <w:rFonts w:ascii="等线" w:hAnsi="等线"/>
                <w:sz w:val="20"/>
                <w:highlight w:val="none"/>
                <w:lang w:eastAsia="en-US"/>
              </w:rPr>
            </w:pPr>
            <w:r>
              <w:rPr>
                <w:rFonts w:hint="eastAsia" w:ascii="等线" w:hAnsi="等线"/>
                <w:sz w:val="20"/>
                <w:highlight w:val="none"/>
              </w:rPr>
              <w:t>噪声及振动</w:t>
            </w: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噪声值</w:t>
            </w:r>
          </w:p>
        </w:tc>
        <w:tc>
          <w:tcPr>
            <w:tcW w:w="2664" w:type="pct"/>
            <w:noWrap w:val="0"/>
            <w:vAlign w:val="center"/>
          </w:tcPr>
          <w:p>
            <w:pPr>
              <w:tabs>
                <w:tab w:val="left" w:pos="909"/>
              </w:tabs>
              <w:spacing w:before="14"/>
              <w:ind w:left="26"/>
              <w:jc w:val="center"/>
              <w:rPr>
                <w:rFonts w:ascii="宋体" w:hAnsi="宋体" w:cs="宋体"/>
                <w:sz w:val="20"/>
                <w:highlight w:val="none"/>
              </w:rPr>
            </w:pPr>
            <w:r>
              <w:rPr>
                <w:rFonts w:hint="eastAsia" w:ascii="宋体" w:hAnsi="宋体" w:cs="宋体"/>
                <w:sz w:val="20"/>
                <w:highlight w:val="none"/>
              </w:rPr>
              <w:t>≤</w:t>
            </w:r>
            <w:r>
              <w:rPr>
                <w:rFonts w:hint="eastAsia" w:ascii="宋体" w:hAnsi="宋体" w:cs="宋体"/>
                <w:sz w:val="20"/>
                <w:highlight w:val="none"/>
                <w:u w:val="single"/>
              </w:rPr>
              <w:t>85</w:t>
            </w:r>
            <w:r>
              <w:rPr>
                <w:rFonts w:hint="eastAsia" w:ascii="宋体" w:hAnsi="宋体" w:cs="宋体"/>
                <w:sz w:val="20"/>
                <w:highlight w:val="none"/>
              </w:rPr>
              <w:t>dBA，提供AHRI认证选型报告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振动值</w:t>
            </w:r>
          </w:p>
        </w:tc>
        <w:tc>
          <w:tcPr>
            <w:tcW w:w="2664" w:type="pct"/>
            <w:noWrap w:val="0"/>
            <w:vAlign w:val="center"/>
          </w:tcPr>
          <w:p>
            <w:pPr>
              <w:spacing w:before="21"/>
              <w:ind w:left="26"/>
              <w:jc w:val="center"/>
              <w:rPr>
                <w:rFonts w:ascii="宋体" w:hAnsi="宋体" w:cs="宋体"/>
                <w:sz w:val="20"/>
                <w:highlight w:val="none"/>
                <w:lang w:eastAsia="en-US"/>
              </w:rPr>
            </w:pPr>
            <w:r>
              <w:rPr>
                <w:rFonts w:hint="eastAsia" w:ascii="宋体" w:hAnsi="宋体" w:cs="宋体"/>
                <w:sz w:val="20"/>
                <w:highlight w:val="none"/>
              </w:rPr>
              <w:t>≤15μm/m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减振器型式</w:t>
            </w:r>
          </w:p>
        </w:tc>
        <w:tc>
          <w:tcPr>
            <w:tcW w:w="2664" w:type="pct"/>
            <w:noWrap w:val="0"/>
            <w:vAlign w:val="center"/>
          </w:tcPr>
          <w:p>
            <w:pPr>
              <w:spacing w:before="21"/>
              <w:ind w:left="26"/>
              <w:jc w:val="center"/>
              <w:rPr>
                <w:rFonts w:ascii="宋体" w:hAnsi="宋体" w:cs="宋体"/>
                <w:sz w:val="20"/>
                <w:highlight w:val="none"/>
              </w:rPr>
            </w:pPr>
            <w:r>
              <w:rPr>
                <w:rFonts w:hint="eastAsia" w:ascii="宋体" w:hAnsi="宋体" w:cs="宋体"/>
                <w:sz w:val="20"/>
                <w:highlight w:val="none"/>
              </w:rPr>
              <w:t>橡胶减振器或弹簧减震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46" w:type="pct"/>
            <w:noWrap w:val="0"/>
            <w:vAlign w:val="center"/>
          </w:tcPr>
          <w:p>
            <w:pPr>
              <w:spacing w:before="153"/>
              <w:jc w:val="center"/>
              <w:rPr>
                <w:rFonts w:ascii="等线" w:hAnsi="等线"/>
                <w:sz w:val="20"/>
                <w:highlight w:val="none"/>
                <w:lang w:eastAsia="en-US"/>
              </w:rPr>
            </w:pPr>
            <w:r>
              <w:rPr>
                <w:rFonts w:ascii="等线" w:hAnsi="等线"/>
                <w:w w:val="99"/>
                <w:sz w:val="20"/>
                <w:highlight w:val="none"/>
              </w:rPr>
              <w:t>6</w:t>
            </w:r>
          </w:p>
        </w:tc>
        <w:tc>
          <w:tcPr>
            <w:tcW w:w="655" w:type="pct"/>
            <w:noWrap w:val="0"/>
            <w:vAlign w:val="center"/>
          </w:tcPr>
          <w:p>
            <w:pPr>
              <w:spacing w:before="230"/>
              <w:ind w:left="138" w:right="128"/>
              <w:jc w:val="center"/>
              <w:rPr>
                <w:rFonts w:ascii="等线" w:hAnsi="等线"/>
                <w:sz w:val="20"/>
                <w:highlight w:val="none"/>
                <w:lang w:eastAsia="en-US"/>
              </w:rPr>
            </w:pPr>
            <w:r>
              <w:rPr>
                <w:rFonts w:hint="eastAsia" w:ascii="等线" w:hAnsi="等线"/>
                <w:sz w:val="20"/>
                <w:highlight w:val="none"/>
              </w:rPr>
              <w:t>冷媒</w:t>
            </w:r>
          </w:p>
        </w:tc>
        <w:tc>
          <w:tcPr>
            <w:tcW w:w="1435"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冷媒</w:t>
            </w:r>
          </w:p>
        </w:tc>
        <w:tc>
          <w:tcPr>
            <w:tcW w:w="2664" w:type="pct"/>
            <w:noWrap w:val="0"/>
            <w:vAlign w:val="center"/>
          </w:tcPr>
          <w:p>
            <w:pPr>
              <w:spacing w:before="14"/>
              <w:ind w:left="26"/>
              <w:jc w:val="center"/>
              <w:rPr>
                <w:rFonts w:ascii="宋体" w:hAnsi="宋体" w:cs="宋体"/>
                <w:sz w:val="20"/>
                <w:highlight w:val="none"/>
              </w:rPr>
            </w:pPr>
            <w:r>
              <w:rPr>
                <w:rFonts w:hint="eastAsia" w:ascii="宋体" w:hAnsi="宋体" w:cs="宋体"/>
                <w:sz w:val="20"/>
                <w:highlight w:val="none"/>
              </w:rPr>
              <w:t>R134a、R514a或R1233zd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46" w:type="pct"/>
            <w:vMerge w:val="restart"/>
            <w:noWrap w:val="0"/>
            <w:vAlign w:val="center"/>
          </w:tcPr>
          <w:p>
            <w:pPr>
              <w:ind w:right="-17" w:rightChars="-8"/>
              <w:jc w:val="center"/>
              <w:rPr>
                <w:rFonts w:ascii="等线" w:hAnsi="等线"/>
                <w:sz w:val="20"/>
                <w:highlight w:val="none"/>
              </w:rPr>
            </w:pPr>
            <w:r>
              <w:rPr>
                <w:rFonts w:ascii="等线" w:hAnsi="等线"/>
                <w:sz w:val="20"/>
                <w:highlight w:val="none"/>
              </w:rPr>
              <w:t>7</w:t>
            </w:r>
          </w:p>
        </w:tc>
        <w:tc>
          <w:tcPr>
            <w:tcW w:w="655" w:type="pct"/>
            <w:vMerge w:val="restart"/>
            <w:noWrap w:val="0"/>
            <w:vAlign w:val="center"/>
          </w:tcPr>
          <w:p>
            <w:pPr>
              <w:spacing w:before="131" w:line="201" w:lineRule="auto"/>
              <w:ind w:left="124" w:right="117"/>
              <w:jc w:val="center"/>
              <w:rPr>
                <w:rFonts w:ascii="等线" w:hAnsi="等线"/>
                <w:sz w:val="20"/>
                <w:highlight w:val="none"/>
                <w:lang w:eastAsia="en-US"/>
              </w:rPr>
            </w:pPr>
            <w:r>
              <w:rPr>
                <w:rFonts w:hint="eastAsia" w:ascii="等线" w:hAnsi="等线"/>
                <w:sz w:val="20"/>
                <w:highlight w:val="none"/>
              </w:rPr>
              <w:t>能量调节</w:t>
            </w:r>
          </w:p>
        </w:tc>
        <w:tc>
          <w:tcPr>
            <w:tcW w:w="1435" w:type="pct"/>
            <w:gridSpan w:val="2"/>
            <w:noWrap w:val="0"/>
            <w:vAlign w:val="center"/>
          </w:tcPr>
          <w:p>
            <w:pPr>
              <w:spacing w:before="24" w:line="316" w:lineRule="exact"/>
              <w:ind w:left="28"/>
              <w:jc w:val="center"/>
              <w:rPr>
                <w:rFonts w:ascii="等线" w:hAnsi="等线"/>
                <w:sz w:val="20"/>
                <w:highlight w:val="none"/>
                <w:lang w:eastAsia="en-US"/>
              </w:rPr>
            </w:pPr>
            <w:r>
              <w:rPr>
                <w:rFonts w:hint="eastAsia" w:ascii="等线" w:hAnsi="等线"/>
                <w:sz w:val="20"/>
                <w:highlight w:val="none"/>
              </w:rPr>
              <w:t>调节机构</w:t>
            </w:r>
          </w:p>
        </w:tc>
        <w:tc>
          <w:tcPr>
            <w:tcW w:w="2664" w:type="pct"/>
            <w:noWrap w:val="0"/>
            <w:vAlign w:val="center"/>
          </w:tcPr>
          <w:p>
            <w:pPr>
              <w:spacing w:before="7" w:line="332" w:lineRule="exact"/>
              <w:ind w:left="29"/>
              <w:jc w:val="center"/>
              <w:rPr>
                <w:rFonts w:ascii="宋体" w:hAnsi="宋体" w:cs="宋体"/>
                <w:sz w:val="20"/>
                <w:highlight w:val="none"/>
              </w:rPr>
            </w:pPr>
            <w:r>
              <w:rPr>
                <w:rFonts w:hint="eastAsia" w:ascii="宋体" w:hAnsi="宋体" w:cs="宋体"/>
                <w:sz w:val="20"/>
                <w:highlight w:val="none"/>
              </w:rPr>
              <w:t>导流叶片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46" w:type="pct"/>
            <w:vMerge w:val="continue"/>
            <w:noWrap w:val="0"/>
            <w:vAlign w:val="center"/>
          </w:tcPr>
          <w:p>
            <w:pPr>
              <w:jc w:val="center"/>
              <w:rPr>
                <w:rFonts w:ascii="等线" w:hAnsi="等线"/>
                <w:sz w:val="20"/>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6" w:line="316" w:lineRule="exact"/>
              <w:ind w:left="28"/>
              <w:jc w:val="center"/>
              <w:rPr>
                <w:rFonts w:ascii="等线" w:hAnsi="等线"/>
                <w:sz w:val="20"/>
                <w:highlight w:val="none"/>
                <w:lang w:eastAsia="en-US"/>
              </w:rPr>
            </w:pPr>
            <w:r>
              <w:rPr>
                <w:rFonts w:hint="eastAsia" w:ascii="等线" w:hAnsi="等线"/>
                <w:sz w:val="20"/>
                <w:highlight w:val="none"/>
              </w:rPr>
              <w:t>调节级数</w:t>
            </w:r>
          </w:p>
        </w:tc>
        <w:tc>
          <w:tcPr>
            <w:tcW w:w="2664" w:type="pct"/>
            <w:noWrap w:val="0"/>
            <w:vAlign w:val="center"/>
          </w:tcPr>
          <w:p>
            <w:pPr>
              <w:spacing w:before="26" w:line="316" w:lineRule="exact"/>
              <w:ind w:left="29"/>
              <w:jc w:val="center"/>
              <w:rPr>
                <w:rFonts w:ascii="宋体" w:hAnsi="宋体" w:cs="宋体"/>
                <w:sz w:val="20"/>
                <w:highlight w:val="none"/>
                <w:lang w:eastAsia="en-US"/>
              </w:rPr>
            </w:pPr>
            <w:r>
              <w:rPr>
                <w:rFonts w:hint="eastAsia" w:ascii="宋体" w:hAnsi="宋体" w:cs="宋体"/>
                <w:sz w:val="20"/>
                <w:highlight w:val="none"/>
              </w:rPr>
              <w:t>20~100%范围内无级调节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46" w:type="pct"/>
            <w:vMerge w:val="continue"/>
            <w:noWrap w:val="0"/>
            <w:vAlign w:val="center"/>
          </w:tcPr>
          <w:p>
            <w:pPr>
              <w:jc w:val="center"/>
              <w:rPr>
                <w:rFonts w:ascii="等线" w:hAnsi="等线"/>
                <w:sz w:val="20"/>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before="24" w:line="316" w:lineRule="exact"/>
              <w:ind w:left="28"/>
              <w:jc w:val="center"/>
              <w:rPr>
                <w:rFonts w:ascii="等线" w:hAnsi="等线"/>
                <w:sz w:val="20"/>
                <w:highlight w:val="none"/>
                <w:lang w:eastAsia="en-US"/>
              </w:rPr>
            </w:pPr>
            <w:r>
              <w:rPr>
                <w:rFonts w:hint="eastAsia" w:ascii="等线" w:hAnsi="等线"/>
                <w:sz w:val="20"/>
                <w:highlight w:val="none"/>
              </w:rPr>
              <w:t>调节要求</w:t>
            </w:r>
          </w:p>
        </w:tc>
        <w:tc>
          <w:tcPr>
            <w:tcW w:w="2664" w:type="pct"/>
            <w:noWrap w:val="0"/>
            <w:vAlign w:val="center"/>
          </w:tcPr>
          <w:p>
            <w:pPr>
              <w:spacing w:before="12" w:line="328" w:lineRule="exact"/>
              <w:ind w:left="29"/>
              <w:jc w:val="center"/>
              <w:rPr>
                <w:rFonts w:ascii="宋体" w:hAnsi="宋体" w:cs="宋体"/>
                <w:sz w:val="20"/>
                <w:highlight w:val="none"/>
                <w:lang w:eastAsia="en-US"/>
              </w:rPr>
            </w:pPr>
            <w:r>
              <w:rPr>
                <w:rFonts w:hint="eastAsia" w:ascii="宋体" w:hAnsi="宋体" w:cs="宋体"/>
                <w:sz w:val="20"/>
                <w:highlight w:val="none"/>
              </w:rPr>
              <w:t>≥20%负荷不喘振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46" w:type="pct"/>
            <w:vMerge w:val="restart"/>
            <w:noWrap w:val="0"/>
            <w:vAlign w:val="center"/>
          </w:tcPr>
          <w:p>
            <w:pPr>
              <w:jc w:val="center"/>
              <w:rPr>
                <w:rFonts w:ascii="等线" w:hAnsi="等线"/>
                <w:sz w:val="20"/>
                <w:highlight w:val="none"/>
                <w:lang w:eastAsia="en-US"/>
              </w:rPr>
            </w:pPr>
            <w:r>
              <w:rPr>
                <w:rFonts w:ascii="等线" w:hAnsi="等线"/>
                <w:sz w:val="20"/>
                <w:highlight w:val="none"/>
              </w:rPr>
              <w:t>8</w:t>
            </w:r>
          </w:p>
        </w:tc>
        <w:tc>
          <w:tcPr>
            <w:tcW w:w="655" w:type="pct"/>
            <w:vMerge w:val="restart"/>
            <w:noWrap w:val="0"/>
            <w:vAlign w:val="center"/>
          </w:tcPr>
          <w:p>
            <w:pPr>
              <w:spacing w:before="210" w:line="201" w:lineRule="auto"/>
              <w:ind w:left="124" w:right="117"/>
              <w:jc w:val="center"/>
              <w:rPr>
                <w:rFonts w:ascii="等线" w:hAnsi="等线"/>
                <w:sz w:val="20"/>
                <w:highlight w:val="none"/>
                <w:lang w:eastAsia="en-US"/>
              </w:rPr>
            </w:pPr>
            <w:r>
              <w:rPr>
                <w:rFonts w:hint="eastAsia" w:ascii="等线" w:hAnsi="等线"/>
                <w:sz w:val="20"/>
                <w:highlight w:val="none"/>
              </w:rPr>
              <w:t>压缩机及变频器</w:t>
            </w:r>
          </w:p>
        </w:tc>
        <w:tc>
          <w:tcPr>
            <w:tcW w:w="1435" w:type="pct"/>
            <w:gridSpan w:val="2"/>
            <w:noWrap w:val="0"/>
            <w:vAlign w:val="center"/>
          </w:tcPr>
          <w:p>
            <w:pPr>
              <w:spacing w:line="301" w:lineRule="exact"/>
              <w:ind w:left="28"/>
              <w:jc w:val="center"/>
              <w:rPr>
                <w:rFonts w:ascii="等线" w:hAnsi="等线"/>
                <w:sz w:val="20"/>
                <w:highlight w:val="none"/>
                <w:lang w:eastAsia="en-US"/>
              </w:rPr>
            </w:pPr>
            <w:r>
              <w:rPr>
                <w:rFonts w:hint="eastAsia" w:ascii="等线" w:hAnsi="等线"/>
                <w:sz w:val="20"/>
                <w:highlight w:val="none"/>
              </w:rPr>
              <w:t>品牌</w:t>
            </w:r>
          </w:p>
        </w:tc>
        <w:tc>
          <w:tcPr>
            <w:tcW w:w="2664" w:type="pct"/>
            <w:noWrap w:val="0"/>
            <w:vAlign w:val="center"/>
          </w:tcPr>
          <w:p>
            <w:pPr>
              <w:spacing w:line="301" w:lineRule="exact"/>
              <w:ind w:left="29"/>
              <w:jc w:val="center"/>
              <w:rPr>
                <w:rFonts w:ascii="宋体" w:hAnsi="宋体" w:cs="宋体"/>
                <w:sz w:val="20"/>
                <w:highlight w:val="none"/>
              </w:rPr>
            </w:pPr>
            <w:r>
              <w:rPr>
                <w:rFonts w:hint="eastAsia" w:ascii="宋体" w:hAnsi="宋体" w:cs="宋体"/>
                <w:sz w:val="20"/>
                <w:highlight w:val="none"/>
              </w:rPr>
              <w:t>与主机同一品牌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center"/>
          </w:tcPr>
          <w:p>
            <w:pPr>
              <w:jc w:val="center"/>
              <w:rPr>
                <w:rFonts w:ascii="等线" w:hAnsi="等线"/>
                <w:highlight w:val="none"/>
              </w:rPr>
            </w:pPr>
          </w:p>
        </w:tc>
        <w:tc>
          <w:tcPr>
            <w:tcW w:w="1435" w:type="pct"/>
            <w:gridSpan w:val="2"/>
            <w:noWrap w:val="0"/>
            <w:vAlign w:val="center"/>
          </w:tcPr>
          <w:p>
            <w:pPr>
              <w:spacing w:line="279" w:lineRule="exact"/>
              <w:ind w:left="26"/>
              <w:jc w:val="center"/>
              <w:rPr>
                <w:rFonts w:ascii="等线" w:hAnsi="等线"/>
                <w:sz w:val="20"/>
                <w:highlight w:val="none"/>
                <w:lang w:eastAsia="en-US"/>
              </w:rPr>
            </w:pPr>
            <w:r>
              <w:rPr>
                <w:rFonts w:hint="eastAsia" w:ascii="等线" w:hAnsi="等线"/>
                <w:sz w:val="20"/>
                <w:highlight w:val="none"/>
              </w:rPr>
              <w:t>品牌</w:t>
            </w:r>
          </w:p>
        </w:tc>
        <w:tc>
          <w:tcPr>
            <w:tcW w:w="2664" w:type="pct"/>
            <w:noWrap w:val="0"/>
            <w:vAlign w:val="center"/>
          </w:tcPr>
          <w:p>
            <w:pPr>
              <w:tabs>
                <w:tab w:val="left" w:pos="1856"/>
              </w:tabs>
              <w:spacing w:line="279" w:lineRule="exact"/>
              <w:ind w:left="29"/>
              <w:jc w:val="center"/>
              <w:rPr>
                <w:rFonts w:ascii="宋体" w:hAnsi="宋体" w:cs="宋体"/>
                <w:sz w:val="20"/>
                <w:highlight w:val="none"/>
              </w:rPr>
            </w:pPr>
            <w:r>
              <w:rPr>
                <w:rFonts w:hint="eastAsia" w:ascii="宋体" w:hAnsi="宋体" w:cs="宋体"/>
                <w:sz w:val="20"/>
                <w:highlight w:val="none"/>
                <w:lang w:eastAsia="en-US"/>
              </w:rPr>
              <w:t>ABB</w:t>
            </w:r>
            <w:r>
              <w:rPr>
                <w:rFonts w:hint="eastAsia" w:ascii="宋体" w:hAnsi="宋体" w:cs="宋体"/>
                <w:spacing w:val="-3"/>
                <w:sz w:val="20"/>
                <w:highlight w:val="none"/>
                <w:lang w:eastAsia="en-US"/>
              </w:rPr>
              <w:t xml:space="preserve"> </w:t>
            </w:r>
            <w:r>
              <w:rPr>
                <w:rFonts w:hint="eastAsia" w:ascii="宋体" w:hAnsi="宋体" w:cs="宋体"/>
                <w:spacing w:val="55"/>
                <w:sz w:val="20"/>
                <w:highlight w:val="none"/>
                <w:lang w:eastAsia="en-US"/>
              </w:rPr>
              <w:t>或</w:t>
            </w:r>
            <w:r>
              <w:rPr>
                <w:rFonts w:hint="eastAsia" w:ascii="宋体" w:hAnsi="宋体" w:cs="宋体"/>
                <w:sz w:val="20"/>
                <w:highlight w:val="none"/>
                <w:lang w:eastAsia="en-US"/>
              </w:rPr>
              <w:t>Siemens</w:t>
            </w:r>
            <w:r>
              <w:rPr>
                <w:rFonts w:hint="eastAsia" w:ascii="宋体" w:hAnsi="宋体" w:cs="宋体"/>
                <w:spacing w:val="-3"/>
                <w:sz w:val="20"/>
                <w:highlight w:val="none"/>
                <w:lang w:eastAsia="en-US"/>
              </w:rPr>
              <w:t xml:space="preserve"> </w:t>
            </w:r>
            <w:r>
              <w:rPr>
                <w:rFonts w:hint="eastAsia" w:ascii="宋体" w:hAnsi="宋体" w:cs="宋体"/>
                <w:spacing w:val="55"/>
                <w:sz w:val="20"/>
                <w:highlight w:val="none"/>
                <w:lang w:eastAsia="en-US"/>
              </w:rPr>
              <w:t>或</w:t>
            </w:r>
            <w:r>
              <w:rPr>
                <w:rFonts w:hint="eastAsia" w:ascii="宋体" w:hAnsi="宋体" w:cs="宋体"/>
                <w:sz w:val="20"/>
                <w:highlight w:val="none"/>
                <w:lang w:eastAsia="en-US"/>
              </w:rPr>
              <w:t>Schneider</w:t>
            </w:r>
            <w:r>
              <w:rPr>
                <w:rFonts w:hint="eastAsia" w:ascii="宋体" w:hAnsi="宋体" w:cs="宋体"/>
                <w:spacing w:val="-4"/>
                <w:sz w:val="20"/>
                <w:highlight w:val="none"/>
                <w:lang w:eastAsia="en-US"/>
              </w:rPr>
              <w:t xml:space="preserve"> </w:t>
            </w:r>
            <w:r>
              <w:rPr>
                <w:rFonts w:hint="eastAsia" w:ascii="宋体" w:hAnsi="宋体" w:cs="宋体"/>
                <w:sz w:val="20"/>
                <w:highlight w:val="none"/>
                <w:lang w:eastAsia="en-US"/>
              </w:rPr>
              <w:t>或优于所列品牌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noWrap w:val="0"/>
            <w:vAlign w:val="center"/>
          </w:tcPr>
          <w:p>
            <w:pPr>
              <w:spacing w:before="51"/>
              <w:jc w:val="center"/>
              <w:rPr>
                <w:rFonts w:ascii="等线" w:hAnsi="等线"/>
                <w:sz w:val="20"/>
                <w:highlight w:val="none"/>
              </w:rPr>
            </w:pPr>
            <w:r>
              <w:rPr>
                <w:rFonts w:hint="eastAsia" w:ascii="等线" w:hAnsi="等线"/>
                <w:sz w:val="20"/>
                <w:highlight w:val="none"/>
              </w:rPr>
              <w:t>9</w:t>
            </w:r>
          </w:p>
        </w:tc>
        <w:tc>
          <w:tcPr>
            <w:tcW w:w="2090" w:type="pct"/>
            <w:gridSpan w:val="3"/>
            <w:noWrap w:val="0"/>
            <w:vAlign w:val="center"/>
          </w:tcPr>
          <w:p>
            <w:pPr>
              <w:spacing w:line="318" w:lineRule="exact"/>
              <w:ind w:left="28"/>
              <w:jc w:val="center"/>
              <w:rPr>
                <w:rFonts w:ascii="等线" w:hAnsi="等线"/>
                <w:sz w:val="20"/>
                <w:highlight w:val="none"/>
              </w:rPr>
            </w:pPr>
            <w:r>
              <w:rPr>
                <w:rFonts w:hint="eastAsia" w:ascii="宋体" w:hAnsi="宋体" w:cs="宋体"/>
                <w:sz w:val="22"/>
                <w:szCs w:val="21"/>
                <w:highlight w:val="none"/>
                <w:lang w:eastAsia="en-US"/>
              </w:rPr>
              <w:t>报警显示</w:t>
            </w:r>
          </w:p>
        </w:tc>
        <w:tc>
          <w:tcPr>
            <w:tcW w:w="2664" w:type="pct"/>
            <w:noWrap w:val="0"/>
            <w:vAlign w:val="top"/>
          </w:tcPr>
          <w:p>
            <w:pPr>
              <w:rPr>
                <w:rFonts w:ascii="宋体" w:hAnsi="宋体" w:cs="宋体"/>
                <w:szCs w:val="21"/>
                <w:highlight w:val="none"/>
              </w:rPr>
            </w:pPr>
            <w:r>
              <w:rPr>
                <w:rFonts w:hint="eastAsia" w:ascii="宋体" w:hAnsi="宋体" w:cs="宋体"/>
                <w:szCs w:val="21"/>
                <w:highlight w:val="none"/>
              </w:rPr>
              <w:t>1.紧急/正常停机信息（包括系统状态、系统详情、日期、时间、停机原因等）</w:t>
            </w:r>
          </w:p>
          <w:p>
            <w:pPr>
              <w:rPr>
                <w:rFonts w:ascii="宋体" w:hAnsi="宋体" w:cs="宋体"/>
                <w:szCs w:val="21"/>
                <w:highlight w:val="none"/>
              </w:rPr>
            </w:pPr>
            <w:r>
              <w:rPr>
                <w:rFonts w:hint="eastAsia" w:ascii="宋体" w:hAnsi="宋体" w:cs="宋体"/>
                <w:szCs w:val="21"/>
                <w:highlight w:val="none"/>
              </w:rPr>
              <w:t>2.蒸发器、冷凝器传感器故障</w:t>
            </w:r>
          </w:p>
          <w:p>
            <w:pPr>
              <w:rPr>
                <w:rFonts w:ascii="宋体" w:hAnsi="宋体" w:cs="宋体"/>
                <w:szCs w:val="21"/>
                <w:highlight w:val="none"/>
              </w:rPr>
            </w:pPr>
            <w:r>
              <w:rPr>
                <w:rFonts w:hint="eastAsia" w:ascii="宋体" w:hAnsi="宋体" w:cs="宋体"/>
                <w:szCs w:val="21"/>
                <w:highlight w:val="none"/>
              </w:rPr>
              <w:t>3.制冷机液位超限</w:t>
            </w:r>
          </w:p>
          <w:p>
            <w:pPr>
              <w:rPr>
                <w:rFonts w:ascii="宋体" w:hAnsi="宋体" w:cs="宋体"/>
                <w:szCs w:val="21"/>
                <w:highlight w:val="none"/>
              </w:rPr>
            </w:pPr>
            <w:r>
              <w:rPr>
                <w:rFonts w:hint="eastAsia" w:ascii="宋体" w:hAnsi="宋体" w:cs="宋体"/>
                <w:szCs w:val="21"/>
                <w:highlight w:val="none"/>
              </w:rPr>
              <w:t>4.润滑油压过低</w:t>
            </w:r>
          </w:p>
          <w:p>
            <w:pPr>
              <w:rPr>
                <w:rFonts w:ascii="宋体" w:hAnsi="宋体" w:cs="宋体"/>
                <w:szCs w:val="21"/>
                <w:highlight w:val="none"/>
              </w:rPr>
            </w:pPr>
            <w:r>
              <w:rPr>
                <w:rFonts w:hint="eastAsia" w:ascii="宋体" w:hAnsi="宋体" w:cs="宋体"/>
                <w:szCs w:val="21"/>
                <w:highlight w:val="none"/>
              </w:rPr>
              <w:t>5.冷凝器高压极限</w:t>
            </w:r>
          </w:p>
          <w:p>
            <w:pPr>
              <w:rPr>
                <w:rFonts w:ascii="宋体" w:hAnsi="宋体" w:cs="宋体"/>
                <w:szCs w:val="21"/>
                <w:highlight w:val="none"/>
              </w:rPr>
            </w:pPr>
            <w:r>
              <w:rPr>
                <w:rFonts w:hint="eastAsia" w:ascii="宋体" w:hAnsi="宋体" w:cs="宋体"/>
                <w:szCs w:val="21"/>
                <w:highlight w:val="none"/>
              </w:rPr>
              <w:t>6.蒸发器低压极限</w:t>
            </w:r>
          </w:p>
          <w:p>
            <w:pPr>
              <w:rPr>
                <w:rFonts w:ascii="宋体" w:hAnsi="宋体" w:cs="宋体"/>
                <w:szCs w:val="21"/>
                <w:highlight w:val="none"/>
              </w:rPr>
            </w:pPr>
            <w:r>
              <w:rPr>
                <w:rFonts w:hint="eastAsia" w:ascii="宋体" w:hAnsi="宋体" w:cs="宋体"/>
                <w:szCs w:val="21"/>
                <w:highlight w:val="none"/>
              </w:rPr>
              <w:t>7.电机电流、电压过载</w:t>
            </w:r>
          </w:p>
          <w:p>
            <w:pPr>
              <w:spacing w:before="5" w:line="316" w:lineRule="exact"/>
              <w:ind w:left="27"/>
              <w:rPr>
                <w:rFonts w:ascii="宋体" w:hAnsi="宋体" w:cs="宋体"/>
                <w:sz w:val="20"/>
                <w:highlight w:val="none"/>
              </w:rPr>
            </w:pPr>
            <w:r>
              <w:rPr>
                <w:rFonts w:hint="eastAsia" w:ascii="宋体" w:hAnsi="宋体" w:cs="宋体"/>
                <w:sz w:val="22"/>
                <w:szCs w:val="21"/>
                <w:highlight w:val="none"/>
              </w:rPr>
              <w:t>8.传感器故障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restart"/>
            <w:noWrap w:val="0"/>
            <w:vAlign w:val="center"/>
          </w:tcPr>
          <w:p>
            <w:pPr>
              <w:spacing w:before="51"/>
              <w:jc w:val="center"/>
              <w:rPr>
                <w:rFonts w:ascii="等线" w:hAnsi="等线"/>
                <w:sz w:val="20"/>
                <w:highlight w:val="none"/>
              </w:rPr>
            </w:pPr>
            <w:r>
              <w:rPr>
                <w:rFonts w:ascii="等线" w:hAnsi="等线"/>
                <w:sz w:val="20"/>
                <w:highlight w:val="none"/>
              </w:rPr>
              <w:t>10</w:t>
            </w:r>
          </w:p>
        </w:tc>
        <w:tc>
          <w:tcPr>
            <w:tcW w:w="2090" w:type="pct"/>
            <w:gridSpan w:val="3"/>
            <w:vMerge w:val="restart"/>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安全装置</w:t>
            </w:r>
          </w:p>
        </w:tc>
        <w:tc>
          <w:tcPr>
            <w:tcW w:w="2664"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压缩机马达过载保护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润滑油系统保护装置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冷凝器高压保护装置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center"/>
          </w:tcPr>
          <w:p>
            <w:pPr>
              <w:spacing w:before="5" w:line="316" w:lineRule="exact"/>
              <w:ind w:left="27"/>
              <w:jc w:val="center"/>
              <w:rPr>
                <w:rFonts w:ascii="宋体" w:hAnsi="宋体" w:cs="宋体"/>
                <w:sz w:val="20"/>
                <w:highlight w:val="none"/>
              </w:rPr>
            </w:pPr>
            <w:r>
              <w:rPr>
                <w:rFonts w:hint="eastAsia" w:ascii="宋体" w:hAnsi="宋体" w:cs="宋体"/>
                <w:sz w:val="20"/>
                <w:highlight w:val="none"/>
              </w:rPr>
              <w:t>排气温度过高保护装置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蒸发器低温低压保护装置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vMerge w:val="continue"/>
            <w:noWrap w:val="0"/>
            <w:vAlign w:val="center"/>
          </w:tcPr>
          <w:p>
            <w:pPr>
              <w:spacing w:before="51"/>
              <w:jc w:val="center"/>
              <w:rPr>
                <w:rFonts w:ascii="等线" w:hAnsi="等线"/>
                <w:sz w:val="20"/>
                <w:highlight w:val="none"/>
              </w:rPr>
            </w:pPr>
          </w:p>
        </w:tc>
        <w:tc>
          <w:tcPr>
            <w:tcW w:w="2090" w:type="pct"/>
            <w:gridSpan w:val="3"/>
            <w:vMerge w:val="continue"/>
            <w:noWrap w:val="0"/>
            <w:vAlign w:val="top"/>
          </w:tcPr>
          <w:p>
            <w:pPr>
              <w:spacing w:line="318" w:lineRule="exact"/>
              <w:ind w:left="28"/>
              <w:jc w:val="center"/>
              <w:rPr>
                <w:rFonts w:ascii="等线" w:hAnsi="等线"/>
                <w:sz w:val="20"/>
                <w:highlight w:val="none"/>
              </w:rPr>
            </w:pPr>
          </w:p>
        </w:tc>
        <w:tc>
          <w:tcPr>
            <w:tcW w:w="2664"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缺相与相序保护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46" w:type="pct"/>
            <w:noWrap w:val="0"/>
            <w:vAlign w:val="center"/>
          </w:tcPr>
          <w:p>
            <w:pPr>
              <w:spacing w:before="51"/>
              <w:jc w:val="center"/>
              <w:rPr>
                <w:rFonts w:ascii="等线" w:hAnsi="等线"/>
                <w:sz w:val="20"/>
                <w:highlight w:val="none"/>
                <w:lang w:eastAsia="en-US"/>
              </w:rPr>
            </w:pPr>
            <w:r>
              <w:rPr>
                <w:rFonts w:ascii="等线" w:hAnsi="等线"/>
                <w:sz w:val="20"/>
                <w:highlight w:val="none"/>
              </w:rPr>
              <w:t>11</w:t>
            </w:r>
          </w:p>
        </w:tc>
        <w:tc>
          <w:tcPr>
            <w:tcW w:w="2090" w:type="pct"/>
            <w:gridSpan w:val="3"/>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主要电气组件品牌</w:t>
            </w:r>
          </w:p>
        </w:tc>
        <w:tc>
          <w:tcPr>
            <w:tcW w:w="2664" w:type="pct"/>
            <w:noWrap w:val="0"/>
            <w:vAlign w:val="center"/>
          </w:tcPr>
          <w:p>
            <w:pPr>
              <w:spacing w:before="34"/>
              <w:ind w:left="26"/>
              <w:jc w:val="left"/>
              <w:rPr>
                <w:rFonts w:ascii="宋体" w:hAnsi="宋体" w:cs="宋体"/>
                <w:sz w:val="20"/>
                <w:highlight w:val="none"/>
              </w:rPr>
            </w:pPr>
            <w:r>
              <w:rPr>
                <w:rFonts w:hint="eastAsia" w:ascii="宋体" w:hAnsi="宋体" w:cs="宋体"/>
                <w:sz w:val="20"/>
                <w:highlight w:val="none"/>
              </w:rPr>
              <w:t>施耐德、西门子、ABB或优于所列品牌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restart"/>
            <w:noWrap w:val="0"/>
            <w:vAlign w:val="center"/>
          </w:tcPr>
          <w:p>
            <w:pPr>
              <w:spacing w:before="1"/>
              <w:jc w:val="center"/>
              <w:rPr>
                <w:rFonts w:ascii="等线" w:hAnsi="等线"/>
                <w:sz w:val="20"/>
                <w:highlight w:val="none"/>
              </w:rPr>
            </w:pPr>
            <w:r>
              <w:rPr>
                <w:rFonts w:hint="eastAsia" w:ascii="等线" w:hAnsi="等线"/>
                <w:sz w:val="20"/>
                <w:highlight w:val="none"/>
              </w:rPr>
              <w:t>1</w:t>
            </w:r>
            <w:r>
              <w:rPr>
                <w:rFonts w:ascii="等线" w:hAnsi="等线"/>
                <w:sz w:val="20"/>
                <w:highlight w:val="none"/>
              </w:rPr>
              <w:t>2</w:t>
            </w:r>
          </w:p>
        </w:tc>
        <w:tc>
          <w:tcPr>
            <w:tcW w:w="655" w:type="pct"/>
            <w:vMerge w:val="restart"/>
            <w:noWrap w:val="0"/>
            <w:vAlign w:val="center"/>
          </w:tcPr>
          <w:p>
            <w:pPr>
              <w:spacing w:line="201" w:lineRule="auto"/>
              <w:ind w:right="113"/>
              <w:jc w:val="center"/>
              <w:rPr>
                <w:rFonts w:ascii="等线" w:hAnsi="等线"/>
                <w:sz w:val="20"/>
                <w:highlight w:val="none"/>
                <w:lang w:eastAsia="en-US"/>
              </w:rPr>
            </w:pPr>
            <w:r>
              <w:rPr>
                <w:rFonts w:hint="eastAsia" w:ascii="等线" w:hAnsi="等线"/>
                <w:sz w:val="20"/>
                <w:highlight w:val="none"/>
              </w:rPr>
              <w:t>控制中心</w:t>
            </w:r>
          </w:p>
        </w:tc>
        <w:tc>
          <w:tcPr>
            <w:tcW w:w="1435" w:type="pct"/>
            <w:gridSpan w:val="2"/>
            <w:noWrap w:val="0"/>
            <w:vAlign w:val="top"/>
          </w:tcPr>
          <w:p>
            <w:pPr>
              <w:spacing w:before="2" w:line="306" w:lineRule="exact"/>
              <w:ind w:left="32"/>
              <w:jc w:val="center"/>
              <w:rPr>
                <w:rFonts w:ascii="等线" w:hAnsi="等线"/>
                <w:sz w:val="20"/>
                <w:highlight w:val="none"/>
              </w:rPr>
            </w:pPr>
            <w:r>
              <w:rPr>
                <w:rFonts w:hint="eastAsia" w:ascii="等线" w:hAnsi="等线"/>
                <w:sz w:val="20"/>
                <w:highlight w:val="none"/>
              </w:rPr>
              <w:t>控制方式</w:t>
            </w:r>
          </w:p>
        </w:tc>
        <w:tc>
          <w:tcPr>
            <w:tcW w:w="2664"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微电脑控制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top"/>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top"/>
          </w:tcPr>
          <w:p>
            <w:pPr>
              <w:spacing w:line="300" w:lineRule="exact"/>
              <w:ind w:left="32"/>
              <w:jc w:val="center"/>
              <w:rPr>
                <w:rFonts w:ascii="等线" w:hAnsi="等线"/>
                <w:sz w:val="20"/>
                <w:highlight w:val="none"/>
              </w:rPr>
            </w:pPr>
            <w:r>
              <w:rPr>
                <w:rFonts w:hint="eastAsia" w:ascii="等线" w:hAnsi="等线"/>
                <w:sz w:val="20"/>
                <w:highlight w:val="none"/>
              </w:rPr>
              <w:t>显示方式</w:t>
            </w:r>
          </w:p>
        </w:tc>
        <w:tc>
          <w:tcPr>
            <w:tcW w:w="2664"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10英寸以上彩色中文触摸大屏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top"/>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center"/>
          </w:tcPr>
          <w:p>
            <w:pPr>
              <w:spacing w:line="300" w:lineRule="exact"/>
              <w:ind w:left="32"/>
              <w:jc w:val="center"/>
              <w:rPr>
                <w:rFonts w:ascii="等线" w:hAnsi="等线"/>
                <w:sz w:val="20"/>
                <w:highlight w:val="none"/>
              </w:rPr>
            </w:pPr>
            <w:r>
              <w:rPr>
                <w:rFonts w:hint="eastAsia" w:ascii="等线" w:hAnsi="等线"/>
                <w:sz w:val="20"/>
                <w:highlight w:val="none"/>
              </w:rPr>
              <w:t>显示内容</w:t>
            </w:r>
          </w:p>
        </w:tc>
        <w:tc>
          <w:tcPr>
            <w:tcW w:w="2664"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运行状态、参数设定、故障诊断、报警等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top"/>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center"/>
          </w:tcPr>
          <w:p>
            <w:pPr>
              <w:spacing w:line="304" w:lineRule="exact"/>
              <w:ind w:left="26"/>
              <w:jc w:val="center"/>
              <w:rPr>
                <w:rFonts w:ascii="等线" w:hAnsi="等线"/>
                <w:sz w:val="20"/>
                <w:highlight w:val="none"/>
              </w:rPr>
            </w:pPr>
            <w:r>
              <w:rPr>
                <w:rFonts w:hint="eastAsia" w:ascii="等线" w:hAnsi="等线"/>
                <w:sz w:val="20"/>
                <w:highlight w:val="none"/>
              </w:rPr>
              <w:t>信息记录</w:t>
            </w:r>
          </w:p>
        </w:tc>
        <w:tc>
          <w:tcPr>
            <w:tcW w:w="2664" w:type="pct"/>
            <w:noWrap w:val="0"/>
            <w:vAlign w:val="top"/>
          </w:tcPr>
          <w:p>
            <w:pPr>
              <w:spacing w:line="304" w:lineRule="exact"/>
              <w:ind w:left="26"/>
              <w:jc w:val="center"/>
              <w:rPr>
                <w:rFonts w:ascii="宋体" w:hAnsi="宋体" w:cs="宋体"/>
                <w:sz w:val="20"/>
                <w:highlight w:val="none"/>
              </w:rPr>
            </w:pPr>
            <w:r>
              <w:rPr>
                <w:rFonts w:hint="eastAsia" w:ascii="宋体" w:hAnsi="宋体" w:cs="宋体"/>
                <w:sz w:val="20"/>
                <w:highlight w:val="none"/>
              </w:rPr>
              <w:t>运行时间、启停次数、历史故障、累计耗电量显示等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top"/>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top"/>
          </w:tcPr>
          <w:p>
            <w:pPr>
              <w:spacing w:line="304" w:lineRule="exact"/>
              <w:ind w:left="26"/>
              <w:jc w:val="center"/>
              <w:rPr>
                <w:rFonts w:ascii="等线" w:hAnsi="等线"/>
                <w:sz w:val="20"/>
                <w:highlight w:val="none"/>
              </w:rPr>
            </w:pPr>
            <w:r>
              <w:rPr>
                <w:rFonts w:ascii="等线" w:hAnsi="等线"/>
                <w:sz w:val="20"/>
                <w:highlight w:val="none"/>
                <w:lang w:eastAsia="en-US"/>
              </w:rPr>
              <w:t>通讯界面</w:t>
            </w:r>
          </w:p>
        </w:tc>
        <w:tc>
          <w:tcPr>
            <w:tcW w:w="2664" w:type="pct"/>
            <w:noWrap w:val="0"/>
            <w:vAlign w:val="top"/>
          </w:tcPr>
          <w:p>
            <w:pPr>
              <w:spacing w:line="304" w:lineRule="exact"/>
              <w:ind w:left="26"/>
              <w:jc w:val="center"/>
              <w:rPr>
                <w:rFonts w:ascii="宋体" w:hAnsi="宋体" w:cs="宋体"/>
                <w:sz w:val="20"/>
                <w:highlight w:val="none"/>
              </w:rPr>
            </w:pPr>
            <w:r>
              <w:rPr>
                <w:rFonts w:hint="eastAsia" w:ascii="宋体" w:hAnsi="宋体" w:cs="宋体"/>
                <w:spacing w:val="-2"/>
                <w:sz w:val="20"/>
                <w:highlight w:val="none"/>
                <w:lang w:eastAsia="en-US"/>
              </w:rPr>
              <w:t xml:space="preserve">提供 </w:t>
            </w:r>
            <w:r>
              <w:rPr>
                <w:rFonts w:hint="eastAsia" w:ascii="宋体" w:hAnsi="宋体" w:cs="宋体"/>
                <w:sz w:val="20"/>
                <w:highlight w:val="none"/>
                <w:lang w:eastAsia="en-US"/>
              </w:rPr>
              <w:t>RS-485MODBUS RTU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 w:type="pct"/>
            <w:vMerge w:val="continue"/>
            <w:noWrap w:val="0"/>
            <w:vAlign w:val="center"/>
          </w:tcPr>
          <w:p>
            <w:pPr>
              <w:jc w:val="center"/>
              <w:rPr>
                <w:rFonts w:ascii="等线" w:hAnsi="等线"/>
                <w:highlight w:val="none"/>
              </w:rPr>
            </w:pPr>
          </w:p>
        </w:tc>
        <w:tc>
          <w:tcPr>
            <w:tcW w:w="655" w:type="pct"/>
            <w:vMerge w:val="continue"/>
            <w:noWrap w:val="0"/>
            <w:vAlign w:val="top"/>
          </w:tcPr>
          <w:p>
            <w:pPr>
              <w:jc w:val="center"/>
              <w:rPr>
                <w:rFonts w:ascii="等线" w:hAnsi="等线"/>
                <w:highlight w:val="none"/>
              </w:rPr>
            </w:pPr>
          </w:p>
        </w:tc>
        <w:tc>
          <w:tcPr>
            <w:tcW w:w="1435" w:type="pct"/>
            <w:gridSpan w:val="2"/>
            <w:noWrap w:val="0"/>
            <w:vAlign w:val="center"/>
          </w:tcPr>
          <w:p>
            <w:pPr>
              <w:spacing w:before="257"/>
              <w:jc w:val="center"/>
              <w:rPr>
                <w:rFonts w:ascii="等线" w:hAnsi="等线"/>
                <w:sz w:val="20"/>
                <w:highlight w:val="none"/>
                <w:lang w:eastAsia="en-US"/>
              </w:rPr>
            </w:pPr>
            <w:r>
              <w:rPr>
                <w:rFonts w:hint="eastAsia" w:ascii="等线" w:hAnsi="等线"/>
                <w:sz w:val="20"/>
                <w:highlight w:val="none"/>
              </w:rPr>
              <w:t>网卡</w:t>
            </w:r>
          </w:p>
        </w:tc>
        <w:tc>
          <w:tcPr>
            <w:tcW w:w="2664" w:type="pct"/>
            <w:noWrap w:val="0"/>
            <w:vAlign w:val="center"/>
          </w:tcPr>
          <w:p>
            <w:pPr>
              <w:ind w:right="8"/>
              <w:jc w:val="center"/>
              <w:rPr>
                <w:rFonts w:ascii="宋体" w:hAnsi="宋体" w:cs="宋体"/>
                <w:sz w:val="20"/>
                <w:highlight w:val="none"/>
              </w:rPr>
            </w:pPr>
            <w:r>
              <w:rPr>
                <w:rFonts w:hint="eastAsia" w:ascii="宋体" w:hAnsi="宋体" w:cs="宋体"/>
                <w:spacing w:val="-5"/>
                <w:sz w:val="20"/>
                <w:highlight w:val="none"/>
              </w:rPr>
              <w:t>微处理器应配有网络适配卡(含通讯模块及扩展模块)，可将所有数据下传至控制中心(监视)，提供</w:t>
            </w:r>
            <w:r>
              <w:rPr>
                <w:rFonts w:hint="eastAsia" w:ascii="宋体" w:hAnsi="宋体" w:cs="宋体"/>
                <w:spacing w:val="13"/>
                <w:sz w:val="20"/>
                <w:highlight w:val="none"/>
              </w:rPr>
              <w:t>开放式</w:t>
            </w:r>
            <w:r>
              <w:rPr>
                <w:rFonts w:hint="eastAsia" w:ascii="宋体" w:hAnsi="宋体" w:cs="宋体"/>
                <w:spacing w:val="-3"/>
                <w:sz w:val="20"/>
                <w:highlight w:val="none"/>
              </w:rPr>
              <w:t>TCP/IP</w:t>
            </w:r>
            <w:r>
              <w:rPr>
                <w:rFonts w:hint="eastAsia" w:ascii="宋体" w:hAnsi="宋体" w:cs="宋体"/>
                <w:spacing w:val="-6"/>
                <w:sz w:val="20"/>
                <w:highlight w:val="none"/>
              </w:rPr>
              <w:t>通讯协议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246" w:type="pct"/>
            <w:noWrap w:val="0"/>
            <w:vAlign w:val="center"/>
          </w:tcPr>
          <w:p>
            <w:pPr>
              <w:jc w:val="center"/>
              <w:rPr>
                <w:rFonts w:ascii="等线" w:hAnsi="等线"/>
                <w:sz w:val="20"/>
                <w:highlight w:val="none"/>
              </w:rPr>
            </w:pPr>
            <w:r>
              <w:rPr>
                <w:rFonts w:hint="eastAsia" w:ascii="等线" w:hAnsi="等线"/>
                <w:sz w:val="20"/>
                <w:highlight w:val="none"/>
              </w:rPr>
              <w:t>1</w:t>
            </w:r>
            <w:r>
              <w:rPr>
                <w:rFonts w:ascii="等线" w:hAnsi="等线"/>
                <w:sz w:val="20"/>
                <w:highlight w:val="none"/>
              </w:rPr>
              <w:t>3</w:t>
            </w:r>
          </w:p>
        </w:tc>
        <w:tc>
          <w:tcPr>
            <w:tcW w:w="2090" w:type="pct"/>
            <w:gridSpan w:val="3"/>
            <w:noWrap w:val="0"/>
            <w:vAlign w:val="center"/>
          </w:tcPr>
          <w:p>
            <w:pPr>
              <w:jc w:val="center"/>
              <w:rPr>
                <w:rFonts w:ascii="等线" w:hAnsi="等线"/>
                <w:sz w:val="20"/>
                <w:highlight w:val="none"/>
                <w:lang w:eastAsia="en-US"/>
              </w:rPr>
            </w:pPr>
            <w:r>
              <w:rPr>
                <w:rFonts w:hint="eastAsia" w:ascii="等线" w:hAnsi="等线"/>
                <w:sz w:val="20"/>
                <w:highlight w:val="none"/>
              </w:rPr>
              <w:t>网络适配卡</w:t>
            </w:r>
          </w:p>
        </w:tc>
        <w:tc>
          <w:tcPr>
            <w:tcW w:w="2664" w:type="pct"/>
            <w:noWrap w:val="0"/>
            <w:vAlign w:val="top"/>
          </w:tcPr>
          <w:p>
            <w:pPr>
              <w:spacing w:before="17"/>
              <w:ind w:left="16" w:right="14"/>
              <w:jc w:val="center"/>
              <w:rPr>
                <w:rFonts w:ascii="宋体" w:hAnsi="宋体" w:cs="宋体"/>
                <w:spacing w:val="-5"/>
                <w:sz w:val="20"/>
                <w:highlight w:val="none"/>
              </w:rPr>
            </w:pPr>
            <w:r>
              <w:rPr>
                <w:rFonts w:hint="eastAsia" w:ascii="宋体" w:hAnsi="宋体" w:cs="宋体"/>
                <w:spacing w:val="-5"/>
                <w:sz w:val="20"/>
                <w:highlight w:val="none"/>
              </w:rPr>
              <w:t>微处理器应有网络适配卡将控制盘上之所有监控点数,透过传输线可在中央监控室内监控;另设备供货商应提供开放式 TCP/IP 之网络通讯协议(Protocode)或其它网络通讯接口,供监控系统衔接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246" w:type="pct"/>
            <w:vMerge w:val="restart"/>
            <w:noWrap w:val="0"/>
            <w:vAlign w:val="center"/>
          </w:tcPr>
          <w:p>
            <w:pPr>
              <w:jc w:val="center"/>
              <w:rPr>
                <w:rFonts w:ascii="等线" w:hAnsi="等线"/>
                <w:sz w:val="20"/>
                <w:highlight w:val="none"/>
              </w:rPr>
            </w:pPr>
            <w:r>
              <w:rPr>
                <w:rFonts w:ascii="等线" w:hAnsi="等线"/>
                <w:sz w:val="20"/>
                <w:highlight w:val="none"/>
              </w:rPr>
              <w:t>14</w:t>
            </w:r>
          </w:p>
        </w:tc>
        <w:tc>
          <w:tcPr>
            <w:tcW w:w="741" w:type="pct"/>
            <w:gridSpan w:val="2"/>
            <w:vMerge w:val="restart"/>
            <w:noWrap w:val="0"/>
            <w:vAlign w:val="center"/>
          </w:tcPr>
          <w:p>
            <w:pPr>
              <w:spacing w:before="160" w:line="165" w:lineRule="auto"/>
              <w:ind w:left="43" w:right="33"/>
              <w:jc w:val="center"/>
              <w:rPr>
                <w:rFonts w:ascii="等线" w:hAnsi="等线"/>
                <w:sz w:val="20"/>
                <w:highlight w:val="none"/>
                <w:lang w:eastAsia="en-US"/>
              </w:rPr>
            </w:pPr>
            <w:r>
              <w:rPr>
                <w:rFonts w:hint="eastAsia" w:ascii="等线" w:hAnsi="等线"/>
                <w:sz w:val="20"/>
                <w:highlight w:val="none"/>
              </w:rPr>
              <w:t>启动装置</w:t>
            </w:r>
          </w:p>
        </w:tc>
        <w:tc>
          <w:tcPr>
            <w:tcW w:w="1349" w:type="pct"/>
            <w:noWrap w:val="0"/>
            <w:vAlign w:val="center"/>
          </w:tcPr>
          <w:p>
            <w:pPr>
              <w:spacing w:line="304" w:lineRule="exact"/>
              <w:ind w:left="26"/>
              <w:jc w:val="center"/>
              <w:rPr>
                <w:rFonts w:ascii="等线" w:hAnsi="等线"/>
                <w:sz w:val="20"/>
                <w:highlight w:val="none"/>
                <w:lang w:eastAsia="en-US"/>
              </w:rPr>
            </w:pPr>
            <w:r>
              <w:rPr>
                <w:rFonts w:hint="eastAsia" w:ascii="等线" w:hAnsi="等线"/>
                <w:sz w:val="20"/>
                <w:highlight w:val="none"/>
              </w:rPr>
              <w:t>启动方式</w:t>
            </w:r>
          </w:p>
        </w:tc>
        <w:tc>
          <w:tcPr>
            <w:tcW w:w="2664" w:type="pct"/>
            <w:noWrap w:val="0"/>
            <w:vAlign w:val="center"/>
          </w:tcPr>
          <w:p>
            <w:pPr>
              <w:ind w:left="16"/>
              <w:jc w:val="center"/>
              <w:rPr>
                <w:rFonts w:ascii="宋体" w:hAnsi="宋体" w:cs="宋体"/>
                <w:spacing w:val="-5"/>
                <w:sz w:val="20"/>
                <w:highlight w:val="none"/>
              </w:rPr>
            </w:pPr>
            <w:r>
              <w:rPr>
                <w:rFonts w:hint="eastAsia" w:ascii="宋体" w:hAnsi="宋体" w:cs="宋体"/>
                <w:spacing w:val="-5"/>
                <w:sz w:val="20"/>
                <w:highlight w:val="none"/>
              </w:rPr>
              <w:t>变频启动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246" w:type="pct"/>
            <w:vMerge w:val="continue"/>
            <w:noWrap w:val="0"/>
            <w:vAlign w:val="center"/>
          </w:tcPr>
          <w:p>
            <w:pPr>
              <w:jc w:val="center"/>
              <w:rPr>
                <w:rFonts w:ascii="等线" w:hAnsi="等线"/>
                <w:highlight w:val="none"/>
              </w:rPr>
            </w:pPr>
          </w:p>
        </w:tc>
        <w:tc>
          <w:tcPr>
            <w:tcW w:w="741" w:type="pct"/>
            <w:gridSpan w:val="2"/>
            <w:vMerge w:val="continue"/>
            <w:noWrap w:val="0"/>
            <w:vAlign w:val="top"/>
          </w:tcPr>
          <w:p>
            <w:pPr>
              <w:jc w:val="center"/>
              <w:rPr>
                <w:rFonts w:ascii="等线" w:hAnsi="等线"/>
                <w:highlight w:val="none"/>
              </w:rPr>
            </w:pPr>
          </w:p>
        </w:tc>
        <w:tc>
          <w:tcPr>
            <w:tcW w:w="1349" w:type="pct"/>
            <w:noWrap w:val="0"/>
            <w:vAlign w:val="center"/>
          </w:tcPr>
          <w:p>
            <w:pPr>
              <w:spacing w:line="304" w:lineRule="exact"/>
              <w:ind w:left="26"/>
              <w:jc w:val="center"/>
              <w:rPr>
                <w:rFonts w:ascii="等线" w:hAnsi="等线"/>
                <w:sz w:val="20"/>
                <w:highlight w:val="none"/>
              </w:rPr>
            </w:pPr>
            <w:r>
              <w:rPr>
                <w:rFonts w:hint="eastAsia" w:ascii="等线" w:hAnsi="等线"/>
                <w:sz w:val="20"/>
                <w:highlight w:val="none"/>
              </w:rPr>
              <w:t>安装位置</w:t>
            </w:r>
          </w:p>
        </w:tc>
        <w:tc>
          <w:tcPr>
            <w:tcW w:w="2664" w:type="pct"/>
            <w:noWrap w:val="0"/>
            <w:vAlign w:val="center"/>
          </w:tcPr>
          <w:p>
            <w:pPr>
              <w:ind w:left="16"/>
              <w:jc w:val="center"/>
              <w:rPr>
                <w:rFonts w:ascii="宋体" w:hAnsi="宋体" w:cs="宋体"/>
                <w:spacing w:val="-5"/>
                <w:sz w:val="20"/>
                <w:highlight w:val="none"/>
              </w:rPr>
            </w:pPr>
            <w:r>
              <w:rPr>
                <w:rFonts w:hint="eastAsia" w:ascii="宋体" w:hAnsi="宋体" w:cs="宋体"/>
                <w:spacing w:val="-5"/>
                <w:sz w:val="20"/>
                <w:highlight w:val="none"/>
              </w:rPr>
              <w:t>独立启动柜，由厂商配套供货（含启动柜与机组之间所有连接线缆）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restart"/>
            <w:noWrap w:val="0"/>
            <w:vAlign w:val="center"/>
          </w:tcPr>
          <w:p>
            <w:pPr>
              <w:jc w:val="center"/>
              <w:rPr>
                <w:rFonts w:ascii="等线" w:hAnsi="等线"/>
                <w:sz w:val="20"/>
                <w:highlight w:val="none"/>
              </w:rPr>
            </w:pPr>
            <w:r>
              <w:rPr>
                <w:rFonts w:ascii="等线" w:hAnsi="等线"/>
                <w:sz w:val="20"/>
                <w:highlight w:val="none"/>
              </w:rPr>
              <w:t>15</w:t>
            </w:r>
          </w:p>
        </w:tc>
        <w:tc>
          <w:tcPr>
            <w:tcW w:w="2090" w:type="pct"/>
            <w:gridSpan w:val="3"/>
            <w:vMerge w:val="restart"/>
            <w:noWrap w:val="0"/>
            <w:vAlign w:val="center"/>
          </w:tcPr>
          <w:p>
            <w:pPr>
              <w:jc w:val="center"/>
              <w:rPr>
                <w:rFonts w:ascii="等线" w:hAnsi="等线"/>
                <w:spacing w:val="-5"/>
                <w:sz w:val="20"/>
                <w:highlight w:val="none"/>
              </w:rPr>
            </w:pPr>
            <w:r>
              <w:rPr>
                <w:rFonts w:hint="eastAsia" w:ascii="等线" w:hAnsi="等线"/>
                <w:spacing w:val="-5"/>
                <w:sz w:val="20"/>
                <w:highlight w:val="none"/>
              </w:rPr>
              <w:t>交货时提供资料</w:t>
            </w:r>
          </w:p>
        </w:tc>
        <w:tc>
          <w:tcPr>
            <w:tcW w:w="2664" w:type="pct"/>
            <w:noWrap w:val="0"/>
            <w:vAlign w:val="center"/>
          </w:tcPr>
          <w:p>
            <w:pPr>
              <w:spacing w:before="5" w:line="316" w:lineRule="exact"/>
              <w:ind w:left="27" w:right="19"/>
              <w:jc w:val="center"/>
              <w:rPr>
                <w:rFonts w:ascii="宋体" w:hAnsi="宋体" w:cs="宋体"/>
                <w:spacing w:val="-5"/>
                <w:sz w:val="20"/>
                <w:highlight w:val="none"/>
              </w:rPr>
            </w:pPr>
            <w:r>
              <w:rPr>
                <w:rFonts w:hint="eastAsia" w:ascii="宋体" w:hAnsi="宋体" w:cs="宋体"/>
                <w:spacing w:val="-5"/>
                <w:sz w:val="20"/>
                <w:highlight w:val="none"/>
              </w:rPr>
              <w:t>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continue"/>
            <w:noWrap w:val="0"/>
            <w:vAlign w:val="center"/>
          </w:tcPr>
          <w:p>
            <w:pPr>
              <w:jc w:val="center"/>
              <w:rPr>
                <w:rFonts w:ascii="等线" w:hAnsi="等线"/>
                <w:sz w:val="20"/>
                <w:highlight w:val="none"/>
                <w:lang w:eastAsia="en-US"/>
              </w:rPr>
            </w:pPr>
          </w:p>
        </w:tc>
        <w:tc>
          <w:tcPr>
            <w:tcW w:w="2090" w:type="pct"/>
            <w:gridSpan w:val="3"/>
            <w:vMerge w:val="continue"/>
            <w:noWrap w:val="0"/>
            <w:vAlign w:val="top"/>
          </w:tcPr>
          <w:p>
            <w:pPr>
              <w:jc w:val="center"/>
              <w:rPr>
                <w:rFonts w:ascii="等线" w:hAnsi="等线"/>
                <w:spacing w:val="-5"/>
                <w:highlight w:val="none"/>
              </w:rPr>
            </w:pPr>
          </w:p>
        </w:tc>
        <w:tc>
          <w:tcPr>
            <w:tcW w:w="2664" w:type="pct"/>
            <w:noWrap w:val="0"/>
            <w:vAlign w:val="center"/>
          </w:tcPr>
          <w:p>
            <w:pPr>
              <w:spacing w:before="5" w:line="316" w:lineRule="exact"/>
              <w:ind w:left="27" w:right="19"/>
              <w:jc w:val="center"/>
              <w:rPr>
                <w:rFonts w:ascii="宋体" w:hAnsi="宋体" w:cs="宋体"/>
                <w:spacing w:val="-5"/>
                <w:sz w:val="20"/>
                <w:highlight w:val="none"/>
              </w:rPr>
            </w:pPr>
            <w:r>
              <w:rPr>
                <w:rFonts w:hint="eastAsia" w:ascii="宋体" w:hAnsi="宋体" w:cs="宋体"/>
                <w:spacing w:val="-5"/>
                <w:sz w:val="20"/>
                <w:highlight w:val="none"/>
              </w:rPr>
              <w:t>样本型录（产品说明书）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continue"/>
            <w:noWrap w:val="0"/>
            <w:vAlign w:val="center"/>
          </w:tcPr>
          <w:p>
            <w:pPr>
              <w:jc w:val="center"/>
              <w:rPr>
                <w:rFonts w:ascii="等线" w:hAnsi="等线"/>
                <w:sz w:val="20"/>
                <w:highlight w:val="none"/>
              </w:rPr>
            </w:pPr>
          </w:p>
        </w:tc>
        <w:tc>
          <w:tcPr>
            <w:tcW w:w="2090" w:type="pct"/>
            <w:gridSpan w:val="3"/>
            <w:vMerge w:val="continue"/>
            <w:noWrap w:val="0"/>
            <w:vAlign w:val="top"/>
          </w:tcPr>
          <w:p>
            <w:pPr>
              <w:jc w:val="center"/>
              <w:rPr>
                <w:rFonts w:ascii="等线" w:hAnsi="等线"/>
                <w:spacing w:val="-5"/>
                <w:highlight w:val="none"/>
              </w:rPr>
            </w:pPr>
          </w:p>
        </w:tc>
        <w:tc>
          <w:tcPr>
            <w:tcW w:w="2664" w:type="pct"/>
            <w:noWrap w:val="0"/>
            <w:vAlign w:val="center"/>
          </w:tcPr>
          <w:p>
            <w:pPr>
              <w:spacing w:before="5" w:line="316" w:lineRule="exact"/>
              <w:ind w:left="27" w:right="19"/>
              <w:jc w:val="center"/>
              <w:rPr>
                <w:rFonts w:ascii="宋体" w:hAnsi="宋体" w:cs="宋体"/>
                <w:spacing w:val="-5"/>
                <w:sz w:val="20"/>
                <w:highlight w:val="none"/>
              </w:rPr>
            </w:pPr>
            <w:r>
              <w:rPr>
                <w:rFonts w:hint="eastAsia" w:ascii="宋体" w:hAnsi="宋体" w:cs="宋体"/>
                <w:spacing w:val="-5"/>
                <w:sz w:val="20"/>
                <w:highlight w:val="none"/>
              </w:rPr>
              <w:t>安装、操作、维修手册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continue"/>
            <w:noWrap w:val="0"/>
            <w:vAlign w:val="center"/>
          </w:tcPr>
          <w:p>
            <w:pPr>
              <w:jc w:val="center"/>
              <w:rPr>
                <w:rFonts w:ascii="等线" w:hAnsi="等线"/>
                <w:sz w:val="20"/>
                <w:highlight w:val="none"/>
              </w:rPr>
            </w:pPr>
          </w:p>
        </w:tc>
        <w:tc>
          <w:tcPr>
            <w:tcW w:w="2090" w:type="pct"/>
            <w:gridSpan w:val="3"/>
            <w:vMerge w:val="continue"/>
            <w:noWrap w:val="0"/>
            <w:vAlign w:val="top"/>
          </w:tcPr>
          <w:p>
            <w:pPr>
              <w:jc w:val="center"/>
              <w:rPr>
                <w:rFonts w:ascii="等线" w:hAnsi="等线"/>
                <w:spacing w:val="-5"/>
                <w:highlight w:val="none"/>
              </w:rPr>
            </w:pPr>
          </w:p>
        </w:tc>
        <w:tc>
          <w:tcPr>
            <w:tcW w:w="2664" w:type="pct"/>
            <w:noWrap w:val="0"/>
            <w:vAlign w:val="center"/>
          </w:tcPr>
          <w:p>
            <w:pPr>
              <w:spacing w:before="5" w:line="316" w:lineRule="exact"/>
              <w:ind w:left="27" w:right="19"/>
              <w:jc w:val="center"/>
              <w:rPr>
                <w:rFonts w:ascii="宋体" w:hAnsi="宋体" w:cs="宋体"/>
                <w:spacing w:val="-5"/>
                <w:sz w:val="20"/>
                <w:highlight w:val="none"/>
              </w:rPr>
            </w:pPr>
            <w:r>
              <w:rPr>
                <w:rFonts w:hint="eastAsia" w:ascii="宋体" w:hAnsi="宋体" w:cs="宋体"/>
                <w:spacing w:val="-5"/>
                <w:sz w:val="20"/>
                <w:highlight w:val="none"/>
              </w:rPr>
              <w:t>特种设备制造监督检验证书（冷凝器、蒸发器、经济器）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246" w:type="pct"/>
            <w:noWrap w:val="0"/>
            <w:vAlign w:val="center"/>
          </w:tcPr>
          <w:p>
            <w:pPr>
              <w:spacing w:before="5" w:line="316" w:lineRule="exact"/>
              <w:ind w:left="27"/>
              <w:jc w:val="center"/>
              <w:rPr>
                <w:rFonts w:ascii="等线" w:hAnsi="等线"/>
                <w:sz w:val="20"/>
                <w:highlight w:val="none"/>
              </w:rPr>
            </w:pPr>
            <w:r>
              <w:rPr>
                <w:rFonts w:ascii="等线" w:hAnsi="等线"/>
                <w:sz w:val="20"/>
                <w:highlight w:val="none"/>
              </w:rPr>
              <w:t>16</w:t>
            </w:r>
          </w:p>
        </w:tc>
        <w:tc>
          <w:tcPr>
            <w:tcW w:w="2090" w:type="pct"/>
            <w:gridSpan w:val="3"/>
            <w:noWrap w:val="0"/>
            <w:vAlign w:val="center"/>
          </w:tcPr>
          <w:p>
            <w:pPr>
              <w:spacing w:before="5" w:line="316" w:lineRule="exact"/>
              <w:ind w:left="27"/>
              <w:jc w:val="center"/>
              <w:rPr>
                <w:rFonts w:ascii="等线" w:hAnsi="等线"/>
                <w:sz w:val="20"/>
                <w:highlight w:val="none"/>
              </w:rPr>
            </w:pPr>
            <w:r>
              <w:rPr>
                <w:rFonts w:hint="eastAsia" w:ascii="等线" w:hAnsi="等线"/>
                <w:sz w:val="20"/>
                <w:highlight w:val="none"/>
              </w:rPr>
              <w:t>随机附件</w:t>
            </w:r>
          </w:p>
        </w:tc>
        <w:tc>
          <w:tcPr>
            <w:tcW w:w="2664" w:type="pct"/>
            <w:noWrap w:val="0"/>
            <w:vAlign w:val="center"/>
          </w:tcPr>
          <w:p>
            <w:pPr>
              <w:spacing w:before="5" w:line="316" w:lineRule="exact"/>
              <w:ind w:left="27" w:right="19"/>
              <w:jc w:val="center"/>
              <w:rPr>
                <w:rFonts w:ascii="宋体" w:hAnsi="宋体" w:cs="宋体"/>
                <w:sz w:val="20"/>
                <w:highlight w:val="none"/>
              </w:rPr>
            </w:pPr>
            <w:r>
              <w:rPr>
                <w:rFonts w:hint="eastAsia" w:ascii="宋体" w:hAnsi="宋体" w:cs="宋体"/>
                <w:spacing w:val="-5"/>
                <w:sz w:val="20"/>
                <w:highlight w:val="none"/>
              </w:rPr>
              <w:t>水流开关二只或电子压差开关二处（安装于冷却水、冷冻水出口管上）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noWrap w:val="0"/>
            <w:vAlign w:val="center"/>
          </w:tcPr>
          <w:p>
            <w:pPr>
              <w:jc w:val="center"/>
              <w:rPr>
                <w:rFonts w:ascii="等线" w:hAnsi="等线"/>
                <w:sz w:val="20"/>
                <w:highlight w:val="none"/>
              </w:rPr>
            </w:pPr>
            <w:r>
              <w:rPr>
                <w:rFonts w:ascii="等线" w:hAnsi="等线"/>
                <w:sz w:val="20"/>
                <w:highlight w:val="none"/>
              </w:rPr>
              <w:t>17</w:t>
            </w:r>
          </w:p>
        </w:tc>
        <w:tc>
          <w:tcPr>
            <w:tcW w:w="2090" w:type="pct"/>
            <w:gridSpan w:val="3"/>
            <w:noWrap w:val="0"/>
            <w:vAlign w:val="center"/>
          </w:tcPr>
          <w:p>
            <w:pPr>
              <w:spacing w:line="320" w:lineRule="exact"/>
              <w:ind w:left="28"/>
              <w:jc w:val="center"/>
              <w:rPr>
                <w:rFonts w:ascii="等线" w:hAnsi="等线"/>
                <w:sz w:val="20"/>
                <w:highlight w:val="none"/>
                <w:lang w:eastAsia="en-US"/>
              </w:rPr>
            </w:pPr>
            <w:r>
              <w:rPr>
                <w:rFonts w:hint="eastAsia" w:ascii="等线" w:hAnsi="等线"/>
                <w:sz w:val="20"/>
                <w:highlight w:val="none"/>
              </w:rPr>
              <w:t>验收时提供资料</w:t>
            </w:r>
          </w:p>
        </w:tc>
        <w:tc>
          <w:tcPr>
            <w:tcW w:w="2664" w:type="pct"/>
            <w:noWrap w:val="0"/>
            <w:vAlign w:val="center"/>
          </w:tcPr>
          <w:p>
            <w:pPr>
              <w:ind w:left="30"/>
              <w:jc w:val="center"/>
              <w:rPr>
                <w:rFonts w:ascii="宋体" w:hAnsi="宋体" w:cs="宋体"/>
                <w:sz w:val="20"/>
                <w:highlight w:val="none"/>
                <w:lang w:eastAsia="en-US"/>
              </w:rPr>
            </w:pPr>
            <w:r>
              <w:rPr>
                <w:rFonts w:hint="eastAsia" w:ascii="宋体" w:hAnsi="宋体" w:cs="宋体"/>
                <w:sz w:val="20"/>
                <w:highlight w:val="none"/>
              </w:rPr>
              <w:t>调试报告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46" w:type="pct"/>
            <w:noWrap w:val="0"/>
            <w:vAlign w:val="center"/>
          </w:tcPr>
          <w:p>
            <w:pPr>
              <w:jc w:val="center"/>
              <w:rPr>
                <w:rFonts w:ascii="等线" w:hAnsi="等线"/>
                <w:sz w:val="20"/>
                <w:highlight w:val="none"/>
              </w:rPr>
            </w:pPr>
            <w:r>
              <w:rPr>
                <w:rFonts w:ascii="等线" w:hAnsi="等线"/>
                <w:sz w:val="20"/>
                <w:highlight w:val="none"/>
              </w:rPr>
              <w:t>18</w:t>
            </w:r>
          </w:p>
        </w:tc>
        <w:tc>
          <w:tcPr>
            <w:tcW w:w="2090" w:type="pct"/>
            <w:gridSpan w:val="3"/>
            <w:noWrap w:val="0"/>
            <w:vAlign w:val="top"/>
          </w:tcPr>
          <w:p>
            <w:pPr>
              <w:spacing w:before="221"/>
              <w:ind w:left="28"/>
              <w:jc w:val="center"/>
              <w:rPr>
                <w:rFonts w:ascii="等线" w:hAnsi="等线"/>
                <w:sz w:val="20"/>
                <w:highlight w:val="none"/>
                <w:lang w:eastAsia="en-US"/>
              </w:rPr>
            </w:pPr>
            <w:r>
              <w:rPr>
                <w:rFonts w:hint="eastAsia" w:ascii="等线" w:hAnsi="等线"/>
                <w:sz w:val="20"/>
                <w:highlight w:val="none"/>
              </w:rPr>
              <w:t>售后服务</w:t>
            </w:r>
          </w:p>
        </w:tc>
        <w:tc>
          <w:tcPr>
            <w:tcW w:w="2664" w:type="pct"/>
            <w:noWrap w:val="0"/>
            <w:vAlign w:val="top"/>
          </w:tcPr>
          <w:p>
            <w:pPr>
              <w:ind w:left="16"/>
              <w:jc w:val="center"/>
              <w:rPr>
                <w:rFonts w:ascii="宋体" w:hAnsi="宋体" w:cs="宋体"/>
                <w:sz w:val="20"/>
                <w:highlight w:val="none"/>
              </w:rPr>
            </w:pPr>
            <w:r>
              <w:rPr>
                <w:rFonts w:hint="eastAsia" w:ascii="宋体" w:hAnsi="宋体" w:cs="宋体"/>
                <w:sz w:val="20"/>
                <w:highlight w:val="none"/>
              </w:rPr>
              <w:t>故障时4小时内到现场处理，故障平均修复时间为8小时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vMerge w:val="restart"/>
            <w:noWrap w:val="0"/>
            <w:vAlign w:val="center"/>
          </w:tcPr>
          <w:p>
            <w:pPr>
              <w:jc w:val="center"/>
              <w:rPr>
                <w:rFonts w:ascii="等线" w:hAnsi="等线"/>
                <w:sz w:val="20"/>
                <w:highlight w:val="none"/>
              </w:rPr>
            </w:pPr>
            <w:r>
              <w:rPr>
                <w:rFonts w:ascii="等线" w:hAnsi="等线"/>
                <w:sz w:val="20"/>
                <w:highlight w:val="none"/>
              </w:rPr>
              <w:t>19</w:t>
            </w:r>
          </w:p>
        </w:tc>
        <w:tc>
          <w:tcPr>
            <w:tcW w:w="2090" w:type="pct"/>
            <w:gridSpan w:val="3"/>
            <w:vMerge w:val="restart"/>
            <w:noWrap w:val="0"/>
            <w:vAlign w:val="center"/>
          </w:tcPr>
          <w:p>
            <w:pPr>
              <w:ind w:right="3"/>
              <w:jc w:val="center"/>
              <w:rPr>
                <w:rFonts w:ascii="等线" w:hAnsi="等线"/>
                <w:sz w:val="20"/>
                <w:highlight w:val="none"/>
                <w:lang w:eastAsia="en-US"/>
              </w:rPr>
            </w:pPr>
            <w:r>
              <w:rPr>
                <w:rFonts w:hint="eastAsia" w:ascii="等线" w:hAnsi="等线"/>
                <w:sz w:val="20"/>
                <w:highlight w:val="none"/>
              </w:rPr>
              <w:t>质保期</w:t>
            </w:r>
          </w:p>
        </w:tc>
        <w:tc>
          <w:tcPr>
            <w:tcW w:w="2664" w:type="pct"/>
            <w:noWrap w:val="0"/>
            <w:vAlign w:val="center"/>
          </w:tcPr>
          <w:p>
            <w:pPr>
              <w:ind w:left="16"/>
              <w:jc w:val="center"/>
              <w:rPr>
                <w:rFonts w:ascii="宋体" w:hAnsi="宋体" w:cs="宋体"/>
                <w:sz w:val="20"/>
                <w:highlight w:val="none"/>
              </w:rPr>
            </w:pPr>
            <w:r>
              <w:rPr>
                <w:rFonts w:hint="eastAsia" w:ascii="宋体" w:hAnsi="宋体" w:cs="宋体"/>
                <w:sz w:val="20"/>
                <w:highlight w:val="none"/>
              </w:rPr>
              <w:t>整机调试合格之日起免费维保二年。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246" w:type="pct"/>
            <w:vMerge w:val="continue"/>
            <w:noWrap w:val="0"/>
            <w:vAlign w:val="top"/>
          </w:tcPr>
          <w:p>
            <w:pPr>
              <w:jc w:val="center"/>
              <w:rPr>
                <w:rFonts w:ascii="等线" w:hAnsi="等线"/>
                <w:highlight w:val="none"/>
              </w:rPr>
            </w:pPr>
          </w:p>
        </w:tc>
        <w:tc>
          <w:tcPr>
            <w:tcW w:w="2090" w:type="pct"/>
            <w:gridSpan w:val="3"/>
            <w:vMerge w:val="continue"/>
            <w:noWrap w:val="0"/>
            <w:vAlign w:val="top"/>
          </w:tcPr>
          <w:p>
            <w:pPr>
              <w:jc w:val="center"/>
              <w:rPr>
                <w:rFonts w:ascii="等线" w:hAnsi="等线"/>
                <w:highlight w:val="none"/>
              </w:rPr>
            </w:pPr>
          </w:p>
        </w:tc>
        <w:tc>
          <w:tcPr>
            <w:tcW w:w="2664" w:type="pct"/>
            <w:noWrap w:val="0"/>
            <w:vAlign w:val="top"/>
          </w:tcPr>
          <w:p>
            <w:pPr>
              <w:spacing w:before="79"/>
              <w:ind w:left="16" w:right="21"/>
              <w:jc w:val="center"/>
              <w:rPr>
                <w:rFonts w:ascii="宋体" w:hAnsi="宋体" w:cs="宋体"/>
                <w:sz w:val="20"/>
                <w:highlight w:val="none"/>
              </w:rPr>
            </w:pPr>
            <w:r>
              <w:rPr>
                <w:rFonts w:hint="eastAsia" w:ascii="宋体" w:hAnsi="宋体" w:cs="宋体"/>
                <w:sz w:val="20"/>
                <w:highlight w:val="none"/>
              </w:rPr>
              <w:t>整机质保期内免费更换冷冻机油一次；免费更换全部油过滤器。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246" w:type="pct"/>
            <w:vMerge w:val="continue"/>
            <w:noWrap w:val="0"/>
            <w:vAlign w:val="top"/>
          </w:tcPr>
          <w:p>
            <w:pPr>
              <w:jc w:val="center"/>
              <w:rPr>
                <w:rFonts w:ascii="等线" w:hAnsi="等线"/>
                <w:highlight w:val="none"/>
              </w:rPr>
            </w:pPr>
          </w:p>
        </w:tc>
        <w:tc>
          <w:tcPr>
            <w:tcW w:w="2090" w:type="pct"/>
            <w:gridSpan w:val="3"/>
            <w:vMerge w:val="continue"/>
            <w:noWrap w:val="0"/>
            <w:vAlign w:val="top"/>
          </w:tcPr>
          <w:p>
            <w:pPr>
              <w:jc w:val="center"/>
              <w:rPr>
                <w:rFonts w:ascii="等线" w:hAnsi="等线"/>
                <w:highlight w:val="none"/>
              </w:rPr>
            </w:pPr>
          </w:p>
        </w:tc>
        <w:tc>
          <w:tcPr>
            <w:tcW w:w="2664" w:type="pct"/>
            <w:noWrap w:val="0"/>
            <w:vAlign w:val="top"/>
          </w:tcPr>
          <w:p>
            <w:pPr>
              <w:ind w:left="16"/>
              <w:jc w:val="center"/>
              <w:rPr>
                <w:rFonts w:ascii="等线" w:hAnsi="等线"/>
                <w:sz w:val="20"/>
                <w:highlight w:val="none"/>
              </w:rPr>
            </w:pPr>
            <w:r>
              <w:rPr>
                <w:rFonts w:hint="eastAsia" w:ascii="等线" w:hAnsi="等线"/>
                <w:sz w:val="20"/>
                <w:highlight w:val="none"/>
              </w:rPr>
              <w:t>压缩机、电机、机载微电脑自调试合格之日起免费维保，质保二年。</w:t>
            </w:r>
          </w:p>
        </w:tc>
      </w:tr>
    </w:tbl>
    <w:p>
      <w:pPr>
        <w:rPr>
          <w:rFonts w:ascii="宋体" w:hAnsi="宋体"/>
          <w:spacing w:val="10"/>
          <w:sz w:val="28"/>
          <w:szCs w:val="28"/>
          <w:highlight w:val="none"/>
        </w:rPr>
      </w:pPr>
      <w:r>
        <w:rPr>
          <w:rFonts w:hint="eastAsia" w:ascii="宋体" w:hAnsi="宋体"/>
          <w:spacing w:val="10"/>
          <w:sz w:val="28"/>
          <w:szCs w:val="28"/>
          <w:highlight w:val="none"/>
        </w:rPr>
        <w:t>2.1.3.2800RT双工况离心式冷水机组技术要求：</w:t>
      </w:r>
    </w:p>
    <w:tbl>
      <w:tblPr>
        <w:tblStyle w:val="16"/>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3"/>
        <w:gridCol w:w="840"/>
        <w:gridCol w:w="167"/>
        <w:gridCol w:w="2651"/>
        <w:gridCol w:w="5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58" w:type="pct"/>
            <w:vMerge w:val="restart"/>
            <w:noWrap w:val="0"/>
            <w:vAlign w:val="center"/>
          </w:tcPr>
          <w:p>
            <w:pPr>
              <w:spacing w:before="153"/>
              <w:ind w:left="104" w:right="103"/>
              <w:jc w:val="center"/>
              <w:rPr>
                <w:rFonts w:ascii="等线" w:hAnsi="等线"/>
                <w:sz w:val="20"/>
                <w:highlight w:val="none"/>
                <w:lang w:eastAsia="en-US"/>
              </w:rPr>
            </w:pPr>
            <w:r>
              <w:rPr>
                <w:rFonts w:hint="eastAsia" w:ascii="等线" w:hAnsi="等线"/>
                <w:sz w:val="20"/>
                <w:highlight w:val="none"/>
              </w:rPr>
              <w:t>序号</w:t>
            </w:r>
          </w:p>
        </w:tc>
        <w:tc>
          <w:tcPr>
            <w:tcW w:w="1955" w:type="pct"/>
            <w:gridSpan w:val="3"/>
            <w:vMerge w:val="restart"/>
            <w:noWrap w:val="0"/>
            <w:vAlign w:val="center"/>
          </w:tcPr>
          <w:p>
            <w:pPr>
              <w:tabs>
                <w:tab w:val="left" w:pos="1806"/>
              </w:tabs>
              <w:spacing w:before="19"/>
              <w:ind w:left="767"/>
              <w:jc w:val="left"/>
              <w:rPr>
                <w:rFonts w:ascii="等线" w:hAnsi="等线"/>
                <w:sz w:val="20"/>
                <w:highlight w:val="none"/>
                <w:lang w:eastAsia="en-US"/>
              </w:rPr>
            </w:pPr>
            <w:r>
              <w:rPr>
                <w:rFonts w:hint="eastAsia" w:ascii="等线" w:hAnsi="等线"/>
                <w:sz w:val="20"/>
                <w:highlight w:val="none"/>
              </w:rPr>
              <w:t>项</w:t>
            </w:r>
            <w:r>
              <w:rPr>
                <w:rFonts w:ascii="等线" w:hAnsi="等线"/>
                <w:sz w:val="20"/>
                <w:highlight w:val="none"/>
              </w:rPr>
              <w:tab/>
            </w:r>
            <w:r>
              <w:rPr>
                <w:rFonts w:hint="eastAsia" w:ascii="等线" w:hAnsi="等线"/>
                <w:sz w:val="20"/>
                <w:highlight w:val="none"/>
              </w:rPr>
              <w:t>目</w:t>
            </w:r>
          </w:p>
        </w:tc>
        <w:tc>
          <w:tcPr>
            <w:tcW w:w="2785" w:type="pct"/>
            <w:vMerge w:val="restart"/>
            <w:noWrap w:val="0"/>
            <w:vAlign w:val="center"/>
          </w:tcPr>
          <w:p>
            <w:pPr>
              <w:tabs>
                <w:tab w:val="left" w:pos="1728"/>
                <w:tab w:val="left" w:pos="2508"/>
                <w:tab w:val="left" w:pos="3290"/>
              </w:tabs>
              <w:spacing w:before="19"/>
              <w:ind w:left="133"/>
              <w:jc w:val="center"/>
              <w:rPr>
                <w:rFonts w:ascii="等线" w:hAnsi="等线"/>
                <w:b/>
                <w:bCs/>
                <w:sz w:val="20"/>
                <w:highlight w:val="none"/>
              </w:rPr>
            </w:pPr>
            <w:r>
              <w:rPr>
                <w:rFonts w:ascii="等线" w:hAnsi="等线"/>
                <w:b/>
                <w:bCs/>
                <w:sz w:val="20"/>
                <w:highlight w:val="none"/>
              </w:rPr>
              <w:t>28</w:t>
            </w:r>
            <w:r>
              <w:rPr>
                <w:rFonts w:hint="eastAsia" w:ascii="等线" w:hAnsi="等线"/>
                <w:b/>
                <w:bCs/>
                <w:sz w:val="20"/>
                <w:highlight w:val="none"/>
              </w:rPr>
              <w:t>00RT双工况离心式冷水机组</w:t>
            </w:r>
          </w:p>
          <w:p>
            <w:pPr>
              <w:tabs>
                <w:tab w:val="left" w:pos="1728"/>
                <w:tab w:val="left" w:pos="2508"/>
                <w:tab w:val="left" w:pos="3290"/>
              </w:tabs>
              <w:spacing w:before="19"/>
              <w:ind w:left="133"/>
              <w:jc w:val="center"/>
              <w:rPr>
                <w:rFonts w:ascii="等线" w:hAnsi="等线"/>
                <w:b/>
                <w:bCs/>
                <w:sz w:val="20"/>
                <w:highlight w:val="none"/>
              </w:rPr>
            </w:pPr>
            <w:r>
              <w:rPr>
                <w:rFonts w:hint="eastAsia" w:ascii="等线" w:hAnsi="等线"/>
                <w:b/>
                <w:bCs/>
                <w:sz w:val="20"/>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258" w:type="pct"/>
            <w:vMerge w:val="continue"/>
            <w:noWrap w:val="0"/>
            <w:vAlign w:val="center"/>
          </w:tcPr>
          <w:p>
            <w:pPr>
              <w:jc w:val="center"/>
              <w:rPr>
                <w:rFonts w:ascii="等线" w:hAnsi="等线"/>
                <w:highlight w:val="none"/>
              </w:rPr>
            </w:pPr>
          </w:p>
        </w:tc>
        <w:tc>
          <w:tcPr>
            <w:tcW w:w="1955" w:type="pct"/>
            <w:gridSpan w:val="3"/>
            <w:vMerge w:val="continue"/>
            <w:noWrap w:val="0"/>
            <w:vAlign w:val="center"/>
          </w:tcPr>
          <w:p>
            <w:pPr>
              <w:jc w:val="center"/>
              <w:rPr>
                <w:rFonts w:ascii="等线" w:hAnsi="等线"/>
                <w:highlight w:val="none"/>
              </w:rPr>
            </w:pPr>
          </w:p>
        </w:tc>
        <w:tc>
          <w:tcPr>
            <w:tcW w:w="2785" w:type="pct"/>
            <w:vMerge w:val="continue"/>
            <w:noWrap w:val="0"/>
            <w:vAlign w:val="center"/>
          </w:tcPr>
          <w:p>
            <w:pPr>
              <w:jc w:val="center"/>
              <w:rPr>
                <w:rFonts w:ascii="等线" w:hAnsi="等线"/>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8" w:type="pct"/>
            <w:noWrap w:val="0"/>
            <w:vAlign w:val="center"/>
          </w:tcPr>
          <w:p>
            <w:pPr>
              <w:jc w:val="center"/>
              <w:rPr>
                <w:rFonts w:ascii="等线" w:hAnsi="等线"/>
                <w:sz w:val="20"/>
                <w:highlight w:val="none"/>
                <w:lang w:eastAsia="en-US"/>
              </w:rPr>
            </w:pPr>
            <w:r>
              <w:rPr>
                <w:rFonts w:ascii="等线" w:hAnsi="等线"/>
                <w:w w:val="99"/>
                <w:sz w:val="20"/>
                <w:highlight w:val="none"/>
              </w:rPr>
              <w:t>1</w:t>
            </w:r>
          </w:p>
        </w:tc>
        <w:tc>
          <w:tcPr>
            <w:tcW w:w="1955" w:type="pct"/>
            <w:gridSpan w:val="3"/>
            <w:noWrap w:val="0"/>
            <w:vAlign w:val="center"/>
          </w:tcPr>
          <w:p>
            <w:pPr>
              <w:spacing w:before="14"/>
              <w:ind w:left="28"/>
              <w:jc w:val="center"/>
              <w:rPr>
                <w:rFonts w:ascii="等线" w:hAnsi="等线"/>
                <w:sz w:val="20"/>
                <w:highlight w:val="none"/>
                <w:lang w:eastAsia="en-US"/>
              </w:rPr>
            </w:pPr>
            <w:r>
              <w:rPr>
                <w:rFonts w:hint="eastAsia" w:ascii="等线" w:hAnsi="等线"/>
                <w:sz w:val="20"/>
                <w:highlight w:val="none"/>
              </w:rPr>
              <w:t>使用场所</w:t>
            </w:r>
          </w:p>
        </w:tc>
        <w:tc>
          <w:tcPr>
            <w:tcW w:w="2785" w:type="pct"/>
            <w:noWrap w:val="0"/>
            <w:vAlign w:val="center"/>
          </w:tcPr>
          <w:p>
            <w:pPr>
              <w:tabs>
                <w:tab w:val="left" w:pos="907"/>
                <w:tab w:val="left" w:pos="2008"/>
                <w:tab w:val="left" w:pos="3155"/>
              </w:tabs>
              <w:spacing w:before="14"/>
              <w:ind w:left="26"/>
              <w:jc w:val="center"/>
              <w:rPr>
                <w:rFonts w:ascii="宋体" w:hAnsi="宋体" w:cs="宋体"/>
                <w:sz w:val="20"/>
                <w:highlight w:val="none"/>
                <w:lang w:eastAsia="en-US"/>
              </w:rPr>
            </w:pPr>
            <w:r>
              <w:rPr>
                <w:rFonts w:hint="eastAsia" w:ascii="宋体" w:hAnsi="宋体" w:cs="宋体"/>
                <w:sz w:val="20"/>
                <w:highlight w:val="non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8" w:type="pct"/>
            <w:noWrap w:val="0"/>
            <w:vAlign w:val="center"/>
          </w:tcPr>
          <w:p>
            <w:pPr>
              <w:jc w:val="center"/>
              <w:rPr>
                <w:rFonts w:ascii="等线" w:hAnsi="等线"/>
                <w:w w:val="99"/>
                <w:sz w:val="20"/>
                <w:highlight w:val="none"/>
              </w:rPr>
            </w:pPr>
            <w:r>
              <w:rPr>
                <w:rFonts w:ascii="等线" w:hAnsi="等线"/>
                <w:w w:val="99"/>
                <w:sz w:val="20"/>
                <w:highlight w:val="none"/>
              </w:rPr>
              <w:t>2</w:t>
            </w:r>
          </w:p>
        </w:tc>
        <w:tc>
          <w:tcPr>
            <w:tcW w:w="1955" w:type="pct"/>
            <w:gridSpan w:val="3"/>
            <w:noWrap w:val="0"/>
            <w:vAlign w:val="center"/>
          </w:tcPr>
          <w:p>
            <w:pPr>
              <w:spacing w:before="14"/>
              <w:ind w:left="28"/>
              <w:jc w:val="center"/>
              <w:rPr>
                <w:rFonts w:ascii="等线" w:hAnsi="等线"/>
                <w:sz w:val="20"/>
                <w:highlight w:val="none"/>
              </w:rPr>
            </w:pPr>
            <w:r>
              <w:rPr>
                <w:rFonts w:hint="eastAsia" w:ascii="等线" w:hAnsi="等线"/>
                <w:sz w:val="20"/>
                <w:highlight w:val="none"/>
              </w:rPr>
              <w:t>数量</w:t>
            </w:r>
          </w:p>
        </w:tc>
        <w:tc>
          <w:tcPr>
            <w:tcW w:w="2785" w:type="pct"/>
            <w:noWrap w:val="0"/>
            <w:vAlign w:val="center"/>
          </w:tcPr>
          <w:p>
            <w:pPr>
              <w:tabs>
                <w:tab w:val="left" w:pos="907"/>
                <w:tab w:val="left" w:pos="2008"/>
                <w:tab w:val="left" w:pos="3155"/>
              </w:tabs>
              <w:spacing w:before="14"/>
              <w:ind w:left="26"/>
              <w:jc w:val="center"/>
              <w:rPr>
                <w:rFonts w:ascii="宋体" w:hAnsi="宋体" w:cs="宋体"/>
                <w:sz w:val="20"/>
                <w:highlight w:val="none"/>
              </w:rPr>
            </w:pPr>
            <w:r>
              <w:rPr>
                <w:rFonts w:hint="eastAsia" w:ascii="宋体" w:hAnsi="宋体" w:cs="宋体"/>
                <w:sz w:val="20"/>
                <w:highlight w:val="none"/>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258" w:type="pct"/>
            <w:vMerge w:val="restart"/>
            <w:noWrap w:val="0"/>
            <w:vAlign w:val="center"/>
          </w:tcPr>
          <w:p>
            <w:pPr>
              <w:jc w:val="center"/>
              <w:rPr>
                <w:rFonts w:ascii="等线" w:hAnsi="等线"/>
                <w:sz w:val="20"/>
                <w:highlight w:val="none"/>
                <w:lang w:eastAsia="en-US"/>
              </w:rPr>
            </w:pPr>
            <w:r>
              <w:rPr>
                <w:rFonts w:ascii="等线" w:hAnsi="等线"/>
                <w:w w:val="99"/>
                <w:sz w:val="20"/>
                <w:highlight w:val="none"/>
              </w:rPr>
              <w:t>3</w:t>
            </w:r>
          </w:p>
        </w:tc>
        <w:tc>
          <w:tcPr>
            <w:tcW w:w="449" w:type="pct"/>
            <w:vMerge w:val="restart"/>
            <w:noWrap w:val="0"/>
            <w:vAlign w:val="center"/>
          </w:tcPr>
          <w:p>
            <w:pPr>
              <w:spacing w:before="240"/>
              <w:ind w:right="18"/>
              <w:jc w:val="center"/>
              <w:rPr>
                <w:rFonts w:ascii="等线" w:hAnsi="等线"/>
                <w:sz w:val="20"/>
                <w:highlight w:val="none"/>
                <w:lang w:eastAsia="en-US"/>
              </w:rPr>
            </w:pPr>
            <w:r>
              <w:rPr>
                <w:rFonts w:hint="eastAsia" w:ascii="等线" w:hAnsi="等线"/>
                <w:sz w:val="20"/>
                <w:highlight w:val="none"/>
              </w:rPr>
              <w:t>制冷参数</w:t>
            </w: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冷冻水进</w:t>
            </w:r>
            <w:r>
              <w:rPr>
                <w:rFonts w:ascii="等线" w:hAnsi="等线"/>
                <w:sz w:val="20"/>
                <w:highlight w:val="none"/>
              </w:rPr>
              <w:t>/</w:t>
            </w:r>
            <w:r>
              <w:rPr>
                <w:rFonts w:hint="eastAsia" w:ascii="等线" w:hAnsi="等线"/>
                <w:sz w:val="20"/>
                <w:highlight w:val="none"/>
              </w:rPr>
              <w:t>出水温度</w:t>
            </w:r>
          </w:p>
        </w:tc>
        <w:tc>
          <w:tcPr>
            <w:tcW w:w="2785" w:type="pct"/>
            <w:noWrap w:val="0"/>
            <w:vAlign w:val="center"/>
          </w:tcPr>
          <w:p>
            <w:pPr>
              <w:spacing w:before="84"/>
              <w:ind w:left="26"/>
              <w:jc w:val="center"/>
              <w:rPr>
                <w:rFonts w:ascii="宋体" w:hAnsi="宋体" w:cs="宋体"/>
                <w:sz w:val="20"/>
                <w:highlight w:val="none"/>
              </w:rPr>
            </w:pPr>
            <w:r>
              <w:rPr>
                <w:rFonts w:hint="eastAsia" w:ascii="宋体" w:hAnsi="宋体" w:cs="宋体"/>
                <w:sz w:val="20"/>
                <w:highlight w:val="none"/>
              </w:rPr>
              <w:t>运行工况：13℃/6℃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b/>
                <w:bCs/>
                <w:sz w:val="20"/>
                <w:highlight w:val="none"/>
              </w:rPr>
            </w:pPr>
            <w:r>
              <w:rPr>
                <w:rFonts w:hint="eastAsia" w:ascii="等线" w:hAnsi="等线"/>
                <w:bCs/>
                <w:color w:val="000000"/>
                <w:sz w:val="20"/>
                <w:highlight w:val="none"/>
              </w:rPr>
              <w:t>蒸发器污垢系数</w:t>
            </w:r>
          </w:p>
        </w:tc>
        <w:tc>
          <w:tcPr>
            <w:tcW w:w="2785" w:type="pct"/>
            <w:noWrap w:val="0"/>
            <w:vAlign w:val="center"/>
          </w:tcPr>
          <w:p>
            <w:pPr>
              <w:tabs>
                <w:tab w:val="left" w:pos="1084"/>
              </w:tabs>
              <w:ind w:right="65"/>
              <w:jc w:val="center"/>
              <w:rPr>
                <w:rFonts w:ascii="宋体" w:hAnsi="宋体" w:cs="宋体"/>
                <w:sz w:val="20"/>
                <w:highlight w:val="none"/>
              </w:rPr>
            </w:pPr>
            <w:r>
              <w:rPr>
                <w:rFonts w:hint="eastAsia" w:ascii="宋体" w:hAnsi="宋体" w:cs="宋体"/>
                <w:bCs/>
                <w:color w:val="000000"/>
                <w:sz w:val="20"/>
                <w:highlight w:val="none"/>
              </w:rPr>
              <w:t>≤0.0176㎡·K/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冷却水进</w:t>
            </w:r>
            <w:r>
              <w:rPr>
                <w:rFonts w:ascii="等线" w:hAnsi="等线"/>
                <w:sz w:val="20"/>
                <w:highlight w:val="none"/>
              </w:rPr>
              <w:t>/</w:t>
            </w:r>
            <w:r>
              <w:rPr>
                <w:rFonts w:hint="eastAsia" w:ascii="等线" w:hAnsi="等线"/>
                <w:sz w:val="20"/>
                <w:highlight w:val="none"/>
              </w:rPr>
              <w:t>出水温度</w:t>
            </w:r>
          </w:p>
        </w:tc>
        <w:tc>
          <w:tcPr>
            <w:tcW w:w="2785" w:type="pct"/>
            <w:noWrap w:val="0"/>
            <w:vAlign w:val="center"/>
          </w:tcPr>
          <w:p>
            <w:pPr>
              <w:tabs>
                <w:tab w:val="left" w:pos="1084"/>
              </w:tabs>
              <w:ind w:right="65"/>
              <w:jc w:val="center"/>
              <w:rPr>
                <w:rFonts w:ascii="宋体" w:hAnsi="宋体" w:cs="宋体"/>
                <w:sz w:val="20"/>
                <w:highlight w:val="none"/>
              </w:rPr>
            </w:pPr>
            <w:r>
              <w:rPr>
                <w:rFonts w:hint="eastAsia" w:ascii="宋体" w:hAnsi="宋体" w:cs="宋体"/>
                <w:sz w:val="20"/>
                <w:highlight w:val="none"/>
              </w:rPr>
              <w:t>运行工况：32℃/37℃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冷凝器污垢系数</w:t>
            </w:r>
          </w:p>
        </w:tc>
        <w:tc>
          <w:tcPr>
            <w:tcW w:w="2785" w:type="pct"/>
            <w:noWrap w:val="0"/>
            <w:vAlign w:val="center"/>
          </w:tcPr>
          <w:p>
            <w:pPr>
              <w:spacing w:before="41"/>
              <w:ind w:left="26"/>
              <w:jc w:val="center"/>
              <w:rPr>
                <w:rFonts w:ascii="宋体" w:hAnsi="宋体" w:cs="宋体"/>
                <w:sz w:val="20"/>
                <w:highlight w:val="none"/>
              </w:rPr>
            </w:pPr>
            <w:r>
              <w:rPr>
                <w:rFonts w:hint="eastAsia" w:ascii="宋体" w:hAnsi="宋体" w:cs="宋体"/>
                <w:bCs/>
                <w:color w:val="000000"/>
                <w:sz w:val="20"/>
                <w:highlight w:val="none"/>
              </w:rPr>
              <w:t>≤0.0440㎡·K/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蒸发器压降</w:t>
            </w:r>
          </w:p>
        </w:tc>
        <w:tc>
          <w:tcPr>
            <w:tcW w:w="2785" w:type="pct"/>
            <w:noWrap w:val="0"/>
            <w:vAlign w:val="center"/>
          </w:tcPr>
          <w:p>
            <w:pPr>
              <w:tabs>
                <w:tab w:val="left" w:pos="628"/>
              </w:tabs>
              <w:spacing w:before="70"/>
              <w:ind w:left="26"/>
              <w:jc w:val="center"/>
              <w:rPr>
                <w:rFonts w:ascii="宋体" w:hAnsi="宋体" w:cs="宋体"/>
                <w:sz w:val="20"/>
                <w:highlight w:val="none"/>
                <w:lang w:eastAsia="en-US"/>
              </w:rPr>
            </w:pPr>
            <w:r>
              <w:rPr>
                <w:rFonts w:hint="eastAsia" w:ascii="宋体" w:hAnsi="宋体" w:cs="宋体"/>
                <w:bCs/>
                <w:color w:val="000000"/>
                <w:sz w:val="20"/>
                <w:highlight w:val="none"/>
              </w:rPr>
              <w:t>≤54</w:t>
            </w:r>
            <w:r>
              <w:rPr>
                <w:rFonts w:hint="eastAsia" w:ascii="宋体" w:hAnsi="宋体" w:cs="宋体"/>
                <w:position w:val="1"/>
                <w:sz w:val="20"/>
                <w:highlight w:val="none"/>
              </w:rPr>
              <w:t>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冷凝器压降</w:t>
            </w:r>
          </w:p>
        </w:tc>
        <w:tc>
          <w:tcPr>
            <w:tcW w:w="2785" w:type="pct"/>
            <w:noWrap w:val="0"/>
            <w:vAlign w:val="center"/>
          </w:tcPr>
          <w:p>
            <w:pPr>
              <w:tabs>
                <w:tab w:val="left" w:pos="628"/>
              </w:tabs>
              <w:spacing w:before="70"/>
              <w:jc w:val="center"/>
              <w:rPr>
                <w:rFonts w:ascii="宋体" w:hAnsi="宋体" w:cs="宋体"/>
                <w:sz w:val="20"/>
                <w:highlight w:val="none"/>
                <w:lang w:eastAsia="en-US"/>
              </w:rPr>
            </w:pPr>
            <w:r>
              <w:rPr>
                <w:rFonts w:hint="eastAsia" w:ascii="宋体" w:hAnsi="宋体" w:cs="宋体"/>
                <w:bCs/>
                <w:color w:val="000000"/>
                <w:sz w:val="20"/>
                <w:highlight w:val="none"/>
              </w:rPr>
              <w:t>≤75</w:t>
            </w:r>
            <w:r>
              <w:rPr>
                <w:rFonts w:hint="eastAsia" w:ascii="宋体" w:hAnsi="宋体" w:cs="宋体"/>
                <w:position w:val="1"/>
                <w:sz w:val="20"/>
                <w:highlight w:val="none"/>
              </w:rPr>
              <w:t>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运行模式</w:t>
            </w:r>
          </w:p>
        </w:tc>
        <w:tc>
          <w:tcPr>
            <w:tcW w:w="2785" w:type="pct"/>
            <w:noWrap w:val="0"/>
            <w:vAlign w:val="center"/>
          </w:tcPr>
          <w:p>
            <w:pPr>
              <w:tabs>
                <w:tab w:val="left" w:pos="628"/>
              </w:tabs>
              <w:spacing w:before="70"/>
              <w:jc w:val="center"/>
              <w:rPr>
                <w:rFonts w:ascii="宋体" w:hAnsi="宋体" w:cs="宋体"/>
                <w:sz w:val="20"/>
                <w:highlight w:val="none"/>
              </w:rPr>
            </w:pPr>
            <w:r>
              <w:rPr>
                <w:rFonts w:hint="eastAsia" w:ascii="宋体" w:hAnsi="宋体" w:cs="宋体"/>
                <w:sz w:val="20"/>
                <w:highlight w:val="none"/>
              </w:rPr>
              <w:t>一年365天，24小时运行。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冷凝器清洗功能</w:t>
            </w:r>
          </w:p>
        </w:tc>
        <w:tc>
          <w:tcPr>
            <w:tcW w:w="2785" w:type="pct"/>
            <w:noWrap w:val="0"/>
            <w:vAlign w:val="center"/>
          </w:tcPr>
          <w:p>
            <w:pPr>
              <w:tabs>
                <w:tab w:val="left" w:pos="628"/>
              </w:tabs>
              <w:spacing w:before="70"/>
              <w:jc w:val="center"/>
              <w:rPr>
                <w:rFonts w:ascii="宋体" w:hAnsi="宋体" w:cs="宋体"/>
                <w:sz w:val="20"/>
                <w:highlight w:val="none"/>
              </w:rPr>
            </w:pPr>
            <w:r>
              <w:rPr>
                <w:rFonts w:hint="eastAsia" w:ascii="宋体" w:hAnsi="宋体" w:cs="宋体"/>
                <w:sz w:val="20"/>
                <w:highlight w:val="none"/>
              </w:rPr>
              <w:t>冷凝器自动在线清洗装置的胶球顺利走完冷凝器全管程，不卡球。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8" w:type="pct"/>
            <w:vMerge w:val="restart"/>
            <w:noWrap w:val="0"/>
            <w:vAlign w:val="center"/>
          </w:tcPr>
          <w:p>
            <w:pPr>
              <w:jc w:val="center"/>
              <w:rPr>
                <w:rFonts w:ascii="等线" w:hAnsi="等线"/>
                <w:w w:val="99"/>
                <w:sz w:val="20"/>
                <w:highlight w:val="none"/>
              </w:rPr>
            </w:pPr>
            <w:r>
              <w:rPr>
                <w:rFonts w:ascii="等线" w:hAnsi="等线"/>
                <w:w w:val="99"/>
                <w:sz w:val="20"/>
                <w:highlight w:val="none"/>
              </w:rPr>
              <w:t>4</w:t>
            </w:r>
          </w:p>
        </w:tc>
        <w:tc>
          <w:tcPr>
            <w:tcW w:w="449" w:type="pct"/>
            <w:vMerge w:val="restart"/>
            <w:noWrap w:val="0"/>
            <w:vAlign w:val="center"/>
          </w:tcPr>
          <w:p>
            <w:pPr>
              <w:jc w:val="center"/>
              <w:rPr>
                <w:rFonts w:ascii="等线" w:hAnsi="等线"/>
                <w:sz w:val="20"/>
                <w:highlight w:val="none"/>
              </w:rPr>
            </w:pPr>
            <w:r>
              <w:rPr>
                <w:rFonts w:hint="eastAsia" w:ascii="等线" w:hAnsi="等线"/>
                <w:sz w:val="20"/>
                <w:highlight w:val="none"/>
              </w:rPr>
              <w:t>能耗</w:t>
            </w:r>
          </w:p>
        </w:tc>
        <w:tc>
          <w:tcPr>
            <w:tcW w:w="1506"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制冷量</w:t>
            </w:r>
            <w:r>
              <w:rPr>
                <w:rFonts w:ascii="等线" w:hAnsi="等线"/>
                <w:sz w:val="20"/>
                <w:highlight w:val="none"/>
              </w:rPr>
              <w:t>(</w:t>
            </w:r>
            <w:r>
              <w:rPr>
                <w:rFonts w:hint="eastAsia" w:ascii="等线" w:hAnsi="等线" w:cs="等线"/>
                <w:sz w:val="20"/>
                <w:highlight w:val="none"/>
              </w:rPr>
              <w:t>国标工况</w:t>
            </w:r>
            <w:r>
              <w:rPr>
                <w:rFonts w:ascii="等线" w:hAnsi="等线" w:cs="等线"/>
                <w:sz w:val="20"/>
                <w:highlight w:val="none"/>
              </w:rPr>
              <w:t>)</w:t>
            </w:r>
          </w:p>
        </w:tc>
        <w:tc>
          <w:tcPr>
            <w:tcW w:w="2785" w:type="pct"/>
            <w:noWrap w:val="0"/>
            <w:vAlign w:val="center"/>
          </w:tcPr>
          <w:p>
            <w:pPr>
              <w:tabs>
                <w:tab w:val="left" w:pos="1070"/>
              </w:tabs>
              <w:spacing w:before="14"/>
              <w:ind w:left="-140"/>
              <w:jc w:val="center"/>
              <w:rPr>
                <w:rFonts w:ascii="宋体" w:hAnsi="宋体" w:cs="宋体"/>
                <w:sz w:val="20"/>
                <w:highlight w:val="none"/>
                <w:u w:val="single"/>
              </w:rPr>
            </w:pPr>
            <w:r>
              <w:rPr>
                <w:rFonts w:hint="eastAsia" w:ascii="宋体" w:hAnsi="宋体" w:cs="宋体"/>
                <w:sz w:val="20"/>
                <w:highlight w:val="none"/>
              </w:rPr>
              <w:t>≥9846kw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sz w:val="22"/>
                <w:highlight w:val="none"/>
                <w:lang w:eastAsia="en-US"/>
              </w:rPr>
              <w:t>空调</w:t>
            </w:r>
            <w:r>
              <w:rPr>
                <w:rFonts w:hint="eastAsia"/>
                <w:sz w:val="22"/>
                <w:highlight w:val="none"/>
              </w:rPr>
              <w:t>制冷</w:t>
            </w:r>
            <w:r>
              <w:rPr>
                <w:rFonts w:hint="eastAsia"/>
                <w:sz w:val="22"/>
                <w:highlight w:val="none"/>
                <w:lang w:eastAsia="en-US"/>
              </w:rPr>
              <w:t>工况</w:t>
            </w:r>
          </w:p>
        </w:tc>
        <w:tc>
          <w:tcPr>
            <w:tcW w:w="2785" w:type="pct"/>
            <w:noWrap w:val="0"/>
            <w:vAlign w:val="center"/>
          </w:tcPr>
          <w:p>
            <w:pPr>
              <w:spacing w:before="14"/>
              <w:ind w:left="26"/>
              <w:jc w:val="center"/>
              <w:rPr>
                <w:rFonts w:ascii="宋体" w:hAnsi="宋体" w:cs="宋体"/>
                <w:sz w:val="20"/>
                <w:highlight w:val="none"/>
              </w:rPr>
            </w:pPr>
            <w:r>
              <w:rPr>
                <w:rFonts w:hint="eastAsia" w:ascii="宋体" w:hAnsi="宋体" w:cs="宋体"/>
                <w:sz w:val="20"/>
                <w:highlight w:val="none"/>
              </w:rPr>
              <w:t>国标工况：COP≥5.93</w:t>
            </w:r>
            <w:r>
              <w:rPr>
                <w:rFonts w:hint="eastAsia" w:ascii="宋体" w:hAnsi="宋体" w:cs="宋体"/>
                <w:sz w:val="22"/>
                <w:szCs w:val="21"/>
                <w:highlight w:val="none"/>
              </w:rPr>
              <w:t>（冷冻水进出口温度13/6℃，冷却水进出口温度32/37℃）</w:t>
            </w:r>
            <w:r>
              <w:rPr>
                <w:rFonts w:hint="eastAsia" w:ascii="宋体" w:hAnsi="宋体" w:cs="宋体"/>
                <w:sz w:val="20"/>
                <w:highlight w:val="none"/>
              </w:rPr>
              <w:t>；COP满足国家标准一级能效及以上。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rPr>
            </w:pPr>
            <w:r>
              <w:rPr>
                <w:rFonts w:hint="eastAsia"/>
                <w:sz w:val="22"/>
                <w:highlight w:val="none"/>
                <w:lang w:eastAsia="en-US"/>
              </w:rPr>
              <w:t>蓄冷工况</w:t>
            </w:r>
            <w:r>
              <w:rPr>
                <w:rFonts w:hint="eastAsia" w:ascii="等线" w:hAnsi="等线"/>
                <w:sz w:val="20"/>
                <w:highlight w:val="none"/>
              </w:rPr>
              <w:t>制冷量</w:t>
            </w:r>
          </w:p>
        </w:tc>
        <w:tc>
          <w:tcPr>
            <w:tcW w:w="2785" w:type="pct"/>
            <w:noWrap w:val="0"/>
            <w:vAlign w:val="center"/>
          </w:tcPr>
          <w:p>
            <w:pPr>
              <w:tabs>
                <w:tab w:val="left" w:pos="984"/>
              </w:tabs>
              <w:spacing w:before="14"/>
              <w:ind w:left="25" w:leftChars="12"/>
              <w:jc w:val="center"/>
              <w:rPr>
                <w:rFonts w:ascii="宋体" w:hAnsi="宋体" w:cs="宋体"/>
                <w:sz w:val="20"/>
                <w:highlight w:val="none"/>
              </w:rPr>
            </w:pPr>
            <w:r>
              <w:rPr>
                <w:rFonts w:hint="eastAsia" w:ascii="宋体" w:hAnsi="宋体" w:cs="宋体"/>
                <w:sz w:val="20"/>
                <w:highlight w:val="none"/>
              </w:rPr>
              <w:t>≥9142kw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258" w:type="pct"/>
            <w:vMerge w:val="continue"/>
            <w:noWrap w:val="0"/>
            <w:vAlign w:val="center"/>
          </w:tcPr>
          <w:p>
            <w:pPr>
              <w:tabs>
                <w:tab w:val="left" w:pos="984"/>
              </w:tabs>
              <w:spacing w:before="14"/>
              <w:ind w:left="25" w:leftChars="12"/>
              <w:jc w:val="center"/>
              <w:rPr>
                <w:sz w:val="22"/>
                <w:highlight w:val="none"/>
                <w:lang w:eastAsia="en-US"/>
              </w:rPr>
            </w:pPr>
          </w:p>
        </w:tc>
        <w:tc>
          <w:tcPr>
            <w:tcW w:w="449" w:type="pct"/>
            <w:vMerge w:val="continue"/>
            <w:noWrap w:val="0"/>
            <w:vAlign w:val="center"/>
          </w:tcPr>
          <w:p>
            <w:pPr>
              <w:tabs>
                <w:tab w:val="left" w:pos="984"/>
              </w:tabs>
              <w:spacing w:before="14"/>
              <w:ind w:left="25" w:leftChars="12"/>
              <w:jc w:val="center"/>
              <w:rPr>
                <w:sz w:val="22"/>
                <w:highlight w:val="none"/>
                <w:lang w:eastAsia="en-US"/>
              </w:rPr>
            </w:pPr>
          </w:p>
        </w:tc>
        <w:tc>
          <w:tcPr>
            <w:tcW w:w="1506" w:type="pct"/>
            <w:gridSpan w:val="2"/>
            <w:noWrap w:val="0"/>
            <w:vAlign w:val="center"/>
          </w:tcPr>
          <w:p>
            <w:pPr>
              <w:spacing w:before="14"/>
              <w:ind w:left="24"/>
              <w:jc w:val="center"/>
              <w:rPr>
                <w:rFonts w:ascii="等线" w:hAnsi="等线" w:eastAsia="等线"/>
                <w:sz w:val="20"/>
                <w:highlight w:val="none"/>
              </w:rPr>
            </w:pPr>
            <w:r>
              <w:rPr>
                <w:rFonts w:hint="eastAsia"/>
                <w:sz w:val="22"/>
                <w:highlight w:val="none"/>
              </w:rPr>
              <w:t>空调</w:t>
            </w:r>
            <w:r>
              <w:rPr>
                <w:rFonts w:hint="eastAsia"/>
                <w:sz w:val="22"/>
                <w:highlight w:val="none"/>
                <w:lang w:eastAsia="en-US"/>
              </w:rPr>
              <w:t>蓄冷工况</w:t>
            </w:r>
          </w:p>
        </w:tc>
        <w:tc>
          <w:tcPr>
            <w:tcW w:w="2785" w:type="pct"/>
            <w:noWrap w:val="0"/>
            <w:vAlign w:val="center"/>
          </w:tcPr>
          <w:p>
            <w:pPr>
              <w:tabs>
                <w:tab w:val="left" w:pos="984"/>
              </w:tabs>
              <w:spacing w:before="14"/>
              <w:ind w:left="25" w:leftChars="12"/>
              <w:jc w:val="center"/>
              <w:rPr>
                <w:rFonts w:ascii="宋体" w:hAnsi="宋体" w:cs="宋体"/>
                <w:sz w:val="20"/>
                <w:highlight w:val="none"/>
              </w:rPr>
            </w:pPr>
            <w:r>
              <w:rPr>
                <w:rFonts w:hint="eastAsia" w:ascii="宋体" w:hAnsi="宋体" w:cs="宋体"/>
                <w:sz w:val="22"/>
                <w:szCs w:val="21"/>
                <w:highlight w:val="none"/>
              </w:rPr>
              <w:t>COP≥5.62（冷冻水进出口温度13/4℃，冷却水进出口温度32/37℃），COP</w:t>
            </w:r>
            <w:r>
              <w:rPr>
                <w:rFonts w:hint="eastAsia" w:ascii="宋体" w:hAnsi="宋体" w:cs="宋体"/>
                <w:sz w:val="20"/>
                <w:highlight w:val="none"/>
              </w:rPr>
              <w:t>满足国家标准一级能效及以上。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8" w:type="pct"/>
            <w:vMerge w:val="restart"/>
            <w:noWrap w:val="0"/>
            <w:vAlign w:val="center"/>
          </w:tcPr>
          <w:p>
            <w:pPr>
              <w:jc w:val="center"/>
              <w:rPr>
                <w:rFonts w:ascii="等线" w:hAnsi="等线"/>
                <w:sz w:val="20"/>
                <w:highlight w:val="none"/>
              </w:rPr>
            </w:pPr>
            <w:r>
              <w:rPr>
                <w:rFonts w:hint="eastAsia" w:ascii="等线" w:hAnsi="等线"/>
                <w:sz w:val="20"/>
                <w:highlight w:val="none"/>
              </w:rPr>
              <w:t>5</w:t>
            </w:r>
          </w:p>
        </w:tc>
        <w:tc>
          <w:tcPr>
            <w:tcW w:w="449" w:type="pct"/>
            <w:vMerge w:val="restart"/>
            <w:noWrap w:val="0"/>
            <w:vAlign w:val="center"/>
          </w:tcPr>
          <w:p>
            <w:pPr>
              <w:spacing w:before="233"/>
              <w:ind w:left="28" w:right="18"/>
              <w:jc w:val="center"/>
              <w:rPr>
                <w:rFonts w:ascii="等线" w:hAnsi="等线"/>
                <w:sz w:val="20"/>
                <w:highlight w:val="none"/>
                <w:lang w:eastAsia="en-US"/>
              </w:rPr>
            </w:pPr>
            <w:r>
              <w:rPr>
                <w:rFonts w:hint="eastAsia" w:ascii="等线" w:hAnsi="等线"/>
                <w:sz w:val="20"/>
                <w:highlight w:val="none"/>
              </w:rPr>
              <w:t>噪声及振动</w:t>
            </w: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噪声值</w:t>
            </w:r>
          </w:p>
        </w:tc>
        <w:tc>
          <w:tcPr>
            <w:tcW w:w="2785" w:type="pct"/>
            <w:noWrap w:val="0"/>
            <w:vAlign w:val="center"/>
          </w:tcPr>
          <w:p>
            <w:pPr>
              <w:tabs>
                <w:tab w:val="left" w:pos="909"/>
              </w:tabs>
              <w:spacing w:before="14"/>
              <w:ind w:left="26"/>
              <w:jc w:val="center"/>
              <w:rPr>
                <w:rFonts w:ascii="宋体" w:hAnsi="宋体" w:cs="宋体"/>
                <w:sz w:val="20"/>
                <w:highlight w:val="none"/>
              </w:rPr>
            </w:pPr>
            <w:r>
              <w:rPr>
                <w:rFonts w:hint="eastAsia" w:ascii="宋体" w:hAnsi="宋体" w:cs="宋体"/>
                <w:sz w:val="20"/>
                <w:highlight w:val="none"/>
              </w:rPr>
              <w:t>≤</w:t>
            </w:r>
            <w:r>
              <w:rPr>
                <w:rFonts w:hint="eastAsia" w:ascii="宋体" w:hAnsi="宋体" w:cs="宋体"/>
                <w:sz w:val="20"/>
                <w:highlight w:val="none"/>
                <w:u w:val="single"/>
              </w:rPr>
              <w:t>85</w:t>
            </w:r>
            <w:r>
              <w:rPr>
                <w:rFonts w:hint="eastAsia" w:ascii="宋体" w:hAnsi="宋体" w:cs="宋体"/>
                <w:sz w:val="20"/>
                <w:highlight w:val="none"/>
              </w:rPr>
              <w:t>dBA，提供AHRI认证选型报告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振动值</w:t>
            </w:r>
          </w:p>
        </w:tc>
        <w:tc>
          <w:tcPr>
            <w:tcW w:w="2785" w:type="pct"/>
            <w:noWrap w:val="0"/>
            <w:vAlign w:val="center"/>
          </w:tcPr>
          <w:p>
            <w:pPr>
              <w:spacing w:before="21"/>
              <w:ind w:left="26"/>
              <w:jc w:val="center"/>
              <w:rPr>
                <w:rFonts w:ascii="宋体" w:hAnsi="宋体" w:cs="宋体"/>
                <w:sz w:val="20"/>
                <w:highlight w:val="none"/>
                <w:lang w:eastAsia="en-US"/>
              </w:rPr>
            </w:pPr>
            <w:r>
              <w:rPr>
                <w:rFonts w:hint="eastAsia" w:ascii="宋体" w:hAnsi="宋体" w:cs="宋体"/>
                <w:sz w:val="20"/>
                <w:highlight w:val="none"/>
              </w:rPr>
              <w:t>≤15μm/m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减振器型式</w:t>
            </w:r>
          </w:p>
        </w:tc>
        <w:tc>
          <w:tcPr>
            <w:tcW w:w="2785" w:type="pct"/>
            <w:noWrap w:val="0"/>
            <w:vAlign w:val="center"/>
          </w:tcPr>
          <w:p>
            <w:pPr>
              <w:spacing w:before="21"/>
              <w:ind w:left="26"/>
              <w:jc w:val="center"/>
              <w:rPr>
                <w:rFonts w:ascii="宋体" w:hAnsi="宋体" w:cs="宋体"/>
                <w:sz w:val="20"/>
                <w:highlight w:val="none"/>
              </w:rPr>
            </w:pPr>
            <w:r>
              <w:rPr>
                <w:rFonts w:hint="eastAsia" w:ascii="宋体" w:hAnsi="宋体" w:cs="宋体"/>
                <w:sz w:val="20"/>
                <w:highlight w:val="none"/>
              </w:rPr>
              <w:t>橡胶减振器或弹簧减震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258" w:type="pct"/>
            <w:noWrap w:val="0"/>
            <w:vAlign w:val="center"/>
          </w:tcPr>
          <w:p>
            <w:pPr>
              <w:spacing w:before="153"/>
              <w:jc w:val="center"/>
              <w:rPr>
                <w:rFonts w:ascii="等线" w:hAnsi="等线"/>
                <w:sz w:val="20"/>
                <w:highlight w:val="none"/>
                <w:lang w:eastAsia="en-US"/>
              </w:rPr>
            </w:pPr>
            <w:r>
              <w:rPr>
                <w:rFonts w:ascii="等线" w:hAnsi="等线"/>
                <w:w w:val="99"/>
                <w:sz w:val="20"/>
                <w:highlight w:val="none"/>
              </w:rPr>
              <w:t>6</w:t>
            </w:r>
          </w:p>
        </w:tc>
        <w:tc>
          <w:tcPr>
            <w:tcW w:w="449" w:type="pct"/>
            <w:noWrap w:val="0"/>
            <w:vAlign w:val="center"/>
          </w:tcPr>
          <w:p>
            <w:pPr>
              <w:spacing w:before="230"/>
              <w:ind w:left="138" w:right="128"/>
              <w:jc w:val="center"/>
              <w:rPr>
                <w:rFonts w:ascii="等线" w:hAnsi="等线"/>
                <w:sz w:val="20"/>
                <w:highlight w:val="none"/>
                <w:lang w:eastAsia="en-US"/>
              </w:rPr>
            </w:pPr>
            <w:r>
              <w:rPr>
                <w:rFonts w:hint="eastAsia" w:ascii="等线" w:hAnsi="等线"/>
                <w:sz w:val="20"/>
                <w:highlight w:val="none"/>
              </w:rPr>
              <w:t>冷媒</w:t>
            </w: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冷媒</w:t>
            </w:r>
          </w:p>
        </w:tc>
        <w:tc>
          <w:tcPr>
            <w:tcW w:w="2785" w:type="pct"/>
            <w:noWrap w:val="0"/>
            <w:vAlign w:val="center"/>
          </w:tcPr>
          <w:p>
            <w:pPr>
              <w:spacing w:before="14"/>
              <w:ind w:left="26"/>
              <w:jc w:val="center"/>
              <w:rPr>
                <w:rFonts w:ascii="宋体" w:hAnsi="宋体" w:cs="宋体"/>
                <w:sz w:val="20"/>
                <w:highlight w:val="none"/>
              </w:rPr>
            </w:pPr>
            <w:r>
              <w:rPr>
                <w:rFonts w:hint="eastAsia" w:ascii="宋体" w:hAnsi="宋体" w:cs="宋体"/>
                <w:sz w:val="20"/>
                <w:highlight w:val="none"/>
              </w:rPr>
              <w:t>R134a、R514a或R1233zd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58" w:type="pct"/>
            <w:vMerge w:val="restart"/>
            <w:noWrap w:val="0"/>
            <w:vAlign w:val="center"/>
          </w:tcPr>
          <w:p>
            <w:pPr>
              <w:jc w:val="center"/>
              <w:rPr>
                <w:rFonts w:ascii="等线" w:hAnsi="等线"/>
                <w:sz w:val="20"/>
                <w:highlight w:val="none"/>
                <w:lang w:eastAsia="en-US"/>
              </w:rPr>
            </w:pPr>
            <w:r>
              <w:rPr>
                <w:rFonts w:ascii="等线" w:hAnsi="等线"/>
                <w:sz w:val="20"/>
                <w:highlight w:val="none"/>
              </w:rPr>
              <w:t>7</w:t>
            </w:r>
          </w:p>
        </w:tc>
        <w:tc>
          <w:tcPr>
            <w:tcW w:w="449" w:type="pct"/>
            <w:vMerge w:val="restart"/>
            <w:noWrap w:val="0"/>
            <w:vAlign w:val="center"/>
          </w:tcPr>
          <w:p>
            <w:pPr>
              <w:spacing w:before="131" w:line="201" w:lineRule="auto"/>
              <w:ind w:left="124" w:right="117"/>
              <w:jc w:val="center"/>
              <w:rPr>
                <w:rFonts w:ascii="等线" w:hAnsi="等线"/>
                <w:sz w:val="20"/>
                <w:highlight w:val="none"/>
                <w:lang w:eastAsia="en-US"/>
              </w:rPr>
            </w:pPr>
            <w:r>
              <w:rPr>
                <w:rFonts w:hint="eastAsia" w:ascii="等线" w:hAnsi="等线"/>
                <w:sz w:val="20"/>
                <w:highlight w:val="none"/>
              </w:rPr>
              <w:t>能量调节</w:t>
            </w:r>
          </w:p>
        </w:tc>
        <w:tc>
          <w:tcPr>
            <w:tcW w:w="1506" w:type="pct"/>
            <w:gridSpan w:val="2"/>
            <w:noWrap w:val="0"/>
            <w:vAlign w:val="center"/>
          </w:tcPr>
          <w:p>
            <w:pPr>
              <w:spacing w:before="24" w:line="316" w:lineRule="exact"/>
              <w:ind w:left="28"/>
              <w:jc w:val="center"/>
              <w:rPr>
                <w:rFonts w:ascii="等线" w:hAnsi="等线"/>
                <w:sz w:val="20"/>
                <w:highlight w:val="none"/>
                <w:lang w:eastAsia="en-US"/>
              </w:rPr>
            </w:pPr>
            <w:r>
              <w:rPr>
                <w:rFonts w:hint="eastAsia" w:ascii="等线" w:hAnsi="等线"/>
                <w:sz w:val="20"/>
                <w:highlight w:val="none"/>
              </w:rPr>
              <w:t>调节机构</w:t>
            </w:r>
          </w:p>
        </w:tc>
        <w:tc>
          <w:tcPr>
            <w:tcW w:w="2785" w:type="pct"/>
            <w:noWrap w:val="0"/>
            <w:vAlign w:val="center"/>
          </w:tcPr>
          <w:p>
            <w:pPr>
              <w:spacing w:before="7" w:line="332" w:lineRule="exact"/>
              <w:ind w:left="29"/>
              <w:jc w:val="center"/>
              <w:rPr>
                <w:rFonts w:ascii="宋体" w:hAnsi="宋体" w:cs="宋体"/>
                <w:sz w:val="20"/>
                <w:highlight w:val="none"/>
              </w:rPr>
            </w:pPr>
            <w:r>
              <w:rPr>
                <w:rFonts w:hint="eastAsia" w:ascii="宋体" w:hAnsi="宋体" w:cs="宋体"/>
                <w:sz w:val="20"/>
                <w:highlight w:val="none"/>
              </w:rPr>
              <w:t>导流叶片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6" w:line="316" w:lineRule="exact"/>
              <w:ind w:left="28"/>
              <w:jc w:val="center"/>
              <w:rPr>
                <w:rFonts w:ascii="等线" w:hAnsi="等线"/>
                <w:sz w:val="20"/>
                <w:highlight w:val="none"/>
                <w:lang w:eastAsia="en-US"/>
              </w:rPr>
            </w:pPr>
            <w:r>
              <w:rPr>
                <w:rFonts w:hint="eastAsia" w:ascii="等线" w:hAnsi="等线"/>
                <w:sz w:val="20"/>
                <w:highlight w:val="none"/>
              </w:rPr>
              <w:t>调节级数</w:t>
            </w:r>
          </w:p>
        </w:tc>
        <w:tc>
          <w:tcPr>
            <w:tcW w:w="2785" w:type="pct"/>
            <w:noWrap w:val="0"/>
            <w:vAlign w:val="center"/>
          </w:tcPr>
          <w:p>
            <w:pPr>
              <w:spacing w:before="26" w:line="316" w:lineRule="exact"/>
              <w:ind w:left="29"/>
              <w:jc w:val="center"/>
              <w:rPr>
                <w:rFonts w:ascii="宋体" w:hAnsi="宋体" w:cs="宋体"/>
                <w:sz w:val="20"/>
                <w:highlight w:val="none"/>
                <w:lang w:eastAsia="en-US"/>
              </w:rPr>
            </w:pPr>
            <w:r>
              <w:rPr>
                <w:rFonts w:hint="eastAsia" w:ascii="宋体" w:hAnsi="宋体" w:cs="宋体"/>
                <w:sz w:val="20"/>
                <w:highlight w:val="none"/>
              </w:rPr>
              <w:t>20~100%范围内调节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4" w:line="316" w:lineRule="exact"/>
              <w:ind w:left="28"/>
              <w:jc w:val="center"/>
              <w:rPr>
                <w:rFonts w:ascii="等线" w:hAnsi="等线"/>
                <w:sz w:val="20"/>
                <w:highlight w:val="none"/>
                <w:lang w:eastAsia="en-US"/>
              </w:rPr>
            </w:pPr>
            <w:r>
              <w:rPr>
                <w:rFonts w:hint="eastAsia" w:ascii="等线" w:hAnsi="等线"/>
                <w:sz w:val="20"/>
                <w:highlight w:val="none"/>
              </w:rPr>
              <w:t>调节要求</w:t>
            </w:r>
          </w:p>
        </w:tc>
        <w:tc>
          <w:tcPr>
            <w:tcW w:w="2785" w:type="pct"/>
            <w:noWrap w:val="0"/>
            <w:vAlign w:val="center"/>
          </w:tcPr>
          <w:p>
            <w:pPr>
              <w:spacing w:before="12" w:line="328" w:lineRule="exact"/>
              <w:ind w:left="29"/>
              <w:jc w:val="center"/>
              <w:rPr>
                <w:rFonts w:ascii="宋体" w:hAnsi="宋体" w:cs="宋体"/>
                <w:sz w:val="20"/>
                <w:highlight w:val="none"/>
                <w:lang w:eastAsia="en-US"/>
              </w:rPr>
            </w:pPr>
            <w:r>
              <w:rPr>
                <w:rFonts w:hint="eastAsia" w:ascii="宋体" w:hAnsi="宋体" w:cs="宋体"/>
                <w:sz w:val="20"/>
                <w:highlight w:val="none"/>
              </w:rPr>
              <w:t>≥20%负荷不喘振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58" w:type="pct"/>
            <w:vMerge w:val="restart"/>
            <w:noWrap w:val="0"/>
            <w:vAlign w:val="center"/>
          </w:tcPr>
          <w:p>
            <w:pPr>
              <w:jc w:val="center"/>
              <w:rPr>
                <w:rFonts w:ascii="等线" w:hAnsi="等线"/>
                <w:sz w:val="20"/>
                <w:highlight w:val="none"/>
                <w:lang w:eastAsia="en-US"/>
              </w:rPr>
            </w:pPr>
            <w:r>
              <w:rPr>
                <w:rFonts w:ascii="等线" w:hAnsi="等线"/>
                <w:sz w:val="20"/>
                <w:highlight w:val="none"/>
              </w:rPr>
              <w:t>8</w:t>
            </w:r>
          </w:p>
        </w:tc>
        <w:tc>
          <w:tcPr>
            <w:tcW w:w="449" w:type="pct"/>
            <w:vMerge w:val="restart"/>
            <w:noWrap w:val="0"/>
            <w:vAlign w:val="center"/>
          </w:tcPr>
          <w:p>
            <w:pPr>
              <w:spacing w:before="210" w:line="201" w:lineRule="auto"/>
              <w:ind w:left="124" w:right="117"/>
              <w:jc w:val="center"/>
              <w:rPr>
                <w:rFonts w:ascii="等线" w:hAnsi="等线"/>
                <w:sz w:val="20"/>
                <w:highlight w:val="none"/>
                <w:lang w:eastAsia="en-US"/>
              </w:rPr>
            </w:pPr>
            <w:r>
              <w:rPr>
                <w:rFonts w:hint="eastAsia" w:ascii="等线" w:hAnsi="等线"/>
                <w:sz w:val="20"/>
                <w:highlight w:val="none"/>
              </w:rPr>
              <w:t>压缩机</w:t>
            </w:r>
          </w:p>
        </w:tc>
        <w:tc>
          <w:tcPr>
            <w:tcW w:w="1506" w:type="pct"/>
            <w:gridSpan w:val="2"/>
            <w:noWrap w:val="0"/>
            <w:vAlign w:val="center"/>
          </w:tcPr>
          <w:p>
            <w:pPr>
              <w:spacing w:line="301" w:lineRule="exact"/>
              <w:ind w:left="28"/>
              <w:jc w:val="center"/>
              <w:rPr>
                <w:rFonts w:ascii="等线" w:hAnsi="等线"/>
                <w:sz w:val="20"/>
                <w:highlight w:val="none"/>
                <w:lang w:eastAsia="en-US"/>
              </w:rPr>
            </w:pPr>
            <w:r>
              <w:rPr>
                <w:rFonts w:hint="eastAsia" w:ascii="等线" w:hAnsi="等线"/>
                <w:sz w:val="20"/>
                <w:highlight w:val="none"/>
              </w:rPr>
              <w:t>型式</w:t>
            </w:r>
          </w:p>
        </w:tc>
        <w:tc>
          <w:tcPr>
            <w:tcW w:w="2785" w:type="pct"/>
            <w:noWrap w:val="0"/>
            <w:vAlign w:val="center"/>
          </w:tcPr>
          <w:p>
            <w:pPr>
              <w:spacing w:line="301" w:lineRule="exact"/>
              <w:ind w:left="29"/>
              <w:jc w:val="center"/>
              <w:rPr>
                <w:rFonts w:ascii="宋体" w:hAnsi="宋体" w:cs="宋体"/>
                <w:sz w:val="20"/>
                <w:highlight w:val="none"/>
              </w:rPr>
            </w:pPr>
            <w:r>
              <w:rPr>
                <w:rFonts w:hint="eastAsia" w:ascii="宋体" w:hAnsi="宋体" w:cs="宋体"/>
                <w:sz w:val="20"/>
                <w:highlight w:val="none"/>
              </w:rPr>
              <w:t>开启式或半封闭式或全封闭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58"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center"/>
          </w:tcPr>
          <w:p>
            <w:pPr>
              <w:spacing w:line="301" w:lineRule="exact"/>
              <w:ind w:left="28"/>
              <w:jc w:val="center"/>
              <w:rPr>
                <w:rFonts w:ascii="等线" w:hAnsi="等线"/>
                <w:sz w:val="20"/>
                <w:highlight w:val="none"/>
              </w:rPr>
            </w:pPr>
            <w:r>
              <w:rPr>
                <w:rFonts w:hint="eastAsia" w:ascii="等线" w:hAnsi="等线"/>
                <w:sz w:val="20"/>
                <w:highlight w:val="none"/>
              </w:rPr>
              <w:t>品牌</w:t>
            </w:r>
          </w:p>
        </w:tc>
        <w:tc>
          <w:tcPr>
            <w:tcW w:w="2785" w:type="pct"/>
            <w:noWrap w:val="0"/>
            <w:vAlign w:val="center"/>
          </w:tcPr>
          <w:p>
            <w:pPr>
              <w:spacing w:line="301" w:lineRule="exact"/>
              <w:ind w:left="29"/>
              <w:jc w:val="center"/>
              <w:rPr>
                <w:rFonts w:ascii="宋体" w:hAnsi="宋体" w:cs="宋体"/>
                <w:sz w:val="20"/>
                <w:highlight w:val="none"/>
              </w:rPr>
            </w:pPr>
            <w:r>
              <w:rPr>
                <w:rFonts w:hint="eastAsia" w:ascii="宋体" w:hAnsi="宋体" w:cs="宋体"/>
                <w:sz w:val="20"/>
                <w:highlight w:val="none"/>
              </w:rPr>
              <w:t>与主机同一品牌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8" w:type="pct"/>
            <w:noWrap w:val="0"/>
            <w:vAlign w:val="center"/>
          </w:tcPr>
          <w:p>
            <w:pPr>
              <w:spacing w:before="51"/>
              <w:jc w:val="center"/>
              <w:rPr>
                <w:rFonts w:ascii="等线" w:hAnsi="等线"/>
                <w:sz w:val="20"/>
                <w:highlight w:val="none"/>
              </w:rPr>
            </w:pPr>
            <w:r>
              <w:rPr>
                <w:rFonts w:hint="eastAsia" w:ascii="等线" w:hAnsi="等线"/>
                <w:sz w:val="20"/>
                <w:highlight w:val="none"/>
              </w:rPr>
              <w:t>9</w:t>
            </w:r>
          </w:p>
        </w:tc>
        <w:tc>
          <w:tcPr>
            <w:tcW w:w="1955" w:type="pct"/>
            <w:gridSpan w:val="3"/>
            <w:noWrap w:val="0"/>
            <w:vAlign w:val="center"/>
          </w:tcPr>
          <w:p>
            <w:pPr>
              <w:spacing w:line="318" w:lineRule="exact"/>
              <w:ind w:left="28"/>
              <w:jc w:val="center"/>
              <w:rPr>
                <w:rFonts w:ascii="等线" w:hAnsi="等线"/>
                <w:sz w:val="20"/>
                <w:highlight w:val="none"/>
              </w:rPr>
            </w:pPr>
            <w:r>
              <w:rPr>
                <w:rFonts w:hint="eastAsia" w:ascii="宋体" w:hAnsi="宋体" w:cs="宋体"/>
                <w:sz w:val="22"/>
                <w:szCs w:val="21"/>
                <w:highlight w:val="none"/>
                <w:lang w:eastAsia="en-US"/>
              </w:rPr>
              <w:t>报警显示</w:t>
            </w:r>
          </w:p>
        </w:tc>
        <w:tc>
          <w:tcPr>
            <w:tcW w:w="2785" w:type="pct"/>
            <w:noWrap w:val="0"/>
            <w:vAlign w:val="top"/>
          </w:tcPr>
          <w:p>
            <w:pPr>
              <w:rPr>
                <w:rFonts w:ascii="宋体" w:hAnsi="宋体" w:cs="宋体"/>
                <w:szCs w:val="21"/>
                <w:highlight w:val="none"/>
              </w:rPr>
            </w:pPr>
            <w:r>
              <w:rPr>
                <w:rFonts w:hint="eastAsia" w:ascii="宋体" w:hAnsi="宋体" w:cs="宋体"/>
                <w:szCs w:val="21"/>
                <w:highlight w:val="none"/>
              </w:rPr>
              <w:t>1.紧急/正常停机信息（包括系统状态、系统详情、日期、时间、停机原因等）</w:t>
            </w:r>
          </w:p>
          <w:p>
            <w:pPr>
              <w:rPr>
                <w:rFonts w:ascii="宋体" w:hAnsi="宋体" w:cs="宋体"/>
                <w:szCs w:val="21"/>
                <w:highlight w:val="none"/>
              </w:rPr>
            </w:pPr>
            <w:r>
              <w:rPr>
                <w:rFonts w:hint="eastAsia" w:ascii="宋体" w:hAnsi="宋体" w:cs="宋体"/>
                <w:szCs w:val="21"/>
                <w:highlight w:val="none"/>
              </w:rPr>
              <w:t>2.蒸发器、冷凝器传感器故障</w:t>
            </w:r>
          </w:p>
          <w:p>
            <w:pPr>
              <w:rPr>
                <w:rFonts w:ascii="宋体" w:hAnsi="宋体" w:cs="宋体"/>
                <w:szCs w:val="21"/>
                <w:highlight w:val="none"/>
              </w:rPr>
            </w:pPr>
            <w:r>
              <w:rPr>
                <w:rFonts w:hint="eastAsia" w:ascii="宋体" w:hAnsi="宋体" w:cs="宋体"/>
                <w:szCs w:val="21"/>
                <w:highlight w:val="none"/>
              </w:rPr>
              <w:t>3.制冷机液位超限</w:t>
            </w:r>
          </w:p>
          <w:p>
            <w:pPr>
              <w:rPr>
                <w:rFonts w:ascii="宋体" w:hAnsi="宋体" w:cs="宋体"/>
                <w:szCs w:val="21"/>
                <w:highlight w:val="none"/>
              </w:rPr>
            </w:pPr>
            <w:r>
              <w:rPr>
                <w:rFonts w:hint="eastAsia" w:ascii="宋体" w:hAnsi="宋体" w:cs="宋体"/>
                <w:szCs w:val="21"/>
                <w:highlight w:val="none"/>
              </w:rPr>
              <w:t>4.润滑油压过低</w:t>
            </w:r>
          </w:p>
          <w:p>
            <w:pPr>
              <w:rPr>
                <w:rFonts w:ascii="宋体" w:hAnsi="宋体" w:cs="宋体"/>
                <w:szCs w:val="21"/>
                <w:highlight w:val="none"/>
              </w:rPr>
            </w:pPr>
            <w:r>
              <w:rPr>
                <w:rFonts w:hint="eastAsia" w:ascii="宋体" w:hAnsi="宋体" w:cs="宋体"/>
                <w:szCs w:val="21"/>
                <w:highlight w:val="none"/>
              </w:rPr>
              <w:t>5.冷凝器高压极限</w:t>
            </w:r>
          </w:p>
          <w:p>
            <w:pPr>
              <w:rPr>
                <w:rFonts w:ascii="宋体" w:hAnsi="宋体" w:cs="宋体"/>
                <w:szCs w:val="21"/>
                <w:highlight w:val="none"/>
              </w:rPr>
            </w:pPr>
            <w:r>
              <w:rPr>
                <w:rFonts w:hint="eastAsia" w:ascii="宋体" w:hAnsi="宋体" w:cs="宋体"/>
                <w:szCs w:val="21"/>
                <w:highlight w:val="none"/>
              </w:rPr>
              <w:t>6.蒸发器低压极限</w:t>
            </w:r>
          </w:p>
          <w:p>
            <w:pPr>
              <w:rPr>
                <w:rFonts w:ascii="宋体" w:hAnsi="宋体" w:cs="宋体"/>
                <w:szCs w:val="21"/>
                <w:highlight w:val="none"/>
              </w:rPr>
            </w:pPr>
            <w:r>
              <w:rPr>
                <w:rFonts w:hint="eastAsia" w:ascii="宋体" w:hAnsi="宋体" w:cs="宋体"/>
                <w:szCs w:val="21"/>
                <w:highlight w:val="none"/>
              </w:rPr>
              <w:t>7.电机电流、电压过载</w:t>
            </w:r>
          </w:p>
          <w:p>
            <w:pPr>
              <w:spacing w:before="5" w:line="316" w:lineRule="exact"/>
              <w:ind w:left="27"/>
              <w:rPr>
                <w:rFonts w:ascii="宋体" w:hAnsi="宋体" w:cs="宋体"/>
                <w:sz w:val="20"/>
                <w:highlight w:val="none"/>
              </w:rPr>
            </w:pPr>
            <w:r>
              <w:rPr>
                <w:rFonts w:hint="eastAsia" w:ascii="宋体" w:hAnsi="宋体" w:cs="宋体"/>
                <w:sz w:val="22"/>
                <w:szCs w:val="21"/>
                <w:highlight w:val="none"/>
              </w:rPr>
              <w:t>8.传感器故障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8" w:type="pct"/>
            <w:vMerge w:val="restart"/>
            <w:noWrap w:val="0"/>
            <w:vAlign w:val="center"/>
          </w:tcPr>
          <w:p>
            <w:pPr>
              <w:spacing w:before="51"/>
              <w:jc w:val="center"/>
              <w:rPr>
                <w:rFonts w:ascii="等线" w:hAnsi="等线"/>
                <w:sz w:val="20"/>
                <w:highlight w:val="none"/>
              </w:rPr>
            </w:pPr>
            <w:r>
              <w:rPr>
                <w:rFonts w:hint="eastAsia" w:ascii="等线" w:hAnsi="等线"/>
                <w:sz w:val="20"/>
                <w:highlight w:val="none"/>
              </w:rPr>
              <w:t>1</w:t>
            </w:r>
            <w:r>
              <w:rPr>
                <w:rFonts w:ascii="等线" w:hAnsi="等线"/>
                <w:sz w:val="20"/>
                <w:highlight w:val="none"/>
              </w:rPr>
              <w:t>0</w:t>
            </w:r>
          </w:p>
        </w:tc>
        <w:tc>
          <w:tcPr>
            <w:tcW w:w="1955" w:type="pct"/>
            <w:gridSpan w:val="3"/>
            <w:vMerge w:val="restart"/>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安全装置</w:t>
            </w:r>
          </w:p>
        </w:tc>
        <w:tc>
          <w:tcPr>
            <w:tcW w:w="2785"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压缩机马达过载保护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8"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5"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润滑油系统保护装置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8"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5"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冷凝器高压保护装置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8"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5" w:type="pct"/>
            <w:noWrap w:val="0"/>
            <w:vAlign w:val="center"/>
          </w:tcPr>
          <w:p>
            <w:pPr>
              <w:spacing w:before="5" w:line="316" w:lineRule="exact"/>
              <w:ind w:left="27"/>
              <w:jc w:val="center"/>
              <w:rPr>
                <w:rFonts w:ascii="宋体" w:hAnsi="宋体" w:cs="宋体"/>
                <w:sz w:val="20"/>
                <w:highlight w:val="none"/>
              </w:rPr>
            </w:pPr>
            <w:r>
              <w:rPr>
                <w:rFonts w:hint="eastAsia" w:ascii="宋体" w:hAnsi="宋体" w:cs="宋体"/>
                <w:sz w:val="20"/>
                <w:highlight w:val="none"/>
              </w:rPr>
              <w:t>排气温度过高保护装置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8"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5"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蒸发器低温低压保护装置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8"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5"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缺相与相序保护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8" w:type="pct"/>
            <w:vMerge w:val="restart"/>
            <w:noWrap w:val="0"/>
            <w:vAlign w:val="center"/>
          </w:tcPr>
          <w:p>
            <w:pPr>
              <w:spacing w:before="51"/>
              <w:jc w:val="center"/>
              <w:rPr>
                <w:rFonts w:ascii="等线" w:hAnsi="等线"/>
                <w:sz w:val="20"/>
                <w:highlight w:val="none"/>
                <w:lang w:eastAsia="en-US"/>
              </w:rPr>
            </w:pPr>
            <w:r>
              <w:rPr>
                <w:rFonts w:ascii="等线" w:hAnsi="等线"/>
                <w:sz w:val="20"/>
                <w:highlight w:val="none"/>
              </w:rPr>
              <w:t>11</w:t>
            </w:r>
          </w:p>
        </w:tc>
        <w:tc>
          <w:tcPr>
            <w:tcW w:w="1955" w:type="pct"/>
            <w:gridSpan w:val="3"/>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主要电气组件品牌</w:t>
            </w:r>
          </w:p>
        </w:tc>
        <w:tc>
          <w:tcPr>
            <w:tcW w:w="2785" w:type="pct"/>
            <w:noWrap w:val="0"/>
            <w:vAlign w:val="center"/>
          </w:tcPr>
          <w:p>
            <w:pPr>
              <w:spacing w:before="34"/>
              <w:ind w:left="26"/>
              <w:jc w:val="left"/>
              <w:rPr>
                <w:rFonts w:ascii="宋体" w:hAnsi="宋体" w:cs="宋体"/>
                <w:sz w:val="20"/>
                <w:highlight w:val="none"/>
              </w:rPr>
            </w:pPr>
            <w:r>
              <w:rPr>
                <w:rFonts w:hint="eastAsia" w:ascii="宋体" w:hAnsi="宋体" w:cs="宋体"/>
                <w:sz w:val="20"/>
                <w:highlight w:val="none"/>
              </w:rPr>
              <w:t>施耐德、西门子、ABB或优于所列品牌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Merge w:val="continue"/>
            <w:noWrap w:val="0"/>
            <w:vAlign w:val="center"/>
          </w:tcPr>
          <w:p>
            <w:pPr>
              <w:jc w:val="center"/>
              <w:rPr>
                <w:rFonts w:ascii="等线" w:hAnsi="等线"/>
                <w:highlight w:val="none"/>
              </w:rPr>
            </w:pPr>
          </w:p>
        </w:tc>
        <w:tc>
          <w:tcPr>
            <w:tcW w:w="1955" w:type="pct"/>
            <w:gridSpan w:val="3"/>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系统部件</w:t>
            </w:r>
          </w:p>
        </w:tc>
        <w:tc>
          <w:tcPr>
            <w:tcW w:w="2785"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油泵/泄压阀/油压开关/油冷却器/油过滤器/油温开关/油加热器/ 油分离器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Merge w:val="restart"/>
            <w:noWrap w:val="0"/>
            <w:vAlign w:val="center"/>
          </w:tcPr>
          <w:p>
            <w:pPr>
              <w:spacing w:before="1"/>
              <w:jc w:val="center"/>
              <w:rPr>
                <w:rFonts w:ascii="等线" w:hAnsi="等线"/>
                <w:sz w:val="20"/>
                <w:highlight w:val="none"/>
              </w:rPr>
            </w:pPr>
            <w:r>
              <w:rPr>
                <w:rFonts w:hint="eastAsia" w:ascii="等线" w:hAnsi="等线"/>
                <w:sz w:val="20"/>
                <w:highlight w:val="none"/>
              </w:rPr>
              <w:t>1</w:t>
            </w:r>
            <w:r>
              <w:rPr>
                <w:rFonts w:ascii="等线" w:hAnsi="等线"/>
                <w:sz w:val="20"/>
                <w:highlight w:val="none"/>
              </w:rPr>
              <w:t>2</w:t>
            </w:r>
          </w:p>
        </w:tc>
        <w:tc>
          <w:tcPr>
            <w:tcW w:w="449" w:type="pct"/>
            <w:vMerge w:val="restart"/>
            <w:noWrap w:val="0"/>
            <w:vAlign w:val="center"/>
          </w:tcPr>
          <w:p>
            <w:pPr>
              <w:spacing w:line="201" w:lineRule="auto"/>
              <w:jc w:val="center"/>
              <w:rPr>
                <w:rFonts w:ascii="等线" w:hAnsi="等线"/>
                <w:sz w:val="20"/>
                <w:highlight w:val="none"/>
                <w:lang w:eastAsia="en-US"/>
              </w:rPr>
            </w:pPr>
            <w:r>
              <w:rPr>
                <w:rFonts w:hint="eastAsia" w:ascii="等线" w:hAnsi="等线"/>
                <w:sz w:val="20"/>
                <w:highlight w:val="none"/>
              </w:rPr>
              <w:t>控制中心</w:t>
            </w:r>
          </w:p>
        </w:tc>
        <w:tc>
          <w:tcPr>
            <w:tcW w:w="1506" w:type="pct"/>
            <w:gridSpan w:val="2"/>
            <w:noWrap w:val="0"/>
            <w:vAlign w:val="top"/>
          </w:tcPr>
          <w:p>
            <w:pPr>
              <w:spacing w:before="2" w:line="306" w:lineRule="exact"/>
              <w:ind w:left="32"/>
              <w:jc w:val="center"/>
              <w:rPr>
                <w:rFonts w:ascii="等线" w:hAnsi="等线"/>
                <w:sz w:val="20"/>
                <w:highlight w:val="none"/>
              </w:rPr>
            </w:pPr>
            <w:r>
              <w:rPr>
                <w:rFonts w:hint="eastAsia" w:ascii="等线" w:hAnsi="等线"/>
                <w:sz w:val="20"/>
                <w:highlight w:val="none"/>
              </w:rPr>
              <w:t>控制方式</w:t>
            </w:r>
          </w:p>
        </w:tc>
        <w:tc>
          <w:tcPr>
            <w:tcW w:w="2785"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微电脑控制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top"/>
          </w:tcPr>
          <w:p>
            <w:pPr>
              <w:spacing w:line="300" w:lineRule="exact"/>
              <w:ind w:left="32"/>
              <w:jc w:val="center"/>
              <w:rPr>
                <w:rFonts w:ascii="等线" w:hAnsi="等线"/>
                <w:sz w:val="20"/>
                <w:highlight w:val="none"/>
              </w:rPr>
            </w:pPr>
            <w:r>
              <w:rPr>
                <w:rFonts w:hint="eastAsia" w:ascii="等线" w:hAnsi="等线"/>
                <w:sz w:val="20"/>
                <w:highlight w:val="none"/>
              </w:rPr>
              <w:t>显示方式</w:t>
            </w:r>
          </w:p>
        </w:tc>
        <w:tc>
          <w:tcPr>
            <w:tcW w:w="2785"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10英寸以上彩色中文触摸大屏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center"/>
          </w:tcPr>
          <w:p>
            <w:pPr>
              <w:spacing w:line="300" w:lineRule="exact"/>
              <w:ind w:left="32"/>
              <w:jc w:val="center"/>
              <w:rPr>
                <w:rFonts w:ascii="等线" w:hAnsi="等线"/>
                <w:sz w:val="20"/>
                <w:highlight w:val="none"/>
              </w:rPr>
            </w:pPr>
            <w:r>
              <w:rPr>
                <w:rFonts w:hint="eastAsia" w:ascii="等线" w:hAnsi="等线"/>
                <w:sz w:val="20"/>
                <w:highlight w:val="none"/>
              </w:rPr>
              <w:t>显示内容</w:t>
            </w:r>
          </w:p>
        </w:tc>
        <w:tc>
          <w:tcPr>
            <w:tcW w:w="2785" w:type="pct"/>
            <w:noWrap w:val="0"/>
            <w:vAlign w:val="top"/>
          </w:tcPr>
          <w:p>
            <w:pPr>
              <w:spacing w:before="5" w:line="316" w:lineRule="exact"/>
              <w:ind w:left="27"/>
              <w:jc w:val="center"/>
              <w:rPr>
                <w:rFonts w:ascii="宋体" w:hAnsi="宋体" w:cs="宋体"/>
                <w:sz w:val="20"/>
                <w:highlight w:val="none"/>
              </w:rPr>
            </w:pPr>
            <w:r>
              <w:rPr>
                <w:rFonts w:hint="eastAsia" w:ascii="宋体" w:hAnsi="宋体" w:cs="宋体"/>
                <w:sz w:val="20"/>
                <w:highlight w:val="none"/>
              </w:rPr>
              <w:t>运行状态、参数设定、故障诊断、报警等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center"/>
          </w:tcPr>
          <w:p>
            <w:pPr>
              <w:spacing w:line="304" w:lineRule="exact"/>
              <w:ind w:left="26"/>
              <w:jc w:val="center"/>
              <w:rPr>
                <w:rFonts w:ascii="等线" w:hAnsi="等线"/>
                <w:sz w:val="20"/>
                <w:highlight w:val="none"/>
              </w:rPr>
            </w:pPr>
            <w:r>
              <w:rPr>
                <w:rFonts w:hint="eastAsia" w:ascii="等线" w:hAnsi="等线"/>
                <w:sz w:val="20"/>
                <w:highlight w:val="none"/>
              </w:rPr>
              <w:t>信息记录</w:t>
            </w:r>
          </w:p>
        </w:tc>
        <w:tc>
          <w:tcPr>
            <w:tcW w:w="2785" w:type="pct"/>
            <w:noWrap w:val="0"/>
            <w:vAlign w:val="top"/>
          </w:tcPr>
          <w:p>
            <w:pPr>
              <w:spacing w:line="304" w:lineRule="exact"/>
              <w:ind w:left="26"/>
              <w:jc w:val="center"/>
              <w:rPr>
                <w:rFonts w:ascii="宋体" w:hAnsi="宋体" w:cs="宋体"/>
                <w:sz w:val="20"/>
                <w:highlight w:val="none"/>
              </w:rPr>
            </w:pPr>
            <w:r>
              <w:rPr>
                <w:rFonts w:hint="eastAsia" w:ascii="宋体" w:hAnsi="宋体" w:cs="宋体"/>
                <w:sz w:val="20"/>
                <w:highlight w:val="none"/>
              </w:rPr>
              <w:t>运行时间、启停次数、历史故障、累计耗电量显示等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top"/>
          </w:tcPr>
          <w:p>
            <w:pPr>
              <w:spacing w:line="304" w:lineRule="exact"/>
              <w:ind w:left="26"/>
              <w:jc w:val="center"/>
              <w:rPr>
                <w:rFonts w:ascii="等线" w:hAnsi="等线"/>
                <w:sz w:val="20"/>
                <w:highlight w:val="none"/>
              </w:rPr>
            </w:pPr>
            <w:r>
              <w:rPr>
                <w:rFonts w:ascii="等线" w:hAnsi="等线"/>
                <w:sz w:val="20"/>
                <w:highlight w:val="none"/>
                <w:lang w:eastAsia="en-US"/>
              </w:rPr>
              <w:t>通讯界面</w:t>
            </w:r>
          </w:p>
        </w:tc>
        <w:tc>
          <w:tcPr>
            <w:tcW w:w="2785" w:type="pct"/>
            <w:noWrap w:val="0"/>
            <w:vAlign w:val="top"/>
          </w:tcPr>
          <w:p>
            <w:pPr>
              <w:spacing w:line="304" w:lineRule="exact"/>
              <w:ind w:left="26"/>
              <w:jc w:val="center"/>
              <w:rPr>
                <w:rFonts w:ascii="宋体" w:hAnsi="宋体" w:cs="宋体"/>
                <w:sz w:val="20"/>
                <w:highlight w:val="none"/>
              </w:rPr>
            </w:pPr>
            <w:r>
              <w:rPr>
                <w:rFonts w:hint="eastAsia" w:ascii="宋体" w:hAnsi="宋体" w:cs="宋体"/>
                <w:spacing w:val="-2"/>
                <w:sz w:val="20"/>
                <w:highlight w:val="none"/>
                <w:lang w:eastAsia="en-US"/>
              </w:rPr>
              <w:t xml:space="preserve">提供 </w:t>
            </w:r>
            <w:r>
              <w:rPr>
                <w:rFonts w:hint="eastAsia" w:ascii="宋体" w:hAnsi="宋体" w:cs="宋体"/>
                <w:sz w:val="20"/>
                <w:highlight w:val="none"/>
                <w:lang w:eastAsia="en-US"/>
              </w:rPr>
              <w:t>RS-485MODBUS RTU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8" w:type="pct"/>
            <w:vMerge w:val="continue"/>
            <w:noWrap w:val="0"/>
            <w:vAlign w:val="center"/>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center"/>
          </w:tcPr>
          <w:p>
            <w:pPr>
              <w:spacing w:before="257"/>
              <w:jc w:val="center"/>
              <w:rPr>
                <w:rFonts w:ascii="等线" w:hAnsi="等线"/>
                <w:sz w:val="20"/>
                <w:highlight w:val="none"/>
                <w:lang w:eastAsia="en-US"/>
              </w:rPr>
            </w:pPr>
            <w:r>
              <w:rPr>
                <w:rFonts w:hint="eastAsia" w:ascii="等线" w:hAnsi="等线"/>
                <w:sz w:val="20"/>
                <w:highlight w:val="none"/>
              </w:rPr>
              <w:t>网卡</w:t>
            </w:r>
          </w:p>
        </w:tc>
        <w:tc>
          <w:tcPr>
            <w:tcW w:w="2785" w:type="pct"/>
            <w:noWrap w:val="0"/>
            <w:vAlign w:val="center"/>
          </w:tcPr>
          <w:p>
            <w:pPr>
              <w:jc w:val="center"/>
              <w:rPr>
                <w:rFonts w:ascii="宋体" w:hAnsi="宋体" w:cs="宋体"/>
                <w:sz w:val="20"/>
                <w:highlight w:val="none"/>
              </w:rPr>
            </w:pPr>
            <w:r>
              <w:rPr>
                <w:rFonts w:hint="eastAsia" w:ascii="宋体" w:hAnsi="宋体" w:cs="宋体"/>
                <w:spacing w:val="-5"/>
                <w:sz w:val="20"/>
                <w:highlight w:val="none"/>
              </w:rPr>
              <w:t>微处理器应配有网络适配卡(含通讯模块及扩展模块)，可将所有数据下传至控制中心(监视)，提供</w:t>
            </w:r>
            <w:r>
              <w:rPr>
                <w:rFonts w:hint="eastAsia" w:ascii="宋体" w:hAnsi="宋体" w:cs="宋体"/>
                <w:spacing w:val="13"/>
                <w:sz w:val="20"/>
                <w:highlight w:val="none"/>
              </w:rPr>
              <w:t>开放式</w:t>
            </w:r>
            <w:r>
              <w:rPr>
                <w:rFonts w:hint="eastAsia" w:ascii="宋体" w:hAnsi="宋体" w:cs="宋体"/>
                <w:spacing w:val="-3"/>
                <w:sz w:val="20"/>
                <w:highlight w:val="none"/>
              </w:rPr>
              <w:t>TCP/IP</w:t>
            </w:r>
            <w:r>
              <w:rPr>
                <w:rFonts w:hint="eastAsia" w:ascii="宋体" w:hAnsi="宋体" w:cs="宋体"/>
                <w:spacing w:val="-6"/>
                <w:sz w:val="20"/>
                <w:highlight w:val="none"/>
              </w:rPr>
              <w:t>通讯协议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258" w:type="pct"/>
            <w:noWrap w:val="0"/>
            <w:vAlign w:val="center"/>
          </w:tcPr>
          <w:p>
            <w:pPr>
              <w:jc w:val="center"/>
              <w:rPr>
                <w:rFonts w:ascii="等线" w:hAnsi="等线"/>
                <w:sz w:val="20"/>
                <w:highlight w:val="none"/>
              </w:rPr>
            </w:pPr>
            <w:r>
              <w:rPr>
                <w:rFonts w:hint="eastAsia" w:ascii="等线" w:hAnsi="等线"/>
                <w:sz w:val="20"/>
                <w:highlight w:val="none"/>
              </w:rPr>
              <w:t>1</w:t>
            </w:r>
            <w:r>
              <w:rPr>
                <w:rFonts w:ascii="等线" w:hAnsi="等线"/>
                <w:sz w:val="20"/>
                <w:highlight w:val="none"/>
              </w:rPr>
              <w:t>3</w:t>
            </w:r>
          </w:p>
        </w:tc>
        <w:tc>
          <w:tcPr>
            <w:tcW w:w="1955" w:type="pct"/>
            <w:gridSpan w:val="3"/>
            <w:noWrap w:val="0"/>
            <w:vAlign w:val="center"/>
          </w:tcPr>
          <w:p>
            <w:pPr>
              <w:jc w:val="center"/>
              <w:rPr>
                <w:rFonts w:ascii="等线" w:hAnsi="等线"/>
                <w:sz w:val="20"/>
                <w:highlight w:val="none"/>
                <w:lang w:eastAsia="en-US"/>
              </w:rPr>
            </w:pPr>
            <w:r>
              <w:rPr>
                <w:rFonts w:hint="eastAsia" w:ascii="等线" w:hAnsi="等线"/>
                <w:sz w:val="20"/>
                <w:highlight w:val="none"/>
              </w:rPr>
              <w:t>网络适配卡</w:t>
            </w:r>
          </w:p>
        </w:tc>
        <w:tc>
          <w:tcPr>
            <w:tcW w:w="2785" w:type="pct"/>
            <w:noWrap w:val="0"/>
            <w:vAlign w:val="top"/>
          </w:tcPr>
          <w:p>
            <w:pPr>
              <w:spacing w:before="17"/>
              <w:ind w:left="16"/>
              <w:jc w:val="center"/>
              <w:rPr>
                <w:rFonts w:ascii="宋体" w:hAnsi="宋体" w:cs="宋体"/>
                <w:spacing w:val="-5"/>
                <w:sz w:val="20"/>
                <w:highlight w:val="none"/>
              </w:rPr>
            </w:pPr>
            <w:r>
              <w:rPr>
                <w:rFonts w:hint="eastAsia" w:ascii="宋体" w:hAnsi="宋体" w:cs="宋体"/>
                <w:spacing w:val="-5"/>
                <w:sz w:val="20"/>
                <w:highlight w:val="none"/>
              </w:rPr>
              <w:t>微处理器应有网络适配卡将控制盘上之所有监控点数,透过传输线可在中央监控室内监控;另设备供货商应提供开放式 TCP/IP 之网络通讯协议(Protocode)或其它网络通讯接口,供监控系统衔接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258" w:type="pct"/>
            <w:vMerge w:val="restart"/>
            <w:noWrap w:val="0"/>
            <w:vAlign w:val="center"/>
          </w:tcPr>
          <w:p>
            <w:pPr>
              <w:jc w:val="center"/>
              <w:rPr>
                <w:rFonts w:ascii="等线" w:hAnsi="等线"/>
                <w:sz w:val="20"/>
                <w:highlight w:val="none"/>
              </w:rPr>
            </w:pPr>
            <w:r>
              <w:rPr>
                <w:rFonts w:ascii="等线" w:hAnsi="等线"/>
                <w:sz w:val="20"/>
                <w:highlight w:val="none"/>
              </w:rPr>
              <w:t>14</w:t>
            </w:r>
          </w:p>
        </w:tc>
        <w:tc>
          <w:tcPr>
            <w:tcW w:w="538" w:type="pct"/>
            <w:gridSpan w:val="2"/>
            <w:vMerge w:val="restart"/>
            <w:noWrap w:val="0"/>
            <w:vAlign w:val="center"/>
          </w:tcPr>
          <w:p>
            <w:pPr>
              <w:spacing w:before="160" w:line="165" w:lineRule="auto"/>
              <w:ind w:left="43"/>
              <w:jc w:val="center"/>
              <w:rPr>
                <w:rFonts w:ascii="等线" w:hAnsi="等线"/>
                <w:sz w:val="20"/>
                <w:highlight w:val="none"/>
                <w:lang w:eastAsia="en-US"/>
              </w:rPr>
            </w:pPr>
            <w:r>
              <w:rPr>
                <w:rFonts w:hint="eastAsia" w:ascii="等线" w:hAnsi="等线"/>
                <w:sz w:val="20"/>
                <w:highlight w:val="none"/>
              </w:rPr>
              <w:t>启动装置</w:t>
            </w:r>
          </w:p>
        </w:tc>
        <w:tc>
          <w:tcPr>
            <w:tcW w:w="1417" w:type="pct"/>
            <w:noWrap w:val="0"/>
            <w:vAlign w:val="center"/>
          </w:tcPr>
          <w:p>
            <w:pPr>
              <w:spacing w:line="304" w:lineRule="exact"/>
              <w:ind w:left="26"/>
              <w:jc w:val="center"/>
              <w:rPr>
                <w:rFonts w:ascii="等线" w:hAnsi="等线"/>
                <w:sz w:val="20"/>
                <w:highlight w:val="none"/>
                <w:lang w:eastAsia="en-US"/>
              </w:rPr>
            </w:pPr>
            <w:r>
              <w:rPr>
                <w:rFonts w:hint="eastAsia" w:ascii="等线" w:hAnsi="等线"/>
                <w:sz w:val="20"/>
                <w:highlight w:val="none"/>
              </w:rPr>
              <w:t>启动方式</w:t>
            </w:r>
          </w:p>
        </w:tc>
        <w:tc>
          <w:tcPr>
            <w:tcW w:w="2785" w:type="pct"/>
            <w:noWrap w:val="0"/>
            <w:vAlign w:val="center"/>
          </w:tcPr>
          <w:p>
            <w:pPr>
              <w:ind w:left="16"/>
              <w:jc w:val="center"/>
              <w:rPr>
                <w:rFonts w:ascii="宋体" w:hAnsi="宋体" w:cs="宋体"/>
                <w:spacing w:val="-5"/>
                <w:sz w:val="20"/>
                <w:highlight w:val="none"/>
              </w:rPr>
            </w:pPr>
            <w:r>
              <w:rPr>
                <w:rFonts w:hint="eastAsia" w:ascii="宋体" w:hAnsi="宋体" w:cs="宋体"/>
                <w:spacing w:val="-5"/>
                <w:sz w:val="20"/>
                <w:highlight w:val="none"/>
              </w:rPr>
              <w:t>降压启动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258" w:type="pct"/>
            <w:vMerge w:val="continue"/>
            <w:noWrap w:val="0"/>
            <w:vAlign w:val="center"/>
          </w:tcPr>
          <w:p>
            <w:pPr>
              <w:jc w:val="center"/>
              <w:rPr>
                <w:rFonts w:ascii="等线" w:hAnsi="等线"/>
                <w:highlight w:val="none"/>
              </w:rPr>
            </w:pPr>
          </w:p>
        </w:tc>
        <w:tc>
          <w:tcPr>
            <w:tcW w:w="538" w:type="pct"/>
            <w:gridSpan w:val="2"/>
            <w:vMerge w:val="continue"/>
            <w:noWrap w:val="0"/>
            <w:vAlign w:val="top"/>
          </w:tcPr>
          <w:p>
            <w:pPr>
              <w:jc w:val="center"/>
              <w:rPr>
                <w:rFonts w:ascii="等线" w:hAnsi="等线"/>
                <w:highlight w:val="none"/>
              </w:rPr>
            </w:pPr>
          </w:p>
        </w:tc>
        <w:tc>
          <w:tcPr>
            <w:tcW w:w="1417" w:type="pct"/>
            <w:noWrap w:val="0"/>
            <w:vAlign w:val="center"/>
          </w:tcPr>
          <w:p>
            <w:pPr>
              <w:spacing w:line="304" w:lineRule="exact"/>
              <w:ind w:left="26"/>
              <w:jc w:val="center"/>
              <w:rPr>
                <w:rFonts w:ascii="等线" w:hAnsi="等线"/>
                <w:sz w:val="20"/>
                <w:highlight w:val="none"/>
              </w:rPr>
            </w:pPr>
            <w:r>
              <w:rPr>
                <w:rFonts w:hint="eastAsia" w:ascii="等线" w:hAnsi="等线"/>
                <w:sz w:val="20"/>
                <w:highlight w:val="none"/>
              </w:rPr>
              <w:t>安装位置</w:t>
            </w:r>
          </w:p>
        </w:tc>
        <w:tc>
          <w:tcPr>
            <w:tcW w:w="2785" w:type="pct"/>
            <w:noWrap w:val="0"/>
            <w:vAlign w:val="center"/>
          </w:tcPr>
          <w:p>
            <w:pPr>
              <w:ind w:left="16"/>
              <w:jc w:val="center"/>
              <w:rPr>
                <w:rFonts w:ascii="宋体" w:hAnsi="宋体" w:cs="宋体"/>
                <w:spacing w:val="-5"/>
                <w:sz w:val="20"/>
                <w:highlight w:val="none"/>
              </w:rPr>
            </w:pPr>
            <w:r>
              <w:rPr>
                <w:rFonts w:hint="eastAsia" w:ascii="宋体" w:hAnsi="宋体" w:cs="宋体"/>
                <w:spacing w:val="-5"/>
                <w:sz w:val="20"/>
                <w:highlight w:val="none"/>
              </w:rPr>
              <w:t>独立启动柜，由厂商配套供货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restart"/>
            <w:noWrap w:val="0"/>
            <w:vAlign w:val="center"/>
          </w:tcPr>
          <w:p>
            <w:pPr>
              <w:jc w:val="center"/>
              <w:rPr>
                <w:rFonts w:ascii="等线" w:hAnsi="等线"/>
                <w:sz w:val="20"/>
                <w:highlight w:val="none"/>
              </w:rPr>
            </w:pPr>
            <w:r>
              <w:rPr>
                <w:rFonts w:ascii="等线" w:hAnsi="等线"/>
                <w:sz w:val="20"/>
                <w:highlight w:val="none"/>
              </w:rPr>
              <w:t>15</w:t>
            </w:r>
          </w:p>
        </w:tc>
        <w:tc>
          <w:tcPr>
            <w:tcW w:w="1955" w:type="pct"/>
            <w:gridSpan w:val="3"/>
            <w:vMerge w:val="restart"/>
            <w:noWrap w:val="0"/>
            <w:vAlign w:val="center"/>
          </w:tcPr>
          <w:p>
            <w:pPr>
              <w:jc w:val="center"/>
              <w:rPr>
                <w:rFonts w:ascii="等线" w:hAnsi="等线"/>
                <w:spacing w:val="-5"/>
                <w:sz w:val="20"/>
                <w:highlight w:val="none"/>
              </w:rPr>
            </w:pPr>
            <w:r>
              <w:rPr>
                <w:rFonts w:hint="eastAsia" w:ascii="等线" w:hAnsi="等线"/>
                <w:spacing w:val="-5"/>
                <w:sz w:val="20"/>
                <w:highlight w:val="none"/>
              </w:rPr>
              <w:t>交货时提供资料</w:t>
            </w:r>
          </w:p>
        </w:tc>
        <w:tc>
          <w:tcPr>
            <w:tcW w:w="2785" w:type="pct"/>
            <w:noWrap w:val="0"/>
            <w:vAlign w:val="center"/>
          </w:tcPr>
          <w:p>
            <w:pPr>
              <w:spacing w:before="5" w:line="316" w:lineRule="exact"/>
              <w:ind w:left="27"/>
              <w:jc w:val="center"/>
              <w:rPr>
                <w:rFonts w:ascii="宋体" w:hAnsi="宋体" w:cs="宋体"/>
                <w:spacing w:val="-5"/>
                <w:sz w:val="20"/>
                <w:highlight w:val="none"/>
              </w:rPr>
            </w:pPr>
            <w:r>
              <w:rPr>
                <w:rFonts w:hint="eastAsia" w:ascii="宋体" w:hAnsi="宋体" w:cs="宋体"/>
                <w:spacing w:val="-5"/>
                <w:sz w:val="20"/>
                <w:highlight w:val="none"/>
              </w:rPr>
              <w:t>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noWrap w:val="0"/>
            <w:vAlign w:val="center"/>
          </w:tcPr>
          <w:p>
            <w:pPr>
              <w:jc w:val="center"/>
              <w:rPr>
                <w:rFonts w:ascii="等线" w:hAnsi="等线"/>
                <w:sz w:val="20"/>
                <w:highlight w:val="none"/>
                <w:lang w:eastAsia="en-US"/>
              </w:rPr>
            </w:pPr>
          </w:p>
        </w:tc>
        <w:tc>
          <w:tcPr>
            <w:tcW w:w="1955" w:type="pct"/>
            <w:gridSpan w:val="3"/>
            <w:vMerge w:val="continue"/>
            <w:noWrap w:val="0"/>
            <w:vAlign w:val="top"/>
          </w:tcPr>
          <w:p>
            <w:pPr>
              <w:jc w:val="center"/>
              <w:rPr>
                <w:rFonts w:ascii="等线" w:hAnsi="等线"/>
                <w:spacing w:val="-5"/>
                <w:highlight w:val="none"/>
              </w:rPr>
            </w:pPr>
          </w:p>
        </w:tc>
        <w:tc>
          <w:tcPr>
            <w:tcW w:w="2785" w:type="pct"/>
            <w:noWrap w:val="0"/>
            <w:vAlign w:val="center"/>
          </w:tcPr>
          <w:p>
            <w:pPr>
              <w:spacing w:before="5" w:line="316" w:lineRule="exact"/>
              <w:ind w:left="27"/>
              <w:jc w:val="center"/>
              <w:rPr>
                <w:rFonts w:ascii="宋体" w:hAnsi="宋体" w:cs="宋体"/>
                <w:spacing w:val="-5"/>
                <w:sz w:val="20"/>
                <w:highlight w:val="none"/>
              </w:rPr>
            </w:pPr>
            <w:r>
              <w:rPr>
                <w:rFonts w:hint="eastAsia" w:ascii="宋体" w:hAnsi="宋体" w:cs="宋体"/>
                <w:spacing w:val="-5"/>
                <w:sz w:val="20"/>
                <w:highlight w:val="none"/>
              </w:rPr>
              <w:t>样本型录（产品说明书）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noWrap w:val="0"/>
            <w:vAlign w:val="center"/>
          </w:tcPr>
          <w:p>
            <w:pPr>
              <w:jc w:val="center"/>
              <w:rPr>
                <w:rFonts w:ascii="等线" w:hAnsi="等线"/>
                <w:sz w:val="20"/>
                <w:highlight w:val="none"/>
              </w:rPr>
            </w:pPr>
          </w:p>
        </w:tc>
        <w:tc>
          <w:tcPr>
            <w:tcW w:w="1955" w:type="pct"/>
            <w:gridSpan w:val="3"/>
            <w:vMerge w:val="continue"/>
            <w:noWrap w:val="0"/>
            <w:vAlign w:val="top"/>
          </w:tcPr>
          <w:p>
            <w:pPr>
              <w:jc w:val="center"/>
              <w:rPr>
                <w:rFonts w:ascii="等线" w:hAnsi="等线"/>
                <w:spacing w:val="-5"/>
                <w:highlight w:val="none"/>
              </w:rPr>
            </w:pPr>
          </w:p>
        </w:tc>
        <w:tc>
          <w:tcPr>
            <w:tcW w:w="2785" w:type="pct"/>
            <w:noWrap w:val="0"/>
            <w:vAlign w:val="center"/>
          </w:tcPr>
          <w:p>
            <w:pPr>
              <w:spacing w:before="5" w:line="316" w:lineRule="exact"/>
              <w:ind w:left="27"/>
              <w:jc w:val="center"/>
              <w:rPr>
                <w:rFonts w:ascii="宋体" w:hAnsi="宋体" w:cs="宋体"/>
                <w:spacing w:val="-5"/>
                <w:sz w:val="20"/>
                <w:highlight w:val="none"/>
              </w:rPr>
            </w:pPr>
            <w:r>
              <w:rPr>
                <w:rFonts w:hint="eastAsia" w:ascii="宋体" w:hAnsi="宋体" w:cs="宋体"/>
                <w:spacing w:val="-5"/>
                <w:sz w:val="20"/>
                <w:highlight w:val="none"/>
              </w:rPr>
              <w:t>安装、操作、维修手册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noWrap w:val="0"/>
            <w:vAlign w:val="center"/>
          </w:tcPr>
          <w:p>
            <w:pPr>
              <w:jc w:val="center"/>
              <w:rPr>
                <w:rFonts w:ascii="等线" w:hAnsi="等线"/>
                <w:sz w:val="20"/>
                <w:highlight w:val="none"/>
              </w:rPr>
            </w:pPr>
          </w:p>
        </w:tc>
        <w:tc>
          <w:tcPr>
            <w:tcW w:w="1955" w:type="pct"/>
            <w:gridSpan w:val="3"/>
            <w:vMerge w:val="continue"/>
            <w:noWrap w:val="0"/>
            <w:vAlign w:val="top"/>
          </w:tcPr>
          <w:p>
            <w:pPr>
              <w:jc w:val="center"/>
              <w:rPr>
                <w:rFonts w:ascii="等线" w:hAnsi="等线"/>
                <w:spacing w:val="-5"/>
                <w:highlight w:val="none"/>
              </w:rPr>
            </w:pPr>
          </w:p>
        </w:tc>
        <w:tc>
          <w:tcPr>
            <w:tcW w:w="2785" w:type="pct"/>
            <w:noWrap w:val="0"/>
            <w:vAlign w:val="center"/>
          </w:tcPr>
          <w:p>
            <w:pPr>
              <w:spacing w:before="5" w:line="316" w:lineRule="exact"/>
              <w:ind w:left="27"/>
              <w:jc w:val="center"/>
              <w:rPr>
                <w:rFonts w:ascii="宋体" w:hAnsi="宋体" w:cs="宋体"/>
                <w:spacing w:val="-5"/>
                <w:sz w:val="20"/>
                <w:highlight w:val="none"/>
              </w:rPr>
            </w:pPr>
            <w:r>
              <w:rPr>
                <w:rFonts w:hint="eastAsia" w:ascii="宋体" w:hAnsi="宋体" w:cs="宋体"/>
                <w:spacing w:val="-5"/>
                <w:sz w:val="20"/>
                <w:highlight w:val="none"/>
              </w:rPr>
              <w:t>特种设备制造监督检验证书（冷凝器、蒸发器、经济器）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258" w:type="pct"/>
            <w:noWrap w:val="0"/>
            <w:vAlign w:val="center"/>
          </w:tcPr>
          <w:p>
            <w:pPr>
              <w:spacing w:before="5" w:line="316" w:lineRule="exact"/>
              <w:ind w:left="27"/>
              <w:jc w:val="center"/>
              <w:rPr>
                <w:rFonts w:ascii="等线" w:hAnsi="等线"/>
                <w:sz w:val="20"/>
                <w:highlight w:val="none"/>
              </w:rPr>
            </w:pPr>
            <w:r>
              <w:rPr>
                <w:rFonts w:ascii="等线" w:hAnsi="等线"/>
                <w:sz w:val="20"/>
                <w:highlight w:val="none"/>
              </w:rPr>
              <w:t>16</w:t>
            </w:r>
          </w:p>
        </w:tc>
        <w:tc>
          <w:tcPr>
            <w:tcW w:w="1955" w:type="pct"/>
            <w:gridSpan w:val="3"/>
            <w:noWrap w:val="0"/>
            <w:vAlign w:val="center"/>
          </w:tcPr>
          <w:p>
            <w:pPr>
              <w:spacing w:before="5" w:line="316" w:lineRule="exact"/>
              <w:ind w:left="27"/>
              <w:jc w:val="center"/>
              <w:rPr>
                <w:rFonts w:ascii="等线" w:hAnsi="等线"/>
                <w:sz w:val="20"/>
                <w:highlight w:val="none"/>
              </w:rPr>
            </w:pPr>
            <w:r>
              <w:rPr>
                <w:rFonts w:hint="eastAsia" w:ascii="等线" w:hAnsi="等线"/>
                <w:sz w:val="20"/>
                <w:highlight w:val="none"/>
              </w:rPr>
              <w:t>随机附件</w:t>
            </w:r>
          </w:p>
        </w:tc>
        <w:tc>
          <w:tcPr>
            <w:tcW w:w="2785" w:type="pct"/>
            <w:noWrap w:val="0"/>
            <w:vAlign w:val="center"/>
          </w:tcPr>
          <w:p>
            <w:pPr>
              <w:spacing w:before="5" w:line="316" w:lineRule="exact"/>
              <w:ind w:left="27"/>
              <w:jc w:val="center"/>
              <w:rPr>
                <w:rFonts w:ascii="宋体" w:hAnsi="宋体" w:cs="宋体"/>
                <w:sz w:val="20"/>
                <w:highlight w:val="none"/>
              </w:rPr>
            </w:pPr>
            <w:r>
              <w:rPr>
                <w:rFonts w:hint="eastAsia" w:ascii="宋体" w:hAnsi="宋体" w:cs="宋体"/>
                <w:spacing w:val="-5"/>
                <w:sz w:val="20"/>
                <w:highlight w:val="none"/>
              </w:rPr>
              <w:t>水流开关二只或电子压差开关二处（安装于冷却水、冷冻水出口管上）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noWrap w:val="0"/>
            <w:vAlign w:val="center"/>
          </w:tcPr>
          <w:p>
            <w:pPr>
              <w:jc w:val="center"/>
              <w:rPr>
                <w:rFonts w:ascii="等线" w:hAnsi="等线"/>
                <w:sz w:val="20"/>
                <w:highlight w:val="none"/>
              </w:rPr>
            </w:pPr>
            <w:r>
              <w:rPr>
                <w:rFonts w:ascii="等线" w:hAnsi="等线"/>
                <w:sz w:val="20"/>
                <w:highlight w:val="none"/>
              </w:rPr>
              <w:t>17</w:t>
            </w:r>
          </w:p>
        </w:tc>
        <w:tc>
          <w:tcPr>
            <w:tcW w:w="1955" w:type="pct"/>
            <w:gridSpan w:val="3"/>
            <w:noWrap w:val="0"/>
            <w:vAlign w:val="center"/>
          </w:tcPr>
          <w:p>
            <w:pPr>
              <w:spacing w:line="320" w:lineRule="exact"/>
              <w:ind w:left="28"/>
              <w:jc w:val="center"/>
              <w:rPr>
                <w:rFonts w:ascii="等线" w:hAnsi="等线"/>
                <w:sz w:val="20"/>
                <w:highlight w:val="none"/>
                <w:lang w:eastAsia="en-US"/>
              </w:rPr>
            </w:pPr>
            <w:r>
              <w:rPr>
                <w:rFonts w:hint="eastAsia" w:ascii="等线" w:hAnsi="等线"/>
                <w:sz w:val="20"/>
                <w:highlight w:val="none"/>
              </w:rPr>
              <w:t>验收时提供资料</w:t>
            </w:r>
          </w:p>
        </w:tc>
        <w:tc>
          <w:tcPr>
            <w:tcW w:w="2785" w:type="pct"/>
            <w:noWrap w:val="0"/>
            <w:vAlign w:val="center"/>
          </w:tcPr>
          <w:p>
            <w:pPr>
              <w:ind w:left="30"/>
              <w:jc w:val="center"/>
              <w:rPr>
                <w:rFonts w:ascii="宋体" w:hAnsi="宋体" w:cs="宋体"/>
                <w:sz w:val="20"/>
                <w:highlight w:val="none"/>
                <w:lang w:eastAsia="en-US"/>
              </w:rPr>
            </w:pPr>
            <w:r>
              <w:rPr>
                <w:rFonts w:hint="eastAsia" w:ascii="宋体" w:hAnsi="宋体" w:cs="宋体"/>
                <w:sz w:val="20"/>
                <w:highlight w:val="none"/>
              </w:rPr>
              <w:t>调试报告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58" w:type="pct"/>
            <w:noWrap w:val="0"/>
            <w:vAlign w:val="center"/>
          </w:tcPr>
          <w:p>
            <w:pPr>
              <w:jc w:val="center"/>
              <w:rPr>
                <w:rFonts w:ascii="等线" w:hAnsi="等线"/>
                <w:sz w:val="20"/>
                <w:highlight w:val="none"/>
              </w:rPr>
            </w:pPr>
            <w:r>
              <w:rPr>
                <w:rFonts w:ascii="等线" w:hAnsi="等线"/>
                <w:sz w:val="20"/>
                <w:highlight w:val="none"/>
              </w:rPr>
              <w:t>18</w:t>
            </w:r>
          </w:p>
        </w:tc>
        <w:tc>
          <w:tcPr>
            <w:tcW w:w="1955" w:type="pct"/>
            <w:gridSpan w:val="3"/>
            <w:noWrap w:val="0"/>
            <w:vAlign w:val="center"/>
          </w:tcPr>
          <w:p>
            <w:pPr>
              <w:jc w:val="center"/>
              <w:rPr>
                <w:rFonts w:ascii="等线" w:hAnsi="等线"/>
                <w:sz w:val="20"/>
                <w:highlight w:val="none"/>
                <w:lang w:eastAsia="en-US"/>
              </w:rPr>
            </w:pPr>
            <w:r>
              <w:rPr>
                <w:rFonts w:hint="eastAsia" w:ascii="等线" w:hAnsi="等线"/>
                <w:sz w:val="20"/>
                <w:highlight w:val="none"/>
              </w:rPr>
              <w:t>售后服务</w:t>
            </w:r>
          </w:p>
        </w:tc>
        <w:tc>
          <w:tcPr>
            <w:tcW w:w="2785" w:type="pct"/>
            <w:noWrap w:val="0"/>
            <w:vAlign w:val="top"/>
          </w:tcPr>
          <w:p>
            <w:pPr>
              <w:ind w:left="16"/>
              <w:jc w:val="center"/>
              <w:rPr>
                <w:rFonts w:ascii="宋体" w:hAnsi="宋体" w:cs="宋体"/>
                <w:sz w:val="20"/>
                <w:highlight w:val="none"/>
              </w:rPr>
            </w:pPr>
            <w:r>
              <w:rPr>
                <w:rFonts w:hint="eastAsia" w:ascii="宋体" w:hAnsi="宋体" w:cs="宋体"/>
                <w:sz w:val="20"/>
                <w:highlight w:val="none"/>
              </w:rPr>
              <w:t>故障时4小时内到现场处理，故障平均修复时间为8小时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restart"/>
            <w:noWrap w:val="0"/>
            <w:vAlign w:val="center"/>
          </w:tcPr>
          <w:p>
            <w:pPr>
              <w:jc w:val="center"/>
              <w:rPr>
                <w:rFonts w:ascii="等线" w:hAnsi="等线"/>
                <w:sz w:val="20"/>
                <w:highlight w:val="none"/>
              </w:rPr>
            </w:pPr>
            <w:r>
              <w:rPr>
                <w:rFonts w:ascii="等线" w:hAnsi="等线"/>
                <w:sz w:val="20"/>
                <w:highlight w:val="none"/>
              </w:rPr>
              <w:t>19</w:t>
            </w:r>
          </w:p>
        </w:tc>
        <w:tc>
          <w:tcPr>
            <w:tcW w:w="1955" w:type="pct"/>
            <w:gridSpan w:val="3"/>
            <w:vMerge w:val="restart"/>
            <w:noWrap w:val="0"/>
            <w:vAlign w:val="center"/>
          </w:tcPr>
          <w:p>
            <w:pPr>
              <w:jc w:val="center"/>
              <w:rPr>
                <w:rFonts w:ascii="等线" w:hAnsi="等线"/>
                <w:sz w:val="20"/>
                <w:highlight w:val="none"/>
                <w:lang w:eastAsia="en-US"/>
              </w:rPr>
            </w:pPr>
            <w:r>
              <w:rPr>
                <w:rFonts w:hint="eastAsia" w:ascii="等线" w:hAnsi="等线"/>
                <w:sz w:val="20"/>
                <w:highlight w:val="none"/>
              </w:rPr>
              <w:t>质保期</w:t>
            </w:r>
          </w:p>
        </w:tc>
        <w:tc>
          <w:tcPr>
            <w:tcW w:w="2785" w:type="pct"/>
            <w:noWrap w:val="0"/>
            <w:vAlign w:val="center"/>
          </w:tcPr>
          <w:p>
            <w:pPr>
              <w:ind w:left="16"/>
              <w:jc w:val="center"/>
              <w:rPr>
                <w:rFonts w:ascii="宋体" w:hAnsi="宋体" w:cs="宋体"/>
                <w:sz w:val="20"/>
                <w:highlight w:val="none"/>
              </w:rPr>
            </w:pPr>
            <w:r>
              <w:rPr>
                <w:rFonts w:hint="eastAsia" w:ascii="宋体" w:hAnsi="宋体" w:cs="宋体"/>
                <w:sz w:val="20"/>
                <w:highlight w:val="none"/>
              </w:rPr>
              <w:t>整机调试合格之日起免费维保二年。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258" w:type="pct"/>
            <w:vMerge w:val="continue"/>
            <w:noWrap w:val="0"/>
            <w:vAlign w:val="top"/>
          </w:tcPr>
          <w:p>
            <w:pPr>
              <w:jc w:val="center"/>
              <w:rPr>
                <w:rFonts w:ascii="等线" w:hAnsi="等线"/>
                <w:highlight w:val="none"/>
              </w:rPr>
            </w:pPr>
          </w:p>
        </w:tc>
        <w:tc>
          <w:tcPr>
            <w:tcW w:w="1955" w:type="pct"/>
            <w:gridSpan w:val="3"/>
            <w:vMerge w:val="continue"/>
            <w:noWrap w:val="0"/>
            <w:vAlign w:val="top"/>
          </w:tcPr>
          <w:p>
            <w:pPr>
              <w:jc w:val="center"/>
              <w:rPr>
                <w:rFonts w:ascii="等线" w:hAnsi="等线"/>
                <w:highlight w:val="none"/>
              </w:rPr>
            </w:pPr>
          </w:p>
        </w:tc>
        <w:tc>
          <w:tcPr>
            <w:tcW w:w="2785" w:type="pct"/>
            <w:noWrap w:val="0"/>
            <w:vAlign w:val="top"/>
          </w:tcPr>
          <w:p>
            <w:pPr>
              <w:spacing w:before="79"/>
              <w:ind w:left="16"/>
              <w:jc w:val="center"/>
              <w:rPr>
                <w:rFonts w:ascii="宋体" w:hAnsi="宋体" w:cs="宋体"/>
                <w:sz w:val="20"/>
                <w:highlight w:val="none"/>
              </w:rPr>
            </w:pPr>
            <w:r>
              <w:rPr>
                <w:rFonts w:hint="eastAsia" w:ascii="宋体" w:hAnsi="宋体" w:cs="宋体"/>
                <w:sz w:val="20"/>
                <w:highlight w:val="none"/>
              </w:rPr>
              <w:t>整机质保期内免费更换冷冻机油一次；免费更换全部油过滤器。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258" w:type="pct"/>
            <w:vMerge w:val="continue"/>
            <w:noWrap w:val="0"/>
            <w:vAlign w:val="top"/>
          </w:tcPr>
          <w:p>
            <w:pPr>
              <w:jc w:val="center"/>
              <w:rPr>
                <w:rFonts w:ascii="等线" w:hAnsi="等线"/>
                <w:highlight w:val="none"/>
              </w:rPr>
            </w:pPr>
          </w:p>
        </w:tc>
        <w:tc>
          <w:tcPr>
            <w:tcW w:w="1955" w:type="pct"/>
            <w:gridSpan w:val="3"/>
            <w:vMerge w:val="continue"/>
            <w:noWrap w:val="0"/>
            <w:vAlign w:val="top"/>
          </w:tcPr>
          <w:p>
            <w:pPr>
              <w:jc w:val="center"/>
              <w:rPr>
                <w:rFonts w:ascii="等线" w:hAnsi="等线"/>
                <w:highlight w:val="none"/>
              </w:rPr>
            </w:pPr>
          </w:p>
        </w:tc>
        <w:tc>
          <w:tcPr>
            <w:tcW w:w="2785" w:type="pct"/>
            <w:noWrap w:val="0"/>
            <w:vAlign w:val="top"/>
          </w:tcPr>
          <w:p>
            <w:pPr>
              <w:ind w:left="16"/>
              <w:jc w:val="center"/>
              <w:rPr>
                <w:rFonts w:ascii="等线" w:hAnsi="等线"/>
                <w:sz w:val="20"/>
                <w:highlight w:val="none"/>
              </w:rPr>
            </w:pPr>
            <w:r>
              <w:rPr>
                <w:rFonts w:hint="eastAsia" w:ascii="等线" w:hAnsi="等线"/>
                <w:sz w:val="20"/>
                <w:highlight w:val="none"/>
              </w:rPr>
              <w:t>压缩机、电机、机载微电脑自调试合格之日起免费维保，质保二年。</w:t>
            </w:r>
          </w:p>
        </w:tc>
      </w:tr>
    </w:tbl>
    <w:p>
      <w:pPr>
        <w:rPr>
          <w:rFonts w:ascii="宋体" w:hAnsi="宋体"/>
          <w:spacing w:val="10"/>
          <w:sz w:val="28"/>
          <w:szCs w:val="28"/>
          <w:highlight w:val="none"/>
        </w:rPr>
      </w:pPr>
      <w:r>
        <w:rPr>
          <w:rFonts w:hint="eastAsia" w:ascii="宋体" w:hAnsi="宋体"/>
          <w:spacing w:val="10"/>
          <w:sz w:val="28"/>
          <w:szCs w:val="28"/>
          <w:highlight w:val="none"/>
        </w:rPr>
        <w:t>2.1.4.</w:t>
      </w:r>
      <w:r>
        <w:rPr>
          <w:rFonts w:ascii="宋体" w:hAnsi="宋体"/>
          <w:spacing w:val="10"/>
          <w:sz w:val="28"/>
          <w:szCs w:val="28"/>
          <w:highlight w:val="none"/>
        </w:rPr>
        <w:t>2800RT</w:t>
      </w:r>
      <w:r>
        <w:rPr>
          <w:rFonts w:hint="eastAsia" w:ascii="宋体" w:hAnsi="宋体"/>
          <w:spacing w:val="10"/>
          <w:sz w:val="28"/>
          <w:szCs w:val="28"/>
          <w:highlight w:val="none"/>
        </w:rPr>
        <w:t>工频离心式冷水机组技术要求：</w:t>
      </w:r>
    </w:p>
    <w:tbl>
      <w:tblPr>
        <w:tblStyle w:val="16"/>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4"/>
        <w:gridCol w:w="839"/>
        <w:gridCol w:w="166"/>
        <w:gridCol w:w="2648"/>
        <w:gridCol w:w="5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59" w:type="pct"/>
            <w:vMerge w:val="restart"/>
            <w:noWrap w:val="0"/>
            <w:vAlign w:val="center"/>
          </w:tcPr>
          <w:p>
            <w:pPr>
              <w:spacing w:before="153"/>
              <w:ind w:left="104" w:right="103"/>
              <w:jc w:val="center"/>
              <w:rPr>
                <w:rFonts w:ascii="等线" w:hAnsi="等线"/>
                <w:sz w:val="20"/>
                <w:highlight w:val="none"/>
                <w:lang w:eastAsia="en-US"/>
              </w:rPr>
            </w:pPr>
            <w:r>
              <w:rPr>
                <w:rFonts w:hint="eastAsia" w:ascii="等线" w:hAnsi="等线"/>
                <w:sz w:val="20"/>
                <w:highlight w:val="none"/>
              </w:rPr>
              <w:t>序号</w:t>
            </w:r>
          </w:p>
        </w:tc>
        <w:tc>
          <w:tcPr>
            <w:tcW w:w="1955" w:type="pct"/>
            <w:gridSpan w:val="3"/>
            <w:vMerge w:val="restart"/>
            <w:noWrap w:val="0"/>
            <w:vAlign w:val="center"/>
          </w:tcPr>
          <w:p>
            <w:pPr>
              <w:tabs>
                <w:tab w:val="left" w:pos="1806"/>
              </w:tabs>
              <w:spacing w:before="19"/>
              <w:ind w:left="767"/>
              <w:jc w:val="left"/>
              <w:rPr>
                <w:rFonts w:ascii="等线" w:hAnsi="等线"/>
                <w:sz w:val="20"/>
                <w:highlight w:val="none"/>
                <w:lang w:eastAsia="en-US"/>
              </w:rPr>
            </w:pPr>
            <w:r>
              <w:rPr>
                <w:rFonts w:hint="eastAsia" w:ascii="等线" w:hAnsi="等线"/>
                <w:sz w:val="20"/>
                <w:highlight w:val="none"/>
              </w:rPr>
              <w:t>项</w:t>
            </w:r>
            <w:r>
              <w:rPr>
                <w:rFonts w:ascii="等线" w:hAnsi="等线"/>
                <w:sz w:val="20"/>
                <w:highlight w:val="none"/>
              </w:rPr>
              <w:tab/>
            </w:r>
            <w:r>
              <w:rPr>
                <w:rFonts w:hint="eastAsia" w:ascii="等线" w:hAnsi="等线"/>
                <w:sz w:val="20"/>
                <w:highlight w:val="none"/>
              </w:rPr>
              <w:t>目</w:t>
            </w:r>
          </w:p>
        </w:tc>
        <w:tc>
          <w:tcPr>
            <w:tcW w:w="2784" w:type="pct"/>
            <w:vMerge w:val="restart"/>
            <w:noWrap w:val="0"/>
            <w:vAlign w:val="center"/>
          </w:tcPr>
          <w:p>
            <w:pPr>
              <w:tabs>
                <w:tab w:val="left" w:pos="1728"/>
                <w:tab w:val="left" w:pos="2508"/>
                <w:tab w:val="left" w:pos="3290"/>
              </w:tabs>
              <w:spacing w:before="19"/>
              <w:ind w:left="133"/>
              <w:jc w:val="center"/>
              <w:rPr>
                <w:rFonts w:ascii="宋体" w:hAnsi="宋体" w:cs="宋体"/>
                <w:b/>
                <w:bCs/>
                <w:szCs w:val="21"/>
                <w:highlight w:val="none"/>
              </w:rPr>
            </w:pPr>
            <w:r>
              <w:rPr>
                <w:rFonts w:hint="eastAsia" w:ascii="宋体" w:hAnsi="宋体" w:cs="宋体"/>
                <w:b/>
                <w:bCs/>
                <w:szCs w:val="21"/>
                <w:highlight w:val="none"/>
              </w:rPr>
              <w:t>2800RT工频离心式冷水机组</w:t>
            </w:r>
          </w:p>
          <w:p>
            <w:pPr>
              <w:tabs>
                <w:tab w:val="left" w:pos="1728"/>
                <w:tab w:val="left" w:pos="2508"/>
                <w:tab w:val="left" w:pos="3290"/>
              </w:tabs>
              <w:spacing w:before="19"/>
              <w:ind w:left="133"/>
              <w:jc w:val="center"/>
              <w:rPr>
                <w:rFonts w:ascii="宋体" w:hAnsi="宋体" w:cs="宋体"/>
                <w:b/>
                <w:bCs/>
                <w:szCs w:val="21"/>
                <w:highlight w:val="none"/>
              </w:rPr>
            </w:pPr>
            <w:r>
              <w:rPr>
                <w:rFonts w:hint="eastAsia" w:ascii="宋体" w:hAnsi="宋体" w:cs="宋体"/>
                <w:b/>
                <w:bCs/>
                <w:szCs w:val="21"/>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259" w:type="pct"/>
            <w:vMerge w:val="continue"/>
            <w:noWrap w:val="0"/>
            <w:vAlign w:val="center"/>
          </w:tcPr>
          <w:p>
            <w:pPr>
              <w:jc w:val="center"/>
              <w:rPr>
                <w:rFonts w:ascii="等线" w:hAnsi="等线"/>
                <w:highlight w:val="none"/>
              </w:rPr>
            </w:pPr>
          </w:p>
        </w:tc>
        <w:tc>
          <w:tcPr>
            <w:tcW w:w="1955" w:type="pct"/>
            <w:gridSpan w:val="3"/>
            <w:vMerge w:val="continue"/>
            <w:noWrap w:val="0"/>
            <w:vAlign w:val="center"/>
          </w:tcPr>
          <w:p>
            <w:pPr>
              <w:jc w:val="center"/>
              <w:rPr>
                <w:rFonts w:ascii="等线" w:hAnsi="等线"/>
                <w:highlight w:val="none"/>
              </w:rPr>
            </w:pPr>
          </w:p>
        </w:tc>
        <w:tc>
          <w:tcPr>
            <w:tcW w:w="2784" w:type="pct"/>
            <w:vMerge w:val="continue"/>
            <w:noWrap w:val="0"/>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9" w:type="pct"/>
            <w:noWrap w:val="0"/>
            <w:vAlign w:val="center"/>
          </w:tcPr>
          <w:p>
            <w:pPr>
              <w:jc w:val="center"/>
              <w:rPr>
                <w:rFonts w:ascii="等线" w:hAnsi="等线"/>
                <w:sz w:val="20"/>
                <w:highlight w:val="none"/>
                <w:lang w:eastAsia="en-US"/>
              </w:rPr>
            </w:pPr>
            <w:r>
              <w:rPr>
                <w:rFonts w:ascii="等线" w:hAnsi="等线"/>
                <w:w w:val="99"/>
                <w:sz w:val="20"/>
                <w:highlight w:val="none"/>
              </w:rPr>
              <w:t>1</w:t>
            </w:r>
          </w:p>
        </w:tc>
        <w:tc>
          <w:tcPr>
            <w:tcW w:w="1955" w:type="pct"/>
            <w:gridSpan w:val="3"/>
            <w:noWrap w:val="0"/>
            <w:vAlign w:val="center"/>
          </w:tcPr>
          <w:p>
            <w:pPr>
              <w:spacing w:before="14"/>
              <w:ind w:left="28"/>
              <w:jc w:val="center"/>
              <w:rPr>
                <w:rFonts w:ascii="等线" w:hAnsi="等线"/>
                <w:sz w:val="20"/>
                <w:highlight w:val="none"/>
                <w:lang w:eastAsia="en-US"/>
              </w:rPr>
            </w:pPr>
            <w:r>
              <w:rPr>
                <w:rFonts w:hint="eastAsia" w:ascii="等线" w:hAnsi="等线"/>
                <w:sz w:val="20"/>
                <w:highlight w:val="none"/>
              </w:rPr>
              <w:t>使用场所</w:t>
            </w:r>
          </w:p>
        </w:tc>
        <w:tc>
          <w:tcPr>
            <w:tcW w:w="2784" w:type="pct"/>
            <w:noWrap w:val="0"/>
            <w:vAlign w:val="center"/>
          </w:tcPr>
          <w:p>
            <w:pPr>
              <w:tabs>
                <w:tab w:val="left" w:pos="907"/>
                <w:tab w:val="left" w:pos="2008"/>
                <w:tab w:val="left" w:pos="3155"/>
              </w:tabs>
              <w:spacing w:before="14"/>
              <w:ind w:left="26"/>
              <w:jc w:val="center"/>
              <w:rPr>
                <w:rFonts w:ascii="宋体" w:hAnsi="宋体" w:cs="宋体"/>
                <w:szCs w:val="21"/>
                <w:highlight w:val="none"/>
                <w:lang w:eastAsia="en-US"/>
              </w:rPr>
            </w:pPr>
            <w:r>
              <w:rPr>
                <w:rFonts w:hint="eastAsia" w:ascii="宋体" w:hAnsi="宋体" w:cs="宋体"/>
                <w:szCs w:val="21"/>
                <w:highlight w:val="non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9" w:type="pct"/>
            <w:noWrap w:val="0"/>
            <w:vAlign w:val="center"/>
          </w:tcPr>
          <w:p>
            <w:pPr>
              <w:jc w:val="center"/>
              <w:rPr>
                <w:rFonts w:ascii="等线" w:hAnsi="等线"/>
                <w:w w:val="99"/>
                <w:sz w:val="20"/>
                <w:highlight w:val="none"/>
              </w:rPr>
            </w:pPr>
            <w:r>
              <w:rPr>
                <w:rFonts w:ascii="等线" w:hAnsi="等线"/>
                <w:w w:val="99"/>
                <w:sz w:val="20"/>
                <w:highlight w:val="none"/>
              </w:rPr>
              <w:t>2</w:t>
            </w:r>
          </w:p>
        </w:tc>
        <w:tc>
          <w:tcPr>
            <w:tcW w:w="1955" w:type="pct"/>
            <w:gridSpan w:val="3"/>
            <w:noWrap w:val="0"/>
            <w:vAlign w:val="center"/>
          </w:tcPr>
          <w:p>
            <w:pPr>
              <w:spacing w:before="14"/>
              <w:ind w:left="28"/>
              <w:jc w:val="center"/>
              <w:rPr>
                <w:rFonts w:ascii="等线" w:hAnsi="等线"/>
                <w:sz w:val="20"/>
                <w:highlight w:val="none"/>
              </w:rPr>
            </w:pPr>
            <w:r>
              <w:rPr>
                <w:rFonts w:hint="eastAsia" w:ascii="等线" w:hAnsi="等线"/>
                <w:sz w:val="20"/>
                <w:highlight w:val="none"/>
              </w:rPr>
              <w:t>数量</w:t>
            </w:r>
          </w:p>
        </w:tc>
        <w:tc>
          <w:tcPr>
            <w:tcW w:w="2784" w:type="pct"/>
            <w:noWrap w:val="0"/>
            <w:vAlign w:val="center"/>
          </w:tcPr>
          <w:p>
            <w:pPr>
              <w:tabs>
                <w:tab w:val="left" w:pos="907"/>
                <w:tab w:val="left" w:pos="2008"/>
                <w:tab w:val="left" w:pos="3155"/>
              </w:tabs>
              <w:spacing w:before="14"/>
              <w:ind w:left="26"/>
              <w:jc w:val="center"/>
              <w:rPr>
                <w:rFonts w:ascii="宋体" w:hAnsi="宋体" w:cs="宋体"/>
                <w:szCs w:val="21"/>
                <w:highlight w:val="none"/>
              </w:rPr>
            </w:pPr>
            <w:r>
              <w:rPr>
                <w:rFonts w:hint="eastAsia" w:ascii="宋体" w:hAnsi="宋体" w:cs="宋体"/>
                <w:szCs w:val="21"/>
                <w:highlight w:val="none"/>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259" w:type="pct"/>
            <w:vMerge w:val="restart"/>
            <w:noWrap w:val="0"/>
            <w:vAlign w:val="center"/>
          </w:tcPr>
          <w:p>
            <w:pPr>
              <w:jc w:val="center"/>
              <w:rPr>
                <w:rFonts w:ascii="等线" w:hAnsi="等线"/>
                <w:sz w:val="20"/>
                <w:highlight w:val="none"/>
                <w:lang w:eastAsia="en-US"/>
              </w:rPr>
            </w:pPr>
            <w:r>
              <w:rPr>
                <w:rFonts w:ascii="等线" w:hAnsi="等线"/>
                <w:w w:val="99"/>
                <w:sz w:val="20"/>
                <w:highlight w:val="none"/>
              </w:rPr>
              <w:t>3</w:t>
            </w:r>
          </w:p>
        </w:tc>
        <w:tc>
          <w:tcPr>
            <w:tcW w:w="449" w:type="pct"/>
            <w:vMerge w:val="restart"/>
            <w:noWrap w:val="0"/>
            <w:vAlign w:val="center"/>
          </w:tcPr>
          <w:p>
            <w:pPr>
              <w:spacing w:before="240"/>
              <w:ind w:right="18"/>
              <w:jc w:val="center"/>
              <w:rPr>
                <w:rFonts w:ascii="等线" w:hAnsi="等线"/>
                <w:sz w:val="20"/>
                <w:highlight w:val="none"/>
                <w:lang w:eastAsia="en-US"/>
              </w:rPr>
            </w:pPr>
            <w:r>
              <w:rPr>
                <w:rFonts w:hint="eastAsia" w:ascii="等线" w:hAnsi="等线"/>
                <w:sz w:val="20"/>
                <w:highlight w:val="none"/>
              </w:rPr>
              <w:t>制冷参数</w:t>
            </w: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冷冻水进</w:t>
            </w:r>
            <w:r>
              <w:rPr>
                <w:rFonts w:ascii="等线" w:hAnsi="等线"/>
                <w:sz w:val="20"/>
                <w:highlight w:val="none"/>
              </w:rPr>
              <w:t>/</w:t>
            </w:r>
            <w:r>
              <w:rPr>
                <w:rFonts w:hint="eastAsia" w:ascii="等线" w:hAnsi="等线"/>
                <w:sz w:val="20"/>
                <w:highlight w:val="none"/>
              </w:rPr>
              <w:t>出水温度</w:t>
            </w:r>
          </w:p>
        </w:tc>
        <w:tc>
          <w:tcPr>
            <w:tcW w:w="2784" w:type="pct"/>
            <w:noWrap w:val="0"/>
            <w:vAlign w:val="center"/>
          </w:tcPr>
          <w:p>
            <w:pPr>
              <w:spacing w:before="84"/>
              <w:ind w:left="26"/>
              <w:jc w:val="center"/>
              <w:rPr>
                <w:rFonts w:ascii="宋体" w:hAnsi="宋体" w:cs="宋体"/>
                <w:szCs w:val="21"/>
                <w:highlight w:val="none"/>
              </w:rPr>
            </w:pPr>
            <w:r>
              <w:rPr>
                <w:rFonts w:hint="eastAsia" w:ascii="宋体" w:hAnsi="宋体" w:cs="宋体"/>
                <w:szCs w:val="21"/>
                <w:highlight w:val="none"/>
              </w:rPr>
              <w:t>运行工况：13℃/6℃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b/>
                <w:bCs/>
                <w:sz w:val="20"/>
                <w:highlight w:val="none"/>
              </w:rPr>
            </w:pPr>
            <w:r>
              <w:rPr>
                <w:rFonts w:hint="eastAsia" w:ascii="等线" w:hAnsi="等线"/>
                <w:bCs/>
                <w:color w:val="000000"/>
                <w:sz w:val="20"/>
                <w:highlight w:val="none"/>
              </w:rPr>
              <w:t>蒸发器污垢系数</w:t>
            </w:r>
          </w:p>
        </w:tc>
        <w:tc>
          <w:tcPr>
            <w:tcW w:w="2784" w:type="pct"/>
            <w:noWrap w:val="0"/>
            <w:vAlign w:val="center"/>
          </w:tcPr>
          <w:p>
            <w:pPr>
              <w:tabs>
                <w:tab w:val="left" w:pos="1084"/>
              </w:tabs>
              <w:ind w:right="65"/>
              <w:jc w:val="center"/>
              <w:rPr>
                <w:rFonts w:ascii="宋体" w:hAnsi="宋体" w:cs="宋体"/>
                <w:szCs w:val="21"/>
                <w:highlight w:val="none"/>
              </w:rPr>
            </w:pPr>
            <w:r>
              <w:rPr>
                <w:rFonts w:hint="eastAsia" w:ascii="宋体" w:hAnsi="宋体" w:cs="宋体"/>
                <w:bCs/>
                <w:color w:val="000000"/>
                <w:szCs w:val="21"/>
                <w:highlight w:val="none"/>
              </w:rPr>
              <w:t>≤0.0176㎡·K/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冷却水进</w:t>
            </w:r>
            <w:r>
              <w:rPr>
                <w:rFonts w:ascii="等线" w:hAnsi="等线"/>
                <w:sz w:val="20"/>
                <w:highlight w:val="none"/>
              </w:rPr>
              <w:t>/</w:t>
            </w:r>
            <w:r>
              <w:rPr>
                <w:rFonts w:hint="eastAsia" w:ascii="等线" w:hAnsi="等线"/>
                <w:sz w:val="20"/>
                <w:highlight w:val="none"/>
              </w:rPr>
              <w:t>出水温度</w:t>
            </w:r>
          </w:p>
        </w:tc>
        <w:tc>
          <w:tcPr>
            <w:tcW w:w="2784" w:type="pct"/>
            <w:noWrap w:val="0"/>
            <w:vAlign w:val="center"/>
          </w:tcPr>
          <w:p>
            <w:pPr>
              <w:tabs>
                <w:tab w:val="left" w:pos="1084"/>
              </w:tabs>
              <w:ind w:right="65"/>
              <w:jc w:val="center"/>
              <w:rPr>
                <w:rFonts w:ascii="宋体" w:hAnsi="宋体" w:cs="宋体"/>
                <w:szCs w:val="21"/>
                <w:highlight w:val="none"/>
              </w:rPr>
            </w:pPr>
            <w:r>
              <w:rPr>
                <w:rFonts w:hint="eastAsia" w:ascii="宋体" w:hAnsi="宋体" w:cs="宋体"/>
                <w:szCs w:val="21"/>
                <w:highlight w:val="none"/>
              </w:rPr>
              <w:t>运行工况：32℃/37℃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冷凝器污垢系数</w:t>
            </w:r>
          </w:p>
        </w:tc>
        <w:tc>
          <w:tcPr>
            <w:tcW w:w="2784" w:type="pct"/>
            <w:noWrap w:val="0"/>
            <w:vAlign w:val="center"/>
          </w:tcPr>
          <w:p>
            <w:pPr>
              <w:spacing w:before="41"/>
              <w:ind w:left="26"/>
              <w:jc w:val="center"/>
              <w:rPr>
                <w:rFonts w:ascii="宋体" w:hAnsi="宋体" w:cs="宋体"/>
                <w:szCs w:val="21"/>
                <w:highlight w:val="none"/>
              </w:rPr>
            </w:pPr>
            <w:r>
              <w:rPr>
                <w:rFonts w:hint="eastAsia" w:ascii="宋体" w:hAnsi="宋体" w:cs="宋体"/>
                <w:bCs/>
                <w:color w:val="000000"/>
                <w:szCs w:val="21"/>
                <w:highlight w:val="none"/>
              </w:rPr>
              <w:t>≤0.0440㎡·K/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蒸发器压降</w:t>
            </w:r>
          </w:p>
        </w:tc>
        <w:tc>
          <w:tcPr>
            <w:tcW w:w="2784" w:type="pct"/>
            <w:noWrap w:val="0"/>
            <w:vAlign w:val="center"/>
          </w:tcPr>
          <w:p>
            <w:pPr>
              <w:tabs>
                <w:tab w:val="left" w:pos="628"/>
              </w:tabs>
              <w:spacing w:before="70"/>
              <w:ind w:left="26"/>
              <w:jc w:val="center"/>
              <w:rPr>
                <w:rFonts w:ascii="宋体" w:hAnsi="宋体" w:cs="宋体"/>
                <w:szCs w:val="21"/>
                <w:highlight w:val="none"/>
                <w:lang w:eastAsia="en-US"/>
              </w:rPr>
            </w:pPr>
            <w:r>
              <w:rPr>
                <w:rFonts w:hint="eastAsia" w:ascii="宋体" w:hAnsi="宋体" w:cs="宋体"/>
                <w:bCs/>
                <w:color w:val="000000"/>
                <w:szCs w:val="21"/>
                <w:highlight w:val="none"/>
              </w:rPr>
              <w:t>≤54</w:t>
            </w:r>
            <w:r>
              <w:rPr>
                <w:rFonts w:hint="eastAsia" w:ascii="宋体" w:hAnsi="宋体" w:cs="宋体"/>
                <w:position w:val="1"/>
                <w:szCs w:val="21"/>
                <w:highlight w:val="none"/>
              </w:rPr>
              <w:t>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冷凝器压降</w:t>
            </w:r>
          </w:p>
        </w:tc>
        <w:tc>
          <w:tcPr>
            <w:tcW w:w="2784" w:type="pct"/>
            <w:noWrap w:val="0"/>
            <w:vAlign w:val="center"/>
          </w:tcPr>
          <w:p>
            <w:pPr>
              <w:tabs>
                <w:tab w:val="left" w:pos="628"/>
              </w:tabs>
              <w:spacing w:before="70"/>
              <w:jc w:val="center"/>
              <w:rPr>
                <w:rFonts w:ascii="宋体" w:hAnsi="宋体" w:cs="宋体"/>
                <w:szCs w:val="21"/>
                <w:highlight w:val="none"/>
                <w:lang w:eastAsia="en-US"/>
              </w:rPr>
            </w:pPr>
            <w:r>
              <w:rPr>
                <w:rFonts w:hint="eastAsia" w:ascii="宋体" w:hAnsi="宋体" w:cs="宋体"/>
                <w:bCs/>
                <w:color w:val="000000"/>
                <w:szCs w:val="21"/>
                <w:highlight w:val="none"/>
              </w:rPr>
              <w:t>≤75</w:t>
            </w:r>
            <w:r>
              <w:rPr>
                <w:rFonts w:hint="eastAsia" w:ascii="宋体" w:hAnsi="宋体" w:cs="宋体"/>
                <w:position w:val="1"/>
                <w:szCs w:val="21"/>
                <w:highlight w:val="none"/>
              </w:rPr>
              <w:t>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运行模式</w:t>
            </w:r>
          </w:p>
        </w:tc>
        <w:tc>
          <w:tcPr>
            <w:tcW w:w="2784" w:type="pct"/>
            <w:noWrap w:val="0"/>
            <w:vAlign w:val="center"/>
          </w:tcPr>
          <w:p>
            <w:pPr>
              <w:tabs>
                <w:tab w:val="left" w:pos="628"/>
              </w:tabs>
              <w:spacing w:before="70"/>
              <w:jc w:val="center"/>
              <w:rPr>
                <w:rFonts w:ascii="宋体" w:hAnsi="宋体" w:cs="宋体"/>
                <w:szCs w:val="21"/>
                <w:highlight w:val="none"/>
              </w:rPr>
            </w:pPr>
            <w:r>
              <w:rPr>
                <w:rFonts w:hint="eastAsia" w:ascii="宋体" w:hAnsi="宋体" w:cs="宋体"/>
                <w:szCs w:val="21"/>
                <w:highlight w:val="none"/>
              </w:rPr>
              <w:t>一年365天，24小时运行。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冷凝器清洗功能</w:t>
            </w:r>
          </w:p>
        </w:tc>
        <w:tc>
          <w:tcPr>
            <w:tcW w:w="2784" w:type="pct"/>
            <w:noWrap w:val="0"/>
            <w:vAlign w:val="center"/>
          </w:tcPr>
          <w:p>
            <w:pPr>
              <w:tabs>
                <w:tab w:val="left" w:pos="628"/>
              </w:tabs>
              <w:spacing w:before="70"/>
              <w:jc w:val="center"/>
              <w:rPr>
                <w:rFonts w:ascii="宋体" w:hAnsi="宋体" w:cs="宋体"/>
                <w:szCs w:val="21"/>
                <w:highlight w:val="none"/>
              </w:rPr>
            </w:pPr>
            <w:r>
              <w:rPr>
                <w:rFonts w:hint="eastAsia" w:ascii="宋体" w:hAnsi="宋体" w:cs="宋体"/>
                <w:szCs w:val="21"/>
                <w:highlight w:val="none"/>
              </w:rPr>
              <w:t>冷凝器自动在线清洗装置的胶球顺利走完冷凝器全管程，不卡球。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9" w:type="pct"/>
            <w:vMerge w:val="restart"/>
            <w:noWrap w:val="0"/>
            <w:vAlign w:val="center"/>
          </w:tcPr>
          <w:p>
            <w:pPr>
              <w:jc w:val="center"/>
              <w:rPr>
                <w:rFonts w:ascii="等线" w:hAnsi="等线"/>
                <w:w w:val="99"/>
                <w:sz w:val="20"/>
                <w:highlight w:val="none"/>
              </w:rPr>
            </w:pPr>
            <w:r>
              <w:rPr>
                <w:rFonts w:ascii="等线" w:hAnsi="等线"/>
                <w:w w:val="99"/>
                <w:sz w:val="20"/>
                <w:highlight w:val="none"/>
              </w:rPr>
              <w:t>4</w:t>
            </w:r>
          </w:p>
        </w:tc>
        <w:tc>
          <w:tcPr>
            <w:tcW w:w="449" w:type="pct"/>
            <w:vMerge w:val="restart"/>
            <w:noWrap w:val="0"/>
            <w:vAlign w:val="center"/>
          </w:tcPr>
          <w:p>
            <w:pPr>
              <w:jc w:val="center"/>
              <w:rPr>
                <w:rFonts w:ascii="等线" w:hAnsi="等线"/>
                <w:sz w:val="20"/>
                <w:highlight w:val="none"/>
              </w:rPr>
            </w:pPr>
            <w:r>
              <w:rPr>
                <w:rFonts w:hint="eastAsia" w:ascii="等线" w:hAnsi="等线"/>
                <w:sz w:val="20"/>
                <w:highlight w:val="none"/>
              </w:rPr>
              <w:t>能耗</w:t>
            </w:r>
          </w:p>
        </w:tc>
        <w:tc>
          <w:tcPr>
            <w:tcW w:w="1506" w:type="pct"/>
            <w:gridSpan w:val="2"/>
            <w:noWrap w:val="0"/>
            <w:vAlign w:val="center"/>
          </w:tcPr>
          <w:p>
            <w:pPr>
              <w:spacing w:before="14"/>
              <w:ind w:left="24"/>
              <w:jc w:val="center"/>
              <w:rPr>
                <w:rFonts w:ascii="等线" w:hAnsi="等线"/>
                <w:sz w:val="20"/>
                <w:highlight w:val="none"/>
              </w:rPr>
            </w:pPr>
            <w:r>
              <w:rPr>
                <w:rFonts w:hint="eastAsia" w:ascii="等线" w:hAnsi="等线"/>
                <w:sz w:val="20"/>
                <w:highlight w:val="none"/>
              </w:rPr>
              <w:t>制冷量</w:t>
            </w:r>
            <w:r>
              <w:rPr>
                <w:rFonts w:ascii="等线" w:hAnsi="等线"/>
                <w:sz w:val="20"/>
                <w:highlight w:val="none"/>
              </w:rPr>
              <w:t>(</w:t>
            </w:r>
            <w:r>
              <w:rPr>
                <w:rFonts w:hint="eastAsia" w:ascii="等线" w:hAnsi="等线" w:cs="等线"/>
                <w:sz w:val="20"/>
                <w:highlight w:val="none"/>
              </w:rPr>
              <w:t>国标工况</w:t>
            </w:r>
            <w:r>
              <w:rPr>
                <w:rFonts w:ascii="等线" w:hAnsi="等线" w:cs="等线"/>
                <w:sz w:val="20"/>
                <w:highlight w:val="none"/>
              </w:rPr>
              <w:t>)</w:t>
            </w:r>
          </w:p>
        </w:tc>
        <w:tc>
          <w:tcPr>
            <w:tcW w:w="2784" w:type="pct"/>
            <w:noWrap w:val="0"/>
            <w:vAlign w:val="center"/>
          </w:tcPr>
          <w:p>
            <w:pPr>
              <w:tabs>
                <w:tab w:val="left" w:pos="1070"/>
              </w:tabs>
              <w:spacing w:before="14"/>
              <w:ind w:left="-140"/>
              <w:jc w:val="center"/>
              <w:rPr>
                <w:rFonts w:ascii="宋体" w:hAnsi="宋体" w:cs="宋体"/>
                <w:szCs w:val="21"/>
                <w:highlight w:val="none"/>
                <w:u w:val="single"/>
              </w:rPr>
            </w:pPr>
            <w:r>
              <w:rPr>
                <w:rFonts w:hint="eastAsia" w:ascii="宋体" w:hAnsi="宋体" w:cs="宋体"/>
                <w:szCs w:val="21"/>
                <w:highlight w:val="none"/>
              </w:rPr>
              <w:t>≥9846kw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sz w:val="22"/>
                <w:highlight w:val="none"/>
                <w:lang w:eastAsia="en-US"/>
              </w:rPr>
              <w:t>空调工况</w:t>
            </w:r>
          </w:p>
        </w:tc>
        <w:tc>
          <w:tcPr>
            <w:tcW w:w="2784" w:type="pct"/>
            <w:noWrap w:val="0"/>
            <w:vAlign w:val="center"/>
          </w:tcPr>
          <w:p>
            <w:pPr>
              <w:spacing w:before="14"/>
              <w:ind w:left="26"/>
              <w:jc w:val="center"/>
              <w:rPr>
                <w:rFonts w:ascii="宋体" w:hAnsi="宋体" w:cs="宋体"/>
                <w:szCs w:val="21"/>
                <w:highlight w:val="none"/>
              </w:rPr>
            </w:pPr>
            <w:r>
              <w:rPr>
                <w:rFonts w:hint="eastAsia" w:ascii="宋体" w:hAnsi="宋体" w:cs="宋体"/>
                <w:szCs w:val="21"/>
                <w:highlight w:val="none"/>
              </w:rPr>
              <w:t>国标工况：COP≥6.08（冷冻水进出口温度13/6℃，冷却水进出口温度32/37℃）；COP满足国家标准一级能效及以上。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259" w:type="pct"/>
            <w:vMerge w:val="restart"/>
            <w:noWrap w:val="0"/>
            <w:vAlign w:val="center"/>
          </w:tcPr>
          <w:p>
            <w:pPr>
              <w:jc w:val="center"/>
              <w:rPr>
                <w:rFonts w:ascii="等线" w:hAnsi="等线"/>
                <w:sz w:val="20"/>
                <w:highlight w:val="none"/>
              </w:rPr>
            </w:pPr>
            <w:r>
              <w:rPr>
                <w:rFonts w:hint="eastAsia" w:ascii="等线" w:hAnsi="等线"/>
                <w:sz w:val="20"/>
                <w:highlight w:val="none"/>
              </w:rPr>
              <w:t>5</w:t>
            </w:r>
          </w:p>
        </w:tc>
        <w:tc>
          <w:tcPr>
            <w:tcW w:w="449" w:type="pct"/>
            <w:vMerge w:val="restart"/>
            <w:noWrap w:val="0"/>
            <w:vAlign w:val="center"/>
          </w:tcPr>
          <w:p>
            <w:pPr>
              <w:spacing w:before="233"/>
              <w:ind w:left="28" w:right="18"/>
              <w:jc w:val="center"/>
              <w:rPr>
                <w:rFonts w:ascii="等线" w:hAnsi="等线"/>
                <w:sz w:val="20"/>
                <w:highlight w:val="none"/>
                <w:lang w:eastAsia="en-US"/>
              </w:rPr>
            </w:pPr>
            <w:r>
              <w:rPr>
                <w:rFonts w:hint="eastAsia" w:ascii="等线" w:hAnsi="等线"/>
                <w:sz w:val="20"/>
                <w:highlight w:val="none"/>
              </w:rPr>
              <w:t>噪声及振动</w:t>
            </w: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噪声值</w:t>
            </w:r>
          </w:p>
        </w:tc>
        <w:tc>
          <w:tcPr>
            <w:tcW w:w="2784" w:type="pct"/>
            <w:noWrap w:val="0"/>
            <w:vAlign w:val="center"/>
          </w:tcPr>
          <w:p>
            <w:pPr>
              <w:tabs>
                <w:tab w:val="left" w:pos="909"/>
              </w:tabs>
              <w:spacing w:before="14"/>
              <w:ind w:left="26"/>
              <w:jc w:val="center"/>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u w:val="single"/>
              </w:rPr>
              <w:t>85</w:t>
            </w:r>
            <w:r>
              <w:rPr>
                <w:rFonts w:hint="eastAsia" w:ascii="宋体" w:hAnsi="宋体" w:cs="宋体"/>
                <w:szCs w:val="21"/>
                <w:highlight w:val="none"/>
              </w:rPr>
              <w:t>dBA，提供AHRI认证选型报告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振动值</w:t>
            </w:r>
          </w:p>
        </w:tc>
        <w:tc>
          <w:tcPr>
            <w:tcW w:w="2784" w:type="pct"/>
            <w:noWrap w:val="0"/>
            <w:vAlign w:val="center"/>
          </w:tcPr>
          <w:p>
            <w:pPr>
              <w:spacing w:before="21"/>
              <w:ind w:left="26"/>
              <w:jc w:val="center"/>
              <w:rPr>
                <w:rFonts w:ascii="宋体" w:hAnsi="宋体" w:cs="宋体"/>
                <w:szCs w:val="21"/>
                <w:highlight w:val="none"/>
                <w:lang w:eastAsia="en-US"/>
              </w:rPr>
            </w:pPr>
            <w:r>
              <w:rPr>
                <w:rFonts w:hint="eastAsia" w:ascii="宋体" w:hAnsi="宋体" w:cs="宋体"/>
                <w:szCs w:val="21"/>
                <w:highlight w:val="none"/>
              </w:rPr>
              <w:t>≤15μm/m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1"/>
              <w:ind w:left="24"/>
              <w:jc w:val="center"/>
              <w:rPr>
                <w:rFonts w:ascii="等线" w:hAnsi="等线"/>
                <w:sz w:val="20"/>
                <w:highlight w:val="none"/>
                <w:lang w:eastAsia="en-US"/>
              </w:rPr>
            </w:pPr>
            <w:r>
              <w:rPr>
                <w:rFonts w:hint="eastAsia" w:ascii="等线" w:hAnsi="等线"/>
                <w:sz w:val="20"/>
                <w:highlight w:val="none"/>
              </w:rPr>
              <w:t>减振器型式</w:t>
            </w:r>
          </w:p>
        </w:tc>
        <w:tc>
          <w:tcPr>
            <w:tcW w:w="2784" w:type="pct"/>
            <w:noWrap w:val="0"/>
            <w:vAlign w:val="center"/>
          </w:tcPr>
          <w:p>
            <w:pPr>
              <w:spacing w:before="21"/>
              <w:ind w:left="26"/>
              <w:jc w:val="center"/>
              <w:rPr>
                <w:rFonts w:ascii="宋体" w:hAnsi="宋体" w:cs="宋体"/>
                <w:szCs w:val="21"/>
                <w:highlight w:val="none"/>
              </w:rPr>
            </w:pPr>
            <w:r>
              <w:rPr>
                <w:rFonts w:hint="eastAsia" w:ascii="宋体" w:hAnsi="宋体" w:cs="宋体"/>
                <w:szCs w:val="21"/>
                <w:highlight w:val="none"/>
              </w:rPr>
              <w:t>橡胶减振器或弹簧减震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259" w:type="pct"/>
            <w:noWrap w:val="0"/>
            <w:vAlign w:val="center"/>
          </w:tcPr>
          <w:p>
            <w:pPr>
              <w:spacing w:before="153"/>
              <w:jc w:val="center"/>
              <w:rPr>
                <w:rFonts w:ascii="等线" w:hAnsi="等线"/>
                <w:sz w:val="20"/>
                <w:highlight w:val="none"/>
                <w:lang w:eastAsia="en-US"/>
              </w:rPr>
            </w:pPr>
            <w:r>
              <w:rPr>
                <w:rFonts w:ascii="等线" w:hAnsi="等线"/>
                <w:w w:val="99"/>
                <w:sz w:val="20"/>
                <w:highlight w:val="none"/>
              </w:rPr>
              <w:t>6</w:t>
            </w:r>
          </w:p>
        </w:tc>
        <w:tc>
          <w:tcPr>
            <w:tcW w:w="449" w:type="pct"/>
            <w:noWrap w:val="0"/>
            <w:vAlign w:val="center"/>
          </w:tcPr>
          <w:p>
            <w:pPr>
              <w:spacing w:before="230"/>
              <w:ind w:left="138" w:right="128"/>
              <w:jc w:val="center"/>
              <w:rPr>
                <w:rFonts w:ascii="等线" w:hAnsi="等线"/>
                <w:sz w:val="20"/>
                <w:highlight w:val="none"/>
                <w:lang w:eastAsia="en-US"/>
              </w:rPr>
            </w:pPr>
            <w:r>
              <w:rPr>
                <w:rFonts w:hint="eastAsia" w:ascii="等线" w:hAnsi="等线"/>
                <w:sz w:val="20"/>
                <w:highlight w:val="none"/>
              </w:rPr>
              <w:t>冷媒</w:t>
            </w:r>
          </w:p>
        </w:tc>
        <w:tc>
          <w:tcPr>
            <w:tcW w:w="1506" w:type="pct"/>
            <w:gridSpan w:val="2"/>
            <w:noWrap w:val="0"/>
            <w:vAlign w:val="center"/>
          </w:tcPr>
          <w:p>
            <w:pPr>
              <w:spacing w:before="14"/>
              <w:ind w:left="24"/>
              <w:jc w:val="center"/>
              <w:rPr>
                <w:rFonts w:ascii="等线" w:hAnsi="等线"/>
                <w:sz w:val="20"/>
                <w:highlight w:val="none"/>
                <w:lang w:eastAsia="en-US"/>
              </w:rPr>
            </w:pPr>
            <w:r>
              <w:rPr>
                <w:rFonts w:hint="eastAsia" w:ascii="等线" w:hAnsi="等线"/>
                <w:sz w:val="20"/>
                <w:highlight w:val="none"/>
              </w:rPr>
              <w:t>冷媒</w:t>
            </w:r>
          </w:p>
        </w:tc>
        <w:tc>
          <w:tcPr>
            <w:tcW w:w="2784" w:type="pct"/>
            <w:noWrap w:val="0"/>
            <w:vAlign w:val="center"/>
          </w:tcPr>
          <w:p>
            <w:pPr>
              <w:spacing w:before="14"/>
              <w:ind w:left="26"/>
              <w:jc w:val="center"/>
              <w:rPr>
                <w:rFonts w:ascii="宋体" w:hAnsi="宋体" w:cs="宋体"/>
                <w:szCs w:val="21"/>
                <w:highlight w:val="none"/>
              </w:rPr>
            </w:pPr>
            <w:r>
              <w:rPr>
                <w:rFonts w:hint="eastAsia" w:ascii="宋体" w:hAnsi="宋体" w:cs="宋体"/>
                <w:szCs w:val="21"/>
                <w:highlight w:val="none"/>
              </w:rPr>
              <w:t>R134a、R514a或R1233zd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59" w:type="pct"/>
            <w:vMerge w:val="restart"/>
            <w:noWrap w:val="0"/>
            <w:vAlign w:val="center"/>
          </w:tcPr>
          <w:p>
            <w:pPr>
              <w:jc w:val="center"/>
              <w:rPr>
                <w:rFonts w:ascii="等线" w:hAnsi="等线"/>
                <w:sz w:val="20"/>
                <w:highlight w:val="none"/>
                <w:lang w:eastAsia="en-US"/>
              </w:rPr>
            </w:pPr>
            <w:r>
              <w:rPr>
                <w:rFonts w:ascii="等线" w:hAnsi="等线"/>
                <w:sz w:val="20"/>
                <w:highlight w:val="none"/>
              </w:rPr>
              <w:t>7</w:t>
            </w:r>
          </w:p>
        </w:tc>
        <w:tc>
          <w:tcPr>
            <w:tcW w:w="449" w:type="pct"/>
            <w:vMerge w:val="restart"/>
            <w:noWrap w:val="0"/>
            <w:vAlign w:val="center"/>
          </w:tcPr>
          <w:p>
            <w:pPr>
              <w:spacing w:before="131" w:line="201" w:lineRule="auto"/>
              <w:ind w:left="124" w:right="117"/>
              <w:jc w:val="center"/>
              <w:rPr>
                <w:rFonts w:ascii="等线" w:hAnsi="等线"/>
                <w:sz w:val="20"/>
                <w:highlight w:val="none"/>
                <w:lang w:eastAsia="en-US"/>
              </w:rPr>
            </w:pPr>
            <w:r>
              <w:rPr>
                <w:rFonts w:hint="eastAsia" w:ascii="等线" w:hAnsi="等线"/>
                <w:sz w:val="20"/>
                <w:highlight w:val="none"/>
              </w:rPr>
              <w:t>能量调节</w:t>
            </w:r>
          </w:p>
        </w:tc>
        <w:tc>
          <w:tcPr>
            <w:tcW w:w="1506" w:type="pct"/>
            <w:gridSpan w:val="2"/>
            <w:noWrap w:val="0"/>
            <w:vAlign w:val="center"/>
          </w:tcPr>
          <w:p>
            <w:pPr>
              <w:spacing w:before="24" w:line="316" w:lineRule="exact"/>
              <w:ind w:left="28"/>
              <w:jc w:val="center"/>
              <w:rPr>
                <w:rFonts w:ascii="等线" w:hAnsi="等线"/>
                <w:sz w:val="20"/>
                <w:highlight w:val="none"/>
                <w:lang w:eastAsia="en-US"/>
              </w:rPr>
            </w:pPr>
            <w:r>
              <w:rPr>
                <w:rFonts w:hint="eastAsia" w:ascii="等线" w:hAnsi="等线"/>
                <w:sz w:val="20"/>
                <w:highlight w:val="none"/>
              </w:rPr>
              <w:t>调节机构</w:t>
            </w:r>
          </w:p>
        </w:tc>
        <w:tc>
          <w:tcPr>
            <w:tcW w:w="2784" w:type="pct"/>
            <w:noWrap w:val="0"/>
            <w:vAlign w:val="center"/>
          </w:tcPr>
          <w:p>
            <w:pPr>
              <w:spacing w:before="7" w:line="332" w:lineRule="exact"/>
              <w:ind w:left="29"/>
              <w:jc w:val="center"/>
              <w:rPr>
                <w:rFonts w:ascii="宋体" w:hAnsi="宋体" w:cs="宋体"/>
                <w:szCs w:val="21"/>
                <w:highlight w:val="none"/>
              </w:rPr>
            </w:pPr>
            <w:r>
              <w:rPr>
                <w:rFonts w:hint="eastAsia" w:ascii="宋体" w:hAnsi="宋体" w:cs="宋体"/>
                <w:szCs w:val="21"/>
                <w:highlight w:val="none"/>
              </w:rPr>
              <w:t>导流叶片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6" w:line="316" w:lineRule="exact"/>
              <w:ind w:left="28"/>
              <w:jc w:val="center"/>
              <w:rPr>
                <w:rFonts w:ascii="等线" w:hAnsi="等线"/>
                <w:sz w:val="20"/>
                <w:highlight w:val="none"/>
                <w:lang w:eastAsia="en-US"/>
              </w:rPr>
            </w:pPr>
            <w:r>
              <w:rPr>
                <w:rFonts w:hint="eastAsia" w:ascii="等线" w:hAnsi="等线"/>
                <w:sz w:val="20"/>
                <w:highlight w:val="none"/>
              </w:rPr>
              <w:t>调节级数</w:t>
            </w:r>
          </w:p>
        </w:tc>
        <w:tc>
          <w:tcPr>
            <w:tcW w:w="2784" w:type="pct"/>
            <w:noWrap w:val="0"/>
            <w:vAlign w:val="center"/>
          </w:tcPr>
          <w:p>
            <w:pPr>
              <w:spacing w:before="26" w:line="316" w:lineRule="exact"/>
              <w:ind w:left="29"/>
              <w:jc w:val="center"/>
              <w:rPr>
                <w:rFonts w:ascii="宋体" w:hAnsi="宋体" w:cs="宋体"/>
                <w:szCs w:val="21"/>
                <w:highlight w:val="none"/>
                <w:lang w:eastAsia="en-US"/>
              </w:rPr>
            </w:pPr>
            <w:r>
              <w:rPr>
                <w:rFonts w:hint="eastAsia" w:ascii="宋体" w:hAnsi="宋体" w:cs="宋体"/>
                <w:szCs w:val="21"/>
                <w:highlight w:val="none"/>
              </w:rPr>
              <w:t>20~100%范围内调节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center"/>
          </w:tcPr>
          <w:p>
            <w:pPr>
              <w:jc w:val="center"/>
              <w:rPr>
                <w:rFonts w:ascii="等线" w:hAnsi="等线"/>
                <w:highlight w:val="none"/>
              </w:rPr>
            </w:pPr>
          </w:p>
        </w:tc>
        <w:tc>
          <w:tcPr>
            <w:tcW w:w="1506" w:type="pct"/>
            <w:gridSpan w:val="2"/>
            <w:noWrap w:val="0"/>
            <w:vAlign w:val="center"/>
          </w:tcPr>
          <w:p>
            <w:pPr>
              <w:spacing w:before="24" w:line="316" w:lineRule="exact"/>
              <w:ind w:left="28"/>
              <w:jc w:val="center"/>
              <w:rPr>
                <w:rFonts w:ascii="等线" w:hAnsi="等线"/>
                <w:sz w:val="20"/>
                <w:highlight w:val="none"/>
                <w:lang w:eastAsia="en-US"/>
              </w:rPr>
            </w:pPr>
            <w:r>
              <w:rPr>
                <w:rFonts w:hint="eastAsia" w:ascii="等线" w:hAnsi="等线"/>
                <w:sz w:val="20"/>
                <w:highlight w:val="none"/>
              </w:rPr>
              <w:t>调节要求</w:t>
            </w:r>
          </w:p>
        </w:tc>
        <w:tc>
          <w:tcPr>
            <w:tcW w:w="2784" w:type="pct"/>
            <w:noWrap w:val="0"/>
            <w:vAlign w:val="center"/>
          </w:tcPr>
          <w:p>
            <w:pPr>
              <w:spacing w:before="12" w:line="328" w:lineRule="exact"/>
              <w:ind w:left="29"/>
              <w:jc w:val="center"/>
              <w:rPr>
                <w:rFonts w:ascii="宋体" w:hAnsi="宋体" w:cs="宋体"/>
                <w:szCs w:val="21"/>
                <w:highlight w:val="none"/>
                <w:lang w:eastAsia="en-US"/>
              </w:rPr>
            </w:pPr>
            <w:r>
              <w:rPr>
                <w:rFonts w:hint="eastAsia" w:ascii="宋体" w:hAnsi="宋体" w:cs="宋体"/>
                <w:szCs w:val="21"/>
                <w:highlight w:val="none"/>
              </w:rPr>
              <w:t>≥20%负荷不喘振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59" w:type="pct"/>
            <w:vMerge w:val="restart"/>
            <w:noWrap w:val="0"/>
            <w:vAlign w:val="center"/>
          </w:tcPr>
          <w:p>
            <w:pPr>
              <w:jc w:val="center"/>
              <w:rPr>
                <w:rFonts w:ascii="等线" w:hAnsi="等线"/>
                <w:sz w:val="20"/>
                <w:highlight w:val="none"/>
                <w:lang w:eastAsia="en-US"/>
              </w:rPr>
            </w:pPr>
            <w:r>
              <w:rPr>
                <w:rFonts w:ascii="等线" w:hAnsi="等线"/>
                <w:sz w:val="20"/>
                <w:highlight w:val="none"/>
              </w:rPr>
              <w:t>8</w:t>
            </w:r>
          </w:p>
        </w:tc>
        <w:tc>
          <w:tcPr>
            <w:tcW w:w="449" w:type="pct"/>
            <w:vMerge w:val="restart"/>
            <w:noWrap w:val="0"/>
            <w:vAlign w:val="center"/>
          </w:tcPr>
          <w:p>
            <w:pPr>
              <w:spacing w:before="210" w:line="201" w:lineRule="auto"/>
              <w:ind w:left="124" w:right="117"/>
              <w:jc w:val="center"/>
              <w:rPr>
                <w:rFonts w:ascii="等线" w:hAnsi="等线"/>
                <w:sz w:val="20"/>
                <w:highlight w:val="none"/>
                <w:lang w:eastAsia="en-US"/>
              </w:rPr>
            </w:pPr>
            <w:r>
              <w:rPr>
                <w:rFonts w:hint="eastAsia" w:ascii="等线" w:hAnsi="等线"/>
                <w:sz w:val="20"/>
                <w:highlight w:val="none"/>
              </w:rPr>
              <w:t>压缩机</w:t>
            </w:r>
          </w:p>
        </w:tc>
        <w:tc>
          <w:tcPr>
            <w:tcW w:w="1506" w:type="pct"/>
            <w:gridSpan w:val="2"/>
            <w:noWrap w:val="0"/>
            <w:vAlign w:val="center"/>
          </w:tcPr>
          <w:p>
            <w:pPr>
              <w:spacing w:line="301" w:lineRule="exact"/>
              <w:ind w:left="28"/>
              <w:jc w:val="center"/>
              <w:rPr>
                <w:rFonts w:ascii="等线" w:hAnsi="等线"/>
                <w:sz w:val="20"/>
                <w:highlight w:val="none"/>
                <w:lang w:eastAsia="en-US"/>
              </w:rPr>
            </w:pPr>
            <w:r>
              <w:rPr>
                <w:rFonts w:hint="eastAsia" w:ascii="等线" w:hAnsi="等线"/>
                <w:sz w:val="20"/>
                <w:highlight w:val="none"/>
              </w:rPr>
              <w:t>型式</w:t>
            </w:r>
          </w:p>
        </w:tc>
        <w:tc>
          <w:tcPr>
            <w:tcW w:w="2784" w:type="pct"/>
            <w:noWrap w:val="0"/>
            <w:vAlign w:val="center"/>
          </w:tcPr>
          <w:p>
            <w:pPr>
              <w:spacing w:line="301" w:lineRule="exact"/>
              <w:ind w:left="29"/>
              <w:jc w:val="center"/>
              <w:rPr>
                <w:rFonts w:ascii="宋体" w:hAnsi="宋体" w:cs="宋体"/>
                <w:szCs w:val="21"/>
                <w:highlight w:val="none"/>
              </w:rPr>
            </w:pPr>
            <w:r>
              <w:rPr>
                <w:rFonts w:hint="eastAsia" w:ascii="宋体" w:hAnsi="宋体" w:cs="宋体"/>
                <w:szCs w:val="21"/>
                <w:highlight w:val="none"/>
              </w:rPr>
              <w:t>开启式或半封闭式或全封闭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59"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center"/>
          </w:tcPr>
          <w:p>
            <w:pPr>
              <w:spacing w:line="301" w:lineRule="exact"/>
              <w:ind w:left="28"/>
              <w:jc w:val="center"/>
              <w:rPr>
                <w:rFonts w:ascii="等线" w:hAnsi="等线"/>
                <w:sz w:val="20"/>
                <w:highlight w:val="none"/>
              </w:rPr>
            </w:pPr>
            <w:r>
              <w:rPr>
                <w:rFonts w:hint="eastAsia" w:ascii="等线" w:hAnsi="等线"/>
                <w:sz w:val="20"/>
                <w:highlight w:val="none"/>
              </w:rPr>
              <w:t>品牌</w:t>
            </w:r>
          </w:p>
        </w:tc>
        <w:tc>
          <w:tcPr>
            <w:tcW w:w="2784" w:type="pct"/>
            <w:noWrap w:val="0"/>
            <w:vAlign w:val="center"/>
          </w:tcPr>
          <w:p>
            <w:pPr>
              <w:spacing w:line="301" w:lineRule="exact"/>
              <w:ind w:left="29"/>
              <w:jc w:val="center"/>
              <w:rPr>
                <w:rFonts w:ascii="宋体" w:hAnsi="宋体" w:cs="宋体"/>
                <w:szCs w:val="21"/>
                <w:highlight w:val="none"/>
              </w:rPr>
            </w:pPr>
            <w:r>
              <w:rPr>
                <w:rFonts w:hint="eastAsia" w:ascii="宋体" w:hAnsi="宋体" w:cs="宋体"/>
                <w:szCs w:val="21"/>
                <w:highlight w:val="none"/>
              </w:rPr>
              <w:t>与主机同一品牌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9" w:type="pct"/>
            <w:noWrap w:val="0"/>
            <w:vAlign w:val="center"/>
          </w:tcPr>
          <w:p>
            <w:pPr>
              <w:spacing w:before="51"/>
              <w:jc w:val="center"/>
              <w:rPr>
                <w:rFonts w:ascii="等线" w:hAnsi="等线"/>
                <w:sz w:val="20"/>
                <w:highlight w:val="none"/>
              </w:rPr>
            </w:pPr>
            <w:r>
              <w:rPr>
                <w:rFonts w:hint="eastAsia" w:ascii="等线" w:hAnsi="等线"/>
                <w:sz w:val="20"/>
                <w:highlight w:val="none"/>
              </w:rPr>
              <w:t>9</w:t>
            </w:r>
          </w:p>
        </w:tc>
        <w:tc>
          <w:tcPr>
            <w:tcW w:w="1955" w:type="pct"/>
            <w:gridSpan w:val="3"/>
            <w:noWrap w:val="0"/>
            <w:vAlign w:val="center"/>
          </w:tcPr>
          <w:p>
            <w:pPr>
              <w:spacing w:line="318" w:lineRule="exact"/>
              <w:ind w:left="28"/>
              <w:jc w:val="center"/>
              <w:rPr>
                <w:rFonts w:ascii="等线" w:hAnsi="等线"/>
                <w:sz w:val="20"/>
                <w:highlight w:val="none"/>
              </w:rPr>
            </w:pPr>
            <w:r>
              <w:rPr>
                <w:rFonts w:hint="eastAsia" w:ascii="宋体" w:hAnsi="宋体" w:cs="宋体"/>
                <w:sz w:val="22"/>
                <w:szCs w:val="21"/>
                <w:highlight w:val="none"/>
                <w:lang w:eastAsia="en-US"/>
              </w:rPr>
              <w:t>报警显示</w:t>
            </w:r>
          </w:p>
        </w:tc>
        <w:tc>
          <w:tcPr>
            <w:tcW w:w="2784" w:type="pct"/>
            <w:noWrap w:val="0"/>
            <w:vAlign w:val="top"/>
          </w:tcPr>
          <w:p>
            <w:pPr>
              <w:rPr>
                <w:rFonts w:ascii="宋体" w:hAnsi="宋体" w:cs="宋体"/>
                <w:szCs w:val="21"/>
                <w:highlight w:val="none"/>
              </w:rPr>
            </w:pPr>
            <w:r>
              <w:rPr>
                <w:rFonts w:hint="eastAsia" w:ascii="宋体" w:hAnsi="宋体" w:cs="宋体"/>
                <w:szCs w:val="21"/>
                <w:highlight w:val="none"/>
              </w:rPr>
              <w:t>1.紧急/正常停机信息（包括系统状态、系统详情、日期、时间、停机原因等）</w:t>
            </w:r>
          </w:p>
          <w:p>
            <w:pPr>
              <w:rPr>
                <w:rFonts w:ascii="宋体" w:hAnsi="宋体" w:cs="宋体"/>
                <w:szCs w:val="21"/>
                <w:highlight w:val="none"/>
              </w:rPr>
            </w:pPr>
            <w:r>
              <w:rPr>
                <w:rFonts w:hint="eastAsia" w:ascii="宋体" w:hAnsi="宋体" w:cs="宋体"/>
                <w:szCs w:val="21"/>
                <w:highlight w:val="none"/>
              </w:rPr>
              <w:t>2.蒸发器、冷凝器传感器故障</w:t>
            </w:r>
          </w:p>
          <w:p>
            <w:pPr>
              <w:rPr>
                <w:rFonts w:ascii="宋体" w:hAnsi="宋体" w:cs="宋体"/>
                <w:szCs w:val="21"/>
                <w:highlight w:val="none"/>
              </w:rPr>
            </w:pPr>
            <w:r>
              <w:rPr>
                <w:rFonts w:hint="eastAsia" w:ascii="宋体" w:hAnsi="宋体" w:cs="宋体"/>
                <w:szCs w:val="21"/>
                <w:highlight w:val="none"/>
              </w:rPr>
              <w:t>3.制冷机液位超限</w:t>
            </w:r>
          </w:p>
          <w:p>
            <w:pPr>
              <w:rPr>
                <w:rFonts w:ascii="宋体" w:hAnsi="宋体" w:cs="宋体"/>
                <w:szCs w:val="21"/>
                <w:highlight w:val="none"/>
              </w:rPr>
            </w:pPr>
            <w:r>
              <w:rPr>
                <w:rFonts w:hint="eastAsia" w:ascii="宋体" w:hAnsi="宋体" w:cs="宋体"/>
                <w:szCs w:val="21"/>
                <w:highlight w:val="none"/>
              </w:rPr>
              <w:t>4.润滑油压过低</w:t>
            </w:r>
          </w:p>
          <w:p>
            <w:pPr>
              <w:rPr>
                <w:rFonts w:ascii="宋体" w:hAnsi="宋体" w:cs="宋体"/>
                <w:szCs w:val="21"/>
                <w:highlight w:val="none"/>
              </w:rPr>
            </w:pPr>
            <w:r>
              <w:rPr>
                <w:rFonts w:hint="eastAsia" w:ascii="宋体" w:hAnsi="宋体" w:cs="宋体"/>
                <w:szCs w:val="21"/>
                <w:highlight w:val="none"/>
              </w:rPr>
              <w:t>5.冷凝器高压极限</w:t>
            </w:r>
          </w:p>
          <w:p>
            <w:pPr>
              <w:rPr>
                <w:rFonts w:ascii="宋体" w:hAnsi="宋体" w:cs="宋体"/>
                <w:szCs w:val="21"/>
                <w:highlight w:val="none"/>
              </w:rPr>
            </w:pPr>
            <w:r>
              <w:rPr>
                <w:rFonts w:hint="eastAsia" w:ascii="宋体" w:hAnsi="宋体" w:cs="宋体"/>
                <w:szCs w:val="21"/>
                <w:highlight w:val="none"/>
              </w:rPr>
              <w:t>6.蒸发器低压极限</w:t>
            </w:r>
          </w:p>
          <w:p>
            <w:pPr>
              <w:rPr>
                <w:rFonts w:ascii="宋体" w:hAnsi="宋体" w:cs="宋体"/>
                <w:szCs w:val="21"/>
                <w:highlight w:val="none"/>
              </w:rPr>
            </w:pPr>
            <w:r>
              <w:rPr>
                <w:rFonts w:hint="eastAsia" w:ascii="宋体" w:hAnsi="宋体" w:cs="宋体"/>
                <w:szCs w:val="21"/>
                <w:highlight w:val="none"/>
              </w:rPr>
              <w:t>7.电机电流、电压过载</w:t>
            </w:r>
          </w:p>
          <w:p>
            <w:pPr>
              <w:spacing w:before="5" w:line="316" w:lineRule="exact"/>
              <w:ind w:left="27"/>
              <w:rPr>
                <w:rFonts w:ascii="宋体" w:hAnsi="宋体" w:cs="宋体"/>
                <w:szCs w:val="21"/>
                <w:highlight w:val="none"/>
              </w:rPr>
            </w:pPr>
            <w:r>
              <w:rPr>
                <w:rFonts w:hint="eastAsia" w:ascii="宋体" w:hAnsi="宋体" w:cs="宋体"/>
                <w:szCs w:val="21"/>
                <w:highlight w:val="none"/>
              </w:rPr>
              <w:t>8.传感器故障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9" w:type="pct"/>
            <w:vMerge w:val="restart"/>
            <w:noWrap w:val="0"/>
            <w:vAlign w:val="center"/>
          </w:tcPr>
          <w:p>
            <w:pPr>
              <w:spacing w:before="51"/>
              <w:jc w:val="center"/>
              <w:rPr>
                <w:rFonts w:ascii="等线" w:hAnsi="等线"/>
                <w:sz w:val="20"/>
                <w:highlight w:val="none"/>
              </w:rPr>
            </w:pPr>
            <w:r>
              <w:rPr>
                <w:rFonts w:hint="eastAsia" w:ascii="等线" w:hAnsi="等线"/>
                <w:sz w:val="20"/>
                <w:highlight w:val="none"/>
              </w:rPr>
              <w:t>1</w:t>
            </w:r>
            <w:r>
              <w:rPr>
                <w:rFonts w:ascii="等线" w:hAnsi="等线"/>
                <w:sz w:val="20"/>
                <w:highlight w:val="none"/>
              </w:rPr>
              <w:t>0</w:t>
            </w:r>
          </w:p>
        </w:tc>
        <w:tc>
          <w:tcPr>
            <w:tcW w:w="1955" w:type="pct"/>
            <w:gridSpan w:val="3"/>
            <w:vMerge w:val="restart"/>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安全装置</w:t>
            </w:r>
          </w:p>
        </w:tc>
        <w:tc>
          <w:tcPr>
            <w:tcW w:w="2784" w:type="pct"/>
            <w:noWrap w:val="0"/>
            <w:vAlign w:val="top"/>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压缩机马达过载保护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9"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4" w:type="pct"/>
            <w:noWrap w:val="0"/>
            <w:vAlign w:val="top"/>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润滑油系统保护装置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9"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4" w:type="pct"/>
            <w:noWrap w:val="0"/>
            <w:vAlign w:val="top"/>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冷凝器高压保护装置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9"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4" w:type="pct"/>
            <w:noWrap w:val="0"/>
            <w:vAlign w:val="center"/>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排气温度过高保护装置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9"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4" w:type="pct"/>
            <w:noWrap w:val="0"/>
            <w:vAlign w:val="top"/>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蒸发器低温低压保护装置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59" w:type="pct"/>
            <w:vMerge w:val="continue"/>
            <w:noWrap w:val="0"/>
            <w:vAlign w:val="center"/>
          </w:tcPr>
          <w:p>
            <w:pPr>
              <w:spacing w:before="51"/>
              <w:jc w:val="center"/>
              <w:rPr>
                <w:rFonts w:ascii="等线" w:hAnsi="等线"/>
                <w:sz w:val="20"/>
                <w:highlight w:val="none"/>
              </w:rPr>
            </w:pPr>
          </w:p>
        </w:tc>
        <w:tc>
          <w:tcPr>
            <w:tcW w:w="1955" w:type="pct"/>
            <w:gridSpan w:val="3"/>
            <w:vMerge w:val="continue"/>
            <w:noWrap w:val="0"/>
            <w:vAlign w:val="top"/>
          </w:tcPr>
          <w:p>
            <w:pPr>
              <w:spacing w:line="318" w:lineRule="exact"/>
              <w:ind w:left="28"/>
              <w:jc w:val="center"/>
              <w:rPr>
                <w:rFonts w:ascii="等线" w:hAnsi="等线"/>
                <w:sz w:val="20"/>
                <w:highlight w:val="none"/>
              </w:rPr>
            </w:pPr>
          </w:p>
        </w:tc>
        <w:tc>
          <w:tcPr>
            <w:tcW w:w="2784" w:type="pct"/>
            <w:noWrap w:val="0"/>
            <w:vAlign w:val="top"/>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缺相与相序保护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259" w:type="pct"/>
            <w:vMerge w:val="restart"/>
            <w:noWrap w:val="0"/>
            <w:vAlign w:val="center"/>
          </w:tcPr>
          <w:p>
            <w:pPr>
              <w:spacing w:before="51"/>
              <w:jc w:val="center"/>
              <w:rPr>
                <w:rFonts w:ascii="等线" w:hAnsi="等线"/>
                <w:sz w:val="20"/>
                <w:highlight w:val="none"/>
                <w:lang w:eastAsia="en-US"/>
              </w:rPr>
            </w:pPr>
            <w:r>
              <w:rPr>
                <w:rFonts w:ascii="等线" w:hAnsi="等线"/>
                <w:sz w:val="20"/>
                <w:highlight w:val="none"/>
              </w:rPr>
              <w:t>11</w:t>
            </w:r>
          </w:p>
        </w:tc>
        <w:tc>
          <w:tcPr>
            <w:tcW w:w="1955" w:type="pct"/>
            <w:gridSpan w:val="3"/>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主要电气组件品牌</w:t>
            </w:r>
          </w:p>
        </w:tc>
        <w:tc>
          <w:tcPr>
            <w:tcW w:w="2784" w:type="pct"/>
            <w:noWrap w:val="0"/>
            <w:vAlign w:val="center"/>
          </w:tcPr>
          <w:p>
            <w:pPr>
              <w:spacing w:before="34"/>
              <w:ind w:left="26"/>
              <w:jc w:val="left"/>
              <w:rPr>
                <w:rFonts w:ascii="宋体" w:hAnsi="宋体" w:cs="宋体"/>
                <w:szCs w:val="21"/>
                <w:highlight w:val="none"/>
              </w:rPr>
            </w:pPr>
            <w:r>
              <w:rPr>
                <w:rFonts w:hint="eastAsia" w:ascii="宋体" w:hAnsi="宋体" w:eastAsia="宋体" w:cs="宋体"/>
                <w:sz w:val="21"/>
                <w:szCs w:val="21"/>
                <w:highlight w:val="none"/>
              </w:rPr>
              <w:t>参照或相当于</w:t>
            </w:r>
            <w:r>
              <w:rPr>
                <w:rFonts w:hint="eastAsia" w:ascii="宋体" w:hAnsi="宋体" w:cs="宋体"/>
                <w:szCs w:val="21"/>
                <w:highlight w:val="none"/>
              </w:rPr>
              <w:t>施耐德、西门子、ABB或优于所列品牌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9" w:type="pct"/>
            <w:vMerge w:val="continue"/>
            <w:noWrap w:val="0"/>
            <w:vAlign w:val="center"/>
          </w:tcPr>
          <w:p>
            <w:pPr>
              <w:jc w:val="center"/>
              <w:rPr>
                <w:rFonts w:ascii="等线" w:hAnsi="等线"/>
                <w:highlight w:val="none"/>
              </w:rPr>
            </w:pPr>
          </w:p>
        </w:tc>
        <w:tc>
          <w:tcPr>
            <w:tcW w:w="1955" w:type="pct"/>
            <w:gridSpan w:val="3"/>
            <w:noWrap w:val="0"/>
            <w:vAlign w:val="center"/>
          </w:tcPr>
          <w:p>
            <w:pPr>
              <w:spacing w:line="318" w:lineRule="exact"/>
              <w:ind w:left="28"/>
              <w:jc w:val="center"/>
              <w:rPr>
                <w:rFonts w:ascii="等线" w:hAnsi="等线"/>
                <w:sz w:val="20"/>
                <w:highlight w:val="none"/>
              </w:rPr>
            </w:pPr>
            <w:r>
              <w:rPr>
                <w:rFonts w:hint="eastAsia" w:ascii="等线" w:hAnsi="等线"/>
                <w:sz w:val="20"/>
                <w:highlight w:val="none"/>
              </w:rPr>
              <w:t>系统部件</w:t>
            </w:r>
          </w:p>
        </w:tc>
        <w:tc>
          <w:tcPr>
            <w:tcW w:w="2784" w:type="pct"/>
            <w:noWrap w:val="0"/>
            <w:vAlign w:val="top"/>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油泵/泄压阀/油压开关/油冷却器/油过滤器/油温开关/油加热器/ 油分离器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9" w:type="pct"/>
            <w:vMerge w:val="restart"/>
            <w:noWrap w:val="0"/>
            <w:vAlign w:val="center"/>
          </w:tcPr>
          <w:p>
            <w:pPr>
              <w:spacing w:before="1"/>
              <w:jc w:val="center"/>
              <w:rPr>
                <w:rFonts w:ascii="等线" w:hAnsi="等线"/>
                <w:sz w:val="20"/>
                <w:highlight w:val="none"/>
              </w:rPr>
            </w:pPr>
            <w:r>
              <w:rPr>
                <w:rFonts w:hint="eastAsia" w:ascii="等线" w:hAnsi="等线"/>
                <w:sz w:val="20"/>
                <w:highlight w:val="none"/>
              </w:rPr>
              <w:t>1</w:t>
            </w:r>
            <w:r>
              <w:rPr>
                <w:rFonts w:ascii="等线" w:hAnsi="等线"/>
                <w:sz w:val="20"/>
                <w:highlight w:val="none"/>
              </w:rPr>
              <w:t>2</w:t>
            </w:r>
          </w:p>
        </w:tc>
        <w:tc>
          <w:tcPr>
            <w:tcW w:w="449" w:type="pct"/>
            <w:vMerge w:val="restart"/>
            <w:noWrap w:val="0"/>
            <w:vAlign w:val="center"/>
          </w:tcPr>
          <w:p>
            <w:pPr>
              <w:spacing w:line="201" w:lineRule="auto"/>
              <w:jc w:val="center"/>
              <w:rPr>
                <w:rFonts w:ascii="等线" w:hAnsi="等线"/>
                <w:sz w:val="20"/>
                <w:highlight w:val="none"/>
                <w:lang w:eastAsia="en-US"/>
              </w:rPr>
            </w:pPr>
            <w:r>
              <w:rPr>
                <w:rFonts w:hint="eastAsia" w:ascii="等线" w:hAnsi="等线"/>
                <w:sz w:val="20"/>
                <w:highlight w:val="none"/>
              </w:rPr>
              <w:t>控制中心</w:t>
            </w:r>
          </w:p>
        </w:tc>
        <w:tc>
          <w:tcPr>
            <w:tcW w:w="1506" w:type="pct"/>
            <w:gridSpan w:val="2"/>
            <w:noWrap w:val="0"/>
            <w:vAlign w:val="top"/>
          </w:tcPr>
          <w:p>
            <w:pPr>
              <w:spacing w:before="2" w:line="306" w:lineRule="exact"/>
              <w:ind w:left="32"/>
              <w:jc w:val="center"/>
              <w:rPr>
                <w:rFonts w:ascii="等线" w:hAnsi="等线"/>
                <w:sz w:val="20"/>
                <w:highlight w:val="none"/>
              </w:rPr>
            </w:pPr>
            <w:r>
              <w:rPr>
                <w:rFonts w:hint="eastAsia" w:ascii="等线" w:hAnsi="等线"/>
                <w:sz w:val="20"/>
                <w:highlight w:val="none"/>
              </w:rPr>
              <w:t>控制方式</w:t>
            </w:r>
          </w:p>
        </w:tc>
        <w:tc>
          <w:tcPr>
            <w:tcW w:w="2784" w:type="pct"/>
            <w:noWrap w:val="0"/>
            <w:vAlign w:val="top"/>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微电脑控制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9"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top"/>
          </w:tcPr>
          <w:p>
            <w:pPr>
              <w:spacing w:line="300" w:lineRule="exact"/>
              <w:ind w:left="32"/>
              <w:jc w:val="center"/>
              <w:rPr>
                <w:rFonts w:ascii="等线" w:hAnsi="等线"/>
                <w:sz w:val="20"/>
                <w:highlight w:val="none"/>
              </w:rPr>
            </w:pPr>
            <w:r>
              <w:rPr>
                <w:rFonts w:hint="eastAsia" w:ascii="等线" w:hAnsi="等线"/>
                <w:sz w:val="20"/>
                <w:highlight w:val="none"/>
              </w:rPr>
              <w:t>显示方式</w:t>
            </w:r>
          </w:p>
        </w:tc>
        <w:tc>
          <w:tcPr>
            <w:tcW w:w="2784" w:type="pct"/>
            <w:noWrap w:val="0"/>
            <w:vAlign w:val="top"/>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10英寸以上彩色中文触摸大屏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9"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center"/>
          </w:tcPr>
          <w:p>
            <w:pPr>
              <w:spacing w:line="300" w:lineRule="exact"/>
              <w:ind w:left="32"/>
              <w:jc w:val="center"/>
              <w:rPr>
                <w:rFonts w:ascii="等线" w:hAnsi="等线"/>
                <w:sz w:val="20"/>
                <w:highlight w:val="none"/>
              </w:rPr>
            </w:pPr>
            <w:r>
              <w:rPr>
                <w:rFonts w:hint="eastAsia" w:ascii="等线" w:hAnsi="等线"/>
                <w:sz w:val="20"/>
                <w:highlight w:val="none"/>
              </w:rPr>
              <w:t>显示内容</w:t>
            </w:r>
          </w:p>
        </w:tc>
        <w:tc>
          <w:tcPr>
            <w:tcW w:w="2784" w:type="pct"/>
            <w:noWrap w:val="0"/>
            <w:vAlign w:val="top"/>
          </w:tcPr>
          <w:p>
            <w:pPr>
              <w:spacing w:before="5" w:line="316" w:lineRule="exact"/>
              <w:ind w:left="27"/>
              <w:jc w:val="center"/>
              <w:rPr>
                <w:rFonts w:ascii="宋体" w:hAnsi="宋体" w:cs="宋体"/>
                <w:szCs w:val="21"/>
                <w:highlight w:val="none"/>
              </w:rPr>
            </w:pPr>
            <w:r>
              <w:rPr>
                <w:rFonts w:hint="eastAsia" w:ascii="宋体" w:hAnsi="宋体" w:cs="宋体"/>
                <w:szCs w:val="21"/>
                <w:highlight w:val="none"/>
              </w:rPr>
              <w:t>运行状态、参数设定、故障诊断、报警等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9"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center"/>
          </w:tcPr>
          <w:p>
            <w:pPr>
              <w:spacing w:line="304" w:lineRule="exact"/>
              <w:ind w:left="26"/>
              <w:jc w:val="center"/>
              <w:rPr>
                <w:rFonts w:ascii="等线" w:hAnsi="等线"/>
                <w:sz w:val="20"/>
                <w:highlight w:val="none"/>
              </w:rPr>
            </w:pPr>
            <w:r>
              <w:rPr>
                <w:rFonts w:hint="eastAsia" w:ascii="等线" w:hAnsi="等线"/>
                <w:sz w:val="20"/>
                <w:highlight w:val="none"/>
              </w:rPr>
              <w:t>信息记录</w:t>
            </w:r>
          </w:p>
        </w:tc>
        <w:tc>
          <w:tcPr>
            <w:tcW w:w="2784" w:type="pct"/>
            <w:noWrap w:val="0"/>
            <w:vAlign w:val="top"/>
          </w:tcPr>
          <w:p>
            <w:pPr>
              <w:spacing w:line="304" w:lineRule="exact"/>
              <w:ind w:left="26"/>
              <w:jc w:val="center"/>
              <w:rPr>
                <w:rFonts w:ascii="宋体" w:hAnsi="宋体" w:cs="宋体"/>
                <w:szCs w:val="21"/>
                <w:highlight w:val="none"/>
              </w:rPr>
            </w:pPr>
            <w:r>
              <w:rPr>
                <w:rFonts w:hint="eastAsia" w:ascii="宋体" w:hAnsi="宋体" w:cs="宋体"/>
                <w:szCs w:val="21"/>
                <w:highlight w:val="none"/>
              </w:rPr>
              <w:t>运行时间、启停次数、历史故障、累计耗电量显示等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9" w:type="pct"/>
            <w:vMerge w:val="continue"/>
            <w:noWrap w:val="0"/>
            <w:vAlign w:val="top"/>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top"/>
          </w:tcPr>
          <w:p>
            <w:pPr>
              <w:spacing w:line="304" w:lineRule="exact"/>
              <w:ind w:left="26"/>
              <w:jc w:val="center"/>
              <w:rPr>
                <w:rFonts w:ascii="等线" w:hAnsi="等线"/>
                <w:sz w:val="20"/>
                <w:highlight w:val="none"/>
              </w:rPr>
            </w:pPr>
            <w:r>
              <w:rPr>
                <w:rFonts w:ascii="等线" w:hAnsi="等线"/>
                <w:sz w:val="20"/>
                <w:highlight w:val="none"/>
                <w:lang w:eastAsia="en-US"/>
              </w:rPr>
              <w:t>通讯界面</w:t>
            </w:r>
          </w:p>
        </w:tc>
        <w:tc>
          <w:tcPr>
            <w:tcW w:w="2784" w:type="pct"/>
            <w:noWrap w:val="0"/>
            <w:vAlign w:val="top"/>
          </w:tcPr>
          <w:p>
            <w:pPr>
              <w:spacing w:line="304" w:lineRule="exact"/>
              <w:ind w:left="26"/>
              <w:jc w:val="center"/>
              <w:rPr>
                <w:rFonts w:ascii="宋体" w:hAnsi="宋体" w:cs="宋体"/>
                <w:szCs w:val="21"/>
                <w:highlight w:val="none"/>
              </w:rPr>
            </w:pPr>
            <w:r>
              <w:rPr>
                <w:rFonts w:hint="eastAsia" w:ascii="宋体" w:hAnsi="宋体" w:cs="宋体"/>
                <w:spacing w:val="-2"/>
                <w:szCs w:val="21"/>
                <w:highlight w:val="none"/>
                <w:lang w:eastAsia="en-US"/>
              </w:rPr>
              <w:t xml:space="preserve">提供 </w:t>
            </w:r>
            <w:r>
              <w:rPr>
                <w:rFonts w:hint="eastAsia" w:ascii="宋体" w:hAnsi="宋体" w:cs="宋体"/>
                <w:szCs w:val="21"/>
                <w:highlight w:val="none"/>
                <w:lang w:eastAsia="en-US"/>
              </w:rPr>
              <w:t>RS-485MODBUS RTU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9" w:type="pct"/>
            <w:vMerge w:val="continue"/>
            <w:noWrap w:val="0"/>
            <w:vAlign w:val="center"/>
          </w:tcPr>
          <w:p>
            <w:pPr>
              <w:jc w:val="center"/>
              <w:rPr>
                <w:rFonts w:ascii="等线" w:hAnsi="等线"/>
                <w:highlight w:val="none"/>
              </w:rPr>
            </w:pPr>
          </w:p>
        </w:tc>
        <w:tc>
          <w:tcPr>
            <w:tcW w:w="449" w:type="pct"/>
            <w:vMerge w:val="continue"/>
            <w:noWrap w:val="0"/>
            <w:vAlign w:val="top"/>
          </w:tcPr>
          <w:p>
            <w:pPr>
              <w:jc w:val="center"/>
              <w:rPr>
                <w:rFonts w:ascii="等线" w:hAnsi="等线"/>
                <w:highlight w:val="none"/>
              </w:rPr>
            </w:pPr>
          </w:p>
        </w:tc>
        <w:tc>
          <w:tcPr>
            <w:tcW w:w="1506" w:type="pct"/>
            <w:gridSpan w:val="2"/>
            <w:noWrap w:val="0"/>
            <w:vAlign w:val="center"/>
          </w:tcPr>
          <w:p>
            <w:pPr>
              <w:spacing w:before="257"/>
              <w:jc w:val="center"/>
              <w:rPr>
                <w:rFonts w:ascii="等线" w:hAnsi="等线"/>
                <w:sz w:val="20"/>
                <w:highlight w:val="none"/>
                <w:lang w:eastAsia="en-US"/>
              </w:rPr>
            </w:pPr>
            <w:r>
              <w:rPr>
                <w:rFonts w:hint="eastAsia" w:ascii="等线" w:hAnsi="等线"/>
                <w:sz w:val="20"/>
                <w:highlight w:val="none"/>
              </w:rPr>
              <w:t>网卡</w:t>
            </w:r>
          </w:p>
        </w:tc>
        <w:tc>
          <w:tcPr>
            <w:tcW w:w="2784" w:type="pct"/>
            <w:noWrap w:val="0"/>
            <w:vAlign w:val="center"/>
          </w:tcPr>
          <w:p>
            <w:pPr>
              <w:jc w:val="center"/>
              <w:rPr>
                <w:rFonts w:ascii="宋体" w:hAnsi="宋体" w:cs="宋体"/>
                <w:szCs w:val="21"/>
                <w:highlight w:val="none"/>
              </w:rPr>
            </w:pPr>
            <w:r>
              <w:rPr>
                <w:rFonts w:hint="eastAsia" w:ascii="宋体" w:hAnsi="宋体" w:cs="宋体"/>
                <w:spacing w:val="-5"/>
                <w:szCs w:val="21"/>
                <w:highlight w:val="none"/>
              </w:rPr>
              <w:t>微处理器应配有网络适配卡(含通讯模块及扩展模块)，可将所有数据下传至控制中心(监视)，提供</w:t>
            </w:r>
            <w:r>
              <w:rPr>
                <w:rFonts w:hint="eastAsia" w:ascii="宋体" w:hAnsi="宋体" w:cs="宋体"/>
                <w:spacing w:val="13"/>
                <w:szCs w:val="21"/>
                <w:highlight w:val="none"/>
              </w:rPr>
              <w:t>开放式</w:t>
            </w:r>
            <w:r>
              <w:rPr>
                <w:rFonts w:hint="eastAsia" w:ascii="宋体" w:hAnsi="宋体" w:cs="宋体"/>
                <w:spacing w:val="-3"/>
                <w:szCs w:val="21"/>
                <w:highlight w:val="none"/>
              </w:rPr>
              <w:t>TCP/IP</w:t>
            </w:r>
            <w:r>
              <w:rPr>
                <w:rFonts w:hint="eastAsia" w:ascii="宋体" w:hAnsi="宋体" w:cs="宋体"/>
                <w:spacing w:val="-6"/>
                <w:szCs w:val="21"/>
                <w:highlight w:val="none"/>
              </w:rPr>
              <w:t>通讯协议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259" w:type="pct"/>
            <w:noWrap w:val="0"/>
            <w:vAlign w:val="center"/>
          </w:tcPr>
          <w:p>
            <w:pPr>
              <w:jc w:val="center"/>
              <w:rPr>
                <w:rFonts w:ascii="等线" w:hAnsi="等线"/>
                <w:sz w:val="20"/>
                <w:highlight w:val="none"/>
              </w:rPr>
            </w:pPr>
            <w:r>
              <w:rPr>
                <w:rFonts w:hint="eastAsia" w:ascii="等线" w:hAnsi="等线"/>
                <w:sz w:val="20"/>
                <w:highlight w:val="none"/>
              </w:rPr>
              <w:t>1</w:t>
            </w:r>
            <w:r>
              <w:rPr>
                <w:rFonts w:ascii="等线" w:hAnsi="等线"/>
                <w:sz w:val="20"/>
                <w:highlight w:val="none"/>
              </w:rPr>
              <w:t>3</w:t>
            </w:r>
          </w:p>
        </w:tc>
        <w:tc>
          <w:tcPr>
            <w:tcW w:w="1955" w:type="pct"/>
            <w:gridSpan w:val="3"/>
            <w:noWrap w:val="0"/>
            <w:vAlign w:val="center"/>
          </w:tcPr>
          <w:p>
            <w:pPr>
              <w:jc w:val="center"/>
              <w:rPr>
                <w:rFonts w:ascii="等线" w:hAnsi="等线"/>
                <w:sz w:val="20"/>
                <w:highlight w:val="none"/>
                <w:lang w:eastAsia="en-US"/>
              </w:rPr>
            </w:pPr>
            <w:r>
              <w:rPr>
                <w:rFonts w:hint="eastAsia" w:ascii="等线" w:hAnsi="等线"/>
                <w:sz w:val="20"/>
                <w:highlight w:val="none"/>
              </w:rPr>
              <w:t>网络适配卡</w:t>
            </w:r>
          </w:p>
        </w:tc>
        <w:tc>
          <w:tcPr>
            <w:tcW w:w="2784" w:type="pct"/>
            <w:noWrap w:val="0"/>
            <w:vAlign w:val="top"/>
          </w:tcPr>
          <w:p>
            <w:pPr>
              <w:spacing w:before="17"/>
              <w:ind w:left="16"/>
              <w:jc w:val="center"/>
              <w:rPr>
                <w:rFonts w:ascii="宋体" w:hAnsi="宋体" w:cs="宋体"/>
                <w:spacing w:val="-5"/>
                <w:szCs w:val="21"/>
                <w:highlight w:val="none"/>
              </w:rPr>
            </w:pPr>
            <w:r>
              <w:rPr>
                <w:rFonts w:hint="eastAsia" w:ascii="宋体" w:hAnsi="宋体" w:cs="宋体"/>
                <w:spacing w:val="-5"/>
                <w:szCs w:val="21"/>
                <w:highlight w:val="none"/>
              </w:rPr>
              <w:t>微处理器应有网络适配卡将控制盘上之所有监控点数,透过传输线可在中央监控室内监控;另设备供货商应提供开放式 TCP/IP 之网络通讯协议(Protocode)或其它网络通讯接口,供监控系统衔接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259" w:type="pct"/>
            <w:vMerge w:val="restart"/>
            <w:noWrap w:val="0"/>
            <w:vAlign w:val="center"/>
          </w:tcPr>
          <w:p>
            <w:pPr>
              <w:jc w:val="center"/>
              <w:rPr>
                <w:rFonts w:ascii="等线" w:hAnsi="等线"/>
                <w:sz w:val="20"/>
                <w:highlight w:val="none"/>
              </w:rPr>
            </w:pPr>
            <w:r>
              <w:rPr>
                <w:rFonts w:ascii="等线" w:hAnsi="等线"/>
                <w:sz w:val="20"/>
                <w:highlight w:val="none"/>
              </w:rPr>
              <w:t>14</w:t>
            </w:r>
          </w:p>
        </w:tc>
        <w:tc>
          <w:tcPr>
            <w:tcW w:w="538" w:type="pct"/>
            <w:gridSpan w:val="2"/>
            <w:vMerge w:val="restart"/>
            <w:noWrap w:val="0"/>
            <w:vAlign w:val="center"/>
          </w:tcPr>
          <w:p>
            <w:pPr>
              <w:spacing w:before="160" w:line="165" w:lineRule="auto"/>
              <w:ind w:left="43"/>
              <w:jc w:val="center"/>
              <w:rPr>
                <w:rFonts w:ascii="等线" w:hAnsi="等线"/>
                <w:sz w:val="20"/>
                <w:highlight w:val="none"/>
                <w:lang w:eastAsia="en-US"/>
              </w:rPr>
            </w:pPr>
            <w:r>
              <w:rPr>
                <w:rFonts w:hint="eastAsia" w:ascii="等线" w:hAnsi="等线"/>
                <w:sz w:val="20"/>
                <w:highlight w:val="none"/>
              </w:rPr>
              <w:t>启动装置</w:t>
            </w:r>
          </w:p>
        </w:tc>
        <w:tc>
          <w:tcPr>
            <w:tcW w:w="1417" w:type="pct"/>
            <w:noWrap w:val="0"/>
            <w:vAlign w:val="center"/>
          </w:tcPr>
          <w:p>
            <w:pPr>
              <w:spacing w:line="304" w:lineRule="exact"/>
              <w:ind w:left="26"/>
              <w:jc w:val="center"/>
              <w:rPr>
                <w:rFonts w:ascii="等线" w:hAnsi="等线"/>
                <w:sz w:val="20"/>
                <w:highlight w:val="none"/>
                <w:lang w:eastAsia="en-US"/>
              </w:rPr>
            </w:pPr>
            <w:r>
              <w:rPr>
                <w:rFonts w:hint="eastAsia" w:ascii="等线" w:hAnsi="等线"/>
                <w:sz w:val="20"/>
                <w:highlight w:val="none"/>
              </w:rPr>
              <w:t>启动方式</w:t>
            </w:r>
          </w:p>
        </w:tc>
        <w:tc>
          <w:tcPr>
            <w:tcW w:w="2784" w:type="pct"/>
            <w:noWrap w:val="0"/>
            <w:vAlign w:val="center"/>
          </w:tcPr>
          <w:p>
            <w:pPr>
              <w:ind w:left="16"/>
              <w:jc w:val="center"/>
              <w:rPr>
                <w:rFonts w:ascii="宋体" w:hAnsi="宋体" w:cs="宋体"/>
                <w:spacing w:val="-5"/>
                <w:szCs w:val="21"/>
                <w:highlight w:val="none"/>
              </w:rPr>
            </w:pPr>
            <w:r>
              <w:rPr>
                <w:rFonts w:hint="eastAsia" w:ascii="宋体" w:hAnsi="宋体" w:cs="宋体"/>
                <w:spacing w:val="-5"/>
                <w:szCs w:val="21"/>
                <w:highlight w:val="none"/>
              </w:rPr>
              <w:t>降压启动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259" w:type="pct"/>
            <w:vMerge w:val="continue"/>
            <w:noWrap w:val="0"/>
            <w:vAlign w:val="center"/>
          </w:tcPr>
          <w:p>
            <w:pPr>
              <w:jc w:val="center"/>
              <w:rPr>
                <w:rFonts w:ascii="等线" w:hAnsi="等线"/>
                <w:highlight w:val="none"/>
              </w:rPr>
            </w:pPr>
          </w:p>
        </w:tc>
        <w:tc>
          <w:tcPr>
            <w:tcW w:w="538" w:type="pct"/>
            <w:gridSpan w:val="2"/>
            <w:vMerge w:val="continue"/>
            <w:noWrap w:val="0"/>
            <w:vAlign w:val="top"/>
          </w:tcPr>
          <w:p>
            <w:pPr>
              <w:jc w:val="center"/>
              <w:rPr>
                <w:rFonts w:ascii="等线" w:hAnsi="等线"/>
                <w:highlight w:val="none"/>
              </w:rPr>
            </w:pPr>
          </w:p>
        </w:tc>
        <w:tc>
          <w:tcPr>
            <w:tcW w:w="1417" w:type="pct"/>
            <w:noWrap w:val="0"/>
            <w:vAlign w:val="center"/>
          </w:tcPr>
          <w:p>
            <w:pPr>
              <w:spacing w:line="304" w:lineRule="exact"/>
              <w:ind w:left="26"/>
              <w:jc w:val="center"/>
              <w:rPr>
                <w:rFonts w:ascii="等线" w:hAnsi="等线"/>
                <w:sz w:val="20"/>
                <w:highlight w:val="none"/>
              </w:rPr>
            </w:pPr>
            <w:r>
              <w:rPr>
                <w:rFonts w:hint="eastAsia" w:ascii="等线" w:hAnsi="等线"/>
                <w:sz w:val="20"/>
                <w:highlight w:val="none"/>
              </w:rPr>
              <w:t>安装位置</w:t>
            </w:r>
          </w:p>
        </w:tc>
        <w:tc>
          <w:tcPr>
            <w:tcW w:w="2784" w:type="pct"/>
            <w:noWrap w:val="0"/>
            <w:vAlign w:val="center"/>
          </w:tcPr>
          <w:p>
            <w:pPr>
              <w:ind w:left="16"/>
              <w:jc w:val="center"/>
              <w:rPr>
                <w:rFonts w:ascii="宋体" w:hAnsi="宋体" w:cs="宋体"/>
                <w:spacing w:val="-5"/>
                <w:szCs w:val="21"/>
                <w:highlight w:val="none"/>
              </w:rPr>
            </w:pPr>
            <w:r>
              <w:rPr>
                <w:rFonts w:hint="eastAsia" w:ascii="宋体" w:hAnsi="宋体" w:cs="宋体"/>
                <w:spacing w:val="-5"/>
                <w:szCs w:val="21"/>
                <w:highlight w:val="none"/>
              </w:rPr>
              <w:t>独立启动柜，由厂商配套供货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vMerge w:val="restart"/>
            <w:noWrap w:val="0"/>
            <w:vAlign w:val="center"/>
          </w:tcPr>
          <w:p>
            <w:pPr>
              <w:jc w:val="center"/>
              <w:rPr>
                <w:rFonts w:ascii="等线" w:hAnsi="等线"/>
                <w:sz w:val="20"/>
                <w:highlight w:val="none"/>
              </w:rPr>
            </w:pPr>
            <w:r>
              <w:rPr>
                <w:rFonts w:ascii="等线" w:hAnsi="等线"/>
                <w:sz w:val="20"/>
                <w:highlight w:val="none"/>
              </w:rPr>
              <w:t>15</w:t>
            </w:r>
          </w:p>
        </w:tc>
        <w:tc>
          <w:tcPr>
            <w:tcW w:w="1955" w:type="pct"/>
            <w:gridSpan w:val="3"/>
            <w:vMerge w:val="restart"/>
            <w:noWrap w:val="0"/>
            <w:vAlign w:val="center"/>
          </w:tcPr>
          <w:p>
            <w:pPr>
              <w:jc w:val="center"/>
              <w:rPr>
                <w:rFonts w:ascii="等线" w:hAnsi="等线"/>
                <w:spacing w:val="-5"/>
                <w:sz w:val="20"/>
                <w:highlight w:val="none"/>
              </w:rPr>
            </w:pPr>
            <w:r>
              <w:rPr>
                <w:rFonts w:hint="eastAsia" w:ascii="等线" w:hAnsi="等线"/>
                <w:spacing w:val="-5"/>
                <w:sz w:val="20"/>
                <w:highlight w:val="none"/>
              </w:rPr>
              <w:t>交货时提供资料</w:t>
            </w:r>
          </w:p>
        </w:tc>
        <w:tc>
          <w:tcPr>
            <w:tcW w:w="2784" w:type="pct"/>
            <w:noWrap w:val="0"/>
            <w:vAlign w:val="center"/>
          </w:tcPr>
          <w:p>
            <w:pPr>
              <w:spacing w:before="5" w:line="316" w:lineRule="exact"/>
              <w:ind w:left="27"/>
              <w:jc w:val="center"/>
              <w:rPr>
                <w:rFonts w:ascii="宋体" w:hAnsi="宋体" w:cs="宋体"/>
                <w:spacing w:val="-5"/>
                <w:szCs w:val="21"/>
                <w:highlight w:val="none"/>
              </w:rPr>
            </w:pPr>
            <w:r>
              <w:rPr>
                <w:rFonts w:hint="eastAsia" w:ascii="宋体" w:hAnsi="宋体" w:cs="宋体"/>
                <w:spacing w:val="-5"/>
                <w:szCs w:val="21"/>
                <w:highlight w:val="none"/>
              </w:rPr>
              <w:t>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vMerge w:val="continue"/>
            <w:noWrap w:val="0"/>
            <w:vAlign w:val="center"/>
          </w:tcPr>
          <w:p>
            <w:pPr>
              <w:jc w:val="center"/>
              <w:rPr>
                <w:rFonts w:ascii="等线" w:hAnsi="等线"/>
                <w:sz w:val="20"/>
                <w:highlight w:val="none"/>
                <w:lang w:eastAsia="en-US"/>
              </w:rPr>
            </w:pPr>
          </w:p>
        </w:tc>
        <w:tc>
          <w:tcPr>
            <w:tcW w:w="1955" w:type="pct"/>
            <w:gridSpan w:val="3"/>
            <w:vMerge w:val="continue"/>
            <w:noWrap w:val="0"/>
            <w:vAlign w:val="top"/>
          </w:tcPr>
          <w:p>
            <w:pPr>
              <w:jc w:val="center"/>
              <w:rPr>
                <w:rFonts w:ascii="等线" w:hAnsi="等线"/>
                <w:spacing w:val="-5"/>
                <w:highlight w:val="none"/>
              </w:rPr>
            </w:pPr>
          </w:p>
        </w:tc>
        <w:tc>
          <w:tcPr>
            <w:tcW w:w="2784" w:type="pct"/>
            <w:noWrap w:val="0"/>
            <w:vAlign w:val="center"/>
          </w:tcPr>
          <w:p>
            <w:pPr>
              <w:spacing w:before="5" w:line="316" w:lineRule="exact"/>
              <w:ind w:left="27"/>
              <w:jc w:val="center"/>
              <w:rPr>
                <w:rFonts w:ascii="宋体" w:hAnsi="宋体" w:cs="宋体"/>
                <w:spacing w:val="-5"/>
                <w:szCs w:val="21"/>
                <w:highlight w:val="none"/>
              </w:rPr>
            </w:pPr>
            <w:r>
              <w:rPr>
                <w:rFonts w:hint="eastAsia" w:ascii="宋体" w:hAnsi="宋体" w:cs="宋体"/>
                <w:spacing w:val="-5"/>
                <w:szCs w:val="21"/>
                <w:highlight w:val="none"/>
              </w:rPr>
              <w:t>样本型录（产品说明书）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vMerge w:val="continue"/>
            <w:noWrap w:val="0"/>
            <w:vAlign w:val="center"/>
          </w:tcPr>
          <w:p>
            <w:pPr>
              <w:jc w:val="center"/>
              <w:rPr>
                <w:rFonts w:ascii="等线" w:hAnsi="等线"/>
                <w:sz w:val="20"/>
                <w:highlight w:val="none"/>
              </w:rPr>
            </w:pPr>
          </w:p>
        </w:tc>
        <w:tc>
          <w:tcPr>
            <w:tcW w:w="1955" w:type="pct"/>
            <w:gridSpan w:val="3"/>
            <w:vMerge w:val="continue"/>
            <w:noWrap w:val="0"/>
            <w:vAlign w:val="top"/>
          </w:tcPr>
          <w:p>
            <w:pPr>
              <w:jc w:val="center"/>
              <w:rPr>
                <w:rFonts w:ascii="等线" w:hAnsi="等线"/>
                <w:spacing w:val="-5"/>
                <w:highlight w:val="none"/>
              </w:rPr>
            </w:pPr>
          </w:p>
        </w:tc>
        <w:tc>
          <w:tcPr>
            <w:tcW w:w="2784" w:type="pct"/>
            <w:noWrap w:val="0"/>
            <w:vAlign w:val="center"/>
          </w:tcPr>
          <w:p>
            <w:pPr>
              <w:spacing w:before="5" w:line="316" w:lineRule="exact"/>
              <w:ind w:left="27"/>
              <w:jc w:val="center"/>
              <w:rPr>
                <w:rFonts w:ascii="宋体" w:hAnsi="宋体" w:cs="宋体"/>
                <w:spacing w:val="-5"/>
                <w:szCs w:val="21"/>
                <w:highlight w:val="none"/>
              </w:rPr>
            </w:pPr>
            <w:r>
              <w:rPr>
                <w:rFonts w:hint="eastAsia" w:ascii="宋体" w:hAnsi="宋体" w:cs="宋体"/>
                <w:spacing w:val="-5"/>
                <w:szCs w:val="21"/>
                <w:highlight w:val="none"/>
              </w:rPr>
              <w:t>安装、操作、维修手册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vMerge w:val="continue"/>
            <w:noWrap w:val="0"/>
            <w:vAlign w:val="center"/>
          </w:tcPr>
          <w:p>
            <w:pPr>
              <w:jc w:val="center"/>
              <w:rPr>
                <w:rFonts w:ascii="等线" w:hAnsi="等线"/>
                <w:sz w:val="20"/>
                <w:highlight w:val="none"/>
              </w:rPr>
            </w:pPr>
          </w:p>
        </w:tc>
        <w:tc>
          <w:tcPr>
            <w:tcW w:w="1955" w:type="pct"/>
            <w:gridSpan w:val="3"/>
            <w:vMerge w:val="continue"/>
            <w:noWrap w:val="0"/>
            <w:vAlign w:val="top"/>
          </w:tcPr>
          <w:p>
            <w:pPr>
              <w:jc w:val="center"/>
              <w:rPr>
                <w:rFonts w:ascii="等线" w:hAnsi="等线"/>
                <w:spacing w:val="-5"/>
                <w:highlight w:val="none"/>
              </w:rPr>
            </w:pPr>
          </w:p>
        </w:tc>
        <w:tc>
          <w:tcPr>
            <w:tcW w:w="2784" w:type="pct"/>
            <w:noWrap w:val="0"/>
            <w:vAlign w:val="center"/>
          </w:tcPr>
          <w:p>
            <w:pPr>
              <w:spacing w:before="5" w:line="316" w:lineRule="exact"/>
              <w:ind w:left="27"/>
              <w:jc w:val="center"/>
              <w:rPr>
                <w:rFonts w:ascii="宋体" w:hAnsi="宋体" w:cs="宋体"/>
                <w:spacing w:val="-5"/>
                <w:szCs w:val="21"/>
                <w:highlight w:val="none"/>
              </w:rPr>
            </w:pPr>
            <w:r>
              <w:rPr>
                <w:rFonts w:hint="eastAsia" w:ascii="宋体" w:hAnsi="宋体" w:cs="宋体"/>
                <w:spacing w:val="-5"/>
                <w:szCs w:val="21"/>
                <w:highlight w:val="none"/>
              </w:rPr>
              <w:t>特种设备制造监督检验证书（冷凝器、蒸发器、经济器）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259" w:type="pct"/>
            <w:noWrap w:val="0"/>
            <w:vAlign w:val="center"/>
          </w:tcPr>
          <w:p>
            <w:pPr>
              <w:spacing w:before="5" w:line="316" w:lineRule="exact"/>
              <w:ind w:left="27"/>
              <w:jc w:val="center"/>
              <w:rPr>
                <w:rFonts w:ascii="等线" w:hAnsi="等线"/>
                <w:sz w:val="20"/>
                <w:highlight w:val="none"/>
              </w:rPr>
            </w:pPr>
            <w:r>
              <w:rPr>
                <w:rFonts w:ascii="等线" w:hAnsi="等线"/>
                <w:sz w:val="20"/>
                <w:highlight w:val="none"/>
              </w:rPr>
              <w:t>16</w:t>
            </w:r>
          </w:p>
        </w:tc>
        <w:tc>
          <w:tcPr>
            <w:tcW w:w="1955" w:type="pct"/>
            <w:gridSpan w:val="3"/>
            <w:noWrap w:val="0"/>
            <w:vAlign w:val="center"/>
          </w:tcPr>
          <w:p>
            <w:pPr>
              <w:spacing w:before="5" w:line="316" w:lineRule="exact"/>
              <w:ind w:left="27"/>
              <w:jc w:val="center"/>
              <w:rPr>
                <w:rFonts w:ascii="等线" w:hAnsi="等线"/>
                <w:sz w:val="20"/>
                <w:highlight w:val="none"/>
              </w:rPr>
            </w:pPr>
            <w:r>
              <w:rPr>
                <w:rFonts w:hint="eastAsia" w:ascii="等线" w:hAnsi="等线"/>
                <w:sz w:val="20"/>
                <w:highlight w:val="none"/>
              </w:rPr>
              <w:t>随机附件</w:t>
            </w:r>
          </w:p>
        </w:tc>
        <w:tc>
          <w:tcPr>
            <w:tcW w:w="2784" w:type="pct"/>
            <w:noWrap w:val="0"/>
            <w:vAlign w:val="center"/>
          </w:tcPr>
          <w:p>
            <w:pPr>
              <w:spacing w:before="5" w:line="316" w:lineRule="exact"/>
              <w:ind w:left="27"/>
              <w:jc w:val="center"/>
              <w:rPr>
                <w:rFonts w:ascii="宋体" w:hAnsi="宋体" w:cs="宋体"/>
                <w:szCs w:val="21"/>
                <w:highlight w:val="none"/>
              </w:rPr>
            </w:pPr>
            <w:r>
              <w:rPr>
                <w:rFonts w:hint="eastAsia" w:ascii="宋体" w:hAnsi="宋体" w:cs="宋体"/>
                <w:spacing w:val="-5"/>
                <w:szCs w:val="21"/>
                <w:highlight w:val="none"/>
              </w:rPr>
              <w:t>水流开关二只或电子压差开关二处（安装于冷却水、冷冻水出口管上）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noWrap w:val="0"/>
            <w:vAlign w:val="center"/>
          </w:tcPr>
          <w:p>
            <w:pPr>
              <w:jc w:val="center"/>
              <w:rPr>
                <w:rFonts w:ascii="等线" w:hAnsi="等线"/>
                <w:sz w:val="20"/>
                <w:highlight w:val="none"/>
              </w:rPr>
            </w:pPr>
            <w:r>
              <w:rPr>
                <w:rFonts w:ascii="等线" w:hAnsi="等线"/>
                <w:sz w:val="20"/>
                <w:highlight w:val="none"/>
              </w:rPr>
              <w:t>17</w:t>
            </w:r>
          </w:p>
        </w:tc>
        <w:tc>
          <w:tcPr>
            <w:tcW w:w="1955" w:type="pct"/>
            <w:gridSpan w:val="3"/>
            <w:noWrap w:val="0"/>
            <w:vAlign w:val="center"/>
          </w:tcPr>
          <w:p>
            <w:pPr>
              <w:spacing w:line="320" w:lineRule="exact"/>
              <w:ind w:left="28"/>
              <w:jc w:val="center"/>
              <w:rPr>
                <w:rFonts w:ascii="等线" w:hAnsi="等线"/>
                <w:sz w:val="20"/>
                <w:highlight w:val="none"/>
                <w:lang w:eastAsia="en-US"/>
              </w:rPr>
            </w:pPr>
            <w:r>
              <w:rPr>
                <w:rFonts w:hint="eastAsia" w:ascii="等线" w:hAnsi="等线"/>
                <w:sz w:val="20"/>
                <w:highlight w:val="none"/>
              </w:rPr>
              <w:t>验收时提供资料</w:t>
            </w:r>
          </w:p>
        </w:tc>
        <w:tc>
          <w:tcPr>
            <w:tcW w:w="2784" w:type="pct"/>
            <w:noWrap w:val="0"/>
            <w:vAlign w:val="center"/>
          </w:tcPr>
          <w:p>
            <w:pPr>
              <w:ind w:left="30"/>
              <w:jc w:val="center"/>
              <w:rPr>
                <w:rFonts w:ascii="宋体" w:hAnsi="宋体" w:cs="宋体"/>
                <w:szCs w:val="21"/>
                <w:highlight w:val="none"/>
                <w:lang w:eastAsia="en-US"/>
              </w:rPr>
            </w:pPr>
            <w:r>
              <w:rPr>
                <w:rFonts w:hint="eastAsia" w:ascii="宋体" w:hAnsi="宋体" w:cs="宋体"/>
                <w:szCs w:val="21"/>
                <w:highlight w:val="none"/>
              </w:rPr>
              <w:t>调试报告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59" w:type="pct"/>
            <w:noWrap w:val="0"/>
            <w:vAlign w:val="center"/>
          </w:tcPr>
          <w:p>
            <w:pPr>
              <w:jc w:val="center"/>
              <w:rPr>
                <w:rFonts w:ascii="等线" w:hAnsi="等线"/>
                <w:sz w:val="20"/>
                <w:highlight w:val="none"/>
              </w:rPr>
            </w:pPr>
            <w:r>
              <w:rPr>
                <w:rFonts w:ascii="等线" w:hAnsi="等线"/>
                <w:sz w:val="20"/>
                <w:highlight w:val="none"/>
              </w:rPr>
              <w:t>18</w:t>
            </w:r>
          </w:p>
        </w:tc>
        <w:tc>
          <w:tcPr>
            <w:tcW w:w="1955" w:type="pct"/>
            <w:gridSpan w:val="3"/>
            <w:noWrap w:val="0"/>
            <w:vAlign w:val="center"/>
          </w:tcPr>
          <w:p>
            <w:pPr>
              <w:jc w:val="center"/>
              <w:rPr>
                <w:rFonts w:ascii="等线" w:hAnsi="等线"/>
                <w:sz w:val="20"/>
                <w:highlight w:val="none"/>
                <w:lang w:eastAsia="en-US"/>
              </w:rPr>
            </w:pPr>
            <w:r>
              <w:rPr>
                <w:rFonts w:hint="eastAsia" w:ascii="等线" w:hAnsi="等线"/>
                <w:sz w:val="20"/>
                <w:highlight w:val="none"/>
              </w:rPr>
              <w:t>售后服务</w:t>
            </w:r>
          </w:p>
        </w:tc>
        <w:tc>
          <w:tcPr>
            <w:tcW w:w="2784" w:type="pct"/>
            <w:noWrap w:val="0"/>
            <w:vAlign w:val="top"/>
          </w:tcPr>
          <w:p>
            <w:pPr>
              <w:ind w:left="16"/>
              <w:jc w:val="center"/>
              <w:rPr>
                <w:rFonts w:ascii="宋体" w:hAnsi="宋体" w:cs="宋体"/>
                <w:szCs w:val="21"/>
                <w:highlight w:val="none"/>
              </w:rPr>
            </w:pPr>
            <w:r>
              <w:rPr>
                <w:rFonts w:hint="eastAsia" w:ascii="宋体" w:hAnsi="宋体" w:cs="宋体"/>
                <w:szCs w:val="21"/>
                <w:highlight w:val="none"/>
              </w:rPr>
              <w:t>故障时4小时内到现场处理，故障平均修复时间为8小时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9" w:type="pct"/>
            <w:vMerge w:val="restart"/>
            <w:noWrap w:val="0"/>
            <w:vAlign w:val="center"/>
          </w:tcPr>
          <w:p>
            <w:pPr>
              <w:jc w:val="center"/>
              <w:rPr>
                <w:rFonts w:ascii="等线" w:hAnsi="等线"/>
                <w:sz w:val="20"/>
                <w:highlight w:val="none"/>
              </w:rPr>
            </w:pPr>
            <w:r>
              <w:rPr>
                <w:rFonts w:ascii="等线" w:hAnsi="等线"/>
                <w:sz w:val="20"/>
                <w:highlight w:val="none"/>
              </w:rPr>
              <w:t>19</w:t>
            </w:r>
          </w:p>
        </w:tc>
        <w:tc>
          <w:tcPr>
            <w:tcW w:w="1955" w:type="pct"/>
            <w:gridSpan w:val="3"/>
            <w:vMerge w:val="restart"/>
            <w:noWrap w:val="0"/>
            <w:vAlign w:val="center"/>
          </w:tcPr>
          <w:p>
            <w:pPr>
              <w:jc w:val="center"/>
              <w:rPr>
                <w:rFonts w:ascii="等线" w:hAnsi="等线"/>
                <w:sz w:val="20"/>
                <w:highlight w:val="none"/>
                <w:lang w:eastAsia="en-US"/>
              </w:rPr>
            </w:pPr>
            <w:r>
              <w:rPr>
                <w:rFonts w:hint="eastAsia" w:ascii="等线" w:hAnsi="等线"/>
                <w:sz w:val="20"/>
                <w:highlight w:val="none"/>
              </w:rPr>
              <w:t>质保期</w:t>
            </w:r>
          </w:p>
        </w:tc>
        <w:tc>
          <w:tcPr>
            <w:tcW w:w="2784" w:type="pct"/>
            <w:noWrap w:val="0"/>
            <w:vAlign w:val="center"/>
          </w:tcPr>
          <w:p>
            <w:pPr>
              <w:ind w:left="16"/>
              <w:jc w:val="center"/>
              <w:rPr>
                <w:rFonts w:ascii="宋体" w:hAnsi="宋体" w:cs="宋体"/>
                <w:szCs w:val="21"/>
                <w:highlight w:val="none"/>
              </w:rPr>
            </w:pPr>
            <w:r>
              <w:rPr>
                <w:rFonts w:hint="eastAsia" w:ascii="宋体" w:hAnsi="宋体" w:cs="宋体"/>
                <w:szCs w:val="21"/>
                <w:highlight w:val="none"/>
              </w:rPr>
              <w:t>整机调试合格之日起免费维保二年。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259" w:type="pct"/>
            <w:vMerge w:val="continue"/>
            <w:noWrap w:val="0"/>
            <w:vAlign w:val="top"/>
          </w:tcPr>
          <w:p>
            <w:pPr>
              <w:jc w:val="center"/>
              <w:rPr>
                <w:rFonts w:ascii="等线" w:hAnsi="等线"/>
                <w:highlight w:val="none"/>
              </w:rPr>
            </w:pPr>
          </w:p>
        </w:tc>
        <w:tc>
          <w:tcPr>
            <w:tcW w:w="1955" w:type="pct"/>
            <w:gridSpan w:val="3"/>
            <w:vMerge w:val="continue"/>
            <w:noWrap w:val="0"/>
            <w:vAlign w:val="top"/>
          </w:tcPr>
          <w:p>
            <w:pPr>
              <w:jc w:val="center"/>
              <w:rPr>
                <w:rFonts w:ascii="等线" w:hAnsi="等线"/>
                <w:highlight w:val="none"/>
              </w:rPr>
            </w:pPr>
          </w:p>
        </w:tc>
        <w:tc>
          <w:tcPr>
            <w:tcW w:w="2784" w:type="pct"/>
            <w:noWrap w:val="0"/>
            <w:vAlign w:val="top"/>
          </w:tcPr>
          <w:p>
            <w:pPr>
              <w:spacing w:before="79"/>
              <w:ind w:left="16"/>
              <w:jc w:val="center"/>
              <w:rPr>
                <w:rFonts w:ascii="宋体" w:hAnsi="宋体" w:cs="宋体"/>
                <w:szCs w:val="21"/>
                <w:highlight w:val="none"/>
              </w:rPr>
            </w:pPr>
            <w:r>
              <w:rPr>
                <w:rFonts w:hint="eastAsia" w:ascii="宋体" w:hAnsi="宋体" w:cs="宋体"/>
                <w:szCs w:val="21"/>
                <w:highlight w:val="none"/>
              </w:rPr>
              <w:t>整机质保期内免费更换冷冻机油一次；免费更换全部油过滤器。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259" w:type="pct"/>
            <w:vMerge w:val="continue"/>
            <w:noWrap w:val="0"/>
            <w:vAlign w:val="top"/>
          </w:tcPr>
          <w:p>
            <w:pPr>
              <w:jc w:val="center"/>
              <w:rPr>
                <w:rFonts w:ascii="等线" w:hAnsi="等线"/>
                <w:highlight w:val="none"/>
              </w:rPr>
            </w:pPr>
          </w:p>
        </w:tc>
        <w:tc>
          <w:tcPr>
            <w:tcW w:w="1955" w:type="pct"/>
            <w:gridSpan w:val="3"/>
            <w:vMerge w:val="continue"/>
            <w:noWrap w:val="0"/>
            <w:vAlign w:val="top"/>
          </w:tcPr>
          <w:p>
            <w:pPr>
              <w:jc w:val="center"/>
              <w:rPr>
                <w:rFonts w:ascii="等线" w:hAnsi="等线"/>
                <w:highlight w:val="none"/>
              </w:rPr>
            </w:pPr>
          </w:p>
        </w:tc>
        <w:tc>
          <w:tcPr>
            <w:tcW w:w="2784" w:type="pct"/>
            <w:noWrap w:val="0"/>
            <w:vAlign w:val="top"/>
          </w:tcPr>
          <w:p>
            <w:pPr>
              <w:ind w:left="16"/>
              <w:jc w:val="center"/>
              <w:rPr>
                <w:rFonts w:ascii="宋体" w:hAnsi="宋体" w:cs="宋体"/>
                <w:szCs w:val="21"/>
                <w:highlight w:val="none"/>
              </w:rPr>
            </w:pPr>
            <w:r>
              <w:rPr>
                <w:rFonts w:hint="eastAsia" w:ascii="宋体" w:hAnsi="宋体" w:cs="宋体"/>
                <w:szCs w:val="21"/>
                <w:highlight w:val="none"/>
              </w:rPr>
              <w:t>压缩机、电机、机载微电脑自调试合格之日起免费维保，质保二年。</w:t>
            </w:r>
          </w:p>
        </w:tc>
      </w:tr>
    </w:tbl>
    <w:p>
      <w:pPr>
        <w:rPr>
          <w:highlight w:val="none"/>
        </w:rPr>
      </w:pPr>
    </w:p>
    <w:p>
      <w:pPr>
        <w:keepNext/>
        <w:keepLines/>
        <w:outlineLvl w:val="2"/>
        <w:rPr>
          <w:b/>
          <w:bCs/>
          <w:szCs w:val="21"/>
          <w:highlight w:val="none"/>
        </w:rPr>
      </w:pPr>
      <w:bookmarkStart w:id="221" w:name="_Toc6692"/>
      <w:bookmarkStart w:id="222" w:name="_Toc2732"/>
      <w:r>
        <w:rPr>
          <w:rFonts w:hint="eastAsia"/>
          <w:b/>
          <w:bCs/>
          <w:szCs w:val="21"/>
          <w:highlight w:val="none"/>
        </w:rPr>
        <w:t>2.2蓄冷罐设备技术参数表：</w:t>
      </w:r>
      <w:bookmarkEnd w:id="221"/>
      <w:bookmarkEnd w:id="222"/>
    </w:p>
    <w:tbl>
      <w:tblPr>
        <w:tblStyle w:val="16"/>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67"/>
        <w:gridCol w:w="3915"/>
        <w:gridCol w:w="465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jc w:val="center"/>
              <w:rPr>
                <w:rFonts w:ascii="宋体" w:hAnsi="宋体"/>
                <w:b/>
                <w:bCs/>
                <w:sz w:val="22"/>
                <w:highlight w:val="none"/>
              </w:rPr>
            </w:pPr>
            <w:r>
              <w:rPr>
                <w:rFonts w:hint="eastAsia" w:ascii="宋体" w:hAnsi="宋体"/>
                <w:b/>
                <w:bCs/>
                <w:sz w:val="22"/>
                <w:highlight w:val="none"/>
              </w:rPr>
              <w:t>序号</w:t>
            </w:r>
          </w:p>
        </w:tc>
        <w:tc>
          <w:tcPr>
            <w:tcW w:w="2053" w:type="pct"/>
            <w:shd w:val="clear" w:color="auto" w:fill="auto"/>
            <w:noWrap w:val="0"/>
            <w:vAlign w:val="center"/>
          </w:tcPr>
          <w:p>
            <w:pPr>
              <w:jc w:val="center"/>
              <w:rPr>
                <w:rFonts w:ascii="宋体" w:hAnsi="宋体"/>
                <w:b/>
                <w:bCs/>
                <w:sz w:val="22"/>
                <w:highlight w:val="none"/>
              </w:rPr>
            </w:pPr>
            <w:r>
              <w:rPr>
                <w:rFonts w:hint="eastAsia" w:ascii="宋体" w:hAnsi="宋体"/>
                <w:b/>
                <w:bCs/>
                <w:sz w:val="22"/>
                <w:highlight w:val="none"/>
              </w:rPr>
              <w:t>项目及内容</w:t>
            </w:r>
          </w:p>
        </w:tc>
        <w:tc>
          <w:tcPr>
            <w:tcW w:w="2440" w:type="pct"/>
            <w:shd w:val="clear" w:color="auto" w:fill="auto"/>
            <w:noWrap w:val="0"/>
            <w:vAlign w:val="center"/>
          </w:tcPr>
          <w:p>
            <w:pPr>
              <w:jc w:val="center"/>
              <w:rPr>
                <w:rFonts w:ascii="宋体" w:hAnsi="宋体"/>
                <w:b/>
                <w:bCs/>
                <w:sz w:val="22"/>
                <w:highlight w:val="none"/>
              </w:rPr>
            </w:pPr>
            <w:r>
              <w:rPr>
                <w:rFonts w:hint="eastAsia" w:ascii="宋体" w:hAnsi="宋体"/>
                <w:b/>
                <w:bCs/>
                <w:sz w:val="22"/>
                <w:highlight w:val="none"/>
              </w:rPr>
              <w:t>技术要求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1</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数量（台）</w:t>
            </w:r>
          </w:p>
        </w:tc>
        <w:tc>
          <w:tcPr>
            <w:tcW w:w="2440" w:type="pct"/>
            <w:shd w:val="clear" w:color="auto" w:fill="auto"/>
            <w:noWrap w:val="0"/>
            <w:vAlign w:val="center"/>
          </w:tcPr>
          <w:p>
            <w:pPr>
              <w:ind w:firstLine="39" w:firstLineChars="18"/>
              <w:rPr>
                <w:rFonts w:ascii="宋体" w:hAnsi="宋体"/>
                <w:sz w:val="22"/>
                <w:highlight w:val="none"/>
              </w:rPr>
            </w:pPr>
            <w:r>
              <w:rPr>
                <w:rFonts w:ascii="宋体" w:hAnsi="宋体"/>
                <w:sz w:val="22"/>
                <w:highlight w:val="none"/>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jc w:val="left"/>
              <w:rPr>
                <w:rFonts w:ascii="宋体" w:hAnsi="宋体"/>
                <w:sz w:val="22"/>
                <w:highlight w:val="none"/>
              </w:rPr>
            </w:pPr>
            <w:r>
              <w:rPr>
                <w:rFonts w:hint="eastAsia" w:ascii="宋体" w:hAnsi="宋体"/>
                <w:sz w:val="22"/>
                <w:highlight w:val="none"/>
              </w:rPr>
              <w:t>2</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单台蓄冷罐有效容量（m³）</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w:t>
            </w:r>
            <w:r>
              <w:rPr>
                <w:rFonts w:ascii="宋体" w:hAnsi="宋体"/>
                <w:sz w:val="22"/>
                <w:highlight w:val="none"/>
              </w:rPr>
              <w:t>3050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jc w:val="left"/>
              <w:rPr>
                <w:rFonts w:ascii="宋体" w:hAnsi="宋体"/>
                <w:sz w:val="22"/>
                <w:highlight w:val="none"/>
              </w:rPr>
            </w:pPr>
            <w:r>
              <w:rPr>
                <w:rFonts w:hint="eastAsia" w:ascii="宋体" w:hAnsi="宋体"/>
                <w:sz w:val="22"/>
                <w:highlight w:val="none"/>
              </w:rPr>
              <w:t>3</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蓄冷罐直径（m）</w:t>
            </w:r>
          </w:p>
        </w:tc>
        <w:tc>
          <w:tcPr>
            <w:tcW w:w="2440" w:type="pct"/>
            <w:shd w:val="clear" w:color="auto" w:fill="auto"/>
            <w:noWrap w:val="0"/>
            <w:vAlign w:val="center"/>
          </w:tcPr>
          <w:p>
            <w:pPr>
              <w:ind w:firstLine="39" w:firstLineChars="18"/>
              <w:rPr>
                <w:rFonts w:ascii="宋体" w:hAnsi="宋体"/>
                <w:sz w:val="22"/>
                <w:highlight w:val="none"/>
              </w:rPr>
            </w:pPr>
            <w:r>
              <w:rPr>
                <w:rFonts w:ascii="宋体" w:hAnsi="宋体"/>
                <w:sz w:val="22"/>
                <w:highlight w:val="none"/>
              </w:rPr>
              <w:t>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jc w:val="left"/>
              <w:rPr>
                <w:rFonts w:ascii="宋体" w:hAnsi="宋体"/>
                <w:sz w:val="22"/>
                <w:highlight w:val="none"/>
              </w:rPr>
            </w:pPr>
            <w:r>
              <w:rPr>
                <w:rFonts w:hint="eastAsia" w:ascii="宋体" w:hAnsi="宋体"/>
                <w:sz w:val="22"/>
                <w:highlight w:val="none"/>
              </w:rPr>
              <w:t>4</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蓄冷罐液位高度（m）</w:t>
            </w:r>
          </w:p>
        </w:tc>
        <w:tc>
          <w:tcPr>
            <w:tcW w:w="2440" w:type="pct"/>
            <w:shd w:val="clear" w:color="auto" w:fill="auto"/>
            <w:noWrap w:val="0"/>
            <w:vAlign w:val="center"/>
          </w:tcPr>
          <w:p>
            <w:pPr>
              <w:ind w:firstLine="39" w:firstLineChars="18"/>
              <w:rPr>
                <w:rFonts w:ascii="宋体" w:hAnsi="宋体"/>
                <w:sz w:val="22"/>
                <w:highlight w:val="none"/>
              </w:rPr>
            </w:pPr>
            <w:r>
              <w:rPr>
                <w:rFonts w:ascii="宋体" w:hAnsi="宋体"/>
                <w:sz w:val="22"/>
                <w:highlight w:val="none"/>
              </w:rPr>
              <w:t>27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jc w:val="left"/>
              <w:rPr>
                <w:rFonts w:ascii="宋体" w:hAnsi="宋体"/>
                <w:sz w:val="22"/>
                <w:highlight w:val="none"/>
              </w:rPr>
            </w:pPr>
            <w:r>
              <w:rPr>
                <w:rFonts w:hint="eastAsia" w:ascii="宋体" w:hAnsi="宋体"/>
                <w:sz w:val="22"/>
                <w:highlight w:val="none"/>
              </w:rPr>
              <w:t>5</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罐体材质</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color w:val="000000"/>
                <w:sz w:val="22"/>
                <w:highlight w:val="none"/>
              </w:rPr>
              <w:t>Q235B</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6</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罐体形式</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立式圆筒形拱顶储罐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7</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24小时温升(℃)</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≤0.</w:t>
            </w:r>
            <w:r>
              <w:rPr>
                <w:rFonts w:ascii="宋体" w:hAnsi="宋体"/>
                <w:sz w:val="22"/>
                <w:highlight w:val="none"/>
              </w:rPr>
              <w:t>2</w:t>
            </w:r>
            <w:r>
              <w:rPr>
                <w:rFonts w:hint="eastAsia" w:ascii="宋体" w:hAnsi="宋体"/>
                <w:sz w:val="22"/>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8</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抗震设防烈度（度）</w:t>
            </w:r>
          </w:p>
        </w:tc>
        <w:tc>
          <w:tcPr>
            <w:tcW w:w="2440" w:type="pct"/>
            <w:shd w:val="clear" w:color="auto" w:fill="auto"/>
            <w:noWrap w:val="0"/>
            <w:vAlign w:val="center"/>
          </w:tcPr>
          <w:p>
            <w:pPr>
              <w:ind w:firstLine="39" w:firstLineChars="18"/>
              <w:rPr>
                <w:rFonts w:ascii="宋体" w:hAnsi="宋体"/>
                <w:sz w:val="22"/>
                <w:highlight w:val="none"/>
              </w:rPr>
            </w:pPr>
            <w:r>
              <w:rPr>
                <w:rFonts w:ascii="宋体" w:hAnsi="宋体"/>
                <w:sz w:val="22"/>
                <w:highlight w:val="none"/>
              </w:rPr>
              <w:t>7</w:t>
            </w:r>
            <w:r>
              <w:rPr>
                <w:rFonts w:hint="eastAsia" w:ascii="宋体" w:hAnsi="宋体"/>
                <w:sz w:val="22"/>
                <w:highlight w:val="none"/>
              </w:rPr>
              <w:t>级，基本加速度0</w:t>
            </w:r>
            <w:r>
              <w:rPr>
                <w:rFonts w:ascii="宋体" w:hAnsi="宋体"/>
                <w:sz w:val="22"/>
                <w:highlight w:val="none"/>
              </w:rPr>
              <w:t>.10</w:t>
            </w:r>
            <w:r>
              <w:rPr>
                <w:rFonts w:hint="eastAsia" w:ascii="宋体" w:hAnsi="宋体"/>
                <w:sz w:val="22"/>
                <w:highlight w:val="none"/>
              </w:rPr>
              <w:t>g</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9</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基本风压（</w:t>
            </w:r>
            <w:r>
              <w:rPr>
                <w:rFonts w:ascii="宋体" w:hAnsi="宋体"/>
                <w:sz w:val="22"/>
                <w:highlight w:val="none"/>
              </w:rPr>
              <w:t>P</w:t>
            </w:r>
            <w:r>
              <w:rPr>
                <w:rFonts w:hint="eastAsia" w:ascii="宋体" w:hAnsi="宋体"/>
                <w:sz w:val="22"/>
                <w:highlight w:val="none"/>
              </w:rPr>
              <w:t>a）</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6</w:t>
            </w:r>
            <w:r>
              <w:rPr>
                <w:rFonts w:ascii="宋体" w:hAnsi="宋体"/>
                <w:sz w:val="22"/>
                <w:highlight w:val="none"/>
              </w:rPr>
              <w:t>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10</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设计蓄冷界限温度（℃）</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4℃/1</w:t>
            </w:r>
            <w:r>
              <w:rPr>
                <w:rFonts w:ascii="宋体" w:hAnsi="宋体"/>
                <w:sz w:val="22"/>
                <w:highlight w:val="none"/>
              </w:rPr>
              <w:t>3</w:t>
            </w:r>
            <w:r>
              <w:rPr>
                <w:rFonts w:hint="eastAsia" w:ascii="宋体" w:hAnsi="宋体"/>
                <w:sz w:val="22"/>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11</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color w:val="000000"/>
                <w:sz w:val="22"/>
                <w:highlight w:val="none"/>
              </w:rPr>
              <w:t>蓄放冷效率</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color w:val="000000"/>
                <w:sz w:val="22"/>
                <w:highlight w:val="none"/>
              </w:rPr>
              <w:t>＞90%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color w:val="000000"/>
                <w:sz w:val="22"/>
                <w:highlight w:val="none"/>
              </w:rPr>
              <w:t>1</w:t>
            </w:r>
            <w:r>
              <w:rPr>
                <w:rFonts w:ascii="宋体" w:hAnsi="宋体"/>
                <w:color w:val="000000"/>
                <w:sz w:val="22"/>
                <w:highlight w:val="none"/>
              </w:rPr>
              <w:t>2</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color w:val="000000"/>
                <w:sz w:val="22"/>
                <w:highlight w:val="none"/>
              </w:rPr>
              <w:t>布水器及罐内水流阻力</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color w:val="000000"/>
                <w:sz w:val="22"/>
                <w:highlight w:val="none"/>
              </w:rPr>
              <w:t>≤</w:t>
            </w:r>
            <w:r>
              <w:rPr>
                <w:rFonts w:ascii="宋体" w:hAnsi="宋体"/>
                <w:color w:val="000000"/>
                <w:sz w:val="22"/>
                <w:highlight w:val="none"/>
              </w:rPr>
              <w:t>4</w:t>
            </w:r>
            <w:r>
              <w:rPr>
                <w:rFonts w:hint="eastAsia" w:ascii="宋体" w:hAnsi="宋体"/>
                <w:color w:val="000000"/>
                <w:sz w:val="22"/>
                <w:highlight w:val="none"/>
              </w:rPr>
              <w:t>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color w:val="000000"/>
                <w:sz w:val="22"/>
                <w:highlight w:val="none"/>
              </w:rPr>
            </w:pPr>
            <w:r>
              <w:rPr>
                <w:rFonts w:hint="eastAsia" w:ascii="宋体" w:hAnsi="宋体"/>
                <w:color w:val="000000"/>
                <w:sz w:val="22"/>
                <w:highlight w:val="none"/>
              </w:rPr>
              <w:t>1</w:t>
            </w:r>
            <w:r>
              <w:rPr>
                <w:rFonts w:ascii="宋体" w:hAnsi="宋体"/>
                <w:color w:val="000000"/>
                <w:sz w:val="22"/>
                <w:highlight w:val="none"/>
              </w:rPr>
              <w:t>3</w:t>
            </w:r>
          </w:p>
        </w:tc>
        <w:tc>
          <w:tcPr>
            <w:tcW w:w="2053" w:type="pct"/>
            <w:shd w:val="clear" w:color="auto" w:fill="auto"/>
            <w:noWrap w:val="0"/>
            <w:vAlign w:val="center"/>
          </w:tcPr>
          <w:p>
            <w:pPr>
              <w:ind w:firstLine="33" w:firstLineChars="15"/>
              <w:rPr>
                <w:rFonts w:ascii="宋体" w:hAnsi="宋体"/>
                <w:color w:val="000000"/>
                <w:sz w:val="22"/>
                <w:highlight w:val="none"/>
              </w:rPr>
            </w:pPr>
            <w:r>
              <w:rPr>
                <w:rFonts w:hint="eastAsia" w:ascii="宋体" w:hAnsi="宋体"/>
                <w:color w:val="000000"/>
                <w:sz w:val="22"/>
                <w:highlight w:val="none"/>
              </w:rPr>
              <w:t>布水器类型</w:t>
            </w:r>
          </w:p>
        </w:tc>
        <w:tc>
          <w:tcPr>
            <w:tcW w:w="2440" w:type="pct"/>
            <w:shd w:val="clear" w:color="auto" w:fill="auto"/>
            <w:noWrap w:val="0"/>
            <w:vAlign w:val="center"/>
          </w:tcPr>
          <w:p>
            <w:pPr>
              <w:ind w:firstLine="39" w:firstLineChars="18"/>
              <w:rPr>
                <w:rFonts w:ascii="宋体" w:hAnsi="宋体"/>
                <w:color w:val="000000"/>
                <w:sz w:val="22"/>
                <w:highlight w:val="none"/>
              </w:rPr>
            </w:pPr>
            <w:r>
              <w:rPr>
                <w:rFonts w:hint="eastAsia" w:ascii="宋体" w:hAnsi="宋体"/>
                <w:color w:val="000000"/>
                <w:sz w:val="22"/>
                <w:highlight w:val="none"/>
              </w:rPr>
              <w:t>环状（八角型）均压布水器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color w:val="000000"/>
                <w:sz w:val="22"/>
                <w:highlight w:val="none"/>
              </w:rPr>
            </w:pPr>
            <w:r>
              <w:rPr>
                <w:rFonts w:hint="eastAsia" w:ascii="宋体" w:hAnsi="宋体"/>
                <w:color w:val="000000"/>
                <w:sz w:val="22"/>
                <w:highlight w:val="none"/>
              </w:rPr>
              <w:t>1</w:t>
            </w:r>
            <w:r>
              <w:rPr>
                <w:rFonts w:ascii="宋体" w:hAnsi="宋体"/>
                <w:color w:val="000000"/>
                <w:sz w:val="22"/>
                <w:highlight w:val="none"/>
              </w:rPr>
              <w:t>4</w:t>
            </w:r>
          </w:p>
        </w:tc>
        <w:tc>
          <w:tcPr>
            <w:tcW w:w="2053" w:type="pct"/>
            <w:shd w:val="clear" w:color="auto" w:fill="auto"/>
            <w:noWrap w:val="0"/>
            <w:vAlign w:val="center"/>
          </w:tcPr>
          <w:p>
            <w:pPr>
              <w:ind w:firstLine="33" w:firstLineChars="15"/>
              <w:rPr>
                <w:rFonts w:ascii="宋体" w:hAnsi="宋体"/>
                <w:color w:val="000000"/>
                <w:sz w:val="22"/>
                <w:highlight w:val="none"/>
              </w:rPr>
            </w:pPr>
            <w:r>
              <w:rPr>
                <w:rFonts w:hint="eastAsia" w:ascii="宋体" w:hAnsi="宋体"/>
                <w:color w:val="000000"/>
                <w:sz w:val="22"/>
                <w:highlight w:val="none"/>
              </w:rPr>
              <w:t>布水器材质</w:t>
            </w:r>
          </w:p>
        </w:tc>
        <w:tc>
          <w:tcPr>
            <w:tcW w:w="2440" w:type="pct"/>
            <w:shd w:val="clear" w:color="auto" w:fill="auto"/>
            <w:noWrap w:val="0"/>
            <w:vAlign w:val="center"/>
          </w:tcPr>
          <w:p>
            <w:pPr>
              <w:ind w:firstLine="39" w:firstLineChars="18"/>
              <w:rPr>
                <w:rFonts w:ascii="宋体" w:hAnsi="宋体"/>
                <w:color w:val="000000"/>
                <w:sz w:val="22"/>
                <w:highlight w:val="none"/>
              </w:rPr>
            </w:pPr>
            <w:r>
              <w:rPr>
                <w:rFonts w:hint="eastAsia" w:ascii="宋体" w:hAnsi="宋体"/>
                <w:color w:val="000000"/>
                <w:sz w:val="22"/>
                <w:highlight w:val="none"/>
              </w:rPr>
              <w:t>布水器采用3</w:t>
            </w:r>
            <w:r>
              <w:rPr>
                <w:rFonts w:ascii="宋体" w:hAnsi="宋体"/>
                <w:color w:val="000000"/>
                <w:sz w:val="22"/>
                <w:highlight w:val="none"/>
              </w:rPr>
              <w:t>04</w:t>
            </w:r>
            <w:r>
              <w:rPr>
                <w:rFonts w:hint="eastAsia" w:ascii="宋体" w:hAnsi="宋体"/>
                <w:color w:val="000000"/>
                <w:sz w:val="22"/>
                <w:highlight w:val="none"/>
              </w:rPr>
              <w:t>不锈钢材质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color w:val="000000"/>
                <w:sz w:val="22"/>
                <w:highlight w:val="none"/>
              </w:rPr>
            </w:pPr>
            <w:r>
              <w:rPr>
                <w:rFonts w:hint="eastAsia" w:ascii="宋体" w:hAnsi="宋体"/>
                <w:sz w:val="22"/>
                <w:highlight w:val="none"/>
              </w:rPr>
              <w:t>15</w:t>
            </w:r>
          </w:p>
        </w:tc>
        <w:tc>
          <w:tcPr>
            <w:tcW w:w="2053" w:type="pct"/>
            <w:shd w:val="clear" w:color="auto" w:fill="auto"/>
            <w:noWrap w:val="0"/>
            <w:vAlign w:val="center"/>
          </w:tcPr>
          <w:p>
            <w:pPr>
              <w:ind w:firstLine="33" w:firstLineChars="15"/>
              <w:rPr>
                <w:rFonts w:ascii="宋体" w:hAnsi="宋体"/>
                <w:color w:val="000000"/>
                <w:sz w:val="22"/>
                <w:highlight w:val="none"/>
              </w:rPr>
            </w:pPr>
            <w:r>
              <w:rPr>
                <w:rFonts w:ascii="宋体" w:hAnsi="宋体"/>
                <w:color w:val="000000"/>
                <w:sz w:val="22"/>
                <w:highlight w:val="none"/>
              </w:rPr>
              <w:t>蓄冷水温（℃）</w:t>
            </w:r>
          </w:p>
        </w:tc>
        <w:tc>
          <w:tcPr>
            <w:tcW w:w="2440" w:type="pct"/>
            <w:shd w:val="clear" w:color="auto" w:fill="auto"/>
            <w:noWrap w:val="0"/>
            <w:vAlign w:val="center"/>
          </w:tcPr>
          <w:p>
            <w:pPr>
              <w:ind w:firstLine="39" w:firstLineChars="18"/>
              <w:rPr>
                <w:rFonts w:ascii="宋体" w:hAnsi="宋体"/>
                <w:color w:val="000000"/>
                <w:sz w:val="22"/>
                <w:highlight w:val="none"/>
              </w:rPr>
            </w:pPr>
            <w:r>
              <w:rPr>
                <w:rFonts w:hint="eastAsia" w:ascii="宋体" w:hAnsi="宋体"/>
                <w:sz w:val="22"/>
                <w:highlight w:val="none"/>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color w:val="000000"/>
                <w:sz w:val="22"/>
                <w:highlight w:val="none"/>
              </w:rPr>
            </w:pPr>
            <w:r>
              <w:rPr>
                <w:rFonts w:hint="eastAsia" w:ascii="宋体" w:hAnsi="宋体"/>
                <w:sz w:val="22"/>
                <w:highlight w:val="none"/>
              </w:rPr>
              <w:t>16</w:t>
            </w:r>
          </w:p>
        </w:tc>
        <w:tc>
          <w:tcPr>
            <w:tcW w:w="2053" w:type="pct"/>
            <w:shd w:val="clear" w:color="auto" w:fill="auto"/>
            <w:noWrap w:val="0"/>
            <w:vAlign w:val="center"/>
          </w:tcPr>
          <w:p>
            <w:pPr>
              <w:ind w:firstLine="33" w:firstLineChars="15"/>
              <w:rPr>
                <w:rFonts w:ascii="宋体" w:hAnsi="宋体"/>
                <w:color w:val="000000"/>
                <w:sz w:val="22"/>
                <w:highlight w:val="none"/>
              </w:rPr>
            </w:pPr>
            <w:r>
              <w:rPr>
                <w:rFonts w:hint="eastAsia" w:ascii="宋体" w:hAnsi="宋体"/>
                <w:color w:val="000000"/>
                <w:sz w:val="22"/>
                <w:highlight w:val="none"/>
              </w:rPr>
              <w:t>末端</w:t>
            </w:r>
            <w:r>
              <w:rPr>
                <w:rFonts w:ascii="宋体" w:hAnsi="宋体"/>
                <w:color w:val="000000"/>
                <w:sz w:val="22"/>
                <w:highlight w:val="none"/>
              </w:rPr>
              <w:t>冷冻水供/回水温度（℃）</w:t>
            </w:r>
          </w:p>
        </w:tc>
        <w:tc>
          <w:tcPr>
            <w:tcW w:w="2440" w:type="pct"/>
            <w:shd w:val="clear" w:color="auto" w:fill="auto"/>
            <w:noWrap w:val="0"/>
            <w:vAlign w:val="center"/>
          </w:tcPr>
          <w:p>
            <w:pPr>
              <w:ind w:firstLine="39" w:firstLineChars="18"/>
              <w:rPr>
                <w:rFonts w:ascii="宋体" w:hAnsi="宋体"/>
                <w:color w:val="000000"/>
                <w:sz w:val="22"/>
                <w:highlight w:val="none"/>
              </w:rPr>
            </w:pPr>
            <w:r>
              <w:rPr>
                <w:rFonts w:ascii="宋体" w:hAnsi="宋体"/>
                <w:sz w:val="22"/>
                <w:highlight w:val="none"/>
              </w:rPr>
              <w:t>6</w:t>
            </w:r>
            <w:r>
              <w:rPr>
                <w:rFonts w:hint="eastAsia" w:ascii="宋体" w:hAnsi="宋体"/>
                <w:sz w:val="22"/>
                <w:highlight w:val="none"/>
              </w:rPr>
              <w:t>/13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17</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color w:val="000000"/>
                <w:sz w:val="22"/>
                <w:highlight w:val="none"/>
              </w:rPr>
              <w:t>2</w:t>
            </w:r>
            <w:r>
              <w:rPr>
                <w:rFonts w:ascii="宋体" w:hAnsi="宋体"/>
                <w:color w:val="000000"/>
                <w:sz w:val="22"/>
                <w:highlight w:val="none"/>
              </w:rPr>
              <w:t>4</w:t>
            </w:r>
            <w:r>
              <w:rPr>
                <w:rFonts w:hint="eastAsia" w:ascii="宋体" w:hAnsi="宋体"/>
                <w:color w:val="000000"/>
                <w:sz w:val="22"/>
                <w:highlight w:val="none"/>
              </w:rPr>
              <w:t>小时冷损失率</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18</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爬梯形式</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笼式爬梯，分段交错设置，设置休息平台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1</w:t>
            </w:r>
            <w:r>
              <w:rPr>
                <w:rFonts w:ascii="宋体" w:hAnsi="宋体"/>
                <w:sz w:val="22"/>
                <w:highlight w:val="none"/>
              </w:rPr>
              <w:t>9</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爬梯、护栏和罐内桁架材质</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热镀锌材质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2</w:t>
            </w:r>
            <w:r>
              <w:rPr>
                <w:rFonts w:ascii="宋体" w:hAnsi="宋体"/>
                <w:sz w:val="22"/>
                <w:highlight w:val="none"/>
              </w:rPr>
              <w:t>0</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保温层厚度（mm）</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2</w:t>
            </w:r>
            <w:r>
              <w:rPr>
                <w:rFonts w:ascii="宋体" w:hAnsi="宋体"/>
                <w:sz w:val="22"/>
                <w:highlight w:val="none"/>
              </w:rPr>
              <w:t>1</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金属防护层</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0</w:t>
            </w:r>
            <w:r>
              <w:rPr>
                <w:rFonts w:ascii="宋体" w:hAnsi="宋体"/>
                <w:sz w:val="22"/>
                <w:highlight w:val="none"/>
              </w:rPr>
              <w:t>.5</w:t>
            </w:r>
            <w:r>
              <w:rPr>
                <w:rFonts w:hint="eastAsia" w:ascii="宋体" w:hAnsi="宋体"/>
                <w:sz w:val="22"/>
                <w:highlight w:val="none"/>
              </w:rPr>
              <w:t>mm彩钢瓦楞板（钛锡板或宝钢AM100基板彩涂板）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2</w:t>
            </w:r>
            <w:r>
              <w:rPr>
                <w:rFonts w:ascii="宋体" w:hAnsi="宋体"/>
                <w:sz w:val="22"/>
                <w:highlight w:val="none"/>
              </w:rPr>
              <w:t>2</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color w:val="000000"/>
                <w:sz w:val="22"/>
                <w:highlight w:val="none"/>
              </w:rPr>
              <w:t>温度测点/温度传感器</w:t>
            </w:r>
          </w:p>
        </w:tc>
        <w:tc>
          <w:tcPr>
            <w:tcW w:w="2440" w:type="pct"/>
            <w:shd w:val="clear" w:color="auto" w:fill="auto"/>
            <w:noWrap w:val="0"/>
            <w:vAlign w:val="center"/>
          </w:tcPr>
          <w:p>
            <w:pPr>
              <w:rPr>
                <w:rFonts w:ascii="宋体" w:hAnsi="宋体"/>
                <w:sz w:val="22"/>
                <w:highlight w:val="none"/>
              </w:rPr>
            </w:pPr>
            <w:r>
              <w:rPr>
                <w:rFonts w:hint="eastAsia" w:ascii="宋体" w:hAnsi="宋体"/>
                <w:color w:val="000000"/>
                <w:sz w:val="22"/>
                <w:highlight w:val="none"/>
              </w:rPr>
              <w:t>测温电缆每隔5</w:t>
            </w:r>
            <w:r>
              <w:rPr>
                <w:rFonts w:ascii="宋体" w:hAnsi="宋体"/>
                <w:color w:val="000000"/>
                <w:sz w:val="22"/>
                <w:highlight w:val="none"/>
              </w:rPr>
              <w:t>00</w:t>
            </w:r>
            <w:r>
              <w:rPr>
                <w:rFonts w:hint="eastAsia" w:ascii="宋体" w:hAnsi="宋体"/>
                <w:color w:val="000000"/>
                <w:sz w:val="22"/>
                <w:highlight w:val="none"/>
              </w:rPr>
              <w:t>mm设置一个测温点，从罐顶垂直投入，输出信号：4</w:t>
            </w:r>
            <w:r>
              <w:rPr>
                <w:rFonts w:ascii="宋体" w:hAnsi="宋体"/>
                <w:color w:val="000000"/>
                <w:sz w:val="22"/>
                <w:highlight w:val="none"/>
              </w:rPr>
              <w:t>-20</w:t>
            </w:r>
            <w:r>
              <w:rPr>
                <w:rFonts w:hint="eastAsia" w:ascii="宋体" w:hAnsi="宋体"/>
                <w:color w:val="000000"/>
                <w:sz w:val="22"/>
                <w:highlight w:val="none"/>
              </w:rPr>
              <w:t>m</w:t>
            </w:r>
            <w:r>
              <w:rPr>
                <w:rFonts w:ascii="宋体" w:hAnsi="宋体"/>
                <w:color w:val="000000"/>
                <w:sz w:val="22"/>
                <w:highlight w:val="none"/>
              </w:rPr>
              <w:t>A</w:t>
            </w:r>
            <w:r>
              <w:rPr>
                <w:rFonts w:hint="eastAsia" w:ascii="宋体" w:hAnsi="宋体"/>
                <w:color w:val="000000"/>
                <w:sz w:val="22"/>
                <w:highlight w:val="none"/>
              </w:rPr>
              <w:t>；精度：±0</w:t>
            </w:r>
            <w:r>
              <w:rPr>
                <w:rFonts w:ascii="宋体" w:hAnsi="宋体"/>
                <w:color w:val="000000"/>
                <w:sz w:val="22"/>
                <w:highlight w:val="none"/>
              </w:rPr>
              <w:t>.3</w:t>
            </w:r>
            <w:r>
              <w:rPr>
                <w:rFonts w:hint="eastAsia" w:ascii="宋体" w:hAnsi="宋体"/>
                <w:color w:val="000000"/>
                <w:sz w:val="22"/>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ascii="宋体" w:hAnsi="宋体"/>
                <w:sz w:val="22"/>
                <w:highlight w:val="none"/>
              </w:rPr>
              <w:t>23</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color w:val="000000"/>
                <w:sz w:val="22"/>
                <w:highlight w:val="none"/>
              </w:rPr>
              <w:t>液位传感器</w:t>
            </w:r>
          </w:p>
        </w:tc>
        <w:tc>
          <w:tcPr>
            <w:tcW w:w="2440" w:type="pct"/>
            <w:shd w:val="clear" w:color="auto" w:fill="auto"/>
            <w:noWrap w:val="0"/>
            <w:vAlign w:val="center"/>
          </w:tcPr>
          <w:p>
            <w:pPr>
              <w:rPr>
                <w:rFonts w:ascii="宋体" w:hAnsi="宋体"/>
                <w:sz w:val="22"/>
                <w:highlight w:val="none"/>
              </w:rPr>
            </w:pPr>
            <w:r>
              <w:rPr>
                <w:rFonts w:hint="eastAsia" w:ascii="宋体" w:hAnsi="宋体"/>
                <w:color w:val="000000"/>
                <w:sz w:val="22"/>
                <w:highlight w:val="none"/>
              </w:rPr>
              <w:t>每罐设置1个，输出信号：4</w:t>
            </w:r>
            <w:r>
              <w:rPr>
                <w:rFonts w:ascii="宋体" w:hAnsi="宋体"/>
                <w:color w:val="000000"/>
                <w:sz w:val="22"/>
                <w:highlight w:val="none"/>
              </w:rPr>
              <w:t>-20</w:t>
            </w:r>
            <w:r>
              <w:rPr>
                <w:rFonts w:hint="eastAsia" w:ascii="宋体" w:hAnsi="宋体"/>
                <w:color w:val="000000"/>
                <w:sz w:val="22"/>
                <w:highlight w:val="none"/>
              </w:rPr>
              <w:t>m</w:t>
            </w:r>
            <w:r>
              <w:rPr>
                <w:rFonts w:ascii="宋体" w:hAnsi="宋体"/>
                <w:color w:val="000000"/>
                <w:sz w:val="22"/>
                <w:highlight w:val="none"/>
              </w:rPr>
              <w:t>A</w:t>
            </w:r>
            <w:r>
              <w:rPr>
                <w:rFonts w:hint="eastAsia" w:ascii="宋体" w:hAnsi="宋体"/>
                <w:color w:val="000000"/>
                <w:sz w:val="22"/>
                <w:highlight w:val="none"/>
              </w:rPr>
              <w:t>，精度：</w:t>
            </w:r>
            <w:r>
              <w:rPr>
                <w:rFonts w:ascii="宋体" w:hAnsi="宋体"/>
                <w:color w:val="000000"/>
                <w:sz w:val="22"/>
                <w:highlight w:val="none"/>
              </w:rPr>
              <w:t>0.5%</w:t>
            </w:r>
            <w:r>
              <w:rPr>
                <w:rFonts w:hint="eastAsia" w:ascii="宋体" w:hAnsi="宋体"/>
                <w:color w:val="000000"/>
                <w:sz w:val="22"/>
                <w:highlight w:val="none"/>
              </w:rPr>
              <w:t>，自带表头显示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ascii="宋体" w:hAnsi="宋体"/>
                <w:sz w:val="22"/>
                <w:highlight w:val="none"/>
              </w:rPr>
              <w:t>24</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水接口管径</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根据系统需求设计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507" w:type="pct"/>
            <w:shd w:val="clear" w:color="auto" w:fill="auto"/>
            <w:noWrap w:val="0"/>
            <w:vAlign w:val="center"/>
          </w:tcPr>
          <w:p>
            <w:pPr>
              <w:ind w:firstLine="220" w:firstLineChars="100"/>
              <w:rPr>
                <w:rFonts w:ascii="宋体" w:hAnsi="宋体"/>
                <w:sz w:val="22"/>
                <w:highlight w:val="none"/>
              </w:rPr>
            </w:pPr>
            <w:r>
              <w:rPr>
                <w:rFonts w:hint="eastAsia" w:ascii="宋体" w:hAnsi="宋体"/>
                <w:sz w:val="22"/>
                <w:highlight w:val="none"/>
              </w:rPr>
              <w:t>2</w:t>
            </w:r>
            <w:r>
              <w:rPr>
                <w:rFonts w:ascii="宋体" w:hAnsi="宋体"/>
                <w:sz w:val="22"/>
                <w:highlight w:val="none"/>
              </w:rPr>
              <w:t>5</w:t>
            </w:r>
          </w:p>
        </w:tc>
        <w:tc>
          <w:tcPr>
            <w:tcW w:w="2053" w:type="pct"/>
            <w:shd w:val="clear" w:color="auto" w:fill="auto"/>
            <w:noWrap w:val="0"/>
            <w:vAlign w:val="center"/>
          </w:tcPr>
          <w:p>
            <w:pPr>
              <w:ind w:firstLine="33" w:firstLineChars="15"/>
              <w:rPr>
                <w:rFonts w:ascii="宋体" w:hAnsi="宋体"/>
                <w:sz w:val="22"/>
                <w:highlight w:val="none"/>
              </w:rPr>
            </w:pPr>
            <w:r>
              <w:rPr>
                <w:rFonts w:hint="eastAsia" w:ascii="宋体" w:hAnsi="宋体"/>
                <w:sz w:val="22"/>
                <w:highlight w:val="none"/>
              </w:rPr>
              <w:t>设计使用寿命（年）</w:t>
            </w:r>
          </w:p>
        </w:tc>
        <w:tc>
          <w:tcPr>
            <w:tcW w:w="2440" w:type="pct"/>
            <w:shd w:val="clear" w:color="auto" w:fill="auto"/>
            <w:noWrap w:val="0"/>
            <w:vAlign w:val="center"/>
          </w:tcPr>
          <w:p>
            <w:pPr>
              <w:ind w:firstLine="39" w:firstLineChars="18"/>
              <w:rPr>
                <w:rFonts w:ascii="宋体" w:hAnsi="宋体"/>
                <w:sz w:val="22"/>
                <w:highlight w:val="none"/>
              </w:rPr>
            </w:pPr>
            <w:r>
              <w:rPr>
                <w:rFonts w:hint="eastAsia" w:ascii="宋体" w:hAnsi="宋体"/>
                <w:sz w:val="22"/>
                <w:highlight w:val="none"/>
              </w:rPr>
              <w:t>≥20</w:t>
            </w:r>
          </w:p>
        </w:tc>
      </w:tr>
    </w:tbl>
    <w:p>
      <w:pPr>
        <w:rPr>
          <w:highlight w:val="none"/>
        </w:rPr>
      </w:pPr>
    </w:p>
    <w:p>
      <w:pPr>
        <w:keepNext/>
        <w:keepLines/>
        <w:outlineLvl w:val="2"/>
        <w:rPr>
          <w:b/>
          <w:bCs/>
          <w:szCs w:val="21"/>
          <w:highlight w:val="none"/>
        </w:rPr>
      </w:pPr>
      <w:bookmarkStart w:id="223" w:name="_Toc7107"/>
      <w:bookmarkStart w:id="224" w:name="_Toc3613"/>
      <w:r>
        <w:rPr>
          <w:rFonts w:hint="eastAsia" w:ascii="宋体" w:hAnsi="宋体" w:cs="宋体"/>
          <w:b/>
          <w:bCs/>
          <w:szCs w:val="21"/>
          <w:highlight w:val="none"/>
        </w:rPr>
        <w:t>2.冷</w:t>
      </w:r>
      <w:r>
        <w:rPr>
          <w:rFonts w:hint="eastAsia"/>
          <w:b/>
          <w:bCs/>
          <w:szCs w:val="21"/>
          <w:highlight w:val="none"/>
        </w:rPr>
        <w:t>却塔参数要求</w:t>
      </w:r>
      <w:bookmarkEnd w:id="223"/>
      <w:bookmarkEnd w:id="224"/>
    </w:p>
    <w:p>
      <w:pPr>
        <w:ind w:firstLine="210" w:firstLineChars="100"/>
        <w:rPr>
          <w:highlight w:val="none"/>
        </w:rPr>
      </w:pPr>
      <w:r>
        <w:rPr>
          <w:rFonts w:hint="eastAsia"/>
          <w:highlight w:val="none"/>
        </w:rPr>
        <w:t>1.基本参数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7"/>
        <w:gridCol w:w="2369"/>
        <w:gridCol w:w="3708"/>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727" w:type="dxa"/>
            <w:shd w:val="clear" w:color="auto" w:fill="FFFFFF"/>
            <w:noWrap w:val="0"/>
            <w:vAlign w:val="center"/>
          </w:tcPr>
          <w:p>
            <w:pPr>
              <w:jc w:val="center"/>
              <w:rPr>
                <w:rFonts w:ascii="宋体" w:hAnsi="宋体"/>
                <w:color w:val="000000"/>
                <w:highlight w:val="none"/>
              </w:rPr>
            </w:pPr>
            <w:r>
              <w:rPr>
                <w:rFonts w:hint="eastAsia" w:ascii="宋体" w:hAnsi="宋体"/>
                <w:color w:val="000000"/>
                <w:highlight w:val="none"/>
              </w:rPr>
              <w:t>序号</w:t>
            </w:r>
          </w:p>
        </w:tc>
        <w:tc>
          <w:tcPr>
            <w:tcW w:w="2369" w:type="dxa"/>
            <w:shd w:val="clear" w:color="auto" w:fill="FFFFFF"/>
            <w:noWrap w:val="0"/>
            <w:vAlign w:val="center"/>
          </w:tcPr>
          <w:p>
            <w:pPr>
              <w:jc w:val="center"/>
              <w:rPr>
                <w:rFonts w:ascii="宋体" w:hAnsi="宋体"/>
                <w:color w:val="000000"/>
                <w:highlight w:val="none"/>
              </w:rPr>
            </w:pPr>
            <w:r>
              <w:rPr>
                <w:rFonts w:hint="eastAsia" w:ascii="宋体" w:hAnsi="宋体"/>
                <w:color w:val="000000"/>
                <w:highlight w:val="none"/>
              </w:rPr>
              <w:t>内容</w:t>
            </w:r>
          </w:p>
        </w:tc>
        <w:tc>
          <w:tcPr>
            <w:tcW w:w="3708" w:type="dxa"/>
            <w:shd w:val="clear" w:color="auto" w:fill="FFFFFF"/>
            <w:noWrap w:val="0"/>
            <w:vAlign w:val="center"/>
          </w:tcPr>
          <w:p>
            <w:pPr>
              <w:jc w:val="center"/>
              <w:rPr>
                <w:rFonts w:ascii="宋体" w:hAnsi="宋体"/>
                <w:color w:val="000000"/>
                <w:highlight w:val="none"/>
              </w:rPr>
            </w:pPr>
            <w:r>
              <w:rPr>
                <w:rFonts w:hint="eastAsia" w:ascii="宋体" w:hAnsi="宋体"/>
                <w:color w:val="000000"/>
                <w:highlight w:val="none"/>
              </w:rPr>
              <w:t>技术要求</w:t>
            </w:r>
          </w:p>
        </w:tc>
        <w:tc>
          <w:tcPr>
            <w:tcW w:w="1894" w:type="dxa"/>
            <w:shd w:val="clear" w:color="auto" w:fill="FFFFFF"/>
            <w:noWrap w:val="0"/>
            <w:vAlign w:val="center"/>
          </w:tcPr>
          <w:p>
            <w:pPr>
              <w:jc w:val="center"/>
              <w:rPr>
                <w:rFonts w:ascii="宋体" w:hAnsi="宋体"/>
                <w:highlight w:val="none"/>
              </w:rPr>
            </w:pPr>
            <w:r>
              <w:rPr>
                <w:rFonts w:hint="eastAsia" w:ascii="宋体" w:hAnsi="宋体"/>
                <w:highlight w:val="none"/>
              </w:rPr>
              <w:t>投标人参数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1</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塔型</w:t>
            </w:r>
          </w:p>
        </w:tc>
        <w:tc>
          <w:tcPr>
            <w:tcW w:w="3708"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方形横流式低噪音玻璃钢冷却塔</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2</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型号</w:t>
            </w:r>
          </w:p>
        </w:tc>
        <w:tc>
          <w:tcPr>
            <w:tcW w:w="3708" w:type="dxa"/>
            <w:shd w:val="clear" w:color="auto" w:fill="FFFFFF"/>
            <w:noWrap w:val="0"/>
            <w:vAlign w:val="center"/>
          </w:tcPr>
          <w:p>
            <w:pPr>
              <w:jc w:val="center"/>
              <w:rPr>
                <w:rFonts w:ascii="宋体" w:hAnsi="宋体"/>
                <w:szCs w:val="21"/>
                <w:highlight w:val="none"/>
              </w:rPr>
            </w:pP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3</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产地/生产厂家</w:t>
            </w:r>
          </w:p>
        </w:tc>
        <w:tc>
          <w:tcPr>
            <w:tcW w:w="3708" w:type="dxa"/>
            <w:shd w:val="clear" w:color="auto" w:fill="FFFFFF"/>
            <w:noWrap w:val="0"/>
            <w:vAlign w:val="center"/>
          </w:tcPr>
          <w:p>
            <w:pPr>
              <w:jc w:val="center"/>
              <w:rPr>
                <w:rFonts w:ascii="宋体" w:hAnsi="宋体"/>
                <w:color w:val="000000"/>
                <w:szCs w:val="21"/>
                <w:highlight w:val="none"/>
              </w:rPr>
            </w:pP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4</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塔体扬程mH2O</w:t>
            </w:r>
          </w:p>
        </w:tc>
        <w:tc>
          <w:tcPr>
            <w:tcW w:w="3708" w:type="dxa"/>
            <w:shd w:val="clear" w:color="auto" w:fill="FFFFFF"/>
            <w:noWrap w:val="0"/>
            <w:vAlign w:val="center"/>
          </w:tcPr>
          <w:p>
            <w:pPr>
              <w:jc w:val="center"/>
              <w:rPr>
                <w:rFonts w:ascii="宋体" w:hAnsi="宋体"/>
                <w:color w:val="000000"/>
                <w:szCs w:val="21"/>
                <w:highlight w:val="none"/>
              </w:rPr>
            </w:pPr>
            <w:r>
              <w:rPr>
                <w:rFonts w:hint="eastAsia" w:ascii="宋体" w:hAnsi="宋体"/>
                <w:color w:val="000000"/>
                <w:szCs w:val="21"/>
                <w:highlight w:val="none"/>
              </w:rPr>
              <w:t>≤5.0</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5</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塔体抗风压</w:t>
            </w:r>
            <w:r>
              <w:rPr>
                <w:rFonts w:hint="eastAsia" w:ascii="宋体" w:hAnsi="宋体"/>
                <w:color w:val="000000"/>
                <w:szCs w:val="21"/>
                <w:highlight w:val="none"/>
              </w:rPr>
              <w:t>gf/m²</w:t>
            </w:r>
          </w:p>
        </w:tc>
        <w:tc>
          <w:tcPr>
            <w:tcW w:w="3708" w:type="dxa"/>
            <w:shd w:val="clear" w:color="auto" w:fill="FFFFFF"/>
            <w:noWrap w:val="0"/>
            <w:vAlign w:val="center"/>
          </w:tcPr>
          <w:p>
            <w:pPr>
              <w:jc w:val="center"/>
              <w:rPr>
                <w:rFonts w:ascii="宋体" w:hAnsi="宋体"/>
                <w:color w:val="000000"/>
                <w:szCs w:val="21"/>
                <w:highlight w:val="none"/>
              </w:rPr>
            </w:pPr>
            <w:r>
              <w:rPr>
                <w:rFonts w:hint="eastAsia" w:ascii="宋体" w:hAnsi="宋体"/>
                <w:color w:val="000000"/>
                <w:szCs w:val="21"/>
                <w:highlight w:val="none"/>
              </w:rPr>
              <w:t>≥150</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6</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塔体抗震烈度系数</w:t>
            </w:r>
          </w:p>
        </w:tc>
        <w:tc>
          <w:tcPr>
            <w:tcW w:w="3708"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抗</w:t>
            </w:r>
            <w:r>
              <w:rPr>
                <w:rFonts w:hint="eastAsia" w:ascii="宋体" w:hAnsi="宋体"/>
                <w:color w:val="000000"/>
                <w:szCs w:val="21"/>
                <w:highlight w:val="none"/>
              </w:rPr>
              <w:t>7</w:t>
            </w:r>
            <w:r>
              <w:rPr>
                <w:rFonts w:ascii="宋体" w:hAnsi="宋体"/>
                <w:color w:val="000000"/>
                <w:szCs w:val="21"/>
                <w:highlight w:val="none"/>
              </w:rPr>
              <w:t>级地震基本烈度</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7</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蒸发损失%</w:t>
            </w:r>
          </w:p>
        </w:tc>
        <w:tc>
          <w:tcPr>
            <w:tcW w:w="3708" w:type="dxa"/>
            <w:shd w:val="clear" w:color="auto" w:fill="FFFFFF"/>
            <w:noWrap w:val="0"/>
            <w:vAlign w:val="center"/>
          </w:tcPr>
          <w:p>
            <w:pPr>
              <w:jc w:val="center"/>
              <w:rPr>
                <w:rFonts w:ascii="宋体" w:hAnsi="宋体"/>
                <w:color w:val="000000"/>
                <w:szCs w:val="21"/>
                <w:highlight w:val="none"/>
              </w:rPr>
            </w:pPr>
            <w:r>
              <w:rPr>
                <w:rFonts w:hint="eastAsia" w:ascii="宋体" w:hAnsi="宋体"/>
                <w:color w:val="000000"/>
                <w:szCs w:val="21"/>
                <w:highlight w:val="none"/>
              </w:rPr>
              <w:t>≤0.83</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8</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飘水损失%</w:t>
            </w:r>
          </w:p>
        </w:tc>
        <w:tc>
          <w:tcPr>
            <w:tcW w:w="3708"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≤0.0015</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9</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标准测点</w:t>
            </w:r>
            <w:r>
              <w:rPr>
                <w:rFonts w:hint="eastAsia" w:ascii="宋体" w:hAnsi="宋体"/>
                <w:color w:val="000000"/>
                <w:szCs w:val="21"/>
                <w:highlight w:val="none"/>
              </w:rPr>
              <w:t>Dm</w:t>
            </w:r>
            <w:r>
              <w:rPr>
                <w:rFonts w:ascii="宋体" w:hAnsi="宋体"/>
                <w:color w:val="000000"/>
                <w:szCs w:val="21"/>
                <w:highlight w:val="none"/>
              </w:rPr>
              <w:t>处噪音</w:t>
            </w:r>
          </w:p>
        </w:tc>
        <w:tc>
          <w:tcPr>
            <w:tcW w:w="3708"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≤63dB（A）</w:t>
            </w:r>
            <w:r>
              <w:rPr>
                <w:rFonts w:hint="eastAsia" w:ascii="宋体" w:hAnsi="宋体"/>
                <w:b/>
                <w:bCs/>
                <w:color w:val="000000"/>
                <w:szCs w:val="21"/>
                <w:highlight w:val="none"/>
              </w:rPr>
              <w:t>(</w:t>
            </w:r>
            <w:r>
              <w:rPr>
                <w:rFonts w:ascii="宋体" w:hAnsi="宋体"/>
                <w:color w:val="000000"/>
                <w:szCs w:val="21"/>
                <w:highlight w:val="none"/>
              </w:rPr>
              <w:t>符合相关规范要求)</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10</w:t>
            </w:r>
          </w:p>
        </w:tc>
        <w:tc>
          <w:tcPr>
            <w:tcW w:w="2369" w:type="dxa"/>
            <w:shd w:val="clear" w:color="auto" w:fill="FFFFFF"/>
            <w:noWrap w:val="0"/>
            <w:vAlign w:val="center"/>
          </w:tcPr>
          <w:p>
            <w:pPr>
              <w:rPr>
                <w:rFonts w:ascii="宋体" w:hAnsi="宋体"/>
                <w:color w:val="000000"/>
                <w:szCs w:val="21"/>
                <w:highlight w:val="none"/>
              </w:rPr>
            </w:pPr>
            <w:r>
              <w:rPr>
                <w:rFonts w:ascii="宋体" w:hAnsi="宋体"/>
                <w:color w:val="000000"/>
                <w:szCs w:val="21"/>
                <w:highlight w:val="none"/>
              </w:rPr>
              <w:t>自重</w:t>
            </w:r>
            <w:r>
              <w:rPr>
                <w:rFonts w:hint="eastAsia" w:ascii="宋体" w:hAnsi="宋体"/>
                <w:color w:val="000000"/>
                <w:szCs w:val="21"/>
                <w:highlight w:val="none"/>
              </w:rPr>
              <w:t>/</w:t>
            </w:r>
            <w:r>
              <w:rPr>
                <w:rFonts w:ascii="宋体" w:hAnsi="宋体"/>
                <w:color w:val="000000"/>
                <w:szCs w:val="21"/>
                <w:highlight w:val="none"/>
              </w:rPr>
              <w:t>运行重量kg</w:t>
            </w:r>
          </w:p>
        </w:tc>
        <w:tc>
          <w:tcPr>
            <w:tcW w:w="3708" w:type="dxa"/>
            <w:shd w:val="clear" w:color="auto" w:fill="FFFFFF"/>
            <w:noWrap w:val="0"/>
            <w:vAlign w:val="center"/>
          </w:tcPr>
          <w:p>
            <w:pPr>
              <w:jc w:val="center"/>
              <w:rPr>
                <w:rFonts w:ascii="宋体" w:hAnsi="宋体"/>
                <w:color w:val="000000"/>
                <w:szCs w:val="21"/>
                <w:highlight w:val="none"/>
              </w:rPr>
            </w:pP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ascii="宋体" w:hAnsi="宋体"/>
                <w:color w:val="000000"/>
                <w:szCs w:val="21"/>
                <w:highlight w:val="none"/>
              </w:rPr>
              <w:t>11</w:t>
            </w:r>
          </w:p>
        </w:tc>
        <w:tc>
          <w:tcPr>
            <w:tcW w:w="2369" w:type="dxa"/>
            <w:shd w:val="clear" w:color="auto" w:fill="FFFFFF"/>
            <w:noWrap w:val="0"/>
            <w:vAlign w:val="center"/>
          </w:tcPr>
          <w:p>
            <w:pPr>
              <w:rPr>
                <w:rFonts w:ascii="宋体" w:hAnsi="宋体"/>
                <w:color w:val="000000"/>
                <w:szCs w:val="21"/>
                <w:highlight w:val="none"/>
              </w:rPr>
            </w:pPr>
            <w:r>
              <w:rPr>
                <w:rFonts w:hint="eastAsia"/>
                <w:color w:val="000000"/>
                <w:szCs w:val="21"/>
                <w:highlight w:val="none"/>
              </w:rPr>
              <w:t>Q=</w:t>
            </w:r>
            <w:r>
              <w:rPr>
                <w:rFonts w:hint="eastAsia" w:ascii="宋体" w:hAnsi="宋体"/>
                <w:color w:val="000000"/>
                <w:szCs w:val="21"/>
                <w:highlight w:val="none"/>
              </w:rPr>
              <w:t>1200</w:t>
            </w:r>
            <w:r>
              <w:rPr>
                <w:rFonts w:hint="eastAsia"/>
                <w:color w:val="000000"/>
                <w:szCs w:val="21"/>
                <w:highlight w:val="none"/>
              </w:rPr>
              <w:t>m³型号</w:t>
            </w:r>
            <w:r>
              <w:rPr>
                <w:rFonts w:ascii="宋体" w:hAnsi="宋体"/>
                <w:color w:val="000000"/>
                <w:szCs w:val="21"/>
                <w:highlight w:val="none"/>
              </w:rPr>
              <w:t>外形尺寸L*W*H</w:t>
            </w:r>
            <w:r>
              <w:rPr>
                <w:rFonts w:hint="eastAsia" w:ascii="宋体" w:hAnsi="宋体"/>
                <w:color w:val="000000"/>
                <w:szCs w:val="21"/>
                <w:highlight w:val="none"/>
              </w:rPr>
              <w:t>(mm)</w:t>
            </w:r>
          </w:p>
        </w:tc>
        <w:tc>
          <w:tcPr>
            <w:tcW w:w="3708" w:type="dxa"/>
            <w:shd w:val="clear" w:color="auto" w:fill="FFFFFF"/>
            <w:noWrap w:val="0"/>
            <w:vAlign w:val="center"/>
          </w:tcPr>
          <w:p>
            <w:pPr>
              <w:widowControl/>
              <w:jc w:val="center"/>
              <w:rPr>
                <w:rFonts w:ascii="宋体" w:hAnsi="宋体"/>
                <w:szCs w:val="21"/>
                <w:highlight w:val="none"/>
              </w:rPr>
            </w:pPr>
            <w:r>
              <w:rPr>
                <w:rFonts w:hint="eastAsia" w:ascii="宋体" w:hAnsi="宋体" w:cs="宋体"/>
                <w:color w:val="000000"/>
                <w:szCs w:val="21"/>
                <w:highlight w:val="none"/>
                <w:lang w:bidi="ar"/>
              </w:rPr>
              <w:t>5880×7900×6850</w:t>
            </w:r>
          </w:p>
        </w:tc>
        <w:tc>
          <w:tcPr>
            <w:tcW w:w="1894" w:type="dxa"/>
            <w:shd w:val="clear" w:color="auto" w:fill="FFFFFF"/>
            <w:noWrap w:val="0"/>
            <w:vAlign w:val="center"/>
          </w:tcPr>
          <w:p>
            <w:pPr>
              <w:jc w:val="center"/>
              <w:rPr>
                <w:color w:val="000000"/>
                <w:szCs w:val="21"/>
                <w:highlight w:val="none"/>
              </w:rPr>
            </w:pPr>
            <w:r>
              <w:rPr>
                <w:color w:val="000000"/>
                <w:szCs w:val="21"/>
                <w:highlight w:val="none"/>
              </w:rPr>
              <w:t>尺寸</w:t>
            </w:r>
            <w:r>
              <w:rPr>
                <w:rFonts w:hint="eastAsia"/>
                <w:color w:val="000000"/>
                <w:szCs w:val="21"/>
                <w:highlight w:val="none"/>
              </w:rPr>
              <w:t>可略有偏差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color w:val="000000"/>
                <w:szCs w:val="21"/>
                <w:highlight w:val="none"/>
              </w:rPr>
            </w:pPr>
            <w:r>
              <w:rPr>
                <w:rFonts w:hint="eastAsia" w:ascii="宋体" w:hAnsi="宋体"/>
                <w:color w:val="000000"/>
                <w:szCs w:val="21"/>
                <w:highlight w:val="none"/>
              </w:rPr>
              <w:t>12</w:t>
            </w:r>
          </w:p>
        </w:tc>
        <w:tc>
          <w:tcPr>
            <w:tcW w:w="2369" w:type="dxa"/>
            <w:shd w:val="clear" w:color="auto" w:fill="FFFFFF"/>
            <w:noWrap w:val="0"/>
            <w:vAlign w:val="center"/>
          </w:tcPr>
          <w:p>
            <w:pPr>
              <w:rPr>
                <w:color w:val="000000"/>
                <w:szCs w:val="21"/>
                <w:highlight w:val="none"/>
              </w:rPr>
            </w:pPr>
            <w:r>
              <w:rPr>
                <w:rFonts w:hint="eastAsia"/>
                <w:color w:val="000000"/>
                <w:szCs w:val="21"/>
                <w:highlight w:val="none"/>
              </w:rPr>
              <w:t>Q=70</w:t>
            </w:r>
            <w:r>
              <w:rPr>
                <w:rFonts w:ascii="宋体" w:hAnsi="宋体"/>
                <w:color w:val="000000"/>
                <w:szCs w:val="21"/>
                <w:highlight w:val="none"/>
              </w:rPr>
              <w:t>0</w:t>
            </w:r>
            <w:r>
              <w:rPr>
                <w:rFonts w:hint="eastAsia"/>
                <w:color w:val="000000"/>
                <w:szCs w:val="21"/>
                <w:highlight w:val="none"/>
              </w:rPr>
              <w:t>m³型号</w:t>
            </w:r>
            <w:r>
              <w:rPr>
                <w:rFonts w:ascii="宋体" w:hAnsi="宋体"/>
                <w:color w:val="000000"/>
                <w:szCs w:val="21"/>
                <w:highlight w:val="none"/>
              </w:rPr>
              <w:t>外形尺寸L*W*H</w:t>
            </w:r>
            <w:r>
              <w:rPr>
                <w:rFonts w:hint="eastAsia" w:ascii="宋体" w:hAnsi="宋体"/>
                <w:color w:val="000000"/>
                <w:szCs w:val="21"/>
                <w:highlight w:val="none"/>
              </w:rPr>
              <w:t>(mm)</w:t>
            </w:r>
          </w:p>
        </w:tc>
        <w:tc>
          <w:tcPr>
            <w:tcW w:w="3708" w:type="dxa"/>
            <w:shd w:val="clear" w:color="auto" w:fill="FFFFFF"/>
            <w:noWrap w:val="0"/>
            <w:vAlign w:val="center"/>
          </w:tcPr>
          <w:p>
            <w:pPr>
              <w:widowControl/>
              <w:jc w:val="center"/>
              <w:rPr>
                <w:rFonts w:ascii="宋体" w:hAnsi="宋体"/>
                <w:szCs w:val="21"/>
                <w:highlight w:val="none"/>
              </w:rPr>
            </w:pPr>
            <w:r>
              <w:rPr>
                <w:rFonts w:hint="eastAsia" w:ascii="宋体" w:hAnsi="宋体" w:cs="宋体"/>
                <w:color w:val="000000"/>
                <w:szCs w:val="21"/>
                <w:highlight w:val="none"/>
                <w:lang w:bidi="ar"/>
              </w:rPr>
              <w:t>4410×7280×5230</w:t>
            </w:r>
          </w:p>
        </w:tc>
        <w:tc>
          <w:tcPr>
            <w:tcW w:w="1894" w:type="dxa"/>
            <w:shd w:val="clear" w:color="auto" w:fill="FFFFFF"/>
            <w:noWrap w:val="0"/>
            <w:vAlign w:val="center"/>
          </w:tcPr>
          <w:p>
            <w:pPr>
              <w:jc w:val="center"/>
              <w:rPr>
                <w:color w:val="000000"/>
                <w:szCs w:val="21"/>
                <w:highlight w:val="none"/>
              </w:rPr>
            </w:pPr>
            <w:r>
              <w:rPr>
                <w:color w:val="000000"/>
                <w:szCs w:val="21"/>
                <w:highlight w:val="none"/>
              </w:rPr>
              <w:t>尺寸</w:t>
            </w:r>
            <w:r>
              <w:rPr>
                <w:rFonts w:hint="eastAsia"/>
                <w:color w:val="000000"/>
                <w:szCs w:val="21"/>
                <w:highlight w:val="none"/>
              </w:rPr>
              <w:t>可略有偏差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szCs w:val="21"/>
                <w:highlight w:val="none"/>
              </w:rPr>
            </w:pPr>
            <w:r>
              <w:rPr>
                <w:rFonts w:hint="eastAsia" w:ascii="宋体" w:hAnsi="宋体"/>
                <w:szCs w:val="21"/>
                <w:highlight w:val="none"/>
              </w:rPr>
              <w:t>13</w:t>
            </w:r>
          </w:p>
        </w:tc>
        <w:tc>
          <w:tcPr>
            <w:tcW w:w="2369" w:type="dxa"/>
            <w:shd w:val="clear" w:color="auto" w:fill="FFFFFF"/>
            <w:noWrap w:val="0"/>
            <w:vAlign w:val="center"/>
          </w:tcPr>
          <w:p>
            <w:pPr>
              <w:rPr>
                <w:color w:val="000000"/>
                <w:szCs w:val="21"/>
                <w:highlight w:val="none"/>
              </w:rPr>
            </w:pPr>
            <w:r>
              <w:rPr>
                <w:rFonts w:hint="eastAsia"/>
                <w:color w:val="000000"/>
                <w:szCs w:val="21"/>
                <w:highlight w:val="none"/>
              </w:rPr>
              <w:t>Q=600m³型号</w:t>
            </w:r>
            <w:r>
              <w:rPr>
                <w:rFonts w:ascii="宋体" w:hAnsi="宋体"/>
                <w:color w:val="000000"/>
                <w:szCs w:val="21"/>
                <w:highlight w:val="none"/>
              </w:rPr>
              <w:t>外形尺寸L*W*H</w:t>
            </w:r>
            <w:r>
              <w:rPr>
                <w:rFonts w:hint="eastAsia" w:ascii="宋体" w:hAnsi="宋体"/>
                <w:color w:val="000000"/>
                <w:szCs w:val="21"/>
                <w:highlight w:val="none"/>
              </w:rPr>
              <w:t>(mm)</w:t>
            </w:r>
          </w:p>
        </w:tc>
        <w:tc>
          <w:tcPr>
            <w:tcW w:w="3708" w:type="dxa"/>
            <w:shd w:val="clear" w:color="auto" w:fill="FFFFFF"/>
            <w:noWrap w:val="0"/>
            <w:vAlign w:val="center"/>
          </w:tcPr>
          <w:p>
            <w:pPr>
              <w:widowControl/>
              <w:jc w:val="center"/>
              <w:rPr>
                <w:szCs w:val="21"/>
                <w:highlight w:val="none"/>
              </w:rPr>
            </w:pPr>
            <w:r>
              <w:rPr>
                <w:rFonts w:hint="eastAsia" w:ascii="宋体" w:hAnsi="宋体" w:cs="宋体"/>
                <w:color w:val="000000"/>
                <w:szCs w:val="21"/>
                <w:highlight w:val="none"/>
                <w:lang w:bidi="ar"/>
              </w:rPr>
              <w:t>4710</w:t>
            </w:r>
            <w:r>
              <w:rPr>
                <w:rFonts w:cs="Calibri"/>
                <w:color w:val="000000"/>
                <w:szCs w:val="21"/>
                <w:highlight w:val="none"/>
                <w:lang w:bidi="ar"/>
              </w:rPr>
              <w:t>×</w:t>
            </w:r>
            <w:r>
              <w:rPr>
                <w:rFonts w:hint="eastAsia" w:ascii="宋体" w:hAnsi="宋体" w:cs="宋体"/>
                <w:color w:val="000000"/>
                <w:szCs w:val="21"/>
                <w:highlight w:val="none"/>
                <w:lang w:bidi="ar"/>
              </w:rPr>
              <w:t>7280</w:t>
            </w:r>
            <w:r>
              <w:rPr>
                <w:rFonts w:cs="Calibri"/>
                <w:color w:val="000000"/>
                <w:szCs w:val="21"/>
                <w:highlight w:val="none"/>
                <w:lang w:bidi="ar"/>
              </w:rPr>
              <w:t>×</w:t>
            </w:r>
            <w:r>
              <w:rPr>
                <w:rFonts w:hint="eastAsia" w:ascii="宋体" w:hAnsi="宋体" w:cs="宋体"/>
                <w:color w:val="000000"/>
                <w:szCs w:val="21"/>
                <w:highlight w:val="none"/>
                <w:lang w:bidi="ar"/>
              </w:rPr>
              <w:t>5830</w:t>
            </w:r>
          </w:p>
        </w:tc>
        <w:tc>
          <w:tcPr>
            <w:tcW w:w="1894" w:type="dxa"/>
            <w:shd w:val="clear" w:color="auto" w:fill="FFFFFF"/>
            <w:noWrap w:val="0"/>
            <w:vAlign w:val="center"/>
          </w:tcPr>
          <w:p>
            <w:pPr>
              <w:jc w:val="center"/>
              <w:rPr>
                <w:rFonts w:ascii="宋体" w:hAnsi="宋体"/>
                <w:szCs w:val="21"/>
                <w:highlight w:val="none"/>
              </w:rPr>
            </w:pPr>
            <w:r>
              <w:rPr>
                <w:color w:val="000000"/>
                <w:szCs w:val="21"/>
                <w:highlight w:val="none"/>
              </w:rPr>
              <w:t>尺寸</w:t>
            </w:r>
            <w:r>
              <w:rPr>
                <w:rFonts w:hint="eastAsia"/>
                <w:color w:val="000000"/>
                <w:szCs w:val="21"/>
                <w:highlight w:val="none"/>
              </w:rPr>
              <w:t>可略有偏差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szCs w:val="21"/>
                <w:highlight w:val="none"/>
              </w:rPr>
            </w:pPr>
            <w:r>
              <w:rPr>
                <w:rFonts w:hint="eastAsia" w:ascii="宋体" w:hAnsi="宋体"/>
                <w:szCs w:val="21"/>
                <w:highlight w:val="none"/>
              </w:rPr>
              <w:t>14</w:t>
            </w:r>
          </w:p>
        </w:tc>
        <w:tc>
          <w:tcPr>
            <w:tcW w:w="2369" w:type="dxa"/>
            <w:shd w:val="clear" w:color="auto" w:fill="FFFFFF"/>
            <w:noWrap w:val="0"/>
            <w:vAlign w:val="center"/>
          </w:tcPr>
          <w:p>
            <w:pPr>
              <w:rPr>
                <w:color w:val="000000"/>
                <w:szCs w:val="21"/>
                <w:highlight w:val="none"/>
              </w:rPr>
            </w:pPr>
            <w:r>
              <w:rPr>
                <w:rFonts w:hint="eastAsia"/>
                <w:color w:val="000000"/>
                <w:szCs w:val="21"/>
                <w:highlight w:val="none"/>
              </w:rPr>
              <w:t>Q=70m³型号</w:t>
            </w:r>
            <w:r>
              <w:rPr>
                <w:rFonts w:ascii="宋体" w:hAnsi="宋体"/>
                <w:color w:val="000000"/>
                <w:szCs w:val="21"/>
                <w:highlight w:val="none"/>
              </w:rPr>
              <w:t>外形尺寸L*W*H</w:t>
            </w:r>
            <w:r>
              <w:rPr>
                <w:rFonts w:hint="eastAsia" w:ascii="宋体" w:hAnsi="宋体"/>
                <w:color w:val="000000"/>
                <w:szCs w:val="21"/>
                <w:highlight w:val="none"/>
              </w:rPr>
              <w:t>(mm)</w:t>
            </w:r>
          </w:p>
        </w:tc>
        <w:tc>
          <w:tcPr>
            <w:tcW w:w="3708" w:type="dxa"/>
            <w:shd w:val="clear" w:color="auto" w:fill="FFFFFF"/>
            <w:noWrap w:val="0"/>
            <w:vAlign w:val="center"/>
          </w:tcPr>
          <w:p>
            <w:pPr>
              <w:widowControl/>
              <w:jc w:val="center"/>
              <w:rPr>
                <w:szCs w:val="21"/>
                <w:highlight w:val="none"/>
              </w:rPr>
            </w:pPr>
            <w:r>
              <w:rPr>
                <w:rFonts w:hint="eastAsia" w:ascii="宋体" w:hAnsi="宋体" w:cs="宋体"/>
                <w:color w:val="000000"/>
                <w:szCs w:val="21"/>
                <w:highlight w:val="none"/>
                <w:lang w:bidi="ar"/>
              </w:rPr>
              <w:t>6300×4695×4550</w:t>
            </w:r>
          </w:p>
        </w:tc>
        <w:tc>
          <w:tcPr>
            <w:tcW w:w="1894" w:type="dxa"/>
            <w:shd w:val="clear" w:color="auto" w:fill="FFFFFF"/>
            <w:noWrap w:val="0"/>
            <w:vAlign w:val="center"/>
          </w:tcPr>
          <w:p>
            <w:pPr>
              <w:jc w:val="center"/>
              <w:rPr>
                <w:color w:val="000000"/>
                <w:szCs w:val="21"/>
                <w:highlight w:val="none"/>
              </w:rPr>
            </w:pPr>
            <w:r>
              <w:rPr>
                <w:color w:val="000000"/>
                <w:szCs w:val="21"/>
                <w:highlight w:val="none"/>
              </w:rPr>
              <w:t>尺寸</w:t>
            </w:r>
            <w:r>
              <w:rPr>
                <w:rFonts w:hint="eastAsia"/>
                <w:color w:val="000000"/>
                <w:szCs w:val="21"/>
                <w:highlight w:val="none"/>
              </w:rPr>
              <w:t>可略有偏差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szCs w:val="21"/>
                <w:highlight w:val="none"/>
              </w:rPr>
            </w:pPr>
            <w:r>
              <w:rPr>
                <w:rFonts w:hint="eastAsia" w:ascii="宋体" w:hAnsi="宋体"/>
                <w:szCs w:val="21"/>
                <w:highlight w:val="none"/>
              </w:rPr>
              <w:t>15</w:t>
            </w:r>
          </w:p>
        </w:tc>
        <w:tc>
          <w:tcPr>
            <w:tcW w:w="2369" w:type="dxa"/>
            <w:shd w:val="clear" w:color="auto" w:fill="FFFFFF"/>
            <w:noWrap w:val="0"/>
            <w:vAlign w:val="center"/>
          </w:tcPr>
          <w:p>
            <w:pPr>
              <w:rPr>
                <w:rFonts w:ascii="宋体" w:hAnsi="宋体"/>
                <w:color w:val="000000"/>
                <w:szCs w:val="21"/>
                <w:highlight w:val="none"/>
              </w:rPr>
            </w:pPr>
            <w:r>
              <w:rPr>
                <w:color w:val="000000"/>
                <w:szCs w:val="21"/>
                <w:highlight w:val="none"/>
              </w:rPr>
              <w:t>填料安装方式</w:t>
            </w:r>
          </w:p>
        </w:tc>
        <w:tc>
          <w:tcPr>
            <w:tcW w:w="3708" w:type="dxa"/>
            <w:shd w:val="clear" w:color="auto" w:fill="FFFFFF"/>
            <w:noWrap w:val="0"/>
            <w:vAlign w:val="center"/>
          </w:tcPr>
          <w:p>
            <w:pPr>
              <w:jc w:val="center"/>
              <w:rPr>
                <w:rFonts w:ascii="宋体" w:hAnsi="宋体"/>
                <w:color w:val="000000"/>
                <w:szCs w:val="21"/>
                <w:highlight w:val="none"/>
              </w:rPr>
            </w:pPr>
            <w:r>
              <w:rPr>
                <w:color w:val="000000"/>
                <w:szCs w:val="21"/>
                <w:highlight w:val="none"/>
              </w:rPr>
              <w:t>悬挂式安装，自带收水器</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szCs w:val="21"/>
                <w:highlight w:val="none"/>
              </w:rPr>
            </w:pPr>
            <w:r>
              <w:rPr>
                <w:rFonts w:hint="eastAsia" w:ascii="宋体" w:hAnsi="宋体"/>
                <w:szCs w:val="21"/>
                <w:highlight w:val="none"/>
              </w:rPr>
              <w:t>16</w:t>
            </w:r>
          </w:p>
        </w:tc>
        <w:tc>
          <w:tcPr>
            <w:tcW w:w="2369" w:type="dxa"/>
            <w:shd w:val="clear" w:color="auto" w:fill="FFFFFF"/>
            <w:noWrap w:val="0"/>
            <w:vAlign w:val="center"/>
          </w:tcPr>
          <w:p>
            <w:pPr>
              <w:rPr>
                <w:rFonts w:ascii="宋体" w:hAnsi="宋体"/>
                <w:color w:val="000000"/>
                <w:szCs w:val="21"/>
                <w:highlight w:val="none"/>
              </w:rPr>
            </w:pPr>
            <w:r>
              <w:rPr>
                <w:color w:val="000000"/>
                <w:szCs w:val="21"/>
                <w:highlight w:val="none"/>
              </w:rPr>
              <w:t>进水盖板</w:t>
            </w:r>
          </w:p>
        </w:tc>
        <w:tc>
          <w:tcPr>
            <w:tcW w:w="3708" w:type="dxa"/>
            <w:shd w:val="clear" w:color="auto" w:fill="FFFFFF"/>
            <w:noWrap w:val="0"/>
            <w:vAlign w:val="center"/>
          </w:tcPr>
          <w:p>
            <w:pPr>
              <w:jc w:val="center"/>
              <w:rPr>
                <w:rFonts w:ascii="宋体" w:hAnsi="宋体"/>
                <w:color w:val="000000"/>
                <w:szCs w:val="21"/>
                <w:highlight w:val="none"/>
              </w:rPr>
            </w:pPr>
            <w:r>
              <w:rPr>
                <w:rFonts w:hint="eastAsia" w:ascii="宋体" w:hAnsi="宋体" w:cs="宋体"/>
                <w:bCs/>
                <w:color w:val="000000"/>
                <w:szCs w:val="21"/>
                <w:highlight w:val="none"/>
              </w:rPr>
              <w:t>Z700镀锌钢盖板</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szCs w:val="21"/>
                <w:highlight w:val="none"/>
              </w:rPr>
            </w:pPr>
            <w:r>
              <w:rPr>
                <w:rFonts w:hint="eastAsia" w:ascii="宋体" w:hAnsi="宋体"/>
                <w:szCs w:val="21"/>
                <w:highlight w:val="none"/>
              </w:rPr>
              <w:t>17</w:t>
            </w:r>
          </w:p>
        </w:tc>
        <w:tc>
          <w:tcPr>
            <w:tcW w:w="2369" w:type="dxa"/>
            <w:shd w:val="clear" w:color="auto" w:fill="FFFFFF"/>
            <w:noWrap w:val="0"/>
            <w:vAlign w:val="center"/>
          </w:tcPr>
          <w:p>
            <w:pPr>
              <w:rPr>
                <w:rFonts w:ascii="宋体" w:hAnsi="宋体"/>
                <w:color w:val="000000"/>
                <w:szCs w:val="21"/>
                <w:highlight w:val="none"/>
              </w:rPr>
            </w:pPr>
            <w:r>
              <w:rPr>
                <w:color w:val="000000"/>
                <w:szCs w:val="21"/>
                <w:highlight w:val="none"/>
              </w:rPr>
              <w:t>隔板</w:t>
            </w:r>
          </w:p>
        </w:tc>
        <w:tc>
          <w:tcPr>
            <w:tcW w:w="3708" w:type="dxa"/>
            <w:shd w:val="clear" w:color="auto" w:fill="FFFFFF"/>
            <w:noWrap w:val="0"/>
            <w:vAlign w:val="center"/>
          </w:tcPr>
          <w:p>
            <w:pPr>
              <w:jc w:val="center"/>
              <w:rPr>
                <w:rFonts w:ascii="宋体" w:hAnsi="宋体"/>
                <w:color w:val="000000"/>
                <w:szCs w:val="21"/>
                <w:highlight w:val="none"/>
              </w:rPr>
            </w:pPr>
            <w:r>
              <w:rPr>
                <w:color w:val="000000"/>
                <w:szCs w:val="21"/>
                <w:highlight w:val="none"/>
              </w:rPr>
              <w:t>组合时</w:t>
            </w:r>
            <w:r>
              <w:rPr>
                <w:rFonts w:hint="eastAsia"/>
                <w:color w:val="000000"/>
                <w:szCs w:val="21"/>
                <w:highlight w:val="none"/>
              </w:rPr>
              <w:t>两组</w:t>
            </w:r>
            <w:r>
              <w:rPr>
                <w:color w:val="000000"/>
                <w:szCs w:val="21"/>
                <w:highlight w:val="none"/>
              </w:rPr>
              <w:t>风机</w:t>
            </w:r>
            <w:r>
              <w:rPr>
                <w:rFonts w:hint="eastAsia"/>
                <w:color w:val="000000"/>
                <w:szCs w:val="21"/>
                <w:highlight w:val="none"/>
              </w:rPr>
              <w:t>一个塔</w:t>
            </w:r>
            <w:r>
              <w:rPr>
                <w:color w:val="000000"/>
                <w:szCs w:val="21"/>
                <w:highlight w:val="none"/>
              </w:rPr>
              <w:t>，两塔之间要用FRP板完全隔开</w:t>
            </w:r>
          </w:p>
        </w:tc>
        <w:tc>
          <w:tcPr>
            <w:tcW w:w="1894" w:type="dxa"/>
            <w:shd w:val="clear" w:color="auto" w:fill="FFFFFF"/>
            <w:noWrap w:val="0"/>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27" w:type="dxa"/>
            <w:shd w:val="clear" w:color="auto" w:fill="FFFFFF"/>
            <w:noWrap w:val="0"/>
            <w:vAlign w:val="center"/>
          </w:tcPr>
          <w:p>
            <w:pPr>
              <w:jc w:val="center"/>
              <w:rPr>
                <w:rFonts w:ascii="宋体" w:hAnsi="宋体"/>
                <w:szCs w:val="21"/>
                <w:highlight w:val="none"/>
              </w:rPr>
            </w:pPr>
            <w:r>
              <w:rPr>
                <w:rFonts w:hint="eastAsia" w:ascii="宋体" w:hAnsi="宋体"/>
                <w:szCs w:val="21"/>
                <w:highlight w:val="none"/>
              </w:rPr>
              <w:t>18</w:t>
            </w:r>
          </w:p>
        </w:tc>
        <w:tc>
          <w:tcPr>
            <w:tcW w:w="2369" w:type="dxa"/>
            <w:shd w:val="clear" w:color="auto" w:fill="FFFFFF"/>
            <w:noWrap w:val="0"/>
            <w:vAlign w:val="center"/>
          </w:tcPr>
          <w:p>
            <w:pPr>
              <w:rPr>
                <w:color w:val="000000"/>
                <w:szCs w:val="21"/>
                <w:highlight w:val="none"/>
              </w:rPr>
            </w:pPr>
            <w:r>
              <w:rPr>
                <w:color w:val="000000"/>
                <w:szCs w:val="21"/>
                <w:highlight w:val="none"/>
              </w:rPr>
              <w:t>塔内维修走道</w:t>
            </w:r>
          </w:p>
        </w:tc>
        <w:tc>
          <w:tcPr>
            <w:tcW w:w="3708" w:type="dxa"/>
            <w:shd w:val="clear" w:color="auto" w:fill="FFFFFF"/>
            <w:noWrap w:val="0"/>
            <w:vAlign w:val="center"/>
          </w:tcPr>
          <w:p>
            <w:pPr>
              <w:jc w:val="center"/>
              <w:rPr>
                <w:color w:val="000000"/>
                <w:szCs w:val="21"/>
                <w:highlight w:val="none"/>
              </w:rPr>
            </w:pPr>
            <w:r>
              <w:rPr>
                <w:color w:val="000000"/>
                <w:szCs w:val="21"/>
                <w:highlight w:val="none"/>
              </w:rPr>
              <w:t>防滑、宽度不小于300mm</w:t>
            </w:r>
          </w:p>
        </w:tc>
        <w:tc>
          <w:tcPr>
            <w:tcW w:w="1894" w:type="dxa"/>
            <w:shd w:val="clear" w:color="auto" w:fill="FFFFFF"/>
            <w:noWrap w:val="0"/>
            <w:vAlign w:val="center"/>
          </w:tcPr>
          <w:p>
            <w:pPr>
              <w:jc w:val="center"/>
              <w:rPr>
                <w:rFonts w:ascii="宋体" w:hAnsi="宋体"/>
                <w:szCs w:val="21"/>
                <w:highlight w:val="none"/>
              </w:rPr>
            </w:pPr>
          </w:p>
        </w:tc>
      </w:tr>
    </w:tbl>
    <w:p>
      <w:pPr>
        <w:ind w:firstLine="210" w:firstLineChars="100"/>
        <w:rPr>
          <w:highlight w:val="none"/>
        </w:rPr>
      </w:pPr>
      <w:r>
        <w:rPr>
          <w:highlight w:val="none"/>
        </w:rPr>
        <w:t>2.</w:t>
      </w:r>
      <w:r>
        <w:rPr>
          <w:rFonts w:hint="eastAsia"/>
          <w:highlight w:val="none"/>
        </w:rPr>
        <w:t>冷却水参数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2"/>
        <w:gridCol w:w="2509"/>
        <w:gridCol w:w="3449"/>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jc w:val="center"/>
              <w:rPr>
                <w:color w:val="000000"/>
                <w:highlight w:val="none"/>
              </w:rPr>
            </w:pPr>
            <w:r>
              <w:rPr>
                <w:rFonts w:hint="eastAsia"/>
                <w:color w:val="000000"/>
                <w:highlight w:val="none"/>
              </w:rPr>
              <w:t>1</w:t>
            </w:r>
          </w:p>
        </w:tc>
        <w:tc>
          <w:tcPr>
            <w:tcW w:w="2509" w:type="dxa"/>
            <w:shd w:val="clear" w:color="auto" w:fill="FFFFFF"/>
            <w:noWrap w:val="0"/>
            <w:vAlign w:val="center"/>
          </w:tcPr>
          <w:p>
            <w:pPr>
              <w:rPr>
                <w:color w:val="000000"/>
                <w:highlight w:val="none"/>
              </w:rPr>
            </w:pPr>
            <w:r>
              <w:rPr>
                <w:color w:val="000000"/>
                <w:highlight w:val="none"/>
              </w:rPr>
              <w:t>流量</w:t>
            </w:r>
          </w:p>
        </w:tc>
        <w:tc>
          <w:tcPr>
            <w:tcW w:w="3449" w:type="dxa"/>
            <w:shd w:val="clear" w:color="auto" w:fill="FFFFFF"/>
            <w:noWrap w:val="0"/>
            <w:vAlign w:val="center"/>
          </w:tcPr>
          <w:p>
            <w:pPr>
              <w:jc w:val="center"/>
              <w:rPr>
                <w:color w:val="000000"/>
                <w:highlight w:val="none"/>
              </w:rPr>
            </w:pPr>
            <w:r>
              <w:rPr>
                <w:rFonts w:hint="eastAsia"/>
                <w:color w:val="000000"/>
                <w:highlight w:val="none"/>
              </w:rPr>
              <w:t>Q=1200m³/h  16</w:t>
            </w:r>
            <w:r>
              <w:rPr>
                <w:color w:val="000000"/>
                <w:highlight w:val="none"/>
              </w:rPr>
              <w:t>台</w:t>
            </w:r>
          </w:p>
          <w:p>
            <w:pPr>
              <w:jc w:val="center"/>
              <w:rPr>
                <w:color w:val="000000"/>
                <w:highlight w:val="none"/>
              </w:rPr>
            </w:pPr>
            <w:r>
              <w:rPr>
                <w:rFonts w:hint="eastAsia"/>
                <w:color w:val="000000"/>
                <w:highlight w:val="none"/>
              </w:rPr>
              <w:t>Q=700m³/h   2</w:t>
            </w:r>
            <w:r>
              <w:rPr>
                <w:color w:val="000000"/>
                <w:highlight w:val="none"/>
              </w:rPr>
              <w:t>台</w:t>
            </w:r>
          </w:p>
          <w:p>
            <w:pPr>
              <w:jc w:val="center"/>
              <w:rPr>
                <w:color w:val="000000"/>
                <w:highlight w:val="none"/>
              </w:rPr>
            </w:pPr>
            <w:r>
              <w:rPr>
                <w:rFonts w:hint="eastAsia"/>
                <w:color w:val="000000"/>
                <w:highlight w:val="none"/>
              </w:rPr>
              <w:t>Q=600m³/h   2</w:t>
            </w:r>
            <w:r>
              <w:rPr>
                <w:color w:val="000000"/>
                <w:highlight w:val="none"/>
              </w:rPr>
              <w:t>台</w:t>
            </w:r>
          </w:p>
          <w:p>
            <w:pPr>
              <w:jc w:val="center"/>
              <w:rPr>
                <w:color w:val="000000"/>
                <w:highlight w:val="none"/>
              </w:rPr>
            </w:pPr>
            <w:r>
              <w:rPr>
                <w:rFonts w:hint="eastAsia"/>
                <w:color w:val="000000"/>
                <w:highlight w:val="none"/>
              </w:rPr>
              <w:t>Q=70m³/h    1套</w:t>
            </w:r>
          </w:p>
        </w:tc>
        <w:tc>
          <w:tcPr>
            <w:tcW w:w="2038" w:type="dxa"/>
            <w:shd w:val="clear" w:color="auto" w:fill="FFFFFF"/>
            <w:noWrap w:val="0"/>
            <w:vAlign w:val="center"/>
          </w:tcPr>
          <w:p>
            <w:pPr>
              <w:jc w:val="cente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jc w:val="center"/>
              <w:rPr>
                <w:color w:val="000000"/>
                <w:highlight w:val="none"/>
              </w:rPr>
            </w:pPr>
            <w:r>
              <w:rPr>
                <w:color w:val="000000"/>
                <w:highlight w:val="none"/>
              </w:rPr>
              <w:t>2</w:t>
            </w:r>
          </w:p>
        </w:tc>
        <w:tc>
          <w:tcPr>
            <w:tcW w:w="2509" w:type="dxa"/>
            <w:shd w:val="clear" w:color="auto" w:fill="FFFFFF"/>
            <w:noWrap w:val="0"/>
            <w:vAlign w:val="center"/>
          </w:tcPr>
          <w:p>
            <w:pPr>
              <w:rPr>
                <w:color w:val="000000"/>
                <w:highlight w:val="none"/>
              </w:rPr>
            </w:pPr>
            <w:r>
              <w:rPr>
                <w:color w:val="000000"/>
                <w:highlight w:val="none"/>
              </w:rPr>
              <w:t>设计进水温度℃</w:t>
            </w:r>
          </w:p>
        </w:tc>
        <w:tc>
          <w:tcPr>
            <w:tcW w:w="3449" w:type="dxa"/>
            <w:shd w:val="clear" w:color="auto" w:fill="FFFFFF"/>
            <w:noWrap w:val="0"/>
            <w:vAlign w:val="center"/>
          </w:tcPr>
          <w:p>
            <w:pPr>
              <w:jc w:val="center"/>
              <w:rPr>
                <w:color w:val="000000"/>
                <w:highlight w:val="none"/>
              </w:rPr>
            </w:pPr>
            <w:r>
              <w:rPr>
                <w:color w:val="000000"/>
                <w:highlight w:val="none"/>
              </w:rPr>
              <w:t>37</w:t>
            </w:r>
            <w:r>
              <w:rPr>
                <w:rFonts w:hint="eastAsia"/>
                <w:color w:val="000000"/>
                <w:highlight w:val="none"/>
              </w:rPr>
              <w:t>/42/90</w:t>
            </w:r>
          </w:p>
        </w:tc>
        <w:tc>
          <w:tcPr>
            <w:tcW w:w="2038" w:type="dxa"/>
            <w:shd w:val="clear" w:color="auto" w:fill="FFFFFF"/>
            <w:noWrap w:val="0"/>
            <w:vAlign w:val="center"/>
          </w:tcPr>
          <w:p>
            <w:pPr>
              <w:jc w:val="cente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jc w:val="center"/>
              <w:rPr>
                <w:color w:val="000000"/>
                <w:highlight w:val="none"/>
              </w:rPr>
            </w:pPr>
            <w:r>
              <w:rPr>
                <w:color w:val="000000"/>
                <w:highlight w:val="none"/>
              </w:rPr>
              <w:t>3</w:t>
            </w:r>
          </w:p>
        </w:tc>
        <w:tc>
          <w:tcPr>
            <w:tcW w:w="2509" w:type="dxa"/>
            <w:shd w:val="clear" w:color="auto" w:fill="FFFFFF"/>
            <w:noWrap w:val="0"/>
            <w:vAlign w:val="center"/>
          </w:tcPr>
          <w:p>
            <w:pPr>
              <w:rPr>
                <w:color w:val="000000"/>
                <w:highlight w:val="none"/>
              </w:rPr>
            </w:pPr>
            <w:r>
              <w:rPr>
                <w:color w:val="000000"/>
                <w:highlight w:val="none"/>
              </w:rPr>
              <w:t>设计出水温度℃</w:t>
            </w:r>
          </w:p>
        </w:tc>
        <w:tc>
          <w:tcPr>
            <w:tcW w:w="3449" w:type="dxa"/>
            <w:shd w:val="clear" w:color="auto" w:fill="FFFFFF"/>
            <w:noWrap w:val="0"/>
            <w:vAlign w:val="center"/>
          </w:tcPr>
          <w:p>
            <w:pPr>
              <w:jc w:val="center"/>
              <w:rPr>
                <w:color w:val="000000"/>
                <w:highlight w:val="none"/>
              </w:rPr>
            </w:pPr>
            <w:r>
              <w:rPr>
                <w:color w:val="000000"/>
                <w:highlight w:val="none"/>
              </w:rPr>
              <w:t>32</w:t>
            </w:r>
          </w:p>
        </w:tc>
        <w:tc>
          <w:tcPr>
            <w:tcW w:w="2038" w:type="dxa"/>
            <w:shd w:val="clear" w:color="auto" w:fill="FFFFFF"/>
            <w:noWrap w:val="0"/>
            <w:vAlign w:val="center"/>
          </w:tcPr>
          <w:p>
            <w:pPr>
              <w:jc w:val="cente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jc w:val="center"/>
              <w:rPr>
                <w:color w:val="000000"/>
                <w:highlight w:val="none"/>
              </w:rPr>
            </w:pPr>
            <w:r>
              <w:rPr>
                <w:color w:val="000000"/>
                <w:highlight w:val="none"/>
              </w:rPr>
              <w:t>4</w:t>
            </w:r>
          </w:p>
        </w:tc>
        <w:tc>
          <w:tcPr>
            <w:tcW w:w="2509" w:type="dxa"/>
            <w:shd w:val="clear" w:color="auto" w:fill="FFFFFF"/>
            <w:noWrap w:val="0"/>
            <w:vAlign w:val="center"/>
          </w:tcPr>
          <w:p>
            <w:pPr>
              <w:rPr>
                <w:color w:val="000000"/>
                <w:highlight w:val="none"/>
              </w:rPr>
            </w:pPr>
            <w:r>
              <w:rPr>
                <w:color w:val="000000"/>
                <w:highlight w:val="none"/>
              </w:rPr>
              <w:t>设计湿球温度℃</w:t>
            </w:r>
          </w:p>
        </w:tc>
        <w:tc>
          <w:tcPr>
            <w:tcW w:w="3449" w:type="dxa"/>
            <w:shd w:val="clear" w:color="auto" w:fill="FFFFFF"/>
            <w:noWrap w:val="0"/>
            <w:vAlign w:val="center"/>
          </w:tcPr>
          <w:p>
            <w:pPr>
              <w:jc w:val="center"/>
              <w:rPr>
                <w:color w:val="000000"/>
                <w:highlight w:val="none"/>
              </w:rPr>
            </w:pPr>
            <w:r>
              <w:rPr>
                <w:color w:val="000000"/>
                <w:highlight w:val="none"/>
              </w:rPr>
              <w:t>28</w:t>
            </w:r>
          </w:p>
        </w:tc>
        <w:tc>
          <w:tcPr>
            <w:tcW w:w="2038" w:type="dxa"/>
            <w:shd w:val="clear" w:color="auto" w:fill="FFFFFF"/>
            <w:noWrap w:val="0"/>
            <w:vAlign w:val="center"/>
          </w:tcPr>
          <w:p>
            <w:pPr>
              <w:jc w:val="cente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jc w:val="center"/>
              <w:rPr>
                <w:color w:val="000000"/>
                <w:highlight w:val="none"/>
              </w:rPr>
            </w:pPr>
            <w:r>
              <w:rPr>
                <w:rFonts w:hint="eastAsia"/>
                <w:color w:val="000000"/>
                <w:highlight w:val="none"/>
              </w:rPr>
              <w:t>5</w:t>
            </w:r>
          </w:p>
        </w:tc>
        <w:tc>
          <w:tcPr>
            <w:tcW w:w="2509" w:type="dxa"/>
            <w:shd w:val="clear" w:color="auto" w:fill="FFFFFF"/>
            <w:noWrap w:val="0"/>
            <w:vAlign w:val="center"/>
          </w:tcPr>
          <w:p>
            <w:pPr>
              <w:rPr>
                <w:color w:val="000000"/>
                <w:highlight w:val="none"/>
              </w:rPr>
            </w:pPr>
            <w:r>
              <w:rPr>
                <w:rFonts w:hint="eastAsia"/>
                <w:color w:val="000000"/>
                <w:highlight w:val="none"/>
              </w:rPr>
              <w:t>播水方式</w:t>
            </w:r>
          </w:p>
        </w:tc>
        <w:tc>
          <w:tcPr>
            <w:tcW w:w="3449" w:type="dxa"/>
            <w:shd w:val="clear" w:color="auto" w:fill="FFFFFF"/>
            <w:noWrap w:val="0"/>
            <w:vAlign w:val="center"/>
          </w:tcPr>
          <w:p>
            <w:pPr>
              <w:jc w:val="center"/>
              <w:rPr>
                <w:color w:val="000000"/>
                <w:highlight w:val="none"/>
              </w:rPr>
            </w:pPr>
            <w:r>
              <w:rPr>
                <w:rFonts w:hint="eastAsia"/>
                <w:color w:val="000000"/>
                <w:highlight w:val="none"/>
              </w:rPr>
              <w:t>冷却塔喷头布水</w:t>
            </w:r>
          </w:p>
        </w:tc>
        <w:tc>
          <w:tcPr>
            <w:tcW w:w="2038" w:type="dxa"/>
            <w:shd w:val="clear" w:color="auto" w:fill="FFFFFF"/>
            <w:noWrap w:val="0"/>
            <w:vAlign w:val="center"/>
          </w:tcPr>
          <w:p>
            <w:pPr>
              <w:jc w:val="center"/>
              <w:rPr>
                <w:color w:val="000000"/>
                <w:highlight w:val="none"/>
              </w:rPr>
            </w:pPr>
          </w:p>
        </w:tc>
      </w:tr>
    </w:tbl>
    <w:p>
      <w:pPr>
        <w:shd w:val="clear" w:color="auto" w:fill="FFFFFF"/>
        <w:ind w:firstLine="210" w:firstLineChars="100"/>
        <w:rPr>
          <w:rFonts w:ascii="微软雅黑" w:hAnsi="微软雅黑" w:eastAsia="微软雅黑"/>
          <w:color w:val="333333"/>
          <w:highlight w:val="none"/>
        </w:rPr>
      </w:pPr>
      <w:r>
        <w:rPr>
          <w:highlight w:val="none"/>
        </w:rPr>
        <w:t>3.</w:t>
      </w:r>
      <w:r>
        <w:rPr>
          <w:rFonts w:hint="eastAsia"/>
          <w:highlight w:val="none"/>
        </w:rPr>
        <w:t>电机参数</w:t>
      </w:r>
    </w:p>
    <w:tbl>
      <w:tblPr>
        <w:tblStyle w:val="16"/>
        <w:tblW w:w="0" w:type="auto"/>
        <w:jc w:val="center"/>
        <w:tblLayout w:type="autofit"/>
        <w:tblCellMar>
          <w:top w:w="0" w:type="dxa"/>
          <w:left w:w="0" w:type="dxa"/>
          <w:bottom w:w="0" w:type="dxa"/>
          <w:right w:w="0" w:type="dxa"/>
        </w:tblCellMar>
      </w:tblPr>
      <w:tblGrid>
        <w:gridCol w:w="752"/>
        <w:gridCol w:w="2509"/>
        <w:gridCol w:w="3449"/>
        <w:gridCol w:w="2038"/>
      </w:tblGrid>
      <w:tr>
        <w:tblPrEx>
          <w:tblCellMar>
            <w:top w:w="0" w:type="dxa"/>
            <w:left w:w="0" w:type="dxa"/>
            <w:bottom w:w="0" w:type="dxa"/>
            <w:right w:w="0" w:type="dxa"/>
          </w:tblCellMar>
        </w:tblPrEx>
        <w:trPr>
          <w:trHeight w:val="625"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color w:val="000000"/>
                <w:highlight w:val="none"/>
              </w:rPr>
              <w:t>1</w:t>
            </w:r>
          </w:p>
        </w:tc>
        <w:tc>
          <w:tcPr>
            <w:tcW w:w="25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color w:val="000000"/>
                <w:highlight w:val="none"/>
              </w:rPr>
            </w:pPr>
            <w:r>
              <w:rPr>
                <w:rFonts w:hint="eastAsia"/>
                <w:color w:val="000000"/>
                <w:highlight w:val="none"/>
              </w:rPr>
              <w:t>Q=1200m³型号</w:t>
            </w:r>
            <w:r>
              <w:rPr>
                <w:color w:val="000000"/>
                <w:highlight w:val="none"/>
              </w:rPr>
              <w:t>额定功率(每台）kw</w:t>
            </w:r>
          </w:p>
        </w:tc>
        <w:tc>
          <w:tcPr>
            <w:tcW w:w="34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≤37</w:t>
            </w:r>
            <w:r>
              <w:rPr>
                <w:color w:val="000000"/>
                <w:highlight w:val="none"/>
              </w:rPr>
              <w:t>kw</w:t>
            </w:r>
          </w:p>
          <w:p>
            <w:pPr>
              <w:jc w:val="center"/>
              <w:rPr>
                <w:color w:val="000000"/>
                <w:highlight w:val="none"/>
              </w:rPr>
            </w:pPr>
            <w:r>
              <w:rPr>
                <w:rFonts w:hint="eastAsia"/>
                <w:color w:val="000000"/>
                <w:highlight w:val="none"/>
              </w:rPr>
              <w:t>(</w:t>
            </w:r>
            <w:r>
              <w:rPr>
                <w:color w:val="000000"/>
                <w:highlight w:val="none"/>
              </w:rPr>
              <w:t>单台设备</w:t>
            </w:r>
            <w:r>
              <w:rPr>
                <w:rFonts w:hint="eastAsia"/>
                <w:color w:val="000000"/>
                <w:highlight w:val="none"/>
              </w:rPr>
              <w:t>能耗</w:t>
            </w:r>
            <w:r>
              <w:rPr>
                <w:color w:val="000000"/>
                <w:highlight w:val="none"/>
              </w:rPr>
              <w:t>比</w:t>
            </w:r>
            <w:r>
              <w:rPr>
                <w:rFonts w:ascii="宋体" w:hAnsi="宋体"/>
                <w:color w:val="000000"/>
                <w:highlight w:val="none"/>
              </w:rPr>
              <w:t>≤0.035KW/m3</w:t>
            </w:r>
            <w:r>
              <w:rPr>
                <w:rFonts w:hint="eastAsia" w:ascii="宋体" w:hAnsi="宋体"/>
                <w:color w:val="000000"/>
                <w:highlight w:val="none"/>
              </w:rPr>
              <w:t>·</w:t>
            </w:r>
            <w:r>
              <w:rPr>
                <w:rFonts w:ascii="宋体" w:hAnsi="宋体"/>
                <w:color w:val="000000"/>
                <w:highlight w:val="none"/>
              </w:rPr>
              <w:t>h</w:t>
            </w:r>
            <w:r>
              <w:rPr>
                <w:color w:val="000000"/>
                <w:highlight w:val="none"/>
              </w:rPr>
              <w:t>)</w:t>
            </w:r>
          </w:p>
        </w:tc>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color w:val="000000"/>
                <w:highlight w:val="none"/>
              </w:rPr>
            </w:pPr>
          </w:p>
        </w:tc>
      </w:tr>
      <w:tr>
        <w:tblPrEx>
          <w:tblCellMar>
            <w:top w:w="0" w:type="dxa"/>
            <w:left w:w="0" w:type="dxa"/>
            <w:bottom w:w="0" w:type="dxa"/>
            <w:right w:w="0" w:type="dxa"/>
          </w:tblCellMar>
        </w:tblPrEx>
        <w:trPr>
          <w:trHeight w:val="63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2</w:t>
            </w:r>
          </w:p>
        </w:tc>
        <w:tc>
          <w:tcPr>
            <w:tcW w:w="25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color w:val="000000"/>
                <w:highlight w:val="none"/>
              </w:rPr>
            </w:pPr>
            <w:r>
              <w:rPr>
                <w:rFonts w:hint="eastAsia"/>
                <w:color w:val="000000"/>
                <w:highlight w:val="none"/>
              </w:rPr>
              <w:t>Q=700m³型号</w:t>
            </w:r>
            <w:r>
              <w:rPr>
                <w:color w:val="000000"/>
                <w:highlight w:val="none"/>
              </w:rPr>
              <w:t>额定功率(每台）kw</w:t>
            </w:r>
          </w:p>
        </w:tc>
        <w:tc>
          <w:tcPr>
            <w:tcW w:w="34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≤22</w:t>
            </w:r>
            <w:r>
              <w:rPr>
                <w:color w:val="000000"/>
                <w:highlight w:val="none"/>
              </w:rPr>
              <w:t>kw</w:t>
            </w:r>
          </w:p>
          <w:p>
            <w:pPr>
              <w:jc w:val="center"/>
              <w:rPr>
                <w:color w:val="000000"/>
                <w:highlight w:val="none"/>
              </w:rPr>
            </w:pPr>
            <w:r>
              <w:rPr>
                <w:rFonts w:hint="eastAsia"/>
                <w:color w:val="000000"/>
                <w:highlight w:val="none"/>
              </w:rPr>
              <w:t>(</w:t>
            </w:r>
            <w:r>
              <w:rPr>
                <w:color w:val="000000"/>
                <w:highlight w:val="none"/>
              </w:rPr>
              <w:t>单台设备</w:t>
            </w:r>
            <w:r>
              <w:rPr>
                <w:rFonts w:hint="eastAsia"/>
                <w:color w:val="000000"/>
                <w:highlight w:val="none"/>
              </w:rPr>
              <w:t>能耗</w:t>
            </w:r>
            <w:r>
              <w:rPr>
                <w:color w:val="000000"/>
                <w:highlight w:val="none"/>
              </w:rPr>
              <w:t>比</w:t>
            </w:r>
            <w:r>
              <w:rPr>
                <w:rFonts w:ascii="宋体" w:hAnsi="宋体"/>
                <w:color w:val="000000"/>
                <w:highlight w:val="none"/>
              </w:rPr>
              <w:t>≤0.035KW/m3</w:t>
            </w:r>
            <w:r>
              <w:rPr>
                <w:rFonts w:hint="eastAsia" w:ascii="宋体" w:hAnsi="宋体"/>
                <w:color w:val="000000"/>
                <w:highlight w:val="none"/>
              </w:rPr>
              <w:t>·</w:t>
            </w:r>
            <w:r>
              <w:rPr>
                <w:rFonts w:ascii="宋体" w:hAnsi="宋体"/>
                <w:color w:val="000000"/>
                <w:highlight w:val="none"/>
              </w:rPr>
              <w:t>h</w:t>
            </w:r>
            <w:r>
              <w:rPr>
                <w:color w:val="000000"/>
                <w:highlight w:val="none"/>
              </w:rPr>
              <w:t>)</w:t>
            </w:r>
          </w:p>
        </w:tc>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color w:val="000000"/>
                <w:highlight w:val="none"/>
              </w:rPr>
            </w:pPr>
          </w:p>
        </w:tc>
      </w:tr>
      <w:tr>
        <w:tblPrEx>
          <w:tblCellMar>
            <w:top w:w="0" w:type="dxa"/>
            <w:left w:w="0" w:type="dxa"/>
            <w:bottom w:w="0" w:type="dxa"/>
            <w:right w:w="0" w:type="dxa"/>
          </w:tblCellMar>
        </w:tblPrEx>
        <w:trPr>
          <w:trHeight w:val="637"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3</w:t>
            </w:r>
          </w:p>
        </w:tc>
        <w:tc>
          <w:tcPr>
            <w:tcW w:w="25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color w:val="000000"/>
                <w:highlight w:val="none"/>
              </w:rPr>
            </w:pPr>
            <w:r>
              <w:rPr>
                <w:rFonts w:hint="eastAsia"/>
                <w:color w:val="000000"/>
                <w:highlight w:val="none"/>
              </w:rPr>
              <w:t>Q=600m³型号</w:t>
            </w:r>
            <w:r>
              <w:rPr>
                <w:color w:val="000000"/>
                <w:highlight w:val="none"/>
              </w:rPr>
              <w:t>额定功率(每台）kw</w:t>
            </w:r>
          </w:p>
        </w:tc>
        <w:tc>
          <w:tcPr>
            <w:tcW w:w="34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≤30</w:t>
            </w:r>
            <w:r>
              <w:rPr>
                <w:color w:val="000000"/>
                <w:highlight w:val="none"/>
              </w:rPr>
              <w:t>kw</w:t>
            </w:r>
          </w:p>
          <w:p>
            <w:pPr>
              <w:jc w:val="center"/>
              <w:rPr>
                <w:color w:val="000000"/>
                <w:highlight w:val="none"/>
              </w:rPr>
            </w:pPr>
            <w:r>
              <w:rPr>
                <w:rFonts w:hint="eastAsia"/>
                <w:color w:val="000000"/>
                <w:highlight w:val="none"/>
              </w:rPr>
              <w:t>(</w:t>
            </w:r>
            <w:r>
              <w:rPr>
                <w:color w:val="000000"/>
                <w:highlight w:val="none"/>
              </w:rPr>
              <w:t>单台设备</w:t>
            </w:r>
            <w:r>
              <w:rPr>
                <w:rFonts w:hint="eastAsia"/>
                <w:color w:val="000000"/>
                <w:highlight w:val="none"/>
              </w:rPr>
              <w:t>能耗</w:t>
            </w:r>
            <w:r>
              <w:rPr>
                <w:color w:val="000000"/>
                <w:highlight w:val="none"/>
              </w:rPr>
              <w:t>比</w:t>
            </w:r>
            <w:r>
              <w:rPr>
                <w:rFonts w:ascii="宋体" w:hAnsi="宋体"/>
                <w:color w:val="000000"/>
                <w:highlight w:val="none"/>
              </w:rPr>
              <w:t>≤0.035KW/m3</w:t>
            </w:r>
            <w:r>
              <w:rPr>
                <w:rFonts w:hint="eastAsia" w:ascii="宋体" w:hAnsi="宋体"/>
                <w:color w:val="000000"/>
                <w:highlight w:val="none"/>
              </w:rPr>
              <w:t>·</w:t>
            </w:r>
            <w:r>
              <w:rPr>
                <w:rFonts w:ascii="宋体" w:hAnsi="宋体"/>
                <w:color w:val="000000"/>
                <w:highlight w:val="none"/>
              </w:rPr>
              <w:t>h</w:t>
            </w:r>
            <w:r>
              <w:rPr>
                <w:color w:val="000000"/>
                <w:highlight w:val="none"/>
              </w:rPr>
              <w:t>)</w:t>
            </w:r>
          </w:p>
        </w:tc>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color w:val="000000"/>
                <w:highlight w:val="none"/>
              </w:rPr>
            </w:pPr>
          </w:p>
        </w:tc>
      </w:tr>
      <w:tr>
        <w:tblPrEx>
          <w:tblCellMar>
            <w:top w:w="0" w:type="dxa"/>
            <w:left w:w="0" w:type="dxa"/>
            <w:bottom w:w="0" w:type="dxa"/>
            <w:right w:w="0" w:type="dxa"/>
          </w:tblCellMar>
        </w:tblPrEx>
        <w:trPr>
          <w:trHeight w:val="331"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4</w:t>
            </w:r>
          </w:p>
        </w:tc>
        <w:tc>
          <w:tcPr>
            <w:tcW w:w="25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color w:val="000000"/>
                <w:highlight w:val="none"/>
              </w:rPr>
            </w:pPr>
            <w:r>
              <w:rPr>
                <w:rFonts w:hint="eastAsia"/>
                <w:color w:val="000000"/>
                <w:highlight w:val="none"/>
              </w:rPr>
              <w:t>Q=</w:t>
            </w:r>
            <w:r>
              <w:rPr>
                <w:rFonts w:hint="eastAsia" w:ascii="宋体" w:hAnsi="宋体"/>
                <w:color w:val="000000"/>
                <w:highlight w:val="none"/>
              </w:rPr>
              <w:t>70</w:t>
            </w:r>
            <w:r>
              <w:rPr>
                <w:rFonts w:hint="eastAsia"/>
                <w:color w:val="000000"/>
                <w:highlight w:val="none"/>
              </w:rPr>
              <w:t>m³型号</w:t>
            </w:r>
            <w:r>
              <w:rPr>
                <w:color w:val="000000"/>
                <w:highlight w:val="none"/>
              </w:rPr>
              <w:t>额定功率(每台）kw</w:t>
            </w:r>
          </w:p>
        </w:tc>
        <w:tc>
          <w:tcPr>
            <w:tcW w:w="34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喷淋泵≤3</w:t>
            </w:r>
            <w:r>
              <w:rPr>
                <w:color w:val="000000"/>
                <w:highlight w:val="none"/>
              </w:rPr>
              <w:t>kw</w:t>
            </w:r>
            <w:r>
              <w:rPr>
                <w:rFonts w:hint="eastAsia"/>
                <w:color w:val="000000"/>
                <w:highlight w:val="none"/>
              </w:rPr>
              <w:t>*2，风机≤7.5KW*2</w:t>
            </w:r>
          </w:p>
          <w:p>
            <w:pPr>
              <w:jc w:val="center"/>
              <w:rPr>
                <w:color w:val="000000"/>
                <w:highlight w:val="none"/>
              </w:rPr>
            </w:pPr>
            <w:r>
              <w:rPr>
                <w:rFonts w:hint="eastAsia"/>
                <w:color w:val="000000"/>
                <w:highlight w:val="none"/>
              </w:rPr>
              <w:t>(</w:t>
            </w:r>
            <w:r>
              <w:rPr>
                <w:color w:val="000000"/>
                <w:highlight w:val="none"/>
              </w:rPr>
              <w:t>单台设备</w:t>
            </w:r>
            <w:r>
              <w:rPr>
                <w:rFonts w:hint="eastAsia"/>
                <w:color w:val="000000"/>
                <w:highlight w:val="none"/>
              </w:rPr>
              <w:t>能耗</w:t>
            </w:r>
            <w:r>
              <w:rPr>
                <w:color w:val="000000"/>
                <w:highlight w:val="none"/>
              </w:rPr>
              <w:t>比</w:t>
            </w:r>
            <w:r>
              <w:rPr>
                <w:rFonts w:ascii="宋体" w:hAnsi="宋体"/>
                <w:color w:val="000000"/>
                <w:highlight w:val="none"/>
              </w:rPr>
              <w:t>≤0.035KW/m3</w:t>
            </w:r>
            <w:r>
              <w:rPr>
                <w:rFonts w:hint="eastAsia" w:ascii="宋体" w:hAnsi="宋体"/>
                <w:color w:val="000000"/>
                <w:highlight w:val="none"/>
              </w:rPr>
              <w:t>·</w:t>
            </w:r>
            <w:r>
              <w:rPr>
                <w:rFonts w:ascii="宋体" w:hAnsi="宋体"/>
                <w:color w:val="000000"/>
                <w:highlight w:val="none"/>
              </w:rPr>
              <w:t>h</w:t>
            </w:r>
            <w:r>
              <w:rPr>
                <w:color w:val="000000"/>
                <w:highlight w:val="none"/>
              </w:rPr>
              <w:t>)</w:t>
            </w:r>
          </w:p>
        </w:tc>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p>
        </w:tc>
      </w:tr>
      <w:tr>
        <w:tblPrEx>
          <w:tblCellMar>
            <w:top w:w="0" w:type="dxa"/>
            <w:left w:w="0" w:type="dxa"/>
            <w:bottom w:w="0" w:type="dxa"/>
            <w:right w:w="0" w:type="dxa"/>
          </w:tblCellMar>
        </w:tblPrEx>
        <w:trPr>
          <w:trHeight w:val="331"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5</w:t>
            </w:r>
          </w:p>
        </w:tc>
        <w:tc>
          <w:tcPr>
            <w:tcW w:w="25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color w:val="000000"/>
                <w:highlight w:val="none"/>
              </w:rPr>
            </w:pPr>
            <w:r>
              <w:rPr>
                <w:color w:val="000000"/>
                <w:highlight w:val="none"/>
              </w:rPr>
              <w:t>电机防护及绝缘等级</w:t>
            </w:r>
          </w:p>
        </w:tc>
        <w:tc>
          <w:tcPr>
            <w:tcW w:w="34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color w:val="000000"/>
                <w:highlight w:val="none"/>
              </w:rPr>
              <w:t>不小于IP56/E级</w:t>
            </w:r>
          </w:p>
        </w:tc>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p>
        </w:tc>
      </w:tr>
      <w:tr>
        <w:tblPrEx>
          <w:tblCellMar>
            <w:top w:w="0" w:type="dxa"/>
            <w:left w:w="0" w:type="dxa"/>
            <w:bottom w:w="0" w:type="dxa"/>
            <w:right w:w="0" w:type="dxa"/>
          </w:tblCellMar>
        </w:tblPrEx>
        <w:trPr>
          <w:trHeight w:val="324"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6</w:t>
            </w:r>
          </w:p>
        </w:tc>
        <w:tc>
          <w:tcPr>
            <w:tcW w:w="25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color w:val="000000"/>
                <w:highlight w:val="none"/>
              </w:rPr>
              <w:t>电源（相数/</w:t>
            </w:r>
            <w:r>
              <w:rPr>
                <w:rFonts w:hint="eastAsia"/>
                <w:color w:val="000000"/>
                <w:highlight w:val="none"/>
              </w:rPr>
              <w:t>电</w:t>
            </w:r>
            <w:r>
              <w:rPr>
                <w:color w:val="000000"/>
                <w:highlight w:val="none"/>
              </w:rPr>
              <w:t>压/频率）</w:t>
            </w:r>
          </w:p>
        </w:tc>
        <w:tc>
          <w:tcPr>
            <w:tcW w:w="34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color w:val="000000"/>
                <w:highlight w:val="none"/>
              </w:rPr>
              <w:t>3Φ/380V/50HZ</w:t>
            </w:r>
          </w:p>
        </w:tc>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p>
        </w:tc>
      </w:tr>
      <w:tr>
        <w:tblPrEx>
          <w:tblCellMar>
            <w:top w:w="0" w:type="dxa"/>
            <w:left w:w="0" w:type="dxa"/>
            <w:bottom w:w="0" w:type="dxa"/>
            <w:right w:w="0" w:type="dxa"/>
          </w:tblCellMar>
        </w:tblPrEx>
        <w:trPr>
          <w:trHeight w:val="328" w:hRule="atLeast"/>
          <w:jc w:val="center"/>
        </w:trPr>
        <w:tc>
          <w:tcPr>
            <w:tcW w:w="7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rFonts w:hint="eastAsia"/>
                <w:color w:val="000000"/>
                <w:highlight w:val="none"/>
              </w:rPr>
              <w:t>7</w:t>
            </w:r>
          </w:p>
        </w:tc>
        <w:tc>
          <w:tcPr>
            <w:tcW w:w="25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color w:val="000000"/>
                <w:highlight w:val="none"/>
              </w:rPr>
            </w:pPr>
            <w:r>
              <w:rPr>
                <w:color w:val="000000"/>
                <w:highlight w:val="none"/>
              </w:rPr>
              <w:t>品牌/厂家</w:t>
            </w:r>
          </w:p>
        </w:tc>
        <w:tc>
          <w:tcPr>
            <w:tcW w:w="34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r>
              <w:rPr>
                <w:color w:val="000000"/>
                <w:highlight w:val="none"/>
              </w:rPr>
              <w:t>合资或国产名牌</w:t>
            </w:r>
          </w:p>
        </w:tc>
        <w:tc>
          <w:tcPr>
            <w:tcW w:w="203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color w:val="000000"/>
                <w:highlight w:val="none"/>
              </w:rPr>
            </w:pPr>
          </w:p>
        </w:tc>
      </w:tr>
    </w:tbl>
    <w:p>
      <w:pPr>
        <w:shd w:val="clear" w:color="auto" w:fill="FFFFFF"/>
        <w:ind w:firstLine="210" w:firstLineChars="100"/>
        <w:rPr>
          <w:rFonts w:ascii="微软雅黑" w:hAnsi="微软雅黑" w:eastAsia="微软雅黑"/>
          <w:color w:val="333333"/>
          <w:highlight w:val="none"/>
        </w:rPr>
      </w:pPr>
      <w:r>
        <w:rPr>
          <w:highlight w:val="none"/>
        </w:rPr>
        <w:t>4.</w:t>
      </w:r>
      <w:r>
        <w:rPr>
          <w:rFonts w:hint="eastAsia"/>
          <w:highlight w:val="none"/>
        </w:rPr>
        <w:t>风机参数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2"/>
        <w:gridCol w:w="2509"/>
        <w:gridCol w:w="3449"/>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752" w:type="dxa"/>
            <w:shd w:val="clear" w:color="auto" w:fill="FFFFFF"/>
            <w:noWrap w:val="0"/>
            <w:vAlign w:val="center"/>
          </w:tcPr>
          <w:p>
            <w:pPr>
              <w:rPr>
                <w:color w:val="000000"/>
                <w:highlight w:val="none"/>
              </w:rPr>
            </w:pPr>
            <w:r>
              <w:rPr>
                <w:color w:val="000000"/>
                <w:highlight w:val="none"/>
              </w:rPr>
              <w:t>1</w:t>
            </w:r>
          </w:p>
        </w:tc>
        <w:tc>
          <w:tcPr>
            <w:tcW w:w="2509" w:type="dxa"/>
            <w:shd w:val="clear" w:color="auto" w:fill="FFFFFF"/>
            <w:noWrap w:val="0"/>
            <w:vAlign w:val="center"/>
          </w:tcPr>
          <w:p>
            <w:pPr>
              <w:rPr>
                <w:color w:val="000000"/>
                <w:highlight w:val="none"/>
              </w:rPr>
            </w:pPr>
            <w:r>
              <w:rPr>
                <w:color w:val="000000"/>
                <w:highlight w:val="none"/>
              </w:rPr>
              <w:t>品牌/厂家</w:t>
            </w:r>
          </w:p>
        </w:tc>
        <w:tc>
          <w:tcPr>
            <w:tcW w:w="3449" w:type="dxa"/>
            <w:shd w:val="clear" w:color="auto" w:fill="FFFFFF"/>
            <w:noWrap w:val="0"/>
            <w:vAlign w:val="center"/>
          </w:tcPr>
          <w:p>
            <w:pPr>
              <w:rPr>
                <w:color w:val="000000"/>
                <w:highlight w:val="none"/>
              </w:rPr>
            </w:pPr>
            <w:r>
              <w:rPr>
                <w:color w:val="000000"/>
                <w:highlight w:val="none"/>
              </w:rPr>
              <w:t>合资品牌/国产品牌</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rPr>
                <w:color w:val="000000"/>
                <w:highlight w:val="none"/>
              </w:rPr>
            </w:pPr>
            <w:r>
              <w:rPr>
                <w:color w:val="000000"/>
                <w:highlight w:val="none"/>
              </w:rPr>
              <w:t>2</w:t>
            </w:r>
          </w:p>
        </w:tc>
        <w:tc>
          <w:tcPr>
            <w:tcW w:w="2509" w:type="dxa"/>
            <w:shd w:val="clear" w:color="auto" w:fill="FFFFFF"/>
            <w:noWrap w:val="0"/>
            <w:vAlign w:val="center"/>
          </w:tcPr>
          <w:p>
            <w:pPr>
              <w:rPr>
                <w:color w:val="000000"/>
                <w:highlight w:val="none"/>
              </w:rPr>
            </w:pPr>
            <w:r>
              <w:rPr>
                <w:rFonts w:hint="eastAsia"/>
                <w:color w:val="000000"/>
                <w:highlight w:val="none"/>
              </w:rPr>
              <w:t>单台风机风量（m³</w:t>
            </w:r>
            <w:r>
              <w:rPr>
                <w:color w:val="000000"/>
                <w:highlight w:val="none"/>
              </w:rPr>
              <w:t>/</w:t>
            </w:r>
            <w:r>
              <w:rPr>
                <w:rFonts w:hint="eastAsia"/>
                <w:color w:val="000000"/>
                <w:highlight w:val="none"/>
              </w:rPr>
              <w:t>h）</w:t>
            </w:r>
          </w:p>
        </w:tc>
        <w:tc>
          <w:tcPr>
            <w:tcW w:w="3449" w:type="dxa"/>
            <w:shd w:val="clear" w:color="auto" w:fill="FFFFFF"/>
            <w:noWrap w:val="0"/>
            <w:vAlign w:val="center"/>
          </w:tcPr>
          <w:p>
            <w:pPr>
              <w:rPr>
                <w:color w:val="000000"/>
                <w:highlight w:val="none"/>
              </w:rPr>
            </w:pP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rPr>
                <w:color w:val="000000"/>
                <w:highlight w:val="none"/>
              </w:rPr>
            </w:pPr>
            <w:r>
              <w:rPr>
                <w:color w:val="000000"/>
                <w:highlight w:val="none"/>
              </w:rPr>
              <w:t>3</w:t>
            </w:r>
          </w:p>
        </w:tc>
        <w:tc>
          <w:tcPr>
            <w:tcW w:w="2509" w:type="dxa"/>
            <w:shd w:val="clear" w:color="auto" w:fill="FFFFFF"/>
            <w:noWrap w:val="0"/>
            <w:vAlign w:val="center"/>
          </w:tcPr>
          <w:p>
            <w:pPr>
              <w:rPr>
                <w:color w:val="000000"/>
                <w:highlight w:val="none"/>
              </w:rPr>
            </w:pPr>
            <w:r>
              <w:rPr>
                <w:color w:val="000000"/>
                <w:highlight w:val="none"/>
              </w:rPr>
              <w:t>风叶材料</w:t>
            </w:r>
          </w:p>
        </w:tc>
        <w:tc>
          <w:tcPr>
            <w:tcW w:w="3449" w:type="dxa"/>
            <w:shd w:val="clear" w:color="auto" w:fill="FFFFFF"/>
            <w:noWrap w:val="0"/>
            <w:vAlign w:val="center"/>
          </w:tcPr>
          <w:p>
            <w:pPr>
              <w:rPr>
                <w:color w:val="000000"/>
                <w:highlight w:val="none"/>
              </w:rPr>
            </w:pPr>
            <w:r>
              <w:rPr>
                <w:rFonts w:hint="eastAsia"/>
                <w:color w:val="000000"/>
                <w:highlight w:val="none"/>
              </w:rPr>
              <w:t>双层</w:t>
            </w:r>
            <w:r>
              <w:rPr>
                <w:color w:val="000000"/>
                <w:highlight w:val="none"/>
              </w:rPr>
              <w:t>铝合金</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rPr>
                <w:color w:val="000000"/>
                <w:highlight w:val="none"/>
              </w:rPr>
            </w:pPr>
            <w:r>
              <w:rPr>
                <w:color w:val="000000"/>
                <w:highlight w:val="none"/>
              </w:rPr>
              <w:t>4</w:t>
            </w:r>
          </w:p>
        </w:tc>
        <w:tc>
          <w:tcPr>
            <w:tcW w:w="2509" w:type="dxa"/>
            <w:shd w:val="clear" w:color="auto" w:fill="FFFFFF"/>
            <w:noWrap w:val="0"/>
            <w:vAlign w:val="center"/>
          </w:tcPr>
          <w:p>
            <w:pPr>
              <w:rPr>
                <w:color w:val="000000"/>
                <w:highlight w:val="none"/>
              </w:rPr>
            </w:pPr>
            <w:r>
              <w:rPr>
                <w:color w:val="000000"/>
                <w:highlight w:val="none"/>
              </w:rPr>
              <w:t>风叶</w:t>
            </w:r>
            <w:r>
              <w:rPr>
                <w:rFonts w:hint="eastAsia"/>
                <w:color w:val="000000"/>
                <w:highlight w:val="none"/>
              </w:rPr>
              <w:t>直径/</w:t>
            </w:r>
            <w:r>
              <w:rPr>
                <w:color w:val="000000"/>
                <w:highlight w:val="none"/>
              </w:rPr>
              <w:t>类型</w:t>
            </w:r>
          </w:p>
        </w:tc>
        <w:tc>
          <w:tcPr>
            <w:tcW w:w="3449" w:type="dxa"/>
            <w:shd w:val="clear" w:color="auto" w:fill="FFFFFF"/>
            <w:noWrap w:val="0"/>
            <w:vAlign w:val="center"/>
          </w:tcPr>
          <w:p>
            <w:pPr>
              <w:rPr>
                <w:color w:val="000000"/>
                <w:highlight w:val="none"/>
              </w:rPr>
            </w:pPr>
            <w:r>
              <w:rPr>
                <w:color w:val="000000"/>
                <w:highlight w:val="none"/>
              </w:rPr>
              <w:t>机翼型</w:t>
            </w:r>
            <w:r>
              <w:rPr>
                <w:rFonts w:hint="eastAsia"/>
                <w:color w:val="000000"/>
                <w:highlight w:val="none"/>
              </w:rPr>
              <w:t>，</w:t>
            </w:r>
            <w:r>
              <w:rPr>
                <w:rFonts w:hint="eastAsia" w:ascii="宋体" w:hAnsi="宋体" w:cs="宋体"/>
                <w:color w:val="000000"/>
                <w:szCs w:val="21"/>
                <w:highlight w:val="none"/>
              </w:rPr>
              <w:t>风机叶片数量应≥6叶片以上</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color w:val="000000"/>
                <w:highlight w:val="none"/>
              </w:rPr>
              <w:t>5</w:t>
            </w:r>
          </w:p>
        </w:tc>
        <w:tc>
          <w:tcPr>
            <w:tcW w:w="2509" w:type="dxa"/>
            <w:shd w:val="clear" w:color="auto" w:fill="FFFFFF"/>
            <w:noWrap w:val="0"/>
            <w:vAlign w:val="center"/>
          </w:tcPr>
          <w:p>
            <w:pPr>
              <w:rPr>
                <w:color w:val="000000"/>
                <w:highlight w:val="none"/>
              </w:rPr>
            </w:pPr>
            <w:r>
              <w:rPr>
                <w:color w:val="000000"/>
                <w:highlight w:val="none"/>
              </w:rPr>
              <w:t>风机转数rpm</w:t>
            </w:r>
            <w:r>
              <w:rPr>
                <w:rFonts w:hint="eastAsia"/>
                <w:color w:val="000000"/>
                <w:highlight w:val="none"/>
              </w:rPr>
              <w:t>/min</w:t>
            </w:r>
          </w:p>
        </w:tc>
        <w:tc>
          <w:tcPr>
            <w:tcW w:w="3449" w:type="dxa"/>
            <w:shd w:val="clear" w:color="auto" w:fill="FFFFFF"/>
            <w:noWrap w:val="0"/>
            <w:vAlign w:val="center"/>
          </w:tcPr>
          <w:p>
            <w:pPr>
              <w:widowControl/>
              <w:rPr>
                <w:highlight w:val="none"/>
              </w:rPr>
            </w:pPr>
            <w:r>
              <w:rPr>
                <w:rFonts w:hint="eastAsia" w:ascii="宋体" w:hAnsi="宋体" w:cs="宋体"/>
                <w:color w:val="000000"/>
                <w:sz w:val="23"/>
                <w:szCs w:val="23"/>
                <w:highlight w:val="none"/>
                <w:lang w:bidi="ar"/>
              </w:rPr>
              <w:t>250r/min，230r/min，210r/min</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color w:val="000000"/>
                <w:highlight w:val="none"/>
              </w:rPr>
              <w:t>6</w:t>
            </w:r>
          </w:p>
        </w:tc>
        <w:tc>
          <w:tcPr>
            <w:tcW w:w="2509" w:type="dxa"/>
            <w:shd w:val="clear" w:color="auto" w:fill="FFFFFF"/>
            <w:noWrap w:val="0"/>
            <w:vAlign w:val="center"/>
          </w:tcPr>
          <w:p>
            <w:pPr>
              <w:rPr>
                <w:color w:val="000000"/>
                <w:highlight w:val="none"/>
              </w:rPr>
            </w:pPr>
            <w:r>
              <w:rPr>
                <w:rFonts w:hint="eastAsia"/>
                <w:color w:val="000000"/>
                <w:highlight w:val="none"/>
              </w:rPr>
              <w:t>风机轴承</w:t>
            </w:r>
          </w:p>
        </w:tc>
        <w:tc>
          <w:tcPr>
            <w:tcW w:w="3449" w:type="dxa"/>
            <w:shd w:val="clear" w:color="auto" w:fill="FFFFFF"/>
            <w:noWrap w:val="0"/>
            <w:vAlign w:val="center"/>
          </w:tcPr>
          <w:p>
            <w:pPr>
              <w:rPr>
                <w:color w:val="000000"/>
                <w:highlight w:val="none"/>
              </w:rPr>
            </w:pPr>
            <w:r>
              <w:rPr>
                <w:rFonts w:hint="eastAsia" w:ascii="宋体" w:hAnsi="宋体"/>
                <w:color w:val="000000"/>
                <w:szCs w:val="21"/>
                <w:highlight w:val="none"/>
              </w:rPr>
              <w:t>SKF、NSK、</w:t>
            </w:r>
            <w:r>
              <w:rPr>
                <w:rFonts w:hint="eastAsia" w:ascii="宋体" w:hAnsi="宋体" w:cs="宋体"/>
                <w:color w:val="000000"/>
                <w:szCs w:val="21"/>
                <w:highlight w:val="none"/>
              </w:rPr>
              <w:t>NTN</w:t>
            </w:r>
          </w:p>
        </w:tc>
        <w:tc>
          <w:tcPr>
            <w:tcW w:w="2038" w:type="dxa"/>
            <w:shd w:val="clear" w:color="auto" w:fill="FFFFFF"/>
            <w:noWrap w:val="0"/>
            <w:vAlign w:val="center"/>
          </w:tcPr>
          <w:p>
            <w:pPr>
              <w:rPr>
                <w:color w:val="000000"/>
                <w:highlight w:val="none"/>
              </w:rPr>
            </w:pPr>
          </w:p>
        </w:tc>
      </w:tr>
    </w:tbl>
    <w:p>
      <w:pPr>
        <w:shd w:val="clear" w:color="auto" w:fill="FFFFFF"/>
        <w:ind w:firstLine="210" w:firstLineChars="100"/>
        <w:rPr>
          <w:rFonts w:ascii="微软雅黑" w:hAnsi="微软雅黑" w:eastAsia="微软雅黑"/>
          <w:color w:val="333333"/>
          <w:highlight w:val="none"/>
        </w:rPr>
      </w:pPr>
      <w:r>
        <w:rPr>
          <w:highlight w:val="none"/>
        </w:rPr>
        <w:t>5.</w:t>
      </w:r>
      <w:r>
        <w:rPr>
          <w:rFonts w:hint="eastAsia"/>
          <w:highlight w:val="none"/>
        </w:rPr>
        <w:t>减速机参数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2"/>
        <w:gridCol w:w="2509"/>
        <w:gridCol w:w="3449"/>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rPr>
                <w:color w:val="000000"/>
                <w:highlight w:val="none"/>
              </w:rPr>
            </w:pPr>
            <w:r>
              <w:rPr>
                <w:color w:val="000000"/>
                <w:highlight w:val="none"/>
              </w:rPr>
              <w:t>1</w:t>
            </w:r>
          </w:p>
        </w:tc>
        <w:tc>
          <w:tcPr>
            <w:tcW w:w="2509" w:type="dxa"/>
            <w:shd w:val="clear" w:color="auto" w:fill="FFFFFF"/>
            <w:noWrap w:val="0"/>
            <w:vAlign w:val="center"/>
          </w:tcPr>
          <w:p>
            <w:pPr>
              <w:rPr>
                <w:color w:val="000000"/>
                <w:highlight w:val="none"/>
              </w:rPr>
            </w:pPr>
            <w:r>
              <w:rPr>
                <w:color w:val="000000"/>
                <w:highlight w:val="none"/>
              </w:rPr>
              <w:t>品牌</w:t>
            </w:r>
          </w:p>
        </w:tc>
        <w:tc>
          <w:tcPr>
            <w:tcW w:w="3449" w:type="dxa"/>
            <w:shd w:val="clear" w:color="auto" w:fill="FFFFFF"/>
            <w:noWrap w:val="0"/>
            <w:vAlign w:val="center"/>
          </w:tcPr>
          <w:p>
            <w:pPr>
              <w:rPr>
                <w:color w:val="000000"/>
                <w:highlight w:val="none"/>
              </w:rPr>
            </w:pPr>
            <w:r>
              <w:rPr>
                <w:rFonts w:hint="eastAsia"/>
                <w:color w:val="000000"/>
                <w:highlight w:val="none"/>
              </w:rPr>
              <w:t>/</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rPr>
                <w:color w:val="000000"/>
                <w:highlight w:val="none"/>
              </w:rPr>
            </w:pPr>
            <w:r>
              <w:rPr>
                <w:color w:val="000000"/>
                <w:highlight w:val="none"/>
              </w:rPr>
              <w:t>2</w:t>
            </w:r>
          </w:p>
        </w:tc>
        <w:tc>
          <w:tcPr>
            <w:tcW w:w="2509" w:type="dxa"/>
            <w:shd w:val="clear" w:color="auto" w:fill="FFFFFF"/>
            <w:noWrap w:val="0"/>
            <w:vAlign w:val="center"/>
          </w:tcPr>
          <w:p>
            <w:pPr>
              <w:rPr>
                <w:color w:val="000000"/>
                <w:highlight w:val="none"/>
              </w:rPr>
            </w:pPr>
            <w:r>
              <w:rPr>
                <w:color w:val="000000"/>
                <w:highlight w:val="none"/>
              </w:rPr>
              <w:t>传动</w:t>
            </w:r>
            <w:r>
              <w:rPr>
                <w:rFonts w:hint="eastAsia"/>
                <w:color w:val="000000"/>
                <w:highlight w:val="none"/>
              </w:rPr>
              <w:t>类型</w:t>
            </w:r>
          </w:p>
        </w:tc>
        <w:tc>
          <w:tcPr>
            <w:tcW w:w="3449" w:type="dxa"/>
            <w:shd w:val="clear" w:color="auto" w:fill="FFFFFF"/>
            <w:noWrap w:val="0"/>
            <w:vAlign w:val="center"/>
          </w:tcPr>
          <w:p>
            <w:pPr>
              <w:rPr>
                <w:color w:val="000000"/>
                <w:highlight w:val="none"/>
              </w:rPr>
            </w:pPr>
            <w:r>
              <w:rPr>
                <w:rFonts w:hint="eastAsia"/>
                <w:color w:val="000000"/>
                <w:highlight w:val="none"/>
              </w:rPr>
              <w:t>齿轮</w:t>
            </w:r>
            <w:r>
              <w:rPr>
                <w:color w:val="000000"/>
                <w:highlight w:val="none"/>
              </w:rPr>
              <w:t>传动</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rPr>
                <w:color w:val="000000"/>
                <w:highlight w:val="none"/>
              </w:rPr>
            </w:pPr>
            <w:r>
              <w:rPr>
                <w:color w:val="000000"/>
                <w:highlight w:val="none"/>
              </w:rPr>
              <w:t>3</w:t>
            </w:r>
          </w:p>
        </w:tc>
        <w:tc>
          <w:tcPr>
            <w:tcW w:w="2509" w:type="dxa"/>
            <w:shd w:val="clear" w:color="auto" w:fill="FFFFFF"/>
            <w:noWrap w:val="0"/>
            <w:vAlign w:val="center"/>
          </w:tcPr>
          <w:p>
            <w:pPr>
              <w:rPr>
                <w:color w:val="000000"/>
                <w:highlight w:val="none"/>
              </w:rPr>
            </w:pPr>
            <w:r>
              <w:rPr>
                <w:color w:val="000000"/>
                <w:highlight w:val="none"/>
              </w:rPr>
              <w:t>轴承</w:t>
            </w:r>
          </w:p>
        </w:tc>
        <w:tc>
          <w:tcPr>
            <w:tcW w:w="3449" w:type="dxa"/>
            <w:shd w:val="clear" w:color="auto" w:fill="FFFFFF"/>
            <w:noWrap w:val="0"/>
            <w:vAlign w:val="center"/>
          </w:tcPr>
          <w:p>
            <w:pPr>
              <w:rPr>
                <w:color w:val="000000"/>
                <w:highlight w:val="none"/>
              </w:rPr>
            </w:pPr>
            <w:r>
              <w:rPr>
                <w:rFonts w:hint="eastAsia"/>
                <w:color w:val="000000"/>
                <w:highlight w:val="none"/>
              </w:rPr>
              <w:t>SKF、NSK、NTN</w:t>
            </w:r>
          </w:p>
        </w:tc>
        <w:tc>
          <w:tcPr>
            <w:tcW w:w="2038" w:type="dxa"/>
            <w:shd w:val="clear" w:color="auto" w:fill="FFFFFF"/>
            <w:noWrap w:val="0"/>
            <w:vAlign w:val="center"/>
          </w:tcPr>
          <w:p>
            <w:pPr>
              <w:rPr>
                <w:color w:val="000000"/>
                <w:highlight w:val="none"/>
              </w:rPr>
            </w:pPr>
          </w:p>
        </w:tc>
      </w:tr>
    </w:tbl>
    <w:p>
      <w:pPr>
        <w:ind w:firstLine="210" w:firstLineChars="100"/>
        <w:rPr>
          <w:highlight w:val="none"/>
        </w:rPr>
      </w:pPr>
      <w:r>
        <w:rPr>
          <w:highlight w:val="none"/>
        </w:rPr>
        <w:t>6.</w:t>
      </w:r>
      <w:r>
        <w:rPr>
          <w:rFonts w:hint="eastAsia"/>
          <w:highlight w:val="none"/>
        </w:rPr>
        <w:t>其它参数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2"/>
        <w:gridCol w:w="2509"/>
        <w:gridCol w:w="3449"/>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color w:val="000000"/>
                <w:highlight w:val="none"/>
              </w:rPr>
              <w:t>1</w:t>
            </w:r>
          </w:p>
        </w:tc>
        <w:tc>
          <w:tcPr>
            <w:tcW w:w="2509" w:type="dxa"/>
            <w:shd w:val="clear" w:color="auto" w:fill="FFFFFF"/>
            <w:noWrap w:val="0"/>
            <w:vAlign w:val="center"/>
          </w:tcPr>
          <w:p>
            <w:pPr>
              <w:rPr>
                <w:color w:val="000000"/>
                <w:highlight w:val="none"/>
              </w:rPr>
            </w:pPr>
            <w:r>
              <w:rPr>
                <w:color w:val="000000"/>
                <w:highlight w:val="none"/>
              </w:rPr>
              <w:t>塔体围护材料</w:t>
            </w:r>
          </w:p>
        </w:tc>
        <w:tc>
          <w:tcPr>
            <w:tcW w:w="3449" w:type="dxa"/>
            <w:shd w:val="clear" w:color="auto" w:fill="FFFFFF"/>
            <w:noWrap w:val="0"/>
            <w:vAlign w:val="center"/>
          </w:tcPr>
          <w:p>
            <w:pPr>
              <w:rPr>
                <w:color w:val="000000"/>
                <w:highlight w:val="none"/>
              </w:rPr>
            </w:pPr>
            <w:r>
              <w:rPr>
                <w:color w:val="000000"/>
                <w:highlight w:val="none"/>
              </w:rPr>
              <w:t>FRP</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rFonts w:hint="eastAsia"/>
                <w:color w:val="000000"/>
                <w:highlight w:val="none"/>
              </w:rPr>
              <w:t>2</w:t>
            </w:r>
          </w:p>
        </w:tc>
        <w:tc>
          <w:tcPr>
            <w:tcW w:w="2509" w:type="dxa"/>
            <w:shd w:val="clear" w:color="auto" w:fill="FFFFFF"/>
            <w:noWrap w:val="0"/>
            <w:vAlign w:val="center"/>
          </w:tcPr>
          <w:p>
            <w:pPr>
              <w:rPr>
                <w:color w:val="000000"/>
                <w:highlight w:val="none"/>
              </w:rPr>
            </w:pPr>
            <w:r>
              <w:rPr>
                <w:rFonts w:hint="eastAsia"/>
                <w:color w:val="000000"/>
                <w:highlight w:val="none"/>
              </w:rPr>
              <w:t>填料材质</w:t>
            </w:r>
          </w:p>
        </w:tc>
        <w:tc>
          <w:tcPr>
            <w:tcW w:w="3449" w:type="dxa"/>
            <w:shd w:val="clear" w:color="auto" w:fill="FFFFFF"/>
            <w:noWrap w:val="0"/>
            <w:vAlign w:val="center"/>
          </w:tcPr>
          <w:p>
            <w:pPr>
              <w:rPr>
                <w:color w:val="000000"/>
                <w:highlight w:val="none"/>
              </w:rPr>
            </w:pPr>
            <w:r>
              <w:rPr>
                <w:rFonts w:hint="eastAsia"/>
                <w:color w:val="000000"/>
                <w:highlight w:val="none"/>
              </w:rPr>
              <w:t>优质阻燃PVC</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rFonts w:hint="eastAsia"/>
                <w:color w:val="000000"/>
                <w:highlight w:val="none"/>
              </w:rPr>
              <w:t>3</w:t>
            </w:r>
          </w:p>
        </w:tc>
        <w:tc>
          <w:tcPr>
            <w:tcW w:w="2509" w:type="dxa"/>
            <w:shd w:val="clear" w:color="auto" w:fill="FFFFFF"/>
            <w:noWrap w:val="0"/>
            <w:vAlign w:val="center"/>
          </w:tcPr>
          <w:p>
            <w:pPr>
              <w:rPr>
                <w:color w:val="000000"/>
                <w:highlight w:val="none"/>
              </w:rPr>
            </w:pPr>
            <w:r>
              <w:rPr>
                <w:rFonts w:hint="eastAsia"/>
                <w:color w:val="000000"/>
                <w:highlight w:val="none"/>
              </w:rPr>
              <w:t>检修门材质</w:t>
            </w:r>
          </w:p>
        </w:tc>
        <w:tc>
          <w:tcPr>
            <w:tcW w:w="3449" w:type="dxa"/>
            <w:shd w:val="clear" w:color="auto" w:fill="FFFFFF"/>
            <w:noWrap w:val="0"/>
            <w:vAlign w:val="center"/>
          </w:tcPr>
          <w:p>
            <w:pPr>
              <w:rPr>
                <w:color w:val="000000"/>
                <w:highlight w:val="none"/>
              </w:rPr>
            </w:pPr>
            <w:r>
              <w:rPr>
                <w:color w:val="000000"/>
                <w:highlight w:val="none"/>
              </w:rPr>
              <w:t>FRP</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52" w:type="dxa"/>
            <w:shd w:val="clear" w:color="auto" w:fill="FFFFFF"/>
            <w:noWrap w:val="0"/>
            <w:vAlign w:val="center"/>
          </w:tcPr>
          <w:p>
            <w:pPr>
              <w:rPr>
                <w:color w:val="000000"/>
                <w:highlight w:val="none"/>
              </w:rPr>
            </w:pPr>
            <w:r>
              <w:rPr>
                <w:color w:val="000000"/>
                <w:highlight w:val="none"/>
              </w:rPr>
              <w:t>4</w:t>
            </w:r>
          </w:p>
        </w:tc>
        <w:tc>
          <w:tcPr>
            <w:tcW w:w="2509" w:type="dxa"/>
            <w:shd w:val="clear" w:color="auto" w:fill="FFFFFF"/>
            <w:noWrap w:val="0"/>
            <w:vAlign w:val="center"/>
          </w:tcPr>
          <w:p>
            <w:pPr>
              <w:rPr>
                <w:color w:val="000000"/>
                <w:highlight w:val="none"/>
              </w:rPr>
            </w:pPr>
            <w:r>
              <w:rPr>
                <w:color w:val="000000"/>
                <w:highlight w:val="none"/>
              </w:rPr>
              <w:t>塔体</w:t>
            </w:r>
            <w:r>
              <w:rPr>
                <w:rFonts w:hint="eastAsia"/>
                <w:color w:val="000000"/>
                <w:highlight w:val="none"/>
              </w:rPr>
              <w:t>框架</w:t>
            </w:r>
          </w:p>
        </w:tc>
        <w:tc>
          <w:tcPr>
            <w:tcW w:w="3449" w:type="dxa"/>
            <w:shd w:val="clear" w:color="auto" w:fill="FFFFFF"/>
            <w:noWrap w:val="0"/>
            <w:vAlign w:val="center"/>
          </w:tcPr>
          <w:p>
            <w:pPr>
              <w:rPr>
                <w:color w:val="000000"/>
                <w:highlight w:val="none"/>
              </w:rPr>
            </w:pPr>
            <w:r>
              <w:rPr>
                <w:rFonts w:hint="eastAsia"/>
                <w:color w:val="000000"/>
                <w:highlight w:val="none"/>
              </w:rPr>
              <w:t>Z700镀锌钢材质</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color w:val="000000"/>
                <w:highlight w:val="none"/>
              </w:rPr>
              <w:t>5</w:t>
            </w:r>
          </w:p>
        </w:tc>
        <w:tc>
          <w:tcPr>
            <w:tcW w:w="2509" w:type="dxa"/>
            <w:shd w:val="clear" w:color="auto" w:fill="FFFFFF"/>
            <w:noWrap w:val="0"/>
            <w:vAlign w:val="center"/>
          </w:tcPr>
          <w:p>
            <w:pPr>
              <w:rPr>
                <w:color w:val="000000"/>
                <w:highlight w:val="none"/>
              </w:rPr>
            </w:pPr>
            <w:r>
              <w:rPr>
                <w:color w:val="000000"/>
                <w:highlight w:val="none"/>
              </w:rPr>
              <w:t>螺栓螺母</w:t>
            </w:r>
          </w:p>
        </w:tc>
        <w:tc>
          <w:tcPr>
            <w:tcW w:w="3449" w:type="dxa"/>
            <w:shd w:val="clear" w:color="auto" w:fill="FFFFFF"/>
            <w:noWrap w:val="0"/>
            <w:vAlign w:val="center"/>
          </w:tcPr>
          <w:p>
            <w:pPr>
              <w:rPr>
                <w:color w:val="000000"/>
                <w:highlight w:val="none"/>
              </w:rPr>
            </w:pPr>
            <w:r>
              <w:rPr>
                <w:color w:val="000000"/>
                <w:highlight w:val="none"/>
              </w:rPr>
              <w:t>S304不锈钢</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color w:val="000000"/>
                <w:highlight w:val="none"/>
              </w:rPr>
              <w:t>6</w:t>
            </w:r>
          </w:p>
        </w:tc>
        <w:tc>
          <w:tcPr>
            <w:tcW w:w="2509" w:type="dxa"/>
            <w:shd w:val="clear" w:color="auto" w:fill="FFFFFF"/>
            <w:noWrap w:val="0"/>
            <w:vAlign w:val="center"/>
          </w:tcPr>
          <w:p>
            <w:pPr>
              <w:rPr>
                <w:color w:val="000000"/>
                <w:highlight w:val="none"/>
              </w:rPr>
            </w:pPr>
            <w:r>
              <w:rPr>
                <w:rFonts w:hint="eastAsia"/>
                <w:color w:val="000000"/>
                <w:highlight w:val="none"/>
              </w:rPr>
              <w:t>爬梯</w:t>
            </w:r>
          </w:p>
        </w:tc>
        <w:tc>
          <w:tcPr>
            <w:tcW w:w="3449" w:type="dxa"/>
            <w:shd w:val="clear" w:color="auto" w:fill="FFFFFF"/>
            <w:noWrap w:val="0"/>
            <w:vAlign w:val="center"/>
          </w:tcPr>
          <w:p>
            <w:pPr>
              <w:rPr>
                <w:color w:val="000000"/>
                <w:highlight w:val="none"/>
              </w:rPr>
            </w:pPr>
            <w:r>
              <w:rPr>
                <w:rFonts w:hint="eastAsia"/>
                <w:color w:val="000000"/>
                <w:highlight w:val="none"/>
              </w:rPr>
              <w:t>镀锌钢材质</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color w:val="000000"/>
                <w:highlight w:val="none"/>
              </w:rPr>
              <w:t>7</w:t>
            </w:r>
          </w:p>
        </w:tc>
        <w:tc>
          <w:tcPr>
            <w:tcW w:w="2509" w:type="dxa"/>
            <w:shd w:val="clear" w:color="auto" w:fill="FFFFFF"/>
            <w:noWrap w:val="0"/>
            <w:vAlign w:val="center"/>
          </w:tcPr>
          <w:p>
            <w:pPr>
              <w:rPr>
                <w:color w:val="000000"/>
                <w:highlight w:val="none"/>
              </w:rPr>
            </w:pPr>
            <w:r>
              <w:rPr>
                <w:rFonts w:hint="eastAsia"/>
                <w:color w:val="000000"/>
                <w:highlight w:val="none"/>
              </w:rPr>
              <w:t>塔顶护栏</w:t>
            </w:r>
          </w:p>
        </w:tc>
        <w:tc>
          <w:tcPr>
            <w:tcW w:w="3449" w:type="dxa"/>
            <w:shd w:val="clear" w:color="auto" w:fill="FFFFFF"/>
            <w:noWrap w:val="0"/>
            <w:vAlign w:val="center"/>
          </w:tcPr>
          <w:p>
            <w:pPr>
              <w:rPr>
                <w:color w:val="000000"/>
                <w:highlight w:val="none"/>
              </w:rPr>
            </w:pPr>
            <w:r>
              <w:rPr>
                <w:rFonts w:hint="eastAsia"/>
                <w:color w:val="000000"/>
                <w:highlight w:val="none"/>
              </w:rPr>
              <w:t>Z700镀锌钢材质，高度≥1.2米</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752" w:type="dxa"/>
            <w:shd w:val="clear" w:color="auto" w:fill="FFFFFF"/>
            <w:noWrap w:val="0"/>
            <w:vAlign w:val="center"/>
          </w:tcPr>
          <w:p>
            <w:pPr>
              <w:rPr>
                <w:color w:val="000000"/>
                <w:highlight w:val="none"/>
              </w:rPr>
            </w:pPr>
            <w:r>
              <w:rPr>
                <w:rFonts w:hint="eastAsia"/>
                <w:color w:val="000000"/>
                <w:highlight w:val="none"/>
              </w:rPr>
              <w:t>8</w:t>
            </w:r>
          </w:p>
        </w:tc>
        <w:tc>
          <w:tcPr>
            <w:tcW w:w="2509" w:type="dxa"/>
            <w:shd w:val="clear" w:color="auto" w:fill="FFFFFF"/>
            <w:noWrap w:val="0"/>
            <w:vAlign w:val="center"/>
          </w:tcPr>
          <w:p>
            <w:pPr>
              <w:rPr>
                <w:color w:val="000000"/>
                <w:highlight w:val="none"/>
              </w:rPr>
            </w:pPr>
            <w:r>
              <w:rPr>
                <w:rFonts w:hint="eastAsia"/>
                <w:color w:val="000000"/>
                <w:highlight w:val="none"/>
              </w:rPr>
              <w:t>风筒高度</w:t>
            </w:r>
          </w:p>
        </w:tc>
        <w:tc>
          <w:tcPr>
            <w:tcW w:w="3449" w:type="dxa"/>
            <w:shd w:val="clear" w:color="auto" w:fill="FFFFFF"/>
            <w:noWrap w:val="0"/>
            <w:vAlign w:val="center"/>
          </w:tcPr>
          <w:p>
            <w:pPr>
              <w:rPr>
                <w:color w:val="000000"/>
                <w:highlight w:val="none"/>
              </w:rPr>
            </w:pPr>
            <w:r>
              <w:rPr>
                <w:rFonts w:hint="eastAsia"/>
                <w:color w:val="000000"/>
                <w:highlight w:val="none"/>
              </w:rPr>
              <w:t>≥</w:t>
            </w:r>
            <w:r>
              <w:rPr>
                <w:color w:val="000000"/>
                <w:highlight w:val="none"/>
              </w:rPr>
              <w:t>600</w:t>
            </w:r>
            <w:r>
              <w:rPr>
                <w:rFonts w:hint="eastAsia"/>
                <w:color w:val="000000"/>
                <w:highlight w:val="none"/>
              </w:rPr>
              <w:t>mm</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752" w:type="dxa"/>
            <w:shd w:val="clear" w:color="auto" w:fill="FFFFFF"/>
            <w:noWrap w:val="0"/>
            <w:vAlign w:val="center"/>
          </w:tcPr>
          <w:p>
            <w:pPr>
              <w:rPr>
                <w:color w:val="000000"/>
                <w:highlight w:val="none"/>
              </w:rPr>
            </w:pPr>
            <w:r>
              <w:rPr>
                <w:color w:val="000000"/>
                <w:highlight w:val="none"/>
              </w:rPr>
              <w:t>9</w:t>
            </w:r>
          </w:p>
        </w:tc>
        <w:tc>
          <w:tcPr>
            <w:tcW w:w="2509" w:type="dxa"/>
            <w:shd w:val="clear" w:color="auto" w:fill="FFFFFF"/>
            <w:noWrap w:val="0"/>
            <w:vAlign w:val="center"/>
          </w:tcPr>
          <w:p>
            <w:pPr>
              <w:rPr>
                <w:color w:val="000000"/>
                <w:highlight w:val="none"/>
              </w:rPr>
            </w:pPr>
            <w:r>
              <w:rPr>
                <w:color w:val="000000"/>
                <w:highlight w:val="none"/>
              </w:rPr>
              <w:t>设备防火性能</w:t>
            </w:r>
          </w:p>
        </w:tc>
        <w:tc>
          <w:tcPr>
            <w:tcW w:w="3449" w:type="dxa"/>
            <w:shd w:val="clear" w:color="auto" w:fill="FFFFFF"/>
            <w:noWrap w:val="0"/>
            <w:vAlign w:val="center"/>
          </w:tcPr>
          <w:p>
            <w:pPr>
              <w:rPr>
                <w:color w:val="000000"/>
                <w:highlight w:val="none"/>
              </w:rPr>
            </w:pPr>
            <w:r>
              <w:rPr>
                <w:color w:val="000000"/>
                <w:highlight w:val="none"/>
              </w:rPr>
              <w:t>填料片的氧指数</w:t>
            </w:r>
            <w:r>
              <w:rPr>
                <w:rFonts w:hint="eastAsia"/>
                <w:color w:val="000000"/>
                <w:highlight w:val="none"/>
              </w:rPr>
              <w:t>≥4</w:t>
            </w:r>
            <w:r>
              <w:rPr>
                <w:color w:val="000000"/>
                <w:highlight w:val="none"/>
              </w:rPr>
              <w:t>1</w:t>
            </w:r>
          </w:p>
          <w:p>
            <w:pPr>
              <w:rPr>
                <w:color w:val="000000"/>
                <w:highlight w:val="none"/>
              </w:rPr>
            </w:pPr>
            <w:r>
              <w:rPr>
                <w:color w:val="000000"/>
                <w:highlight w:val="none"/>
              </w:rPr>
              <w:t>玻璃钢板的氧指数≥32</w:t>
            </w: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color w:val="000000"/>
                <w:highlight w:val="none"/>
              </w:rPr>
              <w:t>10</w:t>
            </w:r>
          </w:p>
        </w:tc>
        <w:tc>
          <w:tcPr>
            <w:tcW w:w="2509" w:type="dxa"/>
            <w:shd w:val="clear" w:color="auto" w:fill="FFFFFF"/>
            <w:noWrap w:val="0"/>
            <w:vAlign w:val="center"/>
          </w:tcPr>
          <w:p>
            <w:pPr>
              <w:rPr>
                <w:color w:val="000000"/>
                <w:highlight w:val="none"/>
              </w:rPr>
            </w:pPr>
            <w:r>
              <w:rPr>
                <w:color w:val="000000"/>
                <w:highlight w:val="none"/>
              </w:rPr>
              <w:t>专利部件</w:t>
            </w:r>
          </w:p>
        </w:tc>
        <w:tc>
          <w:tcPr>
            <w:tcW w:w="3449" w:type="dxa"/>
            <w:shd w:val="clear" w:color="auto" w:fill="FFFFFF"/>
            <w:noWrap w:val="0"/>
            <w:vAlign w:val="center"/>
          </w:tcPr>
          <w:p>
            <w:pPr>
              <w:rPr>
                <w:color w:val="000000"/>
                <w:highlight w:val="none"/>
              </w:rPr>
            </w:pPr>
          </w:p>
        </w:tc>
        <w:tc>
          <w:tcPr>
            <w:tcW w:w="2038" w:type="dxa"/>
            <w:shd w:val="clear" w:color="auto" w:fill="FFFFFF"/>
            <w:noWrap w:val="0"/>
            <w:vAlign w:val="center"/>
          </w:tcPr>
          <w:p>
            <w:pPr>
              <w:rPr>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shd w:val="clear" w:color="auto" w:fill="FFFFFF"/>
            <w:noWrap w:val="0"/>
            <w:vAlign w:val="center"/>
          </w:tcPr>
          <w:p>
            <w:pPr>
              <w:rPr>
                <w:color w:val="000000"/>
                <w:highlight w:val="none"/>
              </w:rPr>
            </w:pPr>
            <w:r>
              <w:rPr>
                <w:rFonts w:hint="eastAsia"/>
                <w:color w:val="000000"/>
                <w:highlight w:val="none"/>
              </w:rPr>
              <w:t>1</w:t>
            </w:r>
            <w:r>
              <w:rPr>
                <w:color w:val="000000"/>
                <w:highlight w:val="none"/>
              </w:rPr>
              <w:t>1</w:t>
            </w:r>
          </w:p>
        </w:tc>
        <w:tc>
          <w:tcPr>
            <w:tcW w:w="2509" w:type="dxa"/>
            <w:shd w:val="clear" w:color="auto" w:fill="FFFFFF"/>
            <w:noWrap w:val="0"/>
            <w:vAlign w:val="center"/>
          </w:tcPr>
          <w:p>
            <w:pPr>
              <w:rPr>
                <w:color w:val="000000"/>
                <w:highlight w:val="none"/>
              </w:rPr>
            </w:pPr>
            <w:r>
              <w:rPr>
                <w:rFonts w:hint="eastAsia"/>
                <w:color w:val="000000"/>
                <w:highlight w:val="none"/>
              </w:rPr>
              <w:t>检验检测</w:t>
            </w:r>
          </w:p>
        </w:tc>
        <w:tc>
          <w:tcPr>
            <w:tcW w:w="3449" w:type="dxa"/>
            <w:shd w:val="clear" w:color="auto" w:fill="FFFFFF"/>
            <w:noWrap w:val="0"/>
            <w:vAlign w:val="center"/>
          </w:tcPr>
          <w:p>
            <w:pPr>
              <w:rPr>
                <w:color w:val="000000"/>
                <w:highlight w:val="none"/>
              </w:rPr>
            </w:pPr>
            <w:r>
              <w:rPr>
                <w:rFonts w:hint="eastAsia"/>
                <w:color w:val="000000"/>
                <w:highlight w:val="none"/>
              </w:rPr>
              <w:t>通过GB/T7190.1-2018检测</w:t>
            </w:r>
          </w:p>
        </w:tc>
        <w:tc>
          <w:tcPr>
            <w:tcW w:w="2038" w:type="dxa"/>
            <w:shd w:val="clear" w:color="auto" w:fill="FFFFFF"/>
            <w:noWrap w:val="0"/>
            <w:vAlign w:val="center"/>
          </w:tcPr>
          <w:p>
            <w:pPr>
              <w:rPr>
                <w:color w:val="000000"/>
                <w:highlight w:val="none"/>
              </w:rPr>
            </w:pPr>
            <w:r>
              <w:rPr>
                <w:rFonts w:hint="eastAsia"/>
                <w:color w:val="000000"/>
                <w:highlight w:val="none"/>
              </w:rPr>
              <w:t>提供检测报告</w:t>
            </w:r>
          </w:p>
        </w:tc>
      </w:tr>
    </w:tbl>
    <w:p>
      <w:pPr>
        <w:rPr>
          <w:highlight w:val="none"/>
        </w:rPr>
      </w:pPr>
    </w:p>
    <w:p>
      <w:pPr>
        <w:pStyle w:val="23"/>
        <w:rPr>
          <w:rFonts w:ascii="宋体" w:hAnsi="宋体"/>
          <w:b/>
          <w:sz w:val="32"/>
          <w:szCs w:val="32"/>
          <w:highlight w:val="none"/>
        </w:rPr>
      </w:pPr>
      <w:bookmarkStart w:id="225" w:name="_Toc14329"/>
      <w:bookmarkStart w:id="226" w:name="_Toc21778"/>
      <w:r>
        <w:rPr>
          <w:rFonts w:hint="eastAsia" w:ascii="宋体" w:hAnsi="宋体"/>
          <w:b/>
          <w:sz w:val="32"/>
          <w:szCs w:val="32"/>
          <w:highlight w:val="none"/>
        </w:rPr>
        <w:t>三、设备技术要求</w:t>
      </w:r>
      <w:bookmarkEnd w:id="225"/>
      <w:bookmarkEnd w:id="226"/>
    </w:p>
    <w:p>
      <w:pPr>
        <w:keepNext/>
        <w:keepLines/>
        <w:outlineLvl w:val="2"/>
        <w:rPr>
          <w:b/>
          <w:bCs/>
          <w:sz w:val="28"/>
          <w:szCs w:val="32"/>
          <w:highlight w:val="none"/>
        </w:rPr>
      </w:pPr>
      <w:bookmarkStart w:id="227" w:name="_Toc8408"/>
      <w:bookmarkStart w:id="228" w:name="_Toc10695"/>
      <w:r>
        <w:rPr>
          <w:rFonts w:hint="eastAsia"/>
          <w:b/>
          <w:bCs/>
          <w:sz w:val="28"/>
          <w:szCs w:val="32"/>
          <w:highlight w:val="none"/>
        </w:rPr>
        <w:t>3.1 冷水机技术要求</w:t>
      </w:r>
      <w:bookmarkEnd w:id="227"/>
      <w:bookmarkEnd w:id="228"/>
    </w:p>
    <w:p>
      <w:pPr>
        <w:rPr>
          <w:rFonts w:ascii="宋体" w:hAnsi="宋体" w:cs="宋体"/>
          <w:sz w:val="28"/>
          <w:szCs w:val="28"/>
          <w:highlight w:val="none"/>
        </w:rPr>
      </w:pPr>
      <w:r>
        <w:rPr>
          <w:rFonts w:hint="eastAsia" w:ascii="宋体" w:hAnsi="宋体" w:cs="宋体"/>
          <w:sz w:val="28"/>
          <w:szCs w:val="28"/>
          <w:highlight w:val="none"/>
        </w:rPr>
        <w:t>3.1.1.整体要求</w:t>
      </w:r>
    </w:p>
    <w:p>
      <w:pPr>
        <w:widowControl/>
        <w:ind w:left="53" w:leftChars="25"/>
        <w:jc w:val="left"/>
        <w:rPr>
          <w:rFonts w:ascii="宋体" w:hAnsi="宋体" w:cs="宋体"/>
          <w:szCs w:val="24"/>
          <w:highlight w:val="none"/>
        </w:rPr>
      </w:pPr>
      <w:r>
        <w:rPr>
          <w:rFonts w:hint="eastAsia" w:ascii="宋体" w:hAnsi="宋体" w:cs="宋体"/>
          <w:szCs w:val="24"/>
          <w:highlight w:val="none"/>
        </w:rPr>
        <w:t>3.1.1.1 整机正常使用寿命不低于25年，机身为全钢板焊接桶形结构，各大部件应失效处理以消除内应力。拉紧螺栓采用预紧，由供应商安装时自备，要求拉紧螺栓对角同时预紧。机身所有材料的性能应符合国家标准。</w:t>
      </w:r>
    </w:p>
    <w:p>
      <w:pPr>
        <w:widowControl/>
        <w:ind w:left="53" w:leftChars="25"/>
        <w:jc w:val="left"/>
        <w:rPr>
          <w:rFonts w:ascii="宋体" w:hAnsi="宋体" w:cs="宋体"/>
          <w:szCs w:val="24"/>
          <w:highlight w:val="none"/>
        </w:rPr>
      </w:pPr>
      <w:r>
        <w:rPr>
          <w:rFonts w:hint="eastAsia" w:ascii="宋体" w:hAnsi="宋体" w:cs="宋体"/>
          <w:szCs w:val="24"/>
          <w:highlight w:val="none"/>
        </w:rPr>
        <w:t>3.1.1.2 冷水机组的电机、压缩机、冷凝器和蒸发器根据自身的情况合理进行布局。</w:t>
      </w:r>
    </w:p>
    <w:p>
      <w:pPr>
        <w:widowControl/>
        <w:ind w:left="53" w:leftChars="25"/>
        <w:jc w:val="left"/>
        <w:rPr>
          <w:rFonts w:ascii="宋体" w:hAnsi="宋体" w:cs="宋体"/>
          <w:szCs w:val="24"/>
          <w:highlight w:val="none"/>
        </w:rPr>
      </w:pPr>
      <w:r>
        <w:rPr>
          <w:rFonts w:hint="eastAsia" w:ascii="宋体" w:hAnsi="宋体" w:cs="宋体"/>
          <w:szCs w:val="24"/>
          <w:highlight w:val="none"/>
        </w:rPr>
        <w:t>3.1.1.3 冷水机组操作面板安装位置明显，便于操作人员进行操作。操作面板方向需根据现场机组布置进行确定；</w:t>
      </w:r>
    </w:p>
    <w:p>
      <w:pPr>
        <w:widowControl/>
        <w:ind w:left="53" w:leftChars="25"/>
        <w:jc w:val="left"/>
        <w:rPr>
          <w:rFonts w:ascii="宋体" w:hAnsi="宋体" w:cs="宋体"/>
          <w:szCs w:val="24"/>
          <w:highlight w:val="none"/>
        </w:rPr>
      </w:pPr>
      <w:r>
        <w:rPr>
          <w:rFonts w:hint="eastAsia" w:ascii="宋体" w:hAnsi="宋体" w:cs="宋体"/>
          <w:szCs w:val="24"/>
          <w:highlight w:val="none"/>
        </w:rPr>
        <w:t>3.1.1.4 机组制冷量：制冷机组在设计工况下，无冷量负偏差,并正偏差＜5%）。</w:t>
      </w:r>
    </w:p>
    <w:p>
      <w:pPr>
        <w:widowControl/>
        <w:ind w:left="53" w:leftChars="25"/>
        <w:jc w:val="left"/>
        <w:rPr>
          <w:rFonts w:ascii="宋体" w:hAnsi="宋体" w:cs="宋体"/>
          <w:szCs w:val="24"/>
          <w:highlight w:val="none"/>
        </w:rPr>
      </w:pPr>
      <w:r>
        <w:rPr>
          <w:rFonts w:hint="eastAsia" w:ascii="宋体" w:hAnsi="宋体" w:cs="宋体"/>
          <w:szCs w:val="24"/>
          <w:highlight w:val="none"/>
        </w:rPr>
        <w:t>3.1.1.5投标机组国标工况下能效等级达到1级及以上，提供可供现场选型核实的AHRI电脑选型报告、产品样本，与能效标识网查询结果的截图进行数据验证。</w:t>
      </w:r>
    </w:p>
    <w:p>
      <w:pPr>
        <w:widowControl/>
        <w:ind w:left="53" w:leftChars="25"/>
        <w:jc w:val="left"/>
        <w:rPr>
          <w:rFonts w:ascii="宋体" w:hAnsi="宋体" w:cs="宋体"/>
          <w:szCs w:val="24"/>
          <w:highlight w:val="none"/>
        </w:rPr>
      </w:pPr>
      <w:r>
        <w:rPr>
          <w:rFonts w:hint="eastAsia" w:ascii="宋体" w:hAnsi="宋体" w:cs="宋体"/>
          <w:szCs w:val="24"/>
          <w:highlight w:val="none"/>
        </w:rPr>
        <w:t>3.1.1.6所有设备都应在设备制造商工厂装配、接线、调试合格后，随同所有的启动装置、控制器、安全装置等一同运输至现场。</w:t>
      </w:r>
    </w:p>
    <w:p>
      <w:pPr>
        <w:widowControl/>
        <w:ind w:left="53" w:leftChars="25"/>
        <w:jc w:val="left"/>
        <w:rPr>
          <w:rFonts w:ascii="宋体" w:hAnsi="宋体" w:cs="宋体"/>
          <w:szCs w:val="24"/>
          <w:highlight w:val="none"/>
        </w:rPr>
      </w:pPr>
      <w:r>
        <w:rPr>
          <w:rFonts w:hint="eastAsia" w:ascii="宋体" w:hAnsi="宋体" w:cs="宋体"/>
          <w:szCs w:val="24"/>
          <w:highlight w:val="none"/>
        </w:rPr>
        <w:t>3.1.1.7机组配置独立经济器，采用补气增焓技术提高机组能效。</w:t>
      </w:r>
    </w:p>
    <w:p>
      <w:pPr>
        <w:widowControl/>
        <w:ind w:left="53" w:leftChars="25"/>
        <w:jc w:val="left"/>
        <w:rPr>
          <w:rFonts w:ascii="宋体" w:hAnsi="宋体" w:cs="宋体"/>
          <w:szCs w:val="24"/>
          <w:highlight w:val="none"/>
        </w:rPr>
      </w:pPr>
    </w:p>
    <w:p>
      <w:pPr>
        <w:rPr>
          <w:rFonts w:ascii="宋体" w:hAnsi="宋体" w:cs="宋体"/>
          <w:szCs w:val="24"/>
          <w:highlight w:val="none"/>
        </w:rPr>
      </w:pPr>
      <w:r>
        <w:rPr>
          <w:rFonts w:hint="eastAsia" w:ascii="宋体" w:hAnsi="宋体" w:cs="宋体"/>
          <w:szCs w:val="24"/>
          <w:highlight w:val="none"/>
        </w:rPr>
        <w:t>3.1.2.压缩机部分</w:t>
      </w:r>
    </w:p>
    <w:p>
      <w:pPr>
        <w:widowControl/>
        <w:ind w:left="53" w:leftChars="25"/>
        <w:jc w:val="left"/>
        <w:rPr>
          <w:rFonts w:ascii="宋体" w:hAnsi="宋体" w:cs="宋体"/>
          <w:szCs w:val="24"/>
          <w:highlight w:val="none"/>
        </w:rPr>
      </w:pPr>
      <w:r>
        <w:rPr>
          <w:rFonts w:hint="eastAsia" w:ascii="宋体" w:hAnsi="宋体" w:cs="宋体"/>
          <w:szCs w:val="24"/>
          <w:highlight w:val="none"/>
        </w:rPr>
        <w:t>3.1.2.1压缩机和主机为同一品牌厂家生产，以保证机组稳定性和售后维护及时性。</w:t>
      </w:r>
    </w:p>
    <w:p>
      <w:pPr>
        <w:widowControl/>
        <w:ind w:left="53" w:leftChars="25"/>
        <w:jc w:val="left"/>
        <w:rPr>
          <w:rFonts w:ascii="宋体" w:hAnsi="宋体" w:cs="宋体"/>
          <w:szCs w:val="24"/>
          <w:highlight w:val="none"/>
        </w:rPr>
      </w:pPr>
      <w:r>
        <w:rPr>
          <w:rFonts w:hint="eastAsia" w:ascii="宋体" w:hAnsi="宋体" w:cs="宋体"/>
          <w:szCs w:val="24"/>
          <w:highlight w:val="none"/>
        </w:rPr>
        <w:t>3.1.2.2机组上所有轴承选用SKF、NSK或原厂标配品牌；轴承正常使用寿命可达20年以上，而不需维修或更换。</w:t>
      </w:r>
    </w:p>
    <w:p>
      <w:pPr>
        <w:widowControl/>
        <w:ind w:left="53" w:leftChars="25"/>
        <w:jc w:val="left"/>
        <w:rPr>
          <w:rFonts w:ascii="宋体" w:hAnsi="宋体" w:cs="宋体"/>
          <w:szCs w:val="24"/>
          <w:highlight w:val="none"/>
        </w:rPr>
      </w:pPr>
      <w:r>
        <w:rPr>
          <w:rFonts w:hint="eastAsia" w:ascii="宋体" w:hAnsi="宋体" w:cs="宋体"/>
          <w:szCs w:val="24"/>
          <w:highlight w:val="none"/>
        </w:rPr>
        <w:t>3.1.2.3离压缩机叶轮为封闭式叶轮，经动、静平衡试验和超速试验，试验要记结果应满足GB/T3355规定。叶轮、齿轮及轴承应采用优质材料，需注明材料、生产地、合格证等，并具有良好的密封措施，以保证压缩机制冷剂不泄漏。</w:t>
      </w:r>
    </w:p>
    <w:p>
      <w:pPr>
        <w:widowControl/>
        <w:ind w:left="53" w:leftChars="25"/>
        <w:jc w:val="left"/>
        <w:rPr>
          <w:rFonts w:ascii="宋体" w:hAnsi="宋体" w:cs="宋体"/>
          <w:szCs w:val="24"/>
          <w:highlight w:val="none"/>
        </w:rPr>
      </w:pPr>
      <w:r>
        <w:rPr>
          <w:rFonts w:hint="eastAsia" w:ascii="宋体" w:hAnsi="宋体" w:cs="宋体"/>
          <w:szCs w:val="24"/>
          <w:highlight w:val="none"/>
        </w:rPr>
        <w:t>3.1.2.4 润滑系统：应采用高性能压缩机，其中离心式压缩机必须配备紧急供油系统，以保证电源出现故障机器逐渐停止运转时压缩机的轴承，齿轮等部件得到充分润滑。并提供润滑系统图。</w:t>
      </w:r>
    </w:p>
    <w:p>
      <w:pPr>
        <w:rPr>
          <w:rFonts w:ascii="宋体" w:hAnsi="宋体" w:cs="宋体"/>
          <w:szCs w:val="24"/>
          <w:highlight w:val="none"/>
        </w:rPr>
      </w:pPr>
      <w:r>
        <w:rPr>
          <w:rFonts w:hint="eastAsia" w:ascii="宋体" w:hAnsi="宋体" w:cs="宋体"/>
          <w:szCs w:val="24"/>
          <w:highlight w:val="none"/>
        </w:rPr>
        <w:t>3.1.3.蒸发器及冷凝器部分</w:t>
      </w:r>
    </w:p>
    <w:p>
      <w:pPr>
        <w:widowControl/>
        <w:ind w:left="53" w:leftChars="25"/>
        <w:jc w:val="left"/>
        <w:rPr>
          <w:rFonts w:ascii="宋体" w:hAnsi="宋体" w:cs="宋体"/>
          <w:szCs w:val="24"/>
          <w:highlight w:val="none"/>
        </w:rPr>
      </w:pPr>
      <w:r>
        <w:rPr>
          <w:rFonts w:hint="eastAsia" w:ascii="宋体" w:hAnsi="宋体" w:cs="宋体"/>
          <w:szCs w:val="24"/>
          <w:highlight w:val="none"/>
        </w:rPr>
        <w:t>3.1.3.1蒸发器与冷凝器必须符合中华人民共和国压力容器相应规范并获得中华人民共和国压力容器制造许可证，经过气压强度试验和氦质谱泄漏试验，确保换热器的强度和密封性。</w:t>
      </w:r>
    </w:p>
    <w:p>
      <w:pPr>
        <w:widowControl/>
        <w:ind w:left="53" w:leftChars="25"/>
        <w:jc w:val="left"/>
        <w:rPr>
          <w:rFonts w:ascii="宋体" w:hAnsi="宋体" w:cs="宋体"/>
          <w:szCs w:val="24"/>
          <w:highlight w:val="none"/>
        </w:rPr>
      </w:pPr>
      <w:r>
        <w:rPr>
          <w:rFonts w:hint="eastAsia" w:ascii="宋体" w:hAnsi="宋体" w:cs="宋体"/>
          <w:szCs w:val="24"/>
          <w:highlight w:val="none"/>
        </w:rPr>
        <w:t>3.1.3.2蒸发器、冷凝器结构形式应为壳管式换热器，所有机组的接管方向一致。其外壳采用碳钢制造，进出水管方位可根据业主要求更改。管材均采用铜管，铜管用机械胀管法固定在管板上。</w:t>
      </w:r>
    </w:p>
    <w:p>
      <w:pPr>
        <w:widowControl/>
        <w:ind w:left="53" w:leftChars="25"/>
        <w:jc w:val="left"/>
        <w:rPr>
          <w:rFonts w:ascii="宋体" w:hAnsi="宋体" w:cs="宋体"/>
          <w:szCs w:val="24"/>
          <w:highlight w:val="none"/>
        </w:rPr>
      </w:pPr>
      <w:r>
        <w:rPr>
          <w:rFonts w:hint="eastAsia" w:ascii="宋体" w:hAnsi="宋体" w:cs="宋体"/>
          <w:szCs w:val="24"/>
          <w:highlight w:val="none"/>
        </w:rPr>
        <w:t>3.1.3.3蒸发器和冷凝器，各成一体，换热管应高效，整体内外强化，同时，管子应能便利更换，不影响管板的强度和寿命，并不造成邻管的泄露。</w:t>
      </w:r>
    </w:p>
    <w:p>
      <w:pPr>
        <w:widowControl/>
        <w:ind w:left="53" w:leftChars="25"/>
        <w:jc w:val="left"/>
        <w:rPr>
          <w:rFonts w:ascii="宋体" w:hAnsi="宋体" w:cs="宋体"/>
          <w:szCs w:val="24"/>
          <w:highlight w:val="none"/>
        </w:rPr>
      </w:pPr>
      <w:r>
        <w:rPr>
          <w:rFonts w:hint="eastAsia" w:ascii="宋体" w:hAnsi="宋体" w:cs="宋体"/>
          <w:szCs w:val="24"/>
          <w:highlight w:val="none"/>
        </w:rPr>
        <w:t>3.1.3.4在只拆卸一端水箱的情况下就可以对所有铜管单独进行维护（如清洗、探伤或更换等）。</w:t>
      </w:r>
    </w:p>
    <w:p>
      <w:pPr>
        <w:widowControl/>
        <w:ind w:left="53" w:leftChars="25"/>
        <w:jc w:val="left"/>
        <w:rPr>
          <w:rFonts w:ascii="宋体" w:hAnsi="宋体" w:cs="宋体"/>
          <w:szCs w:val="24"/>
          <w:highlight w:val="none"/>
        </w:rPr>
      </w:pPr>
      <w:r>
        <w:rPr>
          <w:rFonts w:hint="eastAsia" w:ascii="宋体" w:hAnsi="宋体" w:cs="宋体"/>
          <w:szCs w:val="24"/>
          <w:highlight w:val="none"/>
        </w:rPr>
        <w:t>3.1.3.5多机头机组冷凝器的管程设计应避免接头，保证冷凝器自动在线清洗装置的胶球顺利走完冷凝器全管程，不卡球。</w:t>
      </w:r>
    </w:p>
    <w:p>
      <w:pPr>
        <w:widowControl/>
        <w:ind w:left="53" w:leftChars="25"/>
        <w:jc w:val="left"/>
        <w:rPr>
          <w:rFonts w:ascii="宋体" w:hAnsi="宋体" w:cs="宋体"/>
          <w:szCs w:val="24"/>
          <w:highlight w:val="none"/>
        </w:rPr>
      </w:pPr>
      <w:r>
        <w:rPr>
          <w:rFonts w:hint="eastAsia" w:ascii="宋体" w:hAnsi="宋体" w:cs="宋体"/>
          <w:szCs w:val="24"/>
          <w:highlight w:val="none"/>
        </w:rPr>
        <w:t>3.1.3.6冷水机组的冷表面应有不小于19mm厚的隔热层，以防结露。</w:t>
      </w:r>
    </w:p>
    <w:p>
      <w:pPr>
        <w:widowControl/>
        <w:ind w:left="53" w:leftChars="25"/>
        <w:jc w:val="left"/>
        <w:rPr>
          <w:rFonts w:ascii="宋体" w:hAnsi="宋体" w:cs="宋体"/>
          <w:szCs w:val="24"/>
          <w:highlight w:val="none"/>
        </w:rPr>
      </w:pPr>
      <w:r>
        <w:rPr>
          <w:rFonts w:hint="eastAsia" w:ascii="宋体" w:hAnsi="宋体" w:cs="宋体"/>
          <w:szCs w:val="24"/>
          <w:highlight w:val="none"/>
        </w:rPr>
        <w:t xml:space="preserve">3.1.3.7要求冷冻水、冷却水管为法兰接口。 </w:t>
      </w:r>
    </w:p>
    <w:p>
      <w:pPr>
        <w:widowControl/>
        <w:ind w:left="53" w:leftChars="25"/>
        <w:jc w:val="left"/>
        <w:rPr>
          <w:rFonts w:ascii="宋体" w:hAnsi="宋体" w:cs="宋体"/>
          <w:szCs w:val="24"/>
          <w:highlight w:val="none"/>
        </w:rPr>
      </w:pPr>
      <w:r>
        <w:rPr>
          <w:rFonts w:hint="eastAsia" w:ascii="宋体" w:hAnsi="宋体" w:cs="宋体"/>
          <w:szCs w:val="24"/>
          <w:highlight w:val="none"/>
        </w:rPr>
        <w:t>3.1.3.8蒸发器要求设有液位视镜和制冷剂充注阀。</w:t>
      </w:r>
    </w:p>
    <w:p>
      <w:pPr>
        <w:widowControl/>
        <w:ind w:left="53" w:leftChars="25"/>
        <w:jc w:val="left"/>
        <w:rPr>
          <w:rFonts w:ascii="宋体" w:hAnsi="宋体" w:cs="宋体"/>
          <w:szCs w:val="24"/>
          <w:highlight w:val="none"/>
        </w:rPr>
      </w:pPr>
      <w:r>
        <w:rPr>
          <w:rFonts w:hint="eastAsia" w:ascii="宋体" w:hAnsi="宋体" w:cs="宋体"/>
          <w:szCs w:val="24"/>
          <w:highlight w:val="none"/>
        </w:rPr>
        <w:t>3.1.3.9蒸发器为满液式或降膜式，应配置挡液板或吸气挡板以避免压缩机吸气带液运行。应提供纸质样本文件进行说明并加盖公章。</w:t>
      </w:r>
    </w:p>
    <w:p>
      <w:pPr>
        <w:widowControl/>
        <w:ind w:left="53" w:leftChars="25"/>
        <w:jc w:val="left"/>
        <w:rPr>
          <w:rFonts w:ascii="宋体" w:hAnsi="宋体" w:cs="宋体"/>
          <w:szCs w:val="24"/>
          <w:highlight w:val="none"/>
        </w:rPr>
      </w:pPr>
      <w:r>
        <w:rPr>
          <w:rFonts w:hint="eastAsia" w:ascii="宋体" w:hAnsi="宋体" w:cs="宋体"/>
          <w:szCs w:val="24"/>
          <w:highlight w:val="none"/>
        </w:rPr>
        <w:t>3.1.3.10 蒸发器的冷水出水温度能自动调节，且控制精度为±0.1℃。</w:t>
      </w:r>
    </w:p>
    <w:p>
      <w:pPr>
        <w:widowControl/>
        <w:ind w:left="53" w:leftChars="25"/>
        <w:jc w:val="left"/>
        <w:rPr>
          <w:rFonts w:ascii="宋体" w:hAnsi="宋体" w:cs="宋体"/>
          <w:szCs w:val="24"/>
          <w:highlight w:val="none"/>
        </w:rPr>
      </w:pPr>
      <w:r>
        <w:rPr>
          <w:rFonts w:hint="eastAsia" w:ascii="宋体" w:hAnsi="宋体" w:cs="宋体"/>
          <w:szCs w:val="24"/>
          <w:highlight w:val="none"/>
        </w:rPr>
        <w:t>3.1.3.11冷却水、冷冻水压降要求：标准工况水阻需满足设计参数。</w:t>
      </w:r>
    </w:p>
    <w:p>
      <w:pPr>
        <w:rPr>
          <w:rFonts w:ascii="宋体" w:hAnsi="宋体" w:cs="宋体"/>
          <w:szCs w:val="24"/>
          <w:highlight w:val="none"/>
        </w:rPr>
      </w:pPr>
      <w:r>
        <w:rPr>
          <w:rFonts w:hint="eastAsia" w:ascii="宋体" w:hAnsi="宋体" w:cs="宋体"/>
          <w:szCs w:val="24"/>
          <w:highlight w:val="none"/>
        </w:rPr>
        <w:t>3.1.4电机</w:t>
      </w:r>
    </w:p>
    <w:p>
      <w:pPr>
        <w:widowControl/>
        <w:ind w:left="53" w:leftChars="25"/>
        <w:jc w:val="left"/>
        <w:rPr>
          <w:rFonts w:ascii="宋体" w:hAnsi="宋体" w:cs="宋体"/>
          <w:szCs w:val="24"/>
          <w:highlight w:val="none"/>
        </w:rPr>
      </w:pPr>
      <w:r>
        <w:rPr>
          <w:rFonts w:hint="eastAsia" w:ascii="宋体" w:hAnsi="宋体" w:cs="宋体"/>
          <w:szCs w:val="24"/>
          <w:highlight w:val="none"/>
        </w:rPr>
        <w:t>3.1.4.1变频冷水机组驱动电机选用变频异步电机。</w:t>
      </w:r>
    </w:p>
    <w:p>
      <w:pPr>
        <w:widowControl/>
        <w:ind w:left="53" w:leftChars="25"/>
        <w:jc w:val="left"/>
        <w:rPr>
          <w:rFonts w:ascii="宋体" w:hAnsi="宋体" w:cs="宋体"/>
          <w:szCs w:val="24"/>
          <w:highlight w:val="none"/>
        </w:rPr>
      </w:pPr>
      <w:r>
        <w:rPr>
          <w:rFonts w:hint="eastAsia" w:ascii="宋体" w:hAnsi="宋体" w:cs="宋体"/>
          <w:szCs w:val="24"/>
          <w:highlight w:val="none"/>
        </w:rPr>
        <w:t>3.1.4.2电机基本要求，设计、制造、安装、测试应服从国标或IEC标准。</w:t>
      </w:r>
    </w:p>
    <w:p>
      <w:pPr>
        <w:widowControl/>
        <w:ind w:left="53" w:leftChars="25"/>
        <w:jc w:val="left"/>
        <w:rPr>
          <w:rFonts w:ascii="宋体" w:hAnsi="宋体" w:cs="宋体"/>
          <w:szCs w:val="24"/>
          <w:highlight w:val="none"/>
        </w:rPr>
      </w:pPr>
      <w:r>
        <w:rPr>
          <w:rFonts w:hint="eastAsia" w:ascii="宋体" w:hAnsi="宋体" w:cs="宋体"/>
          <w:szCs w:val="24"/>
          <w:highlight w:val="none"/>
        </w:rPr>
        <w:t>3.1.4.3电机工作制为S1工作制，即连续工作制，在额定负载下能长时间稳定运行。</w:t>
      </w:r>
    </w:p>
    <w:p>
      <w:pPr>
        <w:widowControl/>
        <w:ind w:left="53" w:leftChars="25"/>
        <w:jc w:val="left"/>
        <w:rPr>
          <w:rFonts w:ascii="宋体" w:hAnsi="宋体" w:cs="宋体"/>
          <w:szCs w:val="24"/>
          <w:highlight w:val="none"/>
        </w:rPr>
      </w:pPr>
      <w:r>
        <w:rPr>
          <w:rFonts w:hint="eastAsia" w:ascii="宋体" w:hAnsi="宋体" w:cs="宋体"/>
          <w:szCs w:val="24"/>
          <w:highlight w:val="none"/>
        </w:rPr>
        <w:t>3.1.4.4电机绕组应是绝缘铜线绕制，定子绕组应具有良好的防电晕性能，绕组和叠片铁芯之间有较好的热传导性，定子整体需经真空压力浸渍无溶剂漆工艺处理。</w:t>
      </w:r>
    </w:p>
    <w:p>
      <w:pPr>
        <w:widowControl/>
        <w:ind w:left="53" w:leftChars="25"/>
        <w:jc w:val="left"/>
        <w:rPr>
          <w:rFonts w:ascii="宋体" w:hAnsi="宋体" w:cs="宋体"/>
          <w:szCs w:val="24"/>
          <w:highlight w:val="none"/>
        </w:rPr>
      </w:pPr>
      <w:r>
        <w:rPr>
          <w:rFonts w:hint="eastAsia" w:ascii="宋体" w:hAnsi="宋体" w:cs="宋体"/>
          <w:szCs w:val="24"/>
          <w:highlight w:val="none"/>
        </w:rPr>
        <w:t>3.1.4.5测温：电机定子线圈预埋测温元件，pt100，每台电机至少应装有多个绕组温度传感器。电机的轴承应设温度测温元件，pt100，每台电机前后轴承至少应各设1个温度传感器。</w:t>
      </w:r>
    </w:p>
    <w:p>
      <w:pPr>
        <w:widowControl/>
        <w:ind w:left="53" w:leftChars="25"/>
        <w:jc w:val="left"/>
        <w:rPr>
          <w:rFonts w:ascii="宋体" w:hAnsi="宋体" w:cs="宋体"/>
          <w:szCs w:val="24"/>
          <w:highlight w:val="none"/>
        </w:rPr>
      </w:pPr>
      <w:r>
        <w:rPr>
          <w:rFonts w:hint="eastAsia" w:ascii="宋体" w:hAnsi="宋体" w:cs="宋体"/>
          <w:szCs w:val="24"/>
          <w:highlight w:val="none"/>
        </w:rPr>
        <w:t>3.1.4.6卧式电动机配备重载防磨滚珠或滚柱轴承，轴承采用SKF、FAG同档次及以上品牌。</w:t>
      </w:r>
    </w:p>
    <w:p>
      <w:pPr>
        <w:widowControl/>
        <w:ind w:left="53" w:leftChars="25"/>
        <w:jc w:val="left"/>
        <w:rPr>
          <w:rFonts w:ascii="宋体" w:hAnsi="宋体" w:cs="宋体"/>
          <w:szCs w:val="24"/>
          <w:highlight w:val="none"/>
        </w:rPr>
      </w:pPr>
      <w:r>
        <w:rPr>
          <w:rFonts w:hint="eastAsia" w:ascii="宋体" w:hAnsi="宋体" w:cs="宋体"/>
          <w:szCs w:val="24"/>
          <w:highlight w:val="none"/>
        </w:rPr>
        <w:t>3.1.4.7电机须符合国家有关电机技术及安全标准要求。电机的绝缘材料对制冷剂和润滑油应有稳定的化学性质而不被溶解，不得出现发泡、剥落、变质或其他破坏绝缘的情况。</w:t>
      </w:r>
    </w:p>
    <w:p>
      <w:pPr>
        <w:rPr>
          <w:rFonts w:ascii="宋体" w:hAnsi="宋体" w:cs="宋体"/>
          <w:szCs w:val="24"/>
          <w:highlight w:val="none"/>
        </w:rPr>
      </w:pPr>
      <w:r>
        <w:rPr>
          <w:rFonts w:hint="eastAsia" w:ascii="宋体" w:hAnsi="宋体" w:cs="宋体"/>
          <w:szCs w:val="24"/>
          <w:highlight w:val="none"/>
        </w:rPr>
        <w:t>3.1.5 单机控制系统</w:t>
      </w:r>
    </w:p>
    <w:p>
      <w:pPr>
        <w:widowControl/>
        <w:ind w:left="53" w:leftChars="25" w:firstLine="420" w:firstLineChars="200"/>
        <w:jc w:val="left"/>
        <w:rPr>
          <w:rFonts w:ascii="宋体" w:hAnsi="宋体" w:cs="宋体"/>
          <w:szCs w:val="24"/>
          <w:highlight w:val="none"/>
        </w:rPr>
      </w:pPr>
      <w:r>
        <w:rPr>
          <w:rFonts w:hint="eastAsia" w:ascii="宋体" w:hAnsi="宋体" w:cs="宋体"/>
          <w:szCs w:val="24"/>
          <w:highlight w:val="none"/>
        </w:rPr>
        <w:t>机组的所有控制器件都应装在一个可拆卸的控制箱内，控制箱必须和群控系统相连。所有控制器件（包括传感器）在装运前都应在厂内装好并经过试验。投标人提供微机控制器应可以实现下述各项功能：</w:t>
      </w:r>
    </w:p>
    <w:p>
      <w:pPr>
        <w:widowControl/>
        <w:ind w:left="53" w:leftChars="25" w:firstLine="420" w:firstLineChars="200"/>
        <w:jc w:val="left"/>
        <w:rPr>
          <w:rFonts w:ascii="宋体" w:hAnsi="宋体" w:cs="宋体"/>
          <w:szCs w:val="24"/>
          <w:highlight w:val="none"/>
        </w:rPr>
      </w:pPr>
      <w:r>
        <w:rPr>
          <w:rFonts w:hint="eastAsia" w:ascii="宋体" w:hAnsi="宋体" w:cs="宋体"/>
          <w:szCs w:val="24"/>
          <w:highlight w:val="none"/>
        </w:rPr>
        <w:t>1)控制功能：机组至少应具有启停控制、运行效率调节功能(可由群控系统操作实现)、冷水出水温度控制、压缩机和节流装置的调节、单机及附属设备的程序控制、防反复起动逻辑、电流负荷限制等功能。变频型机组必须配套相应的变频控制装置，能根据实际工况进行30%~100%调节负荷，实现节能降耗。</w:t>
      </w:r>
    </w:p>
    <w:p>
      <w:pPr>
        <w:widowControl/>
        <w:ind w:left="53" w:leftChars="25" w:firstLine="420" w:firstLineChars="200"/>
        <w:jc w:val="left"/>
        <w:rPr>
          <w:rFonts w:ascii="宋体" w:hAnsi="宋体" w:cs="宋体"/>
          <w:szCs w:val="24"/>
          <w:highlight w:val="none"/>
        </w:rPr>
      </w:pPr>
      <w:r>
        <w:rPr>
          <w:rFonts w:hint="eastAsia" w:ascii="宋体" w:hAnsi="宋体" w:cs="宋体"/>
          <w:szCs w:val="24"/>
          <w:highlight w:val="none"/>
        </w:rPr>
        <w:t>2)可根据用户需求进行制冷主机控制和参数设置。自动开机、停机以达到节能效果。</w:t>
      </w:r>
    </w:p>
    <w:p>
      <w:pPr>
        <w:widowControl/>
        <w:ind w:left="53" w:leftChars="25" w:firstLine="420" w:firstLineChars="200"/>
        <w:jc w:val="left"/>
        <w:rPr>
          <w:rFonts w:ascii="宋体" w:hAnsi="宋体" w:cs="宋体"/>
          <w:szCs w:val="24"/>
          <w:highlight w:val="none"/>
        </w:rPr>
      </w:pPr>
      <w:r>
        <w:rPr>
          <w:rFonts w:hint="eastAsia" w:ascii="宋体" w:hAnsi="宋体" w:cs="宋体"/>
          <w:szCs w:val="24"/>
          <w:highlight w:val="none"/>
        </w:rPr>
        <w:t>3)投标人应详细列出控制方式、机组诊断及保护功能、状态显示内容。</w:t>
      </w:r>
    </w:p>
    <w:p>
      <w:pPr>
        <w:widowControl/>
        <w:ind w:firstLine="420" w:firstLineChars="200"/>
        <w:jc w:val="left"/>
        <w:rPr>
          <w:rFonts w:ascii="宋体" w:hAnsi="宋体" w:cs="宋体"/>
          <w:szCs w:val="24"/>
          <w:highlight w:val="none"/>
        </w:rPr>
      </w:pPr>
      <w:r>
        <w:rPr>
          <w:rFonts w:hint="eastAsia" w:ascii="宋体" w:hAnsi="宋体" w:cs="宋体"/>
          <w:szCs w:val="24"/>
          <w:highlight w:val="none"/>
        </w:rPr>
        <w:t>4)原机电脑控制系统技术要求</w:t>
      </w:r>
    </w:p>
    <w:p>
      <w:pPr>
        <w:widowControl/>
        <w:ind w:firstLine="420" w:firstLineChars="200"/>
        <w:jc w:val="left"/>
        <w:rPr>
          <w:rFonts w:ascii="宋体" w:hAnsi="宋体" w:cs="宋体"/>
          <w:szCs w:val="24"/>
          <w:highlight w:val="none"/>
        </w:rPr>
      </w:pPr>
      <w:r>
        <w:rPr>
          <w:rFonts w:hint="eastAsia" w:ascii="宋体" w:hAnsi="宋体" w:cs="宋体"/>
          <w:szCs w:val="24"/>
          <w:highlight w:val="none"/>
        </w:rPr>
        <w:t>5)配套的电脑操作控制系统必须是该品牌最新版本的操控系统，带有全中文图形显示，能显示压缩机状态，实时性能参数、自动报警提示；</w:t>
      </w:r>
    </w:p>
    <w:p>
      <w:pPr>
        <w:widowControl/>
        <w:ind w:left="53" w:leftChars="25" w:firstLine="420" w:firstLineChars="200"/>
        <w:jc w:val="left"/>
        <w:rPr>
          <w:rFonts w:ascii="宋体" w:hAnsi="宋体" w:cs="宋体"/>
          <w:szCs w:val="24"/>
          <w:highlight w:val="none"/>
        </w:rPr>
      </w:pPr>
      <w:r>
        <w:rPr>
          <w:rFonts w:hint="eastAsia" w:ascii="宋体" w:hAnsi="宋体" w:cs="宋体"/>
          <w:szCs w:val="24"/>
          <w:highlight w:val="none"/>
        </w:rPr>
        <w:t>6)通讯：主机应自带开放式的通讯接口和协议，须与群控系统联网通讯。</w:t>
      </w:r>
    </w:p>
    <w:p>
      <w:pPr>
        <w:widowControl/>
        <w:ind w:left="53" w:leftChars="25" w:firstLine="420" w:firstLineChars="200"/>
        <w:jc w:val="left"/>
        <w:rPr>
          <w:rFonts w:ascii="宋体" w:hAnsi="宋体" w:cs="宋体"/>
          <w:szCs w:val="24"/>
          <w:highlight w:val="none"/>
        </w:rPr>
      </w:pPr>
      <w:r>
        <w:rPr>
          <w:rFonts w:hint="eastAsia" w:ascii="宋体" w:hAnsi="宋体" w:cs="宋体"/>
          <w:szCs w:val="24"/>
          <w:highlight w:val="none"/>
        </w:rPr>
        <w:t>7)协议：免费提供开放的通信协议和必需的转换配套装置（如协议转换器等）及相应的技术说明资料，以便于中央监控系统与各机组进行联网通讯，实现集中监控和数据采集、数据储存和统计。</w:t>
      </w:r>
    </w:p>
    <w:p>
      <w:pPr>
        <w:widowControl/>
        <w:ind w:left="53" w:leftChars="25" w:firstLine="420" w:firstLineChars="200"/>
        <w:jc w:val="left"/>
        <w:rPr>
          <w:rFonts w:ascii="宋体" w:hAnsi="宋体" w:cs="宋体"/>
          <w:szCs w:val="24"/>
          <w:highlight w:val="none"/>
        </w:rPr>
      </w:pPr>
      <w:r>
        <w:rPr>
          <w:rFonts w:hint="eastAsia" w:ascii="宋体" w:hAnsi="宋体" w:cs="宋体"/>
          <w:szCs w:val="24"/>
          <w:highlight w:val="none"/>
        </w:rPr>
        <w:t>8)用大屏幕液晶彩色触摸屏显示及控制，显示所有控制运行参数和信息。</w:t>
      </w:r>
    </w:p>
    <w:p>
      <w:pPr>
        <w:widowControl/>
        <w:ind w:left="53" w:leftChars="25" w:firstLine="420" w:firstLineChars="200"/>
        <w:jc w:val="left"/>
        <w:rPr>
          <w:rFonts w:ascii="宋体" w:hAnsi="宋体" w:cs="宋体"/>
          <w:szCs w:val="24"/>
          <w:highlight w:val="none"/>
        </w:rPr>
      </w:pPr>
      <w:bookmarkStart w:id="229" w:name="_Toc344538722"/>
      <w:bookmarkStart w:id="230" w:name="_Toc344573814"/>
      <w:r>
        <w:rPr>
          <w:rFonts w:hint="eastAsia" w:ascii="宋体" w:hAnsi="宋体" w:cs="宋体"/>
          <w:szCs w:val="24"/>
          <w:highlight w:val="none"/>
        </w:rPr>
        <w:t>9)控制柜（内设微处理器、控制元件及与冷水自控连接通讯模块和远程干接点控制、反馈模块）应由冷水机组制造厂家提供。</w:t>
      </w:r>
      <w:bookmarkEnd w:id="229"/>
      <w:bookmarkEnd w:id="230"/>
      <w:r>
        <w:rPr>
          <w:rFonts w:hint="eastAsia" w:ascii="宋体" w:hAnsi="宋体" w:cs="宋体"/>
          <w:szCs w:val="24"/>
          <w:highlight w:val="none"/>
        </w:rPr>
        <w:t>微电脑控制系统，中文显示，彩色画面，不小于10寸的液晶触摸屏。</w:t>
      </w:r>
    </w:p>
    <w:p>
      <w:pPr>
        <w:rPr>
          <w:rFonts w:ascii="等线" w:hAnsi="等线"/>
          <w:szCs w:val="24"/>
          <w:highlight w:val="none"/>
        </w:rPr>
      </w:pPr>
      <w:r>
        <w:rPr>
          <w:rFonts w:ascii="等线" w:hAnsi="等线"/>
          <w:b/>
          <w:bCs/>
          <w:sz w:val="28"/>
          <w:szCs w:val="28"/>
          <w:highlight w:val="none"/>
        </w:rPr>
        <w:t>3.</w:t>
      </w:r>
      <w:r>
        <w:rPr>
          <w:rFonts w:hint="eastAsia" w:ascii="等线" w:hAnsi="等线"/>
          <w:b/>
          <w:bCs/>
          <w:sz w:val="28"/>
          <w:szCs w:val="28"/>
          <w:highlight w:val="none"/>
        </w:rPr>
        <w:t xml:space="preserve">1.6 </w:t>
      </w:r>
      <w:r>
        <w:rPr>
          <w:rFonts w:hint="eastAsia" w:ascii="宋体" w:hAnsi="宋体"/>
          <w:spacing w:val="10"/>
          <w:sz w:val="28"/>
          <w:szCs w:val="28"/>
          <w:highlight w:val="none"/>
        </w:rPr>
        <w:t>冷水机组群控技术要求：</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4"/>
        <w:gridCol w:w="1056"/>
        <w:gridCol w:w="1723"/>
        <w:gridCol w:w="5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420" w:type="pct"/>
            <w:vMerge w:val="restart"/>
            <w:noWrap w:val="0"/>
            <w:vAlign w:val="center"/>
          </w:tcPr>
          <w:p>
            <w:pPr>
              <w:spacing w:before="153"/>
              <w:ind w:left="104" w:right="103"/>
              <w:jc w:val="center"/>
              <w:rPr>
                <w:rFonts w:ascii="等线" w:hAnsi="等线"/>
                <w:sz w:val="20"/>
                <w:highlight w:val="none"/>
                <w:lang w:eastAsia="en-US"/>
              </w:rPr>
            </w:pPr>
            <w:r>
              <w:rPr>
                <w:rFonts w:hint="eastAsia" w:ascii="等线" w:hAnsi="等线"/>
                <w:sz w:val="20"/>
                <w:highlight w:val="none"/>
              </w:rPr>
              <w:t>序号</w:t>
            </w:r>
          </w:p>
        </w:tc>
        <w:tc>
          <w:tcPr>
            <w:tcW w:w="1489" w:type="pct"/>
            <w:gridSpan w:val="2"/>
            <w:vMerge w:val="restart"/>
            <w:noWrap w:val="0"/>
            <w:vAlign w:val="center"/>
          </w:tcPr>
          <w:p>
            <w:pPr>
              <w:tabs>
                <w:tab w:val="left" w:pos="1806"/>
              </w:tabs>
              <w:spacing w:before="19"/>
              <w:jc w:val="center"/>
              <w:rPr>
                <w:rFonts w:ascii="等线" w:hAnsi="等线"/>
                <w:sz w:val="20"/>
                <w:highlight w:val="none"/>
                <w:lang w:eastAsia="en-US"/>
              </w:rPr>
            </w:pPr>
            <w:r>
              <w:rPr>
                <w:rFonts w:hint="eastAsia" w:ascii="等线" w:hAnsi="等线"/>
                <w:sz w:val="20"/>
                <w:highlight w:val="none"/>
              </w:rPr>
              <w:t>项目</w:t>
            </w:r>
          </w:p>
        </w:tc>
        <w:tc>
          <w:tcPr>
            <w:tcW w:w="3090" w:type="pct"/>
            <w:vMerge w:val="restart"/>
            <w:noWrap w:val="0"/>
            <w:vAlign w:val="center"/>
          </w:tcPr>
          <w:p>
            <w:pPr>
              <w:tabs>
                <w:tab w:val="left" w:pos="1728"/>
                <w:tab w:val="left" w:pos="2508"/>
                <w:tab w:val="left" w:pos="3290"/>
              </w:tabs>
              <w:spacing w:before="19"/>
              <w:jc w:val="center"/>
              <w:rPr>
                <w:rFonts w:ascii="等线" w:hAnsi="等线"/>
                <w:sz w:val="20"/>
                <w:highlight w:val="none"/>
              </w:rPr>
            </w:pPr>
            <w:r>
              <w:rPr>
                <w:rFonts w:hint="eastAsia" w:ascii="等线" w:hAnsi="等线"/>
                <w:sz w:val="20"/>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420" w:type="pct"/>
            <w:vMerge w:val="continue"/>
            <w:noWrap w:val="0"/>
            <w:vAlign w:val="center"/>
          </w:tcPr>
          <w:p>
            <w:pPr>
              <w:jc w:val="center"/>
              <w:rPr>
                <w:rFonts w:ascii="等线" w:hAnsi="等线"/>
                <w:highlight w:val="none"/>
              </w:rPr>
            </w:pPr>
          </w:p>
        </w:tc>
        <w:tc>
          <w:tcPr>
            <w:tcW w:w="1489" w:type="pct"/>
            <w:gridSpan w:val="2"/>
            <w:vMerge w:val="continue"/>
            <w:noWrap w:val="0"/>
            <w:vAlign w:val="center"/>
          </w:tcPr>
          <w:p>
            <w:pPr>
              <w:jc w:val="center"/>
              <w:rPr>
                <w:rFonts w:ascii="等线" w:hAnsi="等线"/>
                <w:highlight w:val="none"/>
              </w:rPr>
            </w:pPr>
          </w:p>
        </w:tc>
        <w:tc>
          <w:tcPr>
            <w:tcW w:w="3090" w:type="pct"/>
            <w:vMerge w:val="continue"/>
            <w:noWrap w:val="0"/>
            <w:vAlign w:val="center"/>
          </w:tcPr>
          <w:p>
            <w:pPr>
              <w:jc w:val="center"/>
              <w:rPr>
                <w:rFonts w:ascii="等线" w:hAnsi="等线"/>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noWrap w:val="0"/>
            <w:vAlign w:val="center"/>
          </w:tcPr>
          <w:p>
            <w:pPr>
              <w:jc w:val="center"/>
              <w:rPr>
                <w:rFonts w:ascii="宋体" w:hAnsi="宋体" w:cs="宋体"/>
                <w:w w:val="99"/>
                <w:szCs w:val="24"/>
                <w:highlight w:val="none"/>
              </w:rPr>
            </w:pPr>
            <w:r>
              <w:rPr>
                <w:rFonts w:hint="eastAsia" w:ascii="宋体" w:hAnsi="宋体" w:cs="宋体"/>
                <w:w w:val="99"/>
                <w:szCs w:val="24"/>
                <w:highlight w:val="none"/>
              </w:rPr>
              <w:t>1</w:t>
            </w:r>
          </w:p>
        </w:tc>
        <w:tc>
          <w:tcPr>
            <w:tcW w:w="1489" w:type="pct"/>
            <w:gridSpan w:val="2"/>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lang w:eastAsia="en-US"/>
              </w:rPr>
              <w:t>监视功能</w:t>
            </w:r>
          </w:p>
        </w:tc>
        <w:tc>
          <w:tcPr>
            <w:tcW w:w="3090" w:type="pct"/>
            <w:noWrap w:val="0"/>
            <w:vAlign w:val="center"/>
          </w:tcPr>
          <w:p>
            <w:pPr>
              <w:tabs>
                <w:tab w:val="left" w:pos="907"/>
                <w:tab w:val="left" w:pos="2008"/>
                <w:tab w:val="left" w:pos="3155"/>
              </w:tabs>
              <w:spacing w:before="14"/>
              <w:ind w:left="26"/>
              <w:jc w:val="left"/>
              <w:rPr>
                <w:rFonts w:ascii="宋体" w:hAnsi="宋体" w:cs="宋体"/>
                <w:spacing w:val="-5"/>
                <w:szCs w:val="24"/>
                <w:highlight w:val="none"/>
              </w:rPr>
            </w:pPr>
            <w:r>
              <w:rPr>
                <w:rFonts w:hint="eastAsia" w:ascii="宋体" w:hAnsi="宋体" w:cs="宋体"/>
                <w:spacing w:val="-5"/>
                <w:szCs w:val="24"/>
                <w:highlight w:val="none"/>
              </w:rPr>
              <w:t>可通过动态图形、趋势图等源程序对系统监控设备的运行状态，被控对象的控制效果进行实时和历史的监视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noWrap w:val="0"/>
            <w:vAlign w:val="center"/>
          </w:tcPr>
          <w:p>
            <w:pPr>
              <w:jc w:val="center"/>
              <w:rPr>
                <w:rFonts w:ascii="宋体" w:hAnsi="宋体" w:cs="宋体"/>
                <w:w w:val="99"/>
                <w:szCs w:val="24"/>
                <w:highlight w:val="none"/>
              </w:rPr>
            </w:pPr>
            <w:r>
              <w:rPr>
                <w:rFonts w:hint="eastAsia" w:ascii="宋体" w:hAnsi="宋体" w:cs="宋体"/>
                <w:w w:val="99"/>
                <w:szCs w:val="24"/>
                <w:highlight w:val="none"/>
              </w:rPr>
              <w:t>2</w:t>
            </w:r>
          </w:p>
        </w:tc>
        <w:tc>
          <w:tcPr>
            <w:tcW w:w="1489" w:type="pct"/>
            <w:gridSpan w:val="2"/>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lang w:eastAsia="en-US"/>
              </w:rPr>
              <w:t>控制功能</w:t>
            </w:r>
          </w:p>
        </w:tc>
        <w:tc>
          <w:tcPr>
            <w:tcW w:w="3090" w:type="pct"/>
            <w:noWrap w:val="0"/>
            <w:vAlign w:val="center"/>
          </w:tcPr>
          <w:p>
            <w:pPr>
              <w:tabs>
                <w:tab w:val="left" w:pos="907"/>
                <w:tab w:val="left" w:pos="2008"/>
                <w:tab w:val="left" w:pos="3155"/>
              </w:tabs>
              <w:spacing w:before="14"/>
              <w:ind w:left="26"/>
              <w:jc w:val="left"/>
              <w:rPr>
                <w:rFonts w:ascii="宋体" w:hAnsi="宋体" w:cs="宋体"/>
                <w:spacing w:val="-5"/>
                <w:szCs w:val="24"/>
                <w:highlight w:val="none"/>
              </w:rPr>
            </w:pPr>
            <w:r>
              <w:rPr>
                <w:rFonts w:hint="eastAsia" w:ascii="宋体" w:hAnsi="宋体" w:cs="宋体"/>
                <w:spacing w:val="-5"/>
                <w:szCs w:val="24"/>
                <w:highlight w:val="none"/>
              </w:rPr>
              <w:t>可通过控制命令，过程控制和日程表控制等应用控制设备的启停或调节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noWrap w:val="0"/>
            <w:vAlign w:val="center"/>
          </w:tcPr>
          <w:p>
            <w:pPr>
              <w:jc w:val="center"/>
              <w:rPr>
                <w:rFonts w:ascii="宋体" w:hAnsi="宋体" w:cs="宋体"/>
                <w:w w:val="99"/>
                <w:szCs w:val="24"/>
                <w:highlight w:val="none"/>
              </w:rPr>
            </w:pPr>
            <w:r>
              <w:rPr>
                <w:rFonts w:hint="eastAsia" w:ascii="宋体" w:hAnsi="宋体" w:cs="宋体"/>
                <w:w w:val="99"/>
                <w:szCs w:val="24"/>
                <w:highlight w:val="none"/>
              </w:rPr>
              <w:t>3</w:t>
            </w:r>
          </w:p>
        </w:tc>
        <w:tc>
          <w:tcPr>
            <w:tcW w:w="1489" w:type="pct"/>
            <w:gridSpan w:val="2"/>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lang w:eastAsia="en-US"/>
              </w:rPr>
              <w:t>管理功能</w:t>
            </w:r>
          </w:p>
        </w:tc>
        <w:tc>
          <w:tcPr>
            <w:tcW w:w="3090" w:type="pct"/>
            <w:noWrap w:val="0"/>
            <w:vAlign w:val="center"/>
          </w:tcPr>
          <w:p>
            <w:pPr>
              <w:tabs>
                <w:tab w:val="left" w:pos="907"/>
                <w:tab w:val="left" w:pos="2008"/>
                <w:tab w:val="left" w:pos="3155"/>
              </w:tabs>
              <w:spacing w:before="14"/>
              <w:jc w:val="left"/>
              <w:rPr>
                <w:rFonts w:ascii="宋体" w:hAnsi="宋体" w:cs="宋体"/>
                <w:spacing w:val="-5"/>
                <w:szCs w:val="24"/>
                <w:highlight w:val="none"/>
              </w:rPr>
            </w:pPr>
            <w:r>
              <w:rPr>
                <w:rFonts w:hint="eastAsia" w:ascii="宋体" w:hAnsi="宋体" w:cs="宋体"/>
                <w:spacing w:val="-5"/>
                <w:szCs w:val="24"/>
                <w:highlight w:val="none"/>
              </w:rPr>
              <w:t>1.包括用户账户管理、系统设备管理、程序上下载管理，能通过系统活动记录、报表等应用程序了解系统状态</w:t>
            </w:r>
          </w:p>
          <w:p>
            <w:pPr>
              <w:tabs>
                <w:tab w:val="left" w:pos="907"/>
                <w:tab w:val="left" w:pos="2008"/>
                <w:tab w:val="left" w:pos="3155"/>
              </w:tabs>
              <w:spacing w:before="14"/>
              <w:ind w:left="26"/>
              <w:jc w:val="left"/>
              <w:rPr>
                <w:rFonts w:ascii="宋体" w:hAnsi="宋体" w:cs="宋体"/>
                <w:spacing w:val="-5"/>
                <w:szCs w:val="24"/>
                <w:highlight w:val="none"/>
              </w:rPr>
            </w:pPr>
            <w:r>
              <w:rPr>
                <w:rFonts w:hint="eastAsia" w:ascii="宋体" w:hAnsi="宋体" w:cs="宋体"/>
                <w:spacing w:val="-5"/>
                <w:szCs w:val="24"/>
                <w:highlight w:val="none"/>
              </w:rPr>
              <w:t>2.具备多级密码保护功能，可管理及限制不同级别人员使用，同时防止系统被非有关人员使用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noWrap w:val="0"/>
            <w:vAlign w:val="center"/>
          </w:tcPr>
          <w:p>
            <w:pPr>
              <w:jc w:val="center"/>
              <w:rPr>
                <w:rFonts w:ascii="宋体" w:hAnsi="宋体" w:cs="宋体"/>
                <w:w w:val="99"/>
                <w:szCs w:val="24"/>
                <w:highlight w:val="none"/>
              </w:rPr>
            </w:pPr>
            <w:r>
              <w:rPr>
                <w:rFonts w:hint="eastAsia" w:ascii="宋体" w:hAnsi="宋体" w:cs="宋体"/>
                <w:w w:val="99"/>
                <w:szCs w:val="24"/>
                <w:highlight w:val="none"/>
              </w:rPr>
              <w:t>4</w:t>
            </w:r>
          </w:p>
        </w:tc>
        <w:tc>
          <w:tcPr>
            <w:tcW w:w="1489" w:type="pct"/>
            <w:gridSpan w:val="2"/>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rPr>
              <w:t>控制范围</w:t>
            </w:r>
          </w:p>
        </w:tc>
        <w:tc>
          <w:tcPr>
            <w:tcW w:w="3090" w:type="pct"/>
            <w:noWrap w:val="0"/>
            <w:vAlign w:val="center"/>
          </w:tcPr>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lang w:val="zh-CN"/>
              </w:rPr>
              <w:t>冷水机组、冷冻水泵、冷却水泵、冷却塔、冷冻水管路、冷却水管路、压差、末端温度和流量等设备进行数据采集、监测、控制和管理。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restart"/>
            <w:noWrap w:val="0"/>
            <w:vAlign w:val="center"/>
          </w:tcPr>
          <w:p>
            <w:pPr>
              <w:jc w:val="center"/>
              <w:rPr>
                <w:rFonts w:ascii="宋体" w:hAnsi="宋体" w:cs="宋体"/>
                <w:w w:val="99"/>
                <w:szCs w:val="24"/>
                <w:highlight w:val="none"/>
              </w:rPr>
            </w:pPr>
            <w:r>
              <w:rPr>
                <w:rFonts w:hint="eastAsia" w:ascii="宋体" w:hAnsi="宋体" w:cs="宋体"/>
                <w:w w:val="99"/>
                <w:szCs w:val="24"/>
                <w:highlight w:val="none"/>
              </w:rPr>
              <w:t>5</w:t>
            </w:r>
          </w:p>
        </w:tc>
        <w:tc>
          <w:tcPr>
            <w:tcW w:w="566" w:type="pct"/>
            <w:vMerge w:val="restart"/>
            <w:noWrap w:val="0"/>
            <w:vAlign w:val="center"/>
          </w:tcPr>
          <w:p>
            <w:pPr>
              <w:spacing w:before="14"/>
              <w:ind w:left="28"/>
              <w:jc w:val="center"/>
              <w:rPr>
                <w:rFonts w:ascii="宋体" w:hAnsi="宋体" w:cs="宋体"/>
                <w:szCs w:val="24"/>
                <w:highlight w:val="none"/>
                <w:lang w:eastAsia="en-US"/>
              </w:rPr>
            </w:pPr>
            <w:r>
              <w:rPr>
                <w:rFonts w:hint="eastAsia" w:ascii="宋体" w:hAnsi="宋体" w:cs="宋体"/>
                <w:szCs w:val="24"/>
                <w:highlight w:val="none"/>
              </w:rPr>
              <w:t>软件系统</w:t>
            </w:r>
          </w:p>
        </w:tc>
        <w:tc>
          <w:tcPr>
            <w:tcW w:w="923" w:type="pct"/>
            <w:noWrap w:val="0"/>
            <w:vAlign w:val="center"/>
          </w:tcPr>
          <w:p>
            <w:pPr>
              <w:spacing w:before="14"/>
              <w:ind w:left="28"/>
              <w:jc w:val="center"/>
              <w:rPr>
                <w:rFonts w:ascii="宋体" w:hAnsi="宋体" w:cs="宋体"/>
                <w:szCs w:val="24"/>
                <w:highlight w:val="none"/>
                <w:lang w:eastAsia="en-US"/>
              </w:rPr>
            </w:pPr>
            <w:r>
              <w:rPr>
                <w:rFonts w:hint="eastAsia" w:ascii="宋体" w:hAnsi="宋体" w:cs="宋体"/>
                <w:szCs w:val="24"/>
                <w:highlight w:val="none"/>
              </w:rPr>
              <w:t>系统软件要求</w:t>
            </w:r>
          </w:p>
        </w:tc>
        <w:tc>
          <w:tcPr>
            <w:tcW w:w="3090" w:type="pct"/>
            <w:noWrap w:val="0"/>
            <w:vAlign w:val="center"/>
          </w:tcPr>
          <w:p>
            <w:pPr>
              <w:widowControl/>
              <w:tabs>
                <w:tab w:val="left" w:pos="180"/>
              </w:tabs>
              <w:autoSpaceDE w:val="0"/>
              <w:autoSpaceDN w:val="0"/>
              <w:adjustRightInd w:val="0"/>
              <w:jc w:val="left"/>
              <w:textAlignment w:val="baseline"/>
              <w:rPr>
                <w:rFonts w:ascii="宋体" w:hAnsi="宋体" w:cs="宋体"/>
                <w:szCs w:val="24"/>
                <w:highlight w:val="none"/>
              </w:rPr>
            </w:pPr>
            <w:r>
              <w:rPr>
                <w:rFonts w:hint="eastAsia" w:ascii="宋体" w:hAnsi="宋体" w:cs="宋体"/>
                <w:szCs w:val="24"/>
                <w:highlight w:val="none"/>
              </w:rPr>
              <w:t>1.所有软件须具有版权，应具有自主知识产权的产品，并应是定型的具有通用性的产品；群控系统应能够通过编程实现发包人要求的操作。且须满足美国ANSI/ASHRAE 135标准，且需为BACnet Testing Laboratories (BTL)所认证的B-AWS级别。</w:t>
            </w:r>
          </w:p>
          <w:p>
            <w:pPr>
              <w:tabs>
                <w:tab w:val="left" w:pos="907"/>
                <w:tab w:val="left" w:pos="2008"/>
                <w:tab w:val="left" w:pos="3155"/>
              </w:tabs>
              <w:spacing w:before="14"/>
              <w:ind w:left="28"/>
              <w:jc w:val="left"/>
              <w:rPr>
                <w:rFonts w:ascii="宋体" w:hAnsi="宋体" w:cs="宋体"/>
                <w:szCs w:val="24"/>
                <w:highlight w:val="none"/>
              </w:rPr>
            </w:pPr>
            <w:r>
              <w:rPr>
                <w:rFonts w:hint="eastAsia" w:ascii="宋体" w:hAnsi="宋体" w:cs="宋体"/>
                <w:szCs w:val="24"/>
                <w:highlight w:val="none"/>
              </w:rPr>
              <w:t>2.软件采用先进安全的 128 位 TLS (Transport Layer Security) v1.2 加密技术</w:t>
            </w:r>
          </w:p>
          <w:p>
            <w:pPr>
              <w:tabs>
                <w:tab w:val="left" w:pos="907"/>
                <w:tab w:val="left" w:pos="2008"/>
                <w:tab w:val="left" w:pos="3155"/>
              </w:tabs>
              <w:spacing w:before="14"/>
              <w:ind w:left="28"/>
              <w:jc w:val="left"/>
              <w:rPr>
                <w:rFonts w:ascii="宋体" w:hAnsi="宋体" w:cs="宋体"/>
                <w:szCs w:val="24"/>
                <w:highlight w:val="none"/>
              </w:rPr>
            </w:pPr>
            <w:r>
              <w:rPr>
                <w:rFonts w:hint="eastAsia" w:ascii="宋体" w:hAnsi="宋体" w:cs="宋体"/>
                <w:szCs w:val="24"/>
                <w:highlight w:val="none"/>
              </w:rPr>
              <w:t>3.软件支持 XML/SOAP (Web Services) 和 Add-On API 插件方式交换数据。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continue"/>
            <w:noWrap w:val="0"/>
            <w:vAlign w:val="center"/>
          </w:tcPr>
          <w:p>
            <w:pPr>
              <w:jc w:val="center"/>
              <w:rPr>
                <w:rFonts w:ascii="宋体" w:hAnsi="宋体" w:cs="宋体"/>
                <w:w w:val="99"/>
                <w:szCs w:val="24"/>
                <w:highlight w:val="none"/>
              </w:rPr>
            </w:pPr>
          </w:p>
        </w:tc>
        <w:tc>
          <w:tcPr>
            <w:tcW w:w="566" w:type="pct"/>
            <w:vMerge w:val="continue"/>
            <w:noWrap w:val="0"/>
            <w:vAlign w:val="center"/>
          </w:tcPr>
          <w:p>
            <w:pPr>
              <w:spacing w:before="14"/>
              <w:ind w:left="28"/>
              <w:jc w:val="center"/>
              <w:rPr>
                <w:rFonts w:ascii="宋体" w:hAnsi="宋体" w:cs="宋体"/>
                <w:szCs w:val="24"/>
                <w:highlight w:val="none"/>
              </w:rPr>
            </w:pPr>
          </w:p>
        </w:tc>
        <w:tc>
          <w:tcPr>
            <w:tcW w:w="923" w:type="pct"/>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lang w:eastAsia="en-US"/>
              </w:rPr>
              <w:t>数据通讯协议</w:t>
            </w:r>
          </w:p>
        </w:tc>
        <w:tc>
          <w:tcPr>
            <w:tcW w:w="3090" w:type="pct"/>
            <w:noWrap w:val="0"/>
            <w:vAlign w:val="center"/>
          </w:tcPr>
          <w:p>
            <w:pPr>
              <w:tabs>
                <w:tab w:val="left" w:pos="907"/>
                <w:tab w:val="left" w:pos="2008"/>
                <w:tab w:val="left" w:pos="3155"/>
              </w:tabs>
              <w:spacing w:before="14"/>
              <w:ind w:left="26"/>
              <w:jc w:val="left"/>
              <w:rPr>
                <w:rFonts w:ascii="宋体" w:hAnsi="宋体" w:cs="宋体"/>
                <w:szCs w:val="24"/>
                <w:highlight w:val="none"/>
                <w:lang w:eastAsia="en-US"/>
              </w:rPr>
            </w:pPr>
            <w:r>
              <w:rPr>
                <w:rFonts w:hint="eastAsia" w:ascii="宋体" w:hAnsi="宋体" w:cs="宋体"/>
                <w:szCs w:val="24"/>
                <w:highlight w:val="none"/>
              </w:rPr>
              <w:t>系统采用B/S（服务器/浏览器）架构，不限用户数，无需购买和安装任何客户端软件，不允许配置在外接软件狗下才能运行的软件系统，以防用户遗失和被盗。具备多窗口同时管理不同控制设备的功能，允许在一个界面上任意组合显示不同的管理对象。</w:t>
            </w:r>
            <w:r>
              <w:rPr>
                <w:rFonts w:hint="eastAsia" w:ascii="宋体" w:hAnsi="宋体" w:cs="宋体"/>
                <w:szCs w:val="24"/>
                <w:highlight w:val="none"/>
                <w:lang w:eastAsia="en-US"/>
              </w:rPr>
              <w:t>界面支持电脑、平板、手机等自适应访问。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continue"/>
            <w:noWrap w:val="0"/>
            <w:vAlign w:val="center"/>
          </w:tcPr>
          <w:p>
            <w:pPr>
              <w:jc w:val="center"/>
              <w:rPr>
                <w:rFonts w:ascii="宋体" w:hAnsi="宋体" w:cs="宋体"/>
                <w:w w:val="99"/>
                <w:szCs w:val="24"/>
                <w:highlight w:val="none"/>
              </w:rPr>
            </w:pPr>
          </w:p>
        </w:tc>
        <w:tc>
          <w:tcPr>
            <w:tcW w:w="566" w:type="pct"/>
            <w:vMerge w:val="continue"/>
            <w:noWrap w:val="0"/>
            <w:vAlign w:val="center"/>
          </w:tcPr>
          <w:p>
            <w:pPr>
              <w:spacing w:before="14"/>
              <w:ind w:left="28"/>
              <w:jc w:val="center"/>
              <w:rPr>
                <w:rFonts w:ascii="宋体" w:hAnsi="宋体" w:cs="宋体"/>
                <w:szCs w:val="24"/>
                <w:highlight w:val="none"/>
              </w:rPr>
            </w:pPr>
          </w:p>
        </w:tc>
        <w:tc>
          <w:tcPr>
            <w:tcW w:w="923" w:type="pct"/>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lang w:eastAsia="en-US"/>
              </w:rPr>
              <w:t>群控系统</w:t>
            </w:r>
            <w:r>
              <w:rPr>
                <w:rFonts w:hint="eastAsia" w:ascii="宋体" w:hAnsi="宋体" w:cs="宋体"/>
                <w:szCs w:val="24"/>
                <w:highlight w:val="none"/>
              </w:rPr>
              <w:t>功能</w:t>
            </w:r>
          </w:p>
        </w:tc>
        <w:tc>
          <w:tcPr>
            <w:tcW w:w="3090" w:type="pct"/>
            <w:noWrap w:val="0"/>
            <w:vAlign w:val="center"/>
          </w:tcPr>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rPr>
              <w:t>监测冷水机组的运行状态和故障，能够远程控制冷水机的启停，能够监测冷冻水泵、冷却水泵、冷却塔、膨胀水箱、等设备的运行状态、手动/自动状态和故障状况，能够控制冷冻水泵、冷却水泵、冷却塔等设备的启停，可以监控制冷系统的冷冻水供回水温度、冷却水供回水温度，也可以监测冷水机组的冷冻水供回水压力温度、冷却水供回水压力温度、冷媒压力、油温、油压差等冷水机组内部参数（免费提供开放接口通讯协议），监控制冷系统的电动蝶阀、压差旁通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continue"/>
            <w:noWrap w:val="0"/>
            <w:vAlign w:val="center"/>
          </w:tcPr>
          <w:p>
            <w:pPr>
              <w:jc w:val="center"/>
              <w:rPr>
                <w:rFonts w:ascii="宋体" w:hAnsi="宋体" w:cs="宋体"/>
                <w:w w:val="99"/>
                <w:szCs w:val="24"/>
                <w:highlight w:val="none"/>
              </w:rPr>
            </w:pPr>
          </w:p>
        </w:tc>
        <w:tc>
          <w:tcPr>
            <w:tcW w:w="566" w:type="pct"/>
            <w:vMerge w:val="continue"/>
            <w:noWrap w:val="0"/>
            <w:vAlign w:val="center"/>
          </w:tcPr>
          <w:p>
            <w:pPr>
              <w:spacing w:before="14"/>
              <w:ind w:left="28"/>
              <w:jc w:val="center"/>
              <w:rPr>
                <w:rFonts w:ascii="宋体" w:hAnsi="宋体" w:cs="宋体"/>
                <w:szCs w:val="24"/>
                <w:highlight w:val="none"/>
              </w:rPr>
            </w:pPr>
          </w:p>
        </w:tc>
        <w:tc>
          <w:tcPr>
            <w:tcW w:w="923" w:type="pct"/>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rPr>
              <w:t>群控系统控制</w:t>
            </w:r>
          </w:p>
          <w:p>
            <w:pPr>
              <w:spacing w:before="14"/>
              <w:ind w:left="28"/>
              <w:jc w:val="center"/>
              <w:rPr>
                <w:rFonts w:ascii="宋体" w:hAnsi="宋体" w:cs="宋体"/>
                <w:szCs w:val="24"/>
                <w:highlight w:val="none"/>
              </w:rPr>
            </w:pPr>
            <w:r>
              <w:rPr>
                <w:rFonts w:hint="eastAsia" w:ascii="宋体" w:hAnsi="宋体" w:cs="宋体"/>
                <w:szCs w:val="24"/>
                <w:highlight w:val="none"/>
              </w:rPr>
              <w:t>逻辑</w:t>
            </w:r>
          </w:p>
        </w:tc>
        <w:tc>
          <w:tcPr>
            <w:tcW w:w="3090" w:type="pct"/>
            <w:noWrap w:val="0"/>
            <w:vAlign w:val="center"/>
          </w:tcPr>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rPr>
              <w:t>根据冷水机组冷冻供水／回水温度、冷冻水供水流量，计算冷负荷，根据冷负荷的变化及冷水机组COP曲线，自动进行加减冷冻机组判断；根据最不利端压差控制冷冻水泵变频泵转速，使冷水机组工作在最佳状态，从而达到节能的目的；应能将主机能耗、冷却水泵能耗、冷却塔风机能耗三者统一考虑，根据气候条件、系统特性，通过机房冷源群控系统自带的计算模型进行计算，在各种负荷条件下找到一个能保持系统效率（系统COP）最高所对应开启主机数量（提供相关算法的基本情况），此外，应根据均等运行时间原则选择开启的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continue"/>
            <w:noWrap w:val="0"/>
            <w:vAlign w:val="center"/>
          </w:tcPr>
          <w:p>
            <w:pPr>
              <w:jc w:val="center"/>
              <w:rPr>
                <w:rFonts w:ascii="宋体" w:hAnsi="宋体" w:cs="宋体"/>
                <w:w w:val="99"/>
                <w:szCs w:val="24"/>
                <w:highlight w:val="none"/>
              </w:rPr>
            </w:pPr>
          </w:p>
        </w:tc>
        <w:tc>
          <w:tcPr>
            <w:tcW w:w="566" w:type="pct"/>
            <w:vMerge w:val="continue"/>
            <w:noWrap w:val="0"/>
            <w:vAlign w:val="center"/>
          </w:tcPr>
          <w:p>
            <w:pPr>
              <w:spacing w:before="14"/>
              <w:ind w:left="28"/>
              <w:jc w:val="center"/>
              <w:rPr>
                <w:rFonts w:ascii="宋体" w:hAnsi="宋体" w:cs="宋体"/>
                <w:szCs w:val="24"/>
                <w:highlight w:val="none"/>
              </w:rPr>
            </w:pPr>
          </w:p>
        </w:tc>
        <w:tc>
          <w:tcPr>
            <w:tcW w:w="923" w:type="pct"/>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lang w:eastAsia="en-US"/>
              </w:rPr>
              <w:t>群控系统</w:t>
            </w:r>
            <w:r>
              <w:rPr>
                <w:rFonts w:hint="eastAsia" w:ascii="宋体" w:hAnsi="宋体" w:cs="宋体"/>
                <w:szCs w:val="24"/>
                <w:highlight w:val="none"/>
              </w:rPr>
              <w:t>显示</w:t>
            </w:r>
          </w:p>
          <w:p>
            <w:pPr>
              <w:spacing w:before="14"/>
              <w:ind w:left="28"/>
              <w:jc w:val="center"/>
              <w:rPr>
                <w:rFonts w:ascii="宋体" w:hAnsi="宋体" w:cs="宋体"/>
                <w:szCs w:val="24"/>
                <w:highlight w:val="none"/>
              </w:rPr>
            </w:pPr>
            <w:r>
              <w:rPr>
                <w:rFonts w:hint="eastAsia" w:ascii="宋体" w:hAnsi="宋体" w:cs="宋体"/>
                <w:szCs w:val="24"/>
                <w:highlight w:val="none"/>
              </w:rPr>
              <w:t>要求</w:t>
            </w:r>
          </w:p>
        </w:tc>
        <w:tc>
          <w:tcPr>
            <w:tcW w:w="3090" w:type="pct"/>
            <w:noWrap w:val="0"/>
            <w:vAlign w:val="center"/>
          </w:tcPr>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rPr>
              <w:t>冷水系统的运行报告，生成日、月报表，并随时或定时打印包括冷冻水、冷却水供／回水温度、流量，机组运行时间、运行状态，最大负荷等的动态曲线。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continue"/>
            <w:noWrap w:val="0"/>
            <w:vAlign w:val="center"/>
          </w:tcPr>
          <w:p>
            <w:pPr>
              <w:jc w:val="center"/>
              <w:rPr>
                <w:rFonts w:ascii="宋体" w:hAnsi="宋体" w:cs="宋体"/>
                <w:w w:val="99"/>
                <w:szCs w:val="24"/>
                <w:highlight w:val="none"/>
              </w:rPr>
            </w:pPr>
          </w:p>
        </w:tc>
        <w:tc>
          <w:tcPr>
            <w:tcW w:w="566" w:type="pct"/>
            <w:vMerge w:val="continue"/>
            <w:noWrap w:val="0"/>
            <w:vAlign w:val="center"/>
          </w:tcPr>
          <w:p>
            <w:pPr>
              <w:spacing w:before="14"/>
              <w:ind w:left="28"/>
              <w:jc w:val="center"/>
              <w:rPr>
                <w:rFonts w:ascii="宋体" w:hAnsi="宋体" w:cs="宋体"/>
                <w:szCs w:val="24"/>
                <w:highlight w:val="none"/>
              </w:rPr>
            </w:pPr>
          </w:p>
        </w:tc>
        <w:tc>
          <w:tcPr>
            <w:tcW w:w="923" w:type="pct"/>
            <w:noWrap w:val="0"/>
            <w:vAlign w:val="center"/>
          </w:tcPr>
          <w:p>
            <w:pPr>
              <w:spacing w:before="14"/>
              <w:ind w:left="28"/>
              <w:jc w:val="center"/>
              <w:rPr>
                <w:rFonts w:ascii="宋体" w:hAnsi="宋体" w:cs="宋体"/>
                <w:szCs w:val="24"/>
                <w:highlight w:val="none"/>
                <w:lang w:eastAsia="en-US"/>
              </w:rPr>
            </w:pPr>
            <w:r>
              <w:rPr>
                <w:rFonts w:hint="eastAsia" w:ascii="宋体" w:hAnsi="宋体" w:cs="宋体"/>
                <w:szCs w:val="24"/>
                <w:highlight w:val="none"/>
                <w:lang w:eastAsia="en-US"/>
              </w:rPr>
              <w:t>群控系统</w:t>
            </w:r>
          </w:p>
          <w:p>
            <w:pPr>
              <w:spacing w:before="14"/>
              <w:ind w:left="28"/>
              <w:jc w:val="center"/>
              <w:rPr>
                <w:rFonts w:ascii="宋体" w:hAnsi="宋体" w:cs="宋体"/>
                <w:szCs w:val="24"/>
                <w:highlight w:val="none"/>
              </w:rPr>
            </w:pPr>
            <w:r>
              <w:rPr>
                <w:rFonts w:hint="eastAsia" w:ascii="宋体" w:hAnsi="宋体" w:cs="宋体"/>
                <w:szCs w:val="24"/>
                <w:highlight w:val="none"/>
              </w:rPr>
              <w:t>数据恢复</w:t>
            </w:r>
          </w:p>
        </w:tc>
        <w:tc>
          <w:tcPr>
            <w:tcW w:w="3090" w:type="pct"/>
            <w:noWrap w:val="0"/>
            <w:vAlign w:val="center"/>
          </w:tcPr>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rPr>
              <w:t>具备系统软件拷贝及数据恢复功能，冷源群控系统应具备断电后，恢复至断电前的运行状态的功能。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restart"/>
            <w:noWrap w:val="0"/>
            <w:vAlign w:val="center"/>
          </w:tcPr>
          <w:p>
            <w:pPr>
              <w:jc w:val="center"/>
              <w:rPr>
                <w:rFonts w:ascii="宋体" w:hAnsi="宋体" w:cs="宋体"/>
                <w:w w:val="99"/>
                <w:szCs w:val="24"/>
                <w:highlight w:val="none"/>
              </w:rPr>
            </w:pPr>
            <w:r>
              <w:rPr>
                <w:rFonts w:hint="eastAsia" w:ascii="宋体" w:hAnsi="宋体" w:cs="宋体"/>
                <w:w w:val="99"/>
                <w:szCs w:val="24"/>
                <w:highlight w:val="none"/>
              </w:rPr>
              <w:t>6</w:t>
            </w:r>
          </w:p>
        </w:tc>
        <w:tc>
          <w:tcPr>
            <w:tcW w:w="566" w:type="pct"/>
            <w:vMerge w:val="restart"/>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rPr>
              <w:t>硬件系统</w:t>
            </w:r>
          </w:p>
        </w:tc>
        <w:tc>
          <w:tcPr>
            <w:tcW w:w="923" w:type="pct"/>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rPr>
              <w:t>电脑</w:t>
            </w:r>
          </w:p>
        </w:tc>
        <w:tc>
          <w:tcPr>
            <w:tcW w:w="3090" w:type="pct"/>
            <w:noWrap w:val="0"/>
            <w:vAlign w:val="center"/>
          </w:tcPr>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rPr>
              <w:t>1.显示器尺寸不应低于32英寸，分辨率为1920X1080</w:t>
            </w:r>
          </w:p>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rPr>
              <w:t>2.CPU至少为英特尔酷睿i5</w:t>
            </w:r>
          </w:p>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rPr>
              <w:t>3.硬盘1TB以上</w:t>
            </w:r>
          </w:p>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rPr>
              <w:t>4.内存16GB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continue"/>
            <w:noWrap w:val="0"/>
            <w:vAlign w:val="center"/>
          </w:tcPr>
          <w:p>
            <w:pPr>
              <w:jc w:val="center"/>
              <w:rPr>
                <w:rFonts w:ascii="宋体" w:hAnsi="宋体" w:cs="宋体"/>
                <w:w w:val="99"/>
                <w:szCs w:val="24"/>
                <w:highlight w:val="none"/>
              </w:rPr>
            </w:pPr>
          </w:p>
        </w:tc>
        <w:tc>
          <w:tcPr>
            <w:tcW w:w="566" w:type="pct"/>
            <w:vMerge w:val="continue"/>
            <w:noWrap w:val="0"/>
            <w:vAlign w:val="center"/>
          </w:tcPr>
          <w:p>
            <w:pPr>
              <w:spacing w:before="14"/>
              <w:ind w:left="28"/>
              <w:jc w:val="center"/>
              <w:rPr>
                <w:rFonts w:ascii="宋体" w:hAnsi="宋体" w:cs="宋体"/>
                <w:szCs w:val="24"/>
                <w:highlight w:val="none"/>
              </w:rPr>
            </w:pPr>
          </w:p>
        </w:tc>
        <w:tc>
          <w:tcPr>
            <w:tcW w:w="923" w:type="pct"/>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lang w:eastAsia="en-US"/>
              </w:rPr>
              <w:t>温度传感器</w:t>
            </w:r>
          </w:p>
        </w:tc>
        <w:tc>
          <w:tcPr>
            <w:tcW w:w="3090" w:type="pct"/>
            <w:noWrap w:val="0"/>
            <w:vAlign w:val="center"/>
          </w:tcPr>
          <w:p>
            <w:pPr>
              <w:tabs>
                <w:tab w:val="left" w:pos="907"/>
                <w:tab w:val="left" w:pos="2008"/>
                <w:tab w:val="left" w:pos="3155"/>
              </w:tabs>
              <w:spacing w:before="14"/>
              <w:ind w:left="26"/>
              <w:jc w:val="left"/>
              <w:rPr>
                <w:rFonts w:ascii="宋体" w:hAnsi="宋体" w:cs="宋体"/>
                <w:szCs w:val="24"/>
                <w:highlight w:val="none"/>
              </w:rPr>
            </w:pPr>
            <w:r>
              <w:rPr>
                <w:rFonts w:hint="eastAsia" w:ascii="宋体" w:hAnsi="宋体" w:cs="宋体"/>
                <w:szCs w:val="24"/>
                <w:highlight w:val="none"/>
              </w:rPr>
              <w:t>温度传感器的精度至少为±0.1℃，信号输出4~20mA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continue"/>
            <w:noWrap w:val="0"/>
            <w:vAlign w:val="center"/>
          </w:tcPr>
          <w:p>
            <w:pPr>
              <w:jc w:val="center"/>
              <w:rPr>
                <w:rFonts w:ascii="宋体" w:hAnsi="宋体" w:cs="宋体"/>
                <w:w w:val="99"/>
                <w:szCs w:val="24"/>
                <w:highlight w:val="none"/>
              </w:rPr>
            </w:pPr>
          </w:p>
        </w:tc>
        <w:tc>
          <w:tcPr>
            <w:tcW w:w="566" w:type="pct"/>
            <w:vMerge w:val="continue"/>
            <w:noWrap w:val="0"/>
            <w:vAlign w:val="center"/>
          </w:tcPr>
          <w:p>
            <w:pPr>
              <w:spacing w:before="14"/>
              <w:ind w:left="28"/>
              <w:jc w:val="center"/>
              <w:rPr>
                <w:rFonts w:ascii="宋体" w:hAnsi="宋体" w:cs="宋体"/>
                <w:szCs w:val="24"/>
                <w:highlight w:val="none"/>
              </w:rPr>
            </w:pPr>
          </w:p>
        </w:tc>
        <w:tc>
          <w:tcPr>
            <w:tcW w:w="923" w:type="pct"/>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lang w:eastAsia="en-US"/>
              </w:rPr>
              <w:t>流量计</w:t>
            </w:r>
          </w:p>
        </w:tc>
        <w:tc>
          <w:tcPr>
            <w:tcW w:w="3090" w:type="pct"/>
            <w:noWrap w:val="0"/>
            <w:vAlign w:val="center"/>
          </w:tcPr>
          <w:p>
            <w:pPr>
              <w:tabs>
                <w:tab w:val="left" w:pos="907"/>
                <w:tab w:val="left" w:pos="2008"/>
                <w:tab w:val="left" w:pos="3155"/>
              </w:tabs>
              <w:spacing w:before="14"/>
              <w:jc w:val="left"/>
              <w:rPr>
                <w:rFonts w:ascii="宋体" w:hAnsi="宋体" w:cs="宋体"/>
                <w:szCs w:val="24"/>
                <w:highlight w:val="none"/>
              </w:rPr>
            </w:pPr>
            <w:r>
              <w:rPr>
                <w:rFonts w:hint="eastAsia" w:ascii="宋体" w:hAnsi="宋体" w:cs="宋体"/>
                <w:szCs w:val="24"/>
                <w:highlight w:val="none"/>
              </w:rPr>
              <w:t>流量计的精确度应在±0.5%范围之内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continue"/>
            <w:noWrap w:val="0"/>
            <w:vAlign w:val="center"/>
          </w:tcPr>
          <w:p>
            <w:pPr>
              <w:jc w:val="center"/>
              <w:rPr>
                <w:rFonts w:ascii="宋体" w:hAnsi="宋体" w:cs="宋体"/>
                <w:w w:val="99"/>
                <w:szCs w:val="24"/>
                <w:highlight w:val="none"/>
              </w:rPr>
            </w:pPr>
          </w:p>
        </w:tc>
        <w:tc>
          <w:tcPr>
            <w:tcW w:w="566" w:type="pct"/>
            <w:vMerge w:val="continue"/>
            <w:noWrap w:val="0"/>
            <w:vAlign w:val="center"/>
          </w:tcPr>
          <w:p>
            <w:pPr>
              <w:spacing w:before="14"/>
              <w:ind w:left="28"/>
              <w:jc w:val="center"/>
              <w:rPr>
                <w:rFonts w:ascii="宋体" w:hAnsi="宋体" w:cs="宋体"/>
                <w:szCs w:val="24"/>
                <w:highlight w:val="none"/>
              </w:rPr>
            </w:pPr>
          </w:p>
        </w:tc>
        <w:tc>
          <w:tcPr>
            <w:tcW w:w="923" w:type="pct"/>
            <w:noWrap w:val="0"/>
            <w:vAlign w:val="center"/>
          </w:tcPr>
          <w:p>
            <w:pPr>
              <w:spacing w:before="14"/>
              <w:ind w:left="28"/>
              <w:jc w:val="center"/>
              <w:rPr>
                <w:rFonts w:ascii="宋体" w:hAnsi="宋体" w:cs="宋体"/>
                <w:szCs w:val="24"/>
                <w:highlight w:val="none"/>
              </w:rPr>
            </w:pPr>
            <w:r>
              <w:rPr>
                <w:rFonts w:hint="eastAsia" w:ascii="宋体" w:hAnsi="宋体" w:cs="宋体"/>
                <w:szCs w:val="24"/>
                <w:highlight w:val="none"/>
                <w:lang w:eastAsia="en-US"/>
              </w:rPr>
              <w:t>压力传感器</w:t>
            </w:r>
          </w:p>
        </w:tc>
        <w:tc>
          <w:tcPr>
            <w:tcW w:w="3090" w:type="pct"/>
            <w:noWrap w:val="0"/>
            <w:vAlign w:val="center"/>
          </w:tcPr>
          <w:p>
            <w:pPr>
              <w:jc w:val="left"/>
              <w:rPr>
                <w:rFonts w:ascii="宋体" w:hAnsi="宋体" w:cs="宋体"/>
                <w:szCs w:val="24"/>
                <w:highlight w:val="none"/>
              </w:rPr>
            </w:pPr>
            <w:r>
              <w:rPr>
                <w:rFonts w:hint="eastAsia" w:ascii="宋体" w:hAnsi="宋体" w:cs="宋体"/>
                <w:szCs w:val="24"/>
                <w:highlight w:val="none"/>
              </w:rPr>
              <w:t>1.电源24VDC. 输出信号4-20mA.</w:t>
            </w:r>
          </w:p>
          <w:p>
            <w:pPr>
              <w:jc w:val="left"/>
              <w:rPr>
                <w:rFonts w:ascii="宋体" w:hAnsi="宋体" w:cs="宋体"/>
                <w:szCs w:val="24"/>
                <w:highlight w:val="none"/>
              </w:rPr>
            </w:pPr>
            <w:r>
              <w:rPr>
                <w:rFonts w:hint="eastAsia" w:ascii="宋体" w:hAnsi="宋体" w:cs="宋体"/>
                <w:szCs w:val="24"/>
                <w:highlight w:val="none"/>
              </w:rPr>
              <w:t>2.防护等级IP65.</w:t>
            </w:r>
          </w:p>
          <w:p>
            <w:pPr>
              <w:tabs>
                <w:tab w:val="left" w:pos="907"/>
                <w:tab w:val="left" w:pos="2008"/>
                <w:tab w:val="left" w:pos="3155"/>
              </w:tabs>
              <w:spacing w:before="14"/>
              <w:jc w:val="left"/>
              <w:rPr>
                <w:rFonts w:ascii="宋体" w:hAnsi="宋体" w:cs="宋体"/>
                <w:szCs w:val="24"/>
                <w:highlight w:val="none"/>
              </w:rPr>
            </w:pPr>
            <w:r>
              <w:rPr>
                <w:rFonts w:hint="eastAsia" w:ascii="宋体" w:hAnsi="宋体" w:cs="宋体"/>
                <w:szCs w:val="24"/>
                <w:highlight w:val="none"/>
              </w:rPr>
              <w:t>3.测量范围：0~16bar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420" w:type="pct"/>
            <w:vMerge w:val="continue"/>
            <w:noWrap w:val="0"/>
            <w:vAlign w:val="center"/>
          </w:tcPr>
          <w:p>
            <w:pPr>
              <w:jc w:val="center"/>
              <w:rPr>
                <w:rFonts w:ascii="宋体" w:hAnsi="宋体" w:cs="宋体"/>
                <w:w w:val="99"/>
                <w:szCs w:val="24"/>
                <w:highlight w:val="none"/>
              </w:rPr>
            </w:pPr>
          </w:p>
        </w:tc>
        <w:tc>
          <w:tcPr>
            <w:tcW w:w="566" w:type="pct"/>
            <w:vMerge w:val="continue"/>
            <w:noWrap w:val="0"/>
            <w:vAlign w:val="center"/>
          </w:tcPr>
          <w:p>
            <w:pPr>
              <w:spacing w:before="14"/>
              <w:ind w:left="28"/>
              <w:jc w:val="center"/>
              <w:rPr>
                <w:rFonts w:ascii="宋体" w:hAnsi="宋体" w:cs="宋体"/>
                <w:szCs w:val="24"/>
                <w:highlight w:val="none"/>
              </w:rPr>
            </w:pPr>
          </w:p>
        </w:tc>
        <w:tc>
          <w:tcPr>
            <w:tcW w:w="923" w:type="pct"/>
            <w:noWrap w:val="0"/>
            <w:vAlign w:val="center"/>
          </w:tcPr>
          <w:p>
            <w:pPr>
              <w:spacing w:before="14"/>
              <w:ind w:left="28"/>
              <w:jc w:val="center"/>
              <w:rPr>
                <w:rFonts w:ascii="宋体" w:hAnsi="宋体" w:cs="宋体"/>
                <w:szCs w:val="24"/>
                <w:highlight w:val="none"/>
                <w:lang w:eastAsia="en-US"/>
              </w:rPr>
            </w:pPr>
            <w:r>
              <w:rPr>
                <w:rFonts w:hint="eastAsia" w:ascii="宋体" w:hAnsi="宋体" w:cs="宋体"/>
                <w:szCs w:val="24"/>
                <w:highlight w:val="none"/>
                <w:lang w:eastAsia="en-US"/>
              </w:rPr>
              <w:t>室外温湿度</w:t>
            </w:r>
          </w:p>
          <w:p>
            <w:pPr>
              <w:spacing w:before="14"/>
              <w:ind w:left="28"/>
              <w:jc w:val="center"/>
              <w:rPr>
                <w:rFonts w:ascii="宋体" w:hAnsi="宋体" w:cs="宋体"/>
                <w:szCs w:val="24"/>
                <w:highlight w:val="none"/>
              </w:rPr>
            </w:pPr>
            <w:r>
              <w:rPr>
                <w:rFonts w:hint="eastAsia" w:ascii="宋体" w:hAnsi="宋体" w:cs="宋体"/>
                <w:szCs w:val="24"/>
                <w:highlight w:val="none"/>
                <w:lang w:eastAsia="en-US"/>
              </w:rPr>
              <w:t>传感器</w:t>
            </w:r>
          </w:p>
        </w:tc>
        <w:tc>
          <w:tcPr>
            <w:tcW w:w="3090" w:type="pct"/>
            <w:noWrap w:val="0"/>
            <w:vAlign w:val="center"/>
          </w:tcPr>
          <w:p>
            <w:pPr>
              <w:jc w:val="left"/>
              <w:rPr>
                <w:rFonts w:ascii="宋体" w:hAnsi="宋体" w:cs="宋体"/>
                <w:szCs w:val="24"/>
                <w:highlight w:val="none"/>
              </w:rPr>
            </w:pPr>
            <w:r>
              <w:rPr>
                <w:rFonts w:hint="eastAsia" w:ascii="宋体" w:hAnsi="宋体" w:cs="宋体"/>
                <w:szCs w:val="24"/>
                <w:highlight w:val="none"/>
              </w:rPr>
              <w:t>1.电源24VDC. 输出信号4-20mA.</w:t>
            </w:r>
          </w:p>
          <w:p>
            <w:pPr>
              <w:jc w:val="left"/>
              <w:rPr>
                <w:rFonts w:ascii="宋体" w:hAnsi="宋体" w:cs="宋体"/>
                <w:szCs w:val="24"/>
                <w:highlight w:val="none"/>
              </w:rPr>
            </w:pPr>
            <w:r>
              <w:rPr>
                <w:rFonts w:hint="eastAsia" w:ascii="宋体" w:hAnsi="宋体" w:cs="宋体"/>
                <w:szCs w:val="24"/>
                <w:highlight w:val="none"/>
              </w:rPr>
              <w:t>2.温度精度±0.5℃</w:t>
            </w:r>
          </w:p>
          <w:p>
            <w:pPr>
              <w:jc w:val="left"/>
              <w:rPr>
                <w:rFonts w:ascii="宋体" w:hAnsi="宋体" w:cs="宋体"/>
                <w:szCs w:val="24"/>
                <w:highlight w:val="none"/>
              </w:rPr>
            </w:pPr>
            <w:r>
              <w:rPr>
                <w:rFonts w:hint="eastAsia" w:ascii="宋体" w:hAnsi="宋体" w:cs="宋体"/>
                <w:szCs w:val="24"/>
                <w:highlight w:val="none"/>
              </w:rPr>
              <w:t>3.湿度精度±2%</w:t>
            </w:r>
            <w:r>
              <w:rPr>
                <w:rFonts w:hint="eastAsia" w:ascii="宋体" w:hAnsi="宋体" w:cs="宋体"/>
                <w:szCs w:val="24"/>
                <w:highlight w:val="none"/>
              </w:rPr>
              <w:br w:type="textWrapping"/>
            </w:r>
            <w:r>
              <w:rPr>
                <w:rFonts w:hint="eastAsia" w:ascii="宋体" w:hAnsi="宋体" w:cs="宋体"/>
                <w:szCs w:val="24"/>
                <w:highlight w:val="none"/>
              </w:rPr>
              <w:t>4.防护等级IP65</w:t>
            </w:r>
          </w:p>
        </w:tc>
      </w:tr>
    </w:tbl>
    <w:p>
      <w:pPr>
        <w:pStyle w:val="23"/>
        <w:rPr>
          <w:rFonts w:ascii="宋体" w:hAnsi="宋体"/>
          <w:b/>
          <w:sz w:val="28"/>
          <w:szCs w:val="28"/>
          <w:highlight w:val="none"/>
        </w:rPr>
      </w:pPr>
      <w:bookmarkStart w:id="231" w:name="_Toc14428"/>
      <w:bookmarkStart w:id="232" w:name="_Toc27110"/>
      <w:r>
        <w:rPr>
          <w:rFonts w:hint="eastAsia" w:ascii="宋体" w:hAnsi="宋体"/>
          <w:b/>
          <w:sz w:val="28"/>
          <w:szCs w:val="28"/>
          <w:highlight w:val="none"/>
        </w:rPr>
        <w:t>3.2 冷却塔基本要求</w:t>
      </w:r>
      <w:bookmarkEnd w:id="231"/>
      <w:bookmarkEnd w:id="232"/>
    </w:p>
    <w:p>
      <w:pPr>
        <w:rPr>
          <w:b/>
          <w:bCs/>
          <w:highlight w:val="none"/>
        </w:rPr>
      </w:pPr>
      <w:bookmarkStart w:id="233" w:name="_Toc138238315"/>
      <w:r>
        <w:rPr>
          <w:b/>
          <w:bCs/>
          <w:highlight w:val="none"/>
        </w:rPr>
        <w:t>1</w:t>
      </w:r>
      <w:r>
        <w:rPr>
          <w:rFonts w:hint="eastAsia"/>
          <w:b/>
          <w:bCs/>
          <w:highlight w:val="none"/>
        </w:rPr>
        <w:t>.</w:t>
      </w:r>
      <w:r>
        <w:rPr>
          <w:b/>
          <w:bCs/>
          <w:highlight w:val="none"/>
        </w:rPr>
        <w:t>整体要求</w:t>
      </w:r>
      <w:bookmarkEnd w:id="233"/>
    </w:p>
    <w:p>
      <w:pPr>
        <w:rPr>
          <w:rFonts w:ascii="宋体" w:hAnsi="宋体"/>
          <w:highlight w:val="none"/>
        </w:rPr>
      </w:pPr>
      <w:r>
        <w:rPr>
          <w:rFonts w:ascii="宋体" w:hAnsi="宋体"/>
          <w:highlight w:val="none"/>
        </w:rPr>
        <w:t>1.1具备自动除泡沫功能；</w:t>
      </w:r>
    </w:p>
    <w:p>
      <w:pPr>
        <w:rPr>
          <w:rFonts w:ascii="宋体" w:hAnsi="宋体"/>
          <w:highlight w:val="none"/>
        </w:rPr>
      </w:pPr>
      <w:r>
        <w:rPr>
          <w:rFonts w:ascii="宋体" w:hAnsi="宋体"/>
          <w:highlight w:val="none"/>
        </w:rPr>
        <w:t>1.2正常运行过程中，噪音值≤63dB(A)（按国家规范测试）；</w:t>
      </w:r>
    </w:p>
    <w:p>
      <w:pPr>
        <w:rPr>
          <w:rFonts w:ascii="宋体" w:hAnsi="宋体"/>
          <w:highlight w:val="none"/>
        </w:rPr>
      </w:pPr>
      <w:r>
        <w:rPr>
          <w:rFonts w:ascii="宋体" w:hAnsi="宋体"/>
          <w:highlight w:val="none"/>
        </w:rPr>
        <w:t>1.3冷却水进入冷水机之前需要除硬水、过滤粉尘颗粒等杂质；</w:t>
      </w:r>
    </w:p>
    <w:p>
      <w:pPr>
        <w:rPr>
          <w:rFonts w:ascii="宋体" w:hAnsi="宋体"/>
          <w:highlight w:val="none"/>
        </w:rPr>
      </w:pPr>
      <w:r>
        <w:rPr>
          <w:rFonts w:ascii="宋体" w:hAnsi="宋体"/>
          <w:highlight w:val="none"/>
        </w:rPr>
        <w:t>1.4冷却塔夏天应能在环境温度不超过50℃，全露天的条件下正常运行;冬天能正常运行，集水盘自带防冻保护功能或结冰后自动解冻或除冰功能；</w:t>
      </w:r>
    </w:p>
    <w:p>
      <w:pPr>
        <w:rPr>
          <w:rFonts w:ascii="宋体" w:hAnsi="宋体"/>
          <w:highlight w:val="none"/>
        </w:rPr>
      </w:pPr>
      <w:r>
        <w:rPr>
          <w:rFonts w:ascii="宋体" w:hAnsi="宋体"/>
          <w:highlight w:val="none"/>
        </w:rPr>
        <w:t>1.5自动保养提醒功能；</w:t>
      </w:r>
    </w:p>
    <w:p>
      <w:pPr>
        <w:rPr>
          <w:rFonts w:ascii="宋体" w:hAnsi="宋体"/>
          <w:highlight w:val="none"/>
        </w:rPr>
      </w:pPr>
      <w:r>
        <w:rPr>
          <w:rFonts w:ascii="宋体" w:hAnsi="宋体"/>
          <w:highlight w:val="none"/>
        </w:rPr>
        <w:t>1.6冷却塔使用寿命不少于20年；</w:t>
      </w:r>
    </w:p>
    <w:p>
      <w:pPr>
        <w:rPr>
          <w:rFonts w:ascii="宋体" w:hAnsi="宋体"/>
          <w:highlight w:val="none"/>
        </w:rPr>
      </w:pPr>
      <w:r>
        <w:rPr>
          <w:rFonts w:ascii="宋体" w:hAnsi="宋体"/>
          <w:highlight w:val="none"/>
        </w:rPr>
        <w:t>1.7在适当的位置提供检修口和带扶手爬梯以便维修。如果机械传动系统的检修和维护工作需在塔顶平台上完成，则塔顶平台必须设有围栏；</w:t>
      </w:r>
    </w:p>
    <w:p>
      <w:pPr>
        <w:rPr>
          <w:rFonts w:ascii="宋体" w:hAnsi="宋体"/>
          <w:highlight w:val="none"/>
        </w:rPr>
      </w:pPr>
      <w:r>
        <w:rPr>
          <w:rFonts w:ascii="宋体" w:hAnsi="宋体"/>
          <w:highlight w:val="none"/>
        </w:rPr>
        <w:t>1.8可连续正常运行（每日24小时，每年365天）；</w:t>
      </w:r>
    </w:p>
    <w:p>
      <w:pPr>
        <w:rPr>
          <w:rFonts w:ascii="宋体" w:hAnsi="宋体"/>
          <w:highlight w:val="none"/>
        </w:rPr>
      </w:pPr>
      <w:r>
        <w:rPr>
          <w:rFonts w:ascii="宋体" w:hAnsi="宋体"/>
          <w:highlight w:val="none"/>
        </w:rPr>
        <w:t>1.9</w:t>
      </w:r>
      <w:r>
        <w:rPr>
          <w:rFonts w:hint="eastAsia" w:ascii="宋体" w:hAnsi="宋体"/>
          <w:highlight w:val="none"/>
        </w:rPr>
        <w:t>能耗</w:t>
      </w:r>
      <w:r>
        <w:rPr>
          <w:rFonts w:ascii="宋体" w:hAnsi="宋体"/>
          <w:highlight w:val="none"/>
        </w:rPr>
        <w:t>比：≤0.035KW/m3/h.补水量：≤0.8615℅。</w:t>
      </w:r>
    </w:p>
    <w:p>
      <w:pPr>
        <w:rPr>
          <w:b/>
          <w:bCs/>
          <w:highlight w:val="none"/>
        </w:rPr>
      </w:pPr>
      <w:bookmarkStart w:id="234" w:name="_Toc138238316"/>
      <w:r>
        <w:rPr>
          <w:b/>
          <w:bCs/>
          <w:highlight w:val="none"/>
        </w:rPr>
        <w:t>2</w:t>
      </w:r>
      <w:r>
        <w:rPr>
          <w:rFonts w:hint="eastAsia"/>
          <w:b/>
          <w:bCs/>
          <w:highlight w:val="none"/>
        </w:rPr>
        <w:t>.</w:t>
      </w:r>
      <w:r>
        <w:rPr>
          <w:b/>
          <w:bCs/>
          <w:highlight w:val="none"/>
        </w:rPr>
        <w:t>塔体要求</w:t>
      </w:r>
      <w:bookmarkEnd w:id="234"/>
    </w:p>
    <w:p>
      <w:pPr>
        <w:rPr>
          <w:rFonts w:ascii="宋体" w:hAnsi="宋体"/>
          <w:szCs w:val="24"/>
          <w:highlight w:val="none"/>
        </w:rPr>
      </w:pPr>
      <w:r>
        <w:rPr>
          <w:rFonts w:ascii="宋体" w:hAnsi="宋体"/>
          <w:szCs w:val="24"/>
          <w:highlight w:val="none"/>
        </w:rPr>
        <w:t>2.1塔体要求采用高强度FRP复合材料制作，表面有均匀胶衣层，光滑、无裂纹，色泽均匀。具有抗老化、耐腐蚀、不变形、不褪色等特点。</w:t>
      </w:r>
    </w:p>
    <w:p>
      <w:pPr>
        <w:rPr>
          <w:rFonts w:ascii="宋体" w:hAnsi="宋体"/>
          <w:szCs w:val="24"/>
          <w:highlight w:val="none"/>
        </w:rPr>
      </w:pPr>
      <w:r>
        <w:rPr>
          <w:rFonts w:ascii="宋体" w:hAnsi="宋体"/>
          <w:szCs w:val="24"/>
          <w:highlight w:val="none"/>
        </w:rPr>
        <w:t>2.2冷却塔顶部应有检修平台，并设置检修爬梯。</w:t>
      </w:r>
    </w:p>
    <w:p>
      <w:pPr>
        <w:rPr>
          <w:rFonts w:ascii="宋体" w:hAnsi="宋体"/>
          <w:szCs w:val="24"/>
          <w:highlight w:val="none"/>
        </w:rPr>
      </w:pPr>
      <w:r>
        <w:rPr>
          <w:rFonts w:ascii="宋体" w:hAnsi="宋体"/>
          <w:szCs w:val="24"/>
          <w:highlight w:val="none"/>
        </w:rPr>
        <w:t>2.3冷却塔外壁与框架结构等的结合部位具良好的密封性能，防止渗漏。</w:t>
      </w:r>
    </w:p>
    <w:p>
      <w:pPr>
        <w:rPr>
          <w:rFonts w:ascii="宋体" w:hAnsi="宋体"/>
          <w:szCs w:val="24"/>
          <w:highlight w:val="none"/>
        </w:rPr>
      </w:pPr>
      <w:r>
        <w:rPr>
          <w:rFonts w:ascii="宋体" w:hAnsi="宋体"/>
          <w:szCs w:val="24"/>
          <w:highlight w:val="none"/>
        </w:rPr>
        <w:t>2.4冷却塔由多个单体组合而成，每个单体必须能够独立操作并可与其它单体任意组合使用。</w:t>
      </w:r>
    </w:p>
    <w:p>
      <w:pPr>
        <w:rPr>
          <w:rFonts w:ascii="宋体" w:hAnsi="宋体"/>
          <w:szCs w:val="24"/>
          <w:highlight w:val="none"/>
        </w:rPr>
      </w:pPr>
      <w:r>
        <w:rPr>
          <w:rFonts w:ascii="宋体" w:hAnsi="宋体"/>
          <w:szCs w:val="24"/>
          <w:highlight w:val="none"/>
        </w:rPr>
        <w:t>2.5塔体结构要求：</w:t>
      </w:r>
    </w:p>
    <w:p>
      <w:pPr>
        <w:widowControl/>
        <w:numPr>
          <w:ilvl w:val="0"/>
          <w:numId w:val="98"/>
        </w:numPr>
        <w:spacing w:line="360" w:lineRule="auto"/>
        <w:jc w:val="left"/>
        <w:rPr>
          <w:rFonts w:ascii="宋体" w:hAnsi="宋体"/>
          <w:color w:val="000000"/>
          <w:szCs w:val="24"/>
          <w:highlight w:val="none"/>
        </w:rPr>
      </w:pPr>
      <w:r>
        <w:rPr>
          <w:rFonts w:ascii="宋体" w:hAnsi="宋体"/>
          <w:color w:val="000000"/>
          <w:szCs w:val="24"/>
          <w:highlight w:val="none"/>
        </w:rPr>
        <w:t>冷却塔</w:t>
      </w:r>
      <w:r>
        <w:rPr>
          <w:rFonts w:hint="eastAsia" w:ascii="宋体" w:hAnsi="宋体"/>
          <w:color w:val="000000"/>
          <w:szCs w:val="24"/>
          <w:highlight w:val="none"/>
        </w:rPr>
        <w:t>框架</w:t>
      </w:r>
      <w:r>
        <w:rPr>
          <w:rFonts w:ascii="宋体" w:hAnsi="宋体"/>
          <w:color w:val="000000"/>
          <w:szCs w:val="24"/>
          <w:highlight w:val="none"/>
        </w:rPr>
        <w:t>要求采用</w:t>
      </w:r>
      <w:r>
        <w:rPr>
          <w:rFonts w:hint="eastAsia" w:ascii="宋体" w:hAnsi="宋体"/>
          <w:color w:val="000000"/>
          <w:szCs w:val="24"/>
          <w:highlight w:val="none"/>
        </w:rPr>
        <w:t>Z700镀锌钢材质</w:t>
      </w:r>
      <w:r>
        <w:rPr>
          <w:rFonts w:ascii="宋体" w:hAnsi="宋体"/>
          <w:color w:val="000000"/>
          <w:szCs w:val="24"/>
          <w:highlight w:val="none"/>
        </w:rPr>
        <w:t>钢架结构；</w:t>
      </w:r>
    </w:p>
    <w:p>
      <w:pPr>
        <w:widowControl/>
        <w:numPr>
          <w:ilvl w:val="0"/>
          <w:numId w:val="98"/>
        </w:numPr>
        <w:spacing w:line="360" w:lineRule="auto"/>
        <w:jc w:val="left"/>
        <w:rPr>
          <w:rFonts w:ascii="宋体" w:hAnsi="宋体"/>
          <w:szCs w:val="24"/>
          <w:highlight w:val="none"/>
        </w:rPr>
      </w:pPr>
      <w:r>
        <w:rPr>
          <w:rFonts w:ascii="宋体" w:hAnsi="宋体"/>
          <w:color w:val="000000"/>
          <w:szCs w:val="24"/>
          <w:highlight w:val="none"/>
        </w:rPr>
        <w:t>所有钢架构件要求经过热浸镀锌处理。紧固件（螺栓）采用不锈钢；</w:t>
      </w:r>
    </w:p>
    <w:p>
      <w:pPr>
        <w:widowControl/>
        <w:numPr>
          <w:ilvl w:val="0"/>
          <w:numId w:val="98"/>
        </w:numPr>
        <w:spacing w:line="360" w:lineRule="auto"/>
        <w:jc w:val="left"/>
        <w:rPr>
          <w:rFonts w:ascii="宋体" w:hAnsi="宋体"/>
          <w:szCs w:val="24"/>
          <w:highlight w:val="none"/>
        </w:rPr>
      </w:pPr>
      <w:r>
        <w:rPr>
          <w:rFonts w:ascii="宋体" w:hAnsi="宋体"/>
          <w:color w:val="000000"/>
          <w:szCs w:val="24"/>
          <w:highlight w:val="none"/>
        </w:rPr>
        <w:t>冷却塔抗风压能力不小于1.5KN/m</w:t>
      </w:r>
      <w:r>
        <w:rPr>
          <w:rFonts w:ascii="宋体" w:hAnsi="宋体"/>
          <w:color w:val="000000"/>
          <w:szCs w:val="24"/>
          <w:highlight w:val="none"/>
          <w:vertAlign w:val="superscript"/>
        </w:rPr>
        <w:t>2</w:t>
      </w:r>
      <w:r>
        <w:rPr>
          <w:rFonts w:ascii="宋体" w:hAnsi="宋体"/>
          <w:color w:val="000000"/>
          <w:szCs w:val="24"/>
          <w:highlight w:val="none"/>
        </w:rPr>
        <w:t>；</w:t>
      </w:r>
    </w:p>
    <w:p>
      <w:pPr>
        <w:widowControl/>
        <w:numPr>
          <w:ilvl w:val="0"/>
          <w:numId w:val="98"/>
        </w:numPr>
        <w:spacing w:line="360" w:lineRule="auto"/>
        <w:jc w:val="left"/>
        <w:rPr>
          <w:rFonts w:ascii="宋体" w:hAnsi="宋体"/>
          <w:szCs w:val="24"/>
          <w:highlight w:val="none"/>
        </w:rPr>
      </w:pPr>
      <w:r>
        <w:rPr>
          <w:rFonts w:ascii="宋体" w:hAnsi="宋体"/>
          <w:color w:val="000000"/>
          <w:szCs w:val="24"/>
          <w:highlight w:val="none"/>
        </w:rPr>
        <w:t>冷却塔玻璃钢风筒、侧板厚度≥4mm；</w:t>
      </w:r>
    </w:p>
    <w:p>
      <w:pPr>
        <w:widowControl/>
        <w:numPr>
          <w:ilvl w:val="0"/>
          <w:numId w:val="98"/>
        </w:numPr>
        <w:spacing w:line="360" w:lineRule="auto"/>
        <w:jc w:val="left"/>
        <w:rPr>
          <w:rFonts w:ascii="宋体" w:hAnsi="宋体"/>
          <w:szCs w:val="24"/>
          <w:highlight w:val="none"/>
        </w:rPr>
      </w:pPr>
      <w:r>
        <w:rPr>
          <w:rFonts w:ascii="宋体" w:hAnsi="宋体"/>
          <w:color w:val="000000"/>
          <w:szCs w:val="24"/>
          <w:highlight w:val="none"/>
        </w:rPr>
        <w:t>塔体接水盘高度不低于600mm</w:t>
      </w:r>
    </w:p>
    <w:p>
      <w:pPr>
        <w:rPr>
          <w:rFonts w:ascii="宋体" w:hAnsi="宋体"/>
          <w:szCs w:val="24"/>
          <w:highlight w:val="none"/>
        </w:rPr>
      </w:pPr>
      <w:r>
        <w:rPr>
          <w:rFonts w:hint="eastAsia" w:ascii="宋体" w:hAnsi="宋体"/>
          <w:szCs w:val="24"/>
          <w:highlight w:val="none"/>
        </w:rPr>
        <w:t>2.6 集水盘</w:t>
      </w:r>
    </w:p>
    <w:p>
      <w:pPr>
        <w:ind w:firstLine="210" w:firstLineChars="100"/>
        <w:rPr>
          <w:rFonts w:ascii="宋体" w:hAnsi="宋体"/>
          <w:szCs w:val="24"/>
          <w:highlight w:val="none"/>
        </w:rPr>
      </w:pPr>
      <w:r>
        <w:rPr>
          <w:rFonts w:hint="eastAsia" w:ascii="宋体" w:hAnsi="宋体"/>
          <w:szCs w:val="24"/>
          <w:highlight w:val="none"/>
        </w:rPr>
        <w:t>a.集水盘采用304不锈钢板制作，能确保维护人员在上面正常行走安全。</w:t>
      </w:r>
    </w:p>
    <w:p>
      <w:pPr>
        <w:ind w:firstLine="210" w:firstLineChars="100"/>
        <w:rPr>
          <w:rFonts w:ascii="宋体" w:hAnsi="宋体"/>
          <w:szCs w:val="24"/>
          <w:highlight w:val="none"/>
        </w:rPr>
      </w:pPr>
      <w:r>
        <w:rPr>
          <w:rFonts w:hint="eastAsia" w:ascii="宋体" w:hAnsi="宋体"/>
          <w:szCs w:val="24"/>
          <w:highlight w:val="none"/>
        </w:rPr>
        <w:t>b.集水盘有效液位高度不小于</w:t>
      </w:r>
      <w:r>
        <w:rPr>
          <w:rFonts w:ascii="宋体" w:hAnsi="宋体"/>
          <w:szCs w:val="24"/>
          <w:highlight w:val="none"/>
        </w:rPr>
        <w:t>200mm</w:t>
      </w:r>
      <w:r>
        <w:rPr>
          <w:rFonts w:hint="eastAsia" w:ascii="宋体" w:hAnsi="宋体"/>
          <w:szCs w:val="24"/>
          <w:highlight w:val="none"/>
        </w:rPr>
        <w:t>。</w:t>
      </w:r>
    </w:p>
    <w:p>
      <w:pPr>
        <w:widowControl/>
        <w:ind w:firstLine="210" w:firstLineChars="100"/>
        <w:jc w:val="left"/>
        <w:rPr>
          <w:rFonts w:ascii="宋体" w:hAnsi="宋体"/>
          <w:szCs w:val="24"/>
          <w:highlight w:val="none"/>
        </w:rPr>
      </w:pPr>
      <w:r>
        <w:rPr>
          <w:rFonts w:hint="eastAsia" w:ascii="宋体" w:hAnsi="宋体"/>
          <w:szCs w:val="24"/>
          <w:highlight w:val="none"/>
        </w:rPr>
        <w:t>c.</w:t>
      </w:r>
      <w:r>
        <w:rPr>
          <w:rFonts w:hint="eastAsia" w:ascii="宋体" w:hAnsi="宋体" w:cs="宋体"/>
          <w:szCs w:val="24"/>
          <w:highlight w:val="none"/>
        </w:rPr>
        <w:t>集水盘的主要作用为收集落下的喷淋水并通过下部集水槽，保证喷淋水的循环工作底部滤网</w:t>
      </w:r>
    </w:p>
    <w:p>
      <w:pPr>
        <w:rPr>
          <w:rFonts w:ascii="宋体" w:hAnsi="宋体"/>
          <w:szCs w:val="24"/>
          <w:highlight w:val="none"/>
        </w:rPr>
      </w:pPr>
      <w:r>
        <w:rPr>
          <w:rFonts w:ascii="宋体" w:hAnsi="宋体"/>
          <w:szCs w:val="24"/>
          <w:highlight w:val="none"/>
        </w:rPr>
        <w:t>2.</w:t>
      </w:r>
      <w:r>
        <w:rPr>
          <w:rFonts w:hint="eastAsia" w:ascii="宋体" w:hAnsi="宋体"/>
          <w:szCs w:val="24"/>
          <w:highlight w:val="none"/>
        </w:rPr>
        <w:t>7</w:t>
      </w:r>
      <w:r>
        <w:rPr>
          <w:rFonts w:ascii="宋体" w:hAnsi="宋体"/>
          <w:szCs w:val="24"/>
          <w:highlight w:val="none"/>
        </w:rPr>
        <w:t>冷却塔的布水方式应按GB/T7190.1-2018中所规定采用池式布水，要求散水孔分布合理，布水均匀。布水盘托架应要采用热浸镀锌钢构件，以保证强度。</w:t>
      </w:r>
    </w:p>
    <w:p>
      <w:pPr>
        <w:rPr>
          <w:rFonts w:ascii="宋体" w:hAnsi="宋体"/>
          <w:szCs w:val="24"/>
          <w:highlight w:val="none"/>
        </w:rPr>
      </w:pPr>
      <w:r>
        <w:rPr>
          <w:rFonts w:ascii="宋体" w:hAnsi="宋体"/>
          <w:szCs w:val="24"/>
          <w:highlight w:val="none"/>
        </w:rPr>
        <w:t>2.</w:t>
      </w:r>
      <w:r>
        <w:rPr>
          <w:rFonts w:hint="eastAsia" w:ascii="宋体" w:hAnsi="宋体"/>
          <w:szCs w:val="24"/>
          <w:highlight w:val="none"/>
        </w:rPr>
        <w:t>8</w:t>
      </w:r>
      <w:r>
        <w:rPr>
          <w:rFonts w:ascii="宋体" w:hAnsi="宋体"/>
          <w:szCs w:val="24"/>
          <w:highlight w:val="none"/>
        </w:rPr>
        <w:t>冷却塔的水槽部分采用玻璃钢制成，厚度≥6mm，要求一次性模具成型，以便更好的解决渗漏，其中不允许含有滑石粉等杂质材料。</w:t>
      </w:r>
    </w:p>
    <w:p>
      <w:pPr>
        <w:rPr>
          <w:rFonts w:ascii="宋体" w:hAnsi="宋体"/>
          <w:szCs w:val="24"/>
          <w:highlight w:val="none"/>
        </w:rPr>
      </w:pPr>
      <w:r>
        <w:rPr>
          <w:rFonts w:ascii="宋体" w:hAnsi="宋体"/>
          <w:szCs w:val="24"/>
          <w:highlight w:val="none"/>
        </w:rPr>
        <w:t>2.</w:t>
      </w:r>
      <w:r>
        <w:rPr>
          <w:rFonts w:hint="eastAsia" w:ascii="宋体" w:hAnsi="宋体"/>
          <w:szCs w:val="24"/>
          <w:highlight w:val="none"/>
        </w:rPr>
        <w:t>9</w:t>
      </w:r>
      <w:r>
        <w:rPr>
          <w:rFonts w:ascii="宋体" w:hAnsi="宋体"/>
          <w:szCs w:val="24"/>
          <w:highlight w:val="none"/>
        </w:rPr>
        <w:t>冷却塔与外部管路连接的配管采用热浸锌钢构件，以保证强度。</w:t>
      </w:r>
    </w:p>
    <w:p>
      <w:pPr>
        <w:rPr>
          <w:rFonts w:ascii="宋体" w:hAnsi="宋体"/>
          <w:szCs w:val="24"/>
          <w:highlight w:val="none"/>
        </w:rPr>
      </w:pPr>
      <w:r>
        <w:rPr>
          <w:rFonts w:ascii="宋体" w:hAnsi="宋体"/>
          <w:szCs w:val="24"/>
          <w:highlight w:val="none"/>
        </w:rPr>
        <w:t>2.</w:t>
      </w:r>
      <w:r>
        <w:rPr>
          <w:rFonts w:hint="eastAsia" w:ascii="宋体" w:hAnsi="宋体"/>
          <w:szCs w:val="24"/>
          <w:highlight w:val="none"/>
        </w:rPr>
        <w:t>10</w:t>
      </w:r>
      <w:r>
        <w:rPr>
          <w:rFonts w:ascii="宋体" w:hAnsi="宋体"/>
          <w:szCs w:val="24"/>
          <w:highlight w:val="none"/>
        </w:rPr>
        <w:t>冷却塔内部要求设置检查用步廊，步廊两侧要有安全扶手，便于塔体内部的检修。</w:t>
      </w:r>
    </w:p>
    <w:p>
      <w:pPr>
        <w:rPr>
          <w:b/>
          <w:bCs/>
          <w:highlight w:val="none"/>
        </w:rPr>
      </w:pPr>
      <w:bookmarkStart w:id="235" w:name="_Toc138238317"/>
      <w:r>
        <w:rPr>
          <w:b/>
          <w:bCs/>
          <w:highlight w:val="none"/>
        </w:rPr>
        <w:t>3</w:t>
      </w:r>
      <w:r>
        <w:rPr>
          <w:rFonts w:hint="eastAsia"/>
          <w:b/>
          <w:bCs/>
          <w:highlight w:val="none"/>
        </w:rPr>
        <w:t>.</w:t>
      </w:r>
      <w:r>
        <w:rPr>
          <w:b/>
          <w:bCs/>
          <w:highlight w:val="none"/>
        </w:rPr>
        <w:t>填料</w:t>
      </w:r>
      <w:bookmarkEnd w:id="235"/>
    </w:p>
    <w:p>
      <w:pPr>
        <w:rPr>
          <w:rFonts w:ascii="宋体" w:hAnsi="宋体"/>
          <w:highlight w:val="none"/>
        </w:rPr>
      </w:pPr>
      <w:r>
        <w:rPr>
          <w:rFonts w:ascii="宋体" w:hAnsi="宋体"/>
          <w:highlight w:val="none"/>
        </w:rPr>
        <w:t>3.1冷却塔淋水填料采用阻燃PVC片材经真空吸塑成型，要求排列紧密、防腐蚀、防老化，在50℃时不变形。易于拆装、清洗，其表面形状应有利于冷却水的滞留及换热，安装时要有良好的固定措施。严禁使用再生材料或部分再生材料生产的填料。填料必须满足《冷却塔填料技术规范》NDGJ89－89；</w:t>
      </w:r>
    </w:p>
    <w:p>
      <w:pPr>
        <w:rPr>
          <w:rFonts w:ascii="宋体" w:hAnsi="宋体"/>
          <w:highlight w:val="none"/>
        </w:rPr>
      </w:pPr>
      <w:r>
        <w:rPr>
          <w:rFonts w:ascii="宋体" w:hAnsi="宋体"/>
          <w:highlight w:val="none"/>
        </w:rPr>
        <w:t>3.2填料安装后要求间隙均匀，顶面平整，无坦荡塌落和叠片现象。使用寿命超过10年。要求投标人对填料的性能及安装方式进行描述；</w:t>
      </w:r>
    </w:p>
    <w:p>
      <w:pPr>
        <w:rPr>
          <w:rFonts w:ascii="宋体" w:hAnsi="宋体"/>
          <w:highlight w:val="none"/>
        </w:rPr>
      </w:pPr>
      <w:r>
        <w:rPr>
          <w:rFonts w:ascii="宋体" w:hAnsi="宋体"/>
          <w:highlight w:val="none"/>
        </w:rPr>
        <w:t>3.3冷却塔下塔体要求设置淋水吸声填料；</w:t>
      </w:r>
    </w:p>
    <w:p>
      <w:pPr>
        <w:rPr>
          <w:rFonts w:ascii="宋体" w:hAnsi="宋体"/>
          <w:highlight w:val="none"/>
        </w:rPr>
      </w:pPr>
      <w:r>
        <w:rPr>
          <w:rFonts w:ascii="宋体" w:hAnsi="宋体"/>
          <w:highlight w:val="none"/>
        </w:rPr>
        <w:t>3.4冷却塔应设置防飘水结构的百叶板，并且装卸简单方便，以便于冷却塔填料的定期清洗；冷却塔的漂水损率要求小于0.0015%。</w:t>
      </w:r>
    </w:p>
    <w:p>
      <w:pPr>
        <w:rPr>
          <w:b/>
          <w:bCs/>
          <w:highlight w:val="none"/>
        </w:rPr>
      </w:pPr>
      <w:bookmarkStart w:id="236" w:name="_Toc138238318"/>
      <w:r>
        <w:rPr>
          <w:b/>
          <w:bCs/>
          <w:highlight w:val="none"/>
        </w:rPr>
        <w:t>4</w:t>
      </w:r>
      <w:r>
        <w:rPr>
          <w:rFonts w:hint="eastAsia"/>
          <w:b/>
          <w:bCs/>
          <w:highlight w:val="none"/>
        </w:rPr>
        <w:t>.</w:t>
      </w:r>
      <w:r>
        <w:rPr>
          <w:b/>
          <w:bCs/>
          <w:highlight w:val="none"/>
        </w:rPr>
        <w:t>风机</w:t>
      </w:r>
      <w:bookmarkEnd w:id="236"/>
    </w:p>
    <w:p>
      <w:pPr>
        <w:rPr>
          <w:rFonts w:ascii="宋体" w:hAnsi="宋体"/>
          <w:highlight w:val="none"/>
        </w:rPr>
      </w:pPr>
      <w:r>
        <w:rPr>
          <w:rFonts w:ascii="宋体" w:hAnsi="宋体"/>
          <w:highlight w:val="none"/>
        </w:rPr>
        <w:t>4.1风机要求采用国内外知名品牌产品；</w:t>
      </w:r>
    </w:p>
    <w:p>
      <w:pPr>
        <w:rPr>
          <w:rFonts w:ascii="宋体" w:hAnsi="宋体"/>
          <w:highlight w:val="none"/>
        </w:rPr>
      </w:pPr>
      <w:r>
        <w:rPr>
          <w:rFonts w:ascii="宋体" w:hAnsi="宋体"/>
          <w:highlight w:val="none"/>
        </w:rPr>
        <w:t>4.2叶片采用铝合金材质</w:t>
      </w:r>
      <w:r>
        <w:rPr>
          <w:rFonts w:hint="eastAsia" w:ascii="宋体" w:hAnsi="宋体"/>
          <w:highlight w:val="none"/>
        </w:rPr>
        <w:t>，叶片不小于6片</w:t>
      </w:r>
      <w:r>
        <w:rPr>
          <w:rFonts w:ascii="宋体" w:hAnsi="宋体"/>
          <w:highlight w:val="none"/>
        </w:rPr>
        <w:t>；</w:t>
      </w:r>
    </w:p>
    <w:p>
      <w:pPr>
        <w:rPr>
          <w:rFonts w:ascii="宋体" w:hAnsi="宋体"/>
          <w:highlight w:val="none"/>
        </w:rPr>
      </w:pPr>
      <w:r>
        <w:rPr>
          <w:rFonts w:ascii="宋体" w:hAnsi="宋体"/>
          <w:highlight w:val="none"/>
        </w:rPr>
        <w:t>4.3风机轮毂采用铝合金铸件；</w:t>
      </w:r>
    </w:p>
    <w:p>
      <w:pPr>
        <w:rPr>
          <w:rFonts w:ascii="宋体" w:hAnsi="宋体"/>
          <w:highlight w:val="none"/>
        </w:rPr>
      </w:pPr>
      <w:r>
        <w:rPr>
          <w:rFonts w:ascii="宋体" w:hAnsi="宋体"/>
          <w:highlight w:val="none"/>
        </w:rPr>
        <w:t>4.4传动形式为齿轮传动；</w:t>
      </w:r>
    </w:p>
    <w:p>
      <w:pPr>
        <w:rPr>
          <w:rFonts w:ascii="宋体" w:hAnsi="宋体"/>
          <w:highlight w:val="none"/>
        </w:rPr>
      </w:pPr>
      <w:r>
        <w:rPr>
          <w:rFonts w:ascii="宋体" w:hAnsi="宋体"/>
          <w:highlight w:val="none"/>
        </w:rPr>
        <w:t>4.5风机传动轴承应采用外置式注油结构，以便冷却塔传动部分日常的维护和保养工作；</w:t>
      </w:r>
    </w:p>
    <w:p>
      <w:pPr>
        <w:rPr>
          <w:rFonts w:ascii="宋体" w:hAnsi="宋体"/>
          <w:highlight w:val="none"/>
        </w:rPr>
      </w:pPr>
      <w:r>
        <w:rPr>
          <w:rFonts w:ascii="宋体" w:hAnsi="宋体"/>
          <w:highlight w:val="none"/>
        </w:rPr>
        <w:t>4.6风机上方设置经热浸镀锌处理的挡网，以防止异物进入冷却塔内。</w:t>
      </w:r>
    </w:p>
    <w:p>
      <w:pPr>
        <w:rPr>
          <w:b/>
          <w:bCs/>
          <w:highlight w:val="none"/>
        </w:rPr>
      </w:pPr>
      <w:bookmarkStart w:id="237" w:name="_Toc138238319"/>
      <w:r>
        <w:rPr>
          <w:b/>
          <w:bCs/>
          <w:highlight w:val="none"/>
        </w:rPr>
        <w:t>5</w:t>
      </w:r>
      <w:r>
        <w:rPr>
          <w:rFonts w:hint="eastAsia"/>
          <w:b/>
          <w:bCs/>
          <w:highlight w:val="none"/>
        </w:rPr>
        <w:t>.</w:t>
      </w:r>
      <w:r>
        <w:rPr>
          <w:b/>
          <w:bCs/>
          <w:highlight w:val="none"/>
        </w:rPr>
        <w:t>电机及减速机</w:t>
      </w:r>
      <w:bookmarkEnd w:id="237"/>
    </w:p>
    <w:p>
      <w:pPr>
        <w:rPr>
          <w:rFonts w:ascii="宋体" w:hAnsi="宋体"/>
          <w:highlight w:val="none"/>
        </w:rPr>
      </w:pPr>
      <w:r>
        <w:rPr>
          <w:rFonts w:ascii="宋体" w:hAnsi="宋体"/>
          <w:highlight w:val="none"/>
        </w:rPr>
        <w:t>5.1电机防护等级为IP56及以上等级，绝缘等级为F级；</w:t>
      </w:r>
    </w:p>
    <w:p>
      <w:pPr>
        <w:rPr>
          <w:rFonts w:ascii="宋体" w:hAnsi="宋体"/>
          <w:highlight w:val="none"/>
        </w:rPr>
      </w:pPr>
      <w:r>
        <w:rPr>
          <w:rFonts w:ascii="宋体" w:hAnsi="宋体"/>
          <w:highlight w:val="none"/>
        </w:rPr>
        <w:t>5.2电机要求防止潮湿的热空气对电机的侵蚀，其结构形式应为全封闭屋外型；</w:t>
      </w:r>
    </w:p>
    <w:p>
      <w:pPr>
        <w:rPr>
          <w:rFonts w:ascii="宋体" w:hAnsi="宋体"/>
          <w:highlight w:val="none"/>
        </w:rPr>
      </w:pPr>
      <w:r>
        <w:rPr>
          <w:rFonts w:ascii="宋体" w:hAnsi="宋体"/>
          <w:highlight w:val="none"/>
        </w:rPr>
        <w:t>5.3出厂前，进行动平衡试验，要求结构紧凑、运传平稳、性能稳定、配置自动涨紧装置。</w:t>
      </w:r>
    </w:p>
    <w:p>
      <w:pPr>
        <w:keepNext/>
        <w:keepLines/>
        <w:outlineLvl w:val="2"/>
        <w:rPr>
          <w:rFonts w:ascii="宋体" w:hAnsi="宋体" w:cs="宋体"/>
          <w:b/>
          <w:bCs/>
          <w:sz w:val="28"/>
          <w:szCs w:val="32"/>
          <w:highlight w:val="none"/>
        </w:rPr>
      </w:pPr>
      <w:bookmarkStart w:id="238" w:name="_Toc2606"/>
      <w:bookmarkStart w:id="239" w:name="_Toc3880"/>
      <w:r>
        <w:rPr>
          <w:rFonts w:hint="eastAsia" w:ascii="宋体" w:hAnsi="宋体" w:cs="宋体"/>
          <w:b/>
          <w:bCs/>
          <w:sz w:val="28"/>
          <w:szCs w:val="32"/>
          <w:highlight w:val="none"/>
        </w:rPr>
        <w:t>3.3 水泵基本要求</w:t>
      </w:r>
      <w:bookmarkEnd w:id="238"/>
      <w:bookmarkEnd w:id="239"/>
    </w:p>
    <w:p>
      <w:pPr>
        <w:ind w:firstLine="420"/>
        <w:rPr>
          <w:b/>
          <w:color w:val="000000"/>
          <w:szCs w:val="24"/>
          <w:highlight w:val="none"/>
        </w:rPr>
      </w:pPr>
      <w:r>
        <w:rPr>
          <w:rFonts w:hint="eastAsia"/>
          <w:b/>
          <w:color w:val="000000"/>
          <w:szCs w:val="24"/>
          <w:highlight w:val="none"/>
        </w:rPr>
        <w:t>（一）一般要求</w:t>
      </w:r>
    </w:p>
    <w:p>
      <w:pPr>
        <w:ind w:firstLine="420"/>
        <w:rPr>
          <w:color w:val="000000"/>
          <w:szCs w:val="24"/>
          <w:highlight w:val="none"/>
        </w:rPr>
      </w:pPr>
      <w:r>
        <w:rPr>
          <w:rFonts w:hint="eastAsia"/>
          <w:color w:val="000000"/>
          <w:szCs w:val="24"/>
          <w:highlight w:val="none"/>
        </w:rPr>
        <w:t>乙方负责水系统所有水泵的供货、安装、调试、验收、培训及保修等工作，并提供运行和维修时所需的技术文件。</w:t>
      </w:r>
    </w:p>
    <w:p>
      <w:pPr>
        <w:ind w:firstLine="420"/>
        <w:rPr>
          <w:b/>
          <w:color w:val="000000"/>
          <w:szCs w:val="24"/>
          <w:highlight w:val="none"/>
        </w:rPr>
      </w:pPr>
      <w:r>
        <w:rPr>
          <w:rFonts w:hint="eastAsia"/>
          <w:b/>
          <w:color w:val="000000"/>
          <w:szCs w:val="24"/>
          <w:highlight w:val="none"/>
        </w:rPr>
        <w:t>（二）质量要求</w:t>
      </w:r>
    </w:p>
    <w:p>
      <w:pPr>
        <w:numPr>
          <w:ilvl w:val="0"/>
          <w:numId w:val="99"/>
        </w:numPr>
        <w:spacing w:line="360" w:lineRule="auto"/>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水泵设计、制造、检测、试验等应符合国家相关标准和规范的要求，水泵效率满足《清水离心泵能效限定值及节能评价值》（</w:t>
      </w:r>
      <w:r>
        <w:rPr>
          <w:rFonts w:ascii="宋体" w:hAnsi="宋体" w:cs="宋体"/>
          <w:color w:val="000000"/>
          <w:szCs w:val="24"/>
          <w:highlight w:val="none"/>
        </w:rPr>
        <w:t>GB19762</w:t>
      </w:r>
      <w:r>
        <w:rPr>
          <w:rFonts w:hint="eastAsia" w:ascii="宋体" w:hAnsi="宋体" w:cs="宋体"/>
          <w:color w:val="000000"/>
          <w:szCs w:val="24"/>
          <w:highlight w:val="none"/>
        </w:rPr>
        <w:t>-</w:t>
      </w:r>
      <w:r>
        <w:rPr>
          <w:rFonts w:ascii="宋体" w:hAnsi="宋体" w:cs="宋体"/>
          <w:color w:val="000000"/>
          <w:szCs w:val="24"/>
          <w:highlight w:val="none"/>
        </w:rPr>
        <w:t>2007</w:t>
      </w:r>
      <w:r>
        <w:rPr>
          <w:rFonts w:hint="eastAsia" w:ascii="宋体" w:hAnsi="宋体" w:cs="宋体"/>
          <w:color w:val="000000"/>
          <w:szCs w:val="24"/>
          <w:highlight w:val="none"/>
        </w:rPr>
        <w:t>），在满足设计负荷条件下节能平稳运行。水泵配套电机</w:t>
      </w:r>
      <w:r>
        <w:rPr>
          <w:rFonts w:ascii="宋体" w:hAnsi="宋体" w:cs="宋体"/>
          <w:color w:val="000000"/>
          <w:szCs w:val="24"/>
          <w:highlight w:val="none"/>
        </w:rPr>
        <w:t>能效</w:t>
      </w:r>
      <w:r>
        <w:rPr>
          <w:rFonts w:hint="eastAsia" w:ascii="宋体" w:hAnsi="宋体" w:cs="宋体"/>
          <w:color w:val="000000"/>
          <w:szCs w:val="24"/>
          <w:highlight w:val="none"/>
        </w:rPr>
        <w:t>须满足《电动机能效限定值及能效等级》（</w:t>
      </w:r>
      <w:r>
        <w:rPr>
          <w:rFonts w:ascii="宋体" w:hAnsi="宋体" w:cs="宋体"/>
          <w:color w:val="000000"/>
          <w:szCs w:val="24"/>
          <w:highlight w:val="none"/>
        </w:rPr>
        <w:t>GB18613</w:t>
      </w:r>
      <w:r>
        <w:rPr>
          <w:rFonts w:hint="eastAsia" w:ascii="宋体" w:hAnsi="宋体" w:cs="宋体"/>
          <w:color w:val="000000"/>
          <w:szCs w:val="24"/>
          <w:highlight w:val="none"/>
        </w:rPr>
        <w:t>-</w:t>
      </w:r>
      <w:r>
        <w:rPr>
          <w:rFonts w:ascii="宋体" w:hAnsi="宋体" w:cs="宋体"/>
          <w:color w:val="000000"/>
          <w:szCs w:val="24"/>
          <w:highlight w:val="none"/>
        </w:rPr>
        <w:t>2020</w:t>
      </w:r>
      <w:r>
        <w:rPr>
          <w:rFonts w:hint="eastAsia" w:ascii="宋体" w:hAnsi="宋体" w:cs="宋体"/>
          <w:color w:val="000000"/>
          <w:szCs w:val="24"/>
          <w:highlight w:val="none"/>
        </w:rPr>
        <w:t>）规定的节能评价值，电机能效要求二级及以上。</w:t>
      </w:r>
    </w:p>
    <w:p>
      <w:pPr>
        <w:numPr>
          <w:ilvl w:val="0"/>
          <w:numId w:val="99"/>
        </w:numPr>
        <w:spacing w:line="360" w:lineRule="auto"/>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乙方须选择国内知名品牌、技术先进、性能可靠的产品，能够满足本工程水蓄冷系统要求。</w:t>
      </w:r>
    </w:p>
    <w:p>
      <w:pPr>
        <w:numPr>
          <w:ilvl w:val="0"/>
          <w:numId w:val="99"/>
        </w:numPr>
        <w:spacing w:line="360" w:lineRule="auto"/>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乙方提供的设备选型及性能参数至少应包含下列内容：</w:t>
      </w:r>
    </w:p>
    <w:p>
      <w:pPr>
        <w:rPr>
          <w:color w:val="000000"/>
          <w:szCs w:val="24"/>
          <w:highlight w:val="none"/>
        </w:rPr>
      </w:pPr>
      <w:r>
        <w:rPr>
          <w:rFonts w:hint="eastAsia" w:eastAsia="Times New Roman"/>
          <w:color w:val="000000"/>
          <w:szCs w:val="24"/>
          <w:highlight w:val="none"/>
        </w:rPr>
        <w:t>􀀃</w:t>
      </w:r>
      <w:r>
        <w:rPr>
          <w:rFonts w:ascii="Wingdings-Regular" w:eastAsia="Wingdings-Regular" w:cs="Wingdings-Regular"/>
          <w:color w:val="000000"/>
          <w:szCs w:val="24"/>
          <w:highlight w:val="none"/>
        </w:rPr>
        <w:t xml:space="preserve"> </w:t>
      </w:r>
      <w:r>
        <w:rPr>
          <w:rFonts w:hint="eastAsia"/>
          <w:color w:val="000000"/>
          <w:szCs w:val="24"/>
          <w:highlight w:val="none"/>
        </w:rPr>
        <w:t>生产厂家、原产地；</w:t>
      </w:r>
    </w:p>
    <w:p>
      <w:pPr>
        <w:rPr>
          <w:color w:val="000000"/>
          <w:szCs w:val="24"/>
          <w:highlight w:val="none"/>
        </w:rPr>
      </w:pPr>
      <w:r>
        <w:rPr>
          <w:rFonts w:hint="eastAsia" w:eastAsia="Times New Roman"/>
          <w:color w:val="000000"/>
          <w:szCs w:val="24"/>
          <w:highlight w:val="none"/>
        </w:rPr>
        <w:t>􀀃</w:t>
      </w:r>
      <w:r>
        <w:rPr>
          <w:rFonts w:ascii="Wingdings-Regular" w:eastAsia="Wingdings-Regular" w:cs="Wingdings-Regular"/>
          <w:color w:val="000000"/>
          <w:szCs w:val="24"/>
          <w:highlight w:val="none"/>
        </w:rPr>
        <w:t xml:space="preserve"> </w:t>
      </w:r>
      <w:r>
        <w:rPr>
          <w:rFonts w:hint="eastAsia"/>
          <w:color w:val="000000"/>
          <w:szCs w:val="24"/>
          <w:highlight w:val="none"/>
        </w:rPr>
        <w:t>类型、型号、介质；</w:t>
      </w:r>
    </w:p>
    <w:p>
      <w:pPr>
        <w:rPr>
          <w:color w:val="000000"/>
          <w:szCs w:val="24"/>
          <w:highlight w:val="none"/>
        </w:rPr>
      </w:pPr>
      <w:r>
        <w:rPr>
          <w:rFonts w:hint="eastAsia" w:eastAsia="Times New Roman"/>
          <w:color w:val="000000"/>
          <w:szCs w:val="24"/>
          <w:highlight w:val="none"/>
        </w:rPr>
        <w:t>􀀃</w:t>
      </w:r>
      <w:r>
        <w:rPr>
          <w:rFonts w:ascii="Wingdings-Regular" w:eastAsia="Wingdings-Regular" w:cs="Wingdings-Regular"/>
          <w:color w:val="000000"/>
          <w:szCs w:val="24"/>
          <w:highlight w:val="none"/>
        </w:rPr>
        <w:t xml:space="preserve"> </w:t>
      </w:r>
      <w:r>
        <w:rPr>
          <w:rFonts w:hint="eastAsia"/>
          <w:color w:val="000000"/>
          <w:szCs w:val="24"/>
          <w:highlight w:val="none"/>
        </w:rPr>
        <w:t>流量、扬程、轴功率、效率、转速、噪声；</w:t>
      </w:r>
    </w:p>
    <w:p>
      <w:pPr>
        <w:rPr>
          <w:color w:val="000000"/>
          <w:szCs w:val="24"/>
          <w:highlight w:val="none"/>
        </w:rPr>
      </w:pPr>
      <w:r>
        <w:rPr>
          <w:rFonts w:hint="eastAsia" w:eastAsia="Times New Roman"/>
          <w:color w:val="000000"/>
          <w:szCs w:val="24"/>
          <w:highlight w:val="none"/>
        </w:rPr>
        <w:t>􀀃</w:t>
      </w:r>
      <w:r>
        <w:rPr>
          <w:rFonts w:ascii="Wingdings-Regular" w:eastAsia="Wingdings-Regular" w:cs="Wingdings-Regular"/>
          <w:color w:val="000000"/>
          <w:szCs w:val="24"/>
          <w:highlight w:val="none"/>
        </w:rPr>
        <w:t xml:space="preserve"> </w:t>
      </w:r>
      <w:r>
        <w:rPr>
          <w:rFonts w:hint="eastAsia"/>
          <w:color w:val="000000"/>
          <w:szCs w:val="24"/>
          <w:highlight w:val="none"/>
        </w:rPr>
        <w:t>泵壳、叶轮、轴、密封；</w:t>
      </w:r>
    </w:p>
    <w:p>
      <w:pPr>
        <w:rPr>
          <w:color w:val="000000"/>
          <w:szCs w:val="24"/>
          <w:highlight w:val="none"/>
        </w:rPr>
      </w:pPr>
      <w:r>
        <w:rPr>
          <w:rFonts w:hint="eastAsia" w:eastAsia="Times New Roman"/>
          <w:color w:val="000000"/>
          <w:szCs w:val="24"/>
          <w:highlight w:val="none"/>
        </w:rPr>
        <w:t>􀀃</w:t>
      </w:r>
      <w:r>
        <w:rPr>
          <w:rFonts w:ascii="Wingdings-Regular" w:eastAsia="Wingdings-Regular" w:cs="Wingdings-Regular"/>
          <w:color w:val="000000"/>
          <w:szCs w:val="24"/>
          <w:highlight w:val="none"/>
        </w:rPr>
        <w:t xml:space="preserve"> </w:t>
      </w:r>
      <w:r>
        <w:rPr>
          <w:rFonts w:hint="eastAsia"/>
          <w:color w:val="000000"/>
          <w:szCs w:val="24"/>
          <w:highlight w:val="none"/>
        </w:rPr>
        <w:t>吸入口尺寸、出水口尺寸；</w:t>
      </w:r>
    </w:p>
    <w:p>
      <w:pPr>
        <w:rPr>
          <w:color w:val="000000"/>
          <w:szCs w:val="24"/>
          <w:highlight w:val="none"/>
        </w:rPr>
      </w:pPr>
      <w:r>
        <w:rPr>
          <w:rFonts w:hint="eastAsia" w:eastAsia="Times New Roman"/>
          <w:color w:val="000000"/>
          <w:szCs w:val="24"/>
          <w:highlight w:val="none"/>
        </w:rPr>
        <w:t>􀀃</w:t>
      </w:r>
      <w:r>
        <w:rPr>
          <w:rFonts w:ascii="Wingdings-Regular" w:eastAsia="Wingdings-Regular" w:cs="Wingdings-Regular"/>
          <w:color w:val="000000"/>
          <w:szCs w:val="24"/>
          <w:highlight w:val="none"/>
        </w:rPr>
        <w:t xml:space="preserve"> </w:t>
      </w:r>
      <w:r>
        <w:rPr>
          <w:rFonts w:hint="eastAsia"/>
          <w:color w:val="000000"/>
          <w:szCs w:val="24"/>
          <w:highlight w:val="none"/>
        </w:rPr>
        <w:t>电机生产厂家、型号、技术参数；</w:t>
      </w:r>
    </w:p>
    <w:p>
      <w:pPr>
        <w:rPr>
          <w:color w:val="000000"/>
          <w:szCs w:val="24"/>
          <w:highlight w:val="none"/>
        </w:rPr>
      </w:pPr>
      <w:r>
        <w:rPr>
          <w:rFonts w:hint="eastAsia" w:eastAsia="Times New Roman"/>
          <w:color w:val="000000"/>
          <w:szCs w:val="24"/>
          <w:highlight w:val="none"/>
        </w:rPr>
        <w:t>􀀃</w:t>
      </w:r>
      <w:r>
        <w:rPr>
          <w:rFonts w:ascii="Wingdings-Regular" w:eastAsia="Wingdings-Regular" w:cs="Wingdings-Regular"/>
          <w:color w:val="000000"/>
          <w:szCs w:val="24"/>
          <w:highlight w:val="none"/>
        </w:rPr>
        <w:t xml:space="preserve"> </w:t>
      </w:r>
      <w:r>
        <w:rPr>
          <w:rFonts w:hint="eastAsia"/>
          <w:color w:val="000000"/>
          <w:szCs w:val="24"/>
          <w:highlight w:val="none"/>
        </w:rPr>
        <w:t>工作温度、工作压力；</w:t>
      </w:r>
    </w:p>
    <w:p>
      <w:pPr>
        <w:rPr>
          <w:color w:val="000000"/>
          <w:szCs w:val="24"/>
          <w:highlight w:val="none"/>
        </w:rPr>
      </w:pPr>
      <w:r>
        <w:rPr>
          <w:rFonts w:hint="eastAsia" w:eastAsia="Times New Roman"/>
          <w:color w:val="000000"/>
          <w:szCs w:val="24"/>
          <w:highlight w:val="none"/>
        </w:rPr>
        <w:t>􀀃</w:t>
      </w:r>
      <w:r>
        <w:rPr>
          <w:rFonts w:ascii="Wingdings-Regular" w:eastAsia="Wingdings-Regular" w:cs="Wingdings-Regular"/>
          <w:color w:val="000000"/>
          <w:szCs w:val="24"/>
          <w:highlight w:val="none"/>
        </w:rPr>
        <w:t xml:space="preserve"> </w:t>
      </w:r>
      <w:r>
        <w:rPr>
          <w:rFonts w:hint="eastAsia"/>
          <w:color w:val="000000"/>
          <w:szCs w:val="24"/>
          <w:highlight w:val="none"/>
        </w:rPr>
        <w:t>安装底脚尺寸；</w:t>
      </w:r>
    </w:p>
    <w:p>
      <w:pPr>
        <w:rPr>
          <w:color w:val="000000"/>
          <w:szCs w:val="24"/>
          <w:highlight w:val="none"/>
        </w:rPr>
      </w:pPr>
      <w:r>
        <w:rPr>
          <w:rFonts w:hint="eastAsia" w:eastAsia="Times New Roman"/>
          <w:color w:val="000000"/>
          <w:szCs w:val="24"/>
          <w:highlight w:val="none"/>
        </w:rPr>
        <w:t>􀀃</w:t>
      </w:r>
      <w:r>
        <w:rPr>
          <w:rFonts w:ascii="Wingdings-Regular" w:eastAsia="Wingdings-Regular" w:cs="Wingdings-Regular"/>
          <w:color w:val="000000"/>
          <w:szCs w:val="24"/>
          <w:highlight w:val="none"/>
        </w:rPr>
        <w:t xml:space="preserve"> </w:t>
      </w:r>
      <w:r>
        <w:rPr>
          <w:rFonts w:hint="eastAsia"/>
          <w:color w:val="000000"/>
          <w:szCs w:val="24"/>
          <w:highlight w:val="none"/>
        </w:rPr>
        <w:t>减振台座尺寸；</w:t>
      </w:r>
    </w:p>
    <w:p>
      <w:pPr>
        <w:spacing w:line="520" w:lineRule="exact"/>
        <w:ind w:left="952"/>
        <w:jc w:val="left"/>
        <w:textAlignment w:val="center"/>
        <w:rPr>
          <w:rFonts w:ascii="宋体" w:hAnsi="宋体" w:cs="宋体"/>
          <w:b/>
          <w:color w:val="000000"/>
          <w:szCs w:val="24"/>
          <w:highlight w:val="none"/>
        </w:rPr>
      </w:pPr>
      <w:r>
        <w:rPr>
          <w:rFonts w:hint="eastAsia" w:ascii="宋体" w:hAnsi="宋体" w:cs="宋体"/>
          <w:b/>
          <w:color w:val="000000"/>
          <w:sz w:val="22"/>
          <w:szCs w:val="21"/>
          <w:highlight w:val="none"/>
        </w:rPr>
        <w:t>（三）</w:t>
      </w:r>
      <w:r>
        <w:rPr>
          <w:rFonts w:hint="eastAsia" w:ascii="宋体" w:hAnsi="宋体" w:cs="宋体"/>
          <w:b/>
          <w:color w:val="000000"/>
          <w:szCs w:val="24"/>
          <w:highlight w:val="none"/>
        </w:rPr>
        <w:t>技术要求</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投标产品必须是技术先进、经济合理，成熟可靠的产品。</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乙方须提供每台水泵的单独效率曲线、流量扬程曲线和功率曲线，水泵的效率曲线、流量扬程曲线和功率曲线必须有较宽的高效区，必须平稳地从设计点上升到关闭点，任何条件下水泵均能稳定运行。</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设备的设计、制造应使其满足设计负荷条件下平稳运行，以消除过多的噪音和振动，噪声和振动应满足中华人民共和国标准规定。</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设备的维护保养应简单易行，乙方须提供维护保养的操作说明。</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低负荷运行时，要求该工况下水泵运行时有较高的效率和良好的抗汽蚀性能。</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在不超出允许运行工况条件下，投标产品的使用寿命不小于10年。泵及其附件的使用寿命，必须考虑到在设备使用期间经受各种工况条件的综合影响。投标产品在正常运行情况下，应可运行20000小时以上，其中机械密封可运行8000小时以上。</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水泵应运行在最高效率点附近，并保证在超过设计流量的15%情况下，水泵仍可连续稳定运行。</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szCs w:val="24"/>
          <w:highlight w:val="none"/>
        </w:rPr>
        <w:t>水泵能效须满足节能评价值，且须满足电机能效二级及以上</w:t>
      </w:r>
      <w:r>
        <w:rPr>
          <w:rFonts w:ascii="宋体" w:hAnsi="宋体" w:cs="宋体"/>
          <w:szCs w:val="24"/>
          <w:highlight w:val="none"/>
        </w:rPr>
        <w:t>。</w:t>
      </w:r>
      <w:r>
        <w:rPr>
          <w:rFonts w:hint="eastAsia" w:ascii="宋体" w:hAnsi="宋体" w:cs="宋体"/>
          <w:color w:val="000000"/>
          <w:szCs w:val="24"/>
          <w:highlight w:val="none"/>
        </w:rPr>
        <w:t>。</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所</w:t>
      </w:r>
      <w:r>
        <w:rPr>
          <w:rFonts w:ascii="宋体" w:hAnsi="宋体" w:cs="宋体"/>
          <w:color w:val="000000"/>
          <w:szCs w:val="24"/>
          <w:highlight w:val="none"/>
        </w:rPr>
        <w:t>有</w:t>
      </w:r>
      <w:r>
        <w:rPr>
          <w:rFonts w:hint="eastAsia" w:ascii="宋体" w:hAnsi="宋体" w:cs="宋体"/>
          <w:color w:val="000000"/>
          <w:szCs w:val="24"/>
          <w:highlight w:val="none"/>
        </w:rPr>
        <w:t>水泵的工作压力为≥</w:t>
      </w:r>
      <w:r>
        <w:rPr>
          <w:rFonts w:ascii="宋体" w:hAnsi="宋体" w:cs="宋体"/>
          <w:color w:val="000000"/>
          <w:szCs w:val="24"/>
          <w:highlight w:val="none"/>
        </w:rPr>
        <w:t>1.</w:t>
      </w:r>
      <w:r>
        <w:rPr>
          <w:rFonts w:hint="eastAsia" w:ascii="宋体" w:hAnsi="宋体" w:cs="宋体"/>
          <w:color w:val="000000"/>
          <w:szCs w:val="24"/>
          <w:highlight w:val="none"/>
        </w:rPr>
        <w:t>6</w:t>
      </w:r>
      <w:r>
        <w:rPr>
          <w:rFonts w:ascii="宋体" w:hAnsi="宋体" w:cs="宋体"/>
          <w:color w:val="000000"/>
          <w:szCs w:val="24"/>
          <w:highlight w:val="none"/>
        </w:rPr>
        <w:t>Mpa</w:t>
      </w:r>
      <w:r>
        <w:rPr>
          <w:rFonts w:hint="eastAsia" w:ascii="宋体" w:hAnsi="宋体" w:cs="宋体"/>
          <w:color w:val="000000"/>
          <w:szCs w:val="24"/>
          <w:highlight w:val="none"/>
        </w:rPr>
        <w:t>。所有水泵应能承受1.5倍工作压力的试验压力而不渗漏。</w:t>
      </w:r>
    </w:p>
    <w:p>
      <w:pPr>
        <w:numPr>
          <w:ilvl w:val="0"/>
          <w:numId w:val="100"/>
        </w:numPr>
        <w:spacing w:line="520" w:lineRule="exact"/>
        <w:ind w:left="0" w:firstLine="0"/>
        <w:jc w:val="left"/>
        <w:textAlignment w:val="center"/>
        <w:rPr>
          <w:rFonts w:ascii="宋体" w:hAnsi="宋体" w:cs="宋体"/>
          <w:color w:val="000000"/>
          <w:szCs w:val="24"/>
          <w:highlight w:val="none"/>
        </w:rPr>
      </w:pPr>
      <w:r>
        <w:rPr>
          <w:rFonts w:hint="eastAsia" w:ascii="宋体" w:hAnsi="宋体" w:cs="宋体"/>
          <w:color w:val="000000"/>
          <w:szCs w:val="24"/>
          <w:highlight w:val="none"/>
        </w:rPr>
        <w:t>必须提供完整的水泵设备，其中包括水泵、电动机、联轴器组装而成。</w:t>
      </w:r>
    </w:p>
    <w:p>
      <w:pPr>
        <w:spacing w:line="520" w:lineRule="exact"/>
        <w:ind w:left="420"/>
        <w:jc w:val="left"/>
        <w:textAlignment w:val="center"/>
        <w:rPr>
          <w:rFonts w:ascii="宋体" w:hAnsi="宋体" w:cs="宋体"/>
          <w:b/>
          <w:color w:val="000000"/>
          <w:szCs w:val="24"/>
          <w:highlight w:val="none"/>
        </w:rPr>
      </w:pPr>
      <w:r>
        <w:rPr>
          <w:rFonts w:hint="eastAsia" w:ascii="宋体" w:hAnsi="宋体" w:cs="宋体"/>
          <w:b/>
          <w:color w:val="000000"/>
          <w:sz w:val="22"/>
          <w:szCs w:val="21"/>
          <w:highlight w:val="none"/>
        </w:rPr>
        <w:t>（四）</w:t>
      </w:r>
      <w:r>
        <w:rPr>
          <w:rFonts w:hint="eastAsia" w:ascii="宋体" w:hAnsi="宋体" w:cs="宋体"/>
          <w:b/>
          <w:color w:val="000000"/>
          <w:szCs w:val="24"/>
          <w:highlight w:val="none"/>
        </w:rPr>
        <w:t>水泵的结构、布置及材质要求</w:t>
      </w:r>
    </w:p>
    <w:p>
      <w:pPr>
        <w:spacing w:line="520" w:lineRule="exact"/>
        <w:ind w:left="420" w:hanging="420"/>
        <w:jc w:val="left"/>
        <w:textAlignment w:val="center"/>
        <w:rPr>
          <w:rFonts w:ascii="宋体" w:hAnsi="宋体" w:cs="宋体"/>
          <w:color w:val="000000"/>
          <w:szCs w:val="24"/>
          <w:highlight w:val="none"/>
        </w:rPr>
      </w:pPr>
      <w:r>
        <w:rPr>
          <w:rFonts w:hint="eastAsia" w:ascii="宋体" w:hAnsi="宋体" w:cs="宋体"/>
          <w:color w:val="000000"/>
          <w:szCs w:val="24"/>
          <w:highlight w:val="none"/>
        </w:rPr>
        <w:t>(1)电机</w:t>
      </w:r>
    </w:p>
    <w:p>
      <w:pPr>
        <w:spacing w:line="520" w:lineRule="exact"/>
        <w:ind w:left="420" w:hanging="420"/>
        <w:jc w:val="left"/>
        <w:textAlignment w:val="center"/>
        <w:rPr>
          <w:rFonts w:ascii="宋体" w:hAnsi="宋体" w:cs="宋体"/>
          <w:color w:val="000000"/>
          <w:szCs w:val="24"/>
          <w:highlight w:val="none"/>
        </w:rPr>
      </w:pPr>
      <w:r>
        <w:rPr>
          <w:rFonts w:ascii="宋体" w:hAnsi="宋体" w:cs="宋体"/>
          <w:color w:val="000000"/>
          <w:szCs w:val="24"/>
          <w:highlight w:val="none"/>
        </w:rPr>
        <w:t>a)</w:t>
      </w:r>
      <w:r>
        <w:rPr>
          <w:rFonts w:hint="eastAsia" w:ascii="宋体" w:hAnsi="宋体" w:cs="宋体"/>
          <w:color w:val="000000"/>
          <w:szCs w:val="24"/>
          <w:highlight w:val="none"/>
        </w:rPr>
        <w:t>泵体与电机必须在原厂装配完整，整机出厂。水泵的组装、电机及底座的装配、整套水泵的测试均需在该品牌生产厂完成，保证结构的精确对位性。</w:t>
      </w:r>
    </w:p>
    <w:p>
      <w:pPr>
        <w:spacing w:line="520" w:lineRule="exact"/>
        <w:ind w:left="420" w:hanging="420"/>
        <w:jc w:val="left"/>
        <w:textAlignment w:val="center"/>
        <w:rPr>
          <w:rFonts w:ascii="宋体" w:hAnsi="宋体" w:cs="宋体"/>
          <w:color w:val="000000"/>
          <w:szCs w:val="24"/>
          <w:highlight w:val="none"/>
        </w:rPr>
      </w:pPr>
      <w:r>
        <w:rPr>
          <w:rFonts w:ascii="宋体" w:hAnsi="宋体" w:cs="宋体"/>
          <w:color w:val="000000"/>
          <w:szCs w:val="24"/>
          <w:highlight w:val="none"/>
        </w:rPr>
        <w:t>b)</w:t>
      </w:r>
      <w:r>
        <w:rPr>
          <w:rFonts w:hint="eastAsia" w:ascii="宋体" w:hAnsi="宋体" w:cs="宋体"/>
          <w:color w:val="000000"/>
          <w:szCs w:val="24"/>
          <w:highlight w:val="none"/>
        </w:rPr>
        <w:t>泵在出厂前应进行动平衡及整机试验，并出具每台泵的特性曲线；泵的工况点应在水泵性能曲线的高效段内，投标方应对泵的工作效率做出说明；设备采购时每台水泵均应提供相关检测、试验等报告。</w:t>
      </w:r>
    </w:p>
    <w:p>
      <w:pPr>
        <w:spacing w:line="520" w:lineRule="exact"/>
        <w:ind w:left="420" w:hanging="420"/>
        <w:jc w:val="left"/>
        <w:textAlignment w:val="center"/>
        <w:rPr>
          <w:rFonts w:ascii="宋体" w:hAnsi="宋体" w:cs="宋体"/>
          <w:color w:val="000000"/>
          <w:szCs w:val="24"/>
          <w:highlight w:val="none"/>
        </w:rPr>
      </w:pPr>
      <w:r>
        <w:rPr>
          <w:rFonts w:ascii="宋体" w:hAnsi="宋体" w:cs="宋体"/>
          <w:color w:val="000000"/>
          <w:szCs w:val="24"/>
          <w:highlight w:val="none"/>
        </w:rPr>
        <w:t>c)</w:t>
      </w:r>
      <w:r>
        <w:rPr>
          <w:rFonts w:hint="eastAsia" w:ascii="宋体" w:hAnsi="宋体" w:cs="宋体"/>
          <w:color w:val="000000"/>
          <w:szCs w:val="24"/>
          <w:highlight w:val="none"/>
        </w:rPr>
        <w:t>水泵所配电机须采用全封闭风冷鼠笼式电机，满足IEC标准，适用于</w:t>
      </w:r>
      <w:r>
        <w:rPr>
          <w:rFonts w:ascii="宋体" w:hAnsi="宋体" w:cs="宋体"/>
          <w:color w:val="000000"/>
          <w:szCs w:val="24"/>
          <w:highlight w:val="none"/>
        </w:rPr>
        <w:t xml:space="preserve">380V/3PH/50Hz </w:t>
      </w:r>
      <w:r>
        <w:rPr>
          <w:rFonts w:hint="eastAsia" w:ascii="宋体" w:hAnsi="宋体" w:cs="宋体"/>
          <w:color w:val="000000"/>
          <w:szCs w:val="24"/>
          <w:highlight w:val="none"/>
        </w:rPr>
        <w:t>电源，并符合中国有关电机的安全标准要求；水泵所配电机应能满足在该泵的水力性能曲线上任意点均可安全运行。</w:t>
      </w:r>
    </w:p>
    <w:p>
      <w:pPr>
        <w:spacing w:line="520" w:lineRule="exact"/>
        <w:ind w:left="420" w:hanging="420"/>
        <w:jc w:val="left"/>
        <w:textAlignment w:val="center"/>
        <w:rPr>
          <w:rFonts w:ascii="宋体" w:hAnsi="宋体" w:cs="宋体"/>
          <w:color w:val="000000"/>
          <w:szCs w:val="24"/>
          <w:highlight w:val="none"/>
        </w:rPr>
      </w:pPr>
      <w:r>
        <w:rPr>
          <w:rFonts w:ascii="宋体" w:hAnsi="宋体" w:cs="宋体"/>
          <w:color w:val="000000"/>
          <w:szCs w:val="24"/>
          <w:highlight w:val="none"/>
        </w:rPr>
        <w:t>d)</w:t>
      </w:r>
      <w:r>
        <w:rPr>
          <w:rFonts w:hint="eastAsia" w:ascii="宋体" w:hAnsi="宋体" w:cs="宋体"/>
          <w:color w:val="000000"/>
          <w:szCs w:val="24"/>
          <w:highlight w:val="none"/>
        </w:rPr>
        <w:t>电机的防护等级不低于</w:t>
      </w:r>
      <w:r>
        <w:rPr>
          <w:rFonts w:ascii="宋体" w:hAnsi="宋体" w:cs="宋体"/>
          <w:color w:val="000000"/>
          <w:szCs w:val="24"/>
          <w:highlight w:val="none"/>
        </w:rPr>
        <w:t>IP55</w:t>
      </w:r>
      <w:r>
        <w:rPr>
          <w:rFonts w:hint="eastAsia" w:ascii="宋体" w:hAnsi="宋体" w:cs="宋体"/>
          <w:color w:val="000000"/>
          <w:szCs w:val="24"/>
          <w:highlight w:val="none"/>
        </w:rPr>
        <w:t>。电机的绝缘等级应为</w:t>
      </w:r>
      <w:r>
        <w:rPr>
          <w:rFonts w:ascii="宋体" w:hAnsi="宋体" w:cs="宋体"/>
          <w:color w:val="000000"/>
          <w:szCs w:val="24"/>
          <w:highlight w:val="none"/>
        </w:rPr>
        <w:t xml:space="preserve">F </w:t>
      </w:r>
      <w:r>
        <w:rPr>
          <w:rFonts w:hint="eastAsia" w:ascii="宋体" w:hAnsi="宋体" w:cs="宋体"/>
          <w:color w:val="000000"/>
          <w:szCs w:val="24"/>
          <w:highlight w:val="none"/>
        </w:rPr>
        <w:t>级，温升不应超过</w:t>
      </w:r>
      <w:r>
        <w:rPr>
          <w:rFonts w:ascii="宋体" w:hAnsi="宋体" w:cs="宋体"/>
          <w:color w:val="000000"/>
          <w:szCs w:val="24"/>
          <w:highlight w:val="none"/>
        </w:rPr>
        <w:t xml:space="preserve">F </w:t>
      </w:r>
      <w:r>
        <w:rPr>
          <w:rFonts w:hint="eastAsia" w:ascii="宋体" w:hAnsi="宋体" w:cs="宋体"/>
          <w:color w:val="000000"/>
          <w:szCs w:val="24"/>
          <w:highlight w:val="none"/>
        </w:rPr>
        <w:t>级绝缘使用的温升值。电机绕组真空浸渍处理和环氧树脂密封。电机的连接线与绕组的绝缘应具有相同的绝缘等级，绝缘要能承受周围环境影响。</w:t>
      </w:r>
    </w:p>
    <w:p>
      <w:pPr>
        <w:spacing w:line="520" w:lineRule="exact"/>
        <w:ind w:left="420" w:hanging="420"/>
        <w:jc w:val="left"/>
        <w:textAlignment w:val="center"/>
        <w:rPr>
          <w:rFonts w:ascii="宋体" w:hAnsi="宋体" w:cs="宋体"/>
          <w:color w:val="000000"/>
          <w:szCs w:val="24"/>
          <w:highlight w:val="none"/>
        </w:rPr>
      </w:pPr>
      <w:r>
        <w:rPr>
          <w:rFonts w:ascii="宋体" w:hAnsi="宋体" w:cs="宋体"/>
          <w:color w:val="000000"/>
          <w:szCs w:val="24"/>
          <w:highlight w:val="none"/>
        </w:rPr>
        <w:t>e)</w:t>
      </w:r>
      <w:r>
        <w:rPr>
          <w:rFonts w:hint="eastAsia" w:ascii="宋体" w:hAnsi="宋体" w:cs="宋体"/>
          <w:color w:val="000000"/>
          <w:szCs w:val="24"/>
          <w:highlight w:val="none"/>
        </w:rPr>
        <w:t>当电机运行在设计条件下时，电机的铭牌出力应不小于拖动设备所需轴功率的</w:t>
      </w:r>
      <w:r>
        <w:rPr>
          <w:rFonts w:ascii="宋体" w:hAnsi="宋体" w:cs="宋体"/>
          <w:color w:val="000000"/>
          <w:szCs w:val="24"/>
          <w:highlight w:val="none"/>
        </w:rPr>
        <w:t>120</w:t>
      </w:r>
      <w:r>
        <w:rPr>
          <w:rFonts w:hint="eastAsia" w:ascii="宋体" w:hAnsi="宋体" w:cs="宋体"/>
          <w:color w:val="000000"/>
          <w:szCs w:val="24"/>
          <w:highlight w:val="none"/>
        </w:rPr>
        <w:t>％。所配的电机功率应满足ISO5199标准之规定。电机法兰尺寸满足IEC60034标准。</w:t>
      </w:r>
    </w:p>
    <w:p>
      <w:pPr>
        <w:spacing w:line="520" w:lineRule="exact"/>
        <w:ind w:left="420" w:hanging="420"/>
        <w:jc w:val="left"/>
        <w:textAlignment w:val="center"/>
        <w:rPr>
          <w:rFonts w:ascii="宋体" w:hAnsi="宋体" w:cs="宋体"/>
          <w:color w:val="000000"/>
          <w:szCs w:val="24"/>
          <w:highlight w:val="none"/>
        </w:rPr>
      </w:pPr>
      <w:r>
        <w:rPr>
          <w:rFonts w:ascii="宋体" w:hAnsi="宋体" w:cs="宋体"/>
          <w:color w:val="000000"/>
          <w:szCs w:val="24"/>
          <w:highlight w:val="none"/>
        </w:rPr>
        <w:t>f)</w:t>
      </w:r>
      <w:r>
        <w:rPr>
          <w:rFonts w:hint="eastAsia" w:ascii="宋体" w:hAnsi="宋体" w:cs="宋体"/>
          <w:color w:val="000000"/>
          <w:szCs w:val="24"/>
          <w:highlight w:val="none"/>
        </w:rPr>
        <w:t>电机的使用寿命在使用现场的工作条件下不小于</w:t>
      </w:r>
      <w:r>
        <w:rPr>
          <w:rFonts w:ascii="宋体" w:hAnsi="宋体" w:cs="宋体"/>
          <w:color w:val="000000"/>
          <w:szCs w:val="24"/>
          <w:highlight w:val="none"/>
        </w:rPr>
        <w:t>15</w:t>
      </w:r>
      <w:r>
        <w:rPr>
          <w:rFonts w:hint="eastAsia" w:ascii="宋体" w:hAnsi="宋体" w:cs="宋体"/>
          <w:color w:val="000000"/>
          <w:szCs w:val="24"/>
          <w:highlight w:val="none"/>
        </w:rPr>
        <w:t>年，正常运行工况下应保证电动机的大修周期不小于</w:t>
      </w:r>
      <w:r>
        <w:rPr>
          <w:rFonts w:ascii="宋体" w:hAnsi="宋体" w:cs="宋体"/>
          <w:color w:val="000000"/>
          <w:szCs w:val="24"/>
          <w:highlight w:val="none"/>
        </w:rPr>
        <w:t>2</w:t>
      </w:r>
      <w:r>
        <w:rPr>
          <w:rFonts w:hint="eastAsia" w:ascii="宋体" w:hAnsi="宋体" w:cs="宋体"/>
          <w:color w:val="000000"/>
          <w:szCs w:val="24"/>
          <w:highlight w:val="none"/>
        </w:rPr>
        <w:t>年。</w:t>
      </w:r>
    </w:p>
    <w:p>
      <w:pPr>
        <w:spacing w:line="520" w:lineRule="exact"/>
        <w:ind w:left="420" w:hanging="420"/>
        <w:jc w:val="left"/>
        <w:textAlignment w:val="center"/>
        <w:rPr>
          <w:rFonts w:ascii="宋体" w:hAnsi="宋体" w:cs="宋体"/>
          <w:color w:val="000000"/>
          <w:szCs w:val="24"/>
          <w:highlight w:val="none"/>
        </w:rPr>
      </w:pPr>
      <w:r>
        <w:rPr>
          <w:rFonts w:ascii="宋体" w:hAnsi="宋体" w:cs="宋体"/>
          <w:color w:val="000000"/>
          <w:szCs w:val="24"/>
          <w:highlight w:val="none"/>
        </w:rPr>
        <w:t>g)</w:t>
      </w:r>
      <w:r>
        <w:rPr>
          <w:rFonts w:hint="eastAsia" w:ascii="宋体" w:hAnsi="宋体" w:cs="宋体"/>
          <w:color w:val="000000"/>
          <w:szCs w:val="24"/>
          <w:highlight w:val="none"/>
        </w:rPr>
        <w:t>电机通风隔栅需进行防腐处理，为了检查或清扫电动机绕组和气隙，隔栅应拆除。</w:t>
      </w:r>
    </w:p>
    <w:p>
      <w:pPr>
        <w:spacing w:line="520" w:lineRule="exact"/>
        <w:ind w:left="420" w:hanging="420"/>
        <w:jc w:val="left"/>
        <w:textAlignment w:val="center"/>
        <w:rPr>
          <w:rFonts w:ascii="宋体" w:hAnsi="宋体" w:cs="宋体"/>
          <w:color w:val="000000"/>
          <w:szCs w:val="24"/>
          <w:highlight w:val="none"/>
        </w:rPr>
      </w:pPr>
      <w:r>
        <w:rPr>
          <w:rFonts w:ascii="宋体" w:hAnsi="宋体" w:cs="宋体"/>
          <w:color w:val="000000"/>
          <w:szCs w:val="24"/>
          <w:highlight w:val="none"/>
        </w:rPr>
        <w:t>h)</w:t>
      </w:r>
      <w:r>
        <w:rPr>
          <w:rFonts w:hint="eastAsia" w:ascii="宋体" w:hAnsi="宋体" w:cs="宋体"/>
          <w:color w:val="000000"/>
          <w:szCs w:val="24"/>
          <w:highlight w:val="none"/>
        </w:rPr>
        <w:t>电机的最高噪音水平应符合国家国标要求，中标人需提供电机的产品样本，并需提供距电机</w:t>
      </w:r>
      <w:r>
        <w:rPr>
          <w:rFonts w:ascii="宋体" w:hAnsi="宋体" w:cs="宋体"/>
          <w:color w:val="000000"/>
          <w:szCs w:val="24"/>
          <w:highlight w:val="none"/>
        </w:rPr>
        <w:t>1</w:t>
      </w:r>
      <w:r>
        <w:rPr>
          <w:rFonts w:hint="eastAsia" w:ascii="宋体" w:hAnsi="宋体" w:cs="宋体"/>
          <w:color w:val="000000"/>
          <w:szCs w:val="24"/>
          <w:highlight w:val="none"/>
        </w:rPr>
        <w:t>米处的噪声值。</w:t>
      </w:r>
    </w:p>
    <w:p>
      <w:pPr>
        <w:spacing w:line="520" w:lineRule="exact"/>
        <w:ind w:left="420" w:hanging="420"/>
        <w:jc w:val="left"/>
        <w:textAlignment w:val="center"/>
        <w:rPr>
          <w:rFonts w:ascii="宋体" w:hAnsi="宋体" w:cs="宋体"/>
          <w:color w:val="000000"/>
          <w:szCs w:val="24"/>
          <w:highlight w:val="none"/>
        </w:rPr>
      </w:pPr>
      <w:r>
        <w:rPr>
          <w:rFonts w:ascii="宋体" w:hAnsi="宋体" w:cs="宋体"/>
          <w:color w:val="000000"/>
          <w:szCs w:val="24"/>
          <w:highlight w:val="none"/>
        </w:rPr>
        <w:t>i)</w:t>
      </w:r>
      <w:r>
        <w:rPr>
          <w:rFonts w:hint="eastAsia" w:ascii="宋体" w:hAnsi="宋体" w:cs="宋体"/>
          <w:color w:val="000000"/>
          <w:szCs w:val="24"/>
          <w:highlight w:val="none"/>
        </w:rPr>
        <w:t>投标方应提出预防振动的措施，以便维持电动机在允许的振动范围以内，</w:t>
      </w:r>
      <w:r>
        <w:rPr>
          <w:rFonts w:ascii="宋体" w:hAnsi="宋体" w:cs="宋体"/>
          <w:color w:val="000000"/>
          <w:szCs w:val="24"/>
          <w:highlight w:val="none"/>
        </w:rPr>
        <w:t xml:space="preserve"> </w:t>
      </w:r>
      <w:r>
        <w:rPr>
          <w:rFonts w:hint="eastAsia" w:ascii="宋体" w:hAnsi="宋体" w:cs="宋体"/>
          <w:color w:val="000000"/>
          <w:szCs w:val="24"/>
          <w:highlight w:val="none"/>
        </w:rPr>
        <w:t>振动的幅度不超过国标的标准。</w:t>
      </w:r>
    </w:p>
    <w:p>
      <w:pPr>
        <w:spacing w:line="520" w:lineRule="exact"/>
        <w:ind w:left="420" w:hanging="420"/>
        <w:jc w:val="left"/>
        <w:textAlignment w:val="center"/>
        <w:rPr>
          <w:rFonts w:ascii="宋体" w:hAnsi="宋体" w:cs="宋体"/>
          <w:color w:val="000000"/>
          <w:szCs w:val="24"/>
          <w:highlight w:val="none"/>
        </w:rPr>
      </w:pPr>
      <w:r>
        <w:rPr>
          <w:rFonts w:hint="eastAsia" w:ascii="宋体" w:hAnsi="宋体" w:cs="宋体"/>
          <w:color w:val="000000"/>
          <w:szCs w:val="24"/>
          <w:highlight w:val="none"/>
        </w:rPr>
        <w:t>(2)泵壳</w:t>
      </w:r>
    </w:p>
    <w:p>
      <w:pPr>
        <w:numPr>
          <w:ilvl w:val="0"/>
          <w:numId w:val="101"/>
        </w:numPr>
        <w:spacing w:line="520" w:lineRule="exact"/>
        <w:jc w:val="left"/>
        <w:textAlignment w:val="center"/>
        <w:rPr>
          <w:rFonts w:ascii="宋体" w:hAnsi="宋体" w:cs="宋体"/>
          <w:color w:val="000000"/>
          <w:szCs w:val="24"/>
          <w:highlight w:val="none"/>
        </w:rPr>
      </w:pPr>
      <w:r>
        <w:rPr>
          <w:rFonts w:hint="eastAsia" w:ascii="宋体" w:hAnsi="宋体" w:cs="宋体"/>
          <w:color w:val="000000"/>
          <w:szCs w:val="24"/>
          <w:highlight w:val="none"/>
        </w:rPr>
        <w:t>泵壳可承受预定的工作压力，静压测试为1.5倍最大工作压力。最大工作压力下水泵以额定转速运转。</w:t>
      </w:r>
    </w:p>
    <w:p>
      <w:pPr>
        <w:numPr>
          <w:ilvl w:val="0"/>
          <w:numId w:val="101"/>
        </w:numPr>
        <w:spacing w:line="520" w:lineRule="exact"/>
        <w:jc w:val="left"/>
        <w:textAlignment w:val="center"/>
        <w:rPr>
          <w:rFonts w:ascii="宋体" w:hAnsi="宋体" w:cs="宋体"/>
          <w:color w:val="000000"/>
          <w:szCs w:val="24"/>
          <w:highlight w:val="none"/>
        </w:rPr>
      </w:pPr>
      <w:r>
        <w:rPr>
          <w:rFonts w:hint="eastAsia" w:ascii="宋体" w:hAnsi="宋体" w:cs="宋体"/>
          <w:color w:val="000000"/>
          <w:szCs w:val="24"/>
          <w:highlight w:val="none"/>
        </w:rPr>
        <w:t>泵壳上有排气口、排水口及测试仪表接入口。</w:t>
      </w:r>
    </w:p>
    <w:p>
      <w:pPr>
        <w:numPr>
          <w:ilvl w:val="0"/>
          <w:numId w:val="101"/>
        </w:numPr>
        <w:spacing w:line="520" w:lineRule="exact"/>
        <w:jc w:val="left"/>
        <w:textAlignment w:val="center"/>
        <w:rPr>
          <w:rFonts w:ascii="宋体" w:hAnsi="宋体" w:cs="宋体"/>
          <w:color w:val="000000"/>
          <w:szCs w:val="24"/>
          <w:highlight w:val="none"/>
        </w:rPr>
      </w:pPr>
      <w:r>
        <w:rPr>
          <w:rFonts w:hint="eastAsia" w:ascii="宋体" w:hAnsi="宋体" w:cs="宋体"/>
          <w:color w:val="000000"/>
          <w:szCs w:val="24"/>
          <w:highlight w:val="none"/>
        </w:rPr>
        <w:t>法兰接口为符合中国国家</w:t>
      </w:r>
      <w:r>
        <w:rPr>
          <w:rFonts w:ascii="宋体" w:hAnsi="宋体" w:cs="宋体"/>
          <w:color w:val="000000"/>
          <w:szCs w:val="24"/>
          <w:highlight w:val="none"/>
        </w:rPr>
        <w:t xml:space="preserve">GB </w:t>
      </w:r>
      <w:r>
        <w:rPr>
          <w:rFonts w:hint="eastAsia" w:ascii="宋体" w:hAnsi="宋体" w:cs="宋体"/>
          <w:color w:val="000000"/>
          <w:szCs w:val="24"/>
          <w:highlight w:val="none"/>
        </w:rPr>
        <w:t>标准的法兰连接要求</w:t>
      </w:r>
    </w:p>
    <w:p>
      <w:pPr>
        <w:spacing w:line="520" w:lineRule="exact"/>
        <w:ind w:left="420" w:hanging="420"/>
        <w:jc w:val="left"/>
        <w:textAlignment w:val="center"/>
        <w:rPr>
          <w:rFonts w:ascii="宋体" w:hAnsi="宋体" w:cs="宋体"/>
          <w:color w:val="000000"/>
          <w:szCs w:val="24"/>
          <w:highlight w:val="none"/>
        </w:rPr>
      </w:pPr>
      <w:r>
        <w:rPr>
          <w:rFonts w:hint="eastAsia" w:ascii="宋体" w:hAnsi="宋体" w:cs="宋体"/>
          <w:color w:val="000000"/>
          <w:szCs w:val="24"/>
          <w:highlight w:val="none"/>
        </w:rPr>
        <w:t>(3)</w:t>
      </w:r>
      <w:r>
        <w:rPr>
          <w:rFonts w:ascii="宋体" w:hAnsi="宋体" w:cs="宋体"/>
          <w:color w:val="000000"/>
          <w:szCs w:val="24"/>
          <w:highlight w:val="none"/>
        </w:rPr>
        <w:t>叶轮</w:t>
      </w:r>
    </w:p>
    <w:p>
      <w:pPr>
        <w:numPr>
          <w:ilvl w:val="0"/>
          <w:numId w:val="102"/>
        </w:numPr>
        <w:spacing w:line="520" w:lineRule="exact"/>
        <w:jc w:val="left"/>
        <w:textAlignment w:val="center"/>
        <w:rPr>
          <w:rFonts w:ascii="宋体" w:hAnsi="宋体" w:cs="宋体"/>
          <w:color w:val="000000"/>
          <w:szCs w:val="24"/>
          <w:highlight w:val="none"/>
        </w:rPr>
      </w:pPr>
      <w:r>
        <w:rPr>
          <w:rFonts w:hint="eastAsia" w:ascii="宋体" w:hAnsi="宋体" w:cs="宋体"/>
          <w:color w:val="000000"/>
          <w:szCs w:val="24"/>
          <w:highlight w:val="none"/>
        </w:rPr>
        <w:t>叶轮需采用闭式叶轮，不锈钢材质。</w:t>
      </w:r>
    </w:p>
    <w:p>
      <w:pPr>
        <w:numPr>
          <w:ilvl w:val="0"/>
          <w:numId w:val="102"/>
        </w:numPr>
        <w:spacing w:line="520" w:lineRule="exact"/>
        <w:jc w:val="left"/>
        <w:textAlignment w:val="center"/>
        <w:rPr>
          <w:rFonts w:ascii="宋体" w:hAnsi="宋体" w:cs="宋体"/>
          <w:color w:val="000000"/>
          <w:szCs w:val="24"/>
          <w:highlight w:val="none"/>
        </w:rPr>
      </w:pPr>
      <w:r>
        <w:rPr>
          <w:rFonts w:hint="eastAsia" w:ascii="宋体" w:hAnsi="宋体" w:cs="宋体"/>
          <w:color w:val="000000"/>
          <w:szCs w:val="24"/>
          <w:highlight w:val="none"/>
        </w:rPr>
        <w:t>单/双吸设计，经水力平衡以及动平衡测试合格。</w:t>
      </w:r>
    </w:p>
    <w:p>
      <w:pPr>
        <w:numPr>
          <w:ilvl w:val="0"/>
          <w:numId w:val="102"/>
        </w:numPr>
        <w:spacing w:line="520" w:lineRule="exact"/>
        <w:jc w:val="left"/>
        <w:textAlignment w:val="center"/>
        <w:rPr>
          <w:rFonts w:ascii="宋体" w:hAnsi="宋体" w:cs="宋体"/>
          <w:color w:val="000000"/>
          <w:szCs w:val="24"/>
          <w:highlight w:val="none"/>
        </w:rPr>
      </w:pPr>
      <w:r>
        <w:rPr>
          <w:rFonts w:hint="eastAsia" w:ascii="宋体" w:hAnsi="宋体" w:cs="宋体"/>
          <w:color w:val="000000"/>
          <w:szCs w:val="24"/>
          <w:highlight w:val="none"/>
        </w:rPr>
        <w:t>叶轮可切割以满足特定的水力需要。</w:t>
      </w:r>
    </w:p>
    <w:p>
      <w:pPr>
        <w:spacing w:line="520" w:lineRule="exact"/>
        <w:ind w:left="420" w:hanging="420"/>
        <w:jc w:val="left"/>
        <w:textAlignment w:val="center"/>
        <w:rPr>
          <w:rFonts w:ascii="宋体" w:hAnsi="宋体" w:cs="宋体"/>
          <w:color w:val="000000"/>
          <w:szCs w:val="24"/>
          <w:highlight w:val="none"/>
        </w:rPr>
      </w:pPr>
      <w:r>
        <w:rPr>
          <w:rFonts w:hint="eastAsia" w:ascii="宋体" w:hAnsi="宋体" w:cs="宋体"/>
          <w:color w:val="000000"/>
          <w:szCs w:val="24"/>
          <w:highlight w:val="none"/>
        </w:rPr>
        <w:t>(4)</w:t>
      </w:r>
      <w:r>
        <w:rPr>
          <w:rFonts w:ascii="宋体" w:hAnsi="宋体" w:cs="宋体"/>
          <w:color w:val="000000"/>
          <w:szCs w:val="24"/>
          <w:highlight w:val="none"/>
        </w:rPr>
        <w:t>机械密封</w:t>
      </w:r>
    </w:p>
    <w:p>
      <w:pPr>
        <w:numPr>
          <w:ilvl w:val="0"/>
          <w:numId w:val="103"/>
        </w:numPr>
        <w:spacing w:line="520" w:lineRule="exact"/>
        <w:jc w:val="left"/>
        <w:textAlignment w:val="center"/>
        <w:rPr>
          <w:rFonts w:ascii="宋体" w:hAnsi="宋体" w:cs="宋体"/>
          <w:color w:val="000000"/>
          <w:szCs w:val="24"/>
          <w:highlight w:val="none"/>
        </w:rPr>
      </w:pPr>
      <w:r>
        <w:rPr>
          <w:rFonts w:hint="eastAsia" w:ascii="宋体" w:hAnsi="宋体" w:cs="宋体"/>
          <w:color w:val="000000"/>
          <w:szCs w:val="24"/>
          <w:highlight w:val="none"/>
        </w:rPr>
        <w:t>单一机械密封，在无需移动旋转组件和泵壳的情况下对机械密封进行检查和更换。</w:t>
      </w:r>
    </w:p>
    <w:p>
      <w:pPr>
        <w:numPr>
          <w:ilvl w:val="0"/>
          <w:numId w:val="103"/>
        </w:numPr>
        <w:spacing w:line="520" w:lineRule="exact"/>
        <w:jc w:val="left"/>
        <w:textAlignment w:val="center"/>
        <w:rPr>
          <w:rFonts w:ascii="宋体" w:hAnsi="宋体" w:cs="宋体"/>
          <w:color w:val="000000"/>
          <w:szCs w:val="24"/>
          <w:highlight w:val="none"/>
        </w:rPr>
      </w:pPr>
      <w:r>
        <w:rPr>
          <w:rFonts w:hint="eastAsia" w:ascii="宋体" w:hAnsi="宋体" w:cs="宋体"/>
          <w:color w:val="000000"/>
          <w:szCs w:val="24"/>
          <w:highlight w:val="none"/>
        </w:rPr>
        <w:t>至少应具有陶瓷静环及石墨动环。</w:t>
      </w:r>
    </w:p>
    <w:p>
      <w:pPr>
        <w:numPr>
          <w:ilvl w:val="0"/>
          <w:numId w:val="103"/>
        </w:numPr>
        <w:spacing w:line="520" w:lineRule="exact"/>
        <w:jc w:val="left"/>
        <w:textAlignment w:val="center"/>
        <w:rPr>
          <w:rFonts w:ascii="宋体" w:hAnsi="宋体" w:cs="宋体"/>
          <w:color w:val="000000"/>
          <w:szCs w:val="21"/>
          <w:highlight w:val="none"/>
        </w:rPr>
      </w:pPr>
      <w:r>
        <w:rPr>
          <w:rFonts w:hint="eastAsia" w:ascii="宋体" w:hAnsi="宋体" w:cs="宋体"/>
          <w:color w:val="000000"/>
          <w:szCs w:val="24"/>
          <w:highlight w:val="none"/>
        </w:rPr>
        <w:t>保证在100 ℃的连续运行。</w:t>
      </w:r>
    </w:p>
    <w:p>
      <w:pPr>
        <w:rPr>
          <w:rFonts w:ascii="宋体" w:hAnsi="宋体" w:cs="宋体"/>
          <w:b/>
          <w:szCs w:val="21"/>
          <w:highlight w:val="none"/>
        </w:rPr>
      </w:pPr>
      <w:r>
        <w:rPr>
          <w:rFonts w:hint="eastAsia"/>
          <w:b/>
          <w:color w:val="000000"/>
          <w:szCs w:val="21"/>
          <w:highlight w:val="none"/>
        </w:rPr>
        <w:t>（五）</w:t>
      </w:r>
      <w:r>
        <w:rPr>
          <w:rFonts w:hint="eastAsia" w:ascii="宋体" w:hAnsi="宋体" w:cs="宋体"/>
          <w:b/>
          <w:szCs w:val="21"/>
          <w:highlight w:val="none"/>
        </w:rPr>
        <w:t>水泵保冷要求</w:t>
      </w:r>
    </w:p>
    <w:p>
      <w:pPr>
        <w:ind w:left="420"/>
        <w:rPr>
          <w:rFonts w:ascii="宋体" w:hAnsi="宋体" w:cs="宋体"/>
          <w:szCs w:val="24"/>
          <w:highlight w:val="none"/>
        </w:rPr>
      </w:pPr>
      <w:r>
        <w:rPr>
          <w:rFonts w:hint="eastAsia" w:ascii="宋体" w:hAnsi="宋体" w:cs="宋体"/>
          <w:szCs w:val="24"/>
          <w:highlight w:val="none"/>
        </w:rPr>
        <w:t>人可能接触到的工作温度超过6</w:t>
      </w:r>
      <w:r>
        <w:rPr>
          <w:rFonts w:ascii="宋体" w:hAnsi="宋体" w:cs="宋体"/>
          <w:szCs w:val="24"/>
          <w:highlight w:val="none"/>
        </w:rPr>
        <w:t>0</w:t>
      </w:r>
      <w:r>
        <w:rPr>
          <w:rFonts w:hint="eastAsia" w:ascii="宋体" w:hAnsi="宋体" w:cs="宋体"/>
          <w:szCs w:val="24"/>
          <w:highlight w:val="none"/>
        </w:rPr>
        <w:t>℃的表面，都应有隔热或防护措施；</w:t>
      </w:r>
    </w:p>
    <w:p>
      <w:pPr>
        <w:ind w:left="420"/>
        <w:rPr>
          <w:rFonts w:ascii="宋体" w:hAnsi="宋体" w:cs="宋体"/>
          <w:szCs w:val="24"/>
          <w:highlight w:val="none"/>
        </w:rPr>
      </w:pPr>
      <w:r>
        <w:rPr>
          <w:rFonts w:hint="eastAsia" w:ascii="宋体" w:hAnsi="宋体" w:cs="宋体"/>
          <w:szCs w:val="24"/>
          <w:highlight w:val="none"/>
        </w:rPr>
        <w:t>制冷系统运行中需要减少介质温度变化或延迟介质凝结的部位应以控制介质温度的目的进行保温；</w:t>
      </w:r>
    </w:p>
    <w:p>
      <w:pPr>
        <w:rPr>
          <w:rFonts w:ascii="宋体" w:hAnsi="宋体" w:cs="宋体"/>
          <w:b/>
          <w:szCs w:val="21"/>
          <w:highlight w:val="none"/>
        </w:rPr>
      </w:pPr>
      <w:r>
        <w:rPr>
          <w:rFonts w:hint="eastAsia"/>
          <w:b/>
          <w:color w:val="000000"/>
          <w:szCs w:val="21"/>
          <w:highlight w:val="none"/>
        </w:rPr>
        <w:t>（六）</w:t>
      </w:r>
      <w:r>
        <w:rPr>
          <w:rFonts w:hint="eastAsia" w:ascii="宋体" w:hAnsi="宋体" w:cs="宋体"/>
          <w:b/>
          <w:szCs w:val="21"/>
          <w:highlight w:val="none"/>
        </w:rPr>
        <w:t>水泵噪声和隔振要求</w:t>
      </w:r>
    </w:p>
    <w:p>
      <w:pPr>
        <w:ind w:left="454"/>
        <w:rPr>
          <w:rFonts w:ascii="宋体" w:hAnsi="宋体" w:cs="宋体"/>
          <w:color w:val="000000"/>
          <w:szCs w:val="24"/>
          <w:highlight w:val="none"/>
        </w:rPr>
      </w:pPr>
      <w:r>
        <w:rPr>
          <w:rFonts w:hint="eastAsia" w:ascii="宋体" w:hAnsi="宋体" w:cs="宋体"/>
          <w:color w:val="000000"/>
          <w:szCs w:val="24"/>
          <w:highlight w:val="none"/>
        </w:rPr>
        <w:t>所有水泵噪声不得超过</w:t>
      </w:r>
      <w:r>
        <w:rPr>
          <w:rFonts w:hint="eastAsia" w:ascii="宋体" w:hAnsi="宋体" w:cs="宋体"/>
          <w:color w:val="000000"/>
          <w:spacing w:val="-1"/>
          <w:szCs w:val="24"/>
          <w:highlight w:val="none"/>
        </w:rPr>
        <w:t>ISO</w:t>
      </w:r>
      <w:r>
        <w:rPr>
          <w:rFonts w:hint="eastAsia" w:ascii="宋体" w:hAnsi="宋体" w:cs="宋体"/>
          <w:color w:val="000000"/>
          <w:spacing w:val="1"/>
          <w:szCs w:val="24"/>
          <w:highlight w:val="none"/>
        </w:rPr>
        <w:t xml:space="preserve"> </w:t>
      </w:r>
      <w:r>
        <w:rPr>
          <w:rFonts w:hint="eastAsia" w:ascii="宋体" w:hAnsi="宋体" w:cs="宋体"/>
          <w:color w:val="000000"/>
          <w:szCs w:val="24"/>
          <w:highlight w:val="none"/>
        </w:rPr>
        <w:t>3743规定的水泵的噪声指标。噪音控制还应符合当地环保部门的相关规定。</w:t>
      </w:r>
    </w:p>
    <w:p>
      <w:pPr>
        <w:ind w:left="454"/>
        <w:rPr>
          <w:rFonts w:ascii="宋体" w:hAnsi="宋体" w:cs="宋体"/>
          <w:color w:val="000000"/>
          <w:szCs w:val="24"/>
          <w:highlight w:val="none"/>
        </w:rPr>
      </w:pPr>
      <w:r>
        <w:rPr>
          <w:rFonts w:hint="eastAsia" w:ascii="宋体" w:hAnsi="宋体" w:cs="宋体"/>
          <w:color w:val="000000"/>
          <w:szCs w:val="24"/>
          <w:highlight w:val="none"/>
        </w:rPr>
        <w:t>机组运行噪声无法满足上述要求时，供货方需提供降低噪声措施方案并实施，所有减低噪声的措施，均不应影响设备的性能，不影响设备的正常操作和维护保养。</w:t>
      </w:r>
    </w:p>
    <w:p>
      <w:pPr>
        <w:ind w:left="454"/>
        <w:rPr>
          <w:rFonts w:ascii="宋体" w:hAnsi="宋体" w:cs="宋体"/>
          <w:color w:val="000000"/>
          <w:szCs w:val="24"/>
          <w:highlight w:val="none"/>
        </w:rPr>
      </w:pPr>
      <w:r>
        <w:rPr>
          <w:rFonts w:hint="eastAsia" w:ascii="宋体" w:hAnsi="宋体" w:cs="宋体"/>
          <w:color w:val="000000"/>
          <w:szCs w:val="24"/>
          <w:highlight w:val="none"/>
        </w:rPr>
        <w:t>水泵配套减震措施，减震方案需根据项目情况在招标前澄清确认。采用弹簧减震方案，弹簧由水泵安装单位配套，隔振效率不小于90%，与弹簧减震配套的旁托式减震台座配重比</w:t>
      </w:r>
      <w:r>
        <w:rPr>
          <w:rFonts w:hint="eastAsia" w:ascii="宋体" w:hAnsi="宋体" w:cs="宋体"/>
          <w:color w:val="000000"/>
          <w:spacing w:val="-1"/>
          <w:szCs w:val="24"/>
          <w:highlight w:val="none"/>
        </w:rPr>
        <w:t>(</w:t>
      </w:r>
      <w:r>
        <w:rPr>
          <w:rFonts w:hint="eastAsia" w:ascii="宋体" w:hAnsi="宋体" w:cs="宋体"/>
          <w:color w:val="000000"/>
          <w:szCs w:val="24"/>
          <w:highlight w:val="none"/>
        </w:rPr>
        <w:t>产品净重</w:t>
      </w:r>
      <w:r>
        <w:rPr>
          <w:rFonts w:hint="eastAsia" w:ascii="宋体" w:hAnsi="宋体" w:cs="宋体"/>
          <w:color w:val="000000"/>
          <w:spacing w:val="-1"/>
          <w:szCs w:val="24"/>
          <w:highlight w:val="none"/>
        </w:rPr>
        <w:t>)</w:t>
      </w:r>
      <w:r>
        <w:rPr>
          <w:rFonts w:hint="eastAsia" w:ascii="宋体" w:hAnsi="宋体" w:cs="宋体"/>
          <w:color w:val="000000"/>
          <w:szCs w:val="24"/>
          <w:highlight w:val="none"/>
        </w:rPr>
        <w:t>不低于1:1.5，并设置限位器。甲方有权要求提供减震计算说明书。</w:t>
      </w:r>
    </w:p>
    <w:p>
      <w:pPr>
        <w:ind w:left="454"/>
        <w:rPr>
          <w:rFonts w:ascii="宋体" w:hAnsi="宋体" w:cs="宋体"/>
          <w:color w:val="000000"/>
          <w:szCs w:val="24"/>
          <w:highlight w:val="none"/>
        </w:rPr>
      </w:pPr>
      <w:r>
        <w:rPr>
          <w:rFonts w:hint="eastAsia" w:ascii="宋体" w:hAnsi="宋体" w:cs="宋体"/>
          <w:color w:val="000000"/>
          <w:szCs w:val="24"/>
          <w:highlight w:val="none"/>
        </w:rPr>
        <w:t>设备应采用合理的降噪和减振措施，保证所有设备满载运行时所产生的振动及噪声须符合中国有关行业规范标准和环保要求，凡具备条件的卖方必须提供证明材料。</w:t>
      </w:r>
    </w:p>
    <w:p>
      <w:pPr>
        <w:ind w:left="454"/>
        <w:rPr>
          <w:rFonts w:ascii="宋体" w:hAnsi="宋体" w:cs="宋体"/>
          <w:b/>
          <w:szCs w:val="18"/>
          <w:highlight w:val="none"/>
        </w:rPr>
      </w:pPr>
      <w:r>
        <w:rPr>
          <w:rFonts w:hint="eastAsia" w:ascii="宋体" w:hAnsi="宋体" w:cs="宋体"/>
          <w:b/>
          <w:szCs w:val="18"/>
          <w:highlight w:val="none"/>
        </w:rPr>
        <w:t>漆面</w:t>
      </w:r>
    </w:p>
    <w:p>
      <w:pPr>
        <w:ind w:left="454"/>
        <w:rPr>
          <w:rFonts w:ascii="宋体" w:hAnsi="宋体" w:cs="宋体"/>
          <w:color w:val="000000"/>
          <w:szCs w:val="24"/>
          <w:highlight w:val="none"/>
        </w:rPr>
      </w:pPr>
      <w:r>
        <w:rPr>
          <w:rFonts w:hint="eastAsia" w:ascii="宋体" w:hAnsi="宋体" w:cs="宋体"/>
          <w:color w:val="000000"/>
          <w:szCs w:val="24"/>
          <w:highlight w:val="none"/>
        </w:rPr>
        <w:t>水泵应在工厂喷漆。</w:t>
      </w:r>
      <w:r>
        <w:rPr>
          <w:rFonts w:hint="eastAsia" w:ascii="宋体" w:hAnsi="宋体" w:cs="宋体"/>
          <w:color w:val="000000"/>
          <w:spacing w:val="1"/>
          <w:szCs w:val="24"/>
          <w:highlight w:val="none"/>
        </w:rPr>
        <w:t xml:space="preserve"> </w:t>
      </w:r>
      <w:r>
        <w:rPr>
          <w:rFonts w:hint="eastAsia" w:ascii="宋体" w:hAnsi="宋体" w:cs="宋体"/>
          <w:color w:val="000000"/>
          <w:szCs w:val="24"/>
          <w:highlight w:val="none"/>
        </w:rPr>
        <w:t>颜色由业主</w:t>
      </w:r>
      <w:r>
        <w:rPr>
          <w:rFonts w:hint="eastAsia" w:ascii="宋体" w:hAnsi="宋体" w:cs="宋体"/>
          <w:color w:val="000000"/>
          <w:spacing w:val="1"/>
          <w:szCs w:val="24"/>
          <w:highlight w:val="none"/>
        </w:rPr>
        <w:t>/</w:t>
      </w:r>
      <w:r>
        <w:rPr>
          <w:rFonts w:hint="eastAsia" w:ascii="宋体" w:hAnsi="宋体" w:cs="宋体"/>
          <w:color w:val="000000"/>
          <w:szCs w:val="24"/>
          <w:highlight w:val="none"/>
        </w:rPr>
        <w:t>工程师根据冷冻机房整体的色彩来确定，在订货时提出。</w:t>
      </w:r>
    </w:p>
    <w:p>
      <w:pPr>
        <w:ind w:left="454"/>
        <w:rPr>
          <w:rFonts w:ascii="宋体" w:hAnsi="宋体" w:cs="宋体"/>
          <w:color w:val="000000"/>
          <w:szCs w:val="24"/>
          <w:highlight w:val="none"/>
        </w:rPr>
      </w:pPr>
      <w:r>
        <w:rPr>
          <w:rFonts w:hint="eastAsia" w:ascii="宋体" w:hAnsi="宋体" w:cs="宋体"/>
          <w:color w:val="000000"/>
          <w:szCs w:val="24"/>
          <w:highlight w:val="none"/>
        </w:rPr>
        <w:t>若在运输、储存、安装中造成的漆面损坏都应进行修补以满足我司要求。</w:t>
      </w:r>
    </w:p>
    <w:p>
      <w:pPr>
        <w:ind w:left="454"/>
        <w:rPr>
          <w:rFonts w:ascii="宋体" w:hAnsi="宋体" w:cs="宋体"/>
          <w:b/>
          <w:szCs w:val="18"/>
          <w:highlight w:val="none"/>
        </w:rPr>
      </w:pPr>
      <w:r>
        <w:rPr>
          <w:rFonts w:hint="eastAsia" w:ascii="宋体" w:hAnsi="宋体" w:cs="宋体"/>
          <w:b/>
          <w:szCs w:val="18"/>
          <w:highlight w:val="none"/>
        </w:rPr>
        <w:t>维护</w:t>
      </w:r>
    </w:p>
    <w:p>
      <w:pPr>
        <w:ind w:left="840" w:leftChars="400"/>
        <w:rPr>
          <w:rFonts w:ascii="宋体" w:hAnsi="宋体" w:cs="宋体"/>
          <w:color w:val="000000"/>
          <w:szCs w:val="24"/>
          <w:highlight w:val="none"/>
        </w:rPr>
      </w:pPr>
      <w:r>
        <w:rPr>
          <w:rFonts w:hint="eastAsia" w:ascii="宋体" w:hAnsi="宋体" w:cs="宋体"/>
          <w:color w:val="000000"/>
          <w:szCs w:val="24"/>
          <w:highlight w:val="none"/>
        </w:rPr>
        <w:t>供货方应提供设备外形尺寸和最小维护空间要求。并根据图纸，核对场地条件，明确应答现有设备布置方案是否满足维护、检修空间要求。如现有图纸无法满足维护、检修空间要求时，供货方须提供调整方案，供设计单位参考。</w:t>
      </w:r>
    </w:p>
    <w:p>
      <w:pPr>
        <w:ind w:left="454"/>
        <w:rPr>
          <w:rFonts w:ascii="宋体" w:hAnsi="宋体" w:cs="宋体"/>
          <w:b/>
          <w:szCs w:val="18"/>
          <w:highlight w:val="none"/>
        </w:rPr>
      </w:pPr>
      <w:r>
        <w:rPr>
          <w:rFonts w:hint="eastAsia" w:ascii="宋体" w:hAnsi="宋体" w:cs="宋体"/>
          <w:b/>
          <w:szCs w:val="18"/>
          <w:highlight w:val="none"/>
        </w:rPr>
        <w:t>主要技术性能表</w:t>
      </w:r>
    </w:p>
    <w:p>
      <w:pPr>
        <w:ind w:left="454"/>
        <w:rPr>
          <w:color w:val="000000"/>
          <w:szCs w:val="24"/>
          <w:highlight w:val="none"/>
        </w:rPr>
      </w:pPr>
      <w:r>
        <w:rPr>
          <w:rFonts w:hint="eastAsia" w:ascii="宋体" w:hAnsi="宋体" w:cs="宋体"/>
          <w:color w:val="000000"/>
          <w:szCs w:val="24"/>
          <w:highlight w:val="none"/>
        </w:rPr>
        <w:t>乙方在投标文件中应详细描述其投标产品的结构、性能及稳定性等，并在投标文件中对性能参数逐项明确响应，阐明提供产品与设计图纸的偏差及相应程度（满足、有偏差、不满足等），详细填写下列表格，不同流量/扬程的设备请分别填写。</w:t>
      </w:r>
    </w:p>
    <w:p>
      <w:pPr>
        <w:keepNext/>
        <w:keepLines/>
        <w:outlineLvl w:val="2"/>
        <w:rPr>
          <w:rFonts w:ascii="宋体" w:hAnsi="宋体" w:cs="宋体"/>
          <w:b/>
          <w:bCs/>
          <w:sz w:val="28"/>
          <w:szCs w:val="32"/>
          <w:highlight w:val="none"/>
        </w:rPr>
      </w:pPr>
      <w:bookmarkStart w:id="240" w:name="_Toc28919"/>
      <w:bookmarkStart w:id="241" w:name="_Toc15311"/>
      <w:bookmarkStart w:id="242" w:name="_Toc146132802"/>
      <w:r>
        <w:rPr>
          <w:rFonts w:hint="eastAsia" w:ascii="宋体" w:hAnsi="宋体" w:cs="宋体"/>
          <w:b/>
          <w:bCs/>
          <w:sz w:val="28"/>
          <w:szCs w:val="32"/>
          <w:highlight w:val="none"/>
        </w:rPr>
        <w:t>3.4 附属设备基本要求</w:t>
      </w:r>
      <w:bookmarkEnd w:id="240"/>
      <w:bookmarkEnd w:id="241"/>
      <w:bookmarkEnd w:id="242"/>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水处理装置技术参数要求</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1．总体技术要求</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1.1</w:t>
      </w:r>
      <w:r>
        <w:rPr>
          <w:rFonts w:hint="eastAsia" w:ascii="宋体" w:hAnsi="宋体" w:cs="宋体"/>
          <w:color w:val="000000"/>
          <w:szCs w:val="24"/>
          <w:highlight w:val="none"/>
        </w:rPr>
        <w:tab/>
      </w:r>
      <w:r>
        <w:rPr>
          <w:rFonts w:hint="eastAsia" w:ascii="宋体" w:hAnsi="宋体" w:cs="宋体"/>
          <w:color w:val="000000"/>
          <w:szCs w:val="24"/>
          <w:highlight w:val="none"/>
        </w:rPr>
        <w:t xml:space="preserve"> 生产制作严格按照国家有关规范标准进行。</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1.2</w:t>
      </w:r>
      <w:r>
        <w:rPr>
          <w:rFonts w:hint="eastAsia" w:ascii="宋体" w:hAnsi="宋体" w:cs="宋体"/>
          <w:color w:val="000000"/>
          <w:szCs w:val="24"/>
          <w:highlight w:val="none"/>
        </w:rPr>
        <w:tab/>
      </w:r>
      <w:r>
        <w:rPr>
          <w:rFonts w:hint="eastAsia" w:ascii="宋体" w:hAnsi="宋体" w:cs="宋体"/>
          <w:color w:val="000000"/>
          <w:szCs w:val="24"/>
          <w:highlight w:val="none"/>
        </w:rPr>
        <w:t xml:space="preserve"> 符合设备材料表的参数规格要求。</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制造商须取得ISO9001质量管理体系和 ISO14001 环境管理体系以及 ISO45001职业健康安全管理体系认证,国家级高新技术企业认证或国家承认的同等质量体系认证证书及国家承认的相关资格的证书。</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2.总体交付要求</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2.1提交由原厂编印的中文版的安装、操作及维修手册。</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2.2提交第三方权威检测报告。</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3.旁通浅层砂过滤器</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3.1技术要求：全自动、PLC触摸屏控制运行，具备时控和压差排污，反冲洗功能。</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3.2 设备形式：旁通式安装;水泵，控制柜和滤罐采用一拖一模块化设计 ，方便运输，安装以及运维。</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3.3.1旁通浅层砂过滤器，型号PDG-1400；设计压力：1.0MPA;砂滤罐直径1400mm*1台,处理流量50m³/h，内置增压泵，规格:380V/3KW,扬程20米,标配进出水口压力传感器;时间或压差控制电动反冲洗滤料，PLC触摸屏控制带485通信；</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3.3.2旁通浅层砂过滤器，型号PDG-2000；设计压力：1.0MPA;砂滤罐直径2000mm*3台/组,采用一拖</w:t>
      </w:r>
      <w:r>
        <w:rPr>
          <w:rFonts w:hint="eastAsia" w:ascii="宋体" w:hAnsi="宋体"/>
          <w:szCs w:val="24"/>
          <w:highlight w:val="none"/>
        </w:rPr>
        <w:t>一</w:t>
      </w:r>
      <w:r>
        <w:rPr>
          <w:rFonts w:hint="eastAsia" w:ascii="宋体" w:hAnsi="宋体" w:cs="宋体"/>
          <w:color w:val="000000"/>
          <w:szCs w:val="24"/>
          <w:highlight w:val="none"/>
        </w:rPr>
        <w:t>增压泵和控制模块；单台处理流量100m³/h，；内置增压泵，规格:380V/11KW,扬程20米,总处理水量300m³/h，总功率33KW；标配进出水口压力传感器;时间或压差控制电动反冲洗滤料，PLC触摸屏控制带485通信。</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3.3.3旁通浅层砂过滤器，型号PDG-1800；设计压力：1.0MPA;砂滤罐直径1800mm*3台/组,采用一拖一增压泵和控制模块；单台处理流量80m³/h，内置增压泵，规格:380V/7.5KW,扬程20米,总处理水量240m³/h，总功率22.5KW；标配进出水口压力传感器;时间或压差控制电动反冲洗滤料，PLC触摸屏控制带485通信。</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3.4含人工、机械、辅材安装。</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3.5 满足设备表中其它相关参数要求。</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4.在线加药装置</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4.1 技术要求：设备采用PLC触摸屏控制并带485通信功能；可以全自动连续式投加，保证各种药剂精确、及时、稳定、可靠的投加和控制。</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4.2 设备功能：可实时监测PH,电导率,ORP，流量传感器等数据，机械计量泵50L/h,扬程≥25m，药桶容积1000L*2, 设备可以全程监控系统水质并进行自动加药，自动排污。</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4.3杀菌率:&gt;99.9%,灭藻率:&gt;99%;军团菌:达到国家标准;适用水质:以CaCO3计,总硬度:&lt;700mg/L;设备功率:380V/50Hz；含定位安装及防位移装置(含安装)。</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4.4 满足设备表中其它相关参数要求。</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5.定压补水装置</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5.1 技术要求：设备采用PLC触摸屏控制，全自动运行，能实现补水，泄压，排气，水锤消除等功能。</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5.2设备形式：旁流安装型;承压1.0MPA;技术参数：不锈钢双泵一用一备,流量80m³/h,扬程:32m;常压罐有效容积≥7200L,内含橡胶隔膜；水锤消除器承压1.0Mpa，内含橡胶隔膜；进水管路，稳压管路，阀门等均采用304不锈钢材质 ，标配压力传感器，排气阀，电动泄压阀，带PLC触摸屏控制及485通讯功能。</w:t>
      </w:r>
    </w:p>
    <w:p>
      <w:pPr>
        <w:ind w:left="745" w:leftChars="205" w:hanging="315" w:hangingChars="150"/>
        <w:rPr>
          <w:rFonts w:ascii="宋体" w:hAnsi="宋体" w:cs="宋体"/>
          <w:color w:val="000000"/>
          <w:szCs w:val="24"/>
          <w:highlight w:val="none"/>
        </w:rPr>
      </w:pPr>
      <w:r>
        <w:rPr>
          <w:rFonts w:hint="eastAsia" w:ascii="宋体" w:hAnsi="宋体" w:cs="宋体"/>
          <w:color w:val="000000"/>
          <w:szCs w:val="24"/>
          <w:highlight w:val="none"/>
        </w:rPr>
        <w:t>5.3 满足设备表中其它相关参数要求。</w:t>
      </w:r>
    </w:p>
    <w:p>
      <w:pPr>
        <w:ind w:left="745" w:leftChars="205" w:hanging="315" w:hangingChars="150"/>
        <w:rPr>
          <w:rFonts w:ascii="宋体" w:hAnsi="宋体" w:cs="宋体"/>
          <w:color w:val="000000"/>
          <w:szCs w:val="24"/>
          <w:highlight w:val="none"/>
        </w:rPr>
      </w:pPr>
    </w:p>
    <w:p>
      <w:pPr>
        <w:keepNext/>
        <w:keepLines/>
        <w:outlineLvl w:val="2"/>
        <w:rPr>
          <w:rFonts w:ascii="宋体" w:hAnsi="宋体" w:cs="宋体"/>
          <w:b/>
          <w:bCs/>
          <w:sz w:val="28"/>
          <w:szCs w:val="32"/>
          <w:highlight w:val="none"/>
        </w:rPr>
      </w:pPr>
      <w:bookmarkStart w:id="243" w:name="_Toc146132803"/>
      <w:bookmarkStart w:id="244" w:name="_Toc26897"/>
      <w:bookmarkStart w:id="245" w:name="_Toc18306"/>
      <w:r>
        <w:rPr>
          <w:rFonts w:hint="eastAsia" w:ascii="宋体" w:hAnsi="宋体" w:cs="宋体"/>
          <w:b/>
          <w:bCs/>
          <w:sz w:val="28"/>
          <w:szCs w:val="32"/>
          <w:highlight w:val="none"/>
        </w:rPr>
        <w:t>3.5 阀门基本要求</w:t>
      </w:r>
      <w:bookmarkEnd w:id="243"/>
      <w:bookmarkEnd w:id="244"/>
      <w:bookmarkEnd w:id="245"/>
    </w:p>
    <w:p>
      <w:pPr>
        <w:rPr>
          <w:rFonts w:ascii="宋体" w:hAnsi="宋体" w:cs="宋体"/>
          <w:color w:val="000000"/>
          <w:szCs w:val="24"/>
          <w:highlight w:val="none"/>
        </w:rPr>
      </w:pPr>
      <w:r>
        <w:rPr>
          <w:rFonts w:hint="eastAsia" w:ascii="宋体" w:hAnsi="宋体" w:cs="宋体"/>
          <w:color w:val="000000"/>
          <w:szCs w:val="24"/>
          <w:highlight w:val="none"/>
        </w:rPr>
        <w:t>1.一般要求</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本节说明有关阀门与管道配件的规格、安装及试验所需的各项技术规格要求。</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质量标准</w:t>
      </w:r>
    </w:p>
    <w:p>
      <w:pPr>
        <w:ind w:firstLine="420"/>
        <w:rPr>
          <w:rFonts w:ascii="宋体" w:hAnsi="宋体" w:cs="宋体"/>
          <w:color w:val="000000"/>
          <w:szCs w:val="24"/>
          <w:highlight w:val="none"/>
        </w:rPr>
      </w:pPr>
      <w:r>
        <w:rPr>
          <w:rFonts w:hint="eastAsia" w:ascii="宋体" w:hAnsi="宋体" w:cs="宋体"/>
          <w:color w:val="000000"/>
          <w:szCs w:val="24"/>
          <w:highlight w:val="none"/>
        </w:rPr>
        <w:t>须参照下列之条例规范或国际标准：</w:t>
      </w:r>
    </w:p>
    <w:p>
      <w:pPr>
        <w:rPr>
          <w:rFonts w:ascii="宋体" w:hAnsi="宋体" w:cs="宋体"/>
          <w:color w:val="000000"/>
          <w:szCs w:val="24"/>
          <w:highlight w:val="none"/>
        </w:rPr>
      </w:pPr>
      <w:r>
        <w:rPr>
          <w:rFonts w:hint="eastAsia" w:ascii="宋体" w:hAnsi="宋体" w:cs="宋体"/>
          <w:color w:val="000000"/>
          <w:szCs w:val="24"/>
          <w:highlight w:val="none"/>
        </w:rPr>
        <w:t>（4）</w:t>
      </w:r>
      <w:r>
        <w:rPr>
          <w:rFonts w:hint="eastAsia" w:ascii="宋体" w:hAnsi="宋体" w:cs="宋体"/>
          <w:color w:val="000000"/>
          <w:szCs w:val="24"/>
          <w:highlight w:val="none"/>
        </w:rPr>
        <w:tab/>
      </w:r>
      <w:r>
        <w:rPr>
          <w:rFonts w:hint="eastAsia" w:ascii="宋体" w:hAnsi="宋体" w:cs="宋体"/>
          <w:color w:val="000000"/>
          <w:szCs w:val="24"/>
          <w:highlight w:val="none"/>
        </w:rPr>
        <w:t>所有送抵工地的阀门均应是全新制品，并附有明显的标志以便辨别其等级。</w:t>
      </w:r>
    </w:p>
    <w:p>
      <w:pPr>
        <w:rPr>
          <w:rFonts w:ascii="宋体" w:hAnsi="宋体" w:cs="宋体"/>
          <w:color w:val="000000"/>
          <w:szCs w:val="24"/>
          <w:highlight w:val="none"/>
        </w:rPr>
      </w:pPr>
      <w:r>
        <w:rPr>
          <w:rFonts w:hint="eastAsia" w:ascii="宋体" w:hAnsi="宋体" w:cs="宋体"/>
          <w:color w:val="000000"/>
          <w:szCs w:val="24"/>
          <w:highlight w:val="none"/>
        </w:rPr>
        <w:t>（5）</w:t>
      </w:r>
      <w:r>
        <w:rPr>
          <w:rFonts w:hint="eastAsia" w:ascii="宋体" w:hAnsi="宋体" w:cs="宋体"/>
          <w:color w:val="000000"/>
          <w:szCs w:val="24"/>
          <w:highlight w:val="none"/>
        </w:rPr>
        <w:tab/>
      </w:r>
      <w:r>
        <w:rPr>
          <w:rFonts w:hint="eastAsia" w:ascii="宋体" w:hAnsi="宋体" w:cs="宋体"/>
          <w:color w:val="000000"/>
          <w:szCs w:val="24"/>
          <w:highlight w:val="none"/>
        </w:rPr>
        <w:t>在运送、储存及安装期间应采取正确的保护措施，以确保阀门及配件在任何情况下不受破损。</w:t>
      </w:r>
    </w:p>
    <w:p>
      <w:pPr>
        <w:rPr>
          <w:rFonts w:ascii="宋体" w:hAnsi="宋体" w:cs="宋体"/>
          <w:color w:val="000000"/>
          <w:szCs w:val="24"/>
          <w:highlight w:val="none"/>
        </w:rPr>
      </w:pPr>
      <w:r>
        <w:rPr>
          <w:rFonts w:hint="eastAsia" w:ascii="宋体" w:hAnsi="宋体" w:cs="宋体"/>
          <w:color w:val="000000"/>
          <w:szCs w:val="24"/>
          <w:highlight w:val="none"/>
        </w:rPr>
        <w:t>（6）</w:t>
      </w:r>
      <w:r>
        <w:rPr>
          <w:rFonts w:hint="eastAsia" w:ascii="宋体" w:hAnsi="宋体" w:cs="宋体"/>
          <w:color w:val="000000"/>
          <w:szCs w:val="24"/>
          <w:highlight w:val="none"/>
        </w:rPr>
        <w:tab/>
      </w:r>
      <w:r>
        <w:rPr>
          <w:rFonts w:hint="eastAsia" w:ascii="宋体" w:hAnsi="宋体" w:cs="宋体"/>
          <w:color w:val="000000"/>
          <w:szCs w:val="24"/>
          <w:highlight w:val="none"/>
        </w:rPr>
        <w:t>空调水系统阀门设置应依据施工图纸确定，当施工图纸无明确规定时可按以下要求确定：管道管径小于65mm的阀门采用闸阀，管径大于等于65mm的阀门采用蝶阀。</w:t>
      </w:r>
    </w:p>
    <w:p>
      <w:pPr>
        <w:rPr>
          <w:rFonts w:ascii="宋体" w:hAnsi="宋体" w:cs="宋体"/>
          <w:color w:val="000000"/>
          <w:szCs w:val="24"/>
          <w:highlight w:val="none"/>
        </w:rPr>
      </w:pPr>
      <w:r>
        <w:rPr>
          <w:rFonts w:hint="eastAsia" w:ascii="宋体" w:hAnsi="宋体" w:cs="宋体"/>
          <w:color w:val="000000"/>
          <w:szCs w:val="24"/>
          <w:highlight w:val="none"/>
        </w:rPr>
        <w:t>（7）</w:t>
      </w:r>
      <w:r>
        <w:rPr>
          <w:rFonts w:hint="eastAsia" w:ascii="宋体" w:hAnsi="宋体" w:cs="宋体"/>
          <w:color w:val="000000"/>
          <w:szCs w:val="24"/>
          <w:highlight w:val="none"/>
        </w:rPr>
        <w:tab/>
      </w:r>
      <w:r>
        <w:rPr>
          <w:rFonts w:hint="eastAsia" w:ascii="宋体" w:hAnsi="宋体" w:cs="宋体"/>
          <w:color w:val="000000"/>
          <w:szCs w:val="24"/>
          <w:highlight w:val="none"/>
        </w:rPr>
        <w:t>所有与自控有关的电动阀门要求采用知名品牌产品。</w:t>
      </w:r>
    </w:p>
    <w:p>
      <w:pPr>
        <w:rPr>
          <w:rFonts w:ascii="宋体" w:hAnsi="宋体" w:cs="宋体"/>
          <w:color w:val="000000"/>
          <w:szCs w:val="24"/>
          <w:highlight w:val="none"/>
        </w:rPr>
      </w:pPr>
      <w:r>
        <w:rPr>
          <w:rFonts w:hint="eastAsia" w:ascii="宋体" w:hAnsi="宋体" w:cs="宋体"/>
          <w:color w:val="000000"/>
          <w:szCs w:val="24"/>
          <w:highlight w:val="none"/>
        </w:rPr>
        <w:t>（8）</w:t>
      </w:r>
      <w:r>
        <w:rPr>
          <w:rFonts w:hint="eastAsia" w:ascii="宋体" w:hAnsi="宋体" w:cs="宋体"/>
          <w:color w:val="000000"/>
          <w:szCs w:val="24"/>
          <w:highlight w:val="none"/>
        </w:rPr>
        <w:tab/>
      </w:r>
      <w:r>
        <w:rPr>
          <w:rFonts w:hint="eastAsia" w:ascii="宋体" w:hAnsi="宋体" w:cs="宋体"/>
          <w:color w:val="000000"/>
          <w:szCs w:val="24"/>
          <w:highlight w:val="none"/>
        </w:rPr>
        <w:t>除特别标明外，所有阀门尺寸不可小于相连的管道尺寸。</w:t>
      </w:r>
    </w:p>
    <w:p>
      <w:pPr>
        <w:rPr>
          <w:rFonts w:ascii="宋体" w:hAnsi="宋体" w:cs="宋体"/>
          <w:color w:val="000000"/>
          <w:szCs w:val="24"/>
          <w:highlight w:val="none"/>
        </w:rPr>
      </w:pPr>
      <w:r>
        <w:rPr>
          <w:rFonts w:hint="eastAsia" w:ascii="宋体" w:hAnsi="宋体" w:cs="宋体"/>
          <w:color w:val="000000"/>
          <w:szCs w:val="24"/>
          <w:highlight w:val="none"/>
        </w:rPr>
        <w:t>（9）</w:t>
      </w:r>
      <w:r>
        <w:rPr>
          <w:rFonts w:hint="eastAsia" w:ascii="宋体" w:hAnsi="宋体" w:cs="宋体"/>
          <w:color w:val="000000"/>
          <w:szCs w:val="24"/>
          <w:highlight w:val="none"/>
        </w:rPr>
        <w:tab/>
      </w:r>
      <w:r>
        <w:rPr>
          <w:rFonts w:hint="eastAsia" w:ascii="宋体" w:hAnsi="宋体" w:cs="宋体"/>
          <w:color w:val="000000"/>
          <w:szCs w:val="24"/>
          <w:highlight w:val="none"/>
        </w:rPr>
        <w:t>所有供本工程使用的阀门和配件均必须为不含石棉物质的产品。</w:t>
      </w:r>
    </w:p>
    <w:p>
      <w:pPr>
        <w:rPr>
          <w:rFonts w:ascii="宋体" w:hAnsi="宋体" w:cs="宋体"/>
          <w:color w:val="000000"/>
          <w:szCs w:val="24"/>
          <w:highlight w:val="none"/>
        </w:rPr>
      </w:pPr>
      <w:r>
        <w:rPr>
          <w:rFonts w:hint="eastAsia" w:ascii="宋体" w:hAnsi="宋体" w:cs="宋体"/>
          <w:color w:val="000000"/>
          <w:szCs w:val="24"/>
          <w:highlight w:val="none"/>
        </w:rPr>
        <w:t>2技术要求</w:t>
      </w:r>
    </w:p>
    <w:p>
      <w:pPr>
        <w:rPr>
          <w:rFonts w:ascii="宋体" w:hAnsi="宋体" w:cs="宋体"/>
          <w:color w:val="000000"/>
          <w:szCs w:val="24"/>
          <w:highlight w:val="none"/>
        </w:rPr>
      </w:pPr>
      <w:r>
        <w:rPr>
          <w:rFonts w:hint="eastAsia" w:ascii="宋体" w:hAnsi="宋体" w:cs="宋体"/>
          <w:color w:val="000000"/>
          <w:szCs w:val="24"/>
          <w:highlight w:val="none"/>
        </w:rPr>
        <w:t>2.1 闸阀</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50毫米及以下:阀体及实心楔形闸板、不升降阀杆、连接阀帽、丝扣接头。</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65毫米及以上者：阀体、座环及实心楔形闸板、不升降阀杆和法兰接头。</w:t>
      </w:r>
    </w:p>
    <w:p>
      <w:pPr>
        <w:rPr>
          <w:rFonts w:ascii="宋体" w:hAnsi="宋体" w:cs="宋体"/>
          <w:color w:val="000000"/>
          <w:szCs w:val="24"/>
          <w:highlight w:val="none"/>
        </w:rPr>
      </w:pPr>
      <w:r>
        <w:rPr>
          <w:rFonts w:hint="eastAsia" w:ascii="宋体" w:hAnsi="宋体" w:cs="宋体"/>
          <w:color w:val="000000"/>
          <w:szCs w:val="24"/>
          <w:highlight w:val="none"/>
        </w:rPr>
        <w:t>（3）</w:t>
      </w:r>
      <w:r>
        <w:rPr>
          <w:rFonts w:hint="eastAsia" w:ascii="宋体" w:hAnsi="宋体" w:cs="宋体"/>
          <w:color w:val="000000"/>
          <w:szCs w:val="24"/>
          <w:highlight w:val="none"/>
        </w:rPr>
        <w:tab/>
      </w:r>
      <w:r>
        <w:rPr>
          <w:rFonts w:hint="eastAsia" w:ascii="宋体" w:hAnsi="宋体" w:cs="宋体"/>
          <w:color w:val="000000"/>
          <w:szCs w:val="24"/>
          <w:highlight w:val="none"/>
        </w:rPr>
        <w:t>能在额定的工作压力下更换填充料。</w:t>
      </w:r>
    </w:p>
    <w:p>
      <w:pPr>
        <w:rPr>
          <w:rFonts w:ascii="宋体" w:hAnsi="宋体" w:cs="宋体"/>
          <w:color w:val="000000"/>
          <w:szCs w:val="24"/>
          <w:highlight w:val="none"/>
        </w:rPr>
      </w:pPr>
      <w:r>
        <w:rPr>
          <w:rFonts w:hint="eastAsia" w:ascii="宋体" w:hAnsi="宋体" w:cs="宋体"/>
          <w:color w:val="000000"/>
          <w:szCs w:val="24"/>
          <w:highlight w:val="none"/>
        </w:rPr>
        <w:t>（4）</w:t>
      </w:r>
      <w:r>
        <w:rPr>
          <w:rFonts w:hint="eastAsia" w:ascii="宋体" w:hAnsi="宋体" w:cs="宋体"/>
          <w:color w:val="000000"/>
          <w:szCs w:val="24"/>
          <w:highlight w:val="none"/>
        </w:rPr>
        <w:tab/>
      </w:r>
      <w:r>
        <w:rPr>
          <w:rFonts w:hint="eastAsia" w:ascii="宋体" w:hAnsi="宋体" w:cs="宋体"/>
          <w:color w:val="000000"/>
          <w:szCs w:val="24"/>
          <w:highlight w:val="none"/>
        </w:rPr>
        <w:t>用于化学处理系统：聚氯乙烯阀、法兰或丝扣接头。</w:t>
      </w:r>
    </w:p>
    <w:p>
      <w:pPr>
        <w:rPr>
          <w:rFonts w:ascii="宋体" w:hAnsi="宋体" w:cs="宋体"/>
          <w:color w:val="000000"/>
          <w:szCs w:val="24"/>
          <w:highlight w:val="none"/>
        </w:rPr>
      </w:pPr>
      <w:r>
        <w:rPr>
          <w:rFonts w:hint="eastAsia" w:ascii="宋体" w:hAnsi="宋体" w:cs="宋体"/>
          <w:color w:val="000000"/>
          <w:szCs w:val="24"/>
          <w:highlight w:val="none"/>
        </w:rPr>
        <w:t>（5）</w:t>
      </w:r>
      <w:r>
        <w:rPr>
          <w:rFonts w:hint="eastAsia" w:ascii="宋体" w:hAnsi="宋体" w:cs="宋体"/>
          <w:color w:val="000000"/>
          <w:szCs w:val="24"/>
          <w:highlight w:val="none"/>
        </w:rPr>
        <w:tab/>
      </w:r>
      <w:r>
        <w:rPr>
          <w:rFonts w:hint="eastAsia" w:ascii="宋体" w:hAnsi="宋体" w:cs="宋体"/>
          <w:color w:val="000000"/>
          <w:szCs w:val="24"/>
          <w:highlight w:val="none"/>
        </w:rPr>
        <w:t>在流速2.5m/s下的全开水阻：≤1.5kPa。</w:t>
      </w:r>
    </w:p>
    <w:p>
      <w:pPr>
        <w:rPr>
          <w:rFonts w:ascii="宋体" w:hAnsi="宋体" w:cs="宋体"/>
          <w:color w:val="000000"/>
          <w:szCs w:val="24"/>
          <w:highlight w:val="none"/>
        </w:rPr>
      </w:pPr>
      <w:r>
        <w:rPr>
          <w:rFonts w:hint="eastAsia" w:ascii="宋体" w:hAnsi="宋体" w:cs="宋体"/>
          <w:color w:val="000000"/>
          <w:szCs w:val="24"/>
          <w:highlight w:val="none"/>
        </w:rPr>
        <w:t>（6）</w:t>
      </w:r>
      <w:r>
        <w:rPr>
          <w:rFonts w:hint="eastAsia" w:ascii="宋体" w:hAnsi="宋体" w:cs="宋体"/>
          <w:color w:val="000000"/>
          <w:szCs w:val="24"/>
          <w:highlight w:val="none"/>
        </w:rPr>
        <w:tab/>
      </w:r>
      <w:r>
        <w:rPr>
          <w:rFonts w:hint="eastAsia" w:ascii="宋体" w:hAnsi="宋体" w:cs="宋体"/>
          <w:color w:val="000000"/>
          <w:szCs w:val="24"/>
          <w:highlight w:val="none"/>
        </w:rPr>
        <w:t>关闭压力≧0.3MPa，测试标准：GB/T13927-2008。</w:t>
      </w:r>
    </w:p>
    <w:p>
      <w:pPr>
        <w:rPr>
          <w:rFonts w:ascii="宋体" w:hAnsi="宋体" w:cs="宋体"/>
          <w:color w:val="000000"/>
          <w:szCs w:val="24"/>
          <w:highlight w:val="none"/>
        </w:rPr>
      </w:pPr>
      <w:r>
        <w:rPr>
          <w:rFonts w:hint="eastAsia" w:ascii="宋体" w:hAnsi="宋体" w:cs="宋体"/>
          <w:color w:val="000000"/>
          <w:szCs w:val="24"/>
          <w:highlight w:val="none"/>
        </w:rPr>
        <w:t>（7）</w:t>
      </w:r>
      <w:r>
        <w:rPr>
          <w:rFonts w:hint="eastAsia" w:ascii="宋体" w:hAnsi="宋体" w:cs="宋体"/>
          <w:color w:val="000000"/>
          <w:szCs w:val="24"/>
          <w:highlight w:val="none"/>
        </w:rPr>
        <w:tab/>
      </w:r>
      <w:r>
        <w:rPr>
          <w:rFonts w:hint="eastAsia" w:ascii="宋体" w:hAnsi="宋体" w:cs="宋体"/>
          <w:color w:val="000000"/>
          <w:szCs w:val="24"/>
          <w:highlight w:val="none"/>
        </w:rPr>
        <w:t>关闭泄漏率：零泄漏。</w:t>
      </w:r>
    </w:p>
    <w:p>
      <w:pPr>
        <w:rPr>
          <w:rFonts w:ascii="宋体" w:hAnsi="宋体" w:cs="宋体"/>
          <w:color w:val="000000"/>
          <w:szCs w:val="24"/>
          <w:highlight w:val="none"/>
        </w:rPr>
      </w:pPr>
      <w:r>
        <w:rPr>
          <w:rFonts w:hint="eastAsia" w:ascii="宋体" w:hAnsi="宋体" w:cs="宋体"/>
          <w:color w:val="000000"/>
          <w:szCs w:val="24"/>
          <w:highlight w:val="none"/>
        </w:rPr>
        <w:t>（8）</w:t>
      </w:r>
      <w:r>
        <w:rPr>
          <w:rFonts w:hint="eastAsia" w:ascii="宋体" w:hAnsi="宋体" w:cs="宋体"/>
          <w:color w:val="000000"/>
          <w:szCs w:val="24"/>
          <w:highlight w:val="none"/>
        </w:rPr>
        <w:tab/>
      </w:r>
      <w:r>
        <w:rPr>
          <w:rFonts w:hint="eastAsia" w:ascii="宋体" w:hAnsi="宋体" w:cs="宋体"/>
          <w:color w:val="000000"/>
          <w:szCs w:val="24"/>
          <w:highlight w:val="none"/>
        </w:rPr>
        <w:t>工作温度：-10～90℃</w:t>
      </w:r>
    </w:p>
    <w:p>
      <w:pPr>
        <w:rPr>
          <w:rFonts w:ascii="宋体" w:hAnsi="宋体" w:cs="宋体"/>
          <w:color w:val="000000"/>
          <w:szCs w:val="24"/>
          <w:highlight w:val="none"/>
        </w:rPr>
      </w:pPr>
      <w:r>
        <w:rPr>
          <w:rFonts w:hint="eastAsia" w:ascii="宋体" w:hAnsi="宋体" w:cs="宋体"/>
          <w:color w:val="000000"/>
          <w:szCs w:val="24"/>
          <w:highlight w:val="none"/>
        </w:rPr>
        <w:t>（9）</w:t>
      </w:r>
      <w:r>
        <w:rPr>
          <w:rFonts w:hint="eastAsia" w:ascii="宋体" w:hAnsi="宋体" w:cs="宋体"/>
          <w:color w:val="000000"/>
          <w:szCs w:val="24"/>
          <w:highlight w:val="none"/>
        </w:rPr>
        <w:tab/>
      </w:r>
      <w:r>
        <w:rPr>
          <w:rFonts w:hint="eastAsia" w:ascii="宋体" w:hAnsi="宋体" w:cs="宋体"/>
          <w:color w:val="000000"/>
          <w:szCs w:val="24"/>
          <w:highlight w:val="none"/>
        </w:rPr>
        <w:t>适用介质：水</w:t>
      </w:r>
    </w:p>
    <w:p>
      <w:pPr>
        <w:rPr>
          <w:rFonts w:ascii="宋体" w:hAnsi="宋体" w:cs="宋体"/>
          <w:color w:val="000000"/>
          <w:szCs w:val="24"/>
          <w:highlight w:val="none"/>
        </w:rPr>
      </w:pPr>
      <w:r>
        <w:rPr>
          <w:rFonts w:hint="eastAsia" w:ascii="宋体" w:hAnsi="宋体" w:cs="宋体"/>
          <w:color w:val="000000"/>
          <w:szCs w:val="24"/>
          <w:highlight w:val="none"/>
        </w:rPr>
        <w:t>（10）</w:t>
      </w:r>
      <w:r>
        <w:rPr>
          <w:rFonts w:hint="eastAsia" w:ascii="宋体" w:hAnsi="宋体" w:cs="宋体"/>
          <w:color w:val="000000"/>
          <w:szCs w:val="24"/>
          <w:highlight w:val="none"/>
        </w:rPr>
        <w:tab/>
      </w:r>
      <w:r>
        <w:rPr>
          <w:rFonts w:hint="eastAsia" w:ascii="宋体" w:hAnsi="宋体" w:cs="宋体"/>
          <w:color w:val="000000"/>
          <w:szCs w:val="24"/>
          <w:highlight w:val="none"/>
        </w:rPr>
        <w:t>阀轴采用PTFE密封</w:t>
      </w:r>
    </w:p>
    <w:p>
      <w:pPr>
        <w:rPr>
          <w:rFonts w:ascii="宋体" w:hAnsi="宋体" w:cs="宋体"/>
          <w:color w:val="000000"/>
          <w:szCs w:val="24"/>
          <w:highlight w:val="none"/>
        </w:rPr>
      </w:pPr>
      <w:r>
        <w:rPr>
          <w:rFonts w:hint="eastAsia" w:ascii="宋体" w:hAnsi="宋体" w:cs="宋体"/>
          <w:color w:val="000000"/>
          <w:szCs w:val="24"/>
          <w:highlight w:val="none"/>
        </w:rPr>
        <w:t>（11）</w:t>
      </w:r>
      <w:r>
        <w:rPr>
          <w:rFonts w:hint="eastAsia" w:ascii="宋体" w:hAnsi="宋体" w:cs="宋体"/>
          <w:color w:val="000000"/>
          <w:szCs w:val="24"/>
          <w:highlight w:val="none"/>
        </w:rPr>
        <w:tab/>
      </w:r>
      <w:r>
        <w:rPr>
          <w:rFonts w:hint="eastAsia" w:ascii="宋体" w:hAnsi="宋体" w:cs="宋体"/>
          <w:color w:val="000000"/>
          <w:szCs w:val="24"/>
          <w:highlight w:val="none"/>
        </w:rPr>
        <w:t>阀体材质：黄铜</w:t>
      </w:r>
    </w:p>
    <w:p>
      <w:pPr>
        <w:rPr>
          <w:rFonts w:ascii="宋体" w:hAnsi="宋体" w:cs="宋体"/>
          <w:color w:val="000000"/>
          <w:szCs w:val="24"/>
          <w:highlight w:val="none"/>
        </w:rPr>
      </w:pPr>
      <w:r>
        <w:rPr>
          <w:rFonts w:hint="eastAsia" w:ascii="宋体" w:hAnsi="宋体" w:cs="宋体"/>
          <w:color w:val="000000"/>
          <w:szCs w:val="24"/>
          <w:highlight w:val="none"/>
        </w:rPr>
        <w:t>（12）</w:t>
      </w:r>
      <w:r>
        <w:rPr>
          <w:rFonts w:hint="eastAsia" w:ascii="宋体" w:hAnsi="宋体" w:cs="宋体"/>
          <w:color w:val="000000"/>
          <w:szCs w:val="24"/>
          <w:highlight w:val="none"/>
        </w:rPr>
        <w:tab/>
      </w:r>
      <w:r>
        <w:rPr>
          <w:rFonts w:hint="eastAsia" w:ascii="宋体" w:hAnsi="宋体" w:cs="宋体"/>
          <w:color w:val="000000"/>
          <w:szCs w:val="24"/>
          <w:highlight w:val="none"/>
        </w:rPr>
        <w:t>阀瓣材质：黄铜或不锈钢</w:t>
      </w:r>
    </w:p>
    <w:p>
      <w:pPr>
        <w:rPr>
          <w:rFonts w:ascii="宋体" w:hAnsi="宋体" w:cs="宋体"/>
          <w:color w:val="000000"/>
          <w:szCs w:val="24"/>
          <w:highlight w:val="none"/>
        </w:rPr>
      </w:pPr>
      <w:r>
        <w:rPr>
          <w:rFonts w:hint="eastAsia" w:ascii="宋体" w:hAnsi="宋体" w:cs="宋体"/>
          <w:color w:val="000000"/>
          <w:szCs w:val="24"/>
          <w:highlight w:val="none"/>
        </w:rPr>
        <w:t>（13）</w:t>
      </w:r>
      <w:r>
        <w:rPr>
          <w:rFonts w:hint="eastAsia" w:ascii="宋体" w:hAnsi="宋体" w:cs="宋体"/>
          <w:color w:val="000000"/>
          <w:szCs w:val="24"/>
          <w:highlight w:val="none"/>
        </w:rPr>
        <w:tab/>
      </w:r>
      <w:r>
        <w:rPr>
          <w:rFonts w:hint="eastAsia" w:ascii="宋体" w:hAnsi="宋体" w:cs="宋体"/>
          <w:color w:val="000000"/>
          <w:szCs w:val="24"/>
          <w:highlight w:val="none"/>
        </w:rPr>
        <w:t>阀盖材质：黄铜</w:t>
      </w:r>
    </w:p>
    <w:p>
      <w:pPr>
        <w:rPr>
          <w:rFonts w:ascii="宋体" w:hAnsi="宋体" w:cs="宋体"/>
          <w:color w:val="000000"/>
          <w:szCs w:val="24"/>
          <w:highlight w:val="none"/>
        </w:rPr>
      </w:pPr>
      <w:r>
        <w:rPr>
          <w:rFonts w:hint="eastAsia" w:ascii="宋体" w:hAnsi="宋体" w:cs="宋体"/>
          <w:color w:val="000000"/>
          <w:szCs w:val="24"/>
          <w:highlight w:val="none"/>
        </w:rPr>
        <w:t>（14）</w:t>
      </w:r>
      <w:r>
        <w:rPr>
          <w:rFonts w:hint="eastAsia" w:ascii="宋体" w:hAnsi="宋体" w:cs="宋体"/>
          <w:color w:val="000000"/>
          <w:szCs w:val="24"/>
          <w:highlight w:val="none"/>
        </w:rPr>
        <w:tab/>
      </w:r>
      <w:r>
        <w:rPr>
          <w:rFonts w:hint="eastAsia" w:ascii="宋体" w:hAnsi="宋体" w:cs="宋体"/>
          <w:color w:val="000000"/>
          <w:szCs w:val="24"/>
          <w:highlight w:val="none"/>
        </w:rPr>
        <w:t>阀杆材质：黄铜</w:t>
      </w:r>
    </w:p>
    <w:p>
      <w:pPr>
        <w:rPr>
          <w:rFonts w:ascii="宋体" w:hAnsi="宋体" w:cs="宋体"/>
          <w:color w:val="000000"/>
          <w:szCs w:val="24"/>
          <w:highlight w:val="none"/>
        </w:rPr>
      </w:pPr>
    </w:p>
    <w:p>
      <w:pPr>
        <w:rPr>
          <w:rFonts w:ascii="宋体" w:hAnsi="宋体" w:cs="宋体"/>
          <w:color w:val="000000"/>
          <w:szCs w:val="24"/>
          <w:highlight w:val="none"/>
        </w:rPr>
      </w:pPr>
      <w:r>
        <w:rPr>
          <w:rFonts w:hint="eastAsia" w:ascii="宋体" w:hAnsi="宋体" w:cs="宋体"/>
          <w:color w:val="000000"/>
          <w:szCs w:val="24"/>
          <w:highlight w:val="none"/>
        </w:rPr>
        <w:t>2.2 截止阀</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螺栓连接阀盖、明杆、升降阀杆、金属密封。</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驱动形式：采用手轮或齿轮传动。</w:t>
      </w:r>
    </w:p>
    <w:p>
      <w:pPr>
        <w:rPr>
          <w:rFonts w:ascii="宋体" w:hAnsi="宋体" w:cs="宋体"/>
          <w:color w:val="000000"/>
          <w:szCs w:val="24"/>
          <w:highlight w:val="none"/>
        </w:rPr>
      </w:pPr>
      <w:r>
        <w:rPr>
          <w:rFonts w:hint="eastAsia" w:ascii="宋体" w:hAnsi="宋体" w:cs="宋体"/>
          <w:color w:val="000000"/>
          <w:szCs w:val="24"/>
          <w:highlight w:val="none"/>
        </w:rPr>
        <w:t>（3）</w:t>
      </w:r>
      <w:r>
        <w:rPr>
          <w:rFonts w:hint="eastAsia" w:ascii="宋体" w:hAnsi="宋体" w:cs="宋体"/>
          <w:color w:val="000000"/>
          <w:szCs w:val="24"/>
          <w:highlight w:val="none"/>
        </w:rPr>
        <w:tab/>
      </w:r>
      <w:r>
        <w:rPr>
          <w:rFonts w:hint="eastAsia" w:ascii="宋体" w:hAnsi="宋体" w:cs="宋体"/>
          <w:color w:val="000000"/>
          <w:szCs w:val="24"/>
          <w:highlight w:val="none"/>
        </w:rPr>
        <w:t>填料密封：采用柔性石墨填料。采用蝶型弹簧加载的填料压紧机构，使填料的密封更加持久可靠。</w:t>
      </w:r>
    </w:p>
    <w:p>
      <w:pPr>
        <w:rPr>
          <w:rFonts w:ascii="宋体" w:hAnsi="宋体" w:cs="宋体"/>
          <w:color w:val="000000"/>
          <w:szCs w:val="24"/>
          <w:highlight w:val="none"/>
        </w:rPr>
      </w:pPr>
      <w:r>
        <w:rPr>
          <w:rFonts w:hint="eastAsia" w:ascii="宋体" w:hAnsi="宋体" w:cs="宋体"/>
          <w:color w:val="000000"/>
          <w:szCs w:val="24"/>
          <w:highlight w:val="none"/>
        </w:rPr>
        <w:t>（4）</w:t>
      </w:r>
      <w:r>
        <w:rPr>
          <w:rFonts w:hint="eastAsia" w:ascii="宋体" w:hAnsi="宋体" w:cs="宋体"/>
          <w:color w:val="000000"/>
          <w:szCs w:val="24"/>
          <w:highlight w:val="none"/>
        </w:rPr>
        <w:tab/>
      </w:r>
      <w:r>
        <w:rPr>
          <w:rFonts w:hint="eastAsia" w:ascii="宋体" w:hAnsi="宋体" w:cs="宋体"/>
          <w:color w:val="000000"/>
          <w:szCs w:val="24"/>
          <w:highlight w:val="none"/>
        </w:rPr>
        <w:t>上密封结构：碳钢截止阀设有一个可更换的上密封座，不锈钢阀门一般是在阀盖本体上直接加工上密封座或堆焊后加工上密封座，截止阀处在全开位置时，上密封结构能够可靠密封。</w:t>
      </w:r>
    </w:p>
    <w:p>
      <w:pPr>
        <w:rPr>
          <w:rFonts w:ascii="宋体" w:hAnsi="宋体" w:cs="宋体"/>
          <w:color w:val="000000"/>
          <w:szCs w:val="24"/>
          <w:highlight w:val="none"/>
        </w:rPr>
      </w:pPr>
      <w:r>
        <w:rPr>
          <w:rFonts w:hint="eastAsia" w:ascii="宋体" w:hAnsi="宋体" w:cs="宋体"/>
          <w:color w:val="000000"/>
          <w:szCs w:val="24"/>
          <w:highlight w:val="none"/>
        </w:rPr>
        <w:t>（5）</w:t>
      </w:r>
      <w:r>
        <w:rPr>
          <w:rFonts w:hint="eastAsia" w:ascii="宋体" w:hAnsi="宋体" w:cs="宋体"/>
          <w:color w:val="000000"/>
          <w:szCs w:val="24"/>
          <w:highlight w:val="none"/>
        </w:rPr>
        <w:tab/>
      </w:r>
      <w:r>
        <w:rPr>
          <w:rFonts w:hint="eastAsia" w:ascii="宋体" w:hAnsi="宋体" w:cs="宋体"/>
          <w:color w:val="000000"/>
          <w:szCs w:val="24"/>
          <w:highlight w:val="none"/>
        </w:rPr>
        <w:t>阀体：铸铁或碳钢。</w:t>
      </w:r>
    </w:p>
    <w:p>
      <w:pPr>
        <w:rPr>
          <w:rFonts w:ascii="宋体" w:hAnsi="宋体" w:cs="宋体"/>
          <w:color w:val="000000"/>
          <w:szCs w:val="24"/>
          <w:highlight w:val="none"/>
        </w:rPr>
      </w:pPr>
      <w:r>
        <w:rPr>
          <w:rFonts w:hint="eastAsia" w:ascii="宋体" w:hAnsi="宋体" w:cs="宋体"/>
          <w:color w:val="000000"/>
          <w:szCs w:val="24"/>
          <w:highlight w:val="none"/>
        </w:rPr>
        <w:t>（6）</w:t>
      </w:r>
      <w:r>
        <w:rPr>
          <w:rFonts w:hint="eastAsia" w:ascii="宋体" w:hAnsi="宋体" w:cs="宋体"/>
          <w:color w:val="000000"/>
          <w:szCs w:val="24"/>
          <w:highlight w:val="none"/>
        </w:rPr>
        <w:tab/>
      </w:r>
      <w:r>
        <w:rPr>
          <w:rFonts w:hint="eastAsia" w:ascii="宋体" w:hAnsi="宋体" w:cs="宋体"/>
          <w:color w:val="000000"/>
          <w:szCs w:val="24"/>
          <w:highlight w:val="none"/>
        </w:rPr>
        <w:t>阀杆：不锈钢、采用整体锻造结构，阀杆最小直径符合标准规定。</w:t>
      </w:r>
    </w:p>
    <w:p>
      <w:pPr>
        <w:rPr>
          <w:rFonts w:ascii="宋体" w:hAnsi="宋体" w:cs="宋体"/>
          <w:color w:val="000000"/>
          <w:szCs w:val="24"/>
          <w:highlight w:val="none"/>
        </w:rPr>
      </w:pPr>
      <w:r>
        <w:rPr>
          <w:rFonts w:hint="eastAsia" w:ascii="宋体" w:hAnsi="宋体" w:cs="宋体"/>
          <w:color w:val="000000"/>
          <w:szCs w:val="24"/>
          <w:highlight w:val="none"/>
        </w:rPr>
        <w:t>（7）</w:t>
      </w:r>
      <w:r>
        <w:rPr>
          <w:rFonts w:hint="eastAsia" w:ascii="宋体" w:hAnsi="宋体" w:cs="宋体"/>
          <w:color w:val="000000"/>
          <w:szCs w:val="24"/>
          <w:highlight w:val="none"/>
        </w:rPr>
        <w:tab/>
      </w:r>
      <w:r>
        <w:rPr>
          <w:rFonts w:hint="eastAsia" w:ascii="宋体" w:hAnsi="宋体" w:cs="宋体"/>
          <w:color w:val="000000"/>
          <w:szCs w:val="24"/>
          <w:highlight w:val="none"/>
        </w:rPr>
        <w:t>阀瓣：DN50&lt;不锈钢，DN50以上铸铁。</w:t>
      </w:r>
    </w:p>
    <w:p>
      <w:pPr>
        <w:rPr>
          <w:rFonts w:ascii="宋体" w:hAnsi="宋体" w:cs="宋体"/>
          <w:color w:val="000000"/>
          <w:szCs w:val="24"/>
          <w:highlight w:val="none"/>
        </w:rPr>
      </w:pPr>
      <w:r>
        <w:rPr>
          <w:rFonts w:hint="eastAsia" w:ascii="宋体" w:hAnsi="宋体" w:cs="宋体"/>
          <w:color w:val="000000"/>
          <w:szCs w:val="24"/>
          <w:highlight w:val="none"/>
        </w:rPr>
        <w:t>（8）</w:t>
      </w:r>
      <w:r>
        <w:rPr>
          <w:rFonts w:hint="eastAsia" w:ascii="宋体" w:hAnsi="宋体" w:cs="宋体"/>
          <w:color w:val="000000"/>
          <w:szCs w:val="24"/>
          <w:highlight w:val="none"/>
        </w:rPr>
        <w:tab/>
      </w:r>
      <w:r>
        <w:rPr>
          <w:rFonts w:hint="eastAsia" w:ascii="宋体" w:hAnsi="宋体" w:cs="宋体"/>
          <w:color w:val="000000"/>
          <w:szCs w:val="24"/>
          <w:highlight w:val="none"/>
        </w:rPr>
        <w:t>阀座：不锈钢材质，采用锻造阀座，DN≤250截止阀的阀体与阀座采用可更换的螺纹连接，DN≥300的截止阀的阀体与阀座采用焊接。</w:t>
      </w:r>
    </w:p>
    <w:p>
      <w:pPr>
        <w:rPr>
          <w:rFonts w:ascii="宋体" w:hAnsi="宋体" w:cs="宋体"/>
          <w:color w:val="000000"/>
          <w:szCs w:val="24"/>
          <w:highlight w:val="none"/>
        </w:rPr>
      </w:pPr>
      <w:r>
        <w:rPr>
          <w:rFonts w:hint="eastAsia" w:ascii="宋体" w:hAnsi="宋体" w:cs="宋体"/>
          <w:color w:val="000000"/>
          <w:szCs w:val="24"/>
          <w:highlight w:val="none"/>
        </w:rPr>
        <w:t>（9）</w:t>
      </w:r>
      <w:r>
        <w:rPr>
          <w:rFonts w:hint="eastAsia" w:ascii="宋体" w:hAnsi="宋体" w:cs="宋体"/>
          <w:color w:val="000000"/>
          <w:szCs w:val="24"/>
          <w:highlight w:val="none"/>
        </w:rPr>
        <w:tab/>
      </w:r>
      <w:r>
        <w:rPr>
          <w:rFonts w:hint="eastAsia" w:ascii="宋体" w:hAnsi="宋体" w:cs="宋体"/>
          <w:color w:val="000000"/>
          <w:szCs w:val="24"/>
          <w:highlight w:val="none"/>
        </w:rPr>
        <w:t>工作温度范围为-20℃～120℃。</w:t>
      </w:r>
    </w:p>
    <w:p>
      <w:pPr>
        <w:rPr>
          <w:rFonts w:ascii="宋体" w:hAnsi="宋体" w:cs="宋体"/>
          <w:color w:val="000000"/>
          <w:szCs w:val="24"/>
          <w:highlight w:val="none"/>
        </w:rPr>
      </w:pPr>
      <w:r>
        <w:rPr>
          <w:rFonts w:hint="eastAsia" w:ascii="宋体" w:hAnsi="宋体" w:cs="宋体"/>
          <w:color w:val="000000"/>
          <w:szCs w:val="24"/>
          <w:highlight w:val="none"/>
        </w:rPr>
        <w:t>（10）</w:t>
      </w:r>
      <w:r>
        <w:rPr>
          <w:rFonts w:hint="eastAsia" w:ascii="宋体" w:hAnsi="宋体" w:cs="宋体"/>
          <w:color w:val="000000"/>
          <w:szCs w:val="24"/>
          <w:highlight w:val="none"/>
        </w:rPr>
        <w:tab/>
      </w:r>
      <w:r>
        <w:rPr>
          <w:rFonts w:hint="eastAsia" w:ascii="宋体" w:hAnsi="宋体" w:cs="宋体"/>
          <w:color w:val="000000"/>
          <w:szCs w:val="24"/>
          <w:highlight w:val="none"/>
        </w:rPr>
        <w:t>阀体、阀盖、阀杆材质：黄铜。</w:t>
      </w:r>
    </w:p>
    <w:p>
      <w:pPr>
        <w:rPr>
          <w:rFonts w:ascii="宋体" w:hAnsi="宋体" w:cs="宋体"/>
          <w:color w:val="000000"/>
          <w:szCs w:val="24"/>
          <w:highlight w:val="none"/>
        </w:rPr>
      </w:pPr>
      <w:r>
        <w:rPr>
          <w:rFonts w:hint="eastAsia" w:ascii="宋体" w:hAnsi="宋体" w:cs="宋体"/>
          <w:color w:val="000000"/>
          <w:szCs w:val="24"/>
          <w:highlight w:val="none"/>
        </w:rPr>
        <w:t>（11）</w:t>
      </w:r>
      <w:r>
        <w:rPr>
          <w:rFonts w:hint="eastAsia" w:ascii="宋体" w:hAnsi="宋体" w:cs="宋体"/>
          <w:color w:val="000000"/>
          <w:szCs w:val="24"/>
          <w:highlight w:val="none"/>
        </w:rPr>
        <w:tab/>
      </w:r>
      <w:r>
        <w:rPr>
          <w:rFonts w:hint="eastAsia" w:ascii="宋体" w:hAnsi="宋体" w:cs="宋体"/>
          <w:color w:val="000000"/>
          <w:szCs w:val="24"/>
          <w:highlight w:val="none"/>
        </w:rPr>
        <w:t>手轮材质要求：铸铁。</w:t>
      </w:r>
    </w:p>
    <w:p>
      <w:pPr>
        <w:rPr>
          <w:rFonts w:ascii="宋体" w:hAnsi="宋体" w:cs="宋体"/>
          <w:color w:val="000000"/>
          <w:szCs w:val="24"/>
          <w:highlight w:val="none"/>
        </w:rPr>
      </w:pPr>
      <w:r>
        <w:rPr>
          <w:rFonts w:hint="eastAsia" w:ascii="宋体" w:hAnsi="宋体" w:cs="宋体"/>
          <w:color w:val="000000"/>
          <w:szCs w:val="24"/>
          <w:highlight w:val="none"/>
        </w:rPr>
        <w:t>（12）</w:t>
      </w:r>
      <w:r>
        <w:rPr>
          <w:rFonts w:hint="eastAsia" w:ascii="宋体" w:hAnsi="宋体" w:cs="宋体"/>
          <w:color w:val="000000"/>
          <w:szCs w:val="24"/>
          <w:highlight w:val="none"/>
        </w:rPr>
        <w:tab/>
      </w:r>
      <w:r>
        <w:rPr>
          <w:rFonts w:hint="eastAsia" w:ascii="宋体" w:hAnsi="宋体" w:cs="宋体"/>
          <w:color w:val="000000"/>
          <w:szCs w:val="24"/>
          <w:highlight w:val="none"/>
        </w:rPr>
        <w:t>上密封：PTFE（聚四氟乙烯）</w:t>
      </w:r>
    </w:p>
    <w:p>
      <w:pPr>
        <w:rPr>
          <w:rFonts w:ascii="宋体" w:hAnsi="宋体" w:cs="宋体"/>
          <w:color w:val="000000"/>
          <w:szCs w:val="24"/>
          <w:highlight w:val="none"/>
        </w:rPr>
      </w:pPr>
    </w:p>
    <w:p>
      <w:pPr>
        <w:rPr>
          <w:rFonts w:ascii="宋体" w:hAnsi="宋体" w:cs="宋体"/>
          <w:color w:val="000000"/>
          <w:szCs w:val="24"/>
          <w:highlight w:val="none"/>
        </w:rPr>
      </w:pPr>
      <w:r>
        <w:rPr>
          <w:rFonts w:hint="eastAsia" w:ascii="宋体" w:hAnsi="宋体" w:cs="宋体"/>
          <w:color w:val="000000"/>
          <w:szCs w:val="24"/>
          <w:highlight w:val="none"/>
        </w:rPr>
        <w:t>2.3 球型阀</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50毫米以及以下：青铜球、丝扣阀帽、升降阀杆、金属对金属座、丝扣接头。</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65毫米以及以上：铸铁阀体、青铜球、可再研磨或可更换的阀座环和阀板、经处理的青铜升降阀杆、螺栓锁定分离阀帽、法兰接头。</w:t>
      </w:r>
    </w:p>
    <w:p>
      <w:pPr>
        <w:rPr>
          <w:rFonts w:ascii="宋体" w:hAnsi="宋体" w:cs="宋体"/>
          <w:color w:val="000000"/>
          <w:szCs w:val="24"/>
          <w:highlight w:val="none"/>
        </w:rPr>
      </w:pPr>
      <w:r>
        <w:rPr>
          <w:rFonts w:hint="eastAsia" w:ascii="宋体" w:hAnsi="宋体" w:cs="宋体"/>
          <w:color w:val="000000"/>
          <w:szCs w:val="24"/>
          <w:highlight w:val="none"/>
        </w:rPr>
        <w:t>（3）</w:t>
      </w:r>
      <w:r>
        <w:rPr>
          <w:rFonts w:hint="eastAsia" w:ascii="宋体" w:hAnsi="宋体" w:cs="宋体"/>
          <w:color w:val="000000"/>
          <w:szCs w:val="24"/>
          <w:highlight w:val="none"/>
        </w:rPr>
        <w:tab/>
      </w:r>
      <w:r>
        <w:rPr>
          <w:rFonts w:hint="eastAsia" w:ascii="宋体" w:hAnsi="宋体" w:cs="宋体"/>
          <w:color w:val="000000"/>
          <w:szCs w:val="24"/>
          <w:highlight w:val="none"/>
        </w:rPr>
        <w:t>用于化学处理系统：聚氯乙烯阀、法兰或丝扣接头。</w:t>
      </w:r>
    </w:p>
    <w:p>
      <w:pPr>
        <w:rPr>
          <w:rFonts w:ascii="宋体" w:hAnsi="宋体" w:cs="宋体"/>
          <w:color w:val="000000"/>
          <w:szCs w:val="24"/>
          <w:highlight w:val="none"/>
        </w:rPr>
      </w:pPr>
    </w:p>
    <w:p>
      <w:pPr>
        <w:rPr>
          <w:rFonts w:ascii="宋体" w:hAnsi="宋体" w:cs="宋体"/>
          <w:color w:val="000000"/>
          <w:szCs w:val="24"/>
          <w:highlight w:val="none"/>
        </w:rPr>
      </w:pPr>
      <w:r>
        <w:rPr>
          <w:rFonts w:hint="eastAsia" w:ascii="宋体" w:hAnsi="宋体" w:cs="宋体"/>
          <w:color w:val="000000"/>
          <w:szCs w:val="24"/>
          <w:highlight w:val="none"/>
        </w:rPr>
        <w:t>2.4 偏心球形止回阀</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功能：依靠介质本身流动而自动开、闭球形阀瓣，防止介质倒流，消声止回；</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设计流量下的阻力损失≤5kPa；</w:t>
      </w:r>
    </w:p>
    <w:p>
      <w:pPr>
        <w:rPr>
          <w:rFonts w:ascii="宋体" w:hAnsi="宋体" w:cs="宋体"/>
          <w:color w:val="000000"/>
          <w:szCs w:val="24"/>
          <w:highlight w:val="none"/>
        </w:rPr>
      </w:pPr>
      <w:r>
        <w:rPr>
          <w:rFonts w:hint="eastAsia" w:ascii="宋体" w:hAnsi="宋体" w:cs="宋体"/>
          <w:color w:val="000000"/>
          <w:szCs w:val="24"/>
          <w:highlight w:val="none"/>
        </w:rPr>
        <w:t>（3）</w:t>
      </w:r>
      <w:r>
        <w:rPr>
          <w:rFonts w:hint="eastAsia" w:ascii="宋体" w:hAnsi="宋体" w:cs="宋体"/>
          <w:color w:val="000000"/>
          <w:szCs w:val="24"/>
          <w:highlight w:val="none"/>
        </w:rPr>
        <w:tab/>
      </w:r>
      <w:r>
        <w:rPr>
          <w:rFonts w:hint="eastAsia" w:ascii="宋体" w:hAnsi="宋体" w:cs="宋体"/>
          <w:color w:val="000000"/>
          <w:szCs w:val="24"/>
          <w:highlight w:val="none"/>
        </w:rPr>
        <w:t>关闭泄漏率：零泄漏；</w:t>
      </w:r>
    </w:p>
    <w:p>
      <w:pPr>
        <w:rPr>
          <w:rFonts w:ascii="宋体" w:hAnsi="宋体" w:cs="宋体"/>
          <w:color w:val="000000"/>
          <w:szCs w:val="24"/>
          <w:highlight w:val="none"/>
        </w:rPr>
      </w:pPr>
      <w:r>
        <w:rPr>
          <w:rFonts w:hint="eastAsia" w:ascii="宋体" w:hAnsi="宋体" w:cs="宋体"/>
          <w:color w:val="000000"/>
          <w:szCs w:val="24"/>
          <w:highlight w:val="none"/>
        </w:rPr>
        <w:t>（4）</w:t>
      </w:r>
      <w:r>
        <w:rPr>
          <w:rFonts w:hint="eastAsia" w:ascii="宋体" w:hAnsi="宋体" w:cs="宋体"/>
          <w:color w:val="000000"/>
          <w:szCs w:val="24"/>
          <w:highlight w:val="none"/>
        </w:rPr>
        <w:tab/>
      </w:r>
      <w:r>
        <w:rPr>
          <w:rFonts w:hint="eastAsia" w:ascii="宋体" w:hAnsi="宋体" w:cs="宋体"/>
          <w:color w:val="000000"/>
          <w:szCs w:val="24"/>
          <w:highlight w:val="none"/>
        </w:rPr>
        <w:t>工作温度： 0～80℃；</w:t>
      </w:r>
    </w:p>
    <w:p>
      <w:pPr>
        <w:rPr>
          <w:rFonts w:ascii="宋体" w:hAnsi="宋体" w:cs="宋体"/>
          <w:color w:val="000000"/>
          <w:szCs w:val="24"/>
          <w:highlight w:val="none"/>
        </w:rPr>
      </w:pPr>
      <w:r>
        <w:rPr>
          <w:rFonts w:hint="eastAsia" w:ascii="宋体" w:hAnsi="宋体" w:cs="宋体"/>
          <w:color w:val="000000"/>
          <w:szCs w:val="24"/>
          <w:highlight w:val="none"/>
        </w:rPr>
        <w:t>（5）</w:t>
      </w:r>
      <w:r>
        <w:rPr>
          <w:rFonts w:hint="eastAsia" w:ascii="宋体" w:hAnsi="宋体" w:cs="宋体"/>
          <w:color w:val="000000"/>
          <w:szCs w:val="24"/>
          <w:highlight w:val="none"/>
        </w:rPr>
        <w:tab/>
      </w:r>
      <w:r>
        <w:rPr>
          <w:rFonts w:hint="eastAsia" w:ascii="宋体" w:hAnsi="宋体" w:cs="宋体"/>
          <w:color w:val="000000"/>
          <w:szCs w:val="24"/>
          <w:highlight w:val="none"/>
        </w:rPr>
        <w:t>适用介质：水；</w:t>
      </w:r>
    </w:p>
    <w:p>
      <w:pPr>
        <w:rPr>
          <w:rFonts w:ascii="宋体" w:hAnsi="宋体" w:cs="宋体"/>
          <w:color w:val="000000"/>
          <w:szCs w:val="24"/>
          <w:highlight w:val="none"/>
        </w:rPr>
      </w:pPr>
      <w:r>
        <w:rPr>
          <w:rFonts w:hint="eastAsia" w:ascii="宋体" w:hAnsi="宋体" w:cs="宋体"/>
          <w:color w:val="000000"/>
          <w:szCs w:val="24"/>
          <w:highlight w:val="none"/>
        </w:rPr>
        <w:t>（6）</w:t>
      </w:r>
      <w:r>
        <w:rPr>
          <w:rFonts w:hint="eastAsia" w:ascii="宋体" w:hAnsi="宋体" w:cs="宋体"/>
          <w:color w:val="000000"/>
          <w:szCs w:val="24"/>
          <w:highlight w:val="none"/>
        </w:rPr>
        <w:tab/>
      </w:r>
      <w:r>
        <w:rPr>
          <w:rFonts w:hint="eastAsia" w:ascii="宋体" w:hAnsi="宋体" w:cs="宋体"/>
          <w:color w:val="000000"/>
          <w:szCs w:val="24"/>
          <w:highlight w:val="none"/>
        </w:rPr>
        <w:t>阀体、阀盖材质：球墨铸铁QT450-10，表面环氧树脂喷涂；</w:t>
      </w:r>
    </w:p>
    <w:p>
      <w:pPr>
        <w:rPr>
          <w:rFonts w:ascii="宋体" w:hAnsi="宋体" w:cs="宋体"/>
          <w:color w:val="000000"/>
          <w:szCs w:val="24"/>
          <w:highlight w:val="none"/>
        </w:rPr>
      </w:pPr>
      <w:r>
        <w:rPr>
          <w:rFonts w:hint="eastAsia" w:ascii="宋体" w:hAnsi="宋体" w:cs="宋体"/>
          <w:color w:val="000000"/>
          <w:szCs w:val="24"/>
          <w:highlight w:val="none"/>
        </w:rPr>
        <w:t>（7）</w:t>
      </w:r>
      <w:r>
        <w:rPr>
          <w:rFonts w:hint="eastAsia" w:ascii="宋体" w:hAnsi="宋体" w:cs="宋体"/>
          <w:color w:val="000000"/>
          <w:szCs w:val="24"/>
          <w:highlight w:val="none"/>
        </w:rPr>
        <w:tab/>
      </w:r>
      <w:r>
        <w:rPr>
          <w:rFonts w:hint="eastAsia" w:ascii="宋体" w:hAnsi="宋体" w:cs="宋体"/>
          <w:color w:val="000000"/>
          <w:szCs w:val="24"/>
          <w:highlight w:val="none"/>
        </w:rPr>
        <w:t>球形阀瓣材质：铸铝或铸铁包胶EPDM（三元乙丙橡胶）；</w:t>
      </w:r>
    </w:p>
    <w:p>
      <w:pPr>
        <w:rPr>
          <w:rFonts w:ascii="宋体" w:hAnsi="宋体" w:cs="宋体"/>
          <w:color w:val="000000"/>
          <w:szCs w:val="24"/>
          <w:highlight w:val="none"/>
        </w:rPr>
      </w:pPr>
      <w:r>
        <w:rPr>
          <w:rFonts w:hint="eastAsia" w:ascii="宋体" w:hAnsi="宋体" w:cs="宋体"/>
          <w:color w:val="000000"/>
          <w:szCs w:val="24"/>
          <w:highlight w:val="none"/>
        </w:rPr>
        <w:t>（8）</w:t>
      </w:r>
      <w:r>
        <w:rPr>
          <w:rFonts w:hint="eastAsia" w:ascii="宋体" w:hAnsi="宋体" w:cs="宋体"/>
          <w:color w:val="000000"/>
          <w:szCs w:val="24"/>
          <w:highlight w:val="none"/>
        </w:rPr>
        <w:tab/>
      </w:r>
      <w:r>
        <w:rPr>
          <w:rFonts w:hint="eastAsia" w:ascii="宋体" w:hAnsi="宋体" w:cs="宋体"/>
          <w:color w:val="000000"/>
          <w:szCs w:val="24"/>
          <w:highlight w:val="none"/>
        </w:rPr>
        <w:t>安全无击的流线型导向式结构，无机械运动部件所造成的冲击和噪音，不会由于水泵启闭所形成的阀芯撞击而破坏阀座，并且避免气蚀现象造成的主阀震动和啸叫；</w:t>
      </w:r>
    </w:p>
    <w:p>
      <w:pPr>
        <w:rPr>
          <w:rFonts w:ascii="宋体" w:hAnsi="宋体" w:cs="宋体"/>
          <w:color w:val="000000"/>
          <w:szCs w:val="24"/>
          <w:highlight w:val="none"/>
        </w:rPr>
      </w:pPr>
      <w:r>
        <w:rPr>
          <w:rFonts w:hint="eastAsia" w:ascii="宋体" w:hAnsi="宋体" w:cs="宋体"/>
          <w:color w:val="000000"/>
          <w:szCs w:val="24"/>
          <w:highlight w:val="none"/>
        </w:rPr>
        <w:t>（9）</w:t>
      </w:r>
      <w:r>
        <w:rPr>
          <w:rFonts w:hint="eastAsia" w:ascii="宋体" w:hAnsi="宋体" w:cs="宋体"/>
          <w:color w:val="000000"/>
          <w:szCs w:val="24"/>
          <w:highlight w:val="none"/>
        </w:rPr>
        <w:tab/>
      </w:r>
      <w:r>
        <w:rPr>
          <w:rFonts w:hint="eastAsia" w:ascii="宋体" w:hAnsi="宋体" w:cs="宋体"/>
          <w:color w:val="000000"/>
          <w:szCs w:val="24"/>
          <w:highlight w:val="none"/>
        </w:rPr>
        <w:t>球形阀塞须随着水流速度自由浮动而无需利用润滑脂或反重量平衡的装置配合。</w:t>
      </w:r>
    </w:p>
    <w:p>
      <w:pPr>
        <w:rPr>
          <w:rFonts w:ascii="宋体" w:hAnsi="宋体" w:cs="宋体"/>
          <w:color w:val="000000"/>
          <w:szCs w:val="24"/>
          <w:highlight w:val="none"/>
        </w:rPr>
      </w:pPr>
      <w:r>
        <w:rPr>
          <w:rFonts w:hint="eastAsia" w:ascii="宋体" w:hAnsi="宋体" w:cs="宋体"/>
          <w:color w:val="000000"/>
          <w:szCs w:val="24"/>
          <w:highlight w:val="none"/>
        </w:rPr>
        <w:t>（10）</w:t>
      </w:r>
      <w:r>
        <w:rPr>
          <w:rFonts w:hint="eastAsia" w:ascii="宋体" w:hAnsi="宋体" w:cs="宋体"/>
          <w:color w:val="000000"/>
          <w:szCs w:val="24"/>
          <w:highlight w:val="none"/>
        </w:rPr>
        <w:tab/>
      </w:r>
      <w:r>
        <w:rPr>
          <w:rFonts w:hint="eastAsia" w:ascii="宋体" w:hAnsi="宋体" w:cs="宋体"/>
          <w:color w:val="000000"/>
          <w:szCs w:val="24"/>
          <w:highlight w:val="none"/>
        </w:rPr>
        <w:t>须防止阀塞和座环于装配后互相磨损。</w:t>
      </w:r>
    </w:p>
    <w:p>
      <w:pPr>
        <w:rPr>
          <w:rFonts w:ascii="宋体" w:hAnsi="宋体" w:cs="宋体"/>
          <w:color w:val="000000"/>
          <w:szCs w:val="24"/>
          <w:highlight w:val="none"/>
        </w:rPr>
      </w:pPr>
      <w:r>
        <w:rPr>
          <w:rFonts w:hint="eastAsia" w:ascii="宋体" w:hAnsi="宋体" w:cs="宋体"/>
          <w:color w:val="000000"/>
          <w:szCs w:val="24"/>
          <w:highlight w:val="none"/>
        </w:rPr>
        <w:t>（11）</w:t>
      </w:r>
      <w:r>
        <w:rPr>
          <w:rFonts w:hint="eastAsia" w:ascii="宋体" w:hAnsi="宋体" w:cs="宋体"/>
          <w:color w:val="000000"/>
          <w:szCs w:val="24"/>
          <w:highlight w:val="none"/>
        </w:rPr>
        <w:tab/>
      </w:r>
      <w:r>
        <w:rPr>
          <w:rFonts w:hint="eastAsia" w:ascii="宋体" w:hAnsi="宋体" w:cs="宋体"/>
          <w:color w:val="000000"/>
          <w:szCs w:val="24"/>
          <w:highlight w:val="none"/>
        </w:rPr>
        <w:t>须设置可拆除的帽盖，以检查轴承及阀塞的工作状况。</w:t>
      </w:r>
    </w:p>
    <w:p>
      <w:pPr>
        <w:rPr>
          <w:rFonts w:ascii="宋体" w:hAnsi="宋体" w:cs="宋体"/>
          <w:color w:val="000000"/>
          <w:szCs w:val="24"/>
          <w:highlight w:val="none"/>
        </w:rPr>
      </w:pPr>
      <w:r>
        <w:rPr>
          <w:rFonts w:hint="eastAsia" w:ascii="宋体" w:hAnsi="宋体" w:cs="宋体"/>
          <w:color w:val="000000"/>
          <w:szCs w:val="24"/>
          <w:highlight w:val="none"/>
        </w:rPr>
        <w:t>（12）</w:t>
      </w:r>
      <w:r>
        <w:rPr>
          <w:rFonts w:hint="eastAsia" w:ascii="宋体" w:hAnsi="宋体" w:cs="宋体"/>
          <w:color w:val="000000"/>
          <w:szCs w:val="24"/>
          <w:highlight w:val="none"/>
        </w:rPr>
        <w:tab/>
      </w:r>
      <w:r>
        <w:rPr>
          <w:rFonts w:hint="eastAsia" w:ascii="宋体" w:hAnsi="宋体" w:cs="宋体"/>
          <w:color w:val="000000"/>
          <w:szCs w:val="24"/>
          <w:highlight w:val="none"/>
        </w:rPr>
        <w:t>阀门的关闭压力≥400kPa；</w:t>
      </w:r>
    </w:p>
    <w:p>
      <w:pPr>
        <w:rPr>
          <w:rFonts w:ascii="宋体" w:hAnsi="宋体" w:cs="宋体"/>
          <w:color w:val="000000"/>
          <w:szCs w:val="24"/>
          <w:highlight w:val="none"/>
        </w:rPr>
      </w:pPr>
    </w:p>
    <w:p>
      <w:pPr>
        <w:rPr>
          <w:rFonts w:ascii="宋体" w:hAnsi="宋体" w:cs="宋体"/>
          <w:color w:val="000000"/>
          <w:szCs w:val="24"/>
          <w:highlight w:val="none"/>
        </w:rPr>
      </w:pPr>
      <w:r>
        <w:rPr>
          <w:rFonts w:hint="eastAsia" w:ascii="宋体" w:hAnsi="宋体" w:cs="宋体"/>
          <w:color w:val="000000"/>
          <w:szCs w:val="24"/>
          <w:highlight w:val="none"/>
        </w:rPr>
        <w:t>2.5 手柄式蝶阀</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用于管径≥65mm，＜125mm的通断控制；</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在流速2.5m/s下的全开水阻：≤1.25kPa；</w:t>
      </w:r>
    </w:p>
    <w:p>
      <w:pPr>
        <w:rPr>
          <w:rFonts w:ascii="宋体" w:hAnsi="宋体" w:cs="宋体"/>
          <w:color w:val="000000"/>
          <w:szCs w:val="24"/>
          <w:highlight w:val="none"/>
        </w:rPr>
      </w:pPr>
      <w:r>
        <w:rPr>
          <w:rFonts w:hint="eastAsia" w:ascii="宋体" w:hAnsi="宋体" w:cs="宋体"/>
          <w:color w:val="000000"/>
          <w:szCs w:val="24"/>
          <w:highlight w:val="none"/>
        </w:rPr>
        <w:t>（3）</w:t>
      </w:r>
      <w:r>
        <w:rPr>
          <w:rFonts w:hint="eastAsia" w:ascii="宋体" w:hAnsi="宋体" w:cs="宋体"/>
          <w:color w:val="000000"/>
          <w:szCs w:val="24"/>
          <w:highlight w:val="none"/>
        </w:rPr>
        <w:tab/>
      </w:r>
      <w:r>
        <w:rPr>
          <w:rFonts w:hint="eastAsia" w:ascii="宋体" w:hAnsi="宋体" w:cs="宋体"/>
          <w:color w:val="000000"/>
          <w:szCs w:val="24"/>
          <w:highlight w:val="none"/>
        </w:rPr>
        <w:t>关闭压力：≧0.3MPa，测试标准：GB/T13927-2008；</w:t>
      </w:r>
    </w:p>
    <w:p>
      <w:pPr>
        <w:rPr>
          <w:rFonts w:ascii="宋体" w:hAnsi="宋体" w:cs="宋体"/>
          <w:color w:val="000000"/>
          <w:szCs w:val="24"/>
          <w:highlight w:val="none"/>
        </w:rPr>
      </w:pPr>
      <w:r>
        <w:rPr>
          <w:rFonts w:hint="eastAsia" w:ascii="宋体" w:hAnsi="宋体" w:cs="宋体"/>
          <w:color w:val="000000"/>
          <w:szCs w:val="24"/>
          <w:highlight w:val="none"/>
        </w:rPr>
        <w:t>（4）</w:t>
      </w:r>
      <w:r>
        <w:rPr>
          <w:rFonts w:hint="eastAsia" w:ascii="宋体" w:hAnsi="宋体" w:cs="宋体"/>
          <w:color w:val="000000"/>
          <w:szCs w:val="24"/>
          <w:highlight w:val="none"/>
        </w:rPr>
        <w:tab/>
      </w:r>
      <w:r>
        <w:rPr>
          <w:rFonts w:hint="eastAsia" w:ascii="宋体" w:hAnsi="宋体" w:cs="宋体"/>
          <w:color w:val="000000"/>
          <w:szCs w:val="24"/>
          <w:highlight w:val="none"/>
        </w:rPr>
        <w:t>关闭泄漏率：零泄漏；</w:t>
      </w:r>
    </w:p>
    <w:p>
      <w:pPr>
        <w:rPr>
          <w:rFonts w:ascii="宋体" w:hAnsi="宋体" w:cs="宋体"/>
          <w:color w:val="000000"/>
          <w:szCs w:val="24"/>
          <w:highlight w:val="none"/>
        </w:rPr>
      </w:pPr>
      <w:r>
        <w:rPr>
          <w:rFonts w:hint="eastAsia" w:ascii="宋体" w:hAnsi="宋体" w:cs="宋体"/>
          <w:color w:val="000000"/>
          <w:szCs w:val="24"/>
          <w:highlight w:val="none"/>
        </w:rPr>
        <w:t>（5）</w:t>
      </w:r>
      <w:r>
        <w:rPr>
          <w:rFonts w:hint="eastAsia" w:ascii="宋体" w:hAnsi="宋体" w:cs="宋体"/>
          <w:color w:val="000000"/>
          <w:szCs w:val="24"/>
          <w:highlight w:val="none"/>
        </w:rPr>
        <w:tab/>
      </w:r>
      <w:r>
        <w:rPr>
          <w:rFonts w:hint="eastAsia" w:ascii="宋体" w:hAnsi="宋体" w:cs="宋体"/>
          <w:color w:val="000000"/>
          <w:szCs w:val="24"/>
          <w:highlight w:val="none"/>
        </w:rPr>
        <w:t>工作温度：-10～90℃；</w:t>
      </w:r>
    </w:p>
    <w:p>
      <w:pPr>
        <w:rPr>
          <w:rFonts w:ascii="宋体" w:hAnsi="宋体" w:cs="宋体"/>
          <w:color w:val="000000"/>
          <w:szCs w:val="24"/>
          <w:highlight w:val="none"/>
        </w:rPr>
      </w:pPr>
      <w:r>
        <w:rPr>
          <w:rFonts w:hint="eastAsia" w:ascii="宋体" w:hAnsi="宋体" w:cs="宋体"/>
          <w:color w:val="000000"/>
          <w:szCs w:val="24"/>
          <w:highlight w:val="none"/>
        </w:rPr>
        <w:t>（6）</w:t>
      </w:r>
      <w:r>
        <w:rPr>
          <w:rFonts w:hint="eastAsia" w:ascii="宋体" w:hAnsi="宋体" w:cs="宋体"/>
          <w:color w:val="000000"/>
          <w:szCs w:val="24"/>
          <w:highlight w:val="none"/>
        </w:rPr>
        <w:tab/>
      </w:r>
      <w:r>
        <w:rPr>
          <w:rFonts w:hint="eastAsia" w:ascii="宋体" w:hAnsi="宋体" w:cs="宋体"/>
          <w:color w:val="000000"/>
          <w:szCs w:val="24"/>
          <w:highlight w:val="none"/>
        </w:rPr>
        <w:t>适用介质：水；</w:t>
      </w:r>
    </w:p>
    <w:p>
      <w:pPr>
        <w:rPr>
          <w:rFonts w:ascii="宋体" w:hAnsi="宋体" w:cs="宋体"/>
          <w:color w:val="000000"/>
          <w:szCs w:val="24"/>
          <w:highlight w:val="none"/>
        </w:rPr>
      </w:pPr>
      <w:r>
        <w:rPr>
          <w:rFonts w:hint="eastAsia" w:ascii="宋体" w:hAnsi="宋体" w:cs="宋体"/>
          <w:color w:val="000000"/>
          <w:szCs w:val="24"/>
          <w:highlight w:val="none"/>
        </w:rPr>
        <w:t>（7）</w:t>
      </w:r>
      <w:r>
        <w:rPr>
          <w:rFonts w:hint="eastAsia" w:ascii="宋体" w:hAnsi="宋体" w:cs="宋体"/>
          <w:color w:val="000000"/>
          <w:szCs w:val="24"/>
          <w:highlight w:val="none"/>
        </w:rPr>
        <w:tab/>
      </w:r>
      <w:r>
        <w:rPr>
          <w:rFonts w:hint="eastAsia" w:ascii="宋体" w:hAnsi="宋体" w:cs="宋体"/>
          <w:color w:val="000000"/>
          <w:szCs w:val="24"/>
          <w:highlight w:val="none"/>
        </w:rPr>
        <w:t>阀轴采用多级密封，与阀板采用无销连接；</w:t>
      </w:r>
    </w:p>
    <w:p>
      <w:pPr>
        <w:rPr>
          <w:rFonts w:ascii="宋体" w:hAnsi="宋体" w:cs="宋体"/>
          <w:color w:val="000000"/>
          <w:szCs w:val="24"/>
          <w:highlight w:val="none"/>
        </w:rPr>
      </w:pPr>
      <w:r>
        <w:rPr>
          <w:rFonts w:hint="eastAsia" w:ascii="宋体" w:hAnsi="宋体" w:cs="宋体"/>
          <w:color w:val="000000"/>
          <w:szCs w:val="24"/>
          <w:highlight w:val="none"/>
        </w:rPr>
        <w:t>（8）</w:t>
      </w:r>
      <w:r>
        <w:rPr>
          <w:rFonts w:hint="eastAsia" w:ascii="宋体" w:hAnsi="宋体" w:cs="宋体"/>
          <w:color w:val="000000"/>
          <w:szCs w:val="24"/>
          <w:highlight w:val="none"/>
        </w:rPr>
        <w:tab/>
      </w:r>
      <w:r>
        <w:rPr>
          <w:rFonts w:hint="eastAsia" w:ascii="宋体" w:hAnsi="宋体" w:cs="宋体"/>
          <w:color w:val="000000"/>
          <w:szCs w:val="24"/>
          <w:highlight w:val="none"/>
        </w:rPr>
        <w:t>阀体材质：球墨铸铁QT450-10，表面环氧树脂喷涂；须为全孔或半孔型，凸耳式法兰（单夹型），以确保将来维修时，仍能在最大工作压力下，仍不须把碟阀完全撤离喉管。</w:t>
      </w:r>
    </w:p>
    <w:p>
      <w:pPr>
        <w:rPr>
          <w:rFonts w:ascii="宋体" w:hAnsi="宋体" w:cs="宋体"/>
          <w:color w:val="000000"/>
          <w:szCs w:val="24"/>
          <w:highlight w:val="none"/>
        </w:rPr>
      </w:pPr>
      <w:r>
        <w:rPr>
          <w:rFonts w:hint="eastAsia" w:ascii="宋体" w:hAnsi="宋体" w:cs="宋体"/>
          <w:color w:val="000000"/>
          <w:szCs w:val="24"/>
          <w:highlight w:val="none"/>
        </w:rPr>
        <w:t>（9）</w:t>
      </w:r>
      <w:r>
        <w:rPr>
          <w:rFonts w:hint="eastAsia" w:ascii="宋体" w:hAnsi="宋体" w:cs="宋体"/>
          <w:color w:val="000000"/>
          <w:szCs w:val="24"/>
          <w:highlight w:val="none"/>
        </w:rPr>
        <w:tab/>
      </w:r>
      <w:r>
        <w:rPr>
          <w:rFonts w:hint="eastAsia" w:ascii="宋体" w:hAnsi="宋体" w:cs="宋体"/>
          <w:color w:val="000000"/>
          <w:szCs w:val="24"/>
          <w:highlight w:val="none"/>
        </w:rPr>
        <w:t>阀瓣材质：优质不锈钢；</w:t>
      </w:r>
    </w:p>
    <w:p>
      <w:pPr>
        <w:rPr>
          <w:rFonts w:ascii="宋体" w:hAnsi="宋体" w:cs="宋体"/>
          <w:color w:val="000000"/>
          <w:szCs w:val="24"/>
          <w:highlight w:val="none"/>
        </w:rPr>
      </w:pPr>
      <w:r>
        <w:rPr>
          <w:rFonts w:hint="eastAsia" w:ascii="宋体" w:hAnsi="宋体" w:cs="宋体"/>
          <w:color w:val="000000"/>
          <w:szCs w:val="24"/>
          <w:highlight w:val="none"/>
        </w:rPr>
        <w:t>（10）</w:t>
      </w:r>
      <w:r>
        <w:rPr>
          <w:rFonts w:hint="eastAsia" w:ascii="宋体" w:hAnsi="宋体" w:cs="宋体"/>
          <w:color w:val="000000"/>
          <w:szCs w:val="24"/>
          <w:highlight w:val="none"/>
        </w:rPr>
        <w:tab/>
      </w:r>
      <w:r>
        <w:rPr>
          <w:rFonts w:hint="eastAsia" w:ascii="宋体" w:hAnsi="宋体" w:cs="宋体"/>
          <w:color w:val="000000"/>
          <w:szCs w:val="24"/>
          <w:highlight w:val="none"/>
        </w:rPr>
        <w:t>阀座材质：EPDM（三元乙丙橡胶）；</w:t>
      </w:r>
    </w:p>
    <w:p>
      <w:pPr>
        <w:rPr>
          <w:rFonts w:ascii="宋体" w:hAnsi="宋体" w:cs="宋体"/>
          <w:color w:val="000000"/>
          <w:szCs w:val="24"/>
          <w:highlight w:val="none"/>
        </w:rPr>
      </w:pPr>
      <w:r>
        <w:rPr>
          <w:rFonts w:hint="eastAsia" w:ascii="宋体" w:hAnsi="宋体" w:cs="宋体"/>
          <w:color w:val="000000"/>
          <w:szCs w:val="24"/>
          <w:highlight w:val="none"/>
        </w:rPr>
        <w:t>（11）</w:t>
      </w:r>
      <w:r>
        <w:rPr>
          <w:rFonts w:hint="eastAsia" w:ascii="宋体" w:hAnsi="宋体" w:cs="宋体"/>
          <w:color w:val="000000"/>
          <w:szCs w:val="24"/>
          <w:highlight w:val="none"/>
        </w:rPr>
        <w:tab/>
      </w:r>
      <w:r>
        <w:rPr>
          <w:rFonts w:hint="eastAsia" w:ascii="宋体" w:hAnsi="宋体" w:cs="宋体"/>
          <w:color w:val="000000"/>
          <w:szCs w:val="24"/>
          <w:highlight w:val="none"/>
        </w:rPr>
        <w:t>阀杆材质：优质不锈钢；</w:t>
      </w:r>
    </w:p>
    <w:p>
      <w:pPr>
        <w:rPr>
          <w:rFonts w:ascii="宋体" w:hAnsi="宋体" w:cs="宋体"/>
          <w:color w:val="000000"/>
          <w:szCs w:val="24"/>
          <w:highlight w:val="none"/>
        </w:rPr>
      </w:pPr>
      <w:r>
        <w:rPr>
          <w:rFonts w:hint="eastAsia" w:ascii="宋体" w:hAnsi="宋体" w:cs="宋体"/>
          <w:color w:val="000000"/>
          <w:szCs w:val="24"/>
          <w:highlight w:val="none"/>
        </w:rPr>
        <w:t>（12）</w:t>
      </w:r>
      <w:r>
        <w:rPr>
          <w:rFonts w:hint="eastAsia" w:ascii="宋体" w:hAnsi="宋体" w:cs="宋体"/>
          <w:color w:val="000000"/>
          <w:szCs w:val="24"/>
          <w:highlight w:val="none"/>
        </w:rPr>
        <w:tab/>
      </w:r>
      <w:r>
        <w:rPr>
          <w:rFonts w:hint="eastAsia" w:ascii="宋体" w:hAnsi="宋体" w:cs="宋体"/>
          <w:color w:val="000000"/>
          <w:szCs w:val="24"/>
          <w:highlight w:val="none"/>
        </w:rPr>
        <w:t>阀座之设计须确保阀塞在双向性之开关均能达致气密式紧密闭合及与法兰栓接面完全密封；</w:t>
      </w:r>
    </w:p>
    <w:p>
      <w:pPr>
        <w:rPr>
          <w:rFonts w:ascii="宋体" w:hAnsi="宋体" w:cs="宋体"/>
          <w:color w:val="000000"/>
          <w:szCs w:val="24"/>
          <w:highlight w:val="none"/>
        </w:rPr>
      </w:pPr>
      <w:r>
        <w:rPr>
          <w:rFonts w:hint="eastAsia" w:ascii="宋体" w:hAnsi="宋体" w:cs="宋体"/>
          <w:color w:val="000000"/>
          <w:szCs w:val="24"/>
          <w:highlight w:val="none"/>
        </w:rPr>
        <w:t>（13）</w:t>
      </w:r>
      <w:r>
        <w:rPr>
          <w:rFonts w:hint="eastAsia" w:ascii="宋体" w:hAnsi="宋体" w:cs="宋体"/>
          <w:color w:val="000000"/>
          <w:szCs w:val="24"/>
          <w:highlight w:val="none"/>
        </w:rPr>
        <w:tab/>
      </w:r>
      <w:r>
        <w:rPr>
          <w:rFonts w:hint="eastAsia" w:ascii="宋体" w:hAnsi="宋体" w:cs="宋体"/>
          <w:color w:val="000000"/>
          <w:szCs w:val="24"/>
          <w:highlight w:val="none"/>
        </w:rPr>
        <w:t>操纵把手：可在任何位置或按预设10度或15度定位板位置锁定；</w:t>
      </w:r>
    </w:p>
    <w:p>
      <w:pPr>
        <w:rPr>
          <w:rFonts w:ascii="宋体" w:hAnsi="宋体" w:cs="宋体"/>
          <w:color w:val="000000"/>
          <w:szCs w:val="24"/>
          <w:highlight w:val="none"/>
        </w:rPr>
      </w:pPr>
      <w:r>
        <w:rPr>
          <w:rFonts w:hint="eastAsia" w:ascii="宋体" w:hAnsi="宋体" w:cs="宋体"/>
          <w:color w:val="000000"/>
          <w:szCs w:val="24"/>
          <w:highlight w:val="none"/>
        </w:rPr>
        <w:t>（14）</w:t>
      </w:r>
      <w:r>
        <w:rPr>
          <w:rFonts w:hint="eastAsia" w:ascii="宋体" w:hAnsi="宋体" w:cs="宋体"/>
          <w:color w:val="000000"/>
          <w:szCs w:val="24"/>
          <w:highlight w:val="none"/>
        </w:rPr>
        <w:tab/>
      </w:r>
      <w:r>
        <w:rPr>
          <w:rFonts w:hint="eastAsia" w:ascii="宋体" w:hAnsi="宋体" w:cs="宋体"/>
          <w:color w:val="000000"/>
          <w:szCs w:val="24"/>
          <w:highlight w:val="none"/>
        </w:rPr>
        <w:t>保温管道上之阀门：须按保温的厚度将轴杆及颈应加长并有足够距离以便作操纵把手；</w:t>
      </w:r>
    </w:p>
    <w:p>
      <w:pPr>
        <w:rPr>
          <w:rFonts w:ascii="宋体" w:hAnsi="宋体" w:cs="宋体"/>
          <w:color w:val="000000"/>
          <w:szCs w:val="24"/>
          <w:highlight w:val="none"/>
        </w:rPr>
      </w:pPr>
      <w:r>
        <w:rPr>
          <w:rFonts w:hint="eastAsia" w:ascii="宋体" w:hAnsi="宋体" w:cs="宋体"/>
          <w:color w:val="000000"/>
          <w:szCs w:val="24"/>
          <w:highlight w:val="none"/>
        </w:rPr>
        <w:t>2.6 蜗轮式蝶阀</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用于管径≥125mm的通断控制；</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在流速2.5m/s下的全开水阻：≤0.6kPa；</w:t>
      </w:r>
    </w:p>
    <w:p>
      <w:pPr>
        <w:rPr>
          <w:rFonts w:ascii="宋体" w:hAnsi="宋体" w:cs="宋体"/>
          <w:color w:val="000000"/>
          <w:szCs w:val="24"/>
          <w:highlight w:val="none"/>
        </w:rPr>
      </w:pPr>
      <w:r>
        <w:rPr>
          <w:rFonts w:hint="eastAsia" w:ascii="宋体" w:hAnsi="宋体" w:cs="宋体"/>
          <w:color w:val="000000"/>
          <w:szCs w:val="24"/>
          <w:highlight w:val="none"/>
        </w:rPr>
        <w:t>（3）</w:t>
      </w:r>
      <w:r>
        <w:rPr>
          <w:rFonts w:hint="eastAsia" w:ascii="宋体" w:hAnsi="宋体" w:cs="宋体"/>
          <w:color w:val="000000"/>
          <w:szCs w:val="24"/>
          <w:highlight w:val="none"/>
        </w:rPr>
        <w:tab/>
      </w:r>
      <w:r>
        <w:rPr>
          <w:rFonts w:hint="eastAsia" w:ascii="宋体" w:hAnsi="宋体" w:cs="宋体"/>
          <w:color w:val="000000"/>
          <w:szCs w:val="24"/>
          <w:highlight w:val="none"/>
        </w:rPr>
        <w:t>关闭压力：≧0.3MPa，测试标准：GB/T13927-2008；</w:t>
      </w:r>
    </w:p>
    <w:p>
      <w:pPr>
        <w:rPr>
          <w:rFonts w:ascii="宋体" w:hAnsi="宋体" w:cs="宋体"/>
          <w:color w:val="000000"/>
          <w:szCs w:val="24"/>
          <w:highlight w:val="none"/>
        </w:rPr>
      </w:pPr>
      <w:r>
        <w:rPr>
          <w:rFonts w:hint="eastAsia" w:ascii="宋体" w:hAnsi="宋体" w:cs="宋体"/>
          <w:color w:val="000000"/>
          <w:szCs w:val="24"/>
          <w:highlight w:val="none"/>
        </w:rPr>
        <w:t>（4）</w:t>
      </w:r>
      <w:r>
        <w:rPr>
          <w:rFonts w:hint="eastAsia" w:ascii="宋体" w:hAnsi="宋体" w:cs="宋体"/>
          <w:color w:val="000000"/>
          <w:szCs w:val="24"/>
          <w:highlight w:val="none"/>
        </w:rPr>
        <w:tab/>
      </w:r>
      <w:r>
        <w:rPr>
          <w:rFonts w:hint="eastAsia" w:ascii="宋体" w:hAnsi="宋体" w:cs="宋体"/>
          <w:color w:val="000000"/>
          <w:szCs w:val="24"/>
          <w:highlight w:val="none"/>
        </w:rPr>
        <w:t>关闭泄漏率：零泄漏；</w:t>
      </w:r>
    </w:p>
    <w:p>
      <w:pPr>
        <w:rPr>
          <w:rFonts w:ascii="宋体" w:hAnsi="宋体" w:cs="宋体"/>
          <w:color w:val="000000"/>
          <w:szCs w:val="24"/>
          <w:highlight w:val="none"/>
        </w:rPr>
      </w:pPr>
      <w:r>
        <w:rPr>
          <w:rFonts w:hint="eastAsia" w:ascii="宋体" w:hAnsi="宋体" w:cs="宋体"/>
          <w:color w:val="000000"/>
          <w:szCs w:val="24"/>
          <w:highlight w:val="none"/>
        </w:rPr>
        <w:t>（5）</w:t>
      </w:r>
      <w:r>
        <w:rPr>
          <w:rFonts w:hint="eastAsia" w:ascii="宋体" w:hAnsi="宋体" w:cs="宋体"/>
          <w:color w:val="000000"/>
          <w:szCs w:val="24"/>
          <w:highlight w:val="none"/>
        </w:rPr>
        <w:tab/>
      </w:r>
      <w:r>
        <w:rPr>
          <w:rFonts w:hint="eastAsia" w:ascii="宋体" w:hAnsi="宋体" w:cs="宋体"/>
          <w:color w:val="000000"/>
          <w:szCs w:val="24"/>
          <w:highlight w:val="none"/>
        </w:rPr>
        <w:t>工作温度：-10～90℃；</w:t>
      </w:r>
    </w:p>
    <w:p>
      <w:pPr>
        <w:rPr>
          <w:rFonts w:ascii="宋体" w:hAnsi="宋体" w:cs="宋体"/>
          <w:color w:val="000000"/>
          <w:szCs w:val="24"/>
          <w:highlight w:val="none"/>
        </w:rPr>
      </w:pPr>
      <w:r>
        <w:rPr>
          <w:rFonts w:hint="eastAsia" w:ascii="宋体" w:hAnsi="宋体" w:cs="宋体"/>
          <w:color w:val="000000"/>
          <w:szCs w:val="24"/>
          <w:highlight w:val="none"/>
        </w:rPr>
        <w:t>（6）</w:t>
      </w:r>
      <w:r>
        <w:rPr>
          <w:rFonts w:hint="eastAsia" w:ascii="宋体" w:hAnsi="宋体" w:cs="宋体"/>
          <w:color w:val="000000"/>
          <w:szCs w:val="24"/>
          <w:highlight w:val="none"/>
        </w:rPr>
        <w:tab/>
      </w:r>
      <w:r>
        <w:rPr>
          <w:rFonts w:hint="eastAsia" w:ascii="宋体" w:hAnsi="宋体" w:cs="宋体"/>
          <w:color w:val="000000"/>
          <w:szCs w:val="24"/>
          <w:highlight w:val="none"/>
        </w:rPr>
        <w:t>适用介质：水；</w:t>
      </w:r>
    </w:p>
    <w:p>
      <w:pPr>
        <w:rPr>
          <w:rFonts w:ascii="宋体" w:hAnsi="宋体" w:cs="宋体"/>
          <w:color w:val="000000"/>
          <w:szCs w:val="24"/>
          <w:highlight w:val="none"/>
        </w:rPr>
      </w:pPr>
      <w:r>
        <w:rPr>
          <w:rFonts w:hint="eastAsia" w:ascii="宋体" w:hAnsi="宋体" w:cs="宋体"/>
          <w:color w:val="000000"/>
          <w:szCs w:val="24"/>
          <w:highlight w:val="none"/>
        </w:rPr>
        <w:t>（7）</w:t>
      </w:r>
      <w:r>
        <w:rPr>
          <w:rFonts w:hint="eastAsia" w:ascii="宋体" w:hAnsi="宋体" w:cs="宋体"/>
          <w:color w:val="000000"/>
          <w:szCs w:val="24"/>
          <w:highlight w:val="none"/>
        </w:rPr>
        <w:tab/>
      </w:r>
      <w:r>
        <w:rPr>
          <w:rFonts w:hint="eastAsia" w:ascii="宋体" w:hAnsi="宋体" w:cs="宋体"/>
          <w:color w:val="000000"/>
          <w:szCs w:val="24"/>
          <w:highlight w:val="none"/>
        </w:rPr>
        <w:t>阀轴采用多级密封，与阀板采用无销连接；</w:t>
      </w:r>
    </w:p>
    <w:p>
      <w:pPr>
        <w:rPr>
          <w:rFonts w:ascii="宋体" w:hAnsi="宋体" w:cs="宋体"/>
          <w:color w:val="000000"/>
          <w:szCs w:val="24"/>
          <w:highlight w:val="none"/>
        </w:rPr>
      </w:pPr>
      <w:r>
        <w:rPr>
          <w:rFonts w:hint="eastAsia" w:ascii="宋体" w:hAnsi="宋体" w:cs="宋体"/>
          <w:color w:val="000000"/>
          <w:szCs w:val="24"/>
          <w:highlight w:val="none"/>
        </w:rPr>
        <w:t>（8）</w:t>
      </w:r>
      <w:r>
        <w:rPr>
          <w:rFonts w:hint="eastAsia" w:ascii="宋体" w:hAnsi="宋体" w:cs="宋体"/>
          <w:color w:val="000000"/>
          <w:szCs w:val="24"/>
          <w:highlight w:val="none"/>
        </w:rPr>
        <w:tab/>
      </w:r>
      <w:r>
        <w:rPr>
          <w:rFonts w:hint="eastAsia" w:ascii="宋体" w:hAnsi="宋体" w:cs="宋体"/>
          <w:color w:val="000000"/>
          <w:szCs w:val="24"/>
          <w:highlight w:val="none"/>
        </w:rPr>
        <w:t>阀体材质：球墨铸铁QT450-10，表面环氧树脂喷涂；须为全孔或半孔型，凸耳式法兰（单夹型），以确保将来维修时，仍能在最大工作压力下，仍不须把碟阀完全撤离喉管。</w:t>
      </w:r>
    </w:p>
    <w:p>
      <w:pPr>
        <w:rPr>
          <w:rFonts w:ascii="宋体" w:hAnsi="宋体" w:cs="宋体"/>
          <w:color w:val="000000"/>
          <w:szCs w:val="24"/>
          <w:highlight w:val="none"/>
        </w:rPr>
      </w:pPr>
      <w:r>
        <w:rPr>
          <w:rFonts w:hint="eastAsia" w:ascii="宋体" w:hAnsi="宋体" w:cs="宋体"/>
          <w:color w:val="000000"/>
          <w:szCs w:val="24"/>
          <w:highlight w:val="none"/>
        </w:rPr>
        <w:t>（9）</w:t>
      </w:r>
      <w:r>
        <w:rPr>
          <w:rFonts w:hint="eastAsia" w:ascii="宋体" w:hAnsi="宋体" w:cs="宋体"/>
          <w:color w:val="000000"/>
          <w:szCs w:val="24"/>
          <w:highlight w:val="none"/>
        </w:rPr>
        <w:tab/>
      </w:r>
      <w:r>
        <w:rPr>
          <w:rFonts w:hint="eastAsia" w:ascii="宋体" w:hAnsi="宋体" w:cs="宋体"/>
          <w:color w:val="000000"/>
          <w:szCs w:val="24"/>
          <w:highlight w:val="none"/>
        </w:rPr>
        <w:t>阀瓣材质：优质不锈钢；</w:t>
      </w:r>
    </w:p>
    <w:p>
      <w:pPr>
        <w:rPr>
          <w:rFonts w:ascii="宋体" w:hAnsi="宋体" w:cs="宋体"/>
          <w:color w:val="000000"/>
          <w:szCs w:val="24"/>
          <w:highlight w:val="none"/>
        </w:rPr>
      </w:pPr>
      <w:r>
        <w:rPr>
          <w:rFonts w:hint="eastAsia" w:ascii="宋体" w:hAnsi="宋体" w:cs="宋体"/>
          <w:color w:val="000000"/>
          <w:szCs w:val="24"/>
          <w:highlight w:val="none"/>
        </w:rPr>
        <w:t>（10）</w:t>
      </w:r>
      <w:r>
        <w:rPr>
          <w:rFonts w:hint="eastAsia" w:ascii="宋体" w:hAnsi="宋体" w:cs="宋体"/>
          <w:color w:val="000000"/>
          <w:szCs w:val="24"/>
          <w:highlight w:val="none"/>
        </w:rPr>
        <w:tab/>
      </w:r>
      <w:r>
        <w:rPr>
          <w:rFonts w:hint="eastAsia" w:ascii="宋体" w:hAnsi="宋体" w:cs="宋体"/>
          <w:color w:val="000000"/>
          <w:szCs w:val="24"/>
          <w:highlight w:val="none"/>
        </w:rPr>
        <w:t>阀座材质：EPDM（三元乙丙橡胶）；</w:t>
      </w:r>
    </w:p>
    <w:p>
      <w:pPr>
        <w:rPr>
          <w:rFonts w:ascii="宋体" w:hAnsi="宋体" w:cs="宋体"/>
          <w:color w:val="000000"/>
          <w:szCs w:val="24"/>
          <w:highlight w:val="none"/>
        </w:rPr>
      </w:pPr>
      <w:r>
        <w:rPr>
          <w:rFonts w:hint="eastAsia" w:ascii="宋体" w:hAnsi="宋体" w:cs="宋体"/>
          <w:color w:val="000000"/>
          <w:szCs w:val="24"/>
          <w:highlight w:val="none"/>
        </w:rPr>
        <w:t>（11）</w:t>
      </w:r>
      <w:r>
        <w:rPr>
          <w:rFonts w:hint="eastAsia" w:ascii="宋体" w:hAnsi="宋体" w:cs="宋体"/>
          <w:color w:val="000000"/>
          <w:szCs w:val="24"/>
          <w:highlight w:val="none"/>
        </w:rPr>
        <w:tab/>
      </w:r>
      <w:r>
        <w:rPr>
          <w:rFonts w:hint="eastAsia" w:ascii="宋体" w:hAnsi="宋体" w:cs="宋体"/>
          <w:color w:val="000000"/>
          <w:szCs w:val="24"/>
          <w:highlight w:val="none"/>
        </w:rPr>
        <w:t>阀杆材质：优质不锈钢；</w:t>
      </w:r>
    </w:p>
    <w:p>
      <w:pPr>
        <w:rPr>
          <w:rFonts w:ascii="宋体" w:hAnsi="宋体" w:cs="宋体"/>
          <w:color w:val="000000"/>
          <w:szCs w:val="24"/>
          <w:highlight w:val="none"/>
        </w:rPr>
      </w:pPr>
      <w:r>
        <w:rPr>
          <w:rFonts w:hint="eastAsia" w:ascii="宋体" w:hAnsi="宋体" w:cs="宋体"/>
          <w:color w:val="000000"/>
          <w:szCs w:val="24"/>
          <w:highlight w:val="none"/>
        </w:rPr>
        <w:t>（12）</w:t>
      </w:r>
      <w:r>
        <w:rPr>
          <w:rFonts w:hint="eastAsia" w:ascii="宋体" w:hAnsi="宋体" w:cs="宋体"/>
          <w:color w:val="000000"/>
          <w:szCs w:val="24"/>
          <w:highlight w:val="none"/>
        </w:rPr>
        <w:tab/>
      </w:r>
      <w:r>
        <w:rPr>
          <w:rFonts w:hint="eastAsia" w:ascii="宋体" w:hAnsi="宋体" w:cs="宋体"/>
          <w:color w:val="000000"/>
          <w:szCs w:val="24"/>
          <w:highlight w:val="none"/>
        </w:rPr>
        <w:t>阀座之设计须确保阀塞在双向性之开关均能达致气密式紧密闭合及与法兰栓接面完全密封；</w:t>
      </w:r>
    </w:p>
    <w:p>
      <w:pPr>
        <w:rPr>
          <w:rFonts w:ascii="宋体" w:hAnsi="宋体" w:cs="宋体"/>
          <w:color w:val="000000"/>
          <w:szCs w:val="24"/>
          <w:highlight w:val="none"/>
        </w:rPr>
      </w:pPr>
      <w:r>
        <w:rPr>
          <w:rFonts w:hint="eastAsia" w:ascii="宋体" w:hAnsi="宋体" w:cs="宋体"/>
          <w:color w:val="000000"/>
          <w:szCs w:val="24"/>
          <w:highlight w:val="none"/>
        </w:rPr>
        <w:t>（13）</w:t>
      </w:r>
      <w:r>
        <w:rPr>
          <w:rFonts w:hint="eastAsia" w:ascii="宋体" w:hAnsi="宋体" w:cs="宋体"/>
          <w:color w:val="000000"/>
          <w:szCs w:val="24"/>
          <w:highlight w:val="none"/>
        </w:rPr>
        <w:tab/>
      </w:r>
      <w:r>
        <w:rPr>
          <w:rFonts w:hint="eastAsia" w:ascii="宋体" w:hAnsi="宋体" w:cs="宋体"/>
          <w:color w:val="000000"/>
          <w:szCs w:val="24"/>
          <w:highlight w:val="none"/>
        </w:rPr>
        <w:t>操纵把手：可在任何位置或按预设10度或15度定位板位置锁定，设置齿轮操控器，并有位置指示及开关上下限位装置；</w:t>
      </w:r>
    </w:p>
    <w:p>
      <w:pPr>
        <w:rPr>
          <w:rFonts w:ascii="宋体" w:hAnsi="宋体" w:cs="宋体"/>
          <w:color w:val="000000"/>
          <w:szCs w:val="24"/>
          <w:highlight w:val="none"/>
        </w:rPr>
      </w:pPr>
      <w:r>
        <w:rPr>
          <w:rFonts w:hint="eastAsia" w:ascii="宋体" w:hAnsi="宋体" w:cs="宋体"/>
          <w:color w:val="000000"/>
          <w:szCs w:val="24"/>
          <w:highlight w:val="none"/>
        </w:rPr>
        <w:t>（14）</w:t>
      </w:r>
      <w:r>
        <w:rPr>
          <w:rFonts w:hint="eastAsia" w:ascii="宋体" w:hAnsi="宋体" w:cs="宋体"/>
          <w:color w:val="000000"/>
          <w:szCs w:val="24"/>
          <w:highlight w:val="none"/>
        </w:rPr>
        <w:tab/>
      </w:r>
      <w:r>
        <w:rPr>
          <w:rFonts w:hint="eastAsia" w:ascii="宋体" w:hAnsi="宋体" w:cs="宋体"/>
          <w:color w:val="000000"/>
          <w:szCs w:val="24"/>
          <w:highlight w:val="none"/>
        </w:rPr>
        <w:t>保温管道上之阀门：须按保温的厚度将轴杆及颈应加长并有足够距离以便作操纵把手；</w:t>
      </w:r>
    </w:p>
    <w:p>
      <w:pPr>
        <w:rPr>
          <w:rFonts w:ascii="宋体" w:hAnsi="宋体" w:cs="宋体"/>
          <w:color w:val="000000"/>
          <w:szCs w:val="24"/>
          <w:highlight w:val="none"/>
        </w:rPr>
      </w:pPr>
    </w:p>
    <w:p>
      <w:pPr>
        <w:rPr>
          <w:rFonts w:ascii="宋体" w:hAnsi="宋体" w:cs="宋体"/>
          <w:color w:val="000000"/>
          <w:szCs w:val="24"/>
          <w:highlight w:val="none"/>
        </w:rPr>
      </w:pPr>
      <w:r>
        <w:rPr>
          <w:rFonts w:hint="eastAsia" w:ascii="宋体" w:hAnsi="宋体" w:cs="宋体"/>
          <w:color w:val="000000"/>
          <w:szCs w:val="24"/>
          <w:highlight w:val="none"/>
        </w:rPr>
        <w:t>2.7 电动蝶阀</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用于通断控制；</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在流速2.5m/s下的全开水阻：≤1.5kPa；</w:t>
      </w:r>
    </w:p>
    <w:p>
      <w:pPr>
        <w:rPr>
          <w:rFonts w:ascii="宋体" w:hAnsi="宋体" w:cs="宋体"/>
          <w:color w:val="000000"/>
          <w:szCs w:val="24"/>
          <w:highlight w:val="none"/>
        </w:rPr>
      </w:pPr>
      <w:r>
        <w:rPr>
          <w:rFonts w:hint="eastAsia" w:ascii="宋体" w:hAnsi="宋体" w:cs="宋体"/>
          <w:color w:val="000000"/>
          <w:szCs w:val="24"/>
          <w:highlight w:val="none"/>
        </w:rPr>
        <w:t>（3）</w:t>
      </w:r>
      <w:r>
        <w:rPr>
          <w:rFonts w:hint="eastAsia" w:ascii="宋体" w:hAnsi="宋体" w:cs="宋体"/>
          <w:color w:val="000000"/>
          <w:szCs w:val="24"/>
          <w:highlight w:val="none"/>
        </w:rPr>
        <w:tab/>
      </w:r>
      <w:r>
        <w:rPr>
          <w:rFonts w:hint="eastAsia" w:ascii="宋体" w:hAnsi="宋体" w:cs="宋体"/>
          <w:color w:val="000000"/>
          <w:szCs w:val="24"/>
          <w:highlight w:val="none"/>
        </w:rPr>
        <w:t>关闭压力：≥0.3MPa，测试标准：GB/T13927-2008；</w:t>
      </w:r>
    </w:p>
    <w:p>
      <w:pPr>
        <w:rPr>
          <w:rFonts w:ascii="宋体" w:hAnsi="宋体" w:cs="宋体"/>
          <w:color w:val="000000"/>
          <w:szCs w:val="24"/>
          <w:highlight w:val="none"/>
        </w:rPr>
      </w:pPr>
      <w:r>
        <w:rPr>
          <w:rFonts w:hint="eastAsia" w:ascii="宋体" w:hAnsi="宋体" w:cs="宋体"/>
          <w:color w:val="000000"/>
          <w:szCs w:val="24"/>
          <w:highlight w:val="none"/>
        </w:rPr>
        <w:t>（4）</w:t>
      </w:r>
      <w:r>
        <w:rPr>
          <w:rFonts w:hint="eastAsia" w:ascii="宋体" w:hAnsi="宋体" w:cs="宋体"/>
          <w:color w:val="000000"/>
          <w:szCs w:val="24"/>
          <w:highlight w:val="none"/>
        </w:rPr>
        <w:tab/>
      </w:r>
      <w:r>
        <w:rPr>
          <w:rFonts w:hint="eastAsia" w:ascii="宋体" w:hAnsi="宋体" w:cs="宋体"/>
          <w:color w:val="000000"/>
          <w:szCs w:val="24"/>
          <w:highlight w:val="none"/>
        </w:rPr>
        <w:t>关闭泄漏率：零泄漏；</w:t>
      </w:r>
    </w:p>
    <w:p>
      <w:pPr>
        <w:rPr>
          <w:rFonts w:ascii="宋体" w:hAnsi="宋体" w:cs="宋体"/>
          <w:color w:val="000000"/>
          <w:szCs w:val="24"/>
          <w:highlight w:val="none"/>
        </w:rPr>
      </w:pPr>
      <w:r>
        <w:rPr>
          <w:rFonts w:hint="eastAsia" w:ascii="宋体" w:hAnsi="宋体" w:cs="宋体"/>
          <w:color w:val="000000"/>
          <w:szCs w:val="24"/>
          <w:highlight w:val="none"/>
        </w:rPr>
        <w:t>（5）</w:t>
      </w:r>
      <w:r>
        <w:rPr>
          <w:rFonts w:hint="eastAsia" w:ascii="宋体" w:hAnsi="宋体" w:cs="宋体"/>
          <w:color w:val="000000"/>
          <w:szCs w:val="24"/>
          <w:highlight w:val="none"/>
        </w:rPr>
        <w:tab/>
      </w:r>
      <w:r>
        <w:rPr>
          <w:rFonts w:hint="eastAsia" w:ascii="宋体" w:hAnsi="宋体" w:cs="宋体"/>
          <w:color w:val="000000"/>
          <w:szCs w:val="24"/>
          <w:highlight w:val="none"/>
        </w:rPr>
        <w:t>工作温度：-10～90℃；</w:t>
      </w:r>
    </w:p>
    <w:p>
      <w:pPr>
        <w:rPr>
          <w:rFonts w:ascii="宋体" w:hAnsi="宋体" w:cs="宋体"/>
          <w:color w:val="000000"/>
          <w:szCs w:val="24"/>
          <w:highlight w:val="none"/>
        </w:rPr>
      </w:pPr>
      <w:r>
        <w:rPr>
          <w:rFonts w:hint="eastAsia" w:ascii="宋体" w:hAnsi="宋体" w:cs="宋体"/>
          <w:color w:val="000000"/>
          <w:szCs w:val="24"/>
          <w:highlight w:val="none"/>
        </w:rPr>
        <w:t>（6）</w:t>
      </w:r>
      <w:r>
        <w:rPr>
          <w:rFonts w:hint="eastAsia" w:ascii="宋体" w:hAnsi="宋体" w:cs="宋体"/>
          <w:color w:val="000000"/>
          <w:szCs w:val="24"/>
          <w:highlight w:val="none"/>
        </w:rPr>
        <w:tab/>
      </w:r>
      <w:r>
        <w:rPr>
          <w:rFonts w:hint="eastAsia" w:ascii="宋体" w:hAnsi="宋体" w:cs="宋体"/>
          <w:color w:val="000000"/>
          <w:szCs w:val="24"/>
          <w:highlight w:val="none"/>
        </w:rPr>
        <w:t>适用介质：水；</w:t>
      </w:r>
    </w:p>
    <w:p>
      <w:pPr>
        <w:rPr>
          <w:rFonts w:ascii="宋体" w:hAnsi="宋体" w:cs="宋体"/>
          <w:color w:val="000000"/>
          <w:szCs w:val="24"/>
          <w:highlight w:val="none"/>
        </w:rPr>
      </w:pPr>
      <w:r>
        <w:rPr>
          <w:rFonts w:hint="eastAsia" w:ascii="宋体" w:hAnsi="宋体" w:cs="宋体"/>
          <w:color w:val="000000"/>
          <w:szCs w:val="24"/>
          <w:highlight w:val="none"/>
        </w:rPr>
        <w:t>（7）</w:t>
      </w:r>
      <w:r>
        <w:rPr>
          <w:rFonts w:hint="eastAsia" w:ascii="宋体" w:hAnsi="宋体" w:cs="宋体"/>
          <w:color w:val="000000"/>
          <w:szCs w:val="24"/>
          <w:highlight w:val="none"/>
        </w:rPr>
        <w:tab/>
      </w:r>
      <w:r>
        <w:rPr>
          <w:rFonts w:hint="eastAsia" w:ascii="宋体" w:hAnsi="宋体" w:cs="宋体"/>
          <w:color w:val="000000"/>
          <w:szCs w:val="24"/>
          <w:highlight w:val="none"/>
        </w:rPr>
        <w:t>阀轴采用多级密封，与阀板采用无销连接；内置自力式密封防止外部杂质进入阀体。</w:t>
      </w:r>
    </w:p>
    <w:p>
      <w:pPr>
        <w:rPr>
          <w:rFonts w:ascii="宋体" w:hAnsi="宋体" w:cs="宋体"/>
          <w:color w:val="000000"/>
          <w:szCs w:val="24"/>
          <w:highlight w:val="none"/>
        </w:rPr>
      </w:pPr>
      <w:r>
        <w:rPr>
          <w:rFonts w:hint="eastAsia" w:ascii="宋体" w:hAnsi="宋体" w:cs="宋体"/>
          <w:color w:val="000000"/>
          <w:szCs w:val="24"/>
          <w:highlight w:val="none"/>
        </w:rPr>
        <w:t>（8）</w:t>
      </w:r>
      <w:r>
        <w:rPr>
          <w:rFonts w:hint="eastAsia" w:ascii="宋体" w:hAnsi="宋体" w:cs="宋体"/>
          <w:color w:val="000000"/>
          <w:szCs w:val="24"/>
          <w:highlight w:val="none"/>
        </w:rPr>
        <w:tab/>
      </w:r>
      <w:r>
        <w:rPr>
          <w:rFonts w:hint="eastAsia" w:ascii="宋体" w:hAnsi="宋体" w:cs="宋体"/>
          <w:color w:val="000000"/>
          <w:szCs w:val="24"/>
          <w:highlight w:val="none"/>
        </w:rPr>
        <w:t>阀体材质：球墨铸铁QT450-10，表面环氧树脂喷涂；须为全孔型，凸耳式法兰（单夹型），以确保将来维修时，仍能在最大工作压力下，仍不须把碟阀完全撤离喉管。</w:t>
      </w:r>
    </w:p>
    <w:p>
      <w:pPr>
        <w:rPr>
          <w:rFonts w:ascii="宋体" w:hAnsi="宋体" w:cs="宋体"/>
          <w:color w:val="000000"/>
          <w:szCs w:val="24"/>
          <w:highlight w:val="none"/>
        </w:rPr>
      </w:pPr>
      <w:r>
        <w:rPr>
          <w:rFonts w:hint="eastAsia" w:ascii="宋体" w:hAnsi="宋体" w:cs="宋体"/>
          <w:color w:val="000000"/>
          <w:szCs w:val="24"/>
          <w:highlight w:val="none"/>
        </w:rPr>
        <w:t>（9）</w:t>
      </w:r>
      <w:r>
        <w:rPr>
          <w:rFonts w:hint="eastAsia" w:ascii="宋体" w:hAnsi="宋体" w:cs="宋体"/>
          <w:color w:val="000000"/>
          <w:szCs w:val="24"/>
          <w:highlight w:val="none"/>
        </w:rPr>
        <w:tab/>
      </w:r>
      <w:r>
        <w:rPr>
          <w:rFonts w:hint="eastAsia" w:ascii="宋体" w:hAnsi="宋体" w:cs="宋体"/>
          <w:color w:val="000000"/>
          <w:szCs w:val="24"/>
          <w:highlight w:val="none"/>
        </w:rPr>
        <w:t>阀瓣材质：优质不锈钢；</w:t>
      </w:r>
    </w:p>
    <w:p>
      <w:pPr>
        <w:rPr>
          <w:rFonts w:ascii="宋体" w:hAnsi="宋体" w:cs="宋体"/>
          <w:color w:val="000000"/>
          <w:szCs w:val="24"/>
          <w:highlight w:val="none"/>
        </w:rPr>
      </w:pPr>
      <w:r>
        <w:rPr>
          <w:rFonts w:hint="eastAsia" w:ascii="宋体" w:hAnsi="宋体" w:cs="宋体"/>
          <w:color w:val="000000"/>
          <w:szCs w:val="24"/>
          <w:highlight w:val="none"/>
        </w:rPr>
        <w:t>（10）</w:t>
      </w:r>
      <w:r>
        <w:rPr>
          <w:rFonts w:hint="eastAsia" w:ascii="宋体" w:hAnsi="宋体" w:cs="宋体"/>
          <w:color w:val="000000"/>
          <w:szCs w:val="24"/>
          <w:highlight w:val="none"/>
        </w:rPr>
        <w:tab/>
      </w:r>
      <w:r>
        <w:rPr>
          <w:rFonts w:hint="eastAsia" w:ascii="宋体" w:hAnsi="宋体" w:cs="宋体"/>
          <w:color w:val="000000"/>
          <w:szCs w:val="24"/>
          <w:highlight w:val="none"/>
        </w:rPr>
        <w:t>阀座材质：EPDM（三元乙丙橡胶）；</w:t>
      </w:r>
    </w:p>
    <w:p>
      <w:pPr>
        <w:rPr>
          <w:rFonts w:ascii="宋体" w:hAnsi="宋体" w:cs="宋体"/>
          <w:color w:val="000000"/>
          <w:szCs w:val="24"/>
          <w:highlight w:val="none"/>
        </w:rPr>
      </w:pPr>
      <w:r>
        <w:rPr>
          <w:rFonts w:hint="eastAsia" w:ascii="宋体" w:hAnsi="宋体" w:cs="宋体"/>
          <w:color w:val="000000"/>
          <w:szCs w:val="24"/>
          <w:highlight w:val="none"/>
        </w:rPr>
        <w:t>（11）</w:t>
      </w:r>
      <w:r>
        <w:rPr>
          <w:rFonts w:hint="eastAsia" w:ascii="宋体" w:hAnsi="宋体" w:cs="宋体"/>
          <w:color w:val="000000"/>
          <w:szCs w:val="24"/>
          <w:highlight w:val="none"/>
        </w:rPr>
        <w:tab/>
      </w:r>
      <w:r>
        <w:rPr>
          <w:rFonts w:hint="eastAsia" w:ascii="宋体" w:hAnsi="宋体" w:cs="宋体"/>
          <w:color w:val="000000"/>
          <w:szCs w:val="24"/>
          <w:highlight w:val="none"/>
        </w:rPr>
        <w:t>阀杆材质：优质不锈钢；</w:t>
      </w:r>
    </w:p>
    <w:p>
      <w:pPr>
        <w:rPr>
          <w:rFonts w:ascii="宋体" w:hAnsi="宋体" w:cs="宋体"/>
          <w:color w:val="000000"/>
          <w:szCs w:val="24"/>
          <w:highlight w:val="none"/>
        </w:rPr>
      </w:pPr>
      <w:r>
        <w:rPr>
          <w:rFonts w:hint="eastAsia" w:ascii="宋体" w:hAnsi="宋体" w:cs="宋体"/>
          <w:color w:val="000000"/>
          <w:szCs w:val="24"/>
          <w:highlight w:val="none"/>
        </w:rPr>
        <w:t>（12）</w:t>
      </w:r>
      <w:r>
        <w:rPr>
          <w:rFonts w:hint="eastAsia" w:ascii="宋体" w:hAnsi="宋体" w:cs="宋体"/>
          <w:color w:val="000000"/>
          <w:szCs w:val="24"/>
          <w:highlight w:val="none"/>
        </w:rPr>
        <w:tab/>
      </w:r>
      <w:r>
        <w:rPr>
          <w:rFonts w:hint="eastAsia" w:ascii="宋体" w:hAnsi="宋体" w:cs="宋体"/>
          <w:color w:val="000000"/>
          <w:szCs w:val="24"/>
          <w:highlight w:val="none"/>
        </w:rPr>
        <w:t>轴套：RPTFE强化聚四氟乙烯；</w:t>
      </w:r>
    </w:p>
    <w:p>
      <w:pPr>
        <w:rPr>
          <w:rFonts w:ascii="宋体" w:hAnsi="宋体" w:cs="宋体"/>
          <w:color w:val="000000"/>
          <w:szCs w:val="24"/>
          <w:highlight w:val="none"/>
        </w:rPr>
      </w:pPr>
      <w:r>
        <w:rPr>
          <w:rFonts w:hint="eastAsia" w:ascii="宋体" w:hAnsi="宋体" w:cs="宋体"/>
          <w:color w:val="000000"/>
          <w:szCs w:val="24"/>
          <w:highlight w:val="none"/>
        </w:rPr>
        <w:t>（13）</w:t>
      </w:r>
      <w:r>
        <w:rPr>
          <w:rFonts w:hint="eastAsia" w:ascii="宋体" w:hAnsi="宋体" w:cs="宋体"/>
          <w:color w:val="000000"/>
          <w:szCs w:val="24"/>
          <w:highlight w:val="none"/>
        </w:rPr>
        <w:tab/>
      </w:r>
      <w:r>
        <w:rPr>
          <w:rFonts w:hint="eastAsia" w:ascii="宋体" w:hAnsi="宋体" w:cs="宋体"/>
          <w:color w:val="000000"/>
          <w:szCs w:val="24"/>
          <w:highlight w:val="none"/>
        </w:rPr>
        <w:t>执行机构要求：</w:t>
      </w:r>
    </w:p>
    <w:p>
      <w:pPr>
        <w:rPr>
          <w:rFonts w:ascii="宋体" w:hAnsi="宋体" w:cs="宋体"/>
          <w:color w:val="000000"/>
          <w:szCs w:val="24"/>
          <w:highlight w:val="none"/>
        </w:rPr>
      </w:pPr>
      <w:r>
        <w:rPr>
          <w:rFonts w:hint="eastAsia" w:ascii="宋体" w:hAnsi="宋体" w:cs="宋体"/>
          <w:color w:val="000000"/>
          <w:szCs w:val="24"/>
          <w:highlight w:val="none"/>
        </w:rPr>
        <w:t>（14）</w:t>
      </w:r>
      <w:r>
        <w:rPr>
          <w:rFonts w:hint="eastAsia" w:ascii="宋体" w:hAnsi="宋体" w:cs="宋体"/>
          <w:color w:val="000000"/>
          <w:szCs w:val="24"/>
          <w:highlight w:val="none"/>
        </w:rPr>
        <w:tab/>
      </w:r>
      <w:r>
        <w:rPr>
          <w:rFonts w:hint="eastAsia" w:ascii="宋体" w:hAnsi="宋体" w:cs="宋体"/>
          <w:color w:val="000000"/>
          <w:szCs w:val="24"/>
          <w:highlight w:val="none"/>
        </w:rPr>
        <w:t>执行机构工作电源电压为交流220V，频率50HZ；</w:t>
      </w:r>
    </w:p>
    <w:p>
      <w:pPr>
        <w:rPr>
          <w:rFonts w:ascii="宋体" w:hAnsi="宋体" w:cs="宋体"/>
          <w:color w:val="000000"/>
          <w:szCs w:val="24"/>
          <w:highlight w:val="none"/>
        </w:rPr>
      </w:pPr>
      <w:r>
        <w:rPr>
          <w:rFonts w:hint="eastAsia" w:ascii="宋体" w:hAnsi="宋体" w:cs="宋体"/>
          <w:color w:val="000000"/>
          <w:szCs w:val="24"/>
          <w:highlight w:val="none"/>
        </w:rPr>
        <w:t>（15）</w:t>
      </w:r>
      <w:r>
        <w:rPr>
          <w:rFonts w:hint="eastAsia" w:ascii="宋体" w:hAnsi="宋体" w:cs="宋体"/>
          <w:color w:val="000000"/>
          <w:szCs w:val="24"/>
          <w:highlight w:val="none"/>
        </w:rPr>
        <w:tab/>
      </w:r>
      <w:r>
        <w:rPr>
          <w:rFonts w:hint="eastAsia" w:ascii="宋体" w:hAnsi="宋体" w:cs="宋体"/>
          <w:color w:val="000000"/>
          <w:szCs w:val="24"/>
          <w:highlight w:val="none"/>
        </w:rPr>
        <w:t>电动开关型驱动器，带为有源及无源触点到位信号反馈；</w:t>
      </w:r>
    </w:p>
    <w:p>
      <w:pPr>
        <w:rPr>
          <w:rFonts w:ascii="宋体" w:hAnsi="宋体" w:cs="宋体"/>
          <w:color w:val="000000"/>
          <w:szCs w:val="24"/>
          <w:highlight w:val="none"/>
        </w:rPr>
      </w:pPr>
      <w:r>
        <w:rPr>
          <w:rFonts w:hint="eastAsia" w:ascii="宋体" w:hAnsi="宋体" w:cs="宋体"/>
          <w:color w:val="000000"/>
          <w:szCs w:val="24"/>
          <w:highlight w:val="none"/>
        </w:rPr>
        <w:t>（16）</w:t>
      </w:r>
      <w:r>
        <w:rPr>
          <w:rFonts w:hint="eastAsia" w:ascii="宋体" w:hAnsi="宋体" w:cs="宋体"/>
          <w:color w:val="000000"/>
          <w:szCs w:val="24"/>
          <w:highlight w:val="none"/>
        </w:rPr>
        <w:tab/>
      </w:r>
      <w:r>
        <w:rPr>
          <w:rFonts w:hint="eastAsia" w:ascii="宋体" w:hAnsi="宋体" w:cs="宋体"/>
          <w:color w:val="000000"/>
          <w:szCs w:val="24"/>
          <w:highlight w:val="none"/>
        </w:rPr>
        <w:t>无离合器，可进行手电自动切换，在断电的情况下通过手柄来驱动阀门来实现开关，自带手柄；</w:t>
      </w:r>
    </w:p>
    <w:p>
      <w:pPr>
        <w:rPr>
          <w:rFonts w:ascii="宋体" w:hAnsi="宋体" w:cs="宋体"/>
          <w:color w:val="000000"/>
          <w:szCs w:val="24"/>
          <w:highlight w:val="none"/>
        </w:rPr>
      </w:pPr>
      <w:r>
        <w:rPr>
          <w:rFonts w:hint="eastAsia" w:ascii="宋体" w:hAnsi="宋体" w:cs="宋体"/>
          <w:color w:val="000000"/>
          <w:szCs w:val="24"/>
          <w:highlight w:val="none"/>
        </w:rPr>
        <w:t>（17）</w:t>
      </w:r>
      <w:r>
        <w:rPr>
          <w:rFonts w:hint="eastAsia" w:ascii="宋体" w:hAnsi="宋体" w:cs="宋体"/>
          <w:color w:val="000000"/>
          <w:szCs w:val="24"/>
          <w:highlight w:val="none"/>
        </w:rPr>
        <w:tab/>
      </w:r>
      <w:r>
        <w:rPr>
          <w:rFonts w:hint="eastAsia" w:ascii="宋体" w:hAnsi="宋体" w:cs="宋体"/>
          <w:color w:val="000000"/>
          <w:szCs w:val="24"/>
          <w:highlight w:val="none"/>
        </w:rPr>
        <w:t>带有开度显示装置，可以观察到阀门的开关位置；</w:t>
      </w:r>
    </w:p>
    <w:p>
      <w:pPr>
        <w:rPr>
          <w:rFonts w:ascii="宋体" w:hAnsi="宋体" w:cs="宋体"/>
          <w:color w:val="000000"/>
          <w:szCs w:val="24"/>
          <w:highlight w:val="none"/>
        </w:rPr>
      </w:pPr>
      <w:r>
        <w:rPr>
          <w:rFonts w:hint="eastAsia" w:ascii="宋体" w:hAnsi="宋体" w:cs="宋体"/>
          <w:color w:val="000000"/>
          <w:szCs w:val="24"/>
          <w:highlight w:val="none"/>
        </w:rPr>
        <w:t>（18）</w:t>
      </w:r>
      <w:r>
        <w:rPr>
          <w:rFonts w:hint="eastAsia" w:ascii="宋体" w:hAnsi="宋体" w:cs="宋体"/>
          <w:color w:val="000000"/>
          <w:szCs w:val="24"/>
          <w:highlight w:val="none"/>
        </w:rPr>
        <w:tab/>
      </w:r>
      <w:r>
        <w:rPr>
          <w:rFonts w:hint="eastAsia" w:ascii="宋体" w:hAnsi="宋体" w:cs="宋体"/>
          <w:color w:val="000000"/>
          <w:szCs w:val="24"/>
          <w:highlight w:val="none"/>
        </w:rPr>
        <w:t>防护等级：IP67，电机绝缘等级：F级，电机可自动保护。</w:t>
      </w:r>
    </w:p>
    <w:p>
      <w:pPr>
        <w:rPr>
          <w:rFonts w:ascii="宋体" w:hAnsi="宋体" w:cs="宋体"/>
          <w:color w:val="000000"/>
          <w:szCs w:val="24"/>
          <w:highlight w:val="none"/>
        </w:rPr>
      </w:pPr>
      <w:r>
        <w:rPr>
          <w:rFonts w:hint="eastAsia" w:ascii="宋体" w:hAnsi="宋体" w:cs="宋体"/>
          <w:color w:val="000000"/>
          <w:szCs w:val="24"/>
          <w:highlight w:val="none"/>
        </w:rPr>
        <w:t>（19）</w:t>
      </w:r>
      <w:r>
        <w:rPr>
          <w:rFonts w:hint="eastAsia" w:ascii="宋体" w:hAnsi="宋体" w:cs="宋体"/>
          <w:color w:val="000000"/>
          <w:szCs w:val="24"/>
          <w:highlight w:val="none"/>
        </w:rPr>
        <w:tab/>
      </w:r>
      <w:r>
        <w:rPr>
          <w:rFonts w:hint="eastAsia" w:ascii="宋体" w:hAnsi="宋体" w:cs="宋体"/>
          <w:color w:val="000000"/>
          <w:szCs w:val="24"/>
          <w:highlight w:val="none"/>
        </w:rPr>
        <w:t>全行程启闭时间≤120秒；</w:t>
      </w:r>
    </w:p>
    <w:p>
      <w:pPr>
        <w:rPr>
          <w:rFonts w:ascii="宋体" w:hAnsi="宋体" w:cs="宋体"/>
          <w:color w:val="000000"/>
          <w:szCs w:val="24"/>
          <w:highlight w:val="none"/>
        </w:rPr>
      </w:pPr>
      <w:r>
        <w:rPr>
          <w:rFonts w:hint="eastAsia" w:ascii="宋体" w:hAnsi="宋体" w:cs="宋体"/>
          <w:color w:val="000000"/>
          <w:szCs w:val="24"/>
          <w:highlight w:val="none"/>
        </w:rPr>
        <w:t>（20）</w:t>
      </w:r>
      <w:r>
        <w:rPr>
          <w:rFonts w:hint="eastAsia" w:ascii="宋体" w:hAnsi="宋体" w:cs="宋体"/>
          <w:color w:val="000000"/>
          <w:szCs w:val="24"/>
          <w:highlight w:val="none"/>
        </w:rPr>
        <w:tab/>
      </w:r>
      <w:r>
        <w:rPr>
          <w:rFonts w:hint="eastAsia" w:ascii="宋体" w:hAnsi="宋体" w:cs="宋体"/>
          <w:color w:val="000000"/>
          <w:szCs w:val="24"/>
          <w:highlight w:val="none"/>
        </w:rPr>
        <w:t>每一个执行机构须附有手动转轮，并具有手、电动切换装置，并需在执行机构电控操作时自动脱离，执行器须有电子限位功能；</w:t>
      </w:r>
    </w:p>
    <w:p>
      <w:pPr>
        <w:rPr>
          <w:rFonts w:ascii="宋体" w:hAnsi="宋体" w:cs="宋体"/>
          <w:color w:val="000000"/>
          <w:szCs w:val="24"/>
          <w:highlight w:val="none"/>
        </w:rPr>
      </w:pPr>
      <w:r>
        <w:rPr>
          <w:rFonts w:hint="eastAsia" w:ascii="宋体" w:hAnsi="宋体" w:cs="宋体"/>
          <w:color w:val="000000"/>
          <w:szCs w:val="24"/>
          <w:highlight w:val="none"/>
        </w:rPr>
        <w:t>（21）</w:t>
      </w:r>
      <w:r>
        <w:rPr>
          <w:rFonts w:hint="eastAsia" w:ascii="宋体" w:hAnsi="宋体" w:cs="宋体"/>
          <w:color w:val="000000"/>
          <w:szCs w:val="24"/>
          <w:highlight w:val="none"/>
        </w:rPr>
        <w:tab/>
      </w:r>
      <w:r>
        <w:rPr>
          <w:rFonts w:hint="eastAsia" w:ascii="宋体" w:hAnsi="宋体" w:cs="宋体"/>
          <w:color w:val="000000"/>
          <w:szCs w:val="24"/>
          <w:highlight w:val="none"/>
        </w:rPr>
        <w:t>操控器须可以螺栓直接固定在蝶阀顶部，而毋需任何附加的支架、连杆或连接装置；</w:t>
      </w:r>
    </w:p>
    <w:p>
      <w:pPr>
        <w:rPr>
          <w:rFonts w:ascii="宋体" w:hAnsi="宋体" w:cs="宋体"/>
          <w:color w:val="000000"/>
          <w:szCs w:val="24"/>
          <w:highlight w:val="none"/>
        </w:rPr>
      </w:pPr>
      <w:r>
        <w:rPr>
          <w:rFonts w:hint="eastAsia" w:ascii="宋体" w:hAnsi="宋体" w:cs="宋体"/>
          <w:color w:val="000000"/>
          <w:szCs w:val="24"/>
          <w:highlight w:val="none"/>
        </w:rPr>
        <w:t>（22）</w:t>
      </w:r>
      <w:r>
        <w:rPr>
          <w:rFonts w:hint="eastAsia" w:ascii="宋体" w:hAnsi="宋体" w:cs="宋体"/>
          <w:color w:val="000000"/>
          <w:szCs w:val="24"/>
          <w:highlight w:val="none"/>
        </w:rPr>
        <w:tab/>
      </w:r>
      <w:r>
        <w:rPr>
          <w:rFonts w:hint="eastAsia" w:ascii="宋体" w:hAnsi="宋体" w:cs="宋体"/>
          <w:color w:val="000000"/>
          <w:szCs w:val="24"/>
          <w:highlight w:val="none"/>
        </w:rPr>
        <w:t>电动执行机构必须是全封闭式，外部并无可动部份，操控器必须是齿轮式操作以提供恒定转矩；</w:t>
      </w:r>
    </w:p>
    <w:p>
      <w:pPr>
        <w:rPr>
          <w:rFonts w:ascii="宋体" w:hAnsi="宋体" w:cs="宋体"/>
          <w:color w:val="000000"/>
          <w:szCs w:val="24"/>
          <w:highlight w:val="none"/>
        </w:rPr>
      </w:pPr>
      <w:r>
        <w:rPr>
          <w:rFonts w:hint="eastAsia" w:ascii="宋体" w:hAnsi="宋体" w:cs="宋体"/>
          <w:color w:val="000000"/>
          <w:szCs w:val="24"/>
          <w:highlight w:val="none"/>
        </w:rPr>
        <w:t>（23）</w:t>
      </w:r>
      <w:r>
        <w:rPr>
          <w:rFonts w:hint="eastAsia" w:ascii="宋体" w:hAnsi="宋体" w:cs="宋体"/>
          <w:color w:val="000000"/>
          <w:szCs w:val="24"/>
          <w:highlight w:val="none"/>
        </w:rPr>
        <w:tab/>
      </w:r>
      <w:r>
        <w:rPr>
          <w:rFonts w:hint="eastAsia" w:ascii="宋体" w:hAnsi="宋体" w:cs="宋体"/>
          <w:color w:val="000000"/>
          <w:szCs w:val="24"/>
          <w:highlight w:val="none"/>
        </w:rPr>
        <w:t>一般电动执行机构应使用带电子微处理器控制的直流无刷电机，具有全行程的过载保护装置，以免在阀门堵塞或水流压差意外过大时烧毁电机。</w:t>
      </w:r>
    </w:p>
    <w:p>
      <w:pPr>
        <w:rPr>
          <w:rFonts w:ascii="宋体" w:hAnsi="宋体" w:cs="宋体"/>
          <w:color w:val="000000"/>
          <w:szCs w:val="24"/>
          <w:highlight w:val="none"/>
        </w:rPr>
      </w:pPr>
      <w:r>
        <w:rPr>
          <w:rFonts w:hint="eastAsia" w:ascii="宋体" w:hAnsi="宋体" w:cs="宋体"/>
          <w:color w:val="000000"/>
          <w:szCs w:val="24"/>
          <w:highlight w:val="none"/>
        </w:rPr>
        <w:t>（24）</w:t>
      </w:r>
      <w:r>
        <w:rPr>
          <w:rFonts w:hint="eastAsia" w:ascii="宋体" w:hAnsi="宋体" w:cs="宋体"/>
          <w:color w:val="000000"/>
          <w:szCs w:val="24"/>
          <w:highlight w:val="none"/>
        </w:rPr>
        <w:tab/>
      </w:r>
      <w:r>
        <w:rPr>
          <w:rFonts w:hint="eastAsia" w:ascii="宋体" w:hAnsi="宋体" w:cs="宋体"/>
          <w:color w:val="000000"/>
          <w:szCs w:val="24"/>
          <w:highlight w:val="none"/>
        </w:rPr>
        <w:t>如在使用大口径阀门（DN≥200）上的电动执行机构，须提供高速和转矩型的电动机，电动机除具有足够的负荷量配合阀门操作要求外，其线圈绝缘须为IEEE B级标准。提供马达过负载保护和内置式过热135℃负载保护；同时内置加热器，以确保执行器内部的湿度＜95%，防止产生冷凝水造成电机短路。所有电动阀门均以可调定时器控制开关，但启闭时间不能超过2分钟。</w:t>
      </w:r>
    </w:p>
    <w:p>
      <w:pPr>
        <w:rPr>
          <w:rFonts w:ascii="宋体" w:hAnsi="宋体" w:cs="宋体"/>
          <w:color w:val="000000"/>
          <w:szCs w:val="24"/>
          <w:highlight w:val="none"/>
        </w:rPr>
      </w:pPr>
      <w:r>
        <w:rPr>
          <w:rFonts w:hint="eastAsia" w:ascii="宋体" w:hAnsi="宋体" w:cs="宋体"/>
          <w:color w:val="000000"/>
          <w:szCs w:val="24"/>
          <w:highlight w:val="none"/>
        </w:rPr>
        <w:t>（25）</w:t>
      </w:r>
      <w:r>
        <w:rPr>
          <w:rFonts w:hint="eastAsia" w:ascii="宋体" w:hAnsi="宋体" w:cs="宋体"/>
          <w:color w:val="000000"/>
          <w:szCs w:val="24"/>
          <w:highlight w:val="none"/>
        </w:rPr>
        <w:tab/>
      </w:r>
      <w:r>
        <w:rPr>
          <w:rFonts w:hint="eastAsia" w:ascii="宋体" w:hAnsi="宋体" w:cs="宋体"/>
          <w:color w:val="000000"/>
          <w:szCs w:val="24"/>
          <w:highlight w:val="none"/>
        </w:rPr>
        <w:t>执行机构需带有一对无源辅助开关，以反馈阀门的开关位置，供备弱电控制使用。</w:t>
      </w:r>
    </w:p>
    <w:p>
      <w:pPr>
        <w:rPr>
          <w:rFonts w:ascii="宋体" w:hAnsi="宋体" w:cs="宋体"/>
          <w:color w:val="000000"/>
          <w:szCs w:val="24"/>
          <w:highlight w:val="none"/>
        </w:rPr>
      </w:pPr>
      <w:r>
        <w:rPr>
          <w:rFonts w:hint="eastAsia" w:ascii="宋体" w:hAnsi="宋体" w:cs="宋体"/>
          <w:color w:val="000000"/>
          <w:szCs w:val="24"/>
          <w:highlight w:val="none"/>
        </w:rPr>
        <w:t>（26）</w:t>
      </w:r>
      <w:r>
        <w:rPr>
          <w:rFonts w:hint="eastAsia" w:ascii="宋体" w:hAnsi="宋体" w:cs="宋体"/>
          <w:color w:val="000000"/>
          <w:szCs w:val="24"/>
          <w:highlight w:val="none"/>
        </w:rPr>
        <w:tab/>
      </w:r>
      <w:r>
        <w:rPr>
          <w:rFonts w:hint="eastAsia" w:ascii="宋体" w:hAnsi="宋体" w:cs="宋体"/>
          <w:color w:val="000000"/>
          <w:szCs w:val="24"/>
          <w:highlight w:val="none"/>
        </w:rPr>
        <w:t>安全开关运行次数≥60，000次，并提供第三方权威机构出具的测试报告。</w:t>
      </w:r>
    </w:p>
    <w:p>
      <w:pPr>
        <w:rPr>
          <w:rFonts w:ascii="宋体" w:hAnsi="宋体" w:cs="宋体"/>
          <w:color w:val="000000"/>
          <w:szCs w:val="24"/>
          <w:highlight w:val="none"/>
        </w:rPr>
      </w:pPr>
      <w:r>
        <w:rPr>
          <w:rFonts w:hint="eastAsia" w:ascii="宋体" w:hAnsi="宋体" w:cs="宋体"/>
          <w:color w:val="000000"/>
          <w:szCs w:val="24"/>
          <w:highlight w:val="none"/>
        </w:rPr>
        <w:t>（27）</w:t>
      </w:r>
      <w:r>
        <w:rPr>
          <w:rFonts w:hint="eastAsia" w:ascii="宋体" w:hAnsi="宋体" w:cs="宋体"/>
          <w:color w:val="000000"/>
          <w:szCs w:val="24"/>
          <w:highlight w:val="none"/>
        </w:rPr>
        <w:tab/>
      </w:r>
      <w:r>
        <w:rPr>
          <w:rFonts w:hint="eastAsia" w:ascii="宋体" w:hAnsi="宋体" w:cs="宋体"/>
          <w:color w:val="000000"/>
          <w:szCs w:val="24"/>
          <w:highlight w:val="none"/>
        </w:rPr>
        <w:t>电动机需提供原厂内置发热器，可防止温差时水珠凝结。</w:t>
      </w:r>
    </w:p>
    <w:p>
      <w:pPr>
        <w:rPr>
          <w:rFonts w:ascii="宋体" w:hAnsi="宋体" w:cs="宋体"/>
          <w:color w:val="000000"/>
          <w:szCs w:val="24"/>
          <w:highlight w:val="none"/>
        </w:rPr>
      </w:pPr>
      <w:r>
        <w:rPr>
          <w:rFonts w:hint="eastAsia" w:ascii="宋体" w:hAnsi="宋体" w:cs="宋体"/>
          <w:color w:val="000000"/>
          <w:szCs w:val="24"/>
          <w:highlight w:val="none"/>
        </w:rPr>
        <w:t>（28）</w:t>
      </w:r>
      <w:r>
        <w:rPr>
          <w:rFonts w:hint="eastAsia" w:ascii="宋体" w:hAnsi="宋体" w:cs="宋体"/>
          <w:color w:val="000000"/>
          <w:szCs w:val="24"/>
          <w:highlight w:val="none"/>
        </w:rPr>
        <w:tab/>
      </w:r>
      <w:r>
        <w:rPr>
          <w:rFonts w:hint="eastAsia" w:ascii="宋体" w:hAnsi="宋体" w:cs="宋体"/>
          <w:color w:val="000000"/>
          <w:szCs w:val="24"/>
          <w:highlight w:val="none"/>
        </w:rPr>
        <w:t>电动机需由制造厂于工厂内装置于阀体上并提供出厂调试报告。</w:t>
      </w:r>
    </w:p>
    <w:p>
      <w:pPr>
        <w:rPr>
          <w:rFonts w:ascii="宋体" w:hAnsi="宋体" w:cs="宋体"/>
          <w:color w:val="000000"/>
          <w:szCs w:val="24"/>
          <w:highlight w:val="none"/>
        </w:rPr>
      </w:pPr>
      <w:r>
        <w:rPr>
          <w:rFonts w:hint="eastAsia" w:ascii="宋体" w:hAnsi="宋体" w:cs="宋体"/>
          <w:color w:val="000000"/>
          <w:szCs w:val="24"/>
          <w:highlight w:val="none"/>
        </w:rPr>
        <w:t>（29）</w:t>
      </w:r>
      <w:r>
        <w:rPr>
          <w:rFonts w:hint="eastAsia" w:ascii="宋体" w:hAnsi="宋体" w:cs="宋体"/>
          <w:color w:val="000000"/>
          <w:szCs w:val="24"/>
          <w:highlight w:val="none"/>
        </w:rPr>
        <w:tab/>
      </w:r>
      <w:r>
        <w:rPr>
          <w:rFonts w:hint="eastAsia" w:ascii="宋体" w:hAnsi="宋体" w:cs="宋体"/>
          <w:color w:val="000000"/>
          <w:szCs w:val="24"/>
          <w:highlight w:val="none"/>
        </w:rPr>
        <w:t>提供所有有关电动机和遥控按钮开关的供电接线、断路开关、导线管和电源配线。</w:t>
      </w:r>
    </w:p>
    <w:p>
      <w:pPr>
        <w:rPr>
          <w:rFonts w:ascii="宋体" w:hAnsi="宋体" w:cs="宋体"/>
          <w:color w:val="000000"/>
          <w:szCs w:val="24"/>
          <w:highlight w:val="none"/>
        </w:rPr>
      </w:pPr>
      <w:r>
        <w:rPr>
          <w:rFonts w:hint="eastAsia" w:ascii="宋体" w:hAnsi="宋体" w:cs="宋体"/>
          <w:color w:val="000000"/>
          <w:szCs w:val="24"/>
          <w:highlight w:val="none"/>
        </w:rPr>
        <w:t>（30）</w:t>
      </w:r>
      <w:r>
        <w:rPr>
          <w:rFonts w:hint="eastAsia" w:ascii="宋体" w:hAnsi="宋体" w:cs="宋体"/>
          <w:color w:val="000000"/>
          <w:szCs w:val="24"/>
          <w:highlight w:val="none"/>
        </w:rPr>
        <w:tab/>
      </w:r>
      <w:r>
        <w:rPr>
          <w:rFonts w:hint="eastAsia" w:ascii="宋体" w:hAnsi="宋体" w:cs="宋体"/>
          <w:color w:val="000000"/>
          <w:szCs w:val="24"/>
          <w:highlight w:val="none"/>
        </w:rPr>
        <w:t>电动执行机构扭矩应足够大，需满足实际使用要求。</w:t>
      </w:r>
    </w:p>
    <w:p>
      <w:pPr>
        <w:rPr>
          <w:rFonts w:ascii="宋体" w:hAnsi="宋体" w:cs="宋体"/>
          <w:color w:val="000000"/>
          <w:szCs w:val="24"/>
          <w:highlight w:val="none"/>
        </w:rPr>
      </w:pPr>
    </w:p>
    <w:p>
      <w:pPr>
        <w:rPr>
          <w:rFonts w:ascii="宋体" w:hAnsi="宋体" w:cs="宋体"/>
          <w:color w:val="000000"/>
          <w:szCs w:val="24"/>
          <w:highlight w:val="none"/>
        </w:rPr>
      </w:pPr>
      <w:r>
        <w:rPr>
          <w:rFonts w:hint="eastAsia" w:ascii="宋体" w:hAnsi="宋体" w:cs="宋体"/>
          <w:color w:val="000000"/>
          <w:szCs w:val="24"/>
          <w:highlight w:val="none"/>
        </w:rPr>
        <w:t>2.8 压差电动旁通阀</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功能：根据设定的阀门二端压差值，通过介质压力调节阀开度，保持压差精确恒定值；</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适用介质：水</w:t>
      </w:r>
    </w:p>
    <w:p>
      <w:pPr>
        <w:rPr>
          <w:rFonts w:ascii="宋体" w:hAnsi="宋体" w:cs="宋体"/>
          <w:color w:val="000000"/>
          <w:szCs w:val="24"/>
          <w:highlight w:val="none"/>
        </w:rPr>
      </w:pPr>
      <w:r>
        <w:rPr>
          <w:rFonts w:hint="eastAsia" w:ascii="宋体" w:hAnsi="宋体" w:cs="宋体"/>
          <w:color w:val="000000"/>
          <w:szCs w:val="24"/>
          <w:highlight w:val="none"/>
        </w:rPr>
        <w:t>（3）</w:t>
      </w:r>
      <w:r>
        <w:rPr>
          <w:rFonts w:hint="eastAsia" w:ascii="宋体" w:hAnsi="宋体" w:cs="宋体"/>
          <w:color w:val="000000"/>
          <w:szCs w:val="24"/>
          <w:highlight w:val="none"/>
        </w:rPr>
        <w:tab/>
      </w:r>
      <w:r>
        <w:rPr>
          <w:rFonts w:hint="eastAsia" w:ascii="宋体" w:hAnsi="宋体" w:cs="宋体"/>
          <w:color w:val="000000"/>
          <w:szCs w:val="24"/>
          <w:highlight w:val="none"/>
        </w:rPr>
        <w:t>工作温度范围为0℃～80℃</w:t>
      </w:r>
    </w:p>
    <w:p>
      <w:pPr>
        <w:rPr>
          <w:rFonts w:ascii="宋体" w:hAnsi="宋体" w:cs="宋体"/>
          <w:color w:val="000000"/>
          <w:szCs w:val="24"/>
          <w:highlight w:val="none"/>
        </w:rPr>
      </w:pPr>
      <w:r>
        <w:rPr>
          <w:rFonts w:hint="eastAsia" w:ascii="宋体" w:hAnsi="宋体" w:cs="宋体"/>
          <w:color w:val="000000"/>
          <w:szCs w:val="24"/>
          <w:highlight w:val="none"/>
        </w:rPr>
        <w:t>（4）</w:t>
      </w:r>
      <w:r>
        <w:rPr>
          <w:rFonts w:hint="eastAsia" w:ascii="宋体" w:hAnsi="宋体" w:cs="宋体"/>
          <w:color w:val="000000"/>
          <w:szCs w:val="24"/>
          <w:highlight w:val="none"/>
        </w:rPr>
        <w:tab/>
      </w:r>
      <w:r>
        <w:rPr>
          <w:rFonts w:hint="eastAsia" w:ascii="宋体" w:hAnsi="宋体" w:cs="宋体"/>
          <w:color w:val="000000"/>
          <w:szCs w:val="24"/>
          <w:highlight w:val="none"/>
        </w:rPr>
        <w:t>设计标准：JB/:10674-2006测试标准：GB/T13927-2008</w:t>
      </w:r>
    </w:p>
    <w:p>
      <w:pPr>
        <w:rPr>
          <w:rFonts w:ascii="宋体" w:hAnsi="宋体" w:cs="宋体"/>
          <w:color w:val="000000"/>
          <w:szCs w:val="24"/>
          <w:highlight w:val="none"/>
        </w:rPr>
      </w:pPr>
      <w:r>
        <w:rPr>
          <w:rFonts w:hint="eastAsia" w:ascii="宋体" w:hAnsi="宋体" w:cs="宋体"/>
          <w:color w:val="000000"/>
          <w:szCs w:val="24"/>
          <w:highlight w:val="none"/>
        </w:rPr>
        <w:t>（5）</w:t>
      </w:r>
      <w:r>
        <w:rPr>
          <w:rFonts w:hint="eastAsia" w:ascii="宋体" w:hAnsi="宋体" w:cs="宋体"/>
          <w:color w:val="000000"/>
          <w:szCs w:val="24"/>
          <w:highlight w:val="none"/>
        </w:rPr>
        <w:tab/>
      </w:r>
      <w:r>
        <w:rPr>
          <w:rFonts w:hint="eastAsia" w:ascii="宋体" w:hAnsi="宋体" w:cs="宋体"/>
          <w:color w:val="000000"/>
          <w:szCs w:val="24"/>
          <w:highlight w:val="none"/>
        </w:rPr>
        <w:t>调节范围：0.1Mpa~0.4Mpa</w:t>
      </w:r>
    </w:p>
    <w:p>
      <w:pPr>
        <w:rPr>
          <w:rFonts w:ascii="宋体" w:hAnsi="宋体" w:cs="宋体"/>
          <w:color w:val="000000"/>
          <w:szCs w:val="24"/>
          <w:highlight w:val="none"/>
        </w:rPr>
      </w:pPr>
      <w:r>
        <w:rPr>
          <w:rFonts w:hint="eastAsia" w:ascii="宋体" w:hAnsi="宋体" w:cs="宋体"/>
          <w:color w:val="000000"/>
          <w:szCs w:val="24"/>
          <w:highlight w:val="none"/>
        </w:rPr>
        <w:t>（6）</w:t>
      </w:r>
      <w:r>
        <w:rPr>
          <w:rFonts w:hint="eastAsia" w:ascii="宋体" w:hAnsi="宋体" w:cs="宋体"/>
          <w:color w:val="000000"/>
          <w:szCs w:val="24"/>
          <w:highlight w:val="none"/>
        </w:rPr>
        <w:tab/>
      </w:r>
      <w:r>
        <w:rPr>
          <w:rFonts w:hint="eastAsia" w:ascii="宋体" w:hAnsi="宋体" w:cs="宋体"/>
          <w:color w:val="000000"/>
          <w:szCs w:val="24"/>
          <w:highlight w:val="none"/>
        </w:rPr>
        <w:t>调节精度：±10%</w:t>
      </w:r>
    </w:p>
    <w:p>
      <w:pPr>
        <w:rPr>
          <w:rFonts w:ascii="宋体" w:hAnsi="宋体" w:cs="宋体"/>
          <w:color w:val="000000"/>
          <w:szCs w:val="24"/>
          <w:highlight w:val="none"/>
        </w:rPr>
      </w:pPr>
      <w:r>
        <w:rPr>
          <w:rFonts w:hint="eastAsia" w:ascii="宋体" w:hAnsi="宋体" w:cs="宋体"/>
          <w:color w:val="000000"/>
          <w:szCs w:val="24"/>
          <w:highlight w:val="none"/>
        </w:rPr>
        <w:t>（7）</w:t>
      </w:r>
      <w:r>
        <w:rPr>
          <w:rFonts w:hint="eastAsia" w:ascii="宋体" w:hAnsi="宋体" w:cs="宋体"/>
          <w:color w:val="000000"/>
          <w:szCs w:val="24"/>
          <w:highlight w:val="none"/>
        </w:rPr>
        <w:tab/>
      </w:r>
      <w:r>
        <w:rPr>
          <w:rFonts w:hint="eastAsia" w:ascii="宋体" w:hAnsi="宋体" w:cs="宋体"/>
          <w:color w:val="000000"/>
          <w:szCs w:val="24"/>
          <w:highlight w:val="none"/>
        </w:rPr>
        <w:t>响应时间：5s关闭</w:t>
      </w:r>
    </w:p>
    <w:p>
      <w:pPr>
        <w:rPr>
          <w:rFonts w:ascii="宋体" w:hAnsi="宋体" w:cs="宋体"/>
          <w:color w:val="000000"/>
          <w:szCs w:val="24"/>
          <w:highlight w:val="none"/>
        </w:rPr>
      </w:pPr>
      <w:r>
        <w:rPr>
          <w:rFonts w:hint="eastAsia" w:ascii="宋体" w:hAnsi="宋体" w:cs="宋体"/>
          <w:color w:val="000000"/>
          <w:szCs w:val="24"/>
          <w:highlight w:val="none"/>
        </w:rPr>
        <w:t>（8）</w:t>
      </w:r>
      <w:r>
        <w:rPr>
          <w:rFonts w:hint="eastAsia" w:ascii="宋体" w:hAnsi="宋体" w:cs="宋体"/>
          <w:color w:val="000000"/>
          <w:szCs w:val="24"/>
          <w:highlight w:val="none"/>
        </w:rPr>
        <w:tab/>
      </w:r>
      <w:r>
        <w:rPr>
          <w:rFonts w:hint="eastAsia" w:ascii="宋体" w:hAnsi="宋体" w:cs="宋体"/>
          <w:color w:val="000000"/>
          <w:szCs w:val="24"/>
          <w:highlight w:val="none"/>
        </w:rPr>
        <w:t>泄漏率：零泄漏</w:t>
      </w:r>
    </w:p>
    <w:p>
      <w:pPr>
        <w:rPr>
          <w:rFonts w:ascii="宋体" w:hAnsi="宋体" w:cs="宋体"/>
          <w:color w:val="000000"/>
          <w:szCs w:val="24"/>
          <w:highlight w:val="none"/>
        </w:rPr>
      </w:pPr>
      <w:r>
        <w:rPr>
          <w:rFonts w:hint="eastAsia" w:ascii="宋体" w:hAnsi="宋体" w:cs="宋体"/>
          <w:color w:val="000000"/>
          <w:szCs w:val="24"/>
          <w:highlight w:val="none"/>
        </w:rPr>
        <w:t>（9）</w:t>
      </w:r>
      <w:r>
        <w:rPr>
          <w:rFonts w:hint="eastAsia" w:ascii="宋体" w:hAnsi="宋体" w:cs="宋体"/>
          <w:color w:val="000000"/>
          <w:szCs w:val="24"/>
          <w:highlight w:val="none"/>
        </w:rPr>
        <w:tab/>
      </w:r>
      <w:r>
        <w:rPr>
          <w:rFonts w:hint="eastAsia" w:ascii="宋体" w:hAnsi="宋体" w:cs="宋体"/>
          <w:color w:val="000000"/>
          <w:szCs w:val="24"/>
          <w:highlight w:val="none"/>
        </w:rPr>
        <w:t>关闭压力：≧0.2MPa</w:t>
      </w:r>
    </w:p>
    <w:p>
      <w:pPr>
        <w:rPr>
          <w:rFonts w:ascii="宋体" w:hAnsi="宋体" w:cs="宋体"/>
          <w:color w:val="000000"/>
          <w:szCs w:val="24"/>
          <w:highlight w:val="none"/>
        </w:rPr>
      </w:pPr>
      <w:r>
        <w:rPr>
          <w:rFonts w:hint="eastAsia" w:ascii="宋体" w:hAnsi="宋体" w:cs="宋体"/>
          <w:color w:val="000000"/>
          <w:szCs w:val="24"/>
          <w:highlight w:val="none"/>
        </w:rPr>
        <w:t>（10）</w:t>
      </w:r>
      <w:r>
        <w:rPr>
          <w:rFonts w:hint="eastAsia" w:ascii="宋体" w:hAnsi="宋体" w:cs="宋体"/>
          <w:color w:val="000000"/>
          <w:szCs w:val="24"/>
          <w:highlight w:val="none"/>
        </w:rPr>
        <w:tab/>
      </w:r>
      <w:r>
        <w:rPr>
          <w:rFonts w:hint="eastAsia" w:ascii="宋体" w:hAnsi="宋体" w:cs="宋体"/>
          <w:color w:val="000000"/>
          <w:szCs w:val="24"/>
          <w:highlight w:val="none"/>
        </w:rPr>
        <w:t>电动比例调节阀具有智能比例调节型和浮点型可供选择，可实现等百分比流量控制特性</w:t>
      </w:r>
    </w:p>
    <w:p>
      <w:pPr>
        <w:rPr>
          <w:rFonts w:ascii="宋体" w:hAnsi="宋体" w:cs="宋体"/>
          <w:color w:val="000000"/>
          <w:szCs w:val="24"/>
          <w:highlight w:val="none"/>
        </w:rPr>
      </w:pPr>
      <w:r>
        <w:rPr>
          <w:rFonts w:hint="eastAsia" w:ascii="宋体" w:hAnsi="宋体" w:cs="宋体"/>
          <w:color w:val="000000"/>
          <w:szCs w:val="24"/>
          <w:highlight w:val="none"/>
        </w:rPr>
        <w:t>（11）</w:t>
      </w:r>
      <w:r>
        <w:rPr>
          <w:rFonts w:hint="eastAsia" w:ascii="宋体" w:hAnsi="宋体" w:cs="宋体"/>
          <w:color w:val="000000"/>
          <w:szCs w:val="24"/>
          <w:highlight w:val="none"/>
        </w:rPr>
        <w:tab/>
      </w:r>
      <w:r>
        <w:rPr>
          <w:rFonts w:hint="eastAsia" w:ascii="宋体" w:hAnsi="宋体" w:cs="宋体"/>
          <w:color w:val="000000"/>
          <w:szCs w:val="24"/>
          <w:highlight w:val="none"/>
        </w:rPr>
        <w:t>通过输入0(2)-10VDC、0(4)-20mA控制信号，可观察阀位反馈输出信号实现管路流体介质的自动调节控制</w:t>
      </w:r>
    </w:p>
    <w:p>
      <w:pPr>
        <w:rPr>
          <w:rFonts w:ascii="宋体" w:hAnsi="宋体" w:cs="宋体"/>
          <w:color w:val="000000"/>
          <w:szCs w:val="24"/>
          <w:highlight w:val="none"/>
        </w:rPr>
      </w:pPr>
      <w:r>
        <w:rPr>
          <w:rFonts w:hint="eastAsia" w:ascii="宋体" w:hAnsi="宋体" w:cs="宋体"/>
          <w:color w:val="000000"/>
          <w:szCs w:val="24"/>
          <w:highlight w:val="none"/>
        </w:rPr>
        <w:t>（12）</w:t>
      </w:r>
      <w:r>
        <w:rPr>
          <w:rFonts w:hint="eastAsia" w:ascii="宋体" w:hAnsi="宋体" w:cs="宋体"/>
          <w:color w:val="000000"/>
          <w:szCs w:val="24"/>
          <w:highlight w:val="none"/>
        </w:rPr>
        <w:tab/>
      </w:r>
      <w:r>
        <w:rPr>
          <w:rFonts w:hint="eastAsia" w:ascii="宋体" w:hAnsi="宋体" w:cs="宋体"/>
          <w:color w:val="000000"/>
          <w:szCs w:val="24"/>
          <w:highlight w:val="none"/>
        </w:rPr>
        <w:t>为确保调节精度，阀体宜为座阀式直行程结构，采用S型流道设计。</w:t>
      </w:r>
    </w:p>
    <w:p>
      <w:pPr>
        <w:rPr>
          <w:rFonts w:ascii="宋体" w:hAnsi="宋体" w:cs="宋体"/>
          <w:color w:val="000000"/>
          <w:szCs w:val="24"/>
          <w:highlight w:val="none"/>
        </w:rPr>
      </w:pPr>
      <w:r>
        <w:rPr>
          <w:rFonts w:hint="eastAsia" w:ascii="宋体" w:hAnsi="宋体" w:cs="宋体"/>
          <w:color w:val="000000"/>
          <w:szCs w:val="24"/>
          <w:highlight w:val="none"/>
        </w:rPr>
        <w:t>（13）</w:t>
      </w:r>
      <w:r>
        <w:rPr>
          <w:rFonts w:hint="eastAsia" w:ascii="宋体" w:hAnsi="宋体" w:cs="宋体"/>
          <w:color w:val="000000"/>
          <w:szCs w:val="24"/>
          <w:highlight w:val="none"/>
        </w:rPr>
        <w:tab/>
      </w:r>
      <w:r>
        <w:rPr>
          <w:rFonts w:hint="eastAsia" w:ascii="宋体" w:hAnsi="宋体" w:cs="宋体"/>
          <w:color w:val="000000"/>
          <w:szCs w:val="24"/>
          <w:highlight w:val="none"/>
        </w:rPr>
        <w:t>阀体材料：≤DN50选用黄铜;≥DN65选用球墨铸铁</w:t>
      </w:r>
    </w:p>
    <w:p>
      <w:pPr>
        <w:rPr>
          <w:rFonts w:ascii="宋体" w:hAnsi="宋体" w:cs="宋体"/>
          <w:color w:val="000000"/>
          <w:szCs w:val="24"/>
          <w:highlight w:val="none"/>
        </w:rPr>
      </w:pPr>
      <w:r>
        <w:rPr>
          <w:rFonts w:hint="eastAsia" w:ascii="宋体" w:hAnsi="宋体" w:cs="宋体"/>
          <w:color w:val="000000"/>
          <w:szCs w:val="24"/>
          <w:highlight w:val="none"/>
        </w:rPr>
        <w:t>（14）</w:t>
      </w:r>
      <w:r>
        <w:rPr>
          <w:rFonts w:hint="eastAsia" w:ascii="宋体" w:hAnsi="宋体" w:cs="宋体"/>
          <w:color w:val="000000"/>
          <w:szCs w:val="24"/>
          <w:highlight w:val="none"/>
        </w:rPr>
        <w:tab/>
      </w:r>
      <w:r>
        <w:rPr>
          <w:rFonts w:hint="eastAsia" w:ascii="宋体" w:hAnsi="宋体" w:cs="宋体"/>
          <w:color w:val="000000"/>
          <w:szCs w:val="24"/>
          <w:highlight w:val="none"/>
        </w:rPr>
        <w:t>阀芯材料：黄铜、不锈钢</w:t>
      </w:r>
    </w:p>
    <w:p>
      <w:pPr>
        <w:rPr>
          <w:rFonts w:ascii="宋体" w:hAnsi="宋体" w:cs="宋体"/>
          <w:color w:val="000000"/>
          <w:szCs w:val="24"/>
          <w:highlight w:val="none"/>
        </w:rPr>
      </w:pPr>
      <w:r>
        <w:rPr>
          <w:rFonts w:hint="eastAsia" w:ascii="宋体" w:hAnsi="宋体" w:cs="宋体"/>
          <w:color w:val="000000"/>
          <w:szCs w:val="24"/>
          <w:highlight w:val="none"/>
        </w:rPr>
        <w:t>（15）</w:t>
      </w:r>
      <w:r>
        <w:rPr>
          <w:rFonts w:hint="eastAsia" w:ascii="宋体" w:hAnsi="宋体" w:cs="宋体"/>
          <w:color w:val="000000"/>
          <w:szCs w:val="24"/>
          <w:highlight w:val="none"/>
        </w:rPr>
        <w:tab/>
      </w:r>
      <w:r>
        <w:rPr>
          <w:rFonts w:hint="eastAsia" w:ascii="宋体" w:hAnsi="宋体" w:cs="宋体"/>
          <w:color w:val="000000"/>
          <w:szCs w:val="24"/>
          <w:highlight w:val="none"/>
        </w:rPr>
        <w:t>密封材料：EPDM（三元乙丙橡胶）。</w:t>
      </w:r>
    </w:p>
    <w:p>
      <w:pPr>
        <w:rPr>
          <w:rFonts w:ascii="宋体" w:hAnsi="宋体" w:cs="宋体"/>
          <w:color w:val="000000"/>
          <w:szCs w:val="24"/>
          <w:highlight w:val="none"/>
        </w:rPr>
      </w:pPr>
      <w:r>
        <w:rPr>
          <w:rFonts w:hint="eastAsia" w:ascii="宋体" w:hAnsi="宋体" w:cs="宋体"/>
          <w:color w:val="000000"/>
          <w:szCs w:val="24"/>
          <w:highlight w:val="none"/>
        </w:rPr>
        <w:t>（16）</w:t>
      </w:r>
      <w:r>
        <w:rPr>
          <w:rFonts w:hint="eastAsia" w:ascii="宋体" w:hAnsi="宋体" w:cs="宋体"/>
          <w:color w:val="000000"/>
          <w:szCs w:val="24"/>
          <w:highlight w:val="none"/>
        </w:rPr>
        <w:tab/>
      </w:r>
      <w:r>
        <w:rPr>
          <w:rFonts w:hint="eastAsia" w:ascii="宋体" w:hAnsi="宋体" w:cs="宋体"/>
          <w:color w:val="000000"/>
          <w:szCs w:val="24"/>
          <w:highlight w:val="none"/>
        </w:rPr>
        <w:t>阀门电动驱动器部分技术要求：</w:t>
      </w:r>
    </w:p>
    <w:p>
      <w:pPr>
        <w:rPr>
          <w:rFonts w:ascii="宋体" w:hAnsi="宋体" w:cs="宋体"/>
          <w:color w:val="000000"/>
          <w:szCs w:val="24"/>
          <w:highlight w:val="none"/>
        </w:rPr>
      </w:pPr>
      <w:r>
        <w:rPr>
          <w:rFonts w:hint="eastAsia" w:ascii="宋体" w:hAnsi="宋体" w:cs="宋体"/>
          <w:color w:val="000000"/>
          <w:szCs w:val="24"/>
          <w:highlight w:val="none"/>
        </w:rPr>
        <w:t>（17）</w:t>
      </w:r>
      <w:r>
        <w:rPr>
          <w:rFonts w:hint="eastAsia" w:ascii="宋体" w:hAnsi="宋体" w:cs="宋体"/>
          <w:color w:val="000000"/>
          <w:szCs w:val="24"/>
          <w:highlight w:val="none"/>
        </w:rPr>
        <w:tab/>
      </w:r>
      <w:r>
        <w:rPr>
          <w:rFonts w:hint="eastAsia" w:ascii="宋体" w:hAnsi="宋体" w:cs="宋体"/>
          <w:color w:val="000000"/>
          <w:szCs w:val="24"/>
          <w:highlight w:val="none"/>
        </w:rPr>
        <w:t>电动驱动器要具有比例积分调节特性，带有阀位显示；</w:t>
      </w:r>
    </w:p>
    <w:p>
      <w:pPr>
        <w:rPr>
          <w:rFonts w:ascii="宋体" w:hAnsi="宋体" w:cs="宋体"/>
          <w:color w:val="000000"/>
          <w:szCs w:val="24"/>
          <w:highlight w:val="none"/>
        </w:rPr>
      </w:pPr>
      <w:r>
        <w:rPr>
          <w:rFonts w:hint="eastAsia" w:ascii="宋体" w:hAnsi="宋体" w:cs="宋体"/>
          <w:color w:val="000000"/>
          <w:szCs w:val="24"/>
          <w:highlight w:val="none"/>
        </w:rPr>
        <w:t>（18）</w:t>
      </w:r>
      <w:r>
        <w:rPr>
          <w:rFonts w:hint="eastAsia" w:ascii="宋体" w:hAnsi="宋体" w:cs="宋体"/>
          <w:color w:val="000000"/>
          <w:szCs w:val="24"/>
          <w:highlight w:val="none"/>
        </w:rPr>
        <w:tab/>
      </w:r>
      <w:r>
        <w:rPr>
          <w:rFonts w:hint="eastAsia" w:ascii="宋体" w:hAnsi="宋体" w:cs="宋体"/>
          <w:color w:val="000000"/>
          <w:szCs w:val="24"/>
          <w:highlight w:val="none"/>
        </w:rPr>
        <w:t>驱动器提供手动调节设备和手轮，允许在断电时手动操作</w:t>
      </w:r>
    </w:p>
    <w:p>
      <w:pPr>
        <w:rPr>
          <w:rFonts w:ascii="宋体" w:hAnsi="宋体" w:cs="宋体"/>
          <w:color w:val="000000"/>
          <w:szCs w:val="24"/>
          <w:highlight w:val="none"/>
        </w:rPr>
      </w:pPr>
      <w:r>
        <w:rPr>
          <w:rFonts w:hint="eastAsia" w:ascii="宋体" w:hAnsi="宋体" w:cs="宋体"/>
          <w:color w:val="000000"/>
          <w:szCs w:val="24"/>
          <w:highlight w:val="none"/>
        </w:rPr>
        <w:t>（19）</w:t>
      </w:r>
      <w:r>
        <w:rPr>
          <w:rFonts w:hint="eastAsia" w:ascii="宋体" w:hAnsi="宋体" w:cs="宋体"/>
          <w:color w:val="000000"/>
          <w:szCs w:val="24"/>
          <w:highlight w:val="none"/>
        </w:rPr>
        <w:tab/>
      </w:r>
      <w:r>
        <w:rPr>
          <w:rFonts w:hint="eastAsia" w:ascii="宋体" w:hAnsi="宋体" w:cs="宋体"/>
          <w:color w:val="000000"/>
          <w:szCs w:val="24"/>
          <w:highlight w:val="none"/>
        </w:rPr>
        <w:t>阀门应具备与BA控制系统通讯接口，电源输入为：24VAC，输入和输出信号为：0～10V或4～20mA，阀位反馈信号：0～10V或4～20mA</w:t>
      </w:r>
    </w:p>
    <w:p>
      <w:pPr>
        <w:rPr>
          <w:rFonts w:ascii="宋体" w:hAnsi="宋体" w:cs="宋体"/>
          <w:color w:val="000000"/>
          <w:szCs w:val="24"/>
          <w:highlight w:val="none"/>
        </w:rPr>
      </w:pPr>
      <w:r>
        <w:rPr>
          <w:rFonts w:hint="eastAsia" w:ascii="宋体" w:hAnsi="宋体" w:cs="宋体"/>
          <w:color w:val="000000"/>
          <w:szCs w:val="24"/>
          <w:highlight w:val="none"/>
        </w:rPr>
        <w:t>（20）</w:t>
      </w:r>
      <w:r>
        <w:rPr>
          <w:rFonts w:hint="eastAsia" w:ascii="宋体" w:hAnsi="宋体" w:cs="宋体"/>
          <w:color w:val="000000"/>
          <w:szCs w:val="24"/>
          <w:highlight w:val="none"/>
        </w:rPr>
        <w:tab/>
      </w:r>
      <w:r>
        <w:rPr>
          <w:rFonts w:hint="eastAsia" w:ascii="宋体" w:hAnsi="宋体" w:cs="宋体"/>
          <w:color w:val="000000"/>
          <w:szCs w:val="24"/>
          <w:highlight w:val="none"/>
        </w:rPr>
        <w:t>驱动器具有自适应功能，适应阀体不同阀杆长度模式</w:t>
      </w:r>
    </w:p>
    <w:p>
      <w:pPr>
        <w:rPr>
          <w:rFonts w:ascii="宋体" w:hAnsi="宋体" w:cs="宋体"/>
          <w:color w:val="000000"/>
          <w:szCs w:val="24"/>
          <w:highlight w:val="none"/>
        </w:rPr>
      </w:pPr>
      <w:r>
        <w:rPr>
          <w:rFonts w:hint="eastAsia" w:ascii="宋体" w:hAnsi="宋体" w:cs="宋体"/>
          <w:color w:val="000000"/>
          <w:szCs w:val="24"/>
          <w:highlight w:val="none"/>
        </w:rPr>
        <w:t>（21）</w:t>
      </w:r>
      <w:r>
        <w:rPr>
          <w:rFonts w:hint="eastAsia" w:ascii="宋体" w:hAnsi="宋体" w:cs="宋体"/>
          <w:color w:val="000000"/>
          <w:szCs w:val="24"/>
          <w:highlight w:val="none"/>
        </w:rPr>
        <w:tab/>
      </w:r>
      <w:r>
        <w:rPr>
          <w:rFonts w:hint="eastAsia" w:ascii="宋体" w:hAnsi="宋体" w:cs="宋体"/>
          <w:color w:val="000000"/>
          <w:szCs w:val="24"/>
          <w:highlight w:val="none"/>
        </w:rPr>
        <w:t>驱动器具有自动检测和报警功能，电源部分带过载保护功能</w:t>
      </w:r>
    </w:p>
    <w:p>
      <w:pPr>
        <w:rPr>
          <w:rFonts w:ascii="宋体" w:hAnsi="宋体" w:cs="宋体"/>
          <w:color w:val="000000"/>
          <w:szCs w:val="24"/>
          <w:highlight w:val="none"/>
        </w:rPr>
      </w:pPr>
      <w:r>
        <w:rPr>
          <w:rFonts w:hint="eastAsia" w:ascii="宋体" w:hAnsi="宋体" w:cs="宋体"/>
          <w:color w:val="000000"/>
          <w:szCs w:val="24"/>
          <w:highlight w:val="none"/>
        </w:rPr>
        <w:t>（22）</w:t>
      </w:r>
      <w:r>
        <w:rPr>
          <w:rFonts w:hint="eastAsia" w:ascii="宋体" w:hAnsi="宋体" w:cs="宋体"/>
          <w:color w:val="000000"/>
          <w:szCs w:val="24"/>
          <w:highlight w:val="none"/>
        </w:rPr>
        <w:tab/>
      </w:r>
      <w:r>
        <w:rPr>
          <w:rFonts w:hint="eastAsia" w:ascii="宋体" w:hAnsi="宋体" w:cs="宋体"/>
          <w:color w:val="000000"/>
          <w:szCs w:val="24"/>
          <w:highlight w:val="none"/>
        </w:rPr>
        <w:t>电动执行机构的防护等级：IP54及以上</w:t>
      </w:r>
    </w:p>
    <w:p>
      <w:pPr>
        <w:rPr>
          <w:rFonts w:ascii="宋体" w:hAnsi="宋体" w:cs="宋体"/>
          <w:color w:val="000000"/>
          <w:szCs w:val="24"/>
          <w:highlight w:val="none"/>
        </w:rPr>
      </w:pPr>
      <w:r>
        <w:rPr>
          <w:rFonts w:hint="eastAsia" w:ascii="宋体" w:hAnsi="宋体" w:cs="宋体"/>
          <w:color w:val="000000"/>
          <w:szCs w:val="24"/>
          <w:highlight w:val="none"/>
        </w:rPr>
        <w:t>（23）</w:t>
      </w:r>
      <w:r>
        <w:rPr>
          <w:rFonts w:hint="eastAsia" w:ascii="宋体" w:hAnsi="宋体" w:cs="宋体"/>
          <w:color w:val="000000"/>
          <w:szCs w:val="24"/>
          <w:highlight w:val="none"/>
        </w:rPr>
        <w:tab/>
      </w:r>
      <w:r>
        <w:rPr>
          <w:rFonts w:hint="eastAsia" w:ascii="宋体" w:hAnsi="宋体" w:cs="宋体"/>
          <w:color w:val="000000"/>
          <w:szCs w:val="24"/>
          <w:highlight w:val="none"/>
        </w:rPr>
        <w:t>驱动器采用数字化控制电路</w:t>
      </w:r>
    </w:p>
    <w:p>
      <w:pPr>
        <w:rPr>
          <w:rFonts w:ascii="宋体" w:hAnsi="宋体" w:cs="宋体"/>
          <w:color w:val="000000"/>
          <w:szCs w:val="24"/>
          <w:highlight w:val="none"/>
        </w:rPr>
      </w:pPr>
      <w:r>
        <w:rPr>
          <w:rFonts w:hint="eastAsia" w:ascii="宋体" w:hAnsi="宋体" w:cs="宋体"/>
          <w:color w:val="000000"/>
          <w:szCs w:val="24"/>
          <w:highlight w:val="none"/>
        </w:rPr>
        <w:t>（24）</w:t>
      </w:r>
      <w:r>
        <w:rPr>
          <w:rFonts w:hint="eastAsia" w:ascii="宋体" w:hAnsi="宋体" w:cs="宋体"/>
          <w:color w:val="000000"/>
          <w:szCs w:val="24"/>
          <w:highlight w:val="none"/>
        </w:rPr>
        <w:tab/>
      </w:r>
      <w:r>
        <w:rPr>
          <w:rFonts w:hint="eastAsia" w:ascii="宋体" w:hAnsi="宋体" w:cs="宋体"/>
          <w:color w:val="000000"/>
          <w:szCs w:val="24"/>
          <w:highlight w:val="none"/>
        </w:rPr>
        <w:t>全行程启闭时间≤120秒</w:t>
      </w:r>
    </w:p>
    <w:p>
      <w:pPr>
        <w:rPr>
          <w:rFonts w:ascii="宋体" w:hAnsi="宋体" w:cs="宋体"/>
          <w:color w:val="000000"/>
          <w:szCs w:val="24"/>
          <w:highlight w:val="none"/>
        </w:rPr>
      </w:pPr>
    </w:p>
    <w:p>
      <w:pPr>
        <w:rPr>
          <w:rFonts w:ascii="宋体" w:hAnsi="宋体" w:cs="宋体"/>
          <w:color w:val="000000"/>
          <w:szCs w:val="24"/>
          <w:highlight w:val="none"/>
        </w:rPr>
      </w:pPr>
      <w:r>
        <w:rPr>
          <w:rFonts w:hint="eastAsia" w:ascii="宋体" w:hAnsi="宋体" w:cs="宋体"/>
          <w:color w:val="000000"/>
          <w:szCs w:val="24"/>
          <w:highlight w:val="none"/>
        </w:rPr>
        <w:t>2.9 电动二通调节球阀</w:t>
      </w:r>
    </w:p>
    <w:p>
      <w:pPr>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rPr>
        <w:tab/>
      </w:r>
      <w:r>
        <w:rPr>
          <w:rFonts w:hint="eastAsia" w:ascii="宋体" w:hAnsi="宋体" w:cs="宋体"/>
          <w:color w:val="000000"/>
          <w:szCs w:val="24"/>
          <w:highlight w:val="none"/>
        </w:rPr>
        <w:t>功能：电动等百分比调节阀需具有智能比例调节型和浮点型可供选择，采用角行程调节驱动方式，采用调节球阀。；</w:t>
      </w:r>
    </w:p>
    <w:p>
      <w:pPr>
        <w:rPr>
          <w:rFonts w:ascii="宋体" w:hAnsi="宋体" w:cs="宋体"/>
          <w:color w:val="000000"/>
          <w:szCs w:val="24"/>
          <w:highlight w:val="none"/>
        </w:rPr>
      </w:pPr>
      <w:r>
        <w:rPr>
          <w:rFonts w:hint="eastAsia" w:ascii="宋体" w:hAnsi="宋体" w:cs="宋体"/>
          <w:color w:val="000000"/>
          <w:szCs w:val="24"/>
          <w:highlight w:val="none"/>
        </w:rPr>
        <w:t>（2）</w:t>
      </w:r>
      <w:r>
        <w:rPr>
          <w:rFonts w:hint="eastAsia" w:ascii="宋体" w:hAnsi="宋体" w:cs="宋体"/>
          <w:color w:val="000000"/>
          <w:szCs w:val="24"/>
          <w:highlight w:val="none"/>
        </w:rPr>
        <w:tab/>
      </w:r>
      <w:r>
        <w:rPr>
          <w:rFonts w:hint="eastAsia" w:ascii="宋体" w:hAnsi="宋体" w:cs="宋体"/>
          <w:color w:val="000000"/>
          <w:szCs w:val="24"/>
          <w:highlight w:val="none"/>
        </w:rPr>
        <w:t>适用介质：水。</w:t>
      </w:r>
    </w:p>
    <w:p>
      <w:pPr>
        <w:rPr>
          <w:rFonts w:ascii="宋体" w:hAnsi="宋体" w:cs="宋体"/>
          <w:color w:val="000000"/>
          <w:szCs w:val="24"/>
          <w:highlight w:val="none"/>
        </w:rPr>
      </w:pPr>
      <w:r>
        <w:rPr>
          <w:rFonts w:hint="eastAsia" w:ascii="宋体" w:hAnsi="宋体" w:cs="宋体"/>
          <w:color w:val="000000"/>
          <w:szCs w:val="24"/>
          <w:highlight w:val="none"/>
        </w:rPr>
        <w:t>（3）</w:t>
      </w:r>
      <w:r>
        <w:rPr>
          <w:rFonts w:hint="eastAsia" w:ascii="宋体" w:hAnsi="宋体" w:cs="宋体"/>
          <w:color w:val="000000"/>
          <w:szCs w:val="24"/>
          <w:highlight w:val="none"/>
        </w:rPr>
        <w:tab/>
      </w:r>
      <w:r>
        <w:rPr>
          <w:rFonts w:hint="eastAsia" w:ascii="宋体" w:hAnsi="宋体" w:cs="宋体"/>
          <w:color w:val="000000"/>
          <w:szCs w:val="24"/>
          <w:highlight w:val="none"/>
        </w:rPr>
        <w:t>工作温度范围为0℃～80℃</w:t>
      </w:r>
    </w:p>
    <w:p>
      <w:pPr>
        <w:rPr>
          <w:rFonts w:ascii="宋体" w:hAnsi="宋体" w:cs="宋体"/>
          <w:color w:val="000000"/>
          <w:szCs w:val="24"/>
          <w:highlight w:val="none"/>
        </w:rPr>
      </w:pPr>
      <w:r>
        <w:rPr>
          <w:rFonts w:hint="eastAsia" w:ascii="宋体" w:hAnsi="宋体" w:cs="宋体"/>
          <w:color w:val="000000"/>
          <w:szCs w:val="24"/>
          <w:highlight w:val="none"/>
        </w:rPr>
        <w:t>（4）</w:t>
      </w:r>
      <w:r>
        <w:rPr>
          <w:rFonts w:hint="eastAsia" w:ascii="宋体" w:hAnsi="宋体" w:cs="宋体"/>
          <w:color w:val="000000"/>
          <w:szCs w:val="24"/>
          <w:highlight w:val="none"/>
        </w:rPr>
        <w:tab/>
      </w:r>
      <w:r>
        <w:rPr>
          <w:rFonts w:hint="eastAsia" w:ascii="宋体" w:hAnsi="宋体" w:cs="宋体"/>
          <w:color w:val="000000"/>
          <w:szCs w:val="24"/>
          <w:highlight w:val="none"/>
        </w:rPr>
        <w:t>设计标准：JB/:10674-2006</w:t>
      </w:r>
    </w:p>
    <w:p>
      <w:pPr>
        <w:rPr>
          <w:rFonts w:ascii="宋体" w:hAnsi="宋体" w:cs="宋体"/>
          <w:color w:val="000000"/>
          <w:szCs w:val="24"/>
          <w:highlight w:val="none"/>
        </w:rPr>
      </w:pPr>
      <w:r>
        <w:rPr>
          <w:rFonts w:hint="eastAsia" w:ascii="宋体" w:hAnsi="宋体" w:cs="宋体"/>
          <w:color w:val="000000"/>
          <w:szCs w:val="24"/>
          <w:highlight w:val="none"/>
        </w:rPr>
        <w:t>（5）</w:t>
      </w:r>
      <w:r>
        <w:rPr>
          <w:rFonts w:hint="eastAsia" w:ascii="宋体" w:hAnsi="宋体" w:cs="宋体"/>
          <w:color w:val="000000"/>
          <w:szCs w:val="24"/>
          <w:highlight w:val="none"/>
        </w:rPr>
        <w:tab/>
      </w:r>
      <w:r>
        <w:rPr>
          <w:rFonts w:hint="eastAsia" w:ascii="宋体" w:hAnsi="宋体" w:cs="宋体"/>
          <w:color w:val="000000"/>
          <w:szCs w:val="24"/>
          <w:highlight w:val="none"/>
        </w:rPr>
        <w:t>测试标准：GB/T13927-2008</w:t>
      </w:r>
    </w:p>
    <w:p>
      <w:pPr>
        <w:rPr>
          <w:rFonts w:ascii="宋体" w:hAnsi="宋体" w:cs="宋体"/>
          <w:color w:val="000000"/>
          <w:szCs w:val="24"/>
          <w:highlight w:val="none"/>
        </w:rPr>
      </w:pPr>
      <w:r>
        <w:rPr>
          <w:rFonts w:hint="eastAsia" w:ascii="宋体" w:hAnsi="宋体" w:cs="宋体"/>
          <w:color w:val="000000"/>
          <w:szCs w:val="24"/>
          <w:highlight w:val="none"/>
        </w:rPr>
        <w:t>（6）</w:t>
      </w:r>
      <w:r>
        <w:rPr>
          <w:rFonts w:hint="eastAsia" w:ascii="宋体" w:hAnsi="宋体" w:cs="宋体"/>
          <w:color w:val="000000"/>
          <w:szCs w:val="24"/>
          <w:highlight w:val="none"/>
        </w:rPr>
        <w:tab/>
      </w:r>
      <w:r>
        <w:rPr>
          <w:rFonts w:hint="eastAsia" w:ascii="宋体" w:hAnsi="宋体" w:cs="宋体"/>
          <w:color w:val="000000"/>
          <w:szCs w:val="24"/>
          <w:highlight w:val="none"/>
        </w:rPr>
        <w:t>调节精度：±10%</w:t>
      </w:r>
    </w:p>
    <w:p>
      <w:pPr>
        <w:rPr>
          <w:rFonts w:ascii="宋体" w:hAnsi="宋体" w:cs="宋体"/>
          <w:color w:val="000000"/>
          <w:szCs w:val="24"/>
          <w:highlight w:val="none"/>
        </w:rPr>
      </w:pPr>
      <w:r>
        <w:rPr>
          <w:rFonts w:hint="eastAsia" w:ascii="宋体" w:hAnsi="宋体" w:cs="宋体"/>
          <w:color w:val="000000"/>
          <w:szCs w:val="24"/>
          <w:highlight w:val="none"/>
        </w:rPr>
        <w:t>（7）</w:t>
      </w:r>
      <w:r>
        <w:rPr>
          <w:rFonts w:hint="eastAsia" w:ascii="宋体" w:hAnsi="宋体" w:cs="宋体"/>
          <w:color w:val="000000"/>
          <w:szCs w:val="24"/>
          <w:highlight w:val="none"/>
        </w:rPr>
        <w:tab/>
      </w:r>
      <w:r>
        <w:rPr>
          <w:rFonts w:hint="eastAsia" w:ascii="宋体" w:hAnsi="宋体" w:cs="宋体"/>
          <w:color w:val="000000"/>
          <w:szCs w:val="24"/>
          <w:highlight w:val="none"/>
        </w:rPr>
        <w:t>响应时间：5s</w:t>
      </w:r>
    </w:p>
    <w:p>
      <w:pPr>
        <w:rPr>
          <w:rFonts w:ascii="宋体" w:hAnsi="宋体" w:cs="宋体"/>
          <w:color w:val="000000"/>
          <w:szCs w:val="24"/>
          <w:highlight w:val="none"/>
        </w:rPr>
      </w:pPr>
      <w:r>
        <w:rPr>
          <w:rFonts w:hint="eastAsia" w:ascii="宋体" w:hAnsi="宋体" w:cs="宋体"/>
          <w:color w:val="000000"/>
          <w:szCs w:val="24"/>
          <w:highlight w:val="none"/>
        </w:rPr>
        <w:t>（8）</w:t>
      </w:r>
      <w:r>
        <w:rPr>
          <w:rFonts w:hint="eastAsia" w:ascii="宋体" w:hAnsi="宋体" w:cs="宋体"/>
          <w:color w:val="000000"/>
          <w:szCs w:val="24"/>
          <w:highlight w:val="none"/>
        </w:rPr>
        <w:tab/>
      </w:r>
      <w:r>
        <w:rPr>
          <w:rFonts w:hint="eastAsia" w:ascii="宋体" w:hAnsi="宋体" w:cs="宋体"/>
          <w:color w:val="000000"/>
          <w:szCs w:val="24"/>
          <w:highlight w:val="none"/>
        </w:rPr>
        <w:t>关闭泄漏率：≤0.01% Kvs值，可控比Sv ≥100</w:t>
      </w:r>
    </w:p>
    <w:p>
      <w:pPr>
        <w:rPr>
          <w:rFonts w:ascii="宋体" w:hAnsi="宋体" w:cs="宋体"/>
          <w:color w:val="000000"/>
          <w:szCs w:val="24"/>
          <w:highlight w:val="none"/>
        </w:rPr>
      </w:pPr>
      <w:r>
        <w:rPr>
          <w:rFonts w:hint="eastAsia" w:ascii="宋体" w:hAnsi="宋体" w:cs="宋体"/>
          <w:color w:val="000000"/>
          <w:szCs w:val="24"/>
          <w:highlight w:val="none"/>
        </w:rPr>
        <w:t>（9）</w:t>
      </w:r>
      <w:r>
        <w:rPr>
          <w:rFonts w:hint="eastAsia" w:ascii="宋体" w:hAnsi="宋体" w:cs="宋体"/>
          <w:color w:val="000000"/>
          <w:szCs w:val="24"/>
          <w:highlight w:val="none"/>
        </w:rPr>
        <w:tab/>
      </w:r>
      <w:r>
        <w:rPr>
          <w:rFonts w:hint="eastAsia" w:ascii="宋体" w:hAnsi="宋体" w:cs="宋体"/>
          <w:color w:val="000000"/>
          <w:szCs w:val="24"/>
          <w:highlight w:val="none"/>
        </w:rPr>
        <w:t>关闭压力：≧0.4MPa</w:t>
      </w:r>
    </w:p>
    <w:p>
      <w:pPr>
        <w:rPr>
          <w:rFonts w:ascii="宋体" w:hAnsi="宋体" w:cs="宋体"/>
          <w:color w:val="000000"/>
          <w:szCs w:val="24"/>
          <w:highlight w:val="none"/>
        </w:rPr>
      </w:pPr>
      <w:r>
        <w:rPr>
          <w:rFonts w:hint="eastAsia" w:ascii="宋体" w:hAnsi="宋体" w:cs="宋体"/>
          <w:color w:val="000000"/>
          <w:szCs w:val="24"/>
          <w:highlight w:val="none"/>
        </w:rPr>
        <w:t>（10）</w:t>
      </w:r>
      <w:r>
        <w:rPr>
          <w:rFonts w:hint="eastAsia" w:ascii="宋体" w:hAnsi="宋体" w:cs="宋体"/>
          <w:color w:val="000000"/>
          <w:szCs w:val="24"/>
          <w:highlight w:val="none"/>
        </w:rPr>
        <w:tab/>
      </w:r>
      <w:r>
        <w:rPr>
          <w:rFonts w:hint="eastAsia" w:ascii="宋体" w:hAnsi="宋体" w:cs="宋体"/>
          <w:color w:val="000000"/>
          <w:szCs w:val="24"/>
          <w:highlight w:val="none"/>
        </w:rPr>
        <w:t>电动比例调节阀具有智能比例调节型和浮点型可供选择，可实现等百分比流量控制特性，流量调节特性曲线应为等百分比特性曲线，须提供第三方权威机构出具的检测报告。</w:t>
      </w:r>
    </w:p>
    <w:p>
      <w:pPr>
        <w:rPr>
          <w:rFonts w:ascii="宋体" w:hAnsi="宋体" w:cs="宋体"/>
          <w:color w:val="000000"/>
          <w:szCs w:val="24"/>
          <w:highlight w:val="none"/>
        </w:rPr>
      </w:pPr>
      <w:r>
        <w:rPr>
          <w:rFonts w:hint="eastAsia" w:ascii="宋体" w:hAnsi="宋体" w:cs="宋体"/>
          <w:color w:val="000000"/>
          <w:szCs w:val="24"/>
          <w:highlight w:val="none"/>
        </w:rPr>
        <w:t>（11）</w:t>
      </w:r>
      <w:r>
        <w:rPr>
          <w:rFonts w:hint="eastAsia" w:ascii="宋体" w:hAnsi="宋体" w:cs="宋体"/>
          <w:color w:val="000000"/>
          <w:szCs w:val="24"/>
          <w:highlight w:val="none"/>
        </w:rPr>
        <w:tab/>
      </w:r>
      <w:r>
        <w:rPr>
          <w:rFonts w:hint="eastAsia" w:ascii="宋体" w:hAnsi="宋体" w:cs="宋体"/>
          <w:color w:val="000000"/>
          <w:szCs w:val="24"/>
          <w:highlight w:val="none"/>
        </w:rPr>
        <w:t>为确保调节精度，阀蕊采用带导流槽设计。</w:t>
      </w:r>
    </w:p>
    <w:p>
      <w:pPr>
        <w:rPr>
          <w:rFonts w:ascii="宋体" w:hAnsi="宋体" w:cs="宋体"/>
          <w:color w:val="000000"/>
          <w:szCs w:val="24"/>
          <w:highlight w:val="none"/>
        </w:rPr>
      </w:pPr>
      <w:r>
        <w:rPr>
          <w:rFonts w:hint="eastAsia" w:ascii="宋体" w:hAnsi="宋体" w:cs="宋体"/>
          <w:color w:val="000000"/>
          <w:szCs w:val="24"/>
          <w:highlight w:val="none"/>
        </w:rPr>
        <w:t>（12）</w:t>
      </w:r>
      <w:r>
        <w:rPr>
          <w:rFonts w:hint="eastAsia" w:ascii="宋体" w:hAnsi="宋体" w:cs="宋体"/>
          <w:color w:val="000000"/>
          <w:szCs w:val="24"/>
          <w:highlight w:val="none"/>
        </w:rPr>
        <w:tab/>
      </w:r>
      <w:r>
        <w:rPr>
          <w:rFonts w:hint="eastAsia" w:ascii="宋体" w:hAnsi="宋体" w:cs="宋体"/>
          <w:color w:val="000000"/>
          <w:szCs w:val="24"/>
          <w:highlight w:val="none"/>
        </w:rPr>
        <w:t>阀体材料：≤DN50选用黄铜;≥DN65选用球墨铸铁</w:t>
      </w:r>
    </w:p>
    <w:p>
      <w:pPr>
        <w:rPr>
          <w:rFonts w:ascii="宋体" w:hAnsi="宋体" w:cs="宋体"/>
          <w:color w:val="000000"/>
          <w:szCs w:val="24"/>
          <w:highlight w:val="none"/>
        </w:rPr>
      </w:pPr>
      <w:r>
        <w:rPr>
          <w:rFonts w:hint="eastAsia" w:ascii="宋体" w:hAnsi="宋体" w:cs="宋体"/>
          <w:color w:val="000000"/>
          <w:szCs w:val="24"/>
          <w:highlight w:val="none"/>
        </w:rPr>
        <w:t>（13）</w:t>
      </w:r>
      <w:r>
        <w:rPr>
          <w:rFonts w:hint="eastAsia" w:ascii="宋体" w:hAnsi="宋体" w:cs="宋体"/>
          <w:color w:val="000000"/>
          <w:szCs w:val="24"/>
          <w:highlight w:val="none"/>
        </w:rPr>
        <w:tab/>
      </w:r>
      <w:r>
        <w:rPr>
          <w:rFonts w:hint="eastAsia" w:ascii="宋体" w:hAnsi="宋体" w:cs="宋体"/>
          <w:color w:val="000000"/>
          <w:szCs w:val="24"/>
          <w:highlight w:val="none"/>
        </w:rPr>
        <w:t>阀芯材料：黄铜、不锈钢</w:t>
      </w:r>
    </w:p>
    <w:p>
      <w:pPr>
        <w:rPr>
          <w:rFonts w:ascii="宋体" w:hAnsi="宋体" w:cs="宋体"/>
          <w:color w:val="000000"/>
          <w:szCs w:val="24"/>
          <w:highlight w:val="none"/>
        </w:rPr>
      </w:pPr>
      <w:r>
        <w:rPr>
          <w:rFonts w:hint="eastAsia" w:ascii="宋体" w:hAnsi="宋体" w:cs="宋体"/>
          <w:color w:val="000000"/>
          <w:szCs w:val="24"/>
          <w:highlight w:val="none"/>
        </w:rPr>
        <w:t>（14）</w:t>
      </w:r>
      <w:r>
        <w:rPr>
          <w:rFonts w:hint="eastAsia" w:ascii="宋体" w:hAnsi="宋体" w:cs="宋体"/>
          <w:color w:val="000000"/>
          <w:szCs w:val="24"/>
          <w:highlight w:val="none"/>
        </w:rPr>
        <w:tab/>
      </w:r>
      <w:r>
        <w:rPr>
          <w:rFonts w:hint="eastAsia" w:ascii="宋体" w:hAnsi="宋体" w:cs="宋体"/>
          <w:color w:val="000000"/>
          <w:szCs w:val="24"/>
          <w:highlight w:val="none"/>
        </w:rPr>
        <w:t>密封材料：EPDM（三元乙丙橡胶）</w:t>
      </w:r>
    </w:p>
    <w:p>
      <w:pPr>
        <w:rPr>
          <w:rFonts w:ascii="宋体" w:hAnsi="宋体" w:cs="宋体"/>
          <w:color w:val="000000"/>
          <w:szCs w:val="24"/>
          <w:highlight w:val="none"/>
        </w:rPr>
      </w:pPr>
      <w:r>
        <w:rPr>
          <w:rFonts w:hint="eastAsia" w:ascii="宋体" w:hAnsi="宋体" w:cs="宋体"/>
          <w:color w:val="000000"/>
          <w:szCs w:val="24"/>
          <w:highlight w:val="none"/>
        </w:rPr>
        <w:t>（15）</w:t>
      </w:r>
      <w:r>
        <w:rPr>
          <w:rFonts w:hint="eastAsia" w:ascii="宋体" w:hAnsi="宋体" w:cs="宋体"/>
          <w:color w:val="000000"/>
          <w:szCs w:val="24"/>
          <w:highlight w:val="none"/>
        </w:rPr>
        <w:tab/>
      </w:r>
      <w:r>
        <w:rPr>
          <w:rFonts w:hint="eastAsia" w:ascii="宋体" w:hAnsi="宋体" w:cs="宋体"/>
          <w:color w:val="000000"/>
          <w:szCs w:val="24"/>
          <w:highlight w:val="none"/>
        </w:rPr>
        <w:t>阀门电动驱动器部分技术要求：</w:t>
      </w:r>
    </w:p>
    <w:p>
      <w:pPr>
        <w:rPr>
          <w:rFonts w:ascii="宋体" w:hAnsi="宋体" w:cs="宋体"/>
          <w:color w:val="000000"/>
          <w:szCs w:val="24"/>
          <w:highlight w:val="none"/>
        </w:rPr>
      </w:pPr>
      <w:r>
        <w:rPr>
          <w:rFonts w:hint="eastAsia" w:ascii="宋体" w:hAnsi="宋体" w:cs="宋体"/>
          <w:color w:val="000000"/>
          <w:szCs w:val="24"/>
          <w:highlight w:val="none"/>
        </w:rPr>
        <w:t>（16）</w:t>
      </w:r>
      <w:r>
        <w:rPr>
          <w:rFonts w:hint="eastAsia" w:ascii="宋体" w:hAnsi="宋体" w:cs="宋体"/>
          <w:color w:val="000000"/>
          <w:szCs w:val="24"/>
          <w:highlight w:val="none"/>
        </w:rPr>
        <w:tab/>
      </w:r>
      <w:r>
        <w:rPr>
          <w:rFonts w:hint="eastAsia" w:ascii="宋体" w:hAnsi="宋体" w:cs="宋体"/>
          <w:color w:val="000000"/>
          <w:szCs w:val="24"/>
          <w:highlight w:val="none"/>
        </w:rPr>
        <w:t>电动驱动器要具有比例积分调节特性，带有阀位显示；</w:t>
      </w:r>
    </w:p>
    <w:p>
      <w:pPr>
        <w:rPr>
          <w:rFonts w:ascii="宋体" w:hAnsi="宋体" w:cs="宋体"/>
          <w:color w:val="000000"/>
          <w:szCs w:val="24"/>
          <w:highlight w:val="none"/>
        </w:rPr>
      </w:pPr>
      <w:r>
        <w:rPr>
          <w:rFonts w:hint="eastAsia" w:ascii="宋体" w:hAnsi="宋体" w:cs="宋体"/>
          <w:color w:val="000000"/>
          <w:szCs w:val="24"/>
          <w:highlight w:val="none"/>
        </w:rPr>
        <w:t>（17）</w:t>
      </w:r>
      <w:r>
        <w:rPr>
          <w:rFonts w:hint="eastAsia" w:ascii="宋体" w:hAnsi="宋体" w:cs="宋体"/>
          <w:color w:val="000000"/>
          <w:szCs w:val="24"/>
          <w:highlight w:val="none"/>
        </w:rPr>
        <w:tab/>
      </w:r>
      <w:r>
        <w:rPr>
          <w:rFonts w:hint="eastAsia" w:ascii="宋体" w:hAnsi="宋体" w:cs="宋体"/>
          <w:color w:val="000000"/>
          <w:szCs w:val="24"/>
          <w:highlight w:val="none"/>
        </w:rPr>
        <w:t>驱动器提供手动调节设备和手轮，允许在断电时手动操作</w:t>
      </w:r>
    </w:p>
    <w:p>
      <w:pPr>
        <w:rPr>
          <w:rFonts w:ascii="宋体" w:hAnsi="宋体" w:cs="宋体"/>
          <w:color w:val="000000"/>
          <w:szCs w:val="24"/>
          <w:highlight w:val="none"/>
        </w:rPr>
      </w:pPr>
      <w:r>
        <w:rPr>
          <w:rFonts w:hint="eastAsia" w:ascii="宋体" w:hAnsi="宋体" w:cs="宋体"/>
          <w:color w:val="000000"/>
          <w:szCs w:val="24"/>
          <w:highlight w:val="none"/>
        </w:rPr>
        <w:t>（18）</w:t>
      </w:r>
      <w:r>
        <w:rPr>
          <w:rFonts w:hint="eastAsia" w:ascii="宋体" w:hAnsi="宋体" w:cs="宋体"/>
          <w:color w:val="000000"/>
          <w:szCs w:val="24"/>
          <w:highlight w:val="none"/>
        </w:rPr>
        <w:tab/>
      </w:r>
      <w:r>
        <w:rPr>
          <w:rFonts w:hint="eastAsia" w:ascii="宋体" w:hAnsi="宋体" w:cs="宋体"/>
          <w:color w:val="000000"/>
          <w:szCs w:val="24"/>
          <w:highlight w:val="none"/>
        </w:rPr>
        <w:t>阀门应具备与BA控制系统通讯接口，电源输入为：24VAC，输入信号为：0～10V或4～20mA，阀位反馈信号：0～10V或4～20mA</w:t>
      </w:r>
    </w:p>
    <w:p>
      <w:pPr>
        <w:rPr>
          <w:rFonts w:ascii="宋体" w:hAnsi="宋体" w:cs="宋体"/>
          <w:color w:val="000000"/>
          <w:szCs w:val="24"/>
          <w:highlight w:val="none"/>
        </w:rPr>
      </w:pPr>
      <w:r>
        <w:rPr>
          <w:rFonts w:hint="eastAsia" w:ascii="宋体" w:hAnsi="宋体" w:cs="宋体"/>
          <w:color w:val="000000"/>
          <w:szCs w:val="24"/>
          <w:highlight w:val="none"/>
        </w:rPr>
        <w:t>（19）</w:t>
      </w:r>
      <w:r>
        <w:rPr>
          <w:rFonts w:hint="eastAsia" w:ascii="宋体" w:hAnsi="宋体" w:cs="宋体"/>
          <w:color w:val="000000"/>
          <w:szCs w:val="24"/>
          <w:highlight w:val="none"/>
        </w:rPr>
        <w:tab/>
      </w:r>
      <w:r>
        <w:rPr>
          <w:rFonts w:hint="eastAsia" w:ascii="宋体" w:hAnsi="宋体" w:cs="宋体"/>
          <w:color w:val="000000"/>
          <w:szCs w:val="24"/>
          <w:highlight w:val="none"/>
        </w:rPr>
        <w:t>驱动器具有自适应功能，适应阀体不同阀杆长度模式</w:t>
      </w:r>
    </w:p>
    <w:p>
      <w:pPr>
        <w:rPr>
          <w:rFonts w:ascii="宋体" w:hAnsi="宋体" w:cs="宋体"/>
          <w:color w:val="000000"/>
          <w:szCs w:val="24"/>
          <w:highlight w:val="none"/>
        </w:rPr>
      </w:pPr>
      <w:r>
        <w:rPr>
          <w:rFonts w:hint="eastAsia" w:ascii="宋体" w:hAnsi="宋体" w:cs="宋体"/>
          <w:color w:val="000000"/>
          <w:szCs w:val="24"/>
          <w:highlight w:val="none"/>
        </w:rPr>
        <w:t>（20）</w:t>
      </w:r>
      <w:r>
        <w:rPr>
          <w:rFonts w:hint="eastAsia" w:ascii="宋体" w:hAnsi="宋体" w:cs="宋体"/>
          <w:color w:val="000000"/>
          <w:szCs w:val="24"/>
          <w:highlight w:val="none"/>
        </w:rPr>
        <w:tab/>
      </w:r>
      <w:r>
        <w:rPr>
          <w:rFonts w:hint="eastAsia" w:ascii="宋体" w:hAnsi="宋体" w:cs="宋体"/>
          <w:color w:val="000000"/>
          <w:szCs w:val="24"/>
          <w:highlight w:val="none"/>
        </w:rPr>
        <w:t>驱动器具有自动检测和报警功能，电源部分带过载保护功能</w:t>
      </w:r>
    </w:p>
    <w:p>
      <w:pPr>
        <w:rPr>
          <w:rFonts w:ascii="宋体" w:hAnsi="宋体" w:cs="宋体"/>
          <w:color w:val="000000"/>
          <w:szCs w:val="24"/>
          <w:highlight w:val="none"/>
        </w:rPr>
      </w:pPr>
      <w:r>
        <w:rPr>
          <w:rFonts w:hint="eastAsia" w:ascii="宋体" w:hAnsi="宋体" w:cs="宋体"/>
          <w:color w:val="000000"/>
          <w:szCs w:val="24"/>
          <w:highlight w:val="none"/>
        </w:rPr>
        <w:t>（21）</w:t>
      </w:r>
      <w:r>
        <w:rPr>
          <w:rFonts w:hint="eastAsia" w:ascii="宋体" w:hAnsi="宋体" w:cs="宋体"/>
          <w:color w:val="000000"/>
          <w:szCs w:val="24"/>
          <w:highlight w:val="none"/>
        </w:rPr>
        <w:tab/>
      </w:r>
      <w:r>
        <w:rPr>
          <w:rFonts w:hint="eastAsia" w:ascii="宋体" w:hAnsi="宋体" w:cs="宋体"/>
          <w:color w:val="000000"/>
          <w:szCs w:val="24"/>
          <w:highlight w:val="none"/>
        </w:rPr>
        <w:t>电动执行机构的防护等级：IP54及以上</w:t>
      </w:r>
    </w:p>
    <w:p>
      <w:pPr>
        <w:rPr>
          <w:rFonts w:ascii="宋体" w:hAnsi="宋体" w:cs="宋体"/>
          <w:color w:val="000000"/>
          <w:szCs w:val="24"/>
          <w:highlight w:val="none"/>
        </w:rPr>
      </w:pPr>
      <w:r>
        <w:rPr>
          <w:rFonts w:hint="eastAsia" w:ascii="宋体" w:hAnsi="宋体" w:cs="宋体"/>
          <w:color w:val="000000"/>
          <w:szCs w:val="24"/>
          <w:highlight w:val="none"/>
        </w:rPr>
        <w:t>（22）</w:t>
      </w:r>
      <w:r>
        <w:rPr>
          <w:rFonts w:hint="eastAsia" w:ascii="宋体" w:hAnsi="宋体" w:cs="宋体"/>
          <w:color w:val="000000"/>
          <w:szCs w:val="24"/>
          <w:highlight w:val="none"/>
        </w:rPr>
        <w:tab/>
      </w:r>
      <w:r>
        <w:rPr>
          <w:rFonts w:hint="eastAsia" w:ascii="宋体" w:hAnsi="宋体" w:cs="宋体"/>
          <w:color w:val="000000"/>
          <w:szCs w:val="24"/>
          <w:highlight w:val="none"/>
        </w:rPr>
        <w:t>驱动器采用数字化控制电路</w:t>
      </w:r>
    </w:p>
    <w:p>
      <w:pPr>
        <w:rPr>
          <w:rFonts w:ascii="宋体" w:hAnsi="宋体" w:cs="宋体"/>
          <w:color w:val="000000"/>
          <w:szCs w:val="24"/>
          <w:highlight w:val="none"/>
        </w:rPr>
      </w:pPr>
      <w:r>
        <w:rPr>
          <w:rFonts w:hint="eastAsia" w:ascii="宋体" w:hAnsi="宋体" w:cs="宋体"/>
          <w:color w:val="000000"/>
          <w:szCs w:val="24"/>
          <w:highlight w:val="none"/>
        </w:rPr>
        <w:t>（23）</w:t>
      </w:r>
      <w:r>
        <w:rPr>
          <w:rFonts w:hint="eastAsia" w:ascii="宋体" w:hAnsi="宋体" w:cs="宋体"/>
          <w:color w:val="000000"/>
          <w:szCs w:val="24"/>
          <w:highlight w:val="none"/>
        </w:rPr>
        <w:tab/>
      </w:r>
      <w:r>
        <w:rPr>
          <w:rFonts w:hint="eastAsia" w:ascii="宋体" w:hAnsi="宋体" w:cs="宋体"/>
          <w:color w:val="000000"/>
          <w:szCs w:val="24"/>
          <w:highlight w:val="none"/>
        </w:rPr>
        <w:t>全行程启闭时间≥60秒</w:t>
      </w:r>
    </w:p>
    <w:p>
      <w:pPr>
        <w:rPr>
          <w:rFonts w:ascii="宋体" w:hAnsi="宋体" w:cs="宋体"/>
          <w:color w:val="000000"/>
          <w:szCs w:val="24"/>
          <w:highlight w:val="none"/>
        </w:rPr>
      </w:pPr>
      <w:r>
        <w:rPr>
          <w:rFonts w:hint="eastAsia" w:ascii="宋体" w:hAnsi="宋体" w:cs="宋体"/>
          <w:color w:val="000000"/>
          <w:szCs w:val="24"/>
          <w:highlight w:val="none"/>
        </w:rPr>
        <w:t>2.10 自动排气阀</w:t>
      </w:r>
    </w:p>
    <w:p>
      <w:pPr>
        <w:rPr>
          <w:rFonts w:ascii="宋体" w:hAnsi="宋体" w:cs="宋体"/>
          <w:color w:val="000000"/>
          <w:szCs w:val="24"/>
          <w:highlight w:val="none"/>
        </w:rPr>
      </w:pPr>
      <w:r>
        <w:rPr>
          <w:rFonts w:hint="eastAsia" w:ascii="宋体" w:hAnsi="宋体" w:cs="宋体"/>
          <w:color w:val="000000"/>
          <w:szCs w:val="24"/>
          <w:highlight w:val="none"/>
        </w:rPr>
        <w:t>浮波型、浮波止泄排气口配有螺纹接头，适合排水接驳。包铜钢浮波，连316号不锈钢浮针、扣丝连垫圈。可拆除铸铜外壳配有螺纹接头适合G3/4内螺纹接驳。工作温度范围为-20℃～120℃，阀体、阀盖、阀杆材质要求: 黄铜，浮子：聚丙烯，密封垫：EPDM（三元乙丙橡胶）。</w:t>
      </w:r>
    </w:p>
    <w:p>
      <w:pPr>
        <w:rPr>
          <w:rFonts w:ascii="宋体" w:hAnsi="宋体" w:cs="宋体"/>
          <w:color w:val="000000"/>
          <w:szCs w:val="24"/>
          <w:highlight w:val="none"/>
        </w:rPr>
      </w:pPr>
      <w:r>
        <w:rPr>
          <w:rFonts w:hint="eastAsia" w:ascii="宋体" w:hAnsi="宋体" w:cs="宋体"/>
          <w:color w:val="000000"/>
          <w:szCs w:val="24"/>
          <w:highlight w:val="none"/>
        </w:rPr>
        <w:t>2.11 泄水阀</w:t>
      </w:r>
    </w:p>
    <w:p>
      <w:pPr>
        <w:rPr>
          <w:rFonts w:ascii="宋体" w:hAnsi="宋体" w:cs="宋体"/>
          <w:color w:val="000000"/>
          <w:szCs w:val="24"/>
          <w:highlight w:val="none"/>
        </w:rPr>
      </w:pPr>
      <w:r>
        <w:rPr>
          <w:rFonts w:hint="eastAsia" w:ascii="宋体" w:hAnsi="宋体" w:cs="宋体"/>
          <w:color w:val="000000"/>
          <w:szCs w:val="24"/>
          <w:highlight w:val="none"/>
        </w:rPr>
        <w:t>无论在图纸上有否明确指示，承包单位需于管道系统中适当的位置提供排水阀门，以便能把各管段的水排走以进行检修工作。排水阀应为密封式，所有直径50毫米及以下的管道的排水阀门应为直径10毫米（或全铜旋塞），其它管道则用直径25毫米的排水阀，所有的排水阀并应提供软喉接口。</w:t>
      </w:r>
    </w:p>
    <w:p>
      <w:pPr>
        <w:rPr>
          <w:rFonts w:ascii="宋体" w:hAnsi="宋体" w:cs="宋体"/>
          <w:color w:val="000000"/>
          <w:szCs w:val="24"/>
          <w:highlight w:val="none"/>
        </w:rPr>
      </w:pPr>
      <w:r>
        <w:rPr>
          <w:rFonts w:hint="eastAsia" w:ascii="宋体" w:hAnsi="宋体" w:cs="宋体"/>
          <w:color w:val="000000"/>
          <w:szCs w:val="24"/>
          <w:highlight w:val="none"/>
        </w:rPr>
        <w:t>2.12 伸缩管环</w:t>
      </w:r>
    </w:p>
    <w:p>
      <w:pPr>
        <w:rPr>
          <w:sz w:val="22"/>
          <w:highlight w:val="none"/>
          <w:lang w:val="zh-TW"/>
        </w:rPr>
      </w:pPr>
      <w:r>
        <w:rPr>
          <w:rFonts w:hint="eastAsia" w:ascii="宋体" w:hAnsi="宋体" w:cs="宋体"/>
          <w:color w:val="000000"/>
          <w:szCs w:val="24"/>
          <w:highlight w:val="none"/>
        </w:rPr>
        <w:t>在允许的情况下，管道的膨胀和收缩应为U型或L型伸缩管环或利用管路的改变方向来解决。如不能采用伸缩管环来解决管网的膨胀和收缩时，则须在适当位置安装（轴向伸缩式，铰链伸缩式及多向伸缩式）波纹式管道伸缩器。</w:t>
      </w:r>
    </w:p>
    <w:p>
      <w:pPr>
        <w:keepNext/>
        <w:keepLines/>
        <w:outlineLvl w:val="2"/>
        <w:rPr>
          <w:rFonts w:ascii="宋体" w:hAnsi="宋体" w:cs="宋体"/>
          <w:b/>
          <w:bCs/>
          <w:sz w:val="28"/>
          <w:szCs w:val="32"/>
          <w:highlight w:val="none"/>
        </w:rPr>
      </w:pPr>
      <w:bookmarkStart w:id="246" w:name="_Toc31390"/>
      <w:bookmarkStart w:id="247" w:name="_Toc30676"/>
      <w:bookmarkStart w:id="248" w:name="_Toc146132804"/>
      <w:r>
        <w:rPr>
          <w:rFonts w:hint="eastAsia" w:ascii="宋体" w:hAnsi="宋体" w:cs="宋体"/>
          <w:b/>
          <w:bCs/>
          <w:sz w:val="28"/>
          <w:szCs w:val="32"/>
          <w:highlight w:val="none"/>
        </w:rPr>
        <w:t>3.6 保温材料基本要求</w:t>
      </w:r>
      <w:bookmarkEnd w:id="246"/>
      <w:bookmarkEnd w:id="247"/>
      <w:bookmarkEnd w:id="248"/>
    </w:p>
    <w:p>
      <w:pPr>
        <w:ind w:firstLine="420" w:firstLineChars="200"/>
        <w:rPr>
          <w:rFonts w:ascii="宋体" w:hAnsi="宋体" w:cs="宋体"/>
          <w:color w:val="000000"/>
          <w:szCs w:val="24"/>
          <w:highlight w:val="none"/>
        </w:rPr>
      </w:pPr>
      <w:r>
        <w:rPr>
          <w:rFonts w:hint="eastAsia" w:ascii="宋体" w:hAnsi="宋体" w:cs="宋体"/>
          <w:color w:val="000000"/>
          <w:szCs w:val="24"/>
          <w:highlight w:val="none"/>
        </w:rPr>
        <w:t>保温厚度：冷冻水管保温材料厚度不得低于如下标准：</w:t>
      </w:r>
    </w:p>
    <w:tbl>
      <w:tblPr>
        <w:tblStyle w:val="16"/>
        <w:tblW w:w="8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309"/>
        <w:gridCol w:w="1683"/>
        <w:gridCol w:w="1235"/>
        <w:gridCol w:w="1211"/>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608" w:type="dxa"/>
            <w:noWrap w:val="0"/>
            <w:vAlign w:val="top"/>
          </w:tcPr>
          <w:p>
            <w:pPr>
              <w:jc w:val="center"/>
              <w:rPr>
                <w:rFonts w:eastAsia="PMingLiU"/>
                <w:sz w:val="22"/>
                <w:highlight w:val="none"/>
                <w:lang w:eastAsia="zh-TW"/>
              </w:rPr>
            </w:pPr>
            <w:r>
              <w:rPr>
                <w:rFonts w:hint="eastAsia"/>
                <w:sz w:val="22"/>
                <w:highlight w:val="none"/>
                <w:lang w:eastAsia="zh-TW"/>
              </w:rPr>
              <w:t>公称管径</w:t>
            </w:r>
          </w:p>
          <w:p>
            <w:pPr>
              <w:jc w:val="center"/>
              <w:rPr>
                <w:sz w:val="22"/>
                <w:highlight w:val="none"/>
                <w:lang w:eastAsia="zh-TW"/>
              </w:rPr>
            </w:pPr>
            <w:r>
              <w:rPr>
                <w:rFonts w:hint="eastAsia"/>
                <w:sz w:val="22"/>
                <w:highlight w:val="none"/>
                <w:lang w:eastAsia="zh-TW"/>
              </w:rPr>
              <w:t>（</w:t>
            </w:r>
            <w:r>
              <w:rPr>
                <w:sz w:val="22"/>
                <w:highlight w:val="none"/>
                <w:lang w:eastAsia="zh-TW"/>
              </w:rPr>
              <w:t>mm</w:t>
            </w:r>
            <w:r>
              <w:rPr>
                <w:rFonts w:hint="eastAsia"/>
                <w:sz w:val="22"/>
                <w:highlight w:val="none"/>
                <w:lang w:eastAsia="zh-TW"/>
              </w:rPr>
              <w:t>）</w:t>
            </w:r>
          </w:p>
        </w:tc>
        <w:tc>
          <w:tcPr>
            <w:tcW w:w="1309" w:type="dxa"/>
            <w:noWrap w:val="0"/>
            <w:vAlign w:val="center"/>
          </w:tcPr>
          <w:p>
            <w:pPr>
              <w:rPr>
                <w:sz w:val="22"/>
                <w:highlight w:val="none"/>
                <w:lang w:eastAsia="zh-TW"/>
              </w:rPr>
            </w:pPr>
            <w:r>
              <w:rPr>
                <w:rFonts w:hint="eastAsia"/>
                <w:sz w:val="22"/>
                <w:highlight w:val="none"/>
                <w:lang w:eastAsia="zh-TW"/>
              </w:rPr>
              <w:t>≦</w:t>
            </w:r>
            <w:r>
              <w:rPr>
                <w:sz w:val="22"/>
                <w:highlight w:val="none"/>
                <w:lang w:eastAsia="zh-TW"/>
              </w:rPr>
              <w:t>DN40</w:t>
            </w:r>
          </w:p>
        </w:tc>
        <w:tc>
          <w:tcPr>
            <w:tcW w:w="1683" w:type="dxa"/>
            <w:noWrap w:val="0"/>
            <w:vAlign w:val="center"/>
          </w:tcPr>
          <w:p>
            <w:pPr>
              <w:rPr>
                <w:sz w:val="22"/>
                <w:highlight w:val="none"/>
                <w:lang w:eastAsia="zh-TW"/>
              </w:rPr>
            </w:pPr>
            <w:r>
              <w:rPr>
                <w:sz w:val="22"/>
                <w:highlight w:val="none"/>
                <w:lang w:eastAsia="zh-TW"/>
              </w:rPr>
              <w:t>DN50-DN80</w:t>
            </w:r>
          </w:p>
        </w:tc>
        <w:tc>
          <w:tcPr>
            <w:tcW w:w="1235" w:type="dxa"/>
            <w:noWrap w:val="0"/>
            <w:vAlign w:val="center"/>
          </w:tcPr>
          <w:p>
            <w:pPr>
              <w:rPr>
                <w:sz w:val="22"/>
                <w:highlight w:val="none"/>
                <w:lang w:eastAsia="zh-TW"/>
              </w:rPr>
            </w:pPr>
            <w:r>
              <w:rPr>
                <w:sz w:val="22"/>
                <w:highlight w:val="none"/>
                <w:lang w:eastAsia="zh-TW"/>
              </w:rPr>
              <w:t>DN100-DN250</w:t>
            </w:r>
          </w:p>
        </w:tc>
        <w:tc>
          <w:tcPr>
            <w:tcW w:w="1211" w:type="dxa"/>
            <w:noWrap w:val="0"/>
            <w:vAlign w:val="center"/>
          </w:tcPr>
          <w:p>
            <w:pPr>
              <w:rPr>
                <w:sz w:val="22"/>
                <w:highlight w:val="none"/>
                <w:lang w:eastAsia="zh-TW"/>
              </w:rPr>
            </w:pPr>
            <w:r>
              <w:rPr>
                <w:rFonts w:hint="eastAsia"/>
                <w:sz w:val="22"/>
                <w:highlight w:val="none"/>
                <w:lang w:eastAsia="zh-TW"/>
              </w:rPr>
              <w:t>≧</w:t>
            </w:r>
            <w:r>
              <w:rPr>
                <w:sz w:val="22"/>
                <w:highlight w:val="none"/>
                <w:lang w:eastAsia="zh-TW"/>
              </w:rPr>
              <w:t>DN250</w:t>
            </w:r>
          </w:p>
        </w:tc>
        <w:tc>
          <w:tcPr>
            <w:tcW w:w="1366" w:type="dxa"/>
            <w:noWrap w:val="0"/>
            <w:vAlign w:val="center"/>
          </w:tcPr>
          <w:p>
            <w:pPr>
              <w:rPr>
                <w:sz w:val="22"/>
                <w:highlight w:val="none"/>
                <w:lang w:eastAsia="zh-TW"/>
              </w:rPr>
            </w:pPr>
            <w:r>
              <w:rPr>
                <w:rFonts w:hint="eastAsia"/>
                <w:sz w:val="22"/>
                <w:highlight w:val="none"/>
                <w:lang w:eastAsia="zh-TW"/>
              </w:rPr>
              <w:t>冷凝水管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608" w:type="dxa"/>
            <w:noWrap w:val="0"/>
            <w:vAlign w:val="top"/>
          </w:tcPr>
          <w:p>
            <w:pPr>
              <w:jc w:val="center"/>
              <w:rPr>
                <w:rFonts w:eastAsia="PMingLiU"/>
                <w:sz w:val="22"/>
                <w:highlight w:val="none"/>
                <w:lang w:eastAsia="zh-TW"/>
              </w:rPr>
            </w:pPr>
            <w:r>
              <w:rPr>
                <w:sz w:val="22"/>
                <w:highlight w:val="none"/>
                <w:lang w:eastAsia="zh-TW"/>
              </w:rPr>
              <w:t>保温厚度</w:t>
            </w:r>
          </w:p>
          <w:p>
            <w:pPr>
              <w:jc w:val="center"/>
              <w:rPr>
                <w:rFonts w:eastAsia="PMingLiU"/>
                <w:sz w:val="22"/>
                <w:highlight w:val="none"/>
                <w:lang w:eastAsia="zh-TW"/>
              </w:rPr>
            </w:pPr>
            <w:r>
              <w:rPr>
                <w:rFonts w:hint="eastAsia"/>
                <w:sz w:val="22"/>
                <w:highlight w:val="none"/>
                <w:lang w:eastAsia="zh-TW"/>
              </w:rPr>
              <w:t>（</w:t>
            </w:r>
            <w:r>
              <w:rPr>
                <w:sz w:val="22"/>
                <w:highlight w:val="none"/>
                <w:lang w:eastAsia="zh-TW"/>
              </w:rPr>
              <w:t>mm</w:t>
            </w:r>
            <w:r>
              <w:rPr>
                <w:rFonts w:hint="eastAsia"/>
                <w:sz w:val="22"/>
                <w:highlight w:val="none"/>
                <w:lang w:eastAsia="zh-TW"/>
              </w:rPr>
              <w:t>）</w:t>
            </w:r>
          </w:p>
        </w:tc>
        <w:tc>
          <w:tcPr>
            <w:tcW w:w="1309" w:type="dxa"/>
            <w:noWrap w:val="0"/>
            <w:vAlign w:val="center"/>
          </w:tcPr>
          <w:p>
            <w:pPr>
              <w:jc w:val="center"/>
              <w:rPr>
                <w:sz w:val="22"/>
                <w:highlight w:val="none"/>
                <w:lang w:eastAsia="zh-TW"/>
              </w:rPr>
            </w:pPr>
            <w:r>
              <w:rPr>
                <w:sz w:val="22"/>
                <w:highlight w:val="none"/>
                <w:lang w:eastAsia="zh-TW"/>
              </w:rPr>
              <w:t>38</w:t>
            </w:r>
          </w:p>
        </w:tc>
        <w:tc>
          <w:tcPr>
            <w:tcW w:w="1683" w:type="dxa"/>
            <w:noWrap w:val="0"/>
            <w:vAlign w:val="center"/>
          </w:tcPr>
          <w:p>
            <w:pPr>
              <w:jc w:val="center"/>
              <w:rPr>
                <w:sz w:val="22"/>
                <w:highlight w:val="none"/>
                <w:lang w:eastAsia="zh-TW"/>
              </w:rPr>
            </w:pPr>
            <w:r>
              <w:rPr>
                <w:sz w:val="22"/>
                <w:highlight w:val="none"/>
                <w:lang w:eastAsia="zh-TW"/>
              </w:rPr>
              <w:t>45</w:t>
            </w:r>
          </w:p>
        </w:tc>
        <w:tc>
          <w:tcPr>
            <w:tcW w:w="1235" w:type="dxa"/>
            <w:noWrap w:val="0"/>
            <w:vAlign w:val="center"/>
          </w:tcPr>
          <w:p>
            <w:pPr>
              <w:jc w:val="center"/>
              <w:rPr>
                <w:sz w:val="22"/>
                <w:highlight w:val="none"/>
                <w:lang w:eastAsia="zh-TW"/>
              </w:rPr>
            </w:pPr>
            <w:r>
              <w:rPr>
                <w:sz w:val="22"/>
                <w:highlight w:val="none"/>
                <w:lang w:eastAsia="zh-TW"/>
              </w:rPr>
              <w:t>45</w:t>
            </w:r>
          </w:p>
        </w:tc>
        <w:tc>
          <w:tcPr>
            <w:tcW w:w="1211" w:type="dxa"/>
            <w:noWrap w:val="0"/>
            <w:vAlign w:val="center"/>
          </w:tcPr>
          <w:p>
            <w:pPr>
              <w:jc w:val="center"/>
              <w:rPr>
                <w:sz w:val="22"/>
                <w:highlight w:val="none"/>
                <w:lang w:eastAsia="zh-TW"/>
              </w:rPr>
            </w:pPr>
            <w:r>
              <w:rPr>
                <w:sz w:val="22"/>
                <w:highlight w:val="none"/>
                <w:lang w:eastAsia="zh-TW"/>
              </w:rPr>
              <w:t>50</w:t>
            </w:r>
          </w:p>
        </w:tc>
        <w:tc>
          <w:tcPr>
            <w:tcW w:w="1366" w:type="dxa"/>
            <w:noWrap w:val="0"/>
            <w:vAlign w:val="center"/>
          </w:tcPr>
          <w:p>
            <w:pPr>
              <w:jc w:val="center"/>
              <w:rPr>
                <w:sz w:val="22"/>
                <w:highlight w:val="none"/>
                <w:lang w:eastAsia="zh-TW"/>
              </w:rPr>
            </w:pPr>
            <w:r>
              <w:rPr>
                <w:sz w:val="22"/>
                <w:highlight w:val="none"/>
                <w:lang w:eastAsia="zh-TW"/>
              </w:rPr>
              <w:t>19</w:t>
            </w:r>
          </w:p>
        </w:tc>
      </w:tr>
    </w:tbl>
    <w:p>
      <w:pPr>
        <w:ind w:right="178" w:rightChars="85" w:firstLine="420" w:firstLineChars="200"/>
        <w:rPr>
          <w:szCs w:val="24"/>
          <w:highlight w:val="none"/>
        </w:rPr>
      </w:pPr>
      <w:bookmarkStart w:id="249" w:name="_Toc501010667"/>
      <w:r>
        <w:rPr>
          <w:rFonts w:hint="eastAsia"/>
          <w:szCs w:val="24"/>
          <w:highlight w:val="none"/>
        </w:rPr>
        <w:t>其它详见设计图纸，以设计图纸及本条款中严格者为准</w:t>
      </w:r>
    </w:p>
    <w:p>
      <w:pPr>
        <w:keepNext/>
        <w:keepLines/>
        <w:outlineLvl w:val="2"/>
        <w:rPr>
          <w:rFonts w:ascii="宋体" w:hAnsi="宋体" w:cs="宋体"/>
          <w:b/>
          <w:bCs/>
          <w:sz w:val="28"/>
          <w:szCs w:val="32"/>
          <w:highlight w:val="none"/>
        </w:rPr>
      </w:pPr>
      <w:bookmarkStart w:id="250" w:name="_Toc146132805"/>
      <w:bookmarkStart w:id="251" w:name="_Toc12548"/>
      <w:bookmarkStart w:id="252" w:name="_Toc32028"/>
      <w:r>
        <w:rPr>
          <w:rFonts w:hint="eastAsia" w:ascii="宋体" w:hAnsi="宋体" w:cs="宋体"/>
          <w:b/>
          <w:bCs/>
          <w:sz w:val="28"/>
          <w:szCs w:val="32"/>
          <w:highlight w:val="none"/>
        </w:rPr>
        <w:t>3.7 管道工程系统基本要求</w:t>
      </w:r>
      <w:bookmarkEnd w:id="249"/>
      <w:bookmarkEnd w:id="250"/>
      <w:bookmarkEnd w:id="251"/>
      <w:bookmarkEnd w:id="252"/>
    </w:p>
    <w:p>
      <w:pPr>
        <w:ind w:right="178" w:rightChars="85" w:firstLine="500" w:firstLineChars="200"/>
        <w:rPr>
          <w:rFonts w:ascii="宋体" w:hAnsi="宋体" w:cs="宋体"/>
          <w:spacing w:val="20"/>
          <w:szCs w:val="21"/>
          <w:highlight w:val="none"/>
        </w:rPr>
      </w:pPr>
      <w:r>
        <w:rPr>
          <w:rFonts w:hint="eastAsia" w:ascii="宋体" w:hAnsi="宋体" w:cs="宋体"/>
          <w:spacing w:val="20"/>
          <w:szCs w:val="21"/>
          <w:highlight w:val="none"/>
        </w:rPr>
        <w:t>1.钢管材料要求：</w:t>
      </w:r>
    </w:p>
    <w:p>
      <w:pPr>
        <w:autoSpaceDE w:val="0"/>
        <w:autoSpaceDN w:val="0"/>
        <w:adjustRightInd w:val="0"/>
        <w:ind w:right="178" w:rightChars="85" w:firstLine="500" w:firstLineChars="200"/>
        <w:rPr>
          <w:rFonts w:ascii="宋体" w:hAnsi="宋体" w:cs="宋体"/>
          <w:spacing w:val="20"/>
          <w:szCs w:val="21"/>
          <w:highlight w:val="none"/>
        </w:rPr>
      </w:pPr>
      <w:r>
        <w:rPr>
          <w:rFonts w:hint="eastAsia" w:ascii="宋体" w:hAnsi="宋体" w:cs="宋体"/>
          <w:spacing w:val="20"/>
          <w:szCs w:val="21"/>
          <w:highlight w:val="none"/>
        </w:rPr>
        <w:t>1.1凡管径≤100mm的采用镀锌钢管，管径&gt;100mm且≤250mm的采用无缝钢管，≥300mm以上的采用螺旋焊缝钢管。</w:t>
      </w:r>
    </w:p>
    <w:p>
      <w:pPr>
        <w:autoSpaceDE w:val="0"/>
        <w:autoSpaceDN w:val="0"/>
        <w:adjustRightInd w:val="0"/>
        <w:ind w:right="178" w:rightChars="85" w:firstLine="500" w:firstLineChars="200"/>
        <w:rPr>
          <w:rFonts w:ascii="宋体" w:hAnsi="宋体" w:cs="宋体"/>
          <w:spacing w:val="20"/>
          <w:szCs w:val="21"/>
          <w:highlight w:val="none"/>
        </w:rPr>
      </w:pPr>
      <w:r>
        <w:rPr>
          <w:rFonts w:hint="eastAsia" w:ascii="宋体" w:hAnsi="宋体" w:cs="宋体"/>
          <w:spacing w:val="20"/>
          <w:szCs w:val="21"/>
          <w:highlight w:val="none"/>
        </w:rPr>
        <w:t>1.2镀锌钢管全部采用国标规格。</w:t>
      </w:r>
    </w:p>
    <w:p>
      <w:pPr>
        <w:ind w:right="178" w:rightChars="85" w:firstLine="500" w:firstLineChars="200"/>
        <w:rPr>
          <w:rFonts w:ascii="宋体" w:hAnsi="宋体" w:cs="宋体"/>
          <w:spacing w:val="20"/>
          <w:szCs w:val="21"/>
          <w:highlight w:val="none"/>
        </w:rPr>
      </w:pPr>
      <w:r>
        <w:rPr>
          <w:rFonts w:hint="eastAsia" w:ascii="宋体" w:hAnsi="宋体" w:cs="宋体"/>
          <w:spacing w:val="20"/>
          <w:szCs w:val="21"/>
          <w:highlight w:val="none"/>
        </w:rPr>
        <w:t>2.管道支架要求，支架间距不超过8米、材质采用Q235B、除锈刷防绣漆2道、外表涂金属漆一道。</w:t>
      </w:r>
    </w:p>
    <w:p>
      <w:pPr>
        <w:keepNext/>
        <w:keepLines/>
        <w:numPr>
          <w:ilvl w:val="1"/>
          <w:numId w:val="0"/>
        </w:numPr>
        <w:ind w:left="720" w:hanging="720"/>
        <w:outlineLvl w:val="2"/>
        <w:rPr>
          <w:rFonts w:ascii="宋体" w:hAnsi="宋体" w:cs="宋体"/>
          <w:b/>
          <w:bCs/>
          <w:sz w:val="28"/>
          <w:szCs w:val="32"/>
          <w:highlight w:val="none"/>
        </w:rPr>
      </w:pPr>
      <w:bookmarkStart w:id="253" w:name="_Toc13564"/>
      <w:bookmarkStart w:id="254" w:name="_Toc146132806"/>
      <w:bookmarkStart w:id="255" w:name="_Toc1760"/>
      <w:r>
        <w:rPr>
          <w:rFonts w:ascii="宋体" w:hAnsi="宋体" w:cs="宋体"/>
          <w:b/>
          <w:bCs/>
          <w:sz w:val="28"/>
          <w:szCs w:val="32"/>
          <w:highlight w:val="none"/>
        </w:rPr>
        <w:t>3.8</w:t>
      </w:r>
      <w:r>
        <w:rPr>
          <w:rFonts w:hint="eastAsia" w:ascii="宋体" w:hAnsi="宋体" w:cs="宋体"/>
          <w:b/>
          <w:bCs/>
          <w:sz w:val="28"/>
          <w:szCs w:val="32"/>
          <w:highlight w:val="none"/>
        </w:rPr>
        <w:t xml:space="preserve"> 冷冻/却水全自动加药装置与管道预膜技术</w:t>
      </w:r>
      <w:bookmarkEnd w:id="253"/>
      <w:bookmarkEnd w:id="254"/>
      <w:bookmarkEnd w:id="255"/>
    </w:p>
    <w:p>
      <w:pPr>
        <w:tabs>
          <w:tab w:val="left" w:pos="1134"/>
        </w:tabs>
        <w:rPr>
          <w:rFonts w:ascii="宋体" w:hAnsi="宋体" w:cs="宋体"/>
          <w:b/>
          <w:szCs w:val="24"/>
          <w:highlight w:val="none"/>
        </w:rPr>
      </w:pPr>
      <w:r>
        <w:rPr>
          <w:rFonts w:hint="eastAsia" w:ascii="宋体" w:hAnsi="宋体" w:cs="宋体"/>
          <w:b/>
          <w:szCs w:val="24"/>
          <w:highlight w:val="none"/>
        </w:rPr>
        <w:t>3.8.</w:t>
      </w:r>
      <w:r>
        <w:rPr>
          <w:rFonts w:ascii="宋体" w:hAnsi="宋体" w:cs="宋体"/>
          <w:b/>
          <w:szCs w:val="24"/>
          <w:highlight w:val="none"/>
        </w:rPr>
        <w:t>1</w:t>
      </w:r>
      <w:r>
        <w:rPr>
          <w:rFonts w:hint="eastAsia" w:ascii="宋体" w:hAnsi="宋体" w:cs="宋体"/>
          <w:b/>
          <w:szCs w:val="24"/>
          <w:highlight w:val="none"/>
        </w:rPr>
        <w:t xml:space="preserve"> 设备组成</w:t>
      </w:r>
    </w:p>
    <w:p>
      <w:pPr>
        <w:ind w:firstLine="420" w:firstLineChars="200"/>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.1</w:t>
      </w:r>
      <w:r>
        <w:rPr>
          <w:rFonts w:hint="eastAsia" w:ascii="宋体" w:hAnsi="宋体" w:cs="宋体"/>
          <w:szCs w:val="24"/>
          <w:highlight w:val="none"/>
        </w:rPr>
        <w:t>本设备范围包括建设文件及图纸规定范围内的设备的设计、选型、制造、运输、仓储、安装指导、调试、初验、试运行、正式运行、培训、技术文件提交及相关的质保责任和售后服务等全部工作。</w:t>
      </w:r>
    </w:p>
    <w:p>
      <w:pPr>
        <w:ind w:left="454"/>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.2</w:t>
      </w:r>
      <w:r>
        <w:rPr>
          <w:rFonts w:hint="eastAsia" w:ascii="宋体" w:hAnsi="宋体" w:cs="宋体"/>
          <w:szCs w:val="24"/>
          <w:highlight w:val="none"/>
        </w:rPr>
        <w:t>设备包括冷冻/却水系统所需的全自动加药装置设备及其控制柜。</w:t>
      </w:r>
    </w:p>
    <w:p>
      <w:pPr>
        <w:ind w:left="454"/>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.3</w:t>
      </w:r>
      <w:r>
        <w:rPr>
          <w:rFonts w:hint="eastAsia" w:ascii="宋体" w:hAnsi="宋体" w:cs="宋体"/>
          <w:szCs w:val="24"/>
          <w:highlight w:val="none"/>
        </w:rPr>
        <w:t>提供冷冻/却水系统半年所需的保证水质的药剂清单。</w:t>
      </w:r>
    </w:p>
    <w:p>
      <w:pPr>
        <w:ind w:firstLine="420" w:firstLineChars="200"/>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.4</w:t>
      </w:r>
      <w:r>
        <w:rPr>
          <w:rFonts w:hint="eastAsia" w:ascii="宋体" w:hAnsi="宋体" w:cs="宋体"/>
          <w:szCs w:val="24"/>
          <w:highlight w:val="none"/>
        </w:rPr>
        <w:t>冷冻站高效机的冷冻/却水系统化学清洗及预膜处理，人工清扫（冷却塔）和水清洗。</w:t>
      </w:r>
    </w:p>
    <w:p>
      <w:pPr>
        <w:ind w:left="454"/>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.5</w:t>
      </w:r>
      <w:r>
        <w:rPr>
          <w:rFonts w:hint="eastAsia" w:ascii="宋体" w:hAnsi="宋体" w:cs="宋体"/>
          <w:szCs w:val="24"/>
          <w:highlight w:val="none"/>
        </w:rPr>
        <w:t>使用药剂应采用无磷药剂并满足国家环保等部门的要求。</w:t>
      </w:r>
    </w:p>
    <w:p>
      <w:pPr>
        <w:tabs>
          <w:tab w:val="left" w:pos="1134"/>
        </w:tabs>
        <w:rPr>
          <w:rFonts w:ascii="宋体" w:hAnsi="宋体" w:cs="宋体"/>
          <w:b/>
          <w:szCs w:val="24"/>
          <w:highlight w:val="none"/>
        </w:rPr>
      </w:pPr>
      <w:r>
        <w:rPr>
          <w:rFonts w:hint="eastAsia" w:ascii="宋体" w:hAnsi="宋体" w:cs="宋体"/>
          <w:b/>
          <w:szCs w:val="24"/>
          <w:highlight w:val="none"/>
        </w:rPr>
        <w:t>3.8.</w:t>
      </w:r>
      <w:r>
        <w:rPr>
          <w:rFonts w:ascii="宋体" w:hAnsi="宋体" w:cs="宋体"/>
          <w:b/>
          <w:szCs w:val="24"/>
          <w:highlight w:val="none"/>
        </w:rPr>
        <w:t>2</w:t>
      </w:r>
      <w:r>
        <w:rPr>
          <w:rFonts w:hint="eastAsia" w:ascii="宋体" w:hAnsi="宋体" w:cs="宋体"/>
          <w:b/>
          <w:szCs w:val="24"/>
          <w:highlight w:val="none"/>
        </w:rPr>
        <w:t xml:space="preserve"> 冷冻水全自动加药装置范围</w:t>
      </w:r>
    </w:p>
    <w:p>
      <w:pPr>
        <w:ind w:firstLine="420" w:firstLineChars="200"/>
        <w:rPr>
          <w:rFonts w:ascii="宋体" w:hAnsi="宋体" w:cs="宋体"/>
          <w:szCs w:val="24"/>
          <w:highlight w:val="none"/>
        </w:rPr>
      </w:pPr>
      <w:r>
        <w:rPr>
          <w:rFonts w:hint="eastAsia" w:ascii="宋体" w:hAnsi="宋体" w:cs="宋体"/>
          <w:szCs w:val="24"/>
          <w:highlight w:val="none"/>
        </w:rPr>
        <w:t>2.1冷冻水用加药装置应包括在线pH传感器、在线电导率传感器、加药桶、自动计量泵、加压泵及系统调试阶段和试运行阶段正常使用的药剂等。</w:t>
      </w:r>
    </w:p>
    <w:p>
      <w:pPr>
        <w:ind w:firstLine="420" w:firstLineChars="200"/>
        <w:rPr>
          <w:rFonts w:ascii="宋体" w:hAnsi="宋体" w:cs="宋体"/>
          <w:szCs w:val="24"/>
          <w:highlight w:val="none"/>
        </w:rPr>
      </w:pPr>
      <w:r>
        <w:rPr>
          <w:rFonts w:hint="eastAsia" w:ascii="宋体" w:hAnsi="宋体" w:cs="宋体"/>
          <w:szCs w:val="24"/>
          <w:highlight w:val="none"/>
        </w:rPr>
        <w:t>2.2加药装置应性能稳定，结构紧凑，操作方便，维修简单，并应通过相关部门检验，获得节能环保认证。</w:t>
      </w:r>
    </w:p>
    <w:p>
      <w:pPr>
        <w:ind w:firstLine="420" w:firstLineChars="200"/>
        <w:rPr>
          <w:rFonts w:ascii="宋体" w:hAnsi="宋体" w:cs="宋体"/>
          <w:szCs w:val="24"/>
          <w:highlight w:val="none"/>
        </w:rPr>
      </w:pPr>
      <w:r>
        <w:rPr>
          <w:rFonts w:hint="eastAsia" w:ascii="宋体" w:hAnsi="宋体" w:cs="宋体"/>
          <w:szCs w:val="24"/>
          <w:highlight w:val="none"/>
        </w:rPr>
        <w:t>2.3加药系统应由乙方负责内部及加药装置与系统之间的管路连接、阀门安装、传感器校准、整体装配等工作，并完成电力接入，运行状态接入监控系统及其他相关调试工作。</w:t>
      </w:r>
    </w:p>
    <w:p>
      <w:pPr>
        <w:ind w:firstLine="420" w:firstLineChars="200"/>
        <w:rPr>
          <w:rFonts w:ascii="宋体" w:hAnsi="宋体" w:cs="宋体"/>
          <w:szCs w:val="24"/>
          <w:highlight w:val="none"/>
        </w:rPr>
      </w:pPr>
      <w:r>
        <w:rPr>
          <w:rFonts w:hint="eastAsia" w:ascii="宋体" w:hAnsi="宋体" w:cs="宋体"/>
          <w:szCs w:val="24"/>
          <w:highlight w:val="none"/>
        </w:rPr>
        <w:t>2.4加药系统需同时具有防垢除垢、杀菌灭藻、防腐除锈的功能。系统加药处理后水质须达到《工业循环冷却水处理设计规范》(GB/T 50050-2017)中的水质标准要求。</w:t>
      </w:r>
    </w:p>
    <w:p>
      <w:pPr>
        <w:ind w:firstLine="420" w:firstLineChars="200"/>
        <w:rPr>
          <w:rFonts w:ascii="宋体" w:hAnsi="宋体" w:cs="宋体"/>
          <w:szCs w:val="24"/>
          <w:highlight w:val="none"/>
        </w:rPr>
      </w:pPr>
      <w:r>
        <w:rPr>
          <w:rFonts w:hint="eastAsia" w:ascii="宋体" w:hAnsi="宋体" w:cs="宋体"/>
          <w:szCs w:val="24"/>
          <w:highlight w:val="none"/>
        </w:rPr>
        <w:t>2.5加药系统信息与数据的输入输出须支持Modbus通讯协议。</w:t>
      </w:r>
    </w:p>
    <w:p>
      <w:pPr>
        <w:ind w:firstLine="420" w:firstLineChars="200"/>
        <w:rPr>
          <w:rFonts w:ascii="宋体" w:hAnsi="宋体" w:cs="宋体"/>
          <w:szCs w:val="24"/>
          <w:highlight w:val="none"/>
        </w:rPr>
      </w:pPr>
      <w:r>
        <w:rPr>
          <w:rFonts w:hint="eastAsia" w:ascii="宋体" w:hAnsi="宋体" w:cs="宋体"/>
          <w:szCs w:val="24"/>
          <w:highlight w:val="none"/>
        </w:rPr>
        <w:t>2.6所有重要运行参数和水质数据（包括pH、电导率等）均采用在线传感器形式（接入制冷站工控机）进行实时监控并保留历史数据；以便对系统运行状态进行分析回顾，以调整方案适应系统可能的变化。</w:t>
      </w:r>
    </w:p>
    <w:p>
      <w:pPr>
        <w:ind w:firstLine="420" w:firstLineChars="200"/>
        <w:rPr>
          <w:rFonts w:ascii="宋体" w:hAnsi="宋体" w:cs="宋体"/>
          <w:szCs w:val="24"/>
          <w:highlight w:val="none"/>
        </w:rPr>
      </w:pPr>
      <w:r>
        <w:rPr>
          <w:rFonts w:hint="eastAsia" w:ascii="宋体" w:hAnsi="宋体" w:cs="宋体"/>
          <w:szCs w:val="24"/>
          <w:highlight w:val="none"/>
        </w:rPr>
        <w:t>2.7加药系统所用管阀件应能满足系统压力和耐腐蚀的要求。</w:t>
      </w:r>
    </w:p>
    <w:p>
      <w:pPr>
        <w:ind w:firstLine="420" w:firstLineChars="200"/>
        <w:rPr>
          <w:rFonts w:ascii="宋体" w:hAnsi="宋体" w:cs="宋体"/>
          <w:szCs w:val="24"/>
          <w:highlight w:val="none"/>
        </w:rPr>
      </w:pPr>
      <w:r>
        <w:rPr>
          <w:rFonts w:hint="eastAsia" w:ascii="宋体" w:hAnsi="宋体" w:cs="宋体"/>
          <w:szCs w:val="24"/>
          <w:highlight w:val="none"/>
        </w:rPr>
        <w:t>2.8电气控制柜、仪表箱（盒）主要性能指标达到IP55防水要求。</w:t>
      </w:r>
    </w:p>
    <w:p>
      <w:pPr>
        <w:tabs>
          <w:tab w:val="left" w:pos="1134"/>
        </w:tabs>
        <w:rPr>
          <w:rFonts w:ascii="宋体" w:hAnsi="宋体" w:cs="宋体"/>
          <w:b/>
          <w:szCs w:val="24"/>
          <w:highlight w:val="none"/>
        </w:rPr>
      </w:pPr>
      <w:r>
        <w:rPr>
          <w:rFonts w:hint="eastAsia" w:ascii="宋体" w:hAnsi="宋体" w:cs="宋体"/>
          <w:b/>
          <w:szCs w:val="24"/>
          <w:highlight w:val="none"/>
        </w:rPr>
        <w:t>3.8.3 冷却水全自动加药装置范围</w:t>
      </w:r>
    </w:p>
    <w:p>
      <w:pPr>
        <w:ind w:firstLine="420" w:firstLineChars="200"/>
        <w:rPr>
          <w:rFonts w:ascii="宋体" w:hAnsi="宋体" w:cs="宋体"/>
          <w:szCs w:val="24"/>
          <w:highlight w:val="none"/>
        </w:rPr>
      </w:pPr>
      <w:r>
        <w:rPr>
          <w:rFonts w:ascii="宋体" w:hAnsi="宋体" w:cs="宋体"/>
          <w:szCs w:val="24"/>
          <w:highlight w:val="none"/>
        </w:rPr>
        <w:t>1</w:t>
      </w:r>
      <w:r>
        <w:rPr>
          <w:rFonts w:hint="eastAsia" w:ascii="宋体" w:hAnsi="宋体" w:cs="宋体"/>
          <w:szCs w:val="24"/>
          <w:highlight w:val="none"/>
        </w:rPr>
        <w:t>.冷却水用加药装置应包括PLC/DDC或微处理控制器、在线pH传感器、在线电导率传感器、液位传感器、加药桶、自动计量泵、排污电动阀及系统调试阶段和试运行阶段正常使用的药剂等。</w:t>
      </w:r>
    </w:p>
    <w:p>
      <w:pPr>
        <w:ind w:firstLine="420" w:firstLineChars="200"/>
        <w:rPr>
          <w:rFonts w:ascii="宋体" w:hAnsi="宋体" w:cs="宋体"/>
          <w:szCs w:val="24"/>
          <w:highlight w:val="none"/>
        </w:rPr>
      </w:pPr>
      <w:r>
        <w:rPr>
          <w:rFonts w:ascii="宋体" w:hAnsi="宋体" w:cs="宋体"/>
          <w:szCs w:val="24"/>
          <w:highlight w:val="none"/>
        </w:rPr>
        <w:t>2</w:t>
      </w:r>
      <w:r>
        <w:rPr>
          <w:rFonts w:hint="eastAsia" w:ascii="宋体" w:hAnsi="宋体" w:cs="宋体"/>
          <w:szCs w:val="24"/>
          <w:highlight w:val="none"/>
        </w:rPr>
        <w:t>.全自动加药装置应性能稳定，结构紧凑，操作方便，维修简单，并应通过相关部门检验，获得节能环保认证。</w:t>
      </w:r>
    </w:p>
    <w:p>
      <w:pPr>
        <w:ind w:firstLine="420" w:firstLineChars="200"/>
        <w:rPr>
          <w:rFonts w:ascii="宋体" w:hAnsi="宋体" w:cs="宋体"/>
          <w:szCs w:val="24"/>
          <w:highlight w:val="none"/>
        </w:rPr>
      </w:pPr>
      <w:r>
        <w:rPr>
          <w:rFonts w:hint="eastAsia" w:ascii="宋体" w:hAnsi="宋体" w:cs="宋体"/>
          <w:szCs w:val="24"/>
          <w:highlight w:val="none"/>
        </w:rPr>
        <w:t>3</w:t>
      </w:r>
      <w:r>
        <w:rPr>
          <w:rFonts w:ascii="宋体" w:hAnsi="宋体" w:cs="宋体"/>
          <w:szCs w:val="24"/>
          <w:highlight w:val="none"/>
        </w:rPr>
        <w:t>.</w:t>
      </w:r>
      <w:r>
        <w:rPr>
          <w:rFonts w:hint="eastAsia" w:ascii="宋体" w:hAnsi="宋体" w:cs="宋体"/>
          <w:szCs w:val="24"/>
          <w:highlight w:val="none"/>
        </w:rPr>
        <w:t>全自动加药系统应由乙方负责内部及加药装置与系统之间的管路连接、阀门安装、传感器校准、整体装配等工作，并完成电力接入，运行状态接入监控系统及其他相关调试工作。</w:t>
      </w:r>
    </w:p>
    <w:p>
      <w:pPr>
        <w:ind w:firstLine="420" w:firstLineChars="200"/>
        <w:rPr>
          <w:rFonts w:ascii="宋体" w:hAnsi="宋体" w:cs="宋体"/>
          <w:szCs w:val="24"/>
          <w:highlight w:val="none"/>
        </w:rPr>
      </w:pPr>
      <w:r>
        <w:rPr>
          <w:rFonts w:ascii="宋体" w:hAnsi="宋体" w:cs="宋体"/>
          <w:szCs w:val="24"/>
          <w:highlight w:val="none"/>
        </w:rPr>
        <w:t>4</w:t>
      </w:r>
      <w:r>
        <w:rPr>
          <w:rFonts w:hint="eastAsia" w:ascii="宋体" w:hAnsi="宋体" w:cs="宋体"/>
          <w:szCs w:val="24"/>
          <w:highlight w:val="none"/>
        </w:rPr>
        <w:t>.全自动加药系统需同时具有防垢除垢、杀菌灭藻、防腐除锈的功能。系统加药处理后水质须达到《工业循环冷却水处理设计规范》(</w:t>
      </w:r>
      <w:r>
        <w:rPr>
          <w:rFonts w:ascii="宋体" w:hAnsi="宋体" w:cs="宋体"/>
          <w:szCs w:val="24"/>
          <w:highlight w:val="none"/>
        </w:rPr>
        <w:t>GB/T 50050</w:t>
      </w:r>
      <w:r>
        <w:rPr>
          <w:rFonts w:hint="eastAsia" w:ascii="宋体" w:hAnsi="宋体" w:cs="宋体"/>
          <w:szCs w:val="24"/>
          <w:highlight w:val="none"/>
        </w:rPr>
        <w:t>-</w:t>
      </w:r>
      <w:r>
        <w:rPr>
          <w:rFonts w:ascii="宋体" w:hAnsi="宋体" w:cs="宋体"/>
          <w:szCs w:val="24"/>
          <w:highlight w:val="none"/>
        </w:rPr>
        <w:t>2017</w:t>
      </w:r>
      <w:r>
        <w:rPr>
          <w:rFonts w:hint="eastAsia" w:ascii="宋体" w:hAnsi="宋体" w:cs="宋体"/>
          <w:szCs w:val="24"/>
          <w:highlight w:val="none"/>
        </w:rPr>
        <w:t>)中的水质标准要求。</w:t>
      </w:r>
    </w:p>
    <w:p>
      <w:pPr>
        <w:ind w:firstLine="420" w:firstLineChars="200"/>
        <w:rPr>
          <w:szCs w:val="24"/>
          <w:highlight w:val="none"/>
        </w:rPr>
      </w:pPr>
      <w:r>
        <w:rPr>
          <w:rFonts w:ascii="宋体" w:hAnsi="宋体" w:cs="宋体"/>
          <w:szCs w:val="24"/>
          <w:highlight w:val="none"/>
        </w:rPr>
        <w:t>5</w:t>
      </w:r>
      <w:r>
        <w:rPr>
          <w:rFonts w:hint="eastAsia" w:ascii="宋体" w:hAnsi="宋体" w:cs="宋体"/>
          <w:szCs w:val="24"/>
          <w:highlight w:val="none"/>
        </w:rPr>
        <w:t>.全自动加药系统应能根据水中药剂浓度及预定的加药量将药剂在准确、定量投加中对</w:t>
      </w:r>
      <w:r>
        <w:rPr>
          <w:rFonts w:hint="eastAsia"/>
          <w:szCs w:val="24"/>
          <w:highlight w:val="none"/>
        </w:rPr>
        <w:t>药量进行适当调整，以保证药剂适量：</w:t>
      </w:r>
    </w:p>
    <w:p>
      <w:pPr>
        <w:numPr>
          <w:ilvl w:val="1"/>
          <w:numId w:val="0"/>
        </w:numPr>
        <w:ind w:firstLine="420" w:firstLineChars="200"/>
        <w:rPr>
          <w:szCs w:val="24"/>
          <w:highlight w:val="none"/>
        </w:rPr>
      </w:pPr>
      <w:r>
        <w:rPr>
          <w:rFonts w:hint="eastAsia" w:ascii="宋体" w:hAnsi="宋体" w:cs="宋体"/>
          <w:szCs w:val="24"/>
          <w:highlight w:val="none"/>
        </w:rPr>
        <w:t>①</w:t>
      </w:r>
      <w:r>
        <w:rPr>
          <w:rFonts w:hint="eastAsia"/>
          <w:szCs w:val="24"/>
          <w:highlight w:val="none"/>
        </w:rPr>
        <w:t>在线实时监测系统内化学药剂的浓度，根据药剂浓度传感器设定的计量泵开启时间来调整加药量，以保证最佳的药剂浓度，当药剂浓度不足时，能及时补充化学药剂至设计浓度，确保系统中的化学药剂始终维持最佳状态，全面防止系统结垢、腐蚀、沉积、菌藻滋生等情况的发生；</w:t>
      </w:r>
    </w:p>
    <w:p>
      <w:pPr>
        <w:numPr>
          <w:ilvl w:val="1"/>
          <w:numId w:val="0"/>
        </w:numPr>
        <w:ind w:firstLine="420" w:firstLineChars="200"/>
        <w:rPr>
          <w:szCs w:val="24"/>
          <w:highlight w:val="none"/>
        </w:rPr>
      </w:pPr>
      <w:r>
        <w:rPr>
          <w:rFonts w:hint="eastAsia" w:ascii="宋体" w:hAnsi="宋体" w:cs="宋体"/>
          <w:szCs w:val="24"/>
          <w:highlight w:val="none"/>
        </w:rPr>
        <w:t>②</w:t>
      </w:r>
      <w:r>
        <w:rPr>
          <w:rFonts w:hint="eastAsia"/>
          <w:szCs w:val="24"/>
          <w:highlight w:val="none"/>
        </w:rPr>
        <w:t>根据电导率设定排污电动阀启闭时间来调整排水量，以保证最佳的浓缩倍数；</w:t>
      </w:r>
    </w:p>
    <w:p>
      <w:pPr>
        <w:numPr>
          <w:ilvl w:val="1"/>
          <w:numId w:val="0"/>
        </w:numPr>
        <w:ind w:firstLine="420" w:firstLineChars="200"/>
        <w:rPr>
          <w:szCs w:val="24"/>
          <w:highlight w:val="none"/>
        </w:rPr>
      </w:pPr>
      <w:r>
        <w:rPr>
          <w:rFonts w:hint="eastAsia" w:ascii="宋体" w:hAnsi="宋体" w:cs="宋体"/>
          <w:szCs w:val="24"/>
          <w:highlight w:val="none"/>
        </w:rPr>
        <w:t>③</w:t>
      </w:r>
      <w:r>
        <w:rPr>
          <w:rFonts w:hint="eastAsia"/>
          <w:szCs w:val="24"/>
          <w:highlight w:val="none"/>
        </w:rPr>
        <w:t>投药计量泵可根据实际用药方案的需求，连续或间歇的投加缓蚀阻垢剂、杀菌灭藻剂等；</w:t>
      </w:r>
    </w:p>
    <w:p>
      <w:pPr>
        <w:numPr>
          <w:ilvl w:val="1"/>
          <w:numId w:val="0"/>
        </w:numPr>
        <w:ind w:firstLine="420" w:firstLineChars="200"/>
        <w:rPr>
          <w:szCs w:val="24"/>
          <w:highlight w:val="none"/>
        </w:rPr>
      </w:pPr>
      <w:r>
        <w:rPr>
          <w:rFonts w:hint="eastAsia" w:ascii="宋体" w:hAnsi="宋体" w:cs="宋体"/>
          <w:szCs w:val="24"/>
          <w:highlight w:val="none"/>
        </w:rPr>
        <w:t>④</w:t>
      </w:r>
      <w:r>
        <w:rPr>
          <w:rFonts w:hint="eastAsia"/>
          <w:szCs w:val="24"/>
          <w:highlight w:val="none"/>
        </w:rPr>
        <w:t>所有重要运行参数和水质数据（包括 pH、电导率、腐蚀率等）均采用在线传感器形式进行实时监控并保留历史数据；以便对系统运行状态进行分析回顾，以调整方案适应系统可能的变化；</w:t>
      </w:r>
    </w:p>
    <w:p>
      <w:pPr>
        <w:ind w:firstLine="420" w:firstLineChars="200"/>
        <w:rPr>
          <w:rFonts w:ascii="宋体" w:hAnsi="宋体" w:cs="宋体"/>
          <w:szCs w:val="24"/>
          <w:highlight w:val="none"/>
        </w:rPr>
      </w:pPr>
      <w:r>
        <w:rPr>
          <w:rFonts w:ascii="宋体" w:hAnsi="宋体" w:cs="宋体"/>
          <w:szCs w:val="24"/>
          <w:highlight w:val="none"/>
        </w:rPr>
        <w:t>6</w:t>
      </w:r>
      <w:r>
        <w:rPr>
          <w:rFonts w:hint="eastAsia" w:ascii="宋体" w:hAnsi="宋体" w:cs="宋体"/>
          <w:szCs w:val="24"/>
          <w:highlight w:val="none"/>
        </w:rPr>
        <w:t>.加药系统自带的PLC/DDC或微处理控制器系统必须能够自动收集、记录及在本机保存至少两个月连续运行的所有历史数据。保存在本机控制器上的所有数据与信息在断电时不会缺失；控制器须设置专用接口用于导出数据（数据不需在本机清除），数据直接可读，带时间标识的，可实现加药量、药品管控范围记录（统计天数须可回溯 180天）。通过专用接口或无线网络，可实现历史数据回顾、报表打印。信息与数据的输入输出须支持Modbus通讯协议。</w:t>
      </w:r>
    </w:p>
    <w:p>
      <w:pPr>
        <w:ind w:firstLine="420" w:firstLineChars="200"/>
        <w:rPr>
          <w:rFonts w:ascii="宋体" w:hAnsi="宋体" w:cs="宋体"/>
          <w:szCs w:val="24"/>
          <w:highlight w:val="none"/>
        </w:rPr>
      </w:pPr>
      <w:r>
        <w:rPr>
          <w:rFonts w:ascii="宋体" w:hAnsi="宋体" w:cs="宋体"/>
          <w:szCs w:val="24"/>
          <w:highlight w:val="none"/>
        </w:rPr>
        <w:t>7</w:t>
      </w:r>
      <w:r>
        <w:rPr>
          <w:rFonts w:hint="eastAsia" w:ascii="宋体" w:hAnsi="宋体" w:cs="宋体"/>
          <w:szCs w:val="24"/>
          <w:highlight w:val="none"/>
        </w:rPr>
        <w:t>.采用PLC/DDC或微处理控制器，根据补水水质、电导率监测值、水量变化、浓缩倍数、PH值、连续线上分析来实时自动调整缓释、阻垢、杀菌药剂投加泵的输出量，以避免由于补水水质或水量波动造成的处理效果不佳或药剂浪费；不可仅依人工计算添加或依数日前水质分析的结果加药。控制柜设有手动/自动转换开关，药剂泵、排污阀可实现手动和自动启停功能。在线药剂浓度信号、电导率信号、PH信号、碳钢腐蚀率、铜腐蚀率信号等传送至控制器。控制系统须设故障报警。</w:t>
      </w:r>
    </w:p>
    <w:p>
      <w:pPr>
        <w:ind w:firstLine="420" w:firstLineChars="200"/>
        <w:rPr>
          <w:rFonts w:ascii="宋体" w:hAnsi="宋体" w:cs="宋体"/>
          <w:szCs w:val="24"/>
          <w:highlight w:val="none"/>
        </w:rPr>
      </w:pPr>
      <w:r>
        <w:rPr>
          <w:rFonts w:ascii="宋体" w:hAnsi="宋体" w:cs="宋体"/>
          <w:szCs w:val="24"/>
          <w:highlight w:val="none"/>
        </w:rPr>
        <w:t>8</w:t>
      </w:r>
      <w:r>
        <w:rPr>
          <w:rFonts w:hint="eastAsia" w:ascii="宋体" w:hAnsi="宋体" w:cs="宋体"/>
          <w:szCs w:val="24"/>
          <w:highlight w:val="none"/>
        </w:rPr>
        <w:t>.全自动在线加药系统所用管阀件应能满足系统压力和耐腐蚀的要求。</w:t>
      </w:r>
    </w:p>
    <w:p>
      <w:pPr>
        <w:ind w:firstLine="420" w:firstLineChars="200"/>
        <w:rPr>
          <w:szCs w:val="24"/>
          <w:highlight w:val="none"/>
        </w:rPr>
      </w:pPr>
      <w:r>
        <w:rPr>
          <w:rFonts w:ascii="宋体" w:hAnsi="宋体" w:cs="宋体"/>
          <w:szCs w:val="24"/>
          <w:highlight w:val="none"/>
        </w:rPr>
        <w:t>9</w:t>
      </w:r>
      <w:r>
        <w:rPr>
          <w:rFonts w:hint="eastAsia" w:ascii="宋体" w:hAnsi="宋体" w:cs="宋体"/>
          <w:szCs w:val="24"/>
          <w:highlight w:val="none"/>
        </w:rPr>
        <w:t>.电气控制</w:t>
      </w:r>
      <w:r>
        <w:rPr>
          <w:rFonts w:hint="eastAsia"/>
          <w:szCs w:val="24"/>
          <w:highlight w:val="none"/>
        </w:rPr>
        <w:t>柜、仪表箱（盒）主要性能指标达到IP55防水要求。</w:t>
      </w:r>
    </w:p>
    <w:p>
      <w:pPr>
        <w:tabs>
          <w:tab w:val="left" w:pos="1134"/>
        </w:tabs>
        <w:rPr>
          <w:rFonts w:ascii="宋体" w:hAnsi="宋体" w:cs="宋体"/>
          <w:b/>
          <w:szCs w:val="24"/>
          <w:highlight w:val="none"/>
        </w:rPr>
      </w:pPr>
      <w:r>
        <w:rPr>
          <w:rFonts w:hint="eastAsia" w:ascii="宋体" w:hAnsi="宋体" w:cs="宋体"/>
          <w:b/>
          <w:szCs w:val="24"/>
          <w:highlight w:val="none"/>
        </w:rPr>
        <w:t>3.8.4 冷冻/却水管道预膜</w:t>
      </w:r>
    </w:p>
    <w:p>
      <w:pPr>
        <w:ind w:left="454"/>
        <w:rPr>
          <w:rFonts w:ascii="宋体" w:hAnsi="宋体" w:cs="宋体"/>
          <w:szCs w:val="24"/>
          <w:highlight w:val="none"/>
        </w:rPr>
      </w:pPr>
      <w:r>
        <w:rPr>
          <w:rFonts w:ascii="宋体" w:hAnsi="宋体" w:cs="宋体"/>
          <w:szCs w:val="24"/>
          <w:highlight w:val="none"/>
        </w:rPr>
        <w:t>1</w:t>
      </w:r>
      <w:r>
        <w:rPr>
          <w:rFonts w:hint="eastAsia" w:ascii="宋体" w:hAnsi="宋体" w:cs="宋体"/>
          <w:szCs w:val="24"/>
          <w:highlight w:val="none"/>
        </w:rPr>
        <w:t>.化学清洗、预膜处理之前须详细了解系统情况；</w:t>
      </w:r>
    </w:p>
    <w:p>
      <w:pPr>
        <w:ind w:left="454"/>
        <w:rPr>
          <w:rFonts w:ascii="宋体" w:hAnsi="宋体" w:cs="宋体"/>
          <w:szCs w:val="24"/>
          <w:highlight w:val="none"/>
        </w:rPr>
      </w:pPr>
      <w:r>
        <w:rPr>
          <w:rFonts w:ascii="宋体" w:hAnsi="宋体" w:cs="宋体"/>
          <w:szCs w:val="24"/>
          <w:highlight w:val="none"/>
        </w:rPr>
        <w:t>2</w:t>
      </w:r>
      <w:r>
        <w:rPr>
          <w:rFonts w:hint="eastAsia" w:ascii="宋体" w:hAnsi="宋体" w:cs="宋体"/>
          <w:szCs w:val="24"/>
          <w:highlight w:val="none"/>
        </w:rPr>
        <w:t>.制定详细的化学清洗、预膜处理实施方案；</w:t>
      </w:r>
    </w:p>
    <w:p>
      <w:pPr>
        <w:ind w:left="454"/>
        <w:rPr>
          <w:rFonts w:ascii="宋体" w:hAnsi="宋体" w:cs="宋体"/>
          <w:szCs w:val="24"/>
          <w:highlight w:val="none"/>
        </w:rPr>
      </w:pPr>
      <w:r>
        <w:rPr>
          <w:rFonts w:ascii="宋体" w:hAnsi="宋体" w:cs="宋体"/>
          <w:szCs w:val="24"/>
          <w:highlight w:val="none"/>
        </w:rPr>
        <w:t>3</w:t>
      </w:r>
      <w:r>
        <w:rPr>
          <w:rFonts w:hint="eastAsia" w:ascii="宋体" w:hAnsi="宋体" w:cs="宋体"/>
          <w:szCs w:val="24"/>
          <w:highlight w:val="none"/>
        </w:rPr>
        <w:t>.化学冲洗时须将系统管道与冷却塔、冷水机组（蒸发器、冷凝器）隔离断开；</w:t>
      </w:r>
    </w:p>
    <w:p>
      <w:pPr>
        <w:ind w:firstLine="420" w:firstLineChars="200"/>
        <w:rPr>
          <w:rFonts w:ascii="宋体" w:hAnsi="宋体" w:cs="宋体"/>
          <w:szCs w:val="24"/>
          <w:highlight w:val="none"/>
        </w:rPr>
      </w:pPr>
      <w:r>
        <w:rPr>
          <w:rFonts w:hint="eastAsia" w:ascii="宋体" w:hAnsi="宋体" w:cs="宋体"/>
          <w:szCs w:val="24"/>
          <w:highlight w:val="none"/>
        </w:rPr>
        <w:t>4</w:t>
      </w:r>
      <w:r>
        <w:rPr>
          <w:rFonts w:ascii="宋体" w:hAnsi="宋体" w:cs="宋体"/>
          <w:szCs w:val="24"/>
          <w:highlight w:val="none"/>
        </w:rPr>
        <w:t>.</w:t>
      </w:r>
      <w:r>
        <w:rPr>
          <w:rFonts w:hint="eastAsia" w:ascii="宋体" w:hAnsi="宋体" w:cs="宋体"/>
          <w:szCs w:val="24"/>
          <w:highlight w:val="none"/>
        </w:rPr>
        <w:t>对管道做化学清洗、预膜处理须符合《冷却水系统化学清洗、预膜处理技术规则》（HG/T 3778-2005）要求。</w:t>
      </w:r>
    </w:p>
    <w:p>
      <w:pPr>
        <w:ind w:firstLine="420" w:firstLineChars="200"/>
        <w:rPr>
          <w:rFonts w:ascii="宋体" w:hAnsi="宋体" w:cs="宋体"/>
          <w:szCs w:val="24"/>
          <w:highlight w:val="none"/>
        </w:rPr>
      </w:pPr>
      <w:r>
        <w:rPr>
          <w:rFonts w:ascii="宋体" w:hAnsi="宋体" w:cs="宋体"/>
          <w:szCs w:val="24"/>
          <w:highlight w:val="none"/>
        </w:rPr>
        <w:t>5</w:t>
      </w:r>
      <w:r>
        <w:rPr>
          <w:rFonts w:hint="eastAsia" w:ascii="宋体" w:hAnsi="宋体" w:cs="宋体"/>
          <w:szCs w:val="24"/>
          <w:highlight w:val="none"/>
        </w:rPr>
        <w:t>.采用清洗预膜药剂清除新系统的铁锈、铁垢及铜锈，但不可以使用强酸性膜药剂预膜，以避免碳钢管路腐蚀。</w:t>
      </w:r>
    </w:p>
    <w:p>
      <w:pPr>
        <w:ind w:firstLine="420" w:firstLineChars="200"/>
        <w:rPr>
          <w:rFonts w:ascii="宋体" w:hAnsi="宋体" w:cs="宋体"/>
          <w:szCs w:val="24"/>
          <w:highlight w:val="none"/>
        </w:rPr>
      </w:pPr>
      <w:r>
        <w:rPr>
          <w:rFonts w:ascii="宋体" w:hAnsi="宋体" w:cs="宋体"/>
          <w:szCs w:val="24"/>
          <w:highlight w:val="none"/>
        </w:rPr>
        <w:t>6</w:t>
      </w:r>
      <w:r>
        <w:rPr>
          <w:rFonts w:hint="eastAsia" w:ascii="宋体" w:hAnsi="宋体" w:cs="宋体"/>
          <w:szCs w:val="24"/>
          <w:highlight w:val="none"/>
        </w:rPr>
        <w:t>.预膜剂应包含表面活性剂以清除油质，钝化剂以钝化铁质金属表面，铜腐抑制剂以保护铜管，分散剂防止杂质沉积。</w:t>
      </w:r>
    </w:p>
    <w:p>
      <w:pPr>
        <w:ind w:left="454"/>
        <w:rPr>
          <w:rFonts w:ascii="宋体" w:hAnsi="宋体" w:cs="宋体"/>
          <w:szCs w:val="24"/>
          <w:highlight w:val="none"/>
        </w:rPr>
      </w:pPr>
      <w:r>
        <w:rPr>
          <w:rFonts w:ascii="宋体" w:hAnsi="宋体" w:cs="宋体"/>
          <w:szCs w:val="24"/>
          <w:highlight w:val="none"/>
        </w:rPr>
        <w:t>7</w:t>
      </w:r>
      <w:r>
        <w:rPr>
          <w:rFonts w:hint="eastAsia" w:ascii="宋体" w:hAnsi="宋体" w:cs="宋体"/>
          <w:szCs w:val="24"/>
          <w:highlight w:val="none"/>
        </w:rPr>
        <w:t>.预膜剂应为供应商成熟操作的药剂配方，以减少预膜时间。</w:t>
      </w:r>
    </w:p>
    <w:p>
      <w:pPr>
        <w:ind w:left="454"/>
        <w:rPr>
          <w:rFonts w:ascii="宋体" w:hAnsi="宋体" w:cs="宋体"/>
          <w:szCs w:val="24"/>
          <w:highlight w:val="none"/>
        </w:rPr>
      </w:pPr>
      <w:r>
        <w:rPr>
          <w:rFonts w:ascii="宋体" w:hAnsi="宋体" w:cs="宋体"/>
          <w:szCs w:val="24"/>
          <w:highlight w:val="none"/>
        </w:rPr>
        <w:t>8</w:t>
      </w:r>
      <w:r>
        <w:rPr>
          <w:rFonts w:hint="eastAsia" w:ascii="宋体" w:hAnsi="宋体" w:cs="宋体"/>
          <w:szCs w:val="24"/>
          <w:highlight w:val="none"/>
        </w:rPr>
        <w:t>.成膜效果采用挂片检测。</w:t>
      </w:r>
    </w:p>
    <w:p>
      <w:pPr>
        <w:ind w:left="454"/>
        <w:rPr>
          <w:rFonts w:ascii="宋体" w:hAnsi="宋体" w:cs="宋体"/>
          <w:szCs w:val="24"/>
          <w:highlight w:val="none"/>
        </w:rPr>
      </w:pPr>
      <w:r>
        <w:rPr>
          <w:rFonts w:ascii="宋体" w:hAnsi="宋体" w:cs="宋体"/>
          <w:szCs w:val="24"/>
          <w:highlight w:val="none"/>
        </w:rPr>
        <w:t>9</w:t>
      </w:r>
      <w:r>
        <w:rPr>
          <w:rFonts w:hint="eastAsia" w:ascii="宋体" w:hAnsi="宋体" w:cs="宋体"/>
          <w:szCs w:val="24"/>
          <w:highlight w:val="none"/>
        </w:rPr>
        <w:t>.预膜过程中应尽量减少用水、预膜时间及现场人员负担。</w:t>
      </w:r>
    </w:p>
    <w:p>
      <w:pPr>
        <w:ind w:left="454"/>
        <w:rPr>
          <w:rFonts w:hint="eastAsia" w:ascii="宋体" w:hAnsi="宋体" w:cs="宋体"/>
          <w:szCs w:val="24"/>
          <w:highlight w:val="none"/>
        </w:rPr>
      </w:pPr>
      <w:r>
        <w:rPr>
          <w:highlight w:val="none"/>
        </w:rPr>
        <mc:AlternateContent>
          <mc:Choice Requires="wps">
            <w:drawing>
              <wp:anchor distT="0" distB="0" distL="114300" distR="114300" simplePos="0" relativeHeight="251713536" behindDoc="0" locked="0" layoutInCell="1" allowOverlap="1">
                <wp:simplePos x="0" y="0"/>
                <wp:positionH relativeFrom="column">
                  <wp:posOffset>2893060</wp:posOffset>
                </wp:positionH>
                <wp:positionV relativeFrom="paragraph">
                  <wp:posOffset>274955</wp:posOffset>
                </wp:positionV>
                <wp:extent cx="147955" cy="329565"/>
                <wp:effectExtent l="15240" t="6350" r="27305" b="26035"/>
                <wp:wrapNone/>
                <wp:docPr id="88" name="下箭头 88"/>
                <wp:cNvGraphicFramePr/>
                <a:graphic xmlns:a="http://schemas.openxmlformats.org/drawingml/2006/main">
                  <a:graphicData uri="http://schemas.microsoft.com/office/word/2010/wordprocessingShape">
                    <wps:wsp>
                      <wps:cNvSpPr/>
                      <wps:spPr>
                        <a:xfrm>
                          <a:off x="0" y="0"/>
                          <a:ext cx="147955" cy="329565"/>
                        </a:xfrm>
                        <a:prstGeom prst="downArrow">
                          <a:avLst>
                            <a:gd name="adj1" fmla="val 50000"/>
                            <a:gd name="adj2" fmla="val 50004"/>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27.8pt;margin-top:21.65pt;height:25.95pt;width:11.65pt;z-index:251713536;v-text-anchor:middle;mso-width-relative:page;mso-height-relative:page;" fillcolor="#000001" filled="t" stroked="t" coordsize="21600,21600" o:gfxdata="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1xlg82AAAAAkBAAAPAAAAAAAAAAEAIAAAACIAAABkcnMvZG93bnJldi54&#10;bWxQSwECFAAUAAAACACHTuJAlhe+3DMCAACUBAAADgAAAAAAAAABACAAAAAnAQAAZHJzL2Uyb0Rv&#10;Yy54bWxQSwUGAAAAAAYABgBZAQAAzAUAAAAA&#10;" adj="16752,5400">
                <v:fill on="t" focussize="0,0"/>
                <v:stroke weight="1pt" color="#000000" joinstyle="miter"/>
                <v:imagedata o:title=""/>
                <o:lock v:ext="edit" aspectratio="f"/>
              </v:shape>
            </w:pict>
          </mc:Fallback>
        </mc:AlternateContent>
      </w:r>
      <w:r>
        <w:rPr>
          <w:rFonts w:ascii="宋体" w:hAnsi="宋体" w:cs="宋体"/>
          <w:szCs w:val="24"/>
          <w:highlight w:val="none"/>
        </w:rPr>
        <w:t>10</w:t>
      </w:r>
      <w:r>
        <w:rPr>
          <w:rFonts w:hint="eastAsia" w:ascii="宋体" w:hAnsi="宋体" w:cs="宋体"/>
          <w:szCs w:val="24"/>
          <w:highlight w:val="none"/>
        </w:rPr>
        <w:t>.以下为建议的冷冻水管道预膜程序，乙方在投标时需提供相应预膜流程及方案</w:t>
      </w:r>
    </w:p>
    <w:p>
      <w:pPr>
        <w:ind w:left="454"/>
        <w:rPr>
          <w:rFonts w:hint="eastAsia" w:ascii="宋体" w:hAnsi="宋体" w:cs="宋体"/>
          <w:szCs w:val="24"/>
          <w:highlight w:val="none"/>
        </w:rPr>
      </w:pPr>
    </w:p>
    <w:p>
      <w:pPr>
        <w:jc w:val="center"/>
        <w:rPr>
          <w:szCs w:val="24"/>
          <w:highlight w:val="none"/>
        </w:rPr>
      </w:pPr>
    </w:p>
    <w:p>
      <w:pPr>
        <w:jc w:val="center"/>
        <w:rPr>
          <w:rFonts w:hint="eastAsia"/>
          <w:szCs w:val="24"/>
          <w:highlight w:val="none"/>
        </w:rPr>
      </w:pPr>
      <w:r>
        <w:rPr>
          <w:highlight w:val="none"/>
        </w:rPr>
        <mc:AlternateContent>
          <mc:Choice Requires="wps">
            <w:drawing>
              <wp:anchor distT="0" distB="0" distL="114300" distR="114300" simplePos="0" relativeHeight="251706368" behindDoc="0" locked="0" layoutInCell="1" allowOverlap="1">
                <wp:simplePos x="0" y="0"/>
                <wp:positionH relativeFrom="column">
                  <wp:posOffset>2899410</wp:posOffset>
                </wp:positionH>
                <wp:positionV relativeFrom="paragraph">
                  <wp:posOffset>276225</wp:posOffset>
                </wp:positionV>
                <wp:extent cx="147955" cy="329565"/>
                <wp:effectExtent l="15240" t="6350" r="27305" b="26035"/>
                <wp:wrapNone/>
                <wp:docPr id="72" name="下箭头 72"/>
                <wp:cNvGraphicFramePr/>
                <a:graphic xmlns:a="http://schemas.openxmlformats.org/drawingml/2006/main">
                  <a:graphicData uri="http://schemas.microsoft.com/office/word/2010/wordprocessingShape">
                    <wps:wsp>
                      <wps:cNvSpPr/>
                      <wps:spPr>
                        <a:xfrm>
                          <a:off x="0" y="0"/>
                          <a:ext cx="147955" cy="329565"/>
                        </a:xfrm>
                        <a:prstGeom prst="downArrow">
                          <a:avLst>
                            <a:gd name="adj1" fmla="val 50000"/>
                            <a:gd name="adj2" fmla="val 50004"/>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28.3pt;margin-top:21.75pt;height:25.95pt;width:11.65pt;z-index:251706368;v-text-anchor:middle;mso-width-relative:page;mso-height-relative:page;" fillcolor="#000001" filled="t" stroked="t" coordsize="21600,21600" o:gfxdata="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K5OlbXAAAACQEAAA8AAAAAAAAAAQAgAAAAIgAAAGRycy9kb3ducmV2Lnht&#10;bFBLAQIUABQAAAAIAIdO4kBzqci8MwIAAJQEAAAOAAAAAAAAAAEAIAAAACYBAABkcnMvZTJvRG9j&#10;LnhtbFBLBQYAAAAABgAGAFkBAADLBQAAAAA=&#10;" adj="16752,5400">
                <v:fill on="t" focussize="0,0"/>
                <v:stroke weight="1pt" color="#000000" joinstyle="miter"/>
                <v:imagedata o:title=""/>
                <o:lock v:ext="edit" aspectratio="f"/>
              </v:shape>
            </w:pict>
          </mc:Fallback>
        </mc:AlternateContent>
      </w:r>
      <w:r>
        <w:rPr>
          <w:rFonts w:hint="eastAsia"/>
          <w:szCs w:val="24"/>
          <w:highlight w:val="none"/>
        </w:rPr>
        <w:t>管路系统完工并质检合格，将系统及管路内部的大块杂质及泥沙先清理一次</w:t>
      </w:r>
    </w:p>
    <w:p>
      <w:pPr>
        <w:jc w:val="center"/>
        <w:rPr>
          <w:rFonts w:hint="eastAsia"/>
          <w:szCs w:val="24"/>
          <w:highlight w:val="none"/>
        </w:rPr>
      </w:pPr>
    </w:p>
    <w:p>
      <w:pPr>
        <w:jc w:val="center"/>
        <w:rPr>
          <w:szCs w:val="24"/>
          <w:highlight w:val="none"/>
        </w:rPr>
      </w:pPr>
    </w:p>
    <w:p>
      <w:pPr>
        <w:jc w:val="center"/>
        <w:rPr>
          <w:rFonts w:hint="eastAsia"/>
          <w:szCs w:val="24"/>
          <w:highlight w:val="none"/>
        </w:rPr>
      </w:pPr>
      <w:r>
        <w:rPr>
          <w:rFonts w:hint="eastAsia"/>
          <w:szCs w:val="24"/>
          <w:highlight w:val="none"/>
        </w:rPr>
        <w:t>补进自来水，将全系统阀门打开，将循环泵打开循环约4～8个小时，管道流速不低于1米每秒（对于有微生物污染的系统，最好加入生物分散剂及杀菌剂）</w:t>
      </w:r>
    </w:p>
    <w:p>
      <w:pPr>
        <w:jc w:val="center"/>
        <w:rPr>
          <w:rFonts w:hint="eastAsia"/>
          <w:szCs w:val="24"/>
          <w:highlight w:val="none"/>
        </w:rPr>
      </w:pPr>
      <w:r>
        <w:rPr>
          <w:highlight w:val="none"/>
        </w:rPr>
        <mc:AlternateContent>
          <mc:Choice Requires="wps">
            <w:drawing>
              <wp:anchor distT="0" distB="0" distL="114300" distR="114300" simplePos="0" relativeHeight="251707392" behindDoc="0" locked="0" layoutInCell="1" allowOverlap="1">
                <wp:simplePos x="0" y="0"/>
                <wp:positionH relativeFrom="column">
                  <wp:posOffset>2891155</wp:posOffset>
                </wp:positionH>
                <wp:positionV relativeFrom="paragraph">
                  <wp:posOffset>5080</wp:posOffset>
                </wp:positionV>
                <wp:extent cx="147955" cy="329565"/>
                <wp:effectExtent l="15240" t="6350" r="27305" b="26035"/>
                <wp:wrapNone/>
                <wp:docPr id="78" name="下箭头 78"/>
                <wp:cNvGraphicFramePr/>
                <a:graphic xmlns:a="http://schemas.openxmlformats.org/drawingml/2006/main">
                  <a:graphicData uri="http://schemas.microsoft.com/office/word/2010/wordprocessingShape">
                    <wps:wsp>
                      <wps:cNvSpPr/>
                      <wps:spPr>
                        <a:xfrm>
                          <a:off x="0" y="0"/>
                          <a:ext cx="147955" cy="329565"/>
                        </a:xfrm>
                        <a:prstGeom prst="downArrow">
                          <a:avLst>
                            <a:gd name="adj1" fmla="val 50000"/>
                            <a:gd name="adj2" fmla="val 50004"/>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27.65pt;margin-top:0.4pt;height:25.95pt;width:11.65pt;z-index:251707392;v-text-anchor:middle;mso-width-relative:page;mso-height-relative:page;" fillcolor="#000001" filled="t" stroked="t" coordsize="21600,21600" o:gfxdata="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M0xS51QAAAAcBAAAPAAAAAAAAAAEAIAAAACIAAABkcnMvZG93bnJldi54bWxQ&#10;SwECFAAUAAAACACHTuJAs9+FCjMCAACUBAAADgAAAAAAAAABACAAAAAkAQAAZHJzL2Uyb0RvYy54&#10;bWxQSwUGAAAAAAYABgBZAQAAyQUAAAAA&#10;" adj="16752,5400">
                <v:fill on="t" focussize="0,0"/>
                <v:stroke weight="1pt" color="#000000" joinstyle="miter"/>
                <v:imagedata o:title=""/>
                <o:lock v:ext="edit" aspectratio="f"/>
              </v:shape>
            </w:pict>
          </mc:Fallback>
        </mc:AlternateContent>
      </w:r>
    </w:p>
    <w:p>
      <w:pPr>
        <w:jc w:val="center"/>
        <w:rPr>
          <w:szCs w:val="24"/>
          <w:highlight w:val="none"/>
        </w:rPr>
      </w:pPr>
    </w:p>
    <w:p>
      <w:pPr>
        <w:jc w:val="center"/>
        <w:rPr>
          <w:szCs w:val="24"/>
          <w:highlight w:val="none"/>
        </w:rPr>
      </w:pPr>
      <w:r>
        <w:rPr>
          <w:highlight w:val="none"/>
        </w:rPr>
        <mc:AlternateContent>
          <mc:Choice Requires="wps">
            <w:drawing>
              <wp:anchor distT="0" distB="0" distL="114300" distR="114300" simplePos="0" relativeHeight="251708416" behindDoc="0" locked="0" layoutInCell="1" allowOverlap="1">
                <wp:simplePos x="0" y="0"/>
                <wp:positionH relativeFrom="column">
                  <wp:posOffset>2899410</wp:posOffset>
                </wp:positionH>
                <wp:positionV relativeFrom="paragraph">
                  <wp:posOffset>240665</wp:posOffset>
                </wp:positionV>
                <wp:extent cx="147955" cy="329565"/>
                <wp:effectExtent l="15240" t="6350" r="27305" b="26035"/>
                <wp:wrapNone/>
                <wp:docPr id="79" name="下箭头 79"/>
                <wp:cNvGraphicFramePr/>
                <a:graphic xmlns:a="http://schemas.openxmlformats.org/drawingml/2006/main">
                  <a:graphicData uri="http://schemas.microsoft.com/office/word/2010/wordprocessingShape">
                    <wps:wsp>
                      <wps:cNvSpPr/>
                      <wps:spPr>
                        <a:xfrm>
                          <a:off x="0" y="0"/>
                          <a:ext cx="147955" cy="329565"/>
                        </a:xfrm>
                        <a:prstGeom prst="downArrow">
                          <a:avLst>
                            <a:gd name="adj1" fmla="val 50000"/>
                            <a:gd name="adj2" fmla="val 50004"/>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28.3pt;margin-top:18.95pt;height:25.95pt;width:11.65pt;z-index:251708416;v-text-anchor:middle;mso-width-relative:page;mso-height-relative:page;" fillcolor="#000001" filled="t" stroked="t" coordsize="21600,21600" o:gfxdata="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pV5MrXAAAACQEAAA8AAAAAAAAAAQAgAAAAIgAAAGRycy9kb3ducmV2Lnht&#10;bFBLAQIUABQAAAAIAIdO4kBsBQuuMwIAAJQEAAAOAAAAAAAAAAEAIAAAACYBAABkcnMvZTJvRG9j&#10;LnhtbFBLBQYAAAAABgAGAFkBAADLBQAAAAA=&#10;" adj="16752,5400">
                <v:fill on="t" focussize="0,0"/>
                <v:stroke weight="1pt" color="#000000" joinstyle="miter"/>
                <v:imagedata o:title=""/>
                <o:lock v:ext="edit" aspectratio="f"/>
              </v:shape>
            </w:pict>
          </mc:Fallback>
        </mc:AlternateContent>
      </w:r>
      <w:r>
        <w:rPr>
          <w:szCs w:val="24"/>
          <w:highlight w:val="none"/>
        </w:rPr>
        <w:t></w:t>
      </w:r>
      <w:r>
        <w:rPr>
          <w:rFonts w:hint="eastAsia"/>
          <w:szCs w:val="24"/>
          <w:highlight w:val="none"/>
        </w:rPr>
        <w:t>将循环水全部排放，一次，并清理 Y型过滤器</w:t>
      </w:r>
    </w:p>
    <w:p>
      <w:pPr>
        <w:jc w:val="center"/>
        <w:rPr>
          <w:szCs w:val="24"/>
          <w:highlight w:val="none"/>
        </w:rPr>
      </w:pPr>
    </w:p>
    <w:p>
      <w:pPr>
        <w:jc w:val="center"/>
        <w:rPr>
          <w:szCs w:val="24"/>
          <w:highlight w:val="none"/>
        </w:rPr>
      </w:pPr>
      <w:r>
        <w:rPr>
          <w:szCs w:val="24"/>
          <w:highlight w:val="none"/>
        </w:rPr>
        <w:t></w:t>
      </w:r>
      <w:r>
        <w:rPr>
          <w:rFonts w:hint="eastAsia"/>
          <w:szCs w:val="24"/>
          <w:highlight w:val="none"/>
        </w:rPr>
        <w:t>将系统重新补满水</w:t>
      </w:r>
    </w:p>
    <w:p>
      <w:pPr>
        <w:jc w:val="center"/>
        <w:rPr>
          <w:szCs w:val="24"/>
          <w:highlight w:val="none"/>
        </w:rPr>
      </w:pPr>
      <w:r>
        <w:rPr>
          <w:highlight w:val="none"/>
        </w:rPr>
        <mc:AlternateContent>
          <mc:Choice Requires="wps">
            <w:drawing>
              <wp:anchor distT="0" distB="0" distL="114300" distR="114300" simplePos="0" relativeHeight="251709440" behindDoc="0" locked="0" layoutInCell="1" allowOverlap="1">
                <wp:simplePos x="0" y="0"/>
                <wp:positionH relativeFrom="column">
                  <wp:posOffset>2775585</wp:posOffset>
                </wp:positionH>
                <wp:positionV relativeFrom="paragraph">
                  <wp:posOffset>86360</wp:posOffset>
                </wp:positionV>
                <wp:extent cx="147955" cy="329565"/>
                <wp:effectExtent l="15240" t="6350" r="27305" b="26035"/>
                <wp:wrapNone/>
                <wp:docPr id="80" name="下箭头 80"/>
                <wp:cNvGraphicFramePr/>
                <a:graphic xmlns:a="http://schemas.openxmlformats.org/drawingml/2006/main">
                  <a:graphicData uri="http://schemas.microsoft.com/office/word/2010/wordprocessingShape">
                    <wps:wsp>
                      <wps:cNvSpPr/>
                      <wps:spPr>
                        <a:xfrm>
                          <a:off x="0" y="0"/>
                          <a:ext cx="147955" cy="329565"/>
                        </a:xfrm>
                        <a:prstGeom prst="downArrow">
                          <a:avLst>
                            <a:gd name="adj1" fmla="val 50000"/>
                            <a:gd name="adj2" fmla="val 50004"/>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18.55pt;margin-top:6.8pt;height:25.95pt;width:11.65pt;z-index:251709440;v-text-anchor:middle;mso-width-relative:page;mso-height-relative:page;" fillcolor="#000001" filled="t" stroked="t" coordsize="21600,21600" o:gfxdata="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XnNc9YAAAAJAQAADwAAAAAAAAABACAAAAAiAAAAZHJzL2Rvd25yZXYueG1s&#10;UEsBAhQAFAAAAAgAh07iQKnSn/gzAgAAlAQAAA4AAAAAAAAAAQAgAAAAJQEAAGRycy9lMm9Eb2Mu&#10;eG1sUEsFBgAAAAAGAAYAWQEAAMoFAAAAAA==&#10;" adj="16752,5400">
                <v:fill on="t" focussize="0,0"/>
                <v:stroke weight="1pt" color="#000000" joinstyle="miter"/>
                <v:imagedata o:title=""/>
                <o:lock v:ext="edit" aspectratio="f"/>
              </v:shape>
            </w:pict>
          </mc:Fallback>
        </mc:AlternateContent>
      </w:r>
    </w:p>
    <w:p>
      <w:pPr>
        <w:jc w:val="center"/>
        <w:rPr>
          <w:szCs w:val="24"/>
          <w:highlight w:val="none"/>
        </w:rPr>
      </w:pPr>
      <w:r>
        <w:rPr>
          <w:szCs w:val="24"/>
          <w:highlight w:val="none"/>
        </w:rPr>
        <w:t></w:t>
      </w:r>
    </w:p>
    <w:p>
      <w:pPr>
        <w:jc w:val="center"/>
        <w:rPr>
          <w:szCs w:val="24"/>
          <w:highlight w:val="none"/>
        </w:rPr>
      </w:pPr>
      <w:r>
        <w:rPr>
          <w:rFonts w:hint="eastAsia"/>
          <w:szCs w:val="24"/>
          <w:highlight w:val="none"/>
        </w:rPr>
        <w:t>加入预处理药剂，并开始循环</w:t>
      </w:r>
    </w:p>
    <w:p>
      <w:pPr>
        <w:jc w:val="center"/>
        <w:rPr>
          <w:szCs w:val="24"/>
          <w:highlight w:val="none"/>
        </w:rPr>
      </w:pPr>
      <w:r>
        <w:rPr>
          <w:highlight w:val="none"/>
        </w:rPr>
        <mc:AlternateContent>
          <mc:Choice Requires="wps">
            <w:drawing>
              <wp:anchor distT="0" distB="0" distL="114300" distR="114300" simplePos="0" relativeHeight="251710464" behindDoc="0" locked="0" layoutInCell="1" allowOverlap="1">
                <wp:simplePos x="0" y="0"/>
                <wp:positionH relativeFrom="column">
                  <wp:posOffset>2786380</wp:posOffset>
                </wp:positionH>
                <wp:positionV relativeFrom="paragraph">
                  <wp:posOffset>46990</wp:posOffset>
                </wp:positionV>
                <wp:extent cx="147955" cy="329565"/>
                <wp:effectExtent l="15240" t="6350" r="27305" b="26035"/>
                <wp:wrapNone/>
                <wp:docPr id="82" name="下箭头 82"/>
                <wp:cNvGraphicFramePr/>
                <a:graphic xmlns:a="http://schemas.openxmlformats.org/drawingml/2006/main">
                  <a:graphicData uri="http://schemas.microsoft.com/office/word/2010/wordprocessingShape">
                    <wps:wsp>
                      <wps:cNvSpPr/>
                      <wps:spPr>
                        <a:xfrm>
                          <a:off x="0" y="0"/>
                          <a:ext cx="147955" cy="329565"/>
                        </a:xfrm>
                        <a:prstGeom prst="downArrow">
                          <a:avLst>
                            <a:gd name="adj1" fmla="val 50000"/>
                            <a:gd name="adj2" fmla="val 50004"/>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19.4pt;margin-top:3.7pt;height:25.95pt;width:11.65pt;z-index:251710464;v-text-anchor:middle;mso-width-relative:page;mso-height-relative:page;" fillcolor="#000001" filled="t" stroked="t" coordsize="21600,21600" o:gfxdata="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lVRptYAAAAIAQAADwAAAAAAAAABACAAAAAiAAAAZHJzL2Rvd25yZXYueG1s&#10;UEsBAhQAFAAAAAgAh07iQFZh82ozAgAAlAQAAA4AAAAAAAAAAQAgAAAAJQEAAGRycy9lMm9Eb2Mu&#10;eG1sUEsFBgAAAAAGAAYAWQEAAMoFAAAAAA==&#10;" adj="16752,5400">
                <v:fill on="t" focussize="0,0"/>
                <v:stroke weight="1pt" color="#000000" joinstyle="miter"/>
                <v:imagedata o:title=""/>
                <o:lock v:ext="edit" aspectratio="f"/>
              </v:shape>
            </w:pict>
          </mc:Fallback>
        </mc:AlternateContent>
      </w:r>
    </w:p>
    <w:p>
      <w:pPr>
        <w:jc w:val="center"/>
        <w:rPr>
          <w:szCs w:val="24"/>
          <w:highlight w:val="none"/>
        </w:rPr>
      </w:pPr>
      <w:r>
        <w:rPr>
          <w:szCs w:val="24"/>
          <w:highlight w:val="none"/>
        </w:rPr>
        <w:t></w:t>
      </w:r>
    </w:p>
    <w:p>
      <w:pPr>
        <w:jc w:val="center"/>
        <w:rPr>
          <w:szCs w:val="24"/>
          <w:highlight w:val="none"/>
        </w:rPr>
      </w:pPr>
      <w:r>
        <w:rPr>
          <w:rFonts w:hint="eastAsia"/>
          <w:szCs w:val="24"/>
          <w:highlight w:val="none"/>
        </w:rPr>
        <w:t>循环时将所有阀门打开，让清洗液能循环到每支管线</w:t>
      </w:r>
    </w:p>
    <w:p>
      <w:pPr>
        <w:jc w:val="center"/>
        <w:rPr>
          <w:szCs w:val="24"/>
          <w:highlight w:val="none"/>
        </w:rPr>
      </w:pPr>
      <w:r>
        <w:rPr>
          <w:highlight w:val="none"/>
        </w:rPr>
        <mc:AlternateContent>
          <mc:Choice Requires="wps">
            <w:drawing>
              <wp:anchor distT="0" distB="0" distL="114300" distR="114300" simplePos="0" relativeHeight="251711488" behindDoc="0" locked="0" layoutInCell="1" allowOverlap="1">
                <wp:simplePos x="0" y="0"/>
                <wp:positionH relativeFrom="column">
                  <wp:posOffset>2791460</wp:posOffset>
                </wp:positionH>
                <wp:positionV relativeFrom="paragraph">
                  <wp:posOffset>12065</wp:posOffset>
                </wp:positionV>
                <wp:extent cx="147955" cy="329565"/>
                <wp:effectExtent l="15240" t="6350" r="27305" b="26035"/>
                <wp:wrapNone/>
                <wp:docPr id="41" name="下箭头 41"/>
                <wp:cNvGraphicFramePr/>
                <a:graphic xmlns:a="http://schemas.openxmlformats.org/drawingml/2006/main">
                  <a:graphicData uri="http://schemas.microsoft.com/office/word/2010/wordprocessingShape">
                    <wps:wsp>
                      <wps:cNvSpPr/>
                      <wps:spPr>
                        <a:xfrm>
                          <a:off x="0" y="0"/>
                          <a:ext cx="147955" cy="329565"/>
                        </a:xfrm>
                        <a:prstGeom prst="downArrow">
                          <a:avLst>
                            <a:gd name="adj1" fmla="val 50000"/>
                            <a:gd name="adj2" fmla="val 50004"/>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19.8pt;margin-top:0.95pt;height:25.95pt;width:11.65pt;z-index:251711488;v-text-anchor:middle;mso-width-relative:page;mso-height-relative:page;" fillcolor="#000001" filled="t" stroked="t" coordsize="21600,21600" o:gfxdata="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E5OxtUAAAAIAQAADwAAAAAAAAABACAAAAAiAAAAZHJzL2Rvd25yZXYueG1sUEsB&#10;AhQAFAAAAAgAh07iQPICcrExAgAAlAQAAA4AAAAAAAAAAQAgAAAAJAEAAGRycy9lMm9Eb2MueG1s&#10;UEsFBgAAAAAGAAYAWQEAAMcFAAAAAA==&#10;" adj="16752,5400">
                <v:fill on="t" focussize="0,0"/>
                <v:stroke weight="1pt" color="#000000" joinstyle="miter"/>
                <v:imagedata o:title=""/>
                <o:lock v:ext="edit" aspectratio="f"/>
              </v:shape>
            </w:pict>
          </mc:Fallback>
        </mc:AlternateContent>
      </w:r>
    </w:p>
    <w:p>
      <w:pPr>
        <w:jc w:val="center"/>
        <w:rPr>
          <w:szCs w:val="24"/>
          <w:highlight w:val="none"/>
        </w:rPr>
      </w:pPr>
      <w:r>
        <w:rPr>
          <w:szCs w:val="24"/>
          <w:highlight w:val="none"/>
        </w:rPr>
        <w:t></w:t>
      </w:r>
    </w:p>
    <w:p>
      <w:pPr>
        <w:jc w:val="center"/>
        <w:rPr>
          <w:szCs w:val="24"/>
          <w:highlight w:val="none"/>
        </w:rPr>
      </w:pPr>
      <w:r>
        <w:rPr>
          <w:rFonts w:hint="eastAsia"/>
          <w:szCs w:val="24"/>
          <w:highlight w:val="none"/>
        </w:rPr>
        <w:t>循环2天后，将清洗液全部排放（如果系统很脏，再清洗一次）</w:t>
      </w:r>
    </w:p>
    <w:p>
      <w:pPr>
        <w:jc w:val="center"/>
        <w:rPr>
          <w:szCs w:val="24"/>
          <w:highlight w:val="none"/>
        </w:rPr>
      </w:pPr>
      <w:r>
        <w:rPr>
          <w:highlight w:val="none"/>
        </w:rPr>
        <mc:AlternateContent>
          <mc:Choice Requires="wps">
            <w:drawing>
              <wp:anchor distT="0" distB="0" distL="114300" distR="114300" simplePos="0" relativeHeight="251712512" behindDoc="0" locked="0" layoutInCell="1" allowOverlap="1">
                <wp:simplePos x="0" y="0"/>
                <wp:positionH relativeFrom="column">
                  <wp:posOffset>2816225</wp:posOffset>
                </wp:positionH>
                <wp:positionV relativeFrom="paragraph">
                  <wp:posOffset>19050</wp:posOffset>
                </wp:positionV>
                <wp:extent cx="147955" cy="329565"/>
                <wp:effectExtent l="15240" t="6350" r="27305" b="26035"/>
                <wp:wrapNone/>
                <wp:docPr id="81" name="下箭头 81"/>
                <wp:cNvGraphicFramePr/>
                <a:graphic xmlns:a="http://schemas.openxmlformats.org/drawingml/2006/main">
                  <a:graphicData uri="http://schemas.microsoft.com/office/word/2010/wordprocessingShape">
                    <wps:wsp>
                      <wps:cNvSpPr/>
                      <wps:spPr>
                        <a:xfrm>
                          <a:off x="0" y="0"/>
                          <a:ext cx="147955" cy="329565"/>
                        </a:xfrm>
                        <a:prstGeom prst="downArrow">
                          <a:avLst>
                            <a:gd name="adj1" fmla="val 50000"/>
                            <a:gd name="adj2" fmla="val 50004"/>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21.75pt;margin-top:1.5pt;height:25.95pt;width:11.65pt;z-index:251712512;v-text-anchor:middle;mso-width-relative:page;mso-height-relative:page;" fillcolor="#000001" filled="t" stroked="t" coordsize="21600,21600" o:gfxdata="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LGmbNUAAAAIAQAADwAAAAAAAAABACAAAAAiAAAAZHJzL2Rvd25yZXYueG1sUEsB&#10;AhQAFAAAAAgAh07iQHYIEVwxAgAAlAQAAA4AAAAAAAAAAQAgAAAAJAEAAGRycy9lMm9Eb2MueG1s&#10;UEsFBgAAAAAGAAYAWQEAAMcFAAAAAA==&#10;" adj="16752,5400">
                <v:fill on="t" focussize="0,0"/>
                <v:stroke weight="1pt" color="#000000" joinstyle="miter"/>
                <v:imagedata o:title=""/>
                <o:lock v:ext="edit" aspectratio="f"/>
              </v:shape>
            </w:pict>
          </mc:Fallback>
        </mc:AlternateContent>
      </w:r>
    </w:p>
    <w:p>
      <w:pPr>
        <w:jc w:val="center"/>
        <w:rPr>
          <w:szCs w:val="24"/>
          <w:highlight w:val="none"/>
        </w:rPr>
      </w:pPr>
      <w:r>
        <w:rPr>
          <w:szCs w:val="24"/>
          <w:highlight w:val="none"/>
        </w:rPr>
        <w:t></w:t>
      </w:r>
    </w:p>
    <w:p>
      <w:pPr>
        <w:jc w:val="center"/>
        <w:rPr>
          <w:szCs w:val="24"/>
          <w:highlight w:val="none"/>
        </w:rPr>
      </w:pPr>
      <w:r>
        <w:rPr>
          <w:rFonts w:hint="eastAsia"/>
          <w:szCs w:val="24"/>
          <w:highlight w:val="none"/>
        </w:rPr>
        <w:t>重新补进新水，按相关方案加入运行维护药剂即可</w:t>
      </w:r>
    </w:p>
    <w:p>
      <w:pPr>
        <w:jc w:val="center"/>
        <w:rPr>
          <w:szCs w:val="24"/>
          <w:highlight w:val="none"/>
        </w:rPr>
      </w:pPr>
    </w:p>
    <w:p>
      <w:pPr>
        <w:ind w:firstLine="420" w:firstLineChars="200"/>
        <w:jc w:val="left"/>
        <w:rPr>
          <w:szCs w:val="24"/>
          <w:highlight w:val="none"/>
        </w:rPr>
      </w:pPr>
      <w:r>
        <w:rPr>
          <w:rFonts w:hint="eastAsia" w:ascii="宋体" w:hAnsi="宋体" w:cs="宋体"/>
          <w:szCs w:val="24"/>
          <w:highlight w:val="none"/>
        </w:rPr>
        <w:t>11.以下为建议的冷却水管道预膜程序，乙方在投标时需提供相应预膜流程及方案</w:t>
      </w:r>
      <w:r>
        <w:rPr>
          <w:highlight w:val="none"/>
        </w:rPr>
        <mc:AlternateContent>
          <mc:Choice Requires="wps">
            <w:drawing>
              <wp:anchor distT="0" distB="0" distL="114300" distR="114300" simplePos="0" relativeHeight="251705344" behindDoc="0" locked="0" layoutInCell="1" allowOverlap="1">
                <wp:simplePos x="0" y="0"/>
                <wp:positionH relativeFrom="column">
                  <wp:posOffset>2921000</wp:posOffset>
                </wp:positionH>
                <wp:positionV relativeFrom="paragraph">
                  <wp:posOffset>261620</wp:posOffset>
                </wp:positionV>
                <wp:extent cx="102235" cy="340995"/>
                <wp:effectExtent l="15240" t="6350" r="15875" b="14605"/>
                <wp:wrapNone/>
                <wp:docPr id="46" name="下箭头 46"/>
                <wp:cNvGraphicFramePr/>
                <a:graphic xmlns:a="http://schemas.openxmlformats.org/drawingml/2006/main">
                  <a:graphicData uri="http://schemas.microsoft.com/office/word/2010/wordprocessingShape">
                    <wps:wsp>
                      <wps:cNvSpPr/>
                      <wps:spPr>
                        <a:xfrm>
                          <a:off x="0" y="0"/>
                          <a:ext cx="102235" cy="340995"/>
                        </a:xfrm>
                        <a:prstGeom prst="downArrow">
                          <a:avLst>
                            <a:gd name="adj1" fmla="val 50000"/>
                            <a:gd name="adj2" fmla="val 50000"/>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30pt;margin-top:20.6pt;height:26.85pt;width:8.05pt;z-index:251705344;v-text-anchor:middle;mso-width-relative:page;mso-height-relative:page;" fillcolor="#000001" filled="t" stroked="t" coordsize="21600,21600" o:gfxdata="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gpJQO2gAAAAkBAAAPAAAAAAAAAAEAIAAAACIAAABkcnMvZG93bnJldi54&#10;bWxQSwECFAAUAAAACACHTuJAstn7DTECAACUBAAADgAAAAAAAAABACAAAAApAQAAZHJzL2Uyb0Rv&#10;Yy54bWxQSwUGAAAAAAYABgBZAQAAzAUAAAAA&#10;" adj="18363,5400">
                <v:fill on="t" focussize="0,0"/>
                <v:stroke weight="1pt" color="#000000" joinstyle="miter"/>
                <v:imagedata o:title=""/>
                <o:lock v:ext="edit" aspectratio="f"/>
              </v:shape>
            </w:pict>
          </mc:Fallback>
        </mc:AlternateContent>
      </w:r>
      <w:r>
        <w:rPr>
          <w:rFonts w:hint="eastAsia"/>
          <w:szCs w:val="24"/>
          <w:highlight w:val="none"/>
        </w:rPr>
        <w:t>管路系统完工并质检合格，将系统及管路内部的大块杂质及泥沙先清理一次</w:t>
      </w:r>
      <w:r>
        <w:rPr>
          <w:highlight w:val="none"/>
        </w:rPr>
        <mc:AlternateContent>
          <mc:Choice Requires="wps">
            <w:drawing>
              <wp:anchor distT="0" distB="0" distL="114300" distR="114300" simplePos="0" relativeHeight="251699200" behindDoc="0" locked="0" layoutInCell="1" allowOverlap="1">
                <wp:simplePos x="0" y="0"/>
                <wp:positionH relativeFrom="column">
                  <wp:posOffset>2921000</wp:posOffset>
                </wp:positionH>
                <wp:positionV relativeFrom="paragraph">
                  <wp:posOffset>576580</wp:posOffset>
                </wp:positionV>
                <wp:extent cx="101600" cy="340360"/>
                <wp:effectExtent l="15240" t="6350" r="16510" b="15240"/>
                <wp:wrapNone/>
                <wp:docPr id="47" name="下箭头 47"/>
                <wp:cNvGraphicFramePr/>
                <a:graphic xmlns:a="http://schemas.openxmlformats.org/drawingml/2006/main">
                  <a:graphicData uri="http://schemas.microsoft.com/office/word/2010/wordprocessingShape">
                    <wps:wsp>
                      <wps:cNvSpPr/>
                      <wps:spPr>
                        <a:xfrm>
                          <a:off x="0" y="0"/>
                          <a:ext cx="101600" cy="340360"/>
                        </a:xfrm>
                        <a:prstGeom prst="downArrow">
                          <a:avLst>
                            <a:gd name="adj1" fmla="val 50000"/>
                            <a:gd name="adj2" fmla="val 50001"/>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30pt;margin-top:45.4pt;height:26.8pt;width:8pt;z-index:251699200;v-text-anchor:middle;mso-width-relative:page;mso-height-relative:page;" fillcolor="#000001" filled="t" stroked="t" coordsize="21600,21600" o:gfxdata="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Gf7JjXAAAACgEAAA8AAAAAAAAAAQAgAAAAIgAAAGRycy9kb3ducmV2LnhtbFBL&#10;AQIUABQAAAAIAIdO4kAWnWHKMAIAAJQEAAAOAAAAAAAAAAEAIAAAACYBAABkcnMvZTJvRG9jLnht&#10;bFBLBQYAAAAABgAGAFkBAADIBQAAAAA=&#10;" adj="18377,5400">
                <v:fill on="t" focussize="0,0"/>
                <v:stroke weight="1pt" color="#000000" joinstyle="miter"/>
                <v:imagedata o:title=""/>
                <o:lock v:ext="edit" aspectratio="f"/>
              </v:shape>
            </w:pict>
          </mc:Fallback>
        </mc:AlternateContent>
      </w:r>
      <w:r>
        <w:rPr>
          <w:szCs w:val="24"/>
          <w:highlight w:val="none"/>
        </w:rPr>
        <w:t xml:space="preserve"> </w:t>
      </w:r>
      <w:r>
        <w:rPr>
          <w:rFonts w:hint="eastAsia"/>
          <w:szCs w:val="24"/>
          <w:highlight w:val="none"/>
        </w:rPr>
        <w:t>补进自来水，将全系统阀门打开，将循环泵打开循环约4～8个小时，管道流速不低于1米每秒（对于有微生物污染的系统，最好加入生物分散剂及杀菌剂）</w:t>
      </w:r>
    </w:p>
    <w:p>
      <w:pPr>
        <w:jc w:val="center"/>
        <w:rPr>
          <w:szCs w:val="24"/>
          <w:highlight w:val="none"/>
        </w:rPr>
      </w:pPr>
    </w:p>
    <w:p>
      <w:pPr>
        <w:jc w:val="center"/>
        <w:rPr>
          <w:szCs w:val="24"/>
          <w:highlight w:val="none"/>
        </w:rPr>
      </w:pPr>
      <w:r>
        <w:rPr>
          <w:highlight w:val="none"/>
        </w:rPr>
        <mc:AlternateContent>
          <mc:Choice Requires="wps">
            <w:drawing>
              <wp:anchor distT="0" distB="0" distL="114300" distR="114300" simplePos="0" relativeHeight="251700224" behindDoc="0" locked="0" layoutInCell="1" allowOverlap="1">
                <wp:simplePos x="0" y="0"/>
                <wp:positionH relativeFrom="column">
                  <wp:posOffset>2921000</wp:posOffset>
                </wp:positionH>
                <wp:positionV relativeFrom="paragraph">
                  <wp:posOffset>533400</wp:posOffset>
                </wp:positionV>
                <wp:extent cx="101600" cy="340360"/>
                <wp:effectExtent l="15240" t="6350" r="16510" b="15240"/>
                <wp:wrapNone/>
                <wp:docPr id="48" name="下箭头 48"/>
                <wp:cNvGraphicFramePr/>
                <a:graphic xmlns:a="http://schemas.openxmlformats.org/drawingml/2006/main">
                  <a:graphicData uri="http://schemas.microsoft.com/office/word/2010/wordprocessingShape">
                    <wps:wsp>
                      <wps:cNvSpPr/>
                      <wps:spPr>
                        <a:xfrm>
                          <a:off x="0" y="0"/>
                          <a:ext cx="101600" cy="340360"/>
                        </a:xfrm>
                        <a:prstGeom prst="downArrow">
                          <a:avLst>
                            <a:gd name="adj1" fmla="val 50000"/>
                            <a:gd name="adj2" fmla="val 50001"/>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30pt;margin-top:42pt;height:26.8pt;width:8pt;z-index:251700224;v-text-anchor:middle;mso-width-relative:page;mso-height-relative:page;" fillcolor="#000001" filled="t" stroked="t" coordsize="21600,21600" o:gfxdata="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4JiePYAAAACgEAAA8AAAAAAAAAAQAgAAAAIgAAAGRycy9kb3ducmV2LnhtbFBL&#10;AQIUABQAAAAIAIdO4kC2UAonLwIAAJQEAAAOAAAAAAAAAAEAIAAAACcBAABkcnMvZTJvRG9jLnht&#10;bFBLBQYAAAAABgAGAFkBAADIBQAAAAA=&#10;" adj="18377,5400">
                <v:fill on="t" focussize="0,0"/>
                <v:stroke weight="1pt" color="#000000" joinstyle="miter"/>
                <v:imagedata o:title=""/>
                <o:lock v:ext="edit" aspectratio="f"/>
              </v:shape>
            </w:pict>
          </mc:Fallback>
        </mc:AlternateContent>
      </w:r>
      <w:r>
        <w:rPr>
          <w:rFonts w:hint="eastAsia"/>
          <w:szCs w:val="24"/>
          <w:highlight w:val="none"/>
        </w:rPr>
        <w:t>将循环水全部排放 (对冷却塔池最好能将底部阀门打开排放，排放同时对塔池进行清扫)，一次，并清理Y型过滤器</w:t>
      </w:r>
    </w:p>
    <w:p>
      <w:pPr>
        <w:jc w:val="center"/>
        <w:rPr>
          <w:szCs w:val="24"/>
          <w:highlight w:val="none"/>
        </w:rPr>
      </w:pPr>
    </w:p>
    <w:p>
      <w:pPr>
        <w:jc w:val="center"/>
        <w:rPr>
          <w:szCs w:val="24"/>
          <w:highlight w:val="none"/>
        </w:rPr>
      </w:pPr>
      <w:r>
        <w:rPr>
          <w:highlight w:val="none"/>
        </w:rPr>
        <mc:AlternateContent>
          <mc:Choice Requires="wps">
            <w:drawing>
              <wp:anchor distT="0" distB="0" distL="114300" distR="114300" simplePos="0" relativeHeight="251701248" behindDoc="0" locked="0" layoutInCell="1" allowOverlap="1">
                <wp:simplePos x="0" y="0"/>
                <wp:positionH relativeFrom="column">
                  <wp:posOffset>2921000</wp:posOffset>
                </wp:positionH>
                <wp:positionV relativeFrom="paragraph">
                  <wp:posOffset>287655</wp:posOffset>
                </wp:positionV>
                <wp:extent cx="101600" cy="340360"/>
                <wp:effectExtent l="15240" t="6350" r="16510" b="15240"/>
                <wp:wrapNone/>
                <wp:docPr id="74" name="下箭头 74"/>
                <wp:cNvGraphicFramePr/>
                <a:graphic xmlns:a="http://schemas.openxmlformats.org/drawingml/2006/main">
                  <a:graphicData uri="http://schemas.microsoft.com/office/word/2010/wordprocessingShape">
                    <wps:wsp>
                      <wps:cNvSpPr/>
                      <wps:spPr>
                        <a:xfrm>
                          <a:off x="0" y="0"/>
                          <a:ext cx="101600" cy="340360"/>
                        </a:xfrm>
                        <a:prstGeom prst="downArrow">
                          <a:avLst>
                            <a:gd name="adj1" fmla="val 50000"/>
                            <a:gd name="adj2" fmla="val 50001"/>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30pt;margin-top:22.65pt;height:26.8pt;width:8pt;z-index:251701248;v-text-anchor:middle;mso-width-relative:page;mso-height-relative:page;" fillcolor="#000001" filled="t" stroked="t" coordsize="21600,21600" o:gfxdata="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veH2AAAAAkBAAAPAAAAAAAAAAEAIAAAACIAAABkcnMvZG93bnJldi54bWxQ&#10;SwECFAAUAAAACACHTuJAlzbbxzACAACUBAAADgAAAAAAAAABACAAAAAnAQAAZHJzL2Uyb0RvYy54&#10;bWxQSwUGAAAAAAYABgBZAQAAyQUAAAAA&#10;" adj="18377,5400">
                <v:fill on="t" focussize="0,0"/>
                <v:stroke weight="1pt" color="#000000" joinstyle="miter"/>
                <v:imagedata o:title=""/>
                <o:lock v:ext="edit" aspectratio="f"/>
              </v:shape>
            </w:pict>
          </mc:Fallback>
        </mc:AlternateContent>
      </w:r>
      <w:r>
        <w:rPr>
          <w:rFonts w:hint="eastAsia"/>
          <w:szCs w:val="24"/>
          <w:highlight w:val="none"/>
        </w:rPr>
        <w:t>将系统重新补满水</w:t>
      </w:r>
    </w:p>
    <w:p>
      <w:pPr>
        <w:jc w:val="center"/>
        <w:rPr>
          <w:szCs w:val="24"/>
          <w:highlight w:val="none"/>
        </w:rPr>
      </w:pPr>
    </w:p>
    <w:p>
      <w:pPr>
        <w:jc w:val="center"/>
        <w:rPr>
          <w:szCs w:val="24"/>
          <w:highlight w:val="none"/>
        </w:rPr>
      </w:pPr>
      <w:r>
        <w:rPr>
          <w:highlight w:val="none"/>
        </w:rPr>
        <mc:AlternateContent>
          <mc:Choice Requires="wps">
            <w:drawing>
              <wp:anchor distT="0" distB="0" distL="114300" distR="114300" simplePos="0" relativeHeight="251702272" behindDoc="0" locked="0" layoutInCell="1" allowOverlap="1">
                <wp:simplePos x="0" y="0"/>
                <wp:positionH relativeFrom="column">
                  <wp:posOffset>2921000</wp:posOffset>
                </wp:positionH>
                <wp:positionV relativeFrom="paragraph">
                  <wp:posOffset>296545</wp:posOffset>
                </wp:positionV>
                <wp:extent cx="101600" cy="340360"/>
                <wp:effectExtent l="15240" t="6350" r="16510" b="15240"/>
                <wp:wrapNone/>
                <wp:docPr id="75" name="下箭头 75"/>
                <wp:cNvGraphicFramePr/>
                <a:graphic xmlns:a="http://schemas.openxmlformats.org/drawingml/2006/main">
                  <a:graphicData uri="http://schemas.microsoft.com/office/word/2010/wordprocessingShape">
                    <wps:wsp>
                      <wps:cNvSpPr/>
                      <wps:spPr>
                        <a:xfrm>
                          <a:off x="0" y="0"/>
                          <a:ext cx="101600" cy="340360"/>
                        </a:xfrm>
                        <a:prstGeom prst="downArrow">
                          <a:avLst>
                            <a:gd name="adj1" fmla="val 50000"/>
                            <a:gd name="adj2" fmla="val 50001"/>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30pt;margin-top:23.35pt;height:26.8pt;width:8pt;z-index:251702272;v-text-anchor:middle;mso-width-relative:page;mso-height-relative:page;" fillcolor="#000001" filled="t" stroked="t" coordsize="21600,21600" o:gfxdata="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BLhUvXAAAACgEAAA8AAAAAAAAAAQAgAAAAIgAAAGRycy9kb3ducmV2LnhtbFBL&#10;AQIUABQAAAAIAIdO4kBI7FVjMAIAAJQEAAAOAAAAAAAAAAEAIAAAACYBAABkcnMvZTJvRG9jLnht&#10;bFBLBQYAAAAABgAGAFkBAADIBQAAAAA=&#10;" adj="18377,5400">
                <v:fill on="t" focussize="0,0"/>
                <v:stroke weight="1pt" color="#000000" joinstyle="miter"/>
                <v:imagedata o:title=""/>
                <o:lock v:ext="edit" aspectratio="f"/>
              </v:shape>
            </w:pict>
          </mc:Fallback>
        </mc:AlternateContent>
      </w:r>
      <w:r>
        <w:rPr>
          <w:rFonts w:hint="eastAsia"/>
          <w:szCs w:val="24"/>
          <w:highlight w:val="none"/>
        </w:rPr>
        <w:t>加入预处理药剂，并开始循环</w:t>
      </w:r>
    </w:p>
    <w:p>
      <w:pPr>
        <w:jc w:val="center"/>
        <w:rPr>
          <w:szCs w:val="24"/>
          <w:highlight w:val="none"/>
        </w:rPr>
      </w:pPr>
    </w:p>
    <w:p>
      <w:pPr>
        <w:jc w:val="center"/>
        <w:rPr>
          <w:szCs w:val="24"/>
          <w:highlight w:val="none"/>
        </w:rPr>
      </w:pPr>
      <w:r>
        <w:rPr>
          <w:highlight w:val="none"/>
        </w:rPr>
        <mc:AlternateContent>
          <mc:Choice Requires="wps">
            <w:drawing>
              <wp:anchor distT="0" distB="0" distL="114300" distR="114300" simplePos="0" relativeHeight="251703296" behindDoc="0" locked="0" layoutInCell="1" allowOverlap="1">
                <wp:simplePos x="0" y="0"/>
                <wp:positionH relativeFrom="column">
                  <wp:posOffset>2921000</wp:posOffset>
                </wp:positionH>
                <wp:positionV relativeFrom="paragraph">
                  <wp:posOffset>253365</wp:posOffset>
                </wp:positionV>
                <wp:extent cx="101600" cy="340360"/>
                <wp:effectExtent l="15240" t="6350" r="16510" b="15240"/>
                <wp:wrapNone/>
                <wp:docPr id="77" name="下箭头 77"/>
                <wp:cNvGraphicFramePr/>
                <a:graphic xmlns:a="http://schemas.openxmlformats.org/drawingml/2006/main">
                  <a:graphicData uri="http://schemas.microsoft.com/office/word/2010/wordprocessingShape">
                    <wps:wsp>
                      <wps:cNvSpPr/>
                      <wps:spPr>
                        <a:xfrm>
                          <a:off x="0" y="0"/>
                          <a:ext cx="101600" cy="340360"/>
                        </a:xfrm>
                        <a:prstGeom prst="downArrow">
                          <a:avLst>
                            <a:gd name="adj1" fmla="val 50000"/>
                            <a:gd name="adj2" fmla="val 50001"/>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30pt;margin-top:19.95pt;height:26.8pt;width:8pt;z-index:251703296;v-text-anchor:middle;mso-width-relative:page;mso-height-relative:page;" fillcolor="#000001" filled="t" stroked="t" coordsize="21600,21600" o:gfxdata="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lZ0XDYAAAACQEAAA8AAAAAAAAAAQAgAAAAIgAAAGRycy9kb3ducmV2LnhtbFBL&#10;AQIUABQAAAAIAIdO4kC3XznxLwIAAJQEAAAOAAAAAAAAAAEAIAAAACcBAABkcnMvZTJvRG9jLnht&#10;bFBLBQYAAAAABgAGAFkBAADIBQAAAAA=&#10;" adj="18377,5400">
                <v:fill on="t" focussize="0,0"/>
                <v:stroke weight="1pt" color="#000000" joinstyle="miter"/>
                <v:imagedata o:title=""/>
                <o:lock v:ext="edit" aspectratio="f"/>
              </v:shape>
            </w:pict>
          </mc:Fallback>
        </mc:AlternateContent>
      </w:r>
      <w:r>
        <w:rPr>
          <w:rFonts w:hint="eastAsia"/>
          <w:szCs w:val="24"/>
          <w:highlight w:val="none"/>
        </w:rPr>
        <w:t>循环时将所有阀门打开，让清洗液能循环到每支管线</w:t>
      </w:r>
    </w:p>
    <w:p>
      <w:pPr>
        <w:jc w:val="center"/>
        <w:rPr>
          <w:szCs w:val="24"/>
          <w:highlight w:val="none"/>
        </w:rPr>
      </w:pPr>
    </w:p>
    <w:p>
      <w:pPr>
        <w:jc w:val="center"/>
        <w:rPr>
          <w:szCs w:val="24"/>
          <w:highlight w:val="none"/>
        </w:rPr>
      </w:pPr>
      <w:r>
        <w:rPr>
          <w:highlight w:val="none"/>
        </w:rPr>
        <mc:AlternateContent>
          <mc:Choice Requires="wps">
            <w:drawing>
              <wp:anchor distT="0" distB="0" distL="114300" distR="114300" simplePos="0" relativeHeight="251704320" behindDoc="0" locked="0" layoutInCell="1" allowOverlap="1">
                <wp:simplePos x="0" y="0"/>
                <wp:positionH relativeFrom="column">
                  <wp:posOffset>2921000</wp:posOffset>
                </wp:positionH>
                <wp:positionV relativeFrom="paragraph">
                  <wp:posOffset>271145</wp:posOffset>
                </wp:positionV>
                <wp:extent cx="101600" cy="340360"/>
                <wp:effectExtent l="15240" t="6350" r="16510" b="15240"/>
                <wp:wrapNone/>
                <wp:docPr id="83" name="下箭头 83"/>
                <wp:cNvGraphicFramePr/>
                <a:graphic xmlns:a="http://schemas.openxmlformats.org/drawingml/2006/main">
                  <a:graphicData uri="http://schemas.microsoft.com/office/word/2010/wordprocessingShape">
                    <wps:wsp>
                      <wps:cNvSpPr/>
                      <wps:spPr>
                        <a:xfrm>
                          <a:off x="0" y="0"/>
                          <a:ext cx="101600" cy="340360"/>
                        </a:xfrm>
                        <a:prstGeom prst="downArrow">
                          <a:avLst>
                            <a:gd name="adj1" fmla="val 50000"/>
                            <a:gd name="adj2" fmla="val 50001"/>
                          </a:avLst>
                        </a:prstGeom>
                        <a:solidFill>
                          <a:srgbClr val="000001"/>
                        </a:solid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67" type="#_x0000_t67" style="position:absolute;left:0pt;margin-left:230pt;margin-top:21.35pt;height:26.8pt;width:8pt;z-index:251704320;v-text-anchor:middle;mso-width-relative:page;mso-height-relative:page;" fillcolor="#000001" filled="t" stroked="t" coordsize="21600,21600" o:gfxdata="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WreO/YAAAACQEAAA8AAAAAAAAAAQAgAAAAIgAAAGRycy9kb3ducmV2LnhtbFBL&#10;AQIUABQAAAAIAIdO4kAt9qrYLwIAAJQEAAAOAAAAAAAAAAEAIAAAACcBAABkcnMvZTJvRG9jLnht&#10;bFBLBQYAAAAABgAGAFkBAADIBQAAAAA=&#10;" adj="18377,5400">
                <v:fill on="t" focussize="0,0"/>
                <v:stroke weight="1pt" color="#000000" joinstyle="miter"/>
                <v:imagedata o:title=""/>
                <o:lock v:ext="edit" aspectratio="f"/>
              </v:shape>
            </w:pict>
          </mc:Fallback>
        </mc:AlternateContent>
      </w:r>
      <w:r>
        <w:rPr>
          <w:rFonts w:hint="eastAsia"/>
          <w:szCs w:val="24"/>
          <w:highlight w:val="none"/>
        </w:rPr>
        <w:t>循环2天后，将清洗液全部排放（如果冷却塔池很脏，再清扫塔池一次）</w:t>
      </w:r>
    </w:p>
    <w:p>
      <w:pPr>
        <w:jc w:val="center"/>
        <w:rPr>
          <w:szCs w:val="24"/>
          <w:highlight w:val="none"/>
        </w:rPr>
      </w:pPr>
    </w:p>
    <w:p>
      <w:pPr>
        <w:jc w:val="center"/>
        <w:rPr>
          <w:szCs w:val="24"/>
          <w:highlight w:val="none"/>
        </w:rPr>
      </w:pPr>
      <w:r>
        <w:rPr>
          <w:rFonts w:hint="eastAsia"/>
          <w:szCs w:val="24"/>
          <w:highlight w:val="none"/>
        </w:rPr>
        <w:t>重新补进新水，按相关方案加入运行维护药剂即可</w:t>
      </w:r>
    </w:p>
    <w:p>
      <w:pPr>
        <w:tabs>
          <w:tab w:val="left" w:pos="1134"/>
        </w:tabs>
        <w:rPr>
          <w:rFonts w:ascii="宋体" w:hAnsi="宋体" w:cs="宋体"/>
          <w:b/>
          <w:szCs w:val="24"/>
          <w:highlight w:val="none"/>
        </w:rPr>
      </w:pPr>
      <w:r>
        <w:rPr>
          <w:rFonts w:hint="eastAsia" w:ascii="宋体" w:hAnsi="宋体" w:cs="宋体"/>
          <w:b/>
          <w:szCs w:val="24"/>
          <w:highlight w:val="none"/>
        </w:rPr>
        <w:t>3.8.5</w:t>
      </w:r>
      <w:r>
        <w:rPr>
          <w:rFonts w:ascii="宋体" w:hAnsi="宋体" w:cs="宋体"/>
          <w:b/>
          <w:szCs w:val="24"/>
          <w:highlight w:val="none"/>
        </w:rPr>
        <w:t>.</w:t>
      </w:r>
      <w:r>
        <w:rPr>
          <w:rFonts w:hint="eastAsia" w:ascii="宋体" w:hAnsi="宋体" w:cs="宋体"/>
          <w:b/>
          <w:szCs w:val="24"/>
          <w:highlight w:val="none"/>
        </w:rPr>
        <w:t>安装及现场质量控制</w:t>
      </w:r>
    </w:p>
    <w:p>
      <w:pPr>
        <w:ind w:firstLine="420" w:firstLineChars="200"/>
        <w:rPr>
          <w:rFonts w:ascii="宋体" w:hAnsi="宋体"/>
          <w:szCs w:val="24"/>
          <w:highlight w:val="none"/>
        </w:rPr>
      </w:pPr>
      <w:r>
        <w:rPr>
          <w:rFonts w:ascii="宋体" w:hAnsi="宋体"/>
          <w:szCs w:val="24"/>
          <w:highlight w:val="none"/>
        </w:rPr>
        <w:t>1</w:t>
      </w:r>
      <w:r>
        <w:rPr>
          <w:rFonts w:hint="eastAsia" w:ascii="宋体" w:hAnsi="宋体"/>
          <w:szCs w:val="24"/>
          <w:highlight w:val="none"/>
        </w:rPr>
        <w:t>.须在预定位置进行安装设备，并需预留足够的维修及操作空间。</w:t>
      </w:r>
    </w:p>
    <w:p>
      <w:pPr>
        <w:ind w:firstLine="420" w:firstLineChars="200"/>
        <w:rPr>
          <w:rFonts w:ascii="宋体" w:hAnsi="宋体"/>
          <w:szCs w:val="24"/>
          <w:highlight w:val="none"/>
        </w:rPr>
      </w:pPr>
      <w:r>
        <w:rPr>
          <w:rFonts w:ascii="宋体" w:hAnsi="宋体"/>
          <w:szCs w:val="24"/>
          <w:highlight w:val="none"/>
        </w:rPr>
        <w:t>2</w:t>
      </w:r>
      <w:r>
        <w:rPr>
          <w:rFonts w:hint="eastAsia" w:ascii="宋体" w:hAnsi="宋体"/>
          <w:szCs w:val="24"/>
          <w:highlight w:val="none"/>
        </w:rPr>
        <w:t>.所有水质处理设备均需设置排水管接头。</w:t>
      </w:r>
    </w:p>
    <w:p>
      <w:pPr>
        <w:ind w:firstLine="420" w:firstLineChars="200"/>
        <w:rPr>
          <w:rFonts w:ascii="宋体" w:hAnsi="宋体"/>
          <w:szCs w:val="24"/>
          <w:highlight w:val="none"/>
        </w:rPr>
      </w:pPr>
      <w:r>
        <w:rPr>
          <w:rFonts w:hint="eastAsia" w:ascii="宋体" w:hAnsi="宋体"/>
          <w:szCs w:val="24"/>
          <w:highlight w:val="none"/>
        </w:rPr>
        <w:t>3.所有加药设备及控制仪表可以在系统操作时进行拆除和安装而不影响系统的正常操作。</w:t>
      </w:r>
    </w:p>
    <w:p>
      <w:pPr>
        <w:rPr>
          <w:szCs w:val="24"/>
          <w:highlight w:val="none"/>
        </w:rPr>
      </w:pPr>
      <w:r>
        <w:rPr>
          <w:rFonts w:ascii="宋体" w:hAnsi="宋体"/>
          <w:szCs w:val="24"/>
          <w:highlight w:val="none"/>
        </w:rPr>
        <w:t>4</w:t>
      </w:r>
      <w:r>
        <w:rPr>
          <w:rFonts w:hint="eastAsia" w:ascii="宋体" w:hAnsi="宋体"/>
          <w:szCs w:val="24"/>
          <w:highlight w:val="none"/>
        </w:rPr>
        <w:t>.药</w:t>
      </w:r>
      <w:r>
        <w:rPr>
          <w:rFonts w:hint="eastAsia"/>
          <w:szCs w:val="24"/>
          <w:highlight w:val="none"/>
        </w:rPr>
        <w:t>剂试验</w:t>
      </w:r>
    </w:p>
    <w:p>
      <w:pPr>
        <w:ind w:firstLine="420" w:firstLineChars="200"/>
        <w:rPr>
          <w:szCs w:val="24"/>
          <w:highlight w:val="none"/>
        </w:rPr>
      </w:pPr>
      <w:r>
        <w:rPr>
          <w:rFonts w:hint="eastAsia" w:ascii="宋体" w:hAnsi="宋体" w:cs="宋体"/>
          <w:szCs w:val="24"/>
          <w:highlight w:val="none"/>
        </w:rPr>
        <w:t>①</w:t>
      </w:r>
      <w:r>
        <w:rPr>
          <w:rFonts w:hint="eastAsia"/>
          <w:szCs w:val="24"/>
          <w:highlight w:val="none"/>
        </w:rPr>
        <w:t>在系统开始运行时，为系统进行水质化学分析。</w:t>
      </w:r>
    </w:p>
    <w:p>
      <w:pPr>
        <w:ind w:firstLine="420" w:firstLineChars="200"/>
        <w:rPr>
          <w:szCs w:val="24"/>
          <w:highlight w:val="none"/>
        </w:rPr>
      </w:pPr>
      <w:r>
        <w:rPr>
          <w:rFonts w:hint="eastAsia" w:ascii="宋体" w:hAnsi="宋体" w:cs="宋体"/>
          <w:szCs w:val="24"/>
          <w:highlight w:val="none"/>
        </w:rPr>
        <w:t>②</w:t>
      </w:r>
      <w:r>
        <w:rPr>
          <w:rFonts w:hint="eastAsia"/>
          <w:szCs w:val="24"/>
          <w:highlight w:val="none"/>
        </w:rPr>
        <w:t>根据本协议书所提出的水质要求，来决定实际水质的化学状态。</w:t>
      </w:r>
    </w:p>
    <w:p>
      <w:pPr>
        <w:ind w:firstLine="420" w:firstLineChars="200"/>
        <w:rPr>
          <w:szCs w:val="24"/>
          <w:highlight w:val="none"/>
        </w:rPr>
      </w:pPr>
      <w:r>
        <w:rPr>
          <w:rFonts w:hint="eastAsia" w:ascii="宋体" w:hAnsi="宋体" w:cs="宋体"/>
          <w:szCs w:val="24"/>
          <w:highlight w:val="none"/>
        </w:rPr>
        <w:t>③</w:t>
      </w:r>
      <w:r>
        <w:rPr>
          <w:rFonts w:hint="eastAsia"/>
          <w:szCs w:val="24"/>
          <w:highlight w:val="none"/>
        </w:rPr>
        <w:t>当处理方法批准后，于系统加入所需药剂然后连续运行48小时。</w:t>
      </w:r>
    </w:p>
    <w:p>
      <w:pPr>
        <w:ind w:firstLine="420" w:firstLineChars="200"/>
        <w:rPr>
          <w:szCs w:val="24"/>
          <w:highlight w:val="none"/>
        </w:rPr>
      </w:pPr>
      <w:r>
        <w:rPr>
          <w:rFonts w:hint="eastAsia" w:ascii="宋体" w:hAnsi="宋体" w:cs="宋体"/>
          <w:szCs w:val="24"/>
          <w:highlight w:val="none"/>
        </w:rPr>
        <w:t>④</w:t>
      </w:r>
      <w:r>
        <w:rPr>
          <w:rFonts w:hint="eastAsia"/>
          <w:szCs w:val="24"/>
          <w:highlight w:val="none"/>
        </w:rPr>
        <w:t>在系统连续运行48小时后，对系统内的水质进行分析，并将有关详细分析报告提交甲方/监理审核。</w:t>
      </w:r>
    </w:p>
    <w:p>
      <w:pPr>
        <w:ind w:firstLine="420" w:firstLineChars="200"/>
        <w:rPr>
          <w:szCs w:val="24"/>
          <w:highlight w:val="none"/>
        </w:rPr>
      </w:pPr>
      <w:r>
        <w:rPr>
          <w:rFonts w:hint="eastAsia" w:ascii="宋体" w:hAnsi="宋体" w:cs="宋体"/>
          <w:szCs w:val="24"/>
          <w:highlight w:val="none"/>
        </w:rPr>
        <w:t>⑤</w:t>
      </w:r>
      <w:r>
        <w:rPr>
          <w:rFonts w:hint="eastAsia"/>
          <w:szCs w:val="24"/>
          <w:highlight w:val="none"/>
        </w:rPr>
        <w:t>将处理过程中如发觉有不妥善的地方，须立刻通知甲方，乙方需无偿地采取有效的修正措施。</w:t>
      </w:r>
    </w:p>
    <w:p>
      <w:pPr>
        <w:keepNext/>
        <w:keepLines/>
        <w:numPr>
          <w:ilvl w:val="1"/>
          <w:numId w:val="0"/>
        </w:numPr>
        <w:ind w:left="720" w:hanging="720"/>
        <w:outlineLvl w:val="2"/>
        <w:rPr>
          <w:rFonts w:ascii="宋体" w:hAnsi="宋体" w:cs="宋体"/>
          <w:b/>
          <w:bCs/>
          <w:sz w:val="28"/>
          <w:szCs w:val="32"/>
          <w:highlight w:val="none"/>
        </w:rPr>
      </w:pPr>
      <w:bookmarkStart w:id="256" w:name="_Toc18385"/>
      <w:bookmarkStart w:id="257" w:name="_Toc15014"/>
      <w:r>
        <w:rPr>
          <w:rFonts w:ascii="宋体" w:hAnsi="宋体" w:cs="宋体"/>
          <w:b/>
          <w:bCs/>
          <w:sz w:val="28"/>
          <w:szCs w:val="32"/>
          <w:highlight w:val="none"/>
        </w:rPr>
        <w:t>3.9</w:t>
      </w:r>
      <w:r>
        <w:rPr>
          <w:rFonts w:hint="eastAsia" w:ascii="宋体" w:hAnsi="宋体" w:cs="宋体"/>
          <w:b/>
          <w:bCs/>
          <w:sz w:val="28"/>
          <w:szCs w:val="32"/>
          <w:highlight w:val="none"/>
        </w:rPr>
        <w:t>蓄冷罐罐体基本要求</w:t>
      </w:r>
      <w:bookmarkEnd w:id="256"/>
      <w:bookmarkEnd w:id="257"/>
    </w:p>
    <w:p>
      <w:pPr>
        <w:rPr>
          <w:rFonts w:ascii="宋体" w:hAnsi="宋体"/>
          <w:b/>
          <w:bCs/>
          <w:szCs w:val="21"/>
          <w:highlight w:val="none"/>
        </w:rPr>
      </w:pPr>
      <w:r>
        <w:rPr>
          <w:rFonts w:hint="eastAsia" w:ascii="宋体" w:hAnsi="宋体"/>
          <w:b/>
          <w:bCs/>
          <w:szCs w:val="21"/>
          <w:highlight w:val="none"/>
        </w:rPr>
        <w:t>1、</w:t>
      </w:r>
      <w:r>
        <w:rPr>
          <w:rFonts w:hint="eastAsia" w:ascii="宋体" w:hAnsi="宋体"/>
          <w:b/>
          <w:bCs/>
          <w:szCs w:val="21"/>
          <w:highlight w:val="none"/>
          <w:lang w:eastAsia="zh-TW"/>
        </w:rPr>
        <w:t>蓄冷罐</w:t>
      </w:r>
      <w:r>
        <w:rPr>
          <w:rFonts w:hint="eastAsia" w:ascii="宋体" w:hAnsi="宋体"/>
          <w:b/>
          <w:bCs/>
          <w:szCs w:val="21"/>
          <w:highlight w:val="none"/>
        </w:rPr>
        <w:t>的总体</w:t>
      </w:r>
      <w:r>
        <w:rPr>
          <w:rFonts w:hint="eastAsia" w:ascii="宋体" w:hAnsi="宋体"/>
          <w:b/>
          <w:bCs/>
          <w:szCs w:val="21"/>
          <w:highlight w:val="none"/>
          <w:lang w:eastAsia="zh-TW"/>
        </w:rPr>
        <w:t>要求</w:t>
      </w:r>
    </w:p>
    <w:p>
      <w:pPr>
        <w:ind w:firstLine="420"/>
        <w:jc w:val="left"/>
        <w:rPr>
          <w:rFonts w:ascii="宋体" w:hAnsi="宋体"/>
          <w:szCs w:val="21"/>
          <w:highlight w:val="none"/>
        </w:rPr>
      </w:pPr>
      <w:r>
        <w:rPr>
          <w:rFonts w:hint="eastAsia" w:ascii="宋体" w:hAnsi="宋体"/>
          <w:szCs w:val="21"/>
          <w:highlight w:val="none"/>
        </w:rPr>
        <w:t>1</w:t>
      </w:r>
      <w:r>
        <w:rPr>
          <w:rFonts w:ascii="宋体" w:hAnsi="宋体"/>
          <w:szCs w:val="21"/>
          <w:highlight w:val="none"/>
        </w:rPr>
        <w:t xml:space="preserve">.1 </w:t>
      </w:r>
      <w:r>
        <w:rPr>
          <w:rFonts w:hint="eastAsia" w:ascii="宋体" w:hAnsi="宋体"/>
          <w:szCs w:val="21"/>
          <w:highlight w:val="none"/>
        </w:rPr>
        <w:t>本项目采用的蓄冷水罐是适合大型水蓄冷系统使用的开式蓄冷罐。大型蓄冷水罐为完整产品，须整体设计、制作及安装。蓄冷水罐性能参数应符合设计要求，其配套使用部件、材料均应选用国家标准或行业标准的产品。</w:t>
      </w:r>
    </w:p>
    <w:p>
      <w:pPr>
        <w:ind w:firstLine="420"/>
        <w:jc w:val="left"/>
        <w:rPr>
          <w:rFonts w:ascii="宋体" w:hAnsi="宋体"/>
          <w:szCs w:val="21"/>
          <w:highlight w:val="none"/>
        </w:rPr>
      </w:pPr>
      <w:r>
        <w:rPr>
          <w:rFonts w:hint="eastAsia" w:ascii="宋体" w:hAnsi="宋体"/>
          <w:szCs w:val="21"/>
          <w:highlight w:val="none"/>
        </w:rPr>
        <w:t>1</w:t>
      </w:r>
      <w:r>
        <w:rPr>
          <w:rFonts w:ascii="宋体" w:hAnsi="宋体"/>
          <w:szCs w:val="21"/>
          <w:highlight w:val="none"/>
        </w:rPr>
        <w:t xml:space="preserve">.2 </w:t>
      </w:r>
      <w:r>
        <w:rPr>
          <w:rFonts w:hint="eastAsia" w:ascii="宋体" w:hAnsi="宋体"/>
          <w:szCs w:val="21"/>
          <w:highlight w:val="none"/>
        </w:rPr>
        <w:t>蓄冷水罐包括蓄冷水罐本体、蓄冷水罐布水系统、蓄冷水罐保温及外护、蓄冷水罐测温装置及其他附属配件。</w:t>
      </w:r>
    </w:p>
    <w:p>
      <w:pPr>
        <w:ind w:firstLine="420"/>
        <w:jc w:val="left"/>
        <w:rPr>
          <w:rFonts w:ascii="宋体" w:hAnsi="宋体"/>
          <w:szCs w:val="21"/>
          <w:highlight w:val="none"/>
        </w:rPr>
      </w:pPr>
      <w:r>
        <w:rPr>
          <w:rFonts w:ascii="宋体" w:hAnsi="宋体"/>
          <w:szCs w:val="21"/>
          <w:highlight w:val="none"/>
        </w:rPr>
        <w:t>1.3</w:t>
      </w:r>
      <w:r>
        <w:rPr>
          <w:rFonts w:hint="eastAsia" w:ascii="宋体" w:hAnsi="宋体"/>
          <w:szCs w:val="21"/>
          <w:highlight w:val="none"/>
        </w:rPr>
        <w:t>蓄冷水罐投产后，将保持每年 365天×24h 的运行工况，因此，投标人提供的设备必须质量稳定、可靠，使用寿命长，且环保节能。</w:t>
      </w:r>
    </w:p>
    <w:p>
      <w:pPr>
        <w:ind w:firstLine="420"/>
        <w:jc w:val="left"/>
        <w:rPr>
          <w:rFonts w:ascii="宋体" w:hAnsi="宋体"/>
          <w:szCs w:val="21"/>
          <w:highlight w:val="none"/>
        </w:rPr>
      </w:pPr>
      <w:r>
        <w:rPr>
          <w:rFonts w:ascii="宋体" w:hAnsi="宋体"/>
          <w:szCs w:val="21"/>
          <w:highlight w:val="none"/>
        </w:rPr>
        <w:t>1</w:t>
      </w:r>
      <w:r>
        <w:rPr>
          <w:rFonts w:hint="eastAsia" w:ascii="宋体" w:hAnsi="宋体"/>
          <w:szCs w:val="21"/>
          <w:highlight w:val="none"/>
        </w:rPr>
        <w:t>.4 蓄冷水罐设置在室外环境时，产品应具备足够防风抗震强度，满足设备持续正常运行需要。</w:t>
      </w:r>
    </w:p>
    <w:p>
      <w:pPr>
        <w:rPr>
          <w:rFonts w:ascii="宋体" w:eastAsia="PMingLiU"/>
          <w:b/>
          <w:bCs/>
          <w:szCs w:val="21"/>
          <w:highlight w:val="none"/>
          <w:lang w:eastAsia="zh-TW"/>
        </w:rPr>
      </w:pPr>
      <w:bookmarkStart w:id="258" w:name="_Toc150453622"/>
      <w:r>
        <w:rPr>
          <w:rFonts w:hint="eastAsia" w:ascii="宋体" w:hAnsi="宋体"/>
          <w:b/>
          <w:bCs/>
          <w:szCs w:val="21"/>
          <w:highlight w:val="none"/>
        </w:rPr>
        <w:t>2、</w:t>
      </w:r>
      <w:r>
        <w:rPr>
          <w:rFonts w:hint="eastAsia" w:ascii="宋体" w:hAnsi="宋体"/>
          <w:b/>
          <w:bCs/>
          <w:szCs w:val="21"/>
          <w:highlight w:val="none"/>
          <w:lang w:eastAsia="zh-TW"/>
        </w:rPr>
        <w:t>蓄冷罐罐体基本要求</w:t>
      </w:r>
      <w:bookmarkEnd w:id="258"/>
    </w:p>
    <w:p>
      <w:pPr>
        <w:ind w:firstLine="420"/>
        <w:jc w:val="left"/>
        <w:rPr>
          <w:rFonts w:ascii="宋体" w:hAnsi="宋体"/>
          <w:szCs w:val="21"/>
          <w:highlight w:val="none"/>
        </w:rPr>
      </w:pPr>
      <w:r>
        <w:rPr>
          <w:rFonts w:ascii="宋体" w:hAnsi="宋体"/>
          <w:szCs w:val="21"/>
          <w:highlight w:val="none"/>
        </w:rPr>
        <w:t xml:space="preserve">2.1 </w:t>
      </w:r>
      <w:r>
        <w:rPr>
          <w:rFonts w:hint="eastAsia" w:ascii="宋体" w:hAnsi="宋体"/>
          <w:szCs w:val="21"/>
          <w:highlight w:val="none"/>
        </w:rPr>
        <w:t>蓄冷水罐蓄冷温度为</w:t>
      </w:r>
      <w:r>
        <w:rPr>
          <w:rFonts w:ascii="宋体" w:hAnsi="宋体"/>
          <w:szCs w:val="21"/>
          <w:highlight w:val="none"/>
        </w:rPr>
        <w:t>4</w:t>
      </w:r>
      <w:r>
        <w:rPr>
          <w:rFonts w:hint="eastAsia" w:ascii="宋体" w:hAnsi="宋体"/>
          <w:szCs w:val="21"/>
          <w:highlight w:val="none"/>
        </w:rPr>
        <w:t>℃，回水温度</w:t>
      </w:r>
      <w:r>
        <w:rPr>
          <w:rFonts w:ascii="宋体" w:hAnsi="宋体"/>
          <w:szCs w:val="21"/>
          <w:highlight w:val="none"/>
        </w:rPr>
        <w:t>13</w:t>
      </w:r>
      <w:r>
        <w:rPr>
          <w:rFonts w:hint="eastAsia" w:ascii="宋体" w:hAnsi="宋体"/>
          <w:szCs w:val="21"/>
          <w:highlight w:val="none"/>
        </w:rPr>
        <w:t>℃（根据末端供冷需要调节回水温度）。</w:t>
      </w:r>
    </w:p>
    <w:p>
      <w:pPr>
        <w:ind w:firstLine="420"/>
        <w:jc w:val="left"/>
        <w:rPr>
          <w:rFonts w:ascii="宋体" w:hAnsi="宋体"/>
          <w:szCs w:val="21"/>
          <w:highlight w:val="none"/>
        </w:rPr>
      </w:pPr>
      <w:r>
        <w:rPr>
          <w:rFonts w:ascii="宋体" w:hAnsi="宋体"/>
          <w:szCs w:val="21"/>
          <w:highlight w:val="none"/>
        </w:rPr>
        <w:t xml:space="preserve">2.2 </w:t>
      </w:r>
      <w:r>
        <w:rPr>
          <w:rFonts w:hint="eastAsia" w:ascii="宋体" w:hAnsi="宋体"/>
          <w:szCs w:val="21"/>
          <w:highlight w:val="none"/>
        </w:rPr>
        <w:t>蓄冷水罐采用立式圆筒形拱顶储罐，采用Q</w:t>
      </w:r>
      <w:r>
        <w:rPr>
          <w:rFonts w:ascii="宋体" w:hAnsi="宋体"/>
          <w:szCs w:val="21"/>
          <w:highlight w:val="none"/>
        </w:rPr>
        <w:t>235B</w:t>
      </w:r>
      <w:r>
        <w:rPr>
          <w:rFonts w:hint="eastAsia" w:ascii="宋体" w:hAnsi="宋体"/>
          <w:szCs w:val="21"/>
          <w:highlight w:val="none"/>
        </w:rPr>
        <w:t xml:space="preserve">材质；罐体内直径 </w:t>
      </w:r>
      <w:r>
        <w:rPr>
          <w:rFonts w:ascii="宋体" w:hAnsi="宋体"/>
          <w:szCs w:val="21"/>
          <w:highlight w:val="none"/>
        </w:rPr>
        <w:t>12</w:t>
      </w:r>
      <w:r>
        <w:rPr>
          <w:rFonts w:hint="eastAsia" w:ascii="宋体" w:hAnsi="宋体"/>
          <w:szCs w:val="21"/>
          <w:highlight w:val="none"/>
        </w:rPr>
        <w:t>m，罐肩高度≥</w:t>
      </w:r>
      <w:r>
        <w:rPr>
          <w:rFonts w:ascii="宋体" w:hAnsi="宋体"/>
          <w:szCs w:val="21"/>
          <w:highlight w:val="none"/>
        </w:rPr>
        <w:t>27.95</w:t>
      </w:r>
      <w:r>
        <w:rPr>
          <w:rFonts w:hint="eastAsia" w:ascii="宋体" w:hAnsi="宋体"/>
          <w:szCs w:val="21"/>
          <w:highlight w:val="none"/>
        </w:rPr>
        <w:t>m，罐内设计水位高度为</w:t>
      </w:r>
      <w:r>
        <w:rPr>
          <w:rFonts w:ascii="宋体" w:hAnsi="宋体"/>
          <w:szCs w:val="21"/>
          <w:highlight w:val="none"/>
        </w:rPr>
        <w:t>27</w:t>
      </w:r>
      <w:r>
        <w:rPr>
          <w:rFonts w:hint="eastAsia" w:ascii="宋体" w:hAnsi="宋体"/>
          <w:szCs w:val="21"/>
          <w:highlight w:val="none"/>
        </w:rPr>
        <w:t>m，正常水位高度时的蓄水容积不小于</w:t>
      </w:r>
      <w:r>
        <w:rPr>
          <w:rFonts w:ascii="宋体" w:hAnsi="宋体"/>
          <w:szCs w:val="21"/>
          <w:highlight w:val="none"/>
        </w:rPr>
        <w:t>3050</w:t>
      </w:r>
      <w:r>
        <w:rPr>
          <w:rFonts w:hint="eastAsia" w:ascii="宋体" w:hAnsi="宋体"/>
          <w:szCs w:val="21"/>
          <w:highlight w:val="none"/>
        </w:rPr>
        <w:t>m</w:t>
      </w:r>
      <w:r>
        <w:rPr>
          <w:rFonts w:hint="eastAsia" w:ascii="宋体" w:hAnsi="宋体"/>
          <w:szCs w:val="21"/>
          <w:highlight w:val="none"/>
          <w:vertAlign w:val="superscript"/>
        </w:rPr>
        <w:t>3</w:t>
      </w:r>
      <w:r>
        <w:rPr>
          <w:rFonts w:hint="eastAsia" w:ascii="宋体" w:hAnsi="宋体"/>
          <w:szCs w:val="21"/>
          <w:highlight w:val="none"/>
        </w:rPr>
        <w:t>。</w:t>
      </w:r>
    </w:p>
    <w:p>
      <w:pPr>
        <w:ind w:firstLine="420"/>
        <w:jc w:val="left"/>
        <w:rPr>
          <w:rFonts w:ascii="宋体" w:hAnsi="宋体"/>
          <w:szCs w:val="21"/>
          <w:highlight w:val="none"/>
        </w:rPr>
      </w:pPr>
      <w:r>
        <w:rPr>
          <w:rFonts w:ascii="宋体" w:hAnsi="宋体"/>
          <w:szCs w:val="21"/>
          <w:highlight w:val="none"/>
        </w:rPr>
        <w:t xml:space="preserve">2.3 </w:t>
      </w:r>
      <w:r>
        <w:rPr>
          <w:rFonts w:hint="eastAsia" w:ascii="宋体" w:hAnsi="宋体"/>
          <w:szCs w:val="21"/>
          <w:highlight w:val="none"/>
        </w:rPr>
        <w:t>罐体外部设置笼式爬梯、休息平台，爬梯采用分段交错设置，爬梯段数不小于4段，休息平台不小于3个，爬梯及平台做法按照《固定式钢梯及平台安全要求（GB4053-2009）》及图纸的要求。</w:t>
      </w:r>
    </w:p>
    <w:p>
      <w:pPr>
        <w:ind w:firstLine="420"/>
        <w:jc w:val="left"/>
        <w:rPr>
          <w:rFonts w:ascii="宋体" w:hAnsi="宋体"/>
          <w:szCs w:val="21"/>
          <w:highlight w:val="none"/>
        </w:rPr>
      </w:pPr>
      <w:r>
        <w:rPr>
          <w:rFonts w:hint="eastAsia" w:ascii="宋体" w:hAnsi="宋体"/>
          <w:szCs w:val="21"/>
          <w:highlight w:val="none"/>
        </w:rPr>
        <w:t>2</w:t>
      </w:r>
      <w:r>
        <w:rPr>
          <w:rFonts w:ascii="宋体" w:hAnsi="宋体"/>
          <w:szCs w:val="21"/>
          <w:highlight w:val="none"/>
        </w:rPr>
        <w:t xml:space="preserve">.4 </w:t>
      </w:r>
      <w:r>
        <w:rPr>
          <w:rFonts w:hint="eastAsia" w:ascii="宋体" w:hAnsi="宋体"/>
          <w:szCs w:val="21"/>
          <w:highlight w:val="none"/>
        </w:rPr>
        <w:t>罐顶周边设置高度不低于1.</w:t>
      </w:r>
      <w:r>
        <w:rPr>
          <w:rFonts w:ascii="宋体" w:hAnsi="宋体"/>
          <w:szCs w:val="21"/>
          <w:highlight w:val="none"/>
        </w:rPr>
        <w:t>3</w:t>
      </w:r>
      <w:r>
        <w:rPr>
          <w:rFonts w:hint="eastAsia" w:ascii="宋体" w:hAnsi="宋体"/>
          <w:szCs w:val="21"/>
          <w:highlight w:val="none"/>
        </w:rPr>
        <w:t>m钢制护栏，罐顶设置踏步及操作平台，宽度≥4</w:t>
      </w:r>
      <w:r>
        <w:rPr>
          <w:rFonts w:ascii="宋体" w:hAnsi="宋体"/>
          <w:szCs w:val="21"/>
          <w:highlight w:val="none"/>
        </w:rPr>
        <w:t>00</w:t>
      </w:r>
      <w:r>
        <w:rPr>
          <w:rFonts w:hint="eastAsia" w:ascii="宋体" w:hAnsi="宋体"/>
          <w:szCs w:val="21"/>
          <w:highlight w:val="none"/>
        </w:rPr>
        <w:t>mm；爬梯及平台、罐顶护栏所用钢材均采用镀锌材质。</w:t>
      </w:r>
    </w:p>
    <w:p>
      <w:pPr>
        <w:ind w:firstLine="420"/>
        <w:jc w:val="left"/>
        <w:rPr>
          <w:rFonts w:ascii="宋体" w:hAnsi="宋体"/>
          <w:color w:val="FF0000"/>
          <w:szCs w:val="21"/>
          <w:highlight w:val="none"/>
          <w:shd w:val="clear" w:color="auto" w:fill="92D050"/>
        </w:rPr>
      </w:pPr>
      <w:r>
        <w:rPr>
          <w:rFonts w:hint="eastAsia" w:ascii="宋体" w:hAnsi="宋体"/>
          <w:szCs w:val="21"/>
          <w:highlight w:val="none"/>
        </w:rPr>
        <w:t>2</w:t>
      </w:r>
      <w:r>
        <w:rPr>
          <w:rFonts w:ascii="宋体" w:hAnsi="宋体"/>
          <w:szCs w:val="21"/>
          <w:highlight w:val="none"/>
        </w:rPr>
        <w:t>.5</w:t>
      </w:r>
      <w:r>
        <w:rPr>
          <w:rFonts w:hint="eastAsia" w:ascii="宋体" w:hAnsi="宋体"/>
          <w:szCs w:val="21"/>
          <w:highlight w:val="none"/>
        </w:rPr>
        <w:t>罐内中心轴位置设置中心立柱，采用规格≥DN</w:t>
      </w:r>
      <w:r>
        <w:rPr>
          <w:rFonts w:ascii="宋体" w:hAnsi="宋体"/>
          <w:szCs w:val="21"/>
          <w:highlight w:val="none"/>
        </w:rPr>
        <w:t>45</w:t>
      </w:r>
      <w:r>
        <w:rPr>
          <w:rFonts w:hint="eastAsia" w:ascii="宋体" w:hAnsi="宋体"/>
          <w:szCs w:val="21"/>
          <w:highlight w:val="none"/>
        </w:rPr>
        <w:t>0钢管制作，罐壁顶层与中心柱之间设置环形阵列桁架，桁架采用镀锌型钢制作，数量不小于1</w:t>
      </w:r>
      <w:r>
        <w:rPr>
          <w:rFonts w:ascii="宋体" w:hAnsi="宋体"/>
          <w:szCs w:val="21"/>
          <w:highlight w:val="none"/>
        </w:rPr>
        <w:t>6</w:t>
      </w:r>
      <w:r>
        <w:rPr>
          <w:rFonts w:hint="eastAsia" w:ascii="宋体" w:hAnsi="宋体"/>
          <w:szCs w:val="21"/>
          <w:highlight w:val="none"/>
        </w:rPr>
        <w:t>组。</w:t>
      </w:r>
    </w:p>
    <w:p>
      <w:pPr>
        <w:ind w:firstLine="420"/>
        <w:jc w:val="left"/>
        <w:rPr>
          <w:rFonts w:ascii="宋体" w:hAnsi="宋体"/>
          <w:color w:val="FF0000"/>
          <w:szCs w:val="21"/>
          <w:highlight w:val="none"/>
          <w:shd w:val="clear" w:color="auto" w:fill="92D050"/>
        </w:rPr>
      </w:pPr>
      <w:r>
        <w:rPr>
          <w:rFonts w:ascii="宋体" w:hAnsi="宋体"/>
          <w:szCs w:val="21"/>
          <w:highlight w:val="none"/>
        </w:rPr>
        <w:t xml:space="preserve">2.6 </w:t>
      </w:r>
      <w:r>
        <w:rPr>
          <w:rFonts w:hint="eastAsia" w:ascii="宋体" w:hAnsi="宋体"/>
          <w:szCs w:val="21"/>
          <w:highlight w:val="none"/>
        </w:rPr>
        <w:t>每个蓄冷水罐的罐壁上设置2个进出水总管口及1个连通管口，管口均为DN</w:t>
      </w:r>
      <w:r>
        <w:rPr>
          <w:rFonts w:ascii="宋体" w:hAnsi="宋体"/>
          <w:szCs w:val="21"/>
          <w:highlight w:val="none"/>
        </w:rPr>
        <w:t>45</w:t>
      </w:r>
      <w:r>
        <w:rPr>
          <w:rFonts w:hint="eastAsia" w:ascii="宋体" w:hAnsi="宋体"/>
          <w:szCs w:val="21"/>
          <w:highlight w:val="none"/>
        </w:rPr>
        <w:t>0并配置法兰；罐顶和罐壁底圈各设置1个DN600的检修人孔；根据现场排水情况设置溢流管、排污管和供水补水管，三者接管管径均为D</w:t>
      </w:r>
      <w:r>
        <w:rPr>
          <w:rFonts w:ascii="宋体" w:hAnsi="宋体"/>
          <w:szCs w:val="21"/>
          <w:highlight w:val="none"/>
        </w:rPr>
        <w:t>N100</w:t>
      </w:r>
      <w:r>
        <w:rPr>
          <w:rFonts w:hint="eastAsia" w:ascii="宋体" w:hAnsi="宋体"/>
          <w:szCs w:val="21"/>
          <w:highlight w:val="none"/>
        </w:rPr>
        <w:t>，管道接至罐体基础地面；罐顶中心顶板中心位置设置 DN</w:t>
      </w:r>
      <w:r>
        <w:rPr>
          <w:rFonts w:ascii="宋体" w:hAnsi="宋体"/>
          <w:szCs w:val="21"/>
          <w:highlight w:val="none"/>
        </w:rPr>
        <w:t>25</w:t>
      </w:r>
      <w:r>
        <w:rPr>
          <w:rFonts w:hint="eastAsia" w:ascii="宋体" w:hAnsi="宋体"/>
          <w:szCs w:val="21"/>
          <w:highlight w:val="none"/>
        </w:rPr>
        <w:t>0通气孔（并设防雨帽）；罐体所有接管直径大于50mm的开孔应补强，开孔补强面积及补强板厚度应符合设计规范的规定。</w:t>
      </w:r>
    </w:p>
    <w:p>
      <w:pPr>
        <w:ind w:firstLine="420"/>
        <w:jc w:val="left"/>
        <w:rPr>
          <w:rFonts w:ascii="宋体" w:hAnsi="宋体"/>
          <w:szCs w:val="21"/>
          <w:highlight w:val="none"/>
        </w:rPr>
      </w:pPr>
      <w:r>
        <w:rPr>
          <w:rFonts w:ascii="宋体" w:hAnsi="宋体"/>
          <w:szCs w:val="21"/>
          <w:highlight w:val="none"/>
        </w:rPr>
        <w:t xml:space="preserve">2.7 </w:t>
      </w:r>
      <w:r>
        <w:rPr>
          <w:rFonts w:hint="eastAsia" w:ascii="宋体" w:hAnsi="宋体"/>
          <w:szCs w:val="21"/>
          <w:highlight w:val="none"/>
        </w:rPr>
        <w:t>罐体壁厚应满足《立式圆筒形钢制焊接油罐设计规范》GB50341-2014的要求且底圈壁厚不低于</w:t>
      </w:r>
      <w:r>
        <w:rPr>
          <w:rFonts w:ascii="宋体" w:hAnsi="宋体"/>
          <w:szCs w:val="21"/>
          <w:highlight w:val="none"/>
        </w:rPr>
        <w:t>16</w:t>
      </w:r>
      <w:r>
        <w:rPr>
          <w:rFonts w:hint="eastAsia" w:ascii="宋体" w:hAnsi="宋体"/>
          <w:szCs w:val="21"/>
          <w:highlight w:val="none"/>
        </w:rPr>
        <w:t>mm，顶圈壁厚不低于 6mm。罐底边缘板厚度不低于10mm、中幅板厚度不低于6mm；罐顶板采用6mm钢板制作，并设置加强筋（扁钢</w:t>
      </w:r>
      <w:r>
        <w:rPr>
          <w:rFonts w:ascii="宋体" w:hAnsi="宋体"/>
          <w:szCs w:val="21"/>
          <w:highlight w:val="none"/>
        </w:rPr>
        <w:t>50</w:t>
      </w:r>
      <w:r>
        <w:rPr>
          <w:rFonts w:hint="eastAsia" w:ascii="宋体" w:hAnsi="宋体"/>
          <w:szCs w:val="21"/>
          <w:highlight w:val="none"/>
        </w:rPr>
        <w:t>×10）。</w:t>
      </w:r>
    </w:p>
    <w:p>
      <w:pPr>
        <w:ind w:firstLine="420"/>
        <w:jc w:val="left"/>
        <w:rPr>
          <w:rFonts w:ascii="宋体" w:hAnsi="宋体"/>
          <w:szCs w:val="21"/>
          <w:highlight w:val="none"/>
        </w:rPr>
      </w:pPr>
      <w:r>
        <w:rPr>
          <w:rFonts w:ascii="宋体" w:hAnsi="宋体"/>
          <w:szCs w:val="21"/>
          <w:highlight w:val="none"/>
        </w:rPr>
        <w:t xml:space="preserve">2.8 </w:t>
      </w:r>
      <w:r>
        <w:rPr>
          <w:rFonts w:hint="eastAsia" w:ascii="宋体" w:hAnsi="宋体"/>
          <w:szCs w:val="21"/>
          <w:highlight w:val="none"/>
        </w:rPr>
        <w:t>罐体内部（壁板及底板）焊缝检查合格后表面经除锈后刷环氧富锌漆2道；罐外（外壁和底板外侧）焊缝检查合格后表面经除锈后刷铁红防锈漆2道；爬梯、护栏、检修平台等外露金属配件经后除锈后刷环氧富锌漆</w:t>
      </w:r>
      <w:r>
        <w:rPr>
          <w:rFonts w:ascii="宋体" w:hAnsi="宋体"/>
          <w:szCs w:val="21"/>
          <w:highlight w:val="none"/>
        </w:rPr>
        <w:t>2</w:t>
      </w:r>
      <w:r>
        <w:rPr>
          <w:rFonts w:hint="eastAsia" w:ascii="宋体" w:hAnsi="宋体"/>
          <w:szCs w:val="21"/>
          <w:highlight w:val="none"/>
        </w:rPr>
        <w:t>道。罐内非镀锌的管道、支吊架均应除锈后刷环氧富锌漆2道；罐体内表层钢材表面清除油污，除锈等级应达到国家规定的Sa21/2级或机械除锈St3级。</w:t>
      </w:r>
    </w:p>
    <w:p>
      <w:pPr>
        <w:ind w:firstLine="420"/>
        <w:jc w:val="left"/>
        <w:rPr>
          <w:rFonts w:ascii="宋体" w:hAnsi="宋体"/>
          <w:szCs w:val="21"/>
          <w:highlight w:val="none"/>
        </w:rPr>
      </w:pPr>
      <w:r>
        <w:rPr>
          <w:rFonts w:ascii="宋体" w:hAnsi="宋体"/>
          <w:szCs w:val="21"/>
          <w:highlight w:val="none"/>
        </w:rPr>
        <w:t xml:space="preserve">2.9 </w:t>
      </w:r>
      <w:r>
        <w:rPr>
          <w:rFonts w:hint="eastAsia" w:ascii="宋体" w:hAnsi="宋体"/>
          <w:szCs w:val="21"/>
          <w:highlight w:val="none"/>
        </w:rPr>
        <w:t>罐体按照《立式圆筒形钢制焊接储罐施工及验收规范》GB50128-2005进行制造检查和验收；罐体所有焊缝及热影响区域不得有裂缝、气孔、夹渣；罐壁焊缝应根据相关要求进行超声波探伤验证，确认焊缝质量；罐底焊缝外观检查合格后，应当用真空箱法进行严密性试验，试验负压值不低于53Kpa。</w:t>
      </w:r>
    </w:p>
    <w:p>
      <w:pPr>
        <w:ind w:firstLine="420"/>
        <w:jc w:val="left"/>
        <w:rPr>
          <w:rFonts w:ascii="宋体" w:hAnsi="宋体"/>
          <w:szCs w:val="21"/>
          <w:highlight w:val="none"/>
        </w:rPr>
      </w:pPr>
      <w:r>
        <w:rPr>
          <w:rFonts w:ascii="宋体" w:hAnsi="宋体"/>
          <w:szCs w:val="21"/>
          <w:highlight w:val="none"/>
        </w:rPr>
        <w:t xml:space="preserve">2.10 </w:t>
      </w:r>
      <w:r>
        <w:rPr>
          <w:rFonts w:hint="eastAsia" w:ascii="宋体" w:hAnsi="宋体"/>
          <w:szCs w:val="21"/>
          <w:highlight w:val="none"/>
        </w:rPr>
        <w:t>蓄冷罐体与基础制作时预埋的接地扁钢采用不低φ16 圆钢（或扁钢）可靠连接，并作防锈和防腐处理；罐顶应设置避雷装置（避雷针3组），避雷装置与罐体可靠连接。</w:t>
      </w:r>
    </w:p>
    <w:p>
      <w:pPr>
        <w:ind w:firstLine="420"/>
        <w:jc w:val="left"/>
        <w:rPr>
          <w:rFonts w:ascii="宋体" w:hAnsi="宋体"/>
          <w:szCs w:val="21"/>
          <w:highlight w:val="none"/>
        </w:rPr>
      </w:pPr>
      <w:r>
        <w:rPr>
          <w:rFonts w:ascii="宋体" w:hAnsi="宋体"/>
          <w:szCs w:val="21"/>
          <w:highlight w:val="none"/>
        </w:rPr>
        <w:t xml:space="preserve">2.11 </w:t>
      </w:r>
      <w:r>
        <w:rPr>
          <w:rFonts w:hint="eastAsia" w:ascii="宋体" w:hAnsi="宋体"/>
          <w:szCs w:val="21"/>
          <w:highlight w:val="none"/>
        </w:rPr>
        <w:t>罐体内部设置测量水温梯度的温度传感器、罐体液面水位压力传感器，应当采用工业级传感器且精度符合设计要求。罐内液面高度垂直方向设置测温电缆，每隔500mm设分层温度检测点，共</w:t>
      </w:r>
      <w:r>
        <w:rPr>
          <w:rFonts w:ascii="宋体" w:hAnsi="宋体"/>
          <w:szCs w:val="21"/>
          <w:highlight w:val="none"/>
        </w:rPr>
        <w:t>54</w:t>
      </w:r>
      <w:r>
        <w:rPr>
          <w:rFonts w:hint="eastAsia" w:ascii="宋体" w:hAnsi="宋体"/>
          <w:szCs w:val="21"/>
          <w:highlight w:val="none"/>
        </w:rPr>
        <w:t>点；罐体底部设置水位压力传感器；测温线缆及液位传感器应选用可在线维修及更换的安装方式。</w:t>
      </w:r>
    </w:p>
    <w:p>
      <w:pPr>
        <w:ind w:firstLine="420"/>
        <w:jc w:val="left"/>
        <w:rPr>
          <w:rFonts w:ascii="宋体" w:hAnsi="宋体"/>
          <w:szCs w:val="21"/>
          <w:highlight w:val="none"/>
        </w:rPr>
      </w:pPr>
      <w:r>
        <w:rPr>
          <w:rFonts w:hint="eastAsia" w:ascii="宋体" w:hAnsi="宋体"/>
          <w:szCs w:val="21"/>
          <w:highlight w:val="none"/>
        </w:rPr>
        <w:t>2</w:t>
      </w:r>
      <w:r>
        <w:rPr>
          <w:rFonts w:ascii="宋体" w:hAnsi="宋体"/>
          <w:szCs w:val="21"/>
          <w:highlight w:val="none"/>
        </w:rPr>
        <w:t xml:space="preserve">.12 </w:t>
      </w:r>
      <w:r>
        <w:rPr>
          <w:rFonts w:hint="eastAsia" w:ascii="宋体" w:hAnsi="宋体"/>
          <w:szCs w:val="21"/>
          <w:highlight w:val="none"/>
        </w:rPr>
        <w:t>罐体锚固设计应根据项目所在地的抗震设防烈度参数进行设计，并符合《立式圆筒形钢制焊接油罐设计规范》GB50341-2014及图纸的要求；项目采用抗震设防烈度为7级，设计基本加速度为0</w:t>
      </w:r>
      <w:r>
        <w:rPr>
          <w:rFonts w:ascii="宋体" w:hAnsi="宋体"/>
          <w:szCs w:val="21"/>
          <w:highlight w:val="none"/>
        </w:rPr>
        <w:t>.10</w:t>
      </w:r>
      <w:r>
        <w:rPr>
          <w:rFonts w:hint="eastAsia" w:ascii="宋体" w:hAnsi="宋体"/>
          <w:szCs w:val="21"/>
          <w:highlight w:val="none"/>
        </w:rPr>
        <w:t>g，设计地震分组为第一组；本项目罐体预埋地脚螺栓规格为M</w:t>
      </w:r>
      <w:r>
        <w:rPr>
          <w:rFonts w:ascii="宋体" w:hAnsi="宋体"/>
          <w:szCs w:val="21"/>
          <w:highlight w:val="none"/>
        </w:rPr>
        <w:t>56</w:t>
      </w:r>
      <w:r>
        <w:rPr>
          <w:rFonts w:hint="eastAsia" w:ascii="宋体" w:hAnsi="宋体"/>
          <w:szCs w:val="21"/>
          <w:highlight w:val="none"/>
        </w:rPr>
        <w:t>×</w:t>
      </w:r>
      <w:r>
        <w:rPr>
          <w:rFonts w:ascii="宋体" w:hAnsi="宋体"/>
          <w:szCs w:val="21"/>
          <w:highlight w:val="none"/>
        </w:rPr>
        <w:t>5.5</w:t>
      </w:r>
      <w:r>
        <w:rPr>
          <w:rFonts w:hint="eastAsia" w:ascii="宋体" w:hAnsi="宋体"/>
          <w:szCs w:val="21"/>
          <w:highlight w:val="none"/>
        </w:rPr>
        <w:t>，材质为Q</w:t>
      </w:r>
      <w:r>
        <w:rPr>
          <w:rFonts w:ascii="宋体" w:hAnsi="宋体"/>
          <w:szCs w:val="21"/>
          <w:highlight w:val="none"/>
        </w:rPr>
        <w:t>235</w:t>
      </w:r>
      <w:r>
        <w:rPr>
          <w:rFonts w:hint="eastAsia" w:ascii="宋体" w:hAnsi="宋体"/>
          <w:szCs w:val="21"/>
          <w:highlight w:val="none"/>
        </w:rPr>
        <w:t>钢数量不少于3</w:t>
      </w:r>
      <w:r>
        <w:rPr>
          <w:rFonts w:ascii="宋体" w:hAnsi="宋体"/>
          <w:szCs w:val="21"/>
          <w:highlight w:val="none"/>
        </w:rPr>
        <w:t>6</w:t>
      </w:r>
      <w:r>
        <w:rPr>
          <w:rFonts w:hint="eastAsia" w:ascii="宋体" w:hAnsi="宋体"/>
          <w:szCs w:val="21"/>
          <w:highlight w:val="none"/>
        </w:rPr>
        <w:t>个，锚固长度应符合规格标准及图纸要求；锚固座与罐体壁板连接应设置垫板，垫板厚度应与壁板厚度（1</w:t>
      </w:r>
      <w:r>
        <w:rPr>
          <w:rFonts w:ascii="宋体" w:hAnsi="宋体"/>
          <w:szCs w:val="21"/>
          <w:highlight w:val="none"/>
        </w:rPr>
        <w:t>6</w:t>
      </w:r>
      <w:r>
        <w:rPr>
          <w:rFonts w:hint="eastAsia" w:ascii="宋体" w:hAnsi="宋体"/>
          <w:szCs w:val="21"/>
          <w:highlight w:val="none"/>
        </w:rPr>
        <w:t>mm）一致；</w:t>
      </w:r>
    </w:p>
    <w:p>
      <w:pPr>
        <w:ind w:firstLine="420"/>
        <w:jc w:val="left"/>
        <w:rPr>
          <w:rFonts w:ascii="宋体" w:hAnsi="宋体"/>
          <w:szCs w:val="21"/>
          <w:highlight w:val="none"/>
        </w:rPr>
      </w:pPr>
      <w:r>
        <w:rPr>
          <w:rFonts w:ascii="宋体" w:hAnsi="宋体"/>
          <w:szCs w:val="21"/>
          <w:highlight w:val="none"/>
        </w:rPr>
        <w:t xml:space="preserve">2.13 </w:t>
      </w:r>
      <w:r>
        <w:rPr>
          <w:rFonts w:hint="eastAsia" w:ascii="宋体" w:hAnsi="宋体"/>
          <w:szCs w:val="21"/>
          <w:highlight w:val="none"/>
        </w:rPr>
        <w:t>投标人须提供详细的蓄冷水罐罐体设计计算报告书（不限于罐体设计、抗震设计、锚固设计、罐壁开孔补强计算等）。</w:t>
      </w:r>
    </w:p>
    <w:p>
      <w:pPr>
        <w:ind w:firstLine="420"/>
        <w:jc w:val="left"/>
        <w:rPr>
          <w:rFonts w:ascii="宋体" w:hAnsi="宋体"/>
          <w:szCs w:val="21"/>
          <w:highlight w:val="none"/>
        </w:rPr>
      </w:pPr>
      <w:r>
        <w:rPr>
          <w:rFonts w:hint="eastAsia" w:ascii="宋体" w:hAnsi="宋体"/>
          <w:szCs w:val="21"/>
          <w:highlight w:val="none"/>
        </w:rPr>
        <w:t>2</w:t>
      </w:r>
      <w:r>
        <w:rPr>
          <w:rFonts w:ascii="宋体" w:hAnsi="宋体"/>
          <w:szCs w:val="21"/>
          <w:highlight w:val="none"/>
        </w:rPr>
        <w:t xml:space="preserve">.14 </w:t>
      </w:r>
      <w:r>
        <w:rPr>
          <w:rFonts w:hint="eastAsia" w:ascii="宋体" w:hAnsi="宋体"/>
          <w:szCs w:val="21"/>
          <w:highlight w:val="none"/>
        </w:rPr>
        <w:t>投标方需提供蓄冷水罐制作施工工艺的详细方案。</w:t>
      </w:r>
    </w:p>
    <w:p>
      <w:pPr>
        <w:rPr>
          <w:rFonts w:ascii="宋体" w:hAnsi="宋体" w:cs="宋体"/>
          <w:b/>
          <w:bCs/>
          <w:highlight w:val="none"/>
        </w:rPr>
      </w:pPr>
      <w:bookmarkStart w:id="259" w:name="_Toc150453623"/>
      <w:r>
        <w:rPr>
          <w:rFonts w:hint="eastAsia" w:ascii="宋体" w:hAnsi="宋体" w:cs="宋体"/>
          <w:b/>
          <w:bCs/>
          <w:highlight w:val="none"/>
        </w:rPr>
        <w:t>3、蓄冷水罐布水技术要求</w:t>
      </w:r>
      <w:bookmarkEnd w:id="259"/>
    </w:p>
    <w:p>
      <w:pPr>
        <w:ind w:firstLine="420"/>
        <w:jc w:val="left"/>
        <w:rPr>
          <w:rFonts w:ascii="宋体" w:hAnsi="宋体"/>
          <w:szCs w:val="21"/>
          <w:highlight w:val="none"/>
        </w:rPr>
      </w:pPr>
      <w:r>
        <w:rPr>
          <w:rFonts w:ascii="宋体" w:hAnsi="宋体"/>
          <w:szCs w:val="21"/>
          <w:highlight w:val="none"/>
        </w:rPr>
        <w:t xml:space="preserve">3.1 </w:t>
      </w:r>
      <w:r>
        <w:rPr>
          <w:rFonts w:hint="eastAsia" w:ascii="宋体" w:hAnsi="宋体"/>
          <w:szCs w:val="21"/>
          <w:highlight w:val="none"/>
        </w:rPr>
        <w:t>投标人需通过布水系统设计，采用专业的水蓄冷自然分层布水技术，控制放冷及充冷时蓄冷槽中水流平稳，避免蓄冷槽内水流无序扰动，最大程度减少斜温层厚度。为确保自然分层的效果，罐内布水器及布水管道的设计应保证水蓄冷要求，其布水设计参数应满足以下要求：以放冷流量</w:t>
      </w:r>
      <w:r>
        <w:rPr>
          <w:rFonts w:ascii="宋体" w:hAnsi="宋体"/>
          <w:szCs w:val="21"/>
          <w:highlight w:val="none"/>
        </w:rPr>
        <w:t>1254</w:t>
      </w:r>
      <w:r>
        <w:rPr>
          <w:rFonts w:hint="eastAsia" w:ascii="宋体" w:hAnsi="宋体"/>
          <w:szCs w:val="21"/>
          <w:highlight w:val="none"/>
        </w:rPr>
        <w:t>m³/h（1</w:t>
      </w:r>
      <w:r>
        <w:rPr>
          <w:rFonts w:ascii="宋体" w:hAnsi="宋体"/>
          <w:szCs w:val="21"/>
          <w:highlight w:val="none"/>
        </w:rPr>
        <w:t>3</w:t>
      </w:r>
      <w:r>
        <w:rPr>
          <w:rFonts w:hint="eastAsia" w:ascii="宋体" w:hAnsi="宋体"/>
          <w:szCs w:val="21"/>
          <w:highlight w:val="none"/>
        </w:rPr>
        <w:t>-</w:t>
      </w:r>
      <w:r>
        <w:rPr>
          <w:rFonts w:ascii="宋体" w:hAnsi="宋体"/>
          <w:szCs w:val="21"/>
          <w:highlight w:val="none"/>
        </w:rPr>
        <w:t>4</w:t>
      </w:r>
      <w:r>
        <w:rPr>
          <w:rFonts w:hint="eastAsia" w:ascii="宋体" w:hAnsi="宋体"/>
          <w:szCs w:val="21"/>
          <w:highlight w:val="none"/>
        </w:rPr>
        <w:t>℃）为基准，布水器出口水流雷诺数Re≤1</w:t>
      </w:r>
      <w:r>
        <w:rPr>
          <w:rFonts w:ascii="宋体" w:hAnsi="宋体"/>
          <w:szCs w:val="21"/>
          <w:highlight w:val="none"/>
        </w:rPr>
        <w:t>5</w:t>
      </w:r>
      <w:r>
        <w:rPr>
          <w:rFonts w:hint="eastAsia" w:ascii="宋体" w:hAnsi="宋体"/>
          <w:szCs w:val="21"/>
          <w:highlight w:val="none"/>
        </w:rPr>
        <w:t>00，费雷德数准则Fr≤1，放冷效率＞9</w:t>
      </w:r>
      <w:r>
        <w:rPr>
          <w:rFonts w:ascii="宋体" w:hAnsi="宋体"/>
          <w:szCs w:val="21"/>
          <w:highlight w:val="none"/>
        </w:rPr>
        <w:t>0</w:t>
      </w:r>
      <w:r>
        <w:rPr>
          <w:rFonts w:hint="eastAsia" w:ascii="宋体" w:hAnsi="宋体"/>
          <w:szCs w:val="21"/>
          <w:highlight w:val="none"/>
        </w:rPr>
        <w:t>%；</w:t>
      </w:r>
    </w:p>
    <w:p>
      <w:pPr>
        <w:ind w:firstLine="420"/>
        <w:jc w:val="left"/>
        <w:rPr>
          <w:rFonts w:ascii="宋体" w:hAnsi="宋体"/>
          <w:szCs w:val="21"/>
          <w:highlight w:val="none"/>
        </w:rPr>
      </w:pPr>
      <w:r>
        <w:rPr>
          <w:rFonts w:ascii="宋体" w:hAnsi="宋体"/>
          <w:szCs w:val="21"/>
          <w:highlight w:val="none"/>
        </w:rPr>
        <w:t xml:space="preserve">3.2 </w:t>
      </w:r>
      <w:r>
        <w:rPr>
          <w:rFonts w:hint="eastAsia" w:ascii="宋体" w:hAnsi="宋体"/>
          <w:szCs w:val="21"/>
          <w:highlight w:val="none"/>
        </w:rPr>
        <w:t>投标人投标时提供Fr和Re的详细计算过程、布水原理及优势说明；提供蓄冷水罐的蓄冷过程温度曲线分析及斜温层变化特性分析。</w:t>
      </w:r>
    </w:p>
    <w:p>
      <w:pPr>
        <w:ind w:firstLine="420"/>
        <w:jc w:val="left"/>
        <w:rPr>
          <w:rFonts w:ascii="宋体" w:hAnsi="宋体"/>
          <w:szCs w:val="21"/>
          <w:highlight w:val="none"/>
        </w:rPr>
      </w:pPr>
      <w:r>
        <w:rPr>
          <w:rFonts w:ascii="宋体" w:hAnsi="宋体"/>
          <w:szCs w:val="21"/>
          <w:highlight w:val="none"/>
        </w:rPr>
        <w:t xml:space="preserve">3.3 </w:t>
      </w:r>
      <w:r>
        <w:rPr>
          <w:rFonts w:hint="eastAsia" w:ascii="宋体" w:hAnsi="宋体"/>
          <w:szCs w:val="21"/>
          <w:highlight w:val="none"/>
        </w:rPr>
        <w:t>为避免布水器使用期间中途维护和保证使用寿命（不少于2</w:t>
      </w:r>
      <w:r>
        <w:rPr>
          <w:rFonts w:ascii="宋体" w:hAnsi="宋体"/>
          <w:szCs w:val="21"/>
          <w:highlight w:val="none"/>
        </w:rPr>
        <w:t>0</w:t>
      </w:r>
      <w:r>
        <w:rPr>
          <w:rFonts w:hint="eastAsia" w:ascii="宋体" w:hAnsi="宋体"/>
          <w:szCs w:val="21"/>
          <w:highlight w:val="none"/>
        </w:rPr>
        <w:t>年），布水器采用3</w:t>
      </w:r>
      <w:r>
        <w:rPr>
          <w:rFonts w:ascii="宋体" w:hAnsi="宋体"/>
          <w:szCs w:val="21"/>
          <w:highlight w:val="none"/>
        </w:rPr>
        <w:t>04</w:t>
      </w:r>
      <w:r>
        <w:rPr>
          <w:rFonts w:hint="eastAsia" w:ascii="宋体" w:hAnsi="宋体"/>
          <w:szCs w:val="21"/>
          <w:highlight w:val="none"/>
        </w:rPr>
        <w:t>不锈钢材质，围绕罐内的中心轴环形布置，布水器为工厂模块制作现场组装；布水器支吊架须采用不锈钢材质，连接支管系统采用热镀锌材质，罐内内所有布水系统的支吊架都采用热镀锌材质。</w:t>
      </w:r>
    </w:p>
    <w:p>
      <w:pPr>
        <w:ind w:firstLine="420"/>
        <w:jc w:val="left"/>
        <w:rPr>
          <w:rFonts w:ascii="宋体" w:hAnsi="宋体"/>
          <w:szCs w:val="21"/>
          <w:highlight w:val="none"/>
        </w:rPr>
      </w:pPr>
      <w:r>
        <w:rPr>
          <w:rFonts w:hint="eastAsia" w:ascii="宋体" w:hAnsi="宋体"/>
          <w:szCs w:val="21"/>
          <w:highlight w:val="none"/>
        </w:rPr>
        <w:t>3</w:t>
      </w:r>
      <w:r>
        <w:rPr>
          <w:rFonts w:ascii="宋体" w:hAnsi="宋体"/>
          <w:szCs w:val="21"/>
          <w:highlight w:val="none"/>
        </w:rPr>
        <w:t xml:space="preserve">.4 </w:t>
      </w:r>
      <w:r>
        <w:rPr>
          <w:rFonts w:hint="eastAsia" w:ascii="宋体" w:hAnsi="宋体"/>
          <w:szCs w:val="21"/>
          <w:highlight w:val="none"/>
        </w:rPr>
        <w:t>在设计要求的放冷供冷工作周期内，蓄冷水罐及布水系统应确保放冷速率满足供冷要求（总放冷量1</w:t>
      </w:r>
      <w:r>
        <w:rPr>
          <w:rFonts w:ascii="宋体" w:hAnsi="宋体"/>
          <w:szCs w:val="21"/>
          <w:highlight w:val="none"/>
        </w:rPr>
        <w:t>1200RT</w:t>
      </w:r>
      <w:r>
        <w:rPr>
          <w:rFonts w:hint="eastAsia" w:ascii="宋体" w:hAnsi="宋体"/>
          <w:szCs w:val="21"/>
          <w:highlight w:val="none"/>
        </w:rPr>
        <w:t>，三个水罐同步运行）。</w:t>
      </w:r>
    </w:p>
    <w:p>
      <w:pPr>
        <w:ind w:firstLine="420"/>
        <w:jc w:val="left"/>
        <w:rPr>
          <w:rFonts w:ascii="宋体" w:hAnsi="宋体"/>
          <w:szCs w:val="21"/>
          <w:highlight w:val="none"/>
        </w:rPr>
      </w:pPr>
      <w:r>
        <w:rPr>
          <w:rFonts w:ascii="宋体" w:hAnsi="宋体"/>
          <w:szCs w:val="21"/>
          <w:highlight w:val="none"/>
        </w:rPr>
        <w:t xml:space="preserve">3.5 </w:t>
      </w:r>
      <w:r>
        <w:rPr>
          <w:rFonts w:hint="eastAsia" w:ascii="宋体" w:hAnsi="宋体"/>
          <w:szCs w:val="21"/>
          <w:highlight w:val="none"/>
        </w:rPr>
        <w:t>布水器采用环状型（或八角形）布水器且数量不小于</w:t>
      </w:r>
      <w:r>
        <w:rPr>
          <w:rFonts w:ascii="宋体" w:hAnsi="宋体"/>
          <w:szCs w:val="21"/>
          <w:highlight w:val="none"/>
        </w:rPr>
        <w:t>5</w:t>
      </w:r>
      <w:r>
        <w:rPr>
          <w:rFonts w:hint="eastAsia" w:ascii="宋体" w:hAnsi="宋体"/>
          <w:szCs w:val="21"/>
          <w:highlight w:val="none"/>
        </w:rPr>
        <w:t>圈；布水器的设置及与之相连的干支管，无论规格尺寸、空间间距均应尽可能对称布置。罐体内布水管道采用树形拓扑结构，并采用同程布局，布水管相对于与罐的中心轴垂直的水平面内对称布置，保证在各种负荷下，布水器接管上任意点的压力恒等。布水系统水流分配采用不低于五级的布水级数，以确保水流达到布水器时流速和流量的稳定、均匀，同时需要保证布水系统的总扬程损失不超过</w:t>
      </w:r>
      <w:r>
        <w:rPr>
          <w:rFonts w:ascii="宋体" w:hAnsi="宋体"/>
          <w:szCs w:val="21"/>
          <w:highlight w:val="none"/>
        </w:rPr>
        <w:t>4</w:t>
      </w:r>
      <w:r>
        <w:rPr>
          <w:rFonts w:hint="eastAsia" w:ascii="宋体" w:hAnsi="宋体"/>
          <w:szCs w:val="21"/>
          <w:highlight w:val="none"/>
        </w:rPr>
        <w:t>米；上层布水器和下层布水器布置一致</w:t>
      </w:r>
      <w:r>
        <w:rPr>
          <w:rFonts w:hint="eastAsia" w:ascii="宋体"/>
          <w:szCs w:val="21"/>
          <w:highlight w:val="none"/>
        </w:rPr>
        <w:t>，布水器垂直位置一一对称；下布水器贴近罐底安装，上布水器贴近水面安装，同级布水管应位于同一水平高度。</w:t>
      </w:r>
      <w:r>
        <w:rPr>
          <w:rFonts w:hint="eastAsia" w:ascii="宋体" w:hAnsi="宋体"/>
          <w:szCs w:val="21"/>
          <w:highlight w:val="none"/>
        </w:rPr>
        <w:t>（需要注明布水器的密度、分布方式、以达到布水器最理想的分层效果）</w:t>
      </w:r>
    </w:p>
    <w:p>
      <w:pPr>
        <w:ind w:firstLine="420"/>
        <w:jc w:val="left"/>
        <w:rPr>
          <w:rFonts w:ascii="宋体"/>
          <w:szCs w:val="21"/>
          <w:highlight w:val="none"/>
        </w:rPr>
      </w:pPr>
      <w:r>
        <w:rPr>
          <w:rFonts w:ascii="宋体"/>
          <w:szCs w:val="21"/>
          <w:highlight w:val="none"/>
        </w:rPr>
        <w:t xml:space="preserve">3.6 </w:t>
      </w:r>
      <w:r>
        <w:rPr>
          <w:rFonts w:hint="eastAsia" w:ascii="宋体"/>
          <w:szCs w:val="21"/>
          <w:highlight w:val="none"/>
        </w:rPr>
        <w:t>罐内布水管道采用焊接钢管，不得采用PVC、PP和PPR等易变形的管材。布水管道应有效除锈、防腐处理，即除锈后刷环氧富锌漆2道，3</w:t>
      </w:r>
      <w:r>
        <w:rPr>
          <w:rFonts w:ascii="宋体"/>
          <w:szCs w:val="21"/>
          <w:highlight w:val="none"/>
        </w:rPr>
        <w:t>04</w:t>
      </w:r>
      <w:r>
        <w:rPr>
          <w:rFonts w:hint="eastAsia" w:ascii="宋体"/>
          <w:szCs w:val="21"/>
          <w:highlight w:val="none"/>
        </w:rPr>
        <w:t>不锈钢布水器与布水管道之间采用法兰连接；罐内布水管道均须采用保温+防水处理，管道保温必须做到无空隙、无脱胶，保温后采用防水胶带进行缠绕密封。</w:t>
      </w:r>
    </w:p>
    <w:p>
      <w:pPr>
        <w:ind w:firstLine="420"/>
        <w:jc w:val="left"/>
        <w:rPr>
          <w:rFonts w:ascii="宋体"/>
          <w:szCs w:val="21"/>
          <w:highlight w:val="none"/>
        </w:rPr>
      </w:pPr>
      <w:r>
        <w:rPr>
          <w:rFonts w:ascii="宋体"/>
          <w:szCs w:val="21"/>
          <w:highlight w:val="none"/>
        </w:rPr>
        <w:t xml:space="preserve">3.7 </w:t>
      </w:r>
      <w:r>
        <w:rPr>
          <w:rFonts w:hint="eastAsia" w:ascii="宋体"/>
          <w:szCs w:val="21"/>
          <w:highlight w:val="none"/>
        </w:rPr>
        <w:t>蓄冷水罐运行斜温层厚度不得超过水深的</w:t>
      </w:r>
      <w:r>
        <w:rPr>
          <w:rFonts w:ascii="宋体"/>
          <w:szCs w:val="21"/>
          <w:highlight w:val="none"/>
        </w:rPr>
        <w:t>5</w:t>
      </w:r>
      <w:r>
        <w:rPr>
          <w:rFonts w:hint="eastAsia" w:ascii="宋体"/>
          <w:szCs w:val="21"/>
          <w:highlight w:val="none"/>
        </w:rPr>
        <w:t>%，特别是部分负荷或极低负荷时也要有稳均衡的布水效果，以最大限度的提高蓄能效率。</w:t>
      </w:r>
    </w:p>
    <w:p>
      <w:pPr>
        <w:ind w:firstLine="420"/>
        <w:jc w:val="left"/>
        <w:rPr>
          <w:rFonts w:ascii="宋体"/>
          <w:szCs w:val="21"/>
          <w:highlight w:val="none"/>
        </w:rPr>
      </w:pPr>
      <w:r>
        <w:rPr>
          <w:rFonts w:ascii="宋体"/>
          <w:szCs w:val="21"/>
          <w:highlight w:val="none"/>
        </w:rPr>
        <w:t xml:space="preserve">3.8 </w:t>
      </w:r>
      <w:r>
        <w:rPr>
          <w:rFonts w:hint="eastAsia" w:ascii="宋体"/>
          <w:szCs w:val="21"/>
          <w:highlight w:val="none"/>
        </w:rPr>
        <w:t>罐内每隔0.</w:t>
      </w:r>
      <w:r>
        <w:rPr>
          <w:rFonts w:ascii="宋体"/>
          <w:szCs w:val="21"/>
          <w:highlight w:val="none"/>
        </w:rPr>
        <w:t>5</w:t>
      </w:r>
      <w:r>
        <w:rPr>
          <w:rFonts w:hint="eastAsia" w:ascii="宋体"/>
          <w:szCs w:val="21"/>
          <w:highlight w:val="none"/>
        </w:rPr>
        <w:t>m设置一个测温点，同一液位高度不少于两个监测点。</w:t>
      </w:r>
    </w:p>
    <w:p>
      <w:pPr>
        <w:rPr>
          <w:b/>
          <w:bCs/>
          <w:highlight w:val="none"/>
        </w:rPr>
      </w:pPr>
      <w:bookmarkStart w:id="260" w:name="_Toc150453624"/>
      <w:r>
        <w:rPr>
          <w:rFonts w:hint="eastAsia"/>
          <w:b/>
          <w:bCs/>
          <w:highlight w:val="none"/>
        </w:rPr>
        <w:t>4、蓄冷罐保温及防护技术要求</w:t>
      </w:r>
      <w:bookmarkEnd w:id="260"/>
    </w:p>
    <w:p>
      <w:pPr>
        <w:ind w:firstLine="420"/>
        <w:jc w:val="left"/>
        <w:rPr>
          <w:rFonts w:ascii="宋体" w:hAnsi="宋体" w:cs="宋体"/>
          <w:szCs w:val="21"/>
          <w:highlight w:val="none"/>
        </w:rPr>
      </w:pPr>
      <w:r>
        <w:rPr>
          <w:rFonts w:hint="eastAsia" w:ascii="宋体" w:hAnsi="宋体" w:cs="宋体"/>
          <w:szCs w:val="21"/>
          <w:highlight w:val="none"/>
        </w:rPr>
        <w:t>4.1 蓄冷水罐（罐壁、罐顶）采用聚氨酯发泡保温，保温厚度为100mm；聚氨酯性能指标：发泡密度≥40kg/m³，氧指数：26，导热系数≤0.026W/(m.k)，吸水率≤2，闭孔率≥92。</w:t>
      </w:r>
    </w:p>
    <w:p>
      <w:pPr>
        <w:ind w:firstLine="420"/>
        <w:jc w:val="left"/>
        <w:rPr>
          <w:rFonts w:ascii="宋体" w:hAnsi="宋体" w:cs="宋体"/>
          <w:highlight w:val="none"/>
        </w:rPr>
      </w:pPr>
      <w:r>
        <w:rPr>
          <w:rFonts w:hint="eastAsia" w:ascii="宋体" w:hAnsi="宋体" w:cs="宋体"/>
          <w:szCs w:val="21"/>
          <w:highlight w:val="none"/>
        </w:rPr>
        <w:t>4.2</w:t>
      </w:r>
      <w:r>
        <w:rPr>
          <w:rFonts w:hint="eastAsia" w:ascii="宋体" w:hAnsi="宋体" w:cs="宋体"/>
          <w:highlight w:val="none"/>
        </w:rPr>
        <w:t>蓄冷水罐保温确保在24小时内平均温升不超过0.3℃，蓄冷槽保温须满足在罐体周边环境温度35℃，相对湿度85%的条件下外表面不结露；</w:t>
      </w:r>
    </w:p>
    <w:p>
      <w:pPr>
        <w:ind w:firstLine="420"/>
        <w:jc w:val="left"/>
        <w:rPr>
          <w:rFonts w:ascii="宋体" w:hAnsi="宋体" w:cs="宋体"/>
          <w:highlight w:val="none"/>
        </w:rPr>
      </w:pPr>
      <w:r>
        <w:rPr>
          <w:rFonts w:hint="eastAsia" w:ascii="宋体" w:hAnsi="宋体" w:cs="宋体"/>
          <w:highlight w:val="none"/>
        </w:rPr>
        <w:t>4.3聚氨酯保温喷涂</w:t>
      </w:r>
    </w:p>
    <w:p>
      <w:pPr>
        <w:ind w:firstLine="420" w:firstLineChars="200"/>
        <w:jc w:val="left"/>
        <w:rPr>
          <w:rFonts w:ascii="宋体" w:hAnsi="宋体" w:cs="宋体"/>
          <w:highlight w:val="none"/>
        </w:rPr>
      </w:pPr>
      <w:r>
        <w:rPr>
          <w:rFonts w:hint="eastAsia" w:ascii="宋体" w:hAnsi="宋体" w:cs="宋体"/>
          <w:highlight w:val="none"/>
        </w:rPr>
        <w:t>（1）采用聚氨酯高压发泡机现场喷涂发泡方法：将双组分原料，通过高压发泡机迅速混合后，直接喷射到物体表面而发泡成型。</w:t>
      </w:r>
    </w:p>
    <w:p>
      <w:pPr>
        <w:ind w:firstLine="420" w:firstLineChars="200"/>
        <w:jc w:val="left"/>
        <w:rPr>
          <w:rFonts w:ascii="宋体" w:hAnsi="宋体" w:cs="宋体"/>
          <w:highlight w:val="none"/>
        </w:rPr>
      </w:pPr>
      <w:r>
        <w:rPr>
          <w:rFonts w:hint="eastAsia" w:ascii="宋体" w:hAnsi="宋体" w:cs="宋体"/>
          <w:highlight w:val="none"/>
        </w:rPr>
        <w:t>（2）喷涂保温施工采用多层喷法：沿壁体顶角开始喷涂，先顶0.5mm的底层，之后每层厚度30mm多次进行喷涂、使聚氨酯泡沫形成多层发泡。使保温效果达到更佳，同时对聚氨酯泡沫的强度达到更高，不会产生开裂、脱落。</w:t>
      </w:r>
    </w:p>
    <w:p>
      <w:pPr>
        <w:ind w:firstLine="420"/>
        <w:jc w:val="left"/>
        <w:rPr>
          <w:rFonts w:ascii="宋体" w:hAnsi="宋体" w:cs="宋体"/>
          <w:highlight w:val="none"/>
        </w:rPr>
      </w:pPr>
      <w:r>
        <w:rPr>
          <w:rFonts w:hint="eastAsia" w:ascii="宋体" w:hAnsi="宋体" w:cs="宋体"/>
          <w:highlight w:val="none"/>
        </w:rPr>
        <w:t xml:space="preserve">（3）喷涂发泡注意事项 </w:t>
      </w:r>
    </w:p>
    <w:p>
      <w:pPr>
        <w:ind w:firstLine="630" w:firstLineChars="300"/>
        <w:jc w:val="left"/>
        <w:rPr>
          <w:rFonts w:ascii="宋体" w:hAnsi="宋体" w:cs="宋体"/>
          <w:highlight w:val="none"/>
        </w:rPr>
      </w:pPr>
      <w:r>
        <w:rPr>
          <w:rFonts w:hint="eastAsia" w:ascii="宋体" w:hAnsi="宋体" w:cs="宋体"/>
          <w:highlight w:val="none"/>
        </w:rPr>
        <w:t>① 环境温度和待喷涂物体表面温度要求：20~ 50℃。</w:t>
      </w:r>
    </w:p>
    <w:p>
      <w:pPr>
        <w:ind w:firstLine="630" w:firstLineChars="300"/>
        <w:jc w:val="left"/>
        <w:rPr>
          <w:rFonts w:ascii="宋体" w:hAnsi="宋体" w:cs="宋体"/>
          <w:highlight w:val="none"/>
        </w:rPr>
      </w:pPr>
      <w:r>
        <w:rPr>
          <w:rFonts w:hint="eastAsia" w:ascii="宋体" w:hAnsi="宋体" w:cs="宋体"/>
          <w:highlight w:val="none"/>
        </w:rPr>
        <w:t>② 喷涂物体表面要求：要求待喷物体表面无水珠，无粉尘，无油污和潮气。</w:t>
      </w:r>
    </w:p>
    <w:p>
      <w:pPr>
        <w:ind w:firstLine="630" w:firstLineChars="300"/>
        <w:jc w:val="left"/>
        <w:rPr>
          <w:rFonts w:ascii="宋体" w:hAnsi="宋体" w:cs="宋体"/>
          <w:highlight w:val="none"/>
        </w:rPr>
      </w:pPr>
      <w:r>
        <w:rPr>
          <w:rFonts w:hint="eastAsia" w:ascii="宋体" w:hAnsi="宋体" w:cs="宋体"/>
          <w:highlight w:val="none"/>
        </w:rPr>
        <w:t>③ 风速要求：风力3级以下。</w:t>
      </w:r>
    </w:p>
    <w:p>
      <w:pPr>
        <w:ind w:firstLine="630" w:firstLineChars="300"/>
        <w:jc w:val="left"/>
        <w:rPr>
          <w:rFonts w:ascii="宋体" w:hAnsi="宋体" w:cs="宋体"/>
          <w:highlight w:val="none"/>
        </w:rPr>
      </w:pPr>
      <w:r>
        <w:rPr>
          <w:rFonts w:hint="eastAsia" w:ascii="宋体" w:hAnsi="宋体" w:cs="宋体"/>
          <w:highlight w:val="none"/>
        </w:rPr>
        <w:t>④ 保温泡沫喷涂层的维护：环境温度低于20℃时，必须进行保温维护24小时。</w:t>
      </w:r>
    </w:p>
    <w:p>
      <w:pPr>
        <w:ind w:firstLine="420"/>
        <w:jc w:val="left"/>
        <w:rPr>
          <w:rFonts w:ascii="宋体" w:hAnsi="宋体" w:cs="宋体"/>
          <w:szCs w:val="21"/>
          <w:highlight w:val="none"/>
        </w:rPr>
      </w:pPr>
      <w:r>
        <w:rPr>
          <w:rFonts w:hint="eastAsia" w:ascii="宋体" w:hAnsi="宋体" w:cs="宋体"/>
          <w:szCs w:val="21"/>
          <w:highlight w:val="none"/>
        </w:rPr>
        <w:t>4.4 蓄冷水罐外层采用0.5mm厚彩钢板进行防护，彩钢板材质为钛锡板或者AM150基板彩涂板，颜色由业主选择。罐壁防护为瓦楞板，罐顶防护为平板；蓄冷水罐金属防护层安装应采用有效的防冷桥措施，冷桥采用尼龙棒固定，正常工作时不得有凝露现象。</w:t>
      </w:r>
    </w:p>
    <w:p>
      <w:pPr>
        <w:ind w:firstLine="420"/>
        <w:jc w:val="left"/>
        <w:rPr>
          <w:rFonts w:ascii="宋体" w:hAnsi="宋体" w:cs="宋体"/>
          <w:szCs w:val="21"/>
          <w:highlight w:val="none"/>
        </w:rPr>
      </w:pPr>
      <w:r>
        <w:rPr>
          <w:rFonts w:hint="eastAsia" w:ascii="宋体" w:hAnsi="宋体" w:cs="宋体"/>
          <w:szCs w:val="21"/>
          <w:highlight w:val="none"/>
        </w:rPr>
        <w:t>4.5 彩钢瓦楞板以镀锌扁铁固定，横向间距不大于1000mm，竖向间距不大于1200mm，所有固定螺丝均采用410不锈钢M5燕尾自功螺丝。</w:t>
      </w:r>
    </w:p>
    <w:p>
      <w:pPr>
        <w:ind w:firstLine="420"/>
        <w:jc w:val="left"/>
        <w:rPr>
          <w:rFonts w:ascii="宋体" w:hAnsi="宋体" w:cs="宋体"/>
          <w:szCs w:val="21"/>
          <w:highlight w:val="none"/>
        </w:rPr>
      </w:pPr>
      <w:r>
        <w:rPr>
          <w:rFonts w:hint="eastAsia" w:ascii="宋体" w:hAnsi="宋体" w:cs="宋体"/>
          <w:szCs w:val="21"/>
          <w:highlight w:val="none"/>
        </w:rPr>
        <w:t>4.6 金属防护层外观不得有裂纹、拖位伤痕、色斑、表面膜层磨损、扭曲、污染、色差、翘角等现象，不得有明显凸凹和皱褶。</w:t>
      </w:r>
    </w:p>
    <w:p>
      <w:pPr>
        <w:ind w:firstLine="420"/>
        <w:jc w:val="left"/>
        <w:rPr>
          <w:rFonts w:ascii="宋体" w:hAnsi="宋体" w:cs="宋体"/>
          <w:szCs w:val="21"/>
          <w:highlight w:val="none"/>
        </w:rPr>
      </w:pPr>
      <w:r>
        <w:rPr>
          <w:rFonts w:hint="eastAsia" w:ascii="宋体" w:hAnsi="宋体" w:cs="宋体"/>
          <w:szCs w:val="21"/>
          <w:highlight w:val="none"/>
        </w:rPr>
        <w:t>4.7 金属防护板采用顺水搭接安装，搭接宽度尺寸需符合规范及设计要求，彩钢板收边位必须平直，无翘边，无反边；彩钢板搭接缝和收边的自攻螺丝头，必须打耐候密封胶防水。</w:t>
      </w:r>
    </w:p>
    <w:p>
      <w:pPr>
        <w:ind w:firstLine="420"/>
        <w:jc w:val="left"/>
        <w:rPr>
          <w:rFonts w:ascii="宋体" w:hAnsi="宋体" w:cs="宋体"/>
          <w:szCs w:val="21"/>
          <w:highlight w:val="none"/>
        </w:rPr>
      </w:pPr>
      <w:r>
        <w:rPr>
          <w:rFonts w:hint="eastAsia" w:ascii="宋体" w:hAnsi="宋体" w:cs="宋体"/>
          <w:szCs w:val="21"/>
          <w:highlight w:val="none"/>
        </w:rPr>
        <w:t>4.8 彩钢板表面严禁施工残留物和污物，并不得有未经处理的错钻孔洞，错孔率不得大于1%，同一平面错孔个数不得超过3个。</w:t>
      </w:r>
    </w:p>
    <w:p>
      <w:pPr>
        <w:ind w:firstLine="420"/>
        <w:jc w:val="left"/>
        <w:rPr>
          <w:rFonts w:ascii="宋体" w:hAnsi="宋体" w:cs="宋体"/>
          <w:szCs w:val="21"/>
          <w:highlight w:val="none"/>
        </w:rPr>
      </w:pPr>
      <w:r>
        <w:rPr>
          <w:rFonts w:hint="eastAsia" w:ascii="宋体" w:hAnsi="宋体" w:cs="宋体"/>
          <w:szCs w:val="21"/>
          <w:highlight w:val="none"/>
        </w:rPr>
        <w:t>4.9 金属防护层施工完毕后，对地脚保温层外圈做坡度密封，坡度为30度角，斜边长不得小于300 mm 。</w:t>
      </w:r>
    </w:p>
    <w:p>
      <w:pPr>
        <w:rPr>
          <w:b/>
          <w:bCs/>
          <w:highlight w:val="none"/>
        </w:rPr>
      </w:pPr>
      <w:bookmarkStart w:id="261" w:name="_Toc150453625"/>
      <w:r>
        <w:rPr>
          <w:rFonts w:hint="eastAsia"/>
          <w:b/>
          <w:bCs/>
          <w:highlight w:val="none"/>
        </w:rPr>
        <w:t>5、蓄冷罐验收要求</w:t>
      </w:r>
      <w:bookmarkEnd w:id="261"/>
    </w:p>
    <w:p>
      <w:pPr>
        <w:ind w:firstLine="420"/>
        <w:jc w:val="left"/>
        <w:rPr>
          <w:rFonts w:ascii="宋体" w:hAnsi="宋体"/>
          <w:szCs w:val="21"/>
          <w:highlight w:val="none"/>
        </w:rPr>
      </w:pPr>
      <w:r>
        <w:rPr>
          <w:rFonts w:ascii="宋体" w:hAnsi="宋体"/>
          <w:szCs w:val="21"/>
          <w:highlight w:val="none"/>
        </w:rPr>
        <w:t xml:space="preserve">5.1 </w:t>
      </w:r>
      <w:r>
        <w:rPr>
          <w:rFonts w:hint="eastAsia" w:ascii="宋体" w:hAnsi="宋体"/>
          <w:szCs w:val="21"/>
          <w:highlight w:val="none"/>
        </w:rPr>
        <w:t>储罐的预制、组装、焊接施工、焊接检验和试验、充水试验应符合《GB50128-2014立式圆筒形钢制焊接储罐施工规范》的规定和要求。</w:t>
      </w:r>
    </w:p>
    <w:p>
      <w:pPr>
        <w:ind w:firstLine="420"/>
        <w:jc w:val="left"/>
        <w:rPr>
          <w:rFonts w:ascii="宋体" w:hAnsi="宋体"/>
          <w:szCs w:val="21"/>
          <w:highlight w:val="none"/>
        </w:rPr>
      </w:pPr>
      <w:r>
        <w:rPr>
          <w:rFonts w:hint="eastAsia" w:ascii="宋体" w:hAnsi="宋体"/>
          <w:szCs w:val="21"/>
          <w:highlight w:val="none"/>
        </w:rPr>
        <w:t>5</w:t>
      </w:r>
      <w:r>
        <w:rPr>
          <w:rFonts w:ascii="宋体" w:hAnsi="宋体"/>
          <w:szCs w:val="21"/>
          <w:highlight w:val="none"/>
        </w:rPr>
        <w:t xml:space="preserve">.2 </w:t>
      </w:r>
      <w:r>
        <w:rPr>
          <w:rFonts w:hint="eastAsia" w:ascii="宋体" w:hAnsi="宋体"/>
          <w:szCs w:val="21"/>
          <w:highlight w:val="none"/>
        </w:rPr>
        <w:t>蓄冷罐竣工后，供应方须提供：材质合格证明书；基础复测记录；蓄冷罐几何尺寸检测记录；蓄冷罐底板真空试验记录；蓄冷罐罐体焊缝无损探伤报告；焊缝渗透检测记录；蓄冷罐试水沉降观测记录；竣工图册等。</w:t>
      </w:r>
    </w:p>
    <w:p>
      <w:pPr>
        <w:rPr>
          <w:rFonts w:ascii="等线" w:hAnsi="等线"/>
          <w:b/>
          <w:bCs/>
          <w:sz w:val="28"/>
          <w:szCs w:val="28"/>
          <w:highlight w:val="none"/>
        </w:rPr>
      </w:pPr>
    </w:p>
    <w:p>
      <w:pPr>
        <w:pStyle w:val="23"/>
        <w:rPr>
          <w:rFonts w:ascii="宋体" w:hAnsi="宋体"/>
          <w:b/>
          <w:sz w:val="32"/>
          <w:szCs w:val="32"/>
          <w:highlight w:val="none"/>
        </w:rPr>
      </w:pPr>
      <w:bookmarkStart w:id="262" w:name="_Toc29815"/>
      <w:bookmarkStart w:id="263" w:name="_Toc21604"/>
      <w:r>
        <w:rPr>
          <w:rFonts w:hint="eastAsia" w:ascii="宋体" w:hAnsi="宋体"/>
          <w:b/>
          <w:sz w:val="32"/>
          <w:szCs w:val="32"/>
          <w:highlight w:val="none"/>
        </w:rPr>
        <w:t>四、施工安装部分要求</w:t>
      </w:r>
      <w:bookmarkEnd w:id="262"/>
      <w:bookmarkEnd w:id="263"/>
    </w:p>
    <w:p>
      <w:pPr>
        <w:keepNext/>
        <w:keepLines/>
        <w:outlineLvl w:val="2"/>
        <w:rPr>
          <w:b/>
          <w:bCs/>
          <w:sz w:val="28"/>
          <w:szCs w:val="32"/>
          <w:highlight w:val="none"/>
        </w:rPr>
      </w:pPr>
      <w:bookmarkStart w:id="264" w:name="_Toc10405"/>
      <w:bookmarkStart w:id="265" w:name="_Toc16774"/>
      <w:r>
        <w:rPr>
          <w:rFonts w:hint="eastAsia"/>
          <w:b/>
          <w:bCs/>
          <w:sz w:val="28"/>
          <w:szCs w:val="32"/>
          <w:highlight w:val="none"/>
        </w:rPr>
        <w:t>1.  主要设备安装：</w:t>
      </w:r>
      <w:bookmarkEnd w:id="264"/>
      <w:bookmarkEnd w:id="265"/>
    </w:p>
    <w:p>
      <w:pPr>
        <w:ind w:firstLine="420" w:firstLineChars="200"/>
        <w:rPr>
          <w:rFonts w:ascii="宋体" w:hAnsi="宋体" w:cs="宋体"/>
          <w:szCs w:val="24"/>
          <w:highlight w:val="none"/>
        </w:rPr>
      </w:pPr>
      <w:r>
        <w:rPr>
          <w:rFonts w:hint="eastAsia" w:ascii="宋体" w:hAnsi="宋体" w:cs="宋体"/>
          <w:szCs w:val="24"/>
          <w:highlight w:val="none"/>
        </w:rPr>
        <w:t>1.1 设备按产品安装说明及现行国家有关规范标准要求进行安装；</w:t>
      </w:r>
    </w:p>
    <w:p>
      <w:pPr>
        <w:ind w:firstLine="420" w:firstLineChars="200"/>
        <w:rPr>
          <w:rFonts w:ascii="宋体" w:hAnsi="宋体" w:cs="宋体"/>
          <w:szCs w:val="24"/>
          <w:highlight w:val="none"/>
        </w:rPr>
      </w:pPr>
      <w:r>
        <w:rPr>
          <w:rFonts w:hint="eastAsia" w:ascii="宋体" w:hAnsi="宋体" w:cs="宋体"/>
          <w:szCs w:val="24"/>
          <w:highlight w:val="none"/>
        </w:rPr>
        <w:t>1.2 设备安装前应对基础找平，其纵、横向不水平度不应超过0.1/1000；</w:t>
      </w:r>
    </w:p>
    <w:p>
      <w:pPr>
        <w:ind w:firstLine="420" w:firstLineChars="200"/>
        <w:rPr>
          <w:rFonts w:ascii="宋体" w:hAnsi="宋体" w:cs="宋体"/>
          <w:szCs w:val="24"/>
          <w:highlight w:val="none"/>
        </w:rPr>
      </w:pPr>
      <w:r>
        <w:rPr>
          <w:rFonts w:hint="eastAsia" w:ascii="宋体" w:hAnsi="宋体" w:cs="宋体"/>
          <w:szCs w:val="24"/>
          <w:highlight w:val="none"/>
        </w:rPr>
        <w:t>1.3 设备基座需安装金属弹簧减震器；</w:t>
      </w:r>
    </w:p>
    <w:p>
      <w:pPr>
        <w:ind w:firstLine="420" w:firstLineChars="200"/>
        <w:rPr>
          <w:rFonts w:ascii="宋体" w:hAnsi="宋体" w:cs="宋体"/>
          <w:szCs w:val="24"/>
          <w:highlight w:val="none"/>
        </w:rPr>
      </w:pPr>
      <w:r>
        <w:rPr>
          <w:rFonts w:hint="eastAsia" w:ascii="宋体" w:hAnsi="宋体" w:cs="宋体"/>
          <w:szCs w:val="24"/>
          <w:highlight w:val="none"/>
        </w:rPr>
        <w:t>1.4 设备安装间距合理，方便操作、维修；</w:t>
      </w:r>
    </w:p>
    <w:p>
      <w:pPr>
        <w:ind w:firstLine="420" w:firstLineChars="200"/>
        <w:rPr>
          <w:rFonts w:ascii="宋体" w:hAnsi="宋体" w:cs="宋体"/>
          <w:szCs w:val="24"/>
          <w:highlight w:val="none"/>
        </w:rPr>
      </w:pPr>
      <w:r>
        <w:rPr>
          <w:rFonts w:hint="eastAsia" w:ascii="宋体" w:hAnsi="宋体" w:cs="宋体"/>
          <w:szCs w:val="24"/>
          <w:highlight w:val="none"/>
        </w:rPr>
        <w:t>1.5 制冷机房地面须做环氧地坪漆，地坪漆厚度不低于2 mm；</w:t>
      </w:r>
    </w:p>
    <w:p>
      <w:pPr>
        <w:ind w:firstLine="420" w:firstLineChars="200"/>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 xml:space="preserve">.6 </w:t>
      </w:r>
      <w:r>
        <w:rPr>
          <w:rFonts w:hint="eastAsia" w:ascii="宋体" w:hAnsi="宋体" w:cs="宋体"/>
          <w:szCs w:val="24"/>
          <w:highlight w:val="none"/>
        </w:rPr>
        <w:t>水泵必须配减震底座以及弹簧减震器；</w:t>
      </w:r>
    </w:p>
    <w:p>
      <w:pPr>
        <w:keepNext/>
        <w:keepLines/>
        <w:outlineLvl w:val="2"/>
        <w:rPr>
          <w:b/>
          <w:bCs/>
          <w:sz w:val="28"/>
          <w:szCs w:val="32"/>
          <w:highlight w:val="none"/>
        </w:rPr>
      </w:pPr>
      <w:bookmarkStart w:id="266" w:name="_Toc15616"/>
      <w:bookmarkStart w:id="267" w:name="_Toc8805"/>
      <w:r>
        <w:rPr>
          <w:rFonts w:hint="eastAsia"/>
          <w:b/>
          <w:bCs/>
          <w:sz w:val="28"/>
          <w:szCs w:val="32"/>
          <w:highlight w:val="none"/>
        </w:rPr>
        <w:t>2.  水管安装：</w:t>
      </w:r>
      <w:bookmarkEnd w:id="266"/>
      <w:bookmarkEnd w:id="267"/>
    </w:p>
    <w:p>
      <w:pPr>
        <w:ind w:firstLine="420" w:firstLineChars="200"/>
        <w:rPr>
          <w:rFonts w:ascii="宋体" w:hAnsi="宋体" w:cs="宋体"/>
          <w:szCs w:val="24"/>
          <w:highlight w:val="none"/>
        </w:rPr>
      </w:pPr>
      <w:r>
        <w:rPr>
          <w:rFonts w:hint="eastAsia" w:ascii="宋体" w:hAnsi="宋体" w:cs="宋体"/>
          <w:szCs w:val="24"/>
          <w:highlight w:val="none"/>
        </w:rPr>
        <w:t>2.1 水管安装应符合设计和现行国家有关规范标准要求；</w:t>
      </w:r>
    </w:p>
    <w:p>
      <w:pPr>
        <w:ind w:firstLine="420" w:firstLineChars="200"/>
        <w:rPr>
          <w:rFonts w:ascii="宋体" w:hAnsi="宋体" w:cs="宋体"/>
          <w:szCs w:val="24"/>
          <w:highlight w:val="none"/>
        </w:rPr>
      </w:pPr>
      <w:r>
        <w:rPr>
          <w:rFonts w:hint="eastAsia" w:ascii="宋体" w:hAnsi="宋体" w:cs="宋体"/>
          <w:szCs w:val="24"/>
          <w:highlight w:val="none"/>
        </w:rPr>
        <w:t>2.2 水管材料选择：</w:t>
      </w:r>
    </w:p>
    <w:p>
      <w:pPr>
        <w:ind w:firstLine="420" w:firstLineChars="200"/>
        <w:rPr>
          <w:rFonts w:ascii="宋体" w:hAnsi="宋体" w:cs="宋体"/>
          <w:szCs w:val="24"/>
          <w:highlight w:val="none"/>
        </w:rPr>
      </w:pPr>
      <w:r>
        <w:rPr>
          <w:rFonts w:hint="eastAsia" w:ascii="宋体" w:hAnsi="宋体" w:cs="宋体"/>
          <w:szCs w:val="24"/>
          <w:highlight w:val="none"/>
        </w:rPr>
        <w:t>1）公称直径≤DN1</w:t>
      </w:r>
      <w:r>
        <w:rPr>
          <w:rFonts w:ascii="宋体" w:hAnsi="宋体" w:cs="宋体"/>
          <w:szCs w:val="24"/>
          <w:highlight w:val="none"/>
        </w:rPr>
        <w:t>00</w:t>
      </w:r>
      <w:r>
        <w:rPr>
          <w:rFonts w:hint="eastAsia" w:ascii="宋体" w:hAnsi="宋体" w:cs="宋体"/>
          <w:szCs w:val="24"/>
          <w:highlight w:val="none"/>
        </w:rPr>
        <w:t>的水管采用镀锌钢管；</w:t>
      </w:r>
    </w:p>
    <w:p>
      <w:pPr>
        <w:ind w:firstLine="420" w:firstLineChars="200"/>
        <w:rPr>
          <w:rFonts w:ascii="宋体" w:hAnsi="宋体" w:cs="宋体"/>
          <w:szCs w:val="24"/>
          <w:highlight w:val="none"/>
        </w:rPr>
      </w:pPr>
      <w:r>
        <w:rPr>
          <w:rFonts w:hint="eastAsia" w:ascii="宋体" w:hAnsi="宋体" w:cs="宋体"/>
          <w:szCs w:val="24"/>
          <w:highlight w:val="none"/>
        </w:rPr>
        <w:t>2）公称直径≥DN</w:t>
      </w:r>
      <w:r>
        <w:rPr>
          <w:rFonts w:ascii="宋体" w:hAnsi="宋体" w:cs="宋体"/>
          <w:szCs w:val="24"/>
          <w:highlight w:val="none"/>
        </w:rPr>
        <w:t>125</w:t>
      </w:r>
      <w:r>
        <w:rPr>
          <w:rFonts w:hint="eastAsia" w:ascii="宋体" w:hAnsi="宋体" w:cs="宋体"/>
          <w:szCs w:val="24"/>
          <w:highlight w:val="none"/>
        </w:rPr>
        <w:t>的水管采用无缝钢管；</w:t>
      </w:r>
    </w:p>
    <w:p>
      <w:pPr>
        <w:ind w:firstLine="420" w:firstLineChars="200"/>
        <w:rPr>
          <w:rFonts w:ascii="宋体" w:hAnsi="宋体" w:cs="宋体"/>
          <w:szCs w:val="24"/>
          <w:highlight w:val="none"/>
        </w:rPr>
      </w:pPr>
      <w:r>
        <w:rPr>
          <w:rFonts w:hint="eastAsia" w:ascii="宋体" w:hAnsi="宋体" w:cs="宋体"/>
          <w:szCs w:val="24"/>
          <w:highlight w:val="none"/>
        </w:rPr>
        <w:t>3）公称直径≥DN</w:t>
      </w:r>
      <w:r>
        <w:rPr>
          <w:rFonts w:ascii="宋体" w:hAnsi="宋体" w:cs="宋体"/>
          <w:szCs w:val="24"/>
          <w:highlight w:val="none"/>
        </w:rPr>
        <w:t>30</w:t>
      </w:r>
      <w:r>
        <w:rPr>
          <w:rFonts w:hint="eastAsia" w:ascii="宋体" w:hAnsi="宋体" w:cs="宋体"/>
          <w:szCs w:val="24"/>
          <w:highlight w:val="none"/>
        </w:rPr>
        <w:t>0采用螺旋缝焊接钢管；</w:t>
      </w:r>
    </w:p>
    <w:p>
      <w:pPr>
        <w:ind w:firstLine="420" w:firstLineChars="200"/>
        <w:rPr>
          <w:rFonts w:ascii="宋体" w:hAnsi="宋体" w:cs="宋体"/>
          <w:szCs w:val="24"/>
          <w:highlight w:val="none"/>
        </w:rPr>
      </w:pPr>
      <w:r>
        <w:rPr>
          <w:rFonts w:hint="eastAsia" w:ascii="宋体" w:hAnsi="宋体" w:cs="宋体"/>
          <w:szCs w:val="24"/>
          <w:highlight w:val="none"/>
        </w:rPr>
        <w:t>4）焊接缝钢管水管厚度参考下表标准厚度：</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943"/>
        <w:gridCol w:w="992"/>
        <w:gridCol w:w="1276"/>
        <w:gridCol w:w="93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公称直径</w:t>
            </w:r>
          </w:p>
          <w:p>
            <w:pPr>
              <w:jc w:val="center"/>
              <w:rPr>
                <w:rFonts w:ascii="宋体" w:hAnsi="宋体" w:cs="宋体"/>
                <w:szCs w:val="24"/>
                <w:highlight w:val="none"/>
              </w:rPr>
            </w:pPr>
            <w:r>
              <w:rPr>
                <w:rFonts w:hint="eastAsia" w:ascii="宋体" w:hAnsi="宋体" w:cs="宋体"/>
                <w:szCs w:val="24"/>
                <w:highlight w:val="none"/>
              </w:rPr>
              <w:t>（mm）</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外径</w:t>
            </w:r>
          </w:p>
          <w:p>
            <w:pPr>
              <w:jc w:val="center"/>
              <w:rPr>
                <w:rFonts w:ascii="宋体" w:hAnsi="宋体" w:cs="宋体"/>
                <w:szCs w:val="24"/>
                <w:highlight w:val="none"/>
              </w:rPr>
            </w:pPr>
            <w:r>
              <w:rPr>
                <w:rFonts w:hint="eastAsia" w:ascii="宋体" w:hAnsi="宋体" w:cs="宋体"/>
                <w:szCs w:val="24"/>
                <w:highlight w:val="none"/>
              </w:rPr>
              <w:t>（mm）</w:t>
            </w:r>
          </w:p>
        </w:tc>
        <w:tc>
          <w:tcPr>
            <w:tcW w:w="992"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壁厚</w:t>
            </w:r>
          </w:p>
          <w:p>
            <w:pPr>
              <w:jc w:val="center"/>
              <w:rPr>
                <w:rFonts w:ascii="宋体" w:hAnsi="宋体" w:cs="宋体"/>
                <w:szCs w:val="24"/>
                <w:highlight w:val="none"/>
              </w:rPr>
            </w:pPr>
            <w:r>
              <w:rPr>
                <w:rFonts w:hint="eastAsia" w:ascii="宋体" w:hAnsi="宋体" w:cs="宋体"/>
                <w:szCs w:val="24"/>
                <w:highlight w:val="none"/>
              </w:rPr>
              <w:t>（mm）</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公称直径</w:t>
            </w:r>
          </w:p>
          <w:p>
            <w:pPr>
              <w:jc w:val="center"/>
              <w:rPr>
                <w:rFonts w:ascii="宋体" w:hAnsi="宋体" w:cs="宋体"/>
                <w:szCs w:val="24"/>
                <w:highlight w:val="none"/>
              </w:rPr>
            </w:pPr>
            <w:r>
              <w:rPr>
                <w:rFonts w:hint="eastAsia" w:ascii="宋体" w:hAnsi="宋体" w:cs="宋体"/>
                <w:szCs w:val="24"/>
                <w:highlight w:val="none"/>
              </w:rPr>
              <w:t>（mm）</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外径</w:t>
            </w:r>
          </w:p>
          <w:p>
            <w:pPr>
              <w:jc w:val="center"/>
              <w:rPr>
                <w:rFonts w:ascii="宋体" w:hAnsi="宋体" w:cs="宋体"/>
                <w:szCs w:val="24"/>
                <w:highlight w:val="none"/>
              </w:rPr>
            </w:pPr>
            <w:r>
              <w:rPr>
                <w:rFonts w:hint="eastAsia" w:ascii="宋体" w:hAnsi="宋体" w:cs="宋体"/>
                <w:szCs w:val="24"/>
                <w:highlight w:val="none"/>
              </w:rPr>
              <w:t>（mm）</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壁厚</w:t>
            </w:r>
          </w:p>
          <w:p>
            <w:pPr>
              <w:jc w:val="center"/>
              <w:rPr>
                <w:rFonts w:ascii="宋体" w:hAnsi="宋体" w:cs="宋体"/>
                <w:szCs w:val="24"/>
                <w:highlight w:val="none"/>
              </w:rPr>
            </w:pPr>
            <w:r>
              <w:rPr>
                <w:rFonts w:hint="eastAsia" w:ascii="宋体" w:hAnsi="宋体" w:cs="宋体"/>
                <w:szCs w:val="24"/>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N50</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6</w:t>
            </w:r>
            <w:r>
              <w:rPr>
                <w:rFonts w:ascii="宋体" w:hAnsi="宋体" w:cs="宋体"/>
                <w:szCs w:val="24"/>
                <w:highlight w:val="none"/>
              </w:rPr>
              <w:t>0</w:t>
            </w:r>
          </w:p>
        </w:tc>
        <w:tc>
          <w:tcPr>
            <w:tcW w:w="992"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3</w:t>
            </w:r>
            <w:r>
              <w:rPr>
                <w:rFonts w:ascii="宋体" w:hAnsi="宋体" w:cs="宋体"/>
                <w:szCs w:val="24"/>
                <w:highlight w:val="none"/>
              </w:rPr>
              <w:t>.5</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N400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4</w:t>
            </w:r>
            <w:r>
              <w:rPr>
                <w:rFonts w:ascii="宋体" w:hAnsi="宋体" w:cs="宋体"/>
                <w:szCs w:val="24"/>
                <w:highlight w:val="none"/>
              </w:rPr>
              <w:t>26</w:t>
            </w:r>
          </w:p>
        </w:tc>
        <w:tc>
          <w:tcPr>
            <w:tcW w:w="936"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N65</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7</w:t>
            </w:r>
            <w:r>
              <w:rPr>
                <w:rFonts w:ascii="宋体" w:hAnsi="宋体" w:cs="宋体"/>
                <w:szCs w:val="24"/>
                <w:highlight w:val="none"/>
              </w:rPr>
              <w:t>6</w:t>
            </w:r>
          </w:p>
        </w:tc>
        <w:tc>
          <w:tcPr>
            <w:tcW w:w="992"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3</w:t>
            </w:r>
            <w:r>
              <w:rPr>
                <w:rFonts w:ascii="宋体" w:hAnsi="宋体" w:cs="宋体"/>
                <w:szCs w:val="24"/>
                <w:highlight w:val="none"/>
              </w:rPr>
              <w:t>.5</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N450</w:t>
            </w:r>
          </w:p>
        </w:tc>
        <w:tc>
          <w:tcPr>
            <w:tcW w:w="936"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480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N80</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8</w:t>
            </w:r>
            <w:r>
              <w:rPr>
                <w:rFonts w:ascii="宋体" w:hAnsi="宋体" w:cs="宋体"/>
                <w:szCs w:val="24"/>
                <w:highlight w:val="none"/>
              </w:rPr>
              <w:t>9</w:t>
            </w:r>
          </w:p>
        </w:tc>
        <w:tc>
          <w:tcPr>
            <w:tcW w:w="992"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3</w:t>
            </w:r>
            <w:r>
              <w:rPr>
                <w:rFonts w:ascii="宋体" w:hAnsi="宋体" w:cs="宋体"/>
                <w:szCs w:val="24"/>
                <w:highlight w:val="none"/>
              </w:rPr>
              <w:t>.5</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N500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5</w:t>
            </w:r>
            <w:r>
              <w:rPr>
                <w:rFonts w:ascii="宋体" w:hAnsi="宋体" w:cs="宋体"/>
                <w:szCs w:val="24"/>
                <w:highlight w:val="none"/>
              </w:rPr>
              <w:t>30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N100</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14</w:t>
            </w:r>
          </w:p>
        </w:tc>
        <w:tc>
          <w:tcPr>
            <w:tcW w:w="992"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4</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N550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5</w:t>
            </w:r>
            <w:r>
              <w:rPr>
                <w:rFonts w:ascii="宋体" w:hAnsi="宋体" w:cs="宋体"/>
                <w:szCs w:val="24"/>
                <w:highlight w:val="none"/>
              </w:rPr>
              <w:t>59</w:t>
            </w:r>
          </w:p>
        </w:tc>
        <w:tc>
          <w:tcPr>
            <w:tcW w:w="936"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N125</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33</w:t>
            </w:r>
          </w:p>
        </w:tc>
        <w:tc>
          <w:tcPr>
            <w:tcW w:w="992"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4</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N600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6</w:t>
            </w:r>
            <w:r>
              <w:rPr>
                <w:rFonts w:ascii="宋体" w:hAnsi="宋体" w:cs="宋体"/>
                <w:szCs w:val="24"/>
                <w:highlight w:val="none"/>
              </w:rPr>
              <w:t>30</w:t>
            </w:r>
          </w:p>
        </w:tc>
        <w:tc>
          <w:tcPr>
            <w:tcW w:w="936"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N150</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59</w:t>
            </w:r>
          </w:p>
        </w:tc>
        <w:tc>
          <w:tcPr>
            <w:tcW w:w="992"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4</w:t>
            </w:r>
            <w:r>
              <w:rPr>
                <w:rFonts w:ascii="宋体" w:hAnsi="宋体" w:cs="宋体"/>
                <w:szCs w:val="24"/>
                <w:highlight w:val="none"/>
              </w:rPr>
              <w:t>.5</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N700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7</w:t>
            </w:r>
            <w:r>
              <w:rPr>
                <w:rFonts w:ascii="宋体" w:hAnsi="宋体" w:cs="宋体"/>
                <w:szCs w:val="24"/>
                <w:highlight w:val="none"/>
              </w:rPr>
              <w:t>20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N200</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2</w:t>
            </w:r>
            <w:r>
              <w:rPr>
                <w:rFonts w:ascii="宋体" w:hAnsi="宋体" w:cs="宋体"/>
                <w:szCs w:val="24"/>
                <w:highlight w:val="none"/>
              </w:rPr>
              <w:t>19</w:t>
            </w:r>
          </w:p>
        </w:tc>
        <w:tc>
          <w:tcPr>
            <w:tcW w:w="992"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5</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N800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8</w:t>
            </w:r>
            <w:r>
              <w:rPr>
                <w:rFonts w:ascii="宋体" w:hAnsi="宋体" w:cs="宋体"/>
                <w:szCs w:val="24"/>
                <w:highlight w:val="none"/>
              </w:rPr>
              <w:t>20</w:t>
            </w:r>
          </w:p>
        </w:tc>
        <w:tc>
          <w:tcPr>
            <w:tcW w:w="936"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N250</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2</w:t>
            </w:r>
            <w:r>
              <w:rPr>
                <w:rFonts w:ascii="宋体" w:hAnsi="宋体" w:cs="宋体"/>
                <w:szCs w:val="24"/>
                <w:highlight w:val="none"/>
              </w:rPr>
              <w:t>73</w:t>
            </w:r>
          </w:p>
        </w:tc>
        <w:tc>
          <w:tcPr>
            <w:tcW w:w="992"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6</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N900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9</w:t>
            </w:r>
            <w:r>
              <w:rPr>
                <w:rFonts w:ascii="宋体" w:hAnsi="宋体" w:cs="宋体"/>
                <w:szCs w:val="24"/>
                <w:highlight w:val="none"/>
              </w:rPr>
              <w:t>14</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N300</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3</w:t>
            </w:r>
            <w:r>
              <w:rPr>
                <w:rFonts w:ascii="宋体" w:hAnsi="宋体" w:cs="宋体"/>
                <w:szCs w:val="24"/>
                <w:highlight w:val="none"/>
              </w:rPr>
              <w:t>25</w:t>
            </w:r>
          </w:p>
        </w:tc>
        <w:tc>
          <w:tcPr>
            <w:tcW w:w="992"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6</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N1000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020</w:t>
            </w:r>
          </w:p>
        </w:tc>
        <w:tc>
          <w:tcPr>
            <w:tcW w:w="936"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330"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N350</w:t>
            </w:r>
          </w:p>
        </w:tc>
        <w:tc>
          <w:tcPr>
            <w:tcW w:w="943"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3</w:t>
            </w:r>
            <w:r>
              <w:rPr>
                <w:rFonts w:ascii="宋体" w:hAnsi="宋体" w:cs="宋体"/>
                <w:szCs w:val="24"/>
                <w:highlight w:val="none"/>
              </w:rPr>
              <w:t>77</w:t>
            </w:r>
          </w:p>
        </w:tc>
        <w:tc>
          <w:tcPr>
            <w:tcW w:w="992"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6</w:t>
            </w:r>
          </w:p>
        </w:tc>
        <w:tc>
          <w:tcPr>
            <w:tcW w:w="127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D</w:t>
            </w:r>
            <w:r>
              <w:rPr>
                <w:rFonts w:ascii="宋体" w:hAnsi="宋体" w:cs="宋体"/>
                <w:szCs w:val="24"/>
                <w:highlight w:val="none"/>
              </w:rPr>
              <w:t>N1200</w:t>
            </w:r>
          </w:p>
        </w:tc>
        <w:tc>
          <w:tcPr>
            <w:tcW w:w="936" w:type="dxa"/>
            <w:shd w:val="clear" w:color="auto" w:fill="auto"/>
            <w:noWrap w:val="0"/>
            <w:vAlign w:val="center"/>
          </w:tcPr>
          <w:p>
            <w:pPr>
              <w:jc w:val="center"/>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220</w:t>
            </w:r>
          </w:p>
        </w:tc>
        <w:tc>
          <w:tcPr>
            <w:tcW w:w="936" w:type="dxa"/>
            <w:shd w:val="clear" w:color="auto" w:fill="auto"/>
            <w:noWrap w:val="0"/>
            <w:vAlign w:val="center"/>
          </w:tcPr>
          <w:p>
            <w:pPr>
              <w:jc w:val="center"/>
              <w:rPr>
                <w:rFonts w:ascii="宋体" w:hAnsi="宋体" w:cs="宋体"/>
                <w:szCs w:val="24"/>
                <w:highlight w:val="none"/>
              </w:rPr>
            </w:pPr>
            <w:r>
              <w:rPr>
                <w:rFonts w:ascii="宋体" w:hAnsi="宋体" w:cs="宋体"/>
                <w:szCs w:val="24"/>
                <w:highlight w:val="none"/>
              </w:rPr>
              <w:t>12</w:t>
            </w:r>
          </w:p>
        </w:tc>
      </w:tr>
    </w:tbl>
    <w:p>
      <w:pPr>
        <w:ind w:firstLine="420" w:firstLineChars="200"/>
        <w:rPr>
          <w:rFonts w:ascii="宋体" w:hAnsi="宋体" w:cs="宋体"/>
          <w:szCs w:val="21"/>
          <w:highlight w:val="none"/>
        </w:rPr>
      </w:pPr>
      <w:r>
        <w:rPr>
          <w:rFonts w:hint="eastAsia" w:ascii="宋体" w:hAnsi="宋体" w:cs="宋体"/>
          <w:szCs w:val="21"/>
          <w:highlight w:val="none"/>
        </w:rPr>
        <w:t>注1：表中未提及的其它规格钢管壁厚参考规范GB</w:t>
      </w:r>
      <w:r>
        <w:rPr>
          <w:rFonts w:ascii="宋体" w:hAnsi="宋体" w:cs="宋体"/>
          <w:szCs w:val="21"/>
          <w:highlight w:val="none"/>
        </w:rPr>
        <w:t>/</w:t>
      </w:r>
      <w:r>
        <w:rPr>
          <w:rFonts w:hint="eastAsia" w:ascii="宋体" w:hAnsi="宋体" w:cs="宋体"/>
          <w:szCs w:val="21"/>
          <w:highlight w:val="none"/>
        </w:rPr>
        <w:t>T 17395-2008《无缝钢管尺寸、外形、重量及允许偏差》中的要求；</w:t>
      </w:r>
    </w:p>
    <w:p>
      <w:pPr>
        <w:ind w:firstLine="420" w:firstLineChars="200"/>
        <w:rPr>
          <w:rFonts w:ascii="宋体" w:hAnsi="宋体" w:cs="宋体"/>
          <w:szCs w:val="21"/>
          <w:highlight w:val="none"/>
        </w:rPr>
      </w:pPr>
      <w:r>
        <w:rPr>
          <w:rFonts w:hint="eastAsia" w:ascii="宋体" w:hAnsi="宋体" w:cs="宋体"/>
          <w:szCs w:val="21"/>
          <w:highlight w:val="none"/>
        </w:rPr>
        <w:t>注2：管道壁厚偏差验收参考规范GB</w:t>
      </w:r>
      <w:r>
        <w:rPr>
          <w:rFonts w:ascii="宋体" w:hAnsi="宋体" w:cs="宋体"/>
          <w:szCs w:val="21"/>
          <w:highlight w:val="none"/>
        </w:rPr>
        <w:t>/</w:t>
      </w:r>
      <w:r>
        <w:rPr>
          <w:rFonts w:hint="eastAsia" w:ascii="宋体" w:hAnsi="宋体" w:cs="宋体"/>
          <w:szCs w:val="21"/>
          <w:highlight w:val="none"/>
        </w:rPr>
        <w:t>T 17395-2008《无缝钢管尺寸、外形、重量及允许偏差》中的标准化壁厚允许偏差的要求；</w:t>
      </w:r>
    </w:p>
    <w:p>
      <w:pPr>
        <w:rPr>
          <w:rFonts w:ascii="宋体" w:hAnsi="宋体" w:cs="宋体"/>
          <w:szCs w:val="24"/>
          <w:highlight w:val="none"/>
        </w:rPr>
      </w:pPr>
      <w:r>
        <w:rPr>
          <w:rFonts w:hint="eastAsia" w:ascii="宋体" w:hAnsi="宋体" w:cs="宋体"/>
          <w:szCs w:val="24"/>
          <w:highlight w:val="none"/>
        </w:rPr>
        <w:t>2.3 管道连接：</w:t>
      </w:r>
    </w:p>
    <w:p>
      <w:pPr>
        <w:ind w:firstLine="420" w:firstLineChars="200"/>
        <w:rPr>
          <w:rFonts w:ascii="宋体" w:hAnsi="宋体" w:cs="宋体"/>
          <w:szCs w:val="24"/>
          <w:highlight w:val="none"/>
        </w:rPr>
      </w:pPr>
      <w:r>
        <w:rPr>
          <w:rFonts w:hint="eastAsia" w:ascii="宋体" w:hAnsi="宋体" w:cs="宋体"/>
          <w:szCs w:val="24"/>
          <w:highlight w:val="none"/>
        </w:rPr>
        <w:t>1） 镀锌钢管管径＜8</w:t>
      </w:r>
      <w:r>
        <w:rPr>
          <w:rFonts w:ascii="宋体" w:hAnsi="宋体" w:cs="宋体"/>
          <w:szCs w:val="24"/>
          <w:highlight w:val="none"/>
        </w:rPr>
        <w:t>0</w:t>
      </w:r>
      <w:r>
        <w:rPr>
          <w:rFonts w:hint="eastAsia" w:ascii="宋体" w:hAnsi="宋体" w:cs="宋体"/>
          <w:szCs w:val="24"/>
          <w:highlight w:val="none"/>
        </w:rPr>
        <w:t>，采用螺纹连接，D</w:t>
      </w:r>
      <w:r>
        <w:rPr>
          <w:rFonts w:ascii="宋体" w:hAnsi="宋体" w:cs="宋体"/>
          <w:szCs w:val="24"/>
          <w:highlight w:val="none"/>
        </w:rPr>
        <w:t>N</w:t>
      </w:r>
      <w:r>
        <w:rPr>
          <w:rFonts w:hint="eastAsia" w:ascii="宋体" w:hAnsi="宋体" w:cs="宋体"/>
          <w:szCs w:val="24"/>
          <w:highlight w:val="none"/>
        </w:rPr>
        <w:t>≥</w:t>
      </w:r>
      <w:r>
        <w:rPr>
          <w:rFonts w:ascii="宋体" w:hAnsi="宋体" w:cs="宋体"/>
          <w:szCs w:val="24"/>
          <w:highlight w:val="none"/>
        </w:rPr>
        <w:t>80</w:t>
      </w:r>
      <w:r>
        <w:rPr>
          <w:rFonts w:hint="eastAsia" w:ascii="宋体" w:hAnsi="宋体" w:cs="宋体"/>
          <w:szCs w:val="24"/>
          <w:highlight w:val="none"/>
        </w:rPr>
        <w:t>，采用焊接连接，焊接后必须及时（当天）涂刷防锈底漆两遍；</w:t>
      </w:r>
    </w:p>
    <w:p>
      <w:pPr>
        <w:ind w:firstLine="420" w:firstLineChars="200"/>
        <w:rPr>
          <w:rFonts w:ascii="宋体" w:hAnsi="宋体" w:cs="宋体"/>
          <w:szCs w:val="24"/>
          <w:highlight w:val="none"/>
        </w:rPr>
      </w:pPr>
      <w:r>
        <w:rPr>
          <w:rFonts w:hint="eastAsia" w:ascii="宋体" w:hAnsi="宋体" w:cs="宋体"/>
          <w:szCs w:val="24"/>
          <w:highlight w:val="none"/>
        </w:rPr>
        <w:t>2）无缝钢管或螺旋焊接钢管采用焊接或法兰连接（焊接前必须打坡口，焊接须氩弧焊打底）；</w:t>
      </w:r>
    </w:p>
    <w:p>
      <w:pPr>
        <w:ind w:firstLine="420" w:firstLineChars="200"/>
        <w:rPr>
          <w:rFonts w:ascii="宋体" w:hAnsi="宋体" w:cs="宋体"/>
          <w:szCs w:val="24"/>
          <w:highlight w:val="none"/>
        </w:rPr>
      </w:pPr>
      <w:r>
        <w:rPr>
          <w:rFonts w:hint="eastAsia" w:ascii="宋体" w:hAnsi="宋体" w:cs="宋体"/>
          <w:szCs w:val="24"/>
          <w:highlight w:val="none"/>
        </w:rPr>
        <w:t>3）管道与设备之间应采用软接头连接。</w:t>
      </w:r>
    </w:p>
    <w:p>
      <w:pPr>
        <w:ind w:left="840" w:leftChars="200" w:hanging="420" w:hangingChars="200"/>
        <w:rPr>
          <w:rFonts w:ascii="宋体" w:hAnsi="宋体" w:cs="宋体"/>
          <w:szCs w:val="24"/>
          <w:highlight w:val="none"/>
        </w:rPr>
      </w:pPr>
      <w:r>
        <w:rPr>
          <w:rFonts w:hint="eastAsia" w:ascii="宋体" w:hAnsi="宋体" w:cs="宋体"/>
          <w:szCs w:val="24"/>
          <w:highlight w:val="none"/>
        </w:rPr>
        <w:t>4）卧式水泵入口处变径管采用顶平偏心异径管；</w:t>
      </w:r>
    </w:p>
    <w:p>
      <w:pPr>
        <w:ind w:firstLine="420" w:firstLineChars="200"/>
        <w:rPr>
          <w:rFonts w:ascii="宋体" w:hAnsi="宋体" w:cs="宋体"/>
          <w:szCs w:val="24"/>
          <w:highlight w:val="none"/>
        </w:rPr>
      </w:pPr>
      <w:r>
        <w:rPr>
          <w:rFonts w:hint="eastAsia" w:ascii="宋体" w:hAnsi="宋体" w:cs="宋体"/>
          <w:szCs w:val="24"/>
          <w:highlight w:val="none"/>
        </w:rPr>
        <w:t>5）主管道支吊架施工前乙方需根据现场实际情况进行深化设计，增补校核支架位置及型钢大小，并交甲方及监理审核通过后方可施工。</w:t>
      </w:r>
    </w:p>
    <w:p>
      <w:pPr>
        <w:rPr>
          <w:rFonts w:ascii="宋体" w:hAnsi="宋体" w:cs="宋体"/>
          <w:szCs w:val="24"/>
          <w:highlight w:val="none"/>
        </w:rPr>
      </w:pPr>
      <w:r>
        <w:rPr>
          <w:rFonts w:hint="eastAsia" w:ascii="宋体" w:hAnsi="宋体" w:cs="宋体"/>
          <w:szCs w:val="24"/>
          <w:highlight w:val="none"/>
        </w:rPr>
        <w:t>2.4 水管保温：</w:t>
      </w:r>
    </w:p>
    <w:p>
      <w:pPr>
        <w:ind w:firstLine="420" w:firstLineChars="200"/>
        <w:rPr>
          <w:rFonts w:ascii="宋体" w:hAnsi="宋体" w:cs="宋体"/>
          <w:szCs w:val="24"/>
          <w:highlight w:val="none"/>
        </w:rPr>
      </w:pPr>
      <w:r>
        <w:rPr>
          <w:rFonts w:hint="eastAsia" w:ascii="宋体" w:hAnsi="宋体" w:cs="宋体"/>
          <w:szCs w:val="24"/>
          <w:highlight w:val="none"/>
        </w:rPr>
        <w:t>1）采用难燃B1级橡塑保温材料；</w:t>
      </w:r>
    </w:p>
    <w:p>
      <w:pPr>
        <w:ind w:firstLine="420" w:firstLineChars="200"/>
        <w:rPr>
          <w:rFonts w:ascii="宋体" w:hAnsi="宋体" w:cs="宋体"/>
          <w:szCs w:val="24"/>
          <w:highlight w:val="none"/>
        </w:rPr>
      </w:pPr>
      <w:r>
        <w:rPr>
          <w:rFonts w:ascii="宋体" w:hAnsi="宋体" w:cs="宋体"/>
          <w:szCs w:val="24"/>
          <w:highlight w:val="none"/>
        </w:rPr>
        <w:t>2</w:t>
      </w:r>
      <w:r>
        <w:rPr>
          <w:rFonts w:hint="eastAsia" w:ascii="宋体" w:hAnsi="宋体" w:cs="宋体"/>
          <w:szCs w:val="24"/>
          <w:highlight w:val="none"/>
        </w:rPr>
        <w:t>）保温层外包0.5mm厚P</w:t>
      </w:r>
      <w:r>
        <w:rPr>
          <w:rFonts w:ascii="宋体" w:hAnsi="宋体" w:cs="宋体"/>
          <w:szCs w:val="24"/>
          <w:highlight w:val="none"/>
        </w:rPr>
        <w:t>VC</w:t>
      </w:r>
      <w:r>
        <w:rPr>
          <w:rFonts w:hint="eastAsia" w:ascii="宋体" w:hAnsi="宋体" w:cs="宋体"/>
          <w:szCs w:val="24"/>
          <w:highlight w:val="none"/>
        </w:rPr>
        <w:t>彩壳保护层。</w:t>
      </w:r>
    </w:p>
    <w:p>
      <w:pPr>
        <w:rPr>
          <w:rFonts w:ascii="宋体" w:hAnsi="宋体" w:cs="宋体"/>
          <w:szCs w:val="24"/>
          <w:highlight w:val="none"/>
        </w:rPr>
      </w:pPr>
      <w:r>
        <w:rPr>
          <w:rFonts w:hint="eastAsia" w:ascii="宋体" w:hAnsi="宋体" w:cs="宋体"/>
          <w:szCs w:val="24"/>
          <w:highlight w:val="none"/>
        </w:rPr>
        <w:t>2.5 其他：</w:t>
      </w:r>
    </w:p>
    <w:p>
      <w:pPr>
        <w:ind w:firstLine="420" w:firstLineChars="200"/>
        <w:rPr>
          <w:rFonts w:ascii="宋体" w:hAnsi="宋体" w:cs="宋体"/>
          <w:szCs w:val="24"/>
          <w:highlight w:val="none"/>
        </w:rPr>
      </w:pPr>
      <w:r>
        <w:rPr>
          <w:rFonts w:hint="eastAsia" w:ascii="宋体" w:hAnsi="宋体" w:cs="宋体"/>
          <w:szCs w:val="24"/>
          <w:highlight w:val="none"/>
        </w:rPr>
        <w:t>1） 所有水管在安装前，需将管内外污垢、铁锈、杂物清除干净，安装中的敞口应临时封堵；</w:t>
      </w:r>
    </w:p>
    <w:p>
      <w:pPr>
        <w:ind w:left="840" w:leftChars="200" w:hanging="420" w:hangingChars="200"/>
        <w:rPr>
          <w:rFonts w:ascii="宋体" w:hAnsi="宋体" w:cs="宋体"/>
          <w:szCs w:val="24"/>
          <w:highlight w:val="none"/>
        </w:rPr>
      </w:pPr>
      <w:r>
        <w:rPr>
          <w:rFonts w:hint="eastAsia" w:ascii="宋体" w:hAnsi="宋体" w:cs="宋体"/>
          <w:szCs w:val="24"/>
          <w:highlight w:val="none"/>
        </w:rPr>
        <w:t>2）无缝钢管、螺旋焊接钢管表面除锈后刷二遍防锈漆后再进行保温；</w:t>
      </w:r>
    </w:p>
    <w:p>
      <w:pPr>
        <w:ind w:left="840" w:leftChars="200" w:hanging="420" w:hangingChars="200"/>
        <w:rPr>
          <w:rFonts w:ascii="宋体" w:hAnsi="宋体" w:cs="宋体"/>
          <w:szCs w:val="24"/>
          <w:highlight w:val="none"/>
        </w:rPr>
      </w:pPr>
      <w:r>
        <w:rPr>
          <w:rFonts w:hint="eastAsia" w:ascii="宋体" w:hAnsi="宋体" w:cs="宋体"/>
          <w:szCs w:val="24"/>
          <w:highlight w:val="none"/>
        </w:rPr>
        <w:t>3）冷水及冷却水管跨越建筑伸缩缝或直管段长度超过50m米时，应装设伸缩节；</w:t>
      </w:r>
    </w:p>
    <w:p>
      <w:pPr>
        <w:ind w:left="840" w:leftChars="200" w:hanging="420" w:hangingChars="200"/>
        <w:rPr>
          <w:rFonts w:ascii="宋体" w:hAnsi="宋体" w:cs="宋体"/>
          <w:szCs w:val="24"/>
          <w:highlight w:val="none"/>
        </w:rPr>
      </w:pPr>
      <w:r>
        <w:rPr>
          <w:rFonts w:ascii="宋体" w:hAnsi="宋体" w:cs="宋体"/>
          <w:szCs w:val="24"/>
          <w:highlight w:val="none"/>
        </w:rPr>
        <w:t>4</w:t>
      </w:r>
      <w:r>
        <w:rPr>
          <w:rFonts w:hint="eastAsia" w:ascii="宋体" w:hAnsi="宋体" w:cs="宋体"/>
          <w:szCs w:val="24"/>
          <w:highlight w:val="none"/>
        </w:rPr>
        <w:t>）所有设备必须做好标识牌（含设备名称、编号）；</w:t>
      </w:r>
    </w:p>
    <w:p>
      <w:pPr>
        <w:ind w:firstLine="420" w:firstLineChars="200"/>
        <w:rPr>
          <w:rFonts w:ascii="宋体" w:hAnsi="宋体" w:cs="宋体"/>
          <w:szCs w:val="24"/>
          <w:highlight w:val="none"/>
        </w:rPr>
      </w:pPr>
      <w:r>
        <w:rPr>
          <w:rFonts w:ascii="宋体" w:hAnsi="宋体" w:cs="宋体"/>
          <w:szCs w:val="24"/>
          <w:highlight w:val="none"/>
        </w:rPr>
        <w:t>5</w:t>
      </w:r>
      <w:r>
        <w:rPr>
          <w:rFonts w:hint="eastAsia" w:ascii="宋体" w:hAnsi="宋体" w:cs="宋体"/>
          <w:szCs w:val="24"/>
          <w:highlight w:val="none"/>
        </w:rPr>
        <w:t>）所有阀门应做好防腐、防锈、硬质标识牌：电动阀门标识牌必须写明阀门名称和编号，手动阀门标识牌必须注明常开/常闭；</w:t>
      </w:r>
    </w:p>
    <w:p>
      <w:pPr>
        <w:ind w:firstLine="420" w:firstLineChars="200"/>
        <w:rPr>
          <w:rFonts w:ascii="宋体" w:hAnsi="宋体" w:cs="宋体"/>
          <w:szCs w:val="24"/>
          <w:highlight w:val="none"/>
        </w:rPr>
      </w:pPr>
      <w:bookmarkStart w:id="268" w:name="_Hlk147514338"/>
      <w:r>
        <w:rPr>
          <w:rFonts w:ascii="宋体" w:hAnsi="宋体" w:cs="宋体"/>
          <w:szCs w:val="24"/>
          <w:highlight w:val="none"/>
        </w:rPr>
        <w:t>6</w:t>
      </w:r>
      <w:r>
        <w:rPr>
          <w:rFonts w:hint="eastAsia" w:ascii="宋体" w:hAnsi="宋体" w:cs="宋体"/>
          <w:szCs w:val="24"/>
          <w:highlight w:val="none"/>
        </w:rPr>
        <w:t>）应选用低阻力管件：顺水三通、顺水弯头（45度弯头代替90度弯头），安装空间允许的情况下必须使用低阻力管件；</w:t>
      </w:r>
    </w:p>
    <w:p>
      <w:pPr>
        <w:ind w:firstLine="420" w:firstLineChars="200"/>
        <w:rPr>
          <w:rFonts w:ascii="宋体" w:hAnsi="宋体" w:cs="宋体"/>
          <w:szCs w:val="24"/>
          <w:highlight w:val="none"/>
        </w:rPr>
      </w:pPr>
      <w:r>
        <w:rPr>
          <w:rFonts w:ascii="宋体" w:hAnsi="宋体" w:cs="宋体"/>
          <w:szCs w:val="24"/>
          <w:highlight w:val="none"/>
        </w:rPr>
        <w:t>7</w:t>
      </w:r>
      <w:r>
        <w:rPr>
          <w:rFonts w:hint="eastAsia" w:ascii="宋体" w:hAnsi="宋体" w:cs="宋体"/>
          <w:szCs w:val="24"/>
          <w:highlight w:val="none"/>
        </w:rPr>
        <w:t>）因安装空间原因必须使用9</w:t>
      </w:r>
      <w:r>
        <w:rPr>
          <w:rFonts w:ascii="宋体" w:hAnsi="宋体" w:cs="宋体"/>
          <w:szCs w:val="24"/>
          <w:highlight w:val="none"/>
        </w:rPr>
        <w:t>0</w:t>
      </w:r>
      <w:r>
        <w:rPr>
          <w:rFonts w:hint="eastAsia" w:ascii="宋体" w:hAnsi="宋体" w:cs="宋体"/>
          <w:szCs w:val="24"/>
          <w:highlight w:val="none"/>
        </w:rPr>
        <w:t>度弯头的，需先跟甲方确认并征得同意后方可使用，且9</w:t>
      </w:r>
      <w:r>
        <w:rPr>
          <w:rFonts w:ascii="宋体" w:hAnsi="宋体" w:cs="宋体"/>
          <w:szCs w:val="24"/>
          <w:highlight w:val="none"/>
        </w:rPr>
        <w:t>0</w:t>
      </w:r>
      <w:r>
        <w:rPr>
          <w:rFonts w:hint="eastAsia" w:ascii="宋体" w:hAnsi="宋体" w:cs="宋体"/>
          <w:szCs w:val="24"/>
          <w:highlight w:val="none"/>
        </w:rPr>
        <w:t>度弯头的曲率半径必须≥</w:t>
      </w:r>
      <w:r>
        <w:rPr>
          <w:rFonts w:ascii="宋体" w:hAnsi="宋体" w:cs="宋体"/>
          <w:szCs w:val="24"/>
          <w:highlight w:val="none"/>
        </w:rPr>
        <w:t>1.5D</w:t>
      </w:r>
      <w:r>
        <w:rPr>
          <w:rFonts w:hint="eastAsia" w:ascii="宋体" w:hAnsi="宋体" w:cs="宋体"/>
          <w:szCs w:val="24"/>
          <w:highlight w:val="none"/>
        </w:rPr>
        <w:t>；</w:t>
      </w:r>
    </w:p>
    <w:bookmarkEnd w:id="268"/>
    <w:p>
      <w:pPr>
        <w:ind w:firstLine="420" w:firstLineChars="200"/>
        <w:rPr>
          <w:rFonts w:ascii="宋体" w:hAnsi="宋体" w:cs="宋体"/>
          <w:szCs w:val="24"/>
          <w:highlight w:val="none"/>
        </w:rPr>
      </w:pPr>
      <w:r>
        <w:rPr>
          <w:rFonts w:ascii="宋体" w:hAnsi="宋体" w:cs="宋体"/>
          <w:szCs w:val="24"/>
          <w:highlight w:val="none"/>
        </w:rPr>
        <w:t>8</w:t>
      </w:r>
      <w:r>
        <w:rPr>
          <w:rFonts w:hint="eastAsia" w:ascii="宋体" w:hAnsi="宋体" w:cs="宋体"/>
          <w:szCs w:val="24"/>
          <w:highlight w:val="none"/>
        </w:rPr>
        <w:t>）管道表面/保温后包覆类型：</w:t>
      </w:r>
    </w:p>
    <w:tbl>
      <w:tblPr>
        <w:tblStyle w:val="16"/>
        <w:tblW w:w="7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8"/>
        <w:gridCol w:w="1134"/>
        <w:gridCol w:w="1418"/>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938" w:type="dxa"/>
            <w:noWrap w:val="0"/>
            <w:vAlign w:val="center"/>
          </w:tcPr>
          <w:p>
            <w:pPr>
              <w:jc w:val="center"/>
              <w:rPr>
                <w:rFonts w:ascii="宋体" w:hAnsi="宋体" w:cs="宋体"/>
                <w:b/>
                <w:bCs/>
                <w:sz w:val="22"/>
                <w:szCs w:val="24"/>
                <w:highlight w:val="none"/>
              </w:rPr>
            </w:pPr>
            <w:r>
              <w:rPr>
                <w:rFonts w:hint="eastAsia" w:ascii="宋体" w:hAnsi="宋体" w:cs="宋体"/>
                <w:b/>
                <w:bCs/>
                <w:sz w:val="22"/>
                <w:szCs w:val="24"/>
                <w:highlight w:val="none"/>
              </w:rPr>
              <w:t>种类</w:t>
            </w:r>
          </w:p>
        </w:tc>
        <w:tc>
          <w:tcPr>
            <w:tcW w:w="1134" w:type="dxa"/>
            <w:noWrap w:val="0"/>
            <w:vAlign w:val="center"/>
          </w:tcPr>
          <w:p>
            <w:pPr>
              <w:jc w:val="center"/>
              <w:rPr>
                <w:rFonts w:ascii="宋体" w:hAnsi="宋体" w:cs="宋体"/>
                <w:b/>
                <w:bCs/>
                <w:sz w:val="22"/>
                <w:szCs w:val="24"/>
                <w:highlight w:val="none"/>
              </w:rPr>
            </w:pPr>
            <w:r>
              <w:rPr>
                <w:rFonts w:hint="eastAsia" w:ascii="宋体" w:hAnsi="宋体" w:cs="宋体"/>
                <w:b/>
                <w:bCs/>
                <w:sz w:val="22"/>
                <w:szCs w:val="24"/>
                <w:highlight w:val="none"/>
              </w:rPr>
              <w:t>位置</w:t>
            </w:r>
          </w:p>
        </w:tc>
        <w:tc>
          <w:tcPr>
            <w:tcW w:w="1418" w:type="dxa"/>
            <w:noWrap w:val="0"/>
            <w:vAlign w:val="center"/>
          </w:tcPr>
          <w:p>
            <w:pPr>
              <w:jc w:val="center"/>
              <w:rPr>
                <w:rFonts w:ascii="宋体" w:hAnsi="宋体" w:cs="宋体"/>
                <w:b/>
                <w:bCs/>
                <w:sz w:val="22"/>
                <w:szCs w:val="24"/>
                <w:highlight w:val="none"/>
              </w:rPr>
            </w:pPr>
            <w:r>
              <w:rPr>
                <w:rFonts w:hint="eastAsia" w:ascii="宋体" w:hAnsi="宋体" w:cs="宋体"/>
                <w:b/>
                <w:bCs/>
                <w:sz w:val="22"/>
                <w:szCs w:val="24"/>
                <w:highlight w:val="none"/>
              </w:rPr>
              <w:t>包覆类型</w:t>
            </w:r>
          </w:p>
        </w:tc>
        <w:tc>
          <w:tcPr>
            <w:tcW w:w="1803" w:type="dxa"/>
            <w:noWrap w:val="0"/>
            <w:vAlign w:val="center"/>
          </w:tcPr>
          <w:p>
            <w:pPr>
              <w:jc w:val="center"/>
              <w:rPr>
                <w:rFonts w:ascii="宋体" w:hAnsi="宋体" w:cs="宋体"/>
                <w:b/>
                <w:bCs/>
                <w:sz w:val="22"/>
                <w:szCs w:val="24"/>
                <w:highlight w:val="none"/>
              </w:rPr>
            </w:pPr>
            <w:r>
              <w:rPr>
                <w:rFonts w:hint="eastAsia" w:ascii="宋体" w:hAnsi="宋体" w:cs="宋体"/>
                <w:b/>
                <w:bCs/>
                <w:sz w:val="22"/>
                <w:szCs w:val="24"/>
                <w:highlight w:val="none"/>
              </w:rPr>
              <w:t>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93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冷冻水供水管（低温）</w:t>
            </w:r>
          </w:p>
        </w:tc>
        <w:tc>
          <w:tcPr>
            <w:tcW w:w="1134"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冷冻站高效机</w:t>
            </w:r>
          </w:p>
        </w:tc>
        <w:tc>
          <w:tcPr>
            <w:tcW w:w="141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P</w:t>
            </w:r>
            <w:r>
              <w:rPr>
                <w:rFonts w:ascii="宋体" w:hAnsi="宋体" w:cs="宋体"/>
                <w:sz w:val="22"/>
                <w:szCs w:val="24"/>
                <w:highlight w:val="none"/>
              </w:rPr>
              <w:t>VC</w:t>
            </w:r>
            <w:r>
              <w:rPr>
                <w:rFonts w:hint="eastAsia" w:ascii="宋体" w:hAnsi="宋体" w:cs="宋体"/>
                <w:sz w:val="22"/>
                <w:szCs w:val="24"/>
                <w:highlight w:val="none"/>
              </w:rPr>
              <w:t>彩壳</w:t>
            </w:r>
          </w:p>
        </w:tc>
        <w:tc>
          <w:tcPr>
            <w:tcW w:w="1803"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0</w:t>
            </w:r>
            <w:r>
              <w:rPr>
                <w:rFonts w:ascii="宋体" w:hAnsi="宋体" w:cs="宋体"/>
                <w:sz w:val="22"/>
                <w:szCs w:val="24"/>
                <w:highlight w:val="none"/>
              </w:rPr>
              <w:t>.5</w:t>
            </w:r>
            <w:r>
              <w:rPr>
                <w:rFonts w:hint="eastAsia" w:ascii="宋体" w:hAnsi="宋体" w:cs="宋体"/>
                <w:sz w:val="22"/>
                <w:szCs w:val="24"/>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93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冷冻水回水管（高温）</w:t>
            </w:r>
          </w:p>
        </w:tc>
        <w:tc>
          <w:tcPr>
            <w:tcW w:w="1134"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冷冻站高效机</w:t>
            </w:r>
          </w:p>
        </w:tc>
        <w:tc>
          <w:tcPr>
            <w:tcW w:w="141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P</w:t>
            </w:r>
            <w:r>
              <w:rPr>
                <w:rFonts w:ascii="宋体" w:hAnsi="宋体" w:cs="宋体"/>
                <w:sz w:val="22"/>
                <w:szCs w:val="24"/>
                <w:highlight w:val="none"/>
              </w:rPr>
              <w:t>VC</w:t>
            </w:r>
            <w:r>
              <w:rPr>
                <w:rFonts w:hint="eastAsia" w:ascii="宋体" w:hAnsi="宋体" w:cs="宋体"/>
                <w:sz w:val="22"/>
                <w:szCs w:val="24"/>
                <w:highlight w:val="none"/>
              </w:rPr>
              <w:t>彩壳</w:t>
            </w:r>
          </w:p>
        </w:tc>
        <w:tc>
          <w:tcPr>
            <w:tcW w:w="1803"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0</w:t>
            </w:r>
            <w:r>
              <w:rPr>
                <w:rFonts w:ascii="宋体" w:hAnsi="宋体" w:cs="宋体"/>
                <w:sz w:val="22"/>
                <w:szCs w:val="24"/>
                <w:highlight w:val="none"/>
              </w:rPr>
              <w:t>.5</w:t>
            </w:r>
            <w:r>
              <w:rPr>
                <w:rFonts w:hint="eastAsia" w:ascii="宋体" w:hAnsi="宋体" w:cs="宋体"/>
                <w:sz w:val="22"/>
                <w:szCs w:val="24"/>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93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冷却水供水管（低温）</w:t>
            </w:r>
          </w:p>
        </w:tc>
        <w:tc>
          <w:tcPr>
            <w:tcW w:w="1134"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w:t>
            </w:r>
          </w:p>
        </w:tc>
        <w:tc>
          <w:tcPr>
            <w:tcW w:w="141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w:t>
            </w:r>
          </w:p>
        </w:tc>
        <w:tc>
          <w:tcPr>
            <w:tcW w:w="1803" w:type="dxa"/>
            <w:noWrap w:val="0"/>
            <w:vAlign w:val="center"/>
          </w:tcPr>
          <w:p>
            <w:pPr>
              <w:jc w:val="center"/>
              <w:rPr>
                <w:rFonts w:ascii="宋体" w:hAnsi="宋体" w:cs="宋体"/>
                <w:sz w:val="2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93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冷却水回水管（高温）</w:t>
            </w:r>
          </w:p>
        </w:tc>
        <w:tc>
          <w:tcPr>
            <w:tcW w:w="1134"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w:t>
            </w:r>
          </w:p>
        </w:tc>
        <w:tc>
          <w:tcPr>
            <w:tcW w:w="1418" w:type="dxa"/>
            <w:noWrap w:val="0"/>
            <w:vAlign w:val="center"/>
          </w:tcPr>
          <w:p>
            <w:pPr>
              <w:jc w:val="center"/>
              <w:rPr>
                <w:rFonts w:ascii="宋体" w:hAnsi="宋体" w:cs="宋体"/>
                <w:sz w:val="22"/>
                <w:szCs w:val="24"/>
                <w:highlight w:val="none"/>
              </w:rPr>
            </w:pPr>
            <w:r>
              <w:rPr>
                <w:rFonts w:ascii="宋体" w:hAnsi="宋体" w:cs="宋体"/>
                <w:sz w:val="22"/>
                <w:szCs w:val="24"/>
                <w:highlight w:val="none"/>
              </w:rPr>
              <w:t>/</w:t>
            </w:r>
          </w:p>
        </w:tc>
        <w:tc>
          <w:tcPr>
            <w:tcW w:w="1803" w:type="dxa"/>
            <w:noWrap w:val="0"/>
            <w:vAlign w:val="center"/>
          </w:tcPr>
          <w:p>
            <w:pPr>
              <w:jc w:val="center"/>
              <w:rPr>
                <w:rFonts w:ascii="宋体" w:hAnsi="宋体" w:cs="宋体"/>
                <w:sz w:val="2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93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室外冷冻水管</w:t>
            </w:r>
          </w:p>
        </w:tc>
        <w:tc>
          <w:tcPr>
            <w:tcW w:w="1134"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室外</w:t>
            </w:r>
          </w:p>
        </w:tc>
        <w:tc>
          <w:tcPr>
            <w:tcW w:w="141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彩钢板铁皮</w:t>
            </w:r>
          </w:p>
        </w:tc>
        <w:tc>
          <w:tcPr>
            <w:tcW w:w="1803"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0</w:t>
            </w:r>
            <w:r>
              <w:rPr>
                <w:rFonts w:ascii="宋体" w:hAnsi="宋体" w:cs="宋体"/>
                <w:sz w:val="22"/>
                <w:szCs w:val="24"/>
                <w:highlight w:val="none"/>
              </w:rPr>
              <w:t>.5</w:t>
            </w:r>
            <w:r>
              <w:rPr>
                <w:rFonts w:hint="eastAsia" w:ascii="宋体" w:hAnsi="宋体" w:cs="宋体"/>
                <w:sz w:val="22"/>
                <w:szCs w:val="24"/>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93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蓄冷罐</w:t>
            </w:r>
          </w:p>
        </w:tc>
        <w:tc>
          <w:tcPr>
            <w:tcW w:w="1134"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室外</w:t>
            </w:r>
          </w:p>
        </w:tc>
        <w:tc>
          <w:tcPr>
            <w:tcW w:w="1418"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彩钢瓦</w:t>
            </w:r>
          </w:p>
        </w:tc>
        <w:tc>
          <w:tcPr>
            <w:tcW w:w="1803" w:type="dxa"/>
            <w:noWrap w:val="0"/>
            <w:vAlign w:val="center"/>
          </w:tcPr>
          <w:p>
            <w:pPr>
              <w:jc w:val="center"/>
              <w:rPr>
                <w:rFonts w:ascii="宋体" w:hAnsi="宋体" w:cs="宋体"/>
                <w:sz w:val="22"/>
                <w:szCs w:val="24"/>
                <w:highlight w:val="none"/>
              </w:rPr>
            </w:pPr>
            <w:r>
              <w:rPr>
                <w:rFonts w:hint="eastAsia" w:ascii="宋体" w:hAnsi="宋体" w:cs="宋体"/>
                <w:sz w:val="22"/>
                <w:szCs w:val="24"/>
                <w:highlight w:val="none"/>
              </w:rPr>
              <w:t>0</w:t>
            </w:r>
            <w:r>
              <w:rPr>
                <w:rFonts w:ascii="宋体" w:hAnsi="宋体" w:cs="宋体"/>
                <w:sz w:val="22"/>
                <w:szCs w:val="24"/>
                <w:highlight w:val="none"/>
              </w:rPr>
              <w:t>.5</w:t>
            </w:r>
            <w:r>
              <w:rPr>
                <w:rFonts w:hint="eastAsia" w:ascii="宋体" w:hAnsi="宋体" w:cs="宋体"/>
                <w:sz w:val="22"/>
                <w:szCs w:val="24"/>
                <w:highlight w:val="none"/>
              </w:rPr>
              <w:t>mm</w:t>
            </w:r>
          </w:p>
        </w:tc>
      </w:tr>
    </w:tbl>
    <w:p>
      <w:pPr>
        <w:ind w:firstLine="420" w:firstLineChars="200"/>
        <w:rPr>
          <w:rFonts w:ascii="宋体" w:hAnsi="宋体" w:cs="宋体"/>
          <w:szCs w:val="24"/>
          <w:highlight w:val="none"/>
        </w:rPr>
      </w:pPr>
      <w:r>
        <w:rPr>
          <w:rFonts w:ascii="宋体" w:hAnsi="宋体" w:cs="宋体"/>
          <w:szCs w:val="24"/>
          <w:highlight w:val="none"/>
        </w:rPr>
        <w:t>9</w:t>
      </w:r>
      <w:r>
        <w:rPr>
          <w:rFonts w:hint="eastAsia" w:ascii="宋体" w:hAnsi="宋体" w:cs="宋体"/>
          <w:szCs w:val="24"/>
          <w:highlight w:val="none"/>
        </w:rPr>
        <w:t>）各种空调水管道均应涂色区分并用箭头标示水流方向;管道面漆颜色以及机房内冷冻水管道包覆P</w:t>
      </w:r>
      <w:r>
        <w:rPr>
          <w:rFonts w:ascii="宋体" w:hAnsi="宋体" w:cs="宋体"/>
          <w:szCs w:val="24"/>
          <w:highlight w:val="none"/>
        </w:rPr>
        <w:t>VC</w:t>
      </w:r>
      <w:r>
        <w:rPr>
          <w:rFonts w:hint="eastAsia" w:ascii="宋体" w:hAnsi="宋体" w:cs="宋体"/>
          <w:szCs w:val="24"/>
          <w:highlight w:val="none"/>
        </w:rPr>
        <w:t>彩壳的颜色区分如下表：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7"/>
        <w:gridCol w:w="1431"/>
        <w:gridCol w:w="1573"/>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427" w:type="dxa"/>
            <w:noWrap w:val="0"/>
            <w:vAlign w:val="center"/>
          </w:tcPr>
          <w:p>
            <w:pPr>
              <w:jc w:val="center"/>
              <w:rPr>
                <w:rFonts w:ascii="宋体" w:hAnsi="宋体" w:cs="宋体"/>
                <w:b/>
                <w:bCs/>
                <w:szCs w:val="24"/>
                <w:highlight w:val="none"/>
              </w:rPr>
            </w:pPr>
            <w:r>
              <w:rPr>
                <w:rFonts w:hint="eastAsia" w:ascii="宋体" w:hAnsi="宋体" w:cs="宋体"/>
                <w:b/>
                <w:bCs/>
                <w:szCs w:val="24"/>
                <w:highlight w:val="none"/>
              </w:rPr>
              <w:t>管道种类</w:t>
            </w:r>
          </w:p>
        </w:tc>
        <w:tc>
          <w:tcPr>
            <w:tcW w:w="1431" w:type="dxa"/>
            <w:noWrap w:val="0"/>
            <w:vAlign w:val="center"/>
          </w:tcPr>
          <w:p>
            <w:pPr>
              <w:jc w:val="center"/>
              <w:rPr>
                <w:rFonts w:ascii="宋体" w:hAnsi="宋体" w:cs="宋体"/>
                <w:b/>
                <w:bCs/>
                <w:szCs w:val="24"/>
                <w:highlight w:val="none"/>
              </w:rPr>
            </w:pPr>
            <w:r>
              <w:rPr>
                <w:rFonts w:hint="eastAsia" w:ascii="宋体" w:hAnsi="宋体" w:cs="宋体"/>
                <w:b/>
                <w:bCs/>
                <w:szCs w:val="24"/>
                <w:highlight w:val="none"/>
              </w:rPr>
              <w:t>颜色</w:t>
            </w:r>
          </w:p>
        </w:tc>
        <w:tc>
          <w:tcPr>
            <w:tcW w:w="1573" w:type="dxa"/>
            <w:noWrap w:val="0"/>
            <w:vAlign w:val="top"/>
          </w:tcPr>
          <w:p>
            <w:pPr>
              <w:jc w:val="center"/>
              <w:rPr>
                <w:rFonts w:ascii="宋体" w:hAnsi="宋体" w:cs="宋体"/>
                <w:b/>
                <w:bCs/>
                <w:szCs w:val="24"/>
                <w:highlight w:val="none"/>
              </w:rPr>
            </w:pPr>
            <w:r>
              <w:rPr>
                <w:rFonts w:hint="eastAsia" w:ascii="宋体" w:hAnsi="宋体" w:cs="宋体"/>
                <w:b/>
                <w:bCs/>
                <w:szCs w:val="24"/>
                <w:highlight w:val="none"/>
              </w:rPr>
              <w:t>色号</w:t>
            </w:r>
          </w:p>
        </w:tc>
        <w:tc>
          <w:tcPr>
            <w:tcW w:w="3389" w:type="dxa"/>
            <w:noWrap w:val="0"/>
            <w:vAlign w:val="top"/>
          </w:tcPr>
          <w:p>
            <w:pPr>
              <w:jc w:val="center"/>
              <w:rPr>
                <w:rFonts w:ascii="宋体" w:hAnsi="宋体" w:cs="宋体"/>
                <w:b/>
                <w:bCs/>
                <w:szCs w:val="24"/>
                <w:highlight w:val="none"/>
              </w:rPr>
            </w:pPr>
            <w:r>
              <w:rPr>
                <w:rFonts w:hint="eastAsia" w:ascii="宋体" w:hAnsi="宋体" w:cs="宋体"/>
                <w:b/>
                <w:bCs/>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427" w:type="dxa"/>
            <w:noWrap w:val="0"/>
            <w:vAlign w:val="center"/>
          </w:tcPr>
          <w:p>
            <w:pPr>
              <w:jc w:val="center"/>
              <w:rPr>
                <w:rFonts w:ascii="宋体" w:hAnsi="宋体" w:cs="宋体"/>
                <w:szCs w:val="24"/>
                <w:highlight w:val="none"/>
              </w:rPr>
            </w:pPr>
            <w:r>
              <w:rPr>
                <w:rFonts w:hint="eastAsia" w:ascii="宋体" w:hAnsi="宋体" w:cs="宋体"/>
                <w:szCs w:val="24"/>
                <w:highlight w:val="none"/>
              </w:rPr>
              <w:t>冷冻水供水管（低温）</w:t>
            </w:r>
          </w:p>
        </w:tc>
        <w:tc>
          <w:tcPr>
            <w:tcW w:w="1431" w:type="dxa"/>
            <w:noWrap w:val="0"/>
            <w:vAlign w:val="center"/>
          </w:tcPr>
          <w:p>
            <w:pPr>
              <w:jc w:val="center"/>
              <w:rPr>
                <w:rFonts w:ascii="宋体" w:hAnsi="宋体" w:cs="宋体"/>
                <w:szCs w:val="24"/>
                <w:highlight w:val="none"/>
              </w:rPr>
            </w:pPr>
            <w:r>
              <w:rPr>
                <w:rFonts w:hint="eastAsia" w:ascii="宋体" w:hAnsi="宋体" w:cs="宋体"/>
                <w:szCs w:val="24"/>
                <w:highlight w:val="none"/>
              </w:rPr>
              <w:t>蓝色</w:t>
            </w:r>
          </w:p>
        </w:tc>
        <w:tc>
          <w:tcPr>
            <w:tcW w:w="1573" w:type="dxa"/>
            <w:noWrap w:val="0"/>
            <w:vAlign w:val="center"/>
          </w:tcPr>
          <w:p>
            <w:pPr>
              <w:jc w:val="center"/>
              <w:rPr>
                <w:rFonts w:ascii="宋体" w:hAnsi="宋体" w:cs="宋体"/>
                <w:szCs w:val="24"/>
                <w:highlight w:val="none"/>
              </w:rPr>
            </w:pPr>
            <w:r>
              <w:rPr>
                <w:rFonts w:hint="eastAsia" w:ascii="宋体" w:hAnsi="宋体" w:cs="宋体"/>
                <w:szCs w:val="24"/>
                <w:highlight w:val="none"/>
              </w:rPr>
              <w:t>R</w:t>
            </w:r>
            <w:r>
              <w:rPr>
                <w:rFonts w:ascii="宋体" w:hAnsi="宋体" w:cs="宋体"/>
                <w:szCs w:val="24"/>
                <w:highlight w:val="none"/>
              </w:rPr>
              <w:t>AL5015</w:t>
            </w:r>
          </w:p>
        </w:tc>
        <w:tc>
          <w:tcPr>
            <w:tcW w:w="3389" w:type="dxa"/>
            <w:vMerge w:val="restart"/>
            <w:noWrap w:val="0"/>
            <w:vAlign w:val="center"/>
          </w:tcPr>
          <w:p>
            <w:pPr>
              <w:jc w:val="left"/>
              <w:rPr>
                <w:rFonts w:ascii="宋体" w:hAnsi="宋体" w:cs="宋体"/>
                <w:szCs w:val="24"/>
                <w:highlight w:val="none"/>
              </w:rPr>
            </w:pPr>
            <w:r>
              <w:rPr>
                <w:rFonts w:hint="eastAsia" w:ascii="宋体" w:hAnsi="宋体" w:cs="宋体"/>
                <w:highlight w:val="none"/>
              </w:rPr>
              <w:t>色卡为</w:t>
            </w:r>
            <w:r>
              <w:rPr>
                <w:rFonts w:ascii="宋体" w:hAnsi="宋体" w:cs="宋体"/>
                <w:highlight w:val="none"/>
              </w:rPr>
              <w:t>《新版 RAL 色卡 K7 德国原装正版劳尔国际标准涂料油漆色卡 213色》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427" w:type="dxa"/>
            <w:noWrap w:val="0"/>
            <w:vAlign w:val="center"/>
          </w:tcPr>
          <w:p>
            <w:pPr>
              <w:jc w:val="center"/>
              <w:rPr>
                <w:rFonts w:ascii="宋体" w:hAnsi="宋体" w:cs="宋体"/>
                <w:szCs w:val="24"/>
                <w:highlight w:val="none"/>
              </w:rPr>
            </w:pPr>
            <w:r>
              <w:rPr>
                <w:rFonts w:hint="eastAsia" w:ascii="宋体" w:hAnsi="宋体" w:cs="宋体"/>
                <w:szCs w:val="24"/>
                <w:highlight w:val="none"/>
              </w:rPr>
              <w:t>冷冻水回水管（高温）</w:t>
            </w:r>
          </w:p>
        </w:tc>
        <w:tc>
          <w:tcPr>
            <w:tcW w:w="1431" w:type="dxa"/>
            <w:noWrap w:val="0"/>
            <w:vAlign w:val="center"/>
          </w:tcPr>
          <w:p>
            <w:pPr>
              <w:jc w:val="center"/>
              <w:rPr>
                <w:rFonts w:ascii="宋体" w:hAnsi="宋体" w:cs="宋体"/>
                <w:szCs w:val="24"/>
                <w:highlight w:val="none"/>
              </w:rPr>
            </w:pPr>
            <w:r>
              <w:rPr>
                <w:rFonts w:hint="eastAsia" w:ascii="宋体" w:hAnsi="宋体" w:cs="宋体"/>
                <w:szCs w:val="24"/>
                <w:highlight w:val="none"/>
              </w:rPr>
              <w:t>红色</w:t>
            </w:r>
          </w:p>
        </w:tc>
        <w:tc>
          <w:tcPr>
            <w:tcW w:w="1573" w:type="dxa"/>
            <w:noWrap w:val="0"/>
            <w:vAlign w:val="top"/>
          </w:tcPr>
          <w:p>
            <w:pPr>
              <w:jc w:val="center"/>
              <w:rPr>
                <w:rFonts w:ascii="宋体" w:hAnsi="宋体" w:cs="宋体"/>
                <w:szCs w:val="24"/>
                <w:highlight w:val="none"/>
              </w:rPr>
            </w:pPr>
            <w:r>
              <w:rPr>
                <w:rFonts w:hint="eastAsia" w:ascii="宋体" w:hAnsi="宋体" w:cs="宋体"/>
                <w:szCs w:val="24"/>
                <w:highlight w:val="none"/>
              </w:rPr>
              <w:t>R</w:t>
            </w:r>
            <w:r>
              <w:rPr>
                <w:rFonts w:ascii="宋体" w:hAnsi="宋体" w:cs="宋体"/>
                <w:szCs w:val="24"/>
                <w:highlight w:val="none"/>
              </w:rPr>
              <w:t>AL3020</w:t>
            </w:r>
          </w:p>
        </w:tc>
        <w:tc>
          <w:tcPr>
            <w:tcW w:w="3389" w:type="dxa"/>
            <w:vMerge w:val="continue"/>
            <w:noWrap w:val="0"/>
            <w:vAlign w:val="top"/>
          </w:tcPr>
          <w:p>
            <w:pPr>
              <w:jc w:val="center"/>
              <w:rPr>
                <w:rFonts w:ascii="宋体" w:hAnsi="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427" w:type="dxa"/>
            <w:noWrap w:val="0"/>
            <w:vAlign w:val="center"/>
          </w:tcPr>
          <w:p>
            <w:pPr>
              <w:jc w:val="center"/>
              <w:rPr>
                <w:rFonts w:ascii="宋体" w:hAnsi="宋体" w:cs="宋体"/>
                <w:szCs w:val="24"/>
                <w:highlight w:val="none"/>
              </w:rPr>
            </w:pPr>
            <w:r>
              <w:rPr>
                <w:rFonts w:hint="eastAsia" w:ascii="宋体" w:hAnsi="宋体" w:cs="宋体"/>
                <w:szCs w:val="24"/>
                <w:highlight w:val="none"/>
              </w:rPr>
              <w:t>冷却水供水管（低温）</w:t>
            </w:r>
          </w:p>
        </w:tc>
        <w:tc>
          <w:tcPr>
            <w:tcW w:w="1431" w:type="dxa"/>
            <w:noWrap w:val="0"/>
            <w:vAlign w:val="center"/>
          </w:tcPr>
          <w:p>
            <w:pPr>
              <w:jc w:val="center"/>
              <w:rPr>
                <w:rFonts w:ascii="宋体" w:hAnsi="宋体" w:cs="宋体"/>
                <w:szCs w:val="24"/>
                <w:highlight w:val="none"/>
              </w:rPr>
            </w:pPr>
            <w:r>
              <w:rPr>
                <w:rFonts w:hint="eastAsia" w:ascii="宋体" w:hAnsi="宋体" w:cs="宋体"/>
                <w:szCs w:val="24"/>
                <w:highlight w:val="none"/>
              </w:rPr>
              <w:t>绿色</w:t>
            </w:r>
          </w:p>
        </w:tc>
        <w:tc>
          <w:tcPr>
            <w:tcW w:w="1573" w:type="dxa"/>
            <w:noWrap w:val="0"/>
            <w:vAlign w:val="top"/>
          </w:tcPr>
          <w:p>
            <w:pPr>
              <w:jc w:val="center"/>
              <w:rPr>
                <w:rFonts w:ascii="宋体" w:hAnsi="宋体" w:cs="宋体"/>
                <w:szCs w:val="24"/>
                <w:highlight w:val="none"/>
              </w:rPr>
            </w:pPr>
            <w:r>
              <w:rPr>
                <w:rFonts w:hint="eastAsia" w:ascii="宋体" w:hAnsi="宋体" w:cs="宋体"/>
                <w:szCs w:val="24"/>
                <w:highlight w:val="none"/>
              </w:rPr>
              <w:t>R</w:t>
            </w:r>
            <w:r>
              <w:rPr>
                <w:rFonts w:ascii="宋体" w:hAnsi="宋体" w:cs="宋体"/>
                <w:szCs w:val="24"/>
                <w:highlight w:val="none"/>
              </w:rPr>
              <w:t>AL6032</w:t>
            </w:r>
          </w:p>
        </w:tc>
        <w:tc>
          <w:tcPr>
            <w:tcW w:w="3389" w:type="dxa"/>
            <w:vMerge w:val="continue"/>
            <w:noWrap w:val="0"/>
            <w:vAlign w:val="top"/>
          </w:tcPr>
          <w:p>
            <w:pPr>
              <w:jc w:val="center"/>
              <w:rPr>
                <w:rFonts w:ascii="宋体" w:hAnsi="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427" w:type="dxa"/>
            <w:noWrap w:val="0"/>
            <w:vAlign w:val="center"/>
          </w:tcPr>
          <w:p>
            <w:pPr>
              <w:jc w:val="center"/>
              <w:rPr>
                <w:rFonts w:ascii="宋体" w:hAnsi="宋体" w:cs="宋体"/>
                <w:szCs w:val="24"/>
                <w:highlight w:val="none"/>
              </w:rPr>
            </w:pPr>
            <w:r>
              <w:rPr>
                <w:rFonts w:hint="eastAsia" w:ascii="宋体" w:hAnsi="宋体" w:cs="宋体"/>
                <w:szCs w:val="24"/>
                <w:highlight w:val="none"/>
              </w:rPr>
              <w:t>冷却水回水管（高温）</w:t>
            </w:r>
          </w:p>
        </w:tc>
        <w:tc>
          <w:tcPr>
            <w:tcW w:w="1431" w:type="dxa"/>
            <w:noWrap w:val="0"/>
            <w:vAlign w:val="center"/>
          </w:tcPr>
          <w:p>
            <w:pPr>
              <w:jc w:val="center"/>
              <w:rPr>
                <w:rFonts w:ascii="宋体" w:hAnsi="宋体" w:cs="宋体"/>
                <w:szCs w:val="24"/>
                <w:highlight w:val="none"/>
              </w:rPr>
            </w:pPr>
            <w:r>
              <w:rPr>
                <w:rFonts w:hint="eastAsia" w:ascii="宋体" w:hAnsi="宋体" w:cs="宋体"/>
                <w:szCs w:val="24"/>
                <w:highlight w:val="none"/>
              </w:rPr>
              <w:t>黄色</w:t>
            </w:r>
          </w:p>
        </w:tc>
        <w:tc>
          <w:tcPr>
            <w:tcW w:w="1573" w:type="dxa"/>
            <w:noWrap w:val="0"/>
            <w:vAlign w:val="top"/>
          </w:tcPr>
          <w:p>
            <w:pPr>
              <w:jc w:val="center"/>
              <w:rPr>
                <w:rFonts w:ascii="宋体" w:hAnsi="宋体" w:cs="宋体"/>
                <w:szCs w:val="24"/>
                <w:highlight w:val="none"/>
              </w:rPr>
            </w:pPr>
            <w:r>
              <w:rPr>
                <w:rFonts w:hint="eastAsia" w:ascii="宋体" w:hAnsi="宋体" w:cs="宋体"/>
                <w:szCs w:val="24"/>
                <w:highlight w:val="none"/>
              </w:rPr>
              <w:t>R</w:t>
            </w:r>
            <w:r>
              <w:rPr>
                <w:rFonts w:ascii="宋体" w:hAnsi="宋体" w:cs="宋体"/>
                <w:szCs w:val="24"/>
                <w:highlight w:val="none"/>
              </w:rPr>
              <w:t>AL1016</w:t>
            </w:r>
          </w:p>
        </w:tc>
        <w:tc>
          <w:tcPr>
            <w:tcW w:w="3389" w:type="dxa"/>
            <w:vMerge w:val="continue"/>
            <w:noWrap w:val="0"/>
            <w:vAlign w:val="top"/>
          </w:tcPr>
          <w:p>
            <w:pPr>
              <w:jc w:val="center"/>
              <w:rPr>
                <w:rFonts w:ascii="宋体" w:hAnsi="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427" w:type="dxa"/>
            <w:noWrap w:val="0"/>
            <w:vAlign w:val="center"/>
          </w:tcPr>
          <w:p>
            <w:pPr>
              <w:jc w:val="center"/>
              <w:rPr>
                <w:rFonts w:ascii="宋体" w:hAnsi="宋体" w:cs="宋体"/>
                <w:szCs w:val="24"/>
                <w:highlight w:val="none"/>
              </w:rPr>
            </w:pPr>
            <w:r>
              <w:rPr>
                <w:rFonts w:hint="eastAsia" w:ascii="宋体" w:hAnsi="宋体" w:cs="宋体"/>
                <w:szCs w:val="24"/>
                <w:highlight w:val="none"/>
              </w:rPr>
              <w:t>蓄冷罐（如有）</w:t>
            </w:r>
          </w:p>
        </w:tc>
        <w:tc>
          <w:tcPr>
            <w:tcW w:w="1431" w:type="dxa"/>
            <w:noWrap w:val="0"/>
            <w:vAlign w:val="center"/>
          </w:tcPr>
          <w:p>
            <w:pPr>
              <w:jc w:val="center"/>
              <w:rPr>
                <w:rFonts w:ascii="宋体" w:hAnsi="宋体" w:cs="宋体"/>
                <w:szCs w:val="24"/>
                <w:highlight w:val="none"/>
              </w:rPr>
            </w:pPr>
            <w:r>
              <w:rPr>
                <w:rFonts w:hint="eastAsia" w:ascii="宋体" w:hAnsi="宋体" w:cs="宋体"/>
                <w:szCs w:val="24"/>
                <w:highlight w:val="none"/>
              </w:rPr>
              <w:t>彩钢板色</w:t>
            </w:r>
          </w:p>
        </w:tc>
        <w:tc>
          <w:tcPr>
            <w:tcW w:w="1573" w:type="dxa"/>
            <w:noWrap w:val="0"/>
            <w:vAlign w:val="top"/>
          </w:tcPr>
          <w:p>
            <w:pPr>
              <w:jc w:val="center"/>
              <w:rPr>
                <w:rFonts w:ascii="宋体" w:hAnsi="宋体" w:cs="宋体"/>
                <w:szCs w:val="24"/>
                <w:highlight w:val="none"/>
              </w:rPr>
            </w:pPr>
            <w:r>
              <w:rPr>
                <w:rFonts w:hint="eastAsia" w:ascii="宋体" w:hAnsi="宋体" w:cs="宋体"/>
                <w:szCs w:val="24"/>
                <w:highlight w:val="none"/>
              </w:rPr>
              <w:t>R</w:t>
            </w:r>
            <w:r>
              <w:rPr>
                <w:rFonts w:ascii="宋体" w:hAnsi="宋体" w:cs="宋体"/>
                <w:szCs w:val="24"/>
                <w:highlight w:val="none"/>
              </w:rPr>
              <w:t>AL9010</w:t>
            </w:r>
          </w:p>
        </w:tc>
        <w:tc>
          <w:tcPr>
            <w:tcW w:w="3389" w:type="dxa"/>
            <w:vMerge w:val="continue"/>
            <w:noWrap w:val="0"/>
            <w:vAlign w:val="top"/>
          </w:tcPr>
          <w:p>
            <w:pPr>
              <w:jc w:val="center"/>
              <w:rPr>
                <w:rFonts w:ascii="宋体" w:hAnsi="宋体" w:cs="宋体"/>
                <w:szCs w:val="24"/>
                <w:highlight w:val="none"/>
              </w:rPr>
            </w:pPr>
          </w:p>
        </w:tc>
      </w:tr>
    </w:tbl>
    <w:p>
      <w:pPr>
        <w:spacing w:before="163" w:beforeLines="50"/>
        <w:ind w:firstLine="420" w:firstLineChars="200"/>
        <w:rPr>
          <w:rFonts w:ascii="宋体" w:hAnsi="宋体" w:cs="宋体"/>
          <w:szCs w:val="24"/>
          <w:highlight w:val="none"/>
        </w:rPr>
      </w:pPr>
      <w:r>
        <w:rPr>
          <w:rFonts w:ascii="宋体" w:hAnsi="宋体" w:cs="宋体"/>
          <w:szCs w:val="24"/>
          <w:highlight w:val="none"/>
        </w:rPr>
        <w:t>10</w:t>
      </w:r>
      <w:r>
        <w:rPr>
          <w:rFonts w:hint="eastAsia" w:ascii="宋体" w:hAnsi="宋体" w:cs="宋体"/>
          <w:szCs w:val="24"/>
          <w:highlight w:val="none"/>
        </w:rPr>
        <w:t>）系统移交之前须清洗过滤器；</w:t>
      </w:r>
    </w:p>
    <w:p>
      <w:pPr>
        <w:ind w:firstLine="420" w:firstLineChars="200"/>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1</w:t>
      </w:r>
      <w:r>
        <w:rPr>
          <w:rFonts w:hint="eastAsia" w:ascii="宋体" w:hAnsi="宋体" w:cs="宋体"/>
          <w:szCs w:val="24"/>
          <w:highlight w:val="none"/>
        </w:rPr>
        <w:t>）穿墙保护套管厚度同穿墙水管厚度；</w:t>
      </w:r>
    </w:p>
    <w:p>
      <w:pPr>
        <w:ind w:firstLine="420" w:firstLineChars="200"/>
        <w:rPr>
          <w:rFonts w:ascii="宋体" w:hAnsi="宋体" w:cs="宋体"/>
          <w:szCs w:val="24"/>
          <w:highlight w:val="none"/>
        </w:rPr>
      </w:pPr>
      <w:r>
        <w:rPr>
          <w:rFonts w:hint="eastAsia" w:ascii="宋体" w:hAnsi="宋体" w:cs="宋体"/>
          <w:szCs w:val="24"/>
          <w:highlight w:val="none"/>
        </w:rPr>
        <w:t>1</w:t>
      </w:r>
      <w:r>
        <w:rPr>
          <w:rFonts w:ascii="宋体" w:hAnsi="宋体" w:cs="宋体"/>
          <w:szCs w:val="24"/>
          <w:highlight w:val="none"/>
        </w:rPr>
        <w:t>2</w:t>
      </w:r>
      <w:r>
        <w:rPr>
          <w:rFonts w:hint="eastAsia" w:ascii="宋体" w:hAnsi="宋体" w:cs="宋体"/>
          <w:szCs w:val="24"/>
          <w:highlight w:val="none"/>
        </w:rPr>
        <w:t>）穿墙及穿楼板处须做防水防火封堵，并做淋水试验。</w:t>
      </w:r>
    </w:p>
    <w:p>
      <w:pPr>
        <w:keepNext/>
        <w:keepLines/>
        <w:outlineLvl w:val="2"/>
        <w:rPr>
          <w:rFonts w:ascii="宋体" w:hAnsi="宋体" w:cs="宋体"/>
          <w:b/>
          <w:bCs/>
          <w:szCs w:val="24"/>
          <w:highlight w:val="none"/>
        </w:rPr>
      </w:pPr>
      <w:bookmarkStart w:id="269" w:name="_Toc207"/>
      <w:bookmarkStart w:id="270" w:name="_Toc20369"/>
      <w:r>
        <w:rPr>
          <w:rFonts w:hint="eastAsia" w:ascii="宋体" w:hAnsi="宋体" w:cs="宋体"/>
          <w:b/>
          <w:bCs/>
          <w:szCs w:val="24"/>
          <w:highlight w:val="none"/>
        </w:rPr>
        <w:t>3.  配电安装：</w:t>
      </w:r>
      <w:bookmarkEnd w:id="269"/>
      <w:bookmarkEnd w:id="270"/>
    </w:p>
    <w:p>
      <w:pPr>
        <w:rPr>
          <w:rFonts w:ascii="宋体" w:hAnsi="宋体" w:cs="宋体"/>
          <w:szCs w:val="24"/>
          <w:highlight w:val="none"/>
        </w:rPr>
      </w:pPr>
      <w:r>
        <w:rPr>
          <w:rFonts w:hint="eastAsia" w:ascii="宋体" w:hAnsi="宋体" w:cs="宋体"/>
          <w:szCs w:val="24"/>
          <w:highlight w:val="none"/>
        </w:rPr>
        <w:t>3.1 防雷及接地安装：</w:t>
      </w:r>
    </w:p>
    <w:p>
      <w:pPr>
        <w:ind w:firstLine="420" w:firstLineChars="200"/>
        <w:rPr>
          <w:rFonts w:ascii="宋体" w:hAnsi="宋体" w:cs="宋体"/>
          <w:szCs w:val="24"/>
          <w:highlight w:val="none"/>
        </w:rPr>
      </w:pPr>
      <w:r>
        <w:rPr>
          <w:rFonts w:hint="eastAsia" w:ascii="宋体" w:hAnsi="宋体" w:cs="宋体"/>
          <w:szCs w:val="24"/>
          <w:highlight w:val="none"/>
        </w:rPr>
        <w:t>1）防雷接地主要材料：热镀锌扁铁4x40、BVR-1x95</w:t>
      </w:r>
      <w:r>
        <w:rPr>
          <w:rFonts w:ascii="宋体" w:hAnsi="宋体" w:cs="宋体"/>
          <w:szCs w:val="24"/>
          <w:highlight w:val="none"/>
        </w:rPr>
        <w:t>mm2</w:t>
      </w:r>
      <w:r>
        <w:rPr>
          <w:rFonts w:hint="eastAsia" w:ascii="宋体" w:hAnsi="宋体" w:cs="宋体"/>
          <w:szCs w:val="24"/>
          <w:highlight w:val="none"/>
        </w:rPr>
        <w:t>线等，必须附有材料质保书和产品合格证；</w:t>
      </w:r>
    </w:p>
    <w:p>
      <w:pPr>
        <w:ind w:firstLine="420" w:firstLineChars="200"/>
        <w:rPr>
          <w:rFonts w:ascii="宋体" w:hAnsi="宋体" w:cs="宋体"/>
          <w:szCs w:val="24"/>
          <w:highlight w:val="none"/>
        </w:rPr>
      </w:pPr>
      <w:r>
        <w:rPr>
          <w:rFonts w:hint="eastAsia" w:ascii="宋体" w:hAnsi="宋体" w:cs="宋体"/>
          <w:szCs w:val="24"/>
          <w:highlight w:val="none"/>
        </w:rPr>
        <w:t>2）所有电气设备及导管、线槽的外露可导电部分均必须可靠接地，接地支线应分别直接接至等电位联结端子箱，不得互相连接再接地；</w:t>
      </w:r>
    </w:p>
    <w:p>
      <w:pPr>
        <w:ind w:firstLine="420" w:firstLineChars="200"/>
        <w:rPr>
          <w:rFonts w:ascii="宋体" w:hAnsi="宋体" w:cs="宋体"/>
          <w:szCs w:val="24"/>
          <w:highlight w:val="none"/>
        </w:rPr>
      </w:pPr>
      <w:r>
        <w:rPr>
          <w:rFonts w:hint="eastAsia" w:ascii="宋体" w:hAnsi="宋体" w:cs="宋体"/>
          <w:szCs w:val="24"/>
          <w:highlight w:val="none"/>
        </w:rPr>
        <w:t>3）机房控制室设防静电接地，防静电接地采用ZR-BV-1*6mm</w:t>
      </w:r>
      <w:r>
        <w:rPr>
          <w:rFonts w:hint="eastAsia" w:ascii="宋体" w:hAnsi="宋体" w:cs="宋体"/>
          <w:szCs w:val="24"/>
          <w:highlight w:val="none"/>
          <w:vertAlign w:val="superscript"/>
        </w:rPr>
        <w:t>2</w:t>
      </w:r>
      <w:r>
        <w:rPr>
          <w:rFonts w:hint="eastAsia" w:ascii="宋体" w:hAnsi="宋体" w:cs="宋体"/>
          <w:szCs w:val="24"/>
          <w:highlight w:val="none"/>
        </w:rPr>
        <w:t>铜芯绝缘线与防静电基准板可靠接地；</w:t>
      </w:r>
    </w:p>
    <w:p>
      <w:pPr>
        <w:rPr>
          <w:rFonts w:ascii="宋体" w:hAnsi="宋体" w:cs="宋体"/>
          <w:szCs w:val="24"/>
          <w:highlight w:val="none"/>
        </w:rPr>
      </w:pPr>
      <w:r>
        <w:rPr>
          <w:rFonts w:hint="eastAsia" w:ascii="宋体" w:hAnsi="宋体" w:cs="宋体"/>
          <w:szCs w:val="24"/>
          <w:highlight w:val="none"/>
        </w:rPr>
        <w:t>3.2 电缆桥架安装：</w:t>
      </w:r>
    </w:p>
    <w:p>
      <w:pPr>
        <w:ind w:firstLine="420" w:firstLineChars="200"/>
        <w:rPr>
          <w:rFonts w:ascii="宋体" w:hAnsi="宋体" w:cs="宋体"/>
          <w:szCs w:val="24"/>
          <w:highlight w:val="none"/>
        </w:rPr>
      </w:pPr>
      <w:r>
        <w:rPr>
          <w:rFonts w:hint="eastAsia" w:ascii="宋体" w:hAnsi="宋体" w:cs="宋体"/>
          <w:szCs w:val="24"/>
          <w:highlight w:val="none"/>
        </w:rPr>
        <w:t>1）桥架采用热镀锌材质，桥架产品必须经过国家专业质量检测机构检测与认证；</w:t>
      </w:r>
    </w:p>
    <w:p>
      <w:pPr>
        <w:ind w:firstLine="420" w:firstLineChars="200"/>
        <w:rPr>
          <w:rFonts w:ascii="宋体" w:hAnsi="宋体" w:cs="宋体"/>
          <w:szCs w:val="24"/>
          <w:highlight w:val="none"/>
        </w:rPr>
      </w:pPr>
      <w:r>
        <w:rPr>
          <w:rFonts w:hint="eastAsia" w:ascii="宋体" w:hAnsi="宋体" w:cs="宋体"/>
          <w:szCs w:val="24"/>
          <w:highlight w:val="none"/>
        </w:rPr>
        <w:t>2）桥架表面应光滑平整、无毛刺、过烧、挂灰等缺陷，每件电缆桥架上直径小于2mm的漏镀点每米不超过2个；</w:t>
      </w:r>
    </w:p>
    <w:p>
      <w:pPr>
        <w:ind w:firstLine="420" w:firstLineChars="200"/>
        <w:rPr>
          <w:rFonts w:ascii="宋体" w:hAnsi="宋体" w:cs="宋体"/>
          <w:szCs w:val="24"/>
          <w:highlight w:val="none"/>
        </w:rPr>
      </w:pPr>
      <w:r>
        <w:rPr>
          <w:rFonts w:hint="eastAsia" w:ascii="宋体" w:hAnsi="宋体" w:cs="宋体"/>
          <w:szCs w:val="24"/>
          <w:highlight w:val="none"/>
        </w:rPr>
        <w:t>3）室外桥架采用梯式桥架，接地线采用BV1x4mm2线；</w:t>
      </w:r>
    </w:p>
    <w:p>
      <w:pPr>
        <w:ind w:firstLine="420" w:firstLineChars="200"/>
        <w:rPr>
          <w:rFonts w:ascii="宋体" w:hAnsi="宋体" w:cs="宋体"/>
          <w:szCs w:val="24"/>
          <w:highlight w:val="none"/>
        </w:rPr>
      </w:pPr>
      <w:r>
        <w:rPr>
          <w:rFonts w:hint="eastAsia" w:ascii="宋体" w:hAnsi="宋体" w:cs="宋体"/>
          <w:szCs w:val="24"/>
          <w:highlight w:val="none"/>
        </w:rPr>
        <w:t>4）桥架宽度与高度厚度选择，应符合下表的规定（单位：mm）</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2270"/>
        <w:gridCol w:w="1225"/>
        <w:gridCol w:w="2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top"/>
          </w:tcPr>
          <w:p>
            <w:pPr>
              <w:jc w:val="center"/>
              <w:rPr>
                <w:rFonts w:ascii="宋体" w:hAnsi="宋体" w:cs="宋体"/>
                <w:szCs w:val="24"/>
                <w:highlight w:val="none"/>
              </w:rPr>
            </w:pPr>
            <w:r>
              <w:rPr>
                <w:rFonts w:hint="eastAsia" w:ascii="宋体" w:hAnsi="宋体" w:cs="宋体"/>
                <w:szCs w:val="24"/>
                <w:highlight w:val="none"/>
              </w:rPr>
              <w:t>宽度</w:t>
            </w:r>
          </w:p>
        </w:tc>
        <w:tc>
          <w:tcPr>
            <w:tcW w:w="2270" w:type="dxa"/>
            <w:noWrap w:val="0"/>
            <w:vAlign w:val="top"/>
          </w:tcPr>
          <w:p>
            <w:pPr>
              <w:jc w:val="center"/>
              <w:rPr>
                <w:rFonts w:ascii="宋体" w:hAnsi="宋体" w:cs="宋体"/>
                <w:szCs w:val="24"/>
                <w:highlight w:val="none"/>
              </w:rPr>
            </w:pPr>
            <w:r>
              <w:rPr>
                <w:rFonts w:hint="eastAsia" w:ascii="宋体" w:hAnsi="宋体" w:cs="宋体"/>
                <w:szCs w:val="24"/>
                <w:highlight w:val="none"/>
              </w:rPr>
              <w:t>允许最小厚度</w:t>
            </w:r>
          </w:p>
        </w:tc>
        <w:tc>
          <w:tcPr>
            <w:tcW w:w="1225" w:type="dxa"/>
            <w:noWrap w:val="0"/>
            <w:vAlign w:val="top"/>
          </w:tcPr>
          <w:p>
            <w:pPr>
              <w:jc w:val="center"/>
              <w:rPr>
                <w:rFonts w:ascii="宋体" w:hAnsi="宋体" w:cs="宋体"/>
                <w:szCs w:val="24"/>
                <w:highlight w:val="none"/>
              </w:rPr>
            </w:pPr>
            <w:r>
              <w:rPr>
                <w:rFonts w:hint="eastAsia" w:ascii="宋体" w:hAnsi="宋体" w:cs="宋体"/>
                <w:szCs w:val="24"/>
                <w:highlight w:val="none"/>
              </w:rPr>
              <w:t>高度</w:t>
            </w:r>
          </w:p>
        </w:tc>
        <w:tc>
          <w:tcPr>
            <w:tcW w:w="2505" w:type="dxa"/>
            <w:noWrap w:val="0"/>
            <w:vAlign w:val="top"/>
          </w:tcPr>
          <w:p>
            <w:pPr>
              <w:jc w:val="center"/>
              <w:rPr>
                <w:rFonts w:ascii="宋体" w:hAnsi="宋体" w:cs="宋体"/>
                <w:szCs w:val="24"/>
                <w:highlight w:val="none"/>
              </w:rPr>
            </w:pPr>
            <w:r>
              <w:rPr>
                <w:rFonts w:hint="eastAsia" w:ascii="宋体" w:hAnsi="宋体" w:cs="宋体"/>
                <w:szCs w:val="24"/>
                <w:highlight w:val="none"/>
              </w:rPr>
              <w:t>允许侧板最低厚度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top"/>
          </w:tcPr>
          <w:p>
            <w:pPr>
              <w:jc w:val="center"/>
              <w:rPr>
                <w:rFonts w:ascii="宋体" w:hAnsi="宋体" w:cs="宋体"/>
                <w:szCs w:val="24"/>
                <w:highlight w:val="none"/>
              </w:rPr>
            </w:pPr>
            <w:r>
              <w:rPr>
                <w:rFonts w:hint="eastAsia" w:ascii="宋体" w:hAnsi="宋体" w:cs="宋体"/>
                <w:szCs w:val="24"/>
                <w:highlight w:val="none"/>
              </w:rPr>
              <w:t>＜100</w:t>
            </w:r>
          </w:p>
        </w:tc>
        <w:tc>
          <w:tcPr>
            <w:tcW w:w="2270" w:type="dxa"/>
            <w:noWrap w:val="0"/>
            <w:vAlign w:val="top"/>
          </w:tcPr>
          <w:p>
            <w:pPr>
              <w:jc w:val="center"/>
              <w:rPr>
                <w:rFonts w:ascii="宋体" w:hAnsi="宋体" w:cs="宋体"/>
                <w:szCs w:val="24"/>
                <w:highlight w:val="none"/>
              </w:rPr>
            </w:pPr>
            <w:r>
              <w:rPr>
                <w:rFonts w:hint="eastAsia" w:ascii="宋体" w:hAnsi="宋体" w:cs="宋体"/>
                <w:szCs w:val="24"/>
                <w:highlight w:val="none"/>
              </w:rPr>
              <w:t>1</w:t>
            </w:r>
          </w:p>
        </w:tc>
        <w:tc>
          <w:tcPr>
            <w:tcW w:w="1225" w:type="dxa"/>
            <w:noWrap w:val="0"/>
            <w:vAlign w:val="top"/>
          </w:tcPr>
          <w:p>
            <w:pPr>
              <w:jc w:val="center"/>
              <w:rPr>
                <w:rFonts w:ascii="宋体" w:hAnsi="宋体" w:cs="宋体"/>
                <w:szCs w:val="24"/>
                <w:highlight w:val="none"/>
              </w:rPr>
            </w:pPr>
            <w:r>
              <w:rPr>
                <w:rFonts w:hint="eastAsia" w:ascii="宋体" w:hAnsi="宋体" w:cs="宋体"/>
                <w:szCs w:val="24"/>
                <w:highlight w:val="none"/>
              </w:rPr>
              <w:t>25-75</w:t>
            </w:r>
          </w:p>
        </w:tc>
        <w:tc>
          <w:tcPr>
            <w:tcW w:w="2505" w:type="dxa"/>
            <w:noWrap w:val="0"/>
            <w:vAlign w:val="top"/>
          </w:tcPr>
          <w:p>
            <w:pPr>
              <w:jc w:val="center"/>
              <w:rPr>
                <w:rFonts w:ascii="宋体" w:hAnsi="宋体" w:cs="宋体"/>
                <w:szCs w:val="24"/>
                <w:highlight w:val="none"/>
              </w:rPr>
            </w:pPr>
            <w:r>
              <w:rPr>
                <w:rFonts w:hint="eastAsia" w:ascii="宋体" w:hAnsi="宋体" w:cs="宋体"/>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top"/>
          </w:tcPr>
          <w:p>
            <w:pPr>
              <w:jc w:val="center"/>
              <w:rPr>
                <w:rFonts w:ascii="宋体" w:hAnsi="宋体" w:cs="宋体"/>
                <w:szCs w:val="24"/>
                <w:highlight w:val="none"/>
              </w:rPr>
            </w:pPr>
            <w:r>
              <w:rPr>
                <w:rFonts w:hint="eastAsia" w:ascii="宋体" w:hAnsi="宋体" w:cs="宋体"/>
                <w:szCs w:val="24"/>
                <w:highlight w:val="none"/>
              </w:rPr>
              <w:t>100-150</w:t>
            </w:r>
          </w:p>
        </w:tc>
        <w:tc>
          <w:tcPr>
            <w:tcW w:w="2270" w:type="dxa"/>
            <w:noWrap w:val="0"/>
            <w:vAlign w:val="top"/>
          </w:tcPr>
          <w:p>
            <w:pPr>
              <w:jc w:val="center"/>
              <w:rPr>
                <w:rFonts w:ascii="宋体" w:hAnsi="宋体" w:cs="宋体"/>
                <w:szCs w:val="24"/>
                <w:highlight w:val="none"/>
              </w:rPr>
            </w:pPr>
            <w:r>
              <w:rPr>
                <w:rFonts w:hint="eastAsia" w:ascii="宋体" w:hAnsi="宋体" w:cs="宋体"/>
                <w:szCs w:val="24"/>
                <w:highlight w:val="none"/>
              </w:rPr>
              <w:t>1.2</w:t>
            </w:r>
          </w:p>
        </w:tc>
        <w:tc>
          <w:tcPr>
            <w:tcW w:w="1225" w:type="dxa"/>
            <w:noWrap w:val="0"/>
            <w:vAlign w:val="top"/>
          </w:tcPr>
          <w:p>
            <w:pPr>
              <w:jc w:val="center"/>
              <w:rPr>
                <w:rFonts w:ascii="宋体" w:hAnsi="宋体" w:cs="宋体"/>
                <w:szCs w:val="24"/>
                <w:highlight w:val="none"/>
              </w:rPr>
            </w:pPr>
            <w:r>
              <w:rPr>
                <w:rFonts w:hint="eastAsia" w:ascii="宋体" w:hAnsi="宋体" w:cs="宋体"/>
                <w:szCs w:val="24"/>
                <w:highlight w:val="none"/>
              </w:rPr>
              <w:t>50-100</w:t>
            </w:r>
          </w:p>
        </w:tc>
        <w:tc>
          <w:tcPr>
            <w:tcW w:w="2505" w:type="dxa"/>
            <w:noWrap w:val="0"/>
            <w:vAlign w:val="top"/>
          </w:tcPr>
          <w:p>
            <w:pPr>
              <w:jc w:val="center"/>
              <w:rPr>
                <w:rFonts w:ascii="宋体" w:hAnsi="宋体" w:cs="宋体"/>
                <w:szCs w:val="24"/>
                <w:highlight w:val="none"/>
              </w:rPr>
            </w:pPr>
            <w:r>
              <w:rPr>
                <w:rFonts w:hint="eastAsia" w:ascii="宋体" w:hAnsi="宋体" w:cs="宋体"/>
                <w:szCs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top"/>
          </w:tcPr>
          <w:p>
            <w:pPr>
              <w:jc w:val="center"/>
              <w:rPr>
                <w:rFonts w:ascii="宋体" w:hAnsi="宋体" w:cs="宋体"/>
                <w:szCs w:val="24"/>
                <w:highlight w:val="none"/>
              </w:rPr>
            </w:pPr>
            <w:r>
              <w:rPr>
                <w:rFonts w:hint="eastAsia" w:ascii="宋体" w:hAnsi="宋体" w:cs="宋体"/>
                <w:szCs w:val="24"/>
                <w:highlight w:val="none"/>
              </w:rPr>
              <w:t>＜400</w:t>
            </w:r>
          </w:p>
        </w:tc>
        <w:tc>
          <w:tcPr>
            <w:tcW w:w="2270" w:type="dxa"/>
            <w:noWrap w:val="0"/>
            <w:vAlign w:val="top"/>
          </w:tcPr>
          <w:p>
            <w:pPr>
              <w:jc w:val="center"/>
              <w:rPr>
                <w:rFonts w:ascii="宋体" w:hAnsi="宋体" w:cs="宋体"/>
                <w:szCs w:val="24"/>
                <w:highlight w:val="none"/>
              </w:rPr>
            </w:pPr>
            <w:r>
              <w:rPr>
                <w:rFonts w:hint="eastAsia" w:ascii="宋体" w:hAnsi="宋体" w:cs="宋体"/>
                <w:szCs w:val="24"/>
                <w:highlight w:val="none"/>
              </w:rPr>
              <w:t>1.5</w:t>
            </w:r>
          </w:p>
        </w:tc>
        <w:tc>
          <w:tcPr>
            <w:tcW w:w="1225" w:type="dxa"/>
            <w:noWrap w:val="0"/>
            <w:vAlign w:val="top"/>
          </w:tcPr>
          <w:p>
            <w:pPr>
              <w:jc w:val="center"/>
              <w:rPr>
                <w:rFonts w:ascii="宋体" w:hAnsi="宋体" w:cs="宋体"/>
                <w:szCs w:val="24"/>
                <w:highlight w:val="none"/>
              </w:rPr>
            </w:pPr>
            <w:r>
              <w:rPr>
                <w:rFonts w:hint="eastAsia" w:ascii="宋体" w:hAnsi="宋体" w:cs="宋体"/>
                <w:szCs w:val="24"/>
                <w:highlight w:val="none"/>
              </w:rPr>
              <w:t>100-150</w:t>
            </w:r>
          </w:p>
        </w:tc>
        <w:tc>
          <w:tcPr>
            <w:tcW w:w="2505" w:type="dxa"/>
            <w:noWrap w:val="0"/>
            <w:vAlign w:val="top"/>
          </w:tcPr>
          <w:p>
            <w:pPr>
              <w:jc w:val="center"/>
              <w:rPr>
                <w:rFonts w:ascii="宋体" w:hAnsi="宋体" w:cs="宋体"/>
                <w:szCs w:val="24"/>
                <w:highlight w:val="none"/>
              </w:rPr>
            </w:pPr>
            <w:r>
              <w:rPr>
                <w:rFonts w:hint="eastAsia" w:ascii="宋体" w:hAnsi="宋体" w:cs="宋体"/>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top"/>
          </w:tcPr>
          <w:p>
            <w:pPr>
              <w:jc w:val="center"/>
              <w:rPr>
                <w:rFonts w:ascii="宋体" w:hAnsi="宋体" w:cs="宋体"/>
                <w:szCs w:val="24"/>
                <w:highlight w:val="none"/>
              </w:rPr>
            </w:pPr>
            <w:r>
              <w:rPr>
                <w:rFonts w:hint="eastAsia" w:ascii="宋体" w:hAnsi="宋体" w:cs="宋体"/>
                <w:szCs w:val="24"/>
                <w:highlight w:val="none"/>
              </w:rPr>
              <w:t>400-800</w:t>
            </w:r>
          </w:p>
        </w:tc>
        <w:tc>
          <w:tcPr>
            <w:tcW w:w="2270" w:type="dxa"/>
            <w:noWrap w:val="0"/>
            <w:vAlign w:val="top"/>
          </w:tcPr>
          <w:p>
            <w:pPr>
              <w:jc w:val="center"/>
              <w:rPr>
                <w:rFonts w:ascii="宋体" w:hAnsi="宋体" w:cs="宋体"/>
                <w:szCs w:val="24"/>
                <w:highlight w:val="none"/>
              </w:rPr>
            </w:pPr>
            <w:r>
              <w:rPr>
                <w:rFonts w:hint="eastAsia" w:ascii="宋体" w:hAnsi="宋体" w:cs="宋体"/>
                <w:szCs w:val="24"/>
                <w:highlight w:val="none"/>
              </w:rPr>
              <w:t>2.0</w:t>
            </w:r>
          </w:p>
        </w:tc>
        <w:tc>
          <w:tcPr>
            <w:tcW w:w="1225" w:type="dxa"/>
            <w:noWrap w:val="0"/>
            <w:vAlign w:val="top"/>
          </w:tcPr>
          <w:p>
            <w:pPr>
              <w:jc w:val="center"/>
              <w:rPr>
                <w:rFonts w:ascii="宋体" w:hAnsi="宋体" w:cs="宋体"/>
                <w:szCs w:val="24"/>
                <w:highlight w:val="none"/>
              </w:rPr>
            </w:pPr>
            <w:r>
              <w:rPr>
                <w:rFonts w:hint="eastAsia" w:ascii="宋体" w:hAnsi="宋体" w:cs="宋体"/>
                <w:szCs w:val="24"/>
                <w:highlight w:val="none"/>
              </w:rPr>
              <w:t>150-200</w:t>
            </w:r>
          </w:p>
        </w:tc>
        <w:tc>
          <w:tcPr>
            <w:tcW w:w="2505" w:type="dxa"/>
            <w:noWrap w:val="0"/>
            <w:vAlign w:val="top"/>
          </w:tcPr>
          <w:p>
            <w:pPr>
              <w:jc w:val="center"/>
              <w:rPr>
                <w:rFonts w:ascii="宋体" w:hAnsi="宋体" w:cs="宋体"/>
                <w:szCs w:val="24"/>
                <w:highlight w:val="none"/>
              </w:rPr>
            </w:pPr>
            <w:r>
              <w:rPr>
                <w:rFonts w:hint="eastAsia" w:ascii="宋体" w:hAnsi="宋体" w:cs="宋体"/>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noWrap w:val="0"/>
            <w:vAlign w:val="top"/>
          </w:tcPr>
          <w:p>
            <w:pPr>
              <w:jc w:val="center"/>
              <w:rPr>
                <w:rFonts w:ascii="宋体" w:hAnsi="宋体" w:cs="宋体"/>
                <w:szCs w:val="24"/>
                <w:highlight w:val="none"/>
              </w:rPr>
            </w:pPr>
            <w:r>
              <w:rPr>
                <w:rFonts w:hint="eastAsia" w:ascii="宋体" w:hAnsi="宋体" w:cs="宋体"/>
                <w:szCs w:val="24"/>
                <w:highlight w:val="none"/>
              </w:rPr>
              <w:t>＞800</w:t>
            </w:r>
          </w:p>
        </w:tc>
        <w:tc>
          <w:tcPr>
            <w:tcW w:w="2270" w:type="dxa"/>
            <w:noWrap w:val="0"/>
            <w:vAlign w:val="top"/>
          </w:tcPr>
          <w:p>
            <w:pPr>
              <w:jc w:val="center"/>
              <w:rPr>
                <w:rFonts w:ascii="宋体" w:hAnsi="宋体" w:cs="宋体"/>
                <w:szCs w:val="24"/>
                <w:highlight w:val="none"/>
              </w:rPr>
            </w:pPr>
            <w:r>
              <w:rPr>
                <w:rFonts w:hint="eastAsia" w:ascii="宋体" w:hAnsi="宋体" w:cs="宋体"/>
                <w:szCs w:val="24"/>
                <w:highlight w:val="none"/>
              </w:rPr>
              <w:t>2.5</w:t>
            </w:r>
          </w:p>
        </w:tc>
        <w:tc>
          <w:tcPr>
            <w:tcW w:w="1225" w:type="dxa"/>
            <w:noWrap w:val="0"/>
            <w:vAlign w:val="top"/>
          </w:tcPr>
          <w:p>
            <w:pPr>
              <w:jc w:val="center"/>
              <w:rPr>
                <w:rFonts w:ascii="宋体" w:hAnsi="宋体" w:cs="宋体"/>
                <w:szCs w:val="24"/>
                <w:highlight w:val="none"/>
              </w:rPr>
            </w:pPr>
            <w:r>
              <w:rPr>
                <w:rFonts w:hint="eastAsia" w:ascii="宋体" w:hAnsi="宋体" w:cs="宋体"/>
                <w:szCs w:val="24"/>
                <w:highlight w:val="none"/>
              </w:rPr>
              <w:t>200</w:t>
            </w:r>
          </w:p>
        </w:tc>
        <w:tc>
          <w:tcPr>
            <w:tcW w:w="2505" w:type="dxa"/>
            <w:noWrap w:val="0"/>
            <w:vAlign w:val="top"/>
          </w:tcPr>
          <w:p>
            <w:pPr>
              <w:jc w:val="center"/>
              <w:rPr>
                <w:rFonts w:ascii="宋体" w:hAnsi="宋体" w:cs="宋体"/>
                <w:szCs w:val="24"/>
                <w:highlight w:val="none"/>
              </w:rPr>
            </w:pPr>
            <w:r>
              <w:rPr>
                <w:rFonts w:hint="eastAsia" w:ascii="宋体" w:hAnsi="宋体" w:cs="宋体"/>
                <w:szCs w:val="24"/>
                <w:highlight w:val="none"/>
              </w:rPr>
              <w:t>2.5</w:t>
            </w:r>
          </w:p>
        </w:tc>
      </w:tr>
    </w:tbl>
    <w:p>
      <w:pPr>
        <w:spacing w:before="163" w:beforeLines="50"/>
        <w:ind w:firstLine="420" w:firstLineChars="200"/>
        <w:rPr>
          <w:rFonts w:ascii="宋体" w:hAnsi="宋体" w:cs="宋体"/>
          <w:szCs w:val="24"/>
          <w:highlight w:val="none"/>
        </w:rPr>
      </w:pPr>
      <w:r>
        <w:rPr>
          <w:rFonts w:hint="eastAsia" w:ascii="宋体" w:hAnsi="宋体" w:cs="宋体"/>
          <w:szCs w:val="24"/>
          <w:highlight w:val="none"/>
        </w:rPr>
        <w:t>5）桥架安装应参照《装配式管道吊挂支架安装图》（03SR417-2）和《电缆桥架安装》（04D701-3)图集要求选择支、吊架；</w:t>
      </w:r>
    </w:p>
    <w:p>
      <w:pPr>
        <w:rPr>
          <w:rFonts w:ascii="宋体" w:hAnsi="宋体" w:cs="宋体"/>
          <w:szCs w:val="24"/>
          <w:highlight w:val="none"/>
        </w:rPr>
      </w:pPr>
      <w:r>
        <w:rPr>
          <w:rFonts w:hint="eastAsia" w:ascii="宋体" w:hAnsi="宋体" w:cs="宋体"/>
          <w:szCs w:val="24"/>
          <w:highlight w:val="none"/>
        </w:rPr>
        <w:t>3.3 配电设备安装：</w:t>
      </w:r>
    </w:p>
    <w:p>
      <w:pPr>
        <w:ind w:firstLine="420" w:firstLineChars="200"/>
        <w:rPr>
          <w:rFonts w:ascii="宋体" w:hAnsi="宋体" w:cs="宋体"/>
          <w:szCs w:val="24"/>
          <w:highlight w:val="none"/>
        </w:rPr>
      </w:pPr>
      <w:r>
        <w:rPr>
          <w:rFonts w:hint="eastAsia" w:ascii="宋体" w:hAnsi="宋体" w:cs="宋体"/>
          <w:szCs w:val="24"/>
          <w:highlight w:val="none"/>
        </w:rPr>
        <w:t>1）设备到货后，应认真核对其型号、规格等技术参数，是否与相关配电图纸符合，查看随机技术文件是否齐全；</w:t>
      </w:r>
    </w:p>
    <w:p>
      <w:pPr>
        <w:ind w:firstLine="420" w:firstLineChars="200"/>
        <w:rPr>
          <w:rFonts w:ascii="宋体" w:hAnsi="宋体" w:cs="宋体"/>
          <w:szCs w:val="24"/>
          <w:highlight w:val="none"/>
        </w:rPr>
      </w:pPr>
      <w:r>
        <w:rPr>
          <w:rFonts w:hint="eastAsia" w:ascii="宋体" w:hAnsi="宋体" w:cs="宋体"/>
          <w:szCs w:val="24"/>
          <w:highlight w:val="none"/>
        </w:rPr>
        <w:t>2）电控柜内线路整齐、线号齐全、标示清晰、接线牢固；</w:t>
      </w:r>
    </w:p>
    <w:p>
      <w:pPr>
        <w:ind w:firstLine="420" w:firstLineChars="200"/>
        <w:rPr>
          <w:rFonts w:ascii="宋体" w:hAnsi="宋体" w:cs="宋体"/>
          <w:szCs w:val="24"/>
          <w:highlight w:val="none"/>
        </w:rPr>
      </w:pPr>
      <w:r>
        <w:rPr>
          <w:rFonts w:hint="eastAsia" w:ascii="宋体" w:hAnsi="宋体" w:cs="宋体"/>
          <w:szCs w:val="24"/>
          <w:highlight w:val="none"/>
        </w:rPr>
        <w:t>3）落地式配电柜的基础采用10#槽钢制作，10#槽钢必须除锈防腐；</w:t>
      </w:r>
    </w:p>
    <w:p>
      <w:pPr>
        <w:ind w:firstLine="420" w:firstLineChars="200"/>
        <w:rPr>
          <w:rFonts w:ascii="宋体" w:hAnsi="宋体" w:cs="宋体"/>
          <w:szCs w:val="24"/>
          <w:highlight w:val="none"/>
        </w:rPr>
      </w:pPr>
      <w:r>
        <w:rPr>
          <w:rFonts w:hint="eastAsia" w:ascii="宋体" w:hAnsi="宋体" w:cs="宋体"/>
          <w:szCs w:val="24"/>
          <w:highlight w:val="none"/>
        </w:rPr>
        <w:t>4）配电柜门板上须带电源指示灯和多功能仪表；</w:t>
      </w:r>
    </w:p>
    <w:p>
      <w:pPr>
        <w:ind w:firstLine="420" w:firstLineChars="200"/>
        <w:rPr>
          <w:rFonts w:ascii="宋体" w:hAnsi="宋体" w:cs="宋体"/>
          <w:szCs w:val="24"/>
          <w:highlight w:val="none"/>
        </w:rPr>
      </w:pPr>
      <w:r>
        <w:rPr>
          <w:rFonts w:hint="eastAsia" w:ascii="宋体" w:hAnsi="宋体" w:cs="宋体"/>
          <w:szCs w:val="24"/>
          <w:highlight w:val="none"/>
        </w:rPr>
        <w:t>5）配电柜内须配置合页式金属内门。</w:t>
      </w:r>
    </w:p>
    <w:p>
      <w:pPr>
        <w:ind w:firstLine="420" w:firstLineChars="200"/>
        <w:rPr>
          <w:rFonts w:ascii="宋体" w:hAnsi="宋体" w:cs="宋体"/>
          <w:szCs w:val="24"/>
          <w:highlight w:val="none"/>
        </w:rPr>
      </w:pPr>
      <w:r>
        <w:rPr>
          <w:rFonts w:hint="eastAsia" w:ascii="宋体" w:hAnsi="宋体" w:cs="宋体"/>
          <w:szCs w:val="24"/>
          <w:highlight w:val="none"/>
        </w:rPr>
        <w:t>6）配电柜配置进、排风扇，风扇为阻燃型材料。</w:t>
      </w:r>
    </w:p>
    <w:p>
      <w:pPr>
        <w:keepNext/>
        <w:keepLines/>
        <w:outlineLvl w:val="2"/>
        <w:rPr>
          <w:rFonts w:ascii="宋体" w:hAnsi="宋体" w:cs="宋体"/>
          <w:b/>
          <w:bCs/>
          <w:szCs w:val="24"/>
          <w:highlight w:val="none"/>
        </w:rPr>
      </w:pPr>
      <w:bookmarkStart w:id="271" w:name="_Toc16919"/>
      <w:bookmarkStart w:id="272" w:name="_Toc13570"/>
      <w:r>
        <w:rPr>
          <w:rFonts w:hint="eastAsia" w:ascii="宋体" w:hAnsi="宋体" w:cs="宋体"/>
          <w:b/>
          <w:bCs/>
          <w:szCs w:val="24"/>
          <w:highlight w:val="none"/>
        </w:rPr>
        <w:t>4.  自控系统安装：</w:t>
      </w:r>
      <w:bookmarkEnd w:id="271"/>
      <w:bookmarkEnd w:id="272"/>
    </w:p>
    <w:p>
      <w:pPr>
        <w:rPr>
          <w:rFonts w:ascii="宋体" w:hAnsi="宋体" w:cs="宋体"/>
          <w:szCs w:val="24"/>
          <w:highlight w:val="none"/>
        </w:rPr>
      </w:pPr>
      <w:r>
        <w:rPr>
          <w:rFonts w:hint="eastAsia" w:ascii="宋体" w:hAnsi="宋体" w:cs="宋体"/>
          <w:szCs w:val="24"/>
          <w:highlight w:val="none"/>
        </w:rPr>
        <w:t>4.1 设备、配件安装：</w:t>
      </w:r>
    </w:p>
    <w:p>
      <w:pPr>
        <w:ind w:firstLine="420" w:firstLineChars="200"/>
        <w:rPr>
          <w:rFonts w:ascii="宋体" w:hAnsi="宋体" w:cs="宋体"/>
          <w:szCs w:val="24"/>
          <w:highlight w:val="none"/>
        </w:rPr>
      </w:pPr>
      <w:r>
        <w:rPr>
          <w:rFonts w:hint="eastAsia" w:ascii="宋体" w:hAnsi="宋体" w:cs="宋体"/>
          <w:szCs w:val="24"/>
          <w:highlight w:val="none"/>
        </w:rPr>
        <w:t>1）温度传感器不应安装在阳光直射的位置，远离有较强震动、电磁干扰的区域，室外温度传感器有防风雨防护罩；</w:t>
      </w:r>
    </w:p>
    <w:p>
      <w:pPr>
        <w:ind w:firstLine="420" w:firstLineChars="200"/>
        <w:rPr>
          <w:rFonts w:ascii="宋体" w:hAnsi="宋体" w:cs="宋体"/>
          <w:szCs w:val="24"/>
          <w:highlight w:val="none"/>
        </w:rPr>
      </w:pPr>
      <w:r>
        <w:rPr>
          <w:rFonts w:hint="eastAsia" w:ascii="宋体" w:hAnsi="宋体" w:cs="宋体"/>
          <w:szCs w:val="24"/>
          <w:highlight w:val="none"/>
        </w:rPr>
        <w:t>2）压力、压差传感器应安装在温度传感器的上游侧，便于调试、维修的位置；</w:t>
      </w:r>
    </w:p>
    <w:p>
      <w:pPr>
        <w:ind w:firstLine="420" w:firstLineChars="200"/>
        <w:rPr>
          <w:rFonts w:ascii="宋体" w:hAnsi="宋体" w:cs="宋体"/>
          <w:szCs w:val="24"/>
          <w:highlight w:val="none"/>
        </w:rPr>
      </w:pPr>
      <w:r>
        <w:rPr>
          <w:rFonts w:hint="eastAsia" w:ascii="宋体" w:hAnsi="宋体" w:cs="宋体"/>
          <w:szCs w:val="24"/>
          <w:highlight w:val="none"/>
        </w:rPr>
        <w:t>3）水流开关安装在水平管段上，不应安装在垂直管段上，不应安装在焊缝及其边缘附近；</w:t>
      </w:r>
    </w:p>
    <w:p>
      <w:pPr>
        <w:ind w:firstLine="420" w:firstLineChars="200"/>
        <w:rPr>
          <w:rFonts w:ascii="宋体" w:hAnsi="宋体" w:cs="宋体"/>
          <w:szCs w:val="24"/>
          <w:highlight w:val="none"/>
        </w:rPr>
      </w:pPr>
      <w:r>
        <w:rPr>
          <w:rFonts w:hint="eastAsia" w:ascii="宋体" w:hAnsi="宋体" w:cs="宋体"/>
          <w:szCs w:val="24"/>
          <w:highlight w:val="none"/>
        </w:rPr>
        <w:t>4）自控柜内线路整齐、线号齐全、标示清晰、接线牢固，PLC控制器安装布置整齐、美观；</w:t>
      </w:r>
    </w:p>
    <w:p>
      <w:pPr>
        <w:ind w:firstLine="420" w:firstLineChars="200"/>
        <w:rPr>
          <w:rFonts w:ascii="宋体" w:hAnsi="宋体" w:cs="宋体"/>
          <w:szCs w:val="24"/>
          <w:highlight w:val="none"/>
        </w:rPr>
      </w:pPr>
      <w:r>
        <w:rPr>
          <w:rFonts w:hint="eastAsia" w:ascii="宋体" w:hAnsi="宋体" w:cs="宋体"/>
          <w:szCs w:val="24"/>
          <w:highlight w:val="none"/>
        </w:rPr>
        <w:t>5）对自控系统界面及功能进行详细说明；</w:t>
      </w:r>
    </w:p>
    <w:p>
      <w:pPr>
        <w:ind w:firstLine="420" w:firstLineChars="200"/>
        <w:rPr>
          <w:rFonts w:ascii="宋体" w:hAnsi="宋体" w:cs="宋体"/>
          <w:szCs w:val="24"/>
          <w:highlight w:val="none"/>
        </w:rPr>
      </w:pPr>
      <w:r>
        <w:rPr>
          <w:rFonts w:hint="eastAsia" w:ascii="宋体" w:hAnsi="宋体" w:cs="宋体"/>
          <w:szCs w:val="24"/>
          <w:highlight w:val="none"/>
        </w:rPr>
        <w:t>6）自控系统须具备声光报警功能，报警温度可调；声光报警器须设置在人员值班室内。</w:t>
      </w:r>
    </w:p>
    <w:p>
      <w:pPr>
        <w:ind w:firstLine="420" w:firstLineChars="200"/>
        <w:rPr>
          <w:rFonts w:ascii="宋体" w:hAnsi="宋体" w:cs="宋体"/>
          <w:szCs w:val="24"/>
          <w:highlight w:val="none"/>
        </w:rPr>
      </w:pPr>
      <w:r>
        <w:rPr>
          <w:rFonts w:hint="eastAsia" w:ascii="宋体" w:hAnsi="宋体" w:cs="宋体"/>
          <w:szCs w:val="24"/>
          <w:highlight w:val="none"/>
        </w:rPr>
        <w:t>7）具备手机APP监控功能；</w:t>
      </w:r>
    </w:p>
    <w:p>
      <w:pPr>
        <w:ind w:firstLine="420" w:firstLineChars="200"/>
        <w:rPr>
          <w:rFonts w:ascii="宋体" w:hAnsi="宋体" w:cs="宋体"/>
          <w:szCs w:val="24"/>
          <w:highlight w:val="none"/>
        </w:rPr>
      </w:pPr>
      <w:r>
        <w:rPr>
          <w:rFonts w:hint="eastAsia" w:ascii="宋体" w:hAnsi="宋体" w:cs="宋体"/>
          <w:szCs w:val="24"/>
          <w:highlight w:val="none"/>
        </w:rPr>
        <w:t>8）机房能实现无人值守。</w:t>
      </w:r>
    </w:p>
    <w:p>
      <w:pPr>
        <w:keepNext/>
        <w:keepLines/>
        <w:outlineLvl w:val="2"/>
        <w:rPr>
          <w:rFonts w:ascii="宋体" w:hAnsi="宋体" w:cs="宋体"/>
          <w:b/>
          <w:bCs/>
          <w:szCs w:val="24"/>
          <w:highlight w:val="none"/>
        </w:rPr>
      </w:pPr>
      <w:bookmarkStart w:id="273" w:name="_Toc21186"/>
      <w:bookmarkStart w:id="274" w:name="_Toc68"/>
      <w:r>
        <w:rPr>
          <w:rFonts w:hint="eastAsia" w:ascii="宋体" w:hAnsi="宋体" w:cs="宋体"/>
          <w:b/>
          <w:bCs/>
          <w:szCs w:val="24"/>
          <w:highlight w:val="none"/>
        </w:rPr>
        <w:t>5.  系统调试：</w:t>
      </w:r>
      <w:bookmarkEnd w:id="273"/>
      <w:bookmarkEnd w:id="274"/>
    </w:p>
    <w:p>
      <w:pPr>
        <w:ind w:firstLine="420" w:firstLineChars="200"/>
        <w:rPr>
          <w:rFonts w:ascii="宋体" w:hAnsi="宋体" w:cs="宋体"/>
          <w:szCs w:val="24"/>
          <w:highlight w:val="none"/>
        </w:rPr>
      </w:pPr>
      <w:r>
        <w:rPr>
          <w:rFonts w:hint="eastAsia" w:ascii="宋体" w:hAnsi="宋体" w:cs="宋体"/>
          <w:szCs w:val="24"/>
          <w:highlight w:val="none"/>
        </w:rPr>
        <w:t>5.1 系统调试前须确定管道系统清洗、试压完成，设备通电单机试运行完成。</w:t>
      </w:r>
    </w:p>
    <w:p>
      <w:pPr>
        <w:ind w:firstLine="420" w:firstLineChars="200"/>
        <w:rPr>
          <w:rFonts w:ascii="宋体" w:hAnsi="宋体" w:cs="宋体"/>
          <w:szCs w:val="24"/>
          <w:highlight w:val="none"/>
        </w:rPr>
      </w:pPr>
      <w:r>
        <w:rPr>
          <w:rFonts w:hint="eastAsia" w:ascii="宋体" w:hAnsi="宋体" w:cs="宋体"/>
          <w:szCs w:val="24"/>
          <w:highlight w:val="none"/>
        </w:rPr>
        <w:t>5.2 系统调试，确定机组运行平稳，安全可靠，无异常声音。</w:t>
      </w:r>
    </w:p>
    <w:p>
      <w:pPr>
        <w:keepNext/>
        <w:keepLines/>
        <w:outlineLvl w:val="2"/>
        <w:rPr>
          <w:rFonts w:ascii="宋体" w:hAnsi="宋体" w:cs="宋体"/>
          <w:b/>
          <w:bCs/>
          <w:szCs w:val="24"/>
          <w:highlight w:val="none"/>
        </w:rPr>
      </w:pPr>
      <w:bookmarkStart w:id="275" w:name="_Toc1835"/>
      <w:bookmarkStart w:id="276" w:name="_Toc4200"/>
      <w:r>
        <w:rPr>
          <w:rFonts w:hint="eastAsia" w:ascii="宋体" w:hAnsi="宋体" w:cs="宋体"/>
          <w:b/>
          <w:bCs/>
          <w:szCs w:val="24"/>
          <w:highlight w:val="none"/>
        </w:rPr>
        <w:t>6.  竣工验收：</w:t>
      </w:r>
      <w:bookmarkEnd w:id="275"/>
      <w:bookmarkEnd w:id="276"/>
    </w:p>
    <w:p>
      <w:pPr>
        <w:ind w:firstLine="420" w:firstLineChars="200"/>
        <w:rPr>
          <w:rFonts w:ascii="宋体" w:hAnsi="宋体" w:cs="宋体"/>
          <w:szCs w:val="24"/>
          <w:highlight w:val="none"/>
        </w:rPr>
      </w:pPr>
      <w:r>
        <w:rPr>
          <w:rFonts w:hint="eastAsia" w:ascii="宋体" w:hAnsi="宋体" w:cs="宋体"/>
          <w:szCs w:val="24"/>
          <w:highlight w:val="none"/>
        </w:rPr>
        <w:t>6.1 竣工验收应由甲方负责组织施工、设计、监理等单位共同进行，合格后即应办理竣工验收手续；</w:t>
      </w:r>
    </w:p>
    <w:p>
      <w:pPr>
        <w:ind w:firstLine="420" w:firstLineChars="200"/>
        <w:rPr>
          <w:rFonts w:ascii="宋体" w:hAnsi="宋体"/>
          <w:szCs w:val="21"/>
          <w:highlight w:val="none"/>
        </w:rPr>
      </w:pPr>
      <w:r>
        <w:rPr>
          <w:rFonts w:hint="eastAsia" w:ascii="宋体" w:hAnsi="宋体" w:cs="宋体"/>
          <w:szCs w:val="24"/>
          <w:highlight w:val="none"/>
        </w:rPr>
        <w:t>6.2 竣工验收时，应检查竣工验收资料是否齐全，包括但不限于下列文件及记录：</w:t>
      </w:r>
    </w:p>
    <w:p>
      <w:pPr>
        <w:ind w:firstLine="420" w:firstLineChars="200"/>
        <w:rPr>
          <w:rFonts w:ascii="宋体" w:hAnsi="宋体" w:cs="宋体"/>
          <w:szCs w:val="24"/>
          <w:highlight w:val="none"/>
        </w:rPr>
      </w:pPr>
      <w:r>
        <w:rPr>
          <w:rFonts w:hint="eastAsia" w:ascii="宋体" w:hAnsi="宋体" w:cs="宋体"/>
          <w:szCs w:val="24"/>
          <w:highlight w:val="none"/>
        </w:rPr>
        <w:t>1）图纸会审记录、设计变更通知书和竣工图；</w:t>
      </w:r>
    </w:p>
    <w:p>
      <w:pPr>
        <w:ind w:firstLine="420" w:firstLineChars="200"/>
        <w:rPr>
          <w:rFonts w:ascii="宋体" w:hAnsi="宋体" w:cs="宋体"/>
          <w:szCs w:val="24"/>
          <w:highlight w:val="none"/>
        </w:rPr>
      </w:pPr>
      <w:r>
        <w:rPr>
          <w:rFonts w:hint="eastAsia" w:ascii="宋体" w:hAnsi="宋体" w:cs="宋体"/>
          <w:szCs w:val="24"/>
          <w:highlight w:val="none"/>
        </w:rPr>
        <w:t>2）主要材料、设备、成品、半成品和仪表的出厂合格证明及进场检（试）验报告；</w:t>
      </w:r>
    </w:p>
    <w:p>
      <w:pPr>
        <w:ind w:firstLine="420" w:firstLineChars="200"/>
        <w:rPr>
          <w:rFonts w:ascii="宋体" w:hAnsi="宋体" w:cs="宋体"/>
          <w:szCs w:val="24"/>
          <w:highlight w:val="none"/>
        </w:rPr>
      </w:pPr>
      <w:r>
        <w:rPr>
          <w:rFonts w:hint="eastAsia" w:ascii="宋体" w:hAnsi="宋体" w:cs="宋体"/>
          <w:szCs w:val="24"/>
          <w:highlight w:val="none"/>
        </w:rPr>
        <w:t>3）隐蔽工程检查验收记录；</w:t>
      </w:r>
    </w:p>
    <w:p>
      <w:pPr>
        <w:ind w:firstLine="420" w:firstLineChars="200"/>
        <w:rPr>
          <w:rFonts w:ascii="宋体" w:hAnsi="宋体" w:cs="宋体"/>
          <w:szCs w:val="24"/>
          <w:highlight w:val="none"/>
        </w:rPr>
      </w:pPr>
      <w:r>
        <w:rPr>
          <w:rFonts w:hint="eastAsia" w:ascii="宋体" w:hAnsi="宋体" w:cs="宋体"/>
          <w:szCs w:val="24"/>
          <w:highlight w:val="none"/>
        </w:rPr>
        <w:t>4）设备、管道系统安装及检验记录；</w:t>
      </w:r>
    </w:p>
    <w:p>
      <w:pPr>
        <w:ind w:firstLine="420" w:firstLineChars="200"/>
        <w:rPr>
          <w:rFonts w:ascii="宋体" w:hAnsi="宋体" w:cs="宋体"/>
          <w:szCs w:val="24"/>
          <w:highlight w:val="none"/>
        </w:rPr>
      </w:pPr>
      <w:r>
        <w:rPr>
          <w:rFonts w:hint="eastAsia" w:ascii="宋体" w:hAnsi="宋体" w:cs="宋体"/>
          <w:szCs w:val="24"/>
          <w:highlight w:val="none"/>
        </w:rPr>
        <w:t>5）管道清洗、试压记录；</w:t>
      </w:r>
    </w:p>
    <w:p>
      <w:pPr>
        <w:ind w:firstLine="420" w:firstLineChars="200"/>
        <w:rPr>
          <w:rFonts w:ascii="宋体" w:hAnsi="宋体" w:cs="宋体"/>
          <w:szCs w:val="24"/>
          <w:highlight w:val="none"/>
        </w:rPr>
      </w:pPr>
      <w:r>
        <w:rPr>
          <w:rFonts w:hint="eastAsia" w:ascii="宋体" w:hAnsi="宋体" w:cs="宋体"/>
          <w:szCs w:val="24"/>
          <w:highlight w:val="none"/>
        </w:rPr>
        <w:t>6）设备单机试运转记录；</w:t>
      </w:r>
    </w:p>
    <w:p>
      <w:pPr>
        <w:ind w:firstLine="420" w:firstLineChars="200"/>
        <w:rPr>
          <w:rFonts w:ascii="宋体" w:hAnsi="宋体" w:cs="宋体"/>
          <w:szCs w:val="24"/>
          <w:highlight w:val="none"/>
        </w:rPr>
      </w:pPr>
      <w:r>
        <w:rPr>
          <w:rFonts w:hint="eastAsia" w:ascii="宋体" w:hAnsi="宋体" w:cs="宋体"/>
          <w:szCs w:val="24"/>
          <w:highlight w:val="none"/>
        </w:rPr>
        <w:t>7）系统调试记录；</w:t>
      </w:r>
    </w:p>
    <w:p>
      <w:pPr>
        <w:ind w:firstLine="420" w:firstLineChars="200"/>
        <w:rPr>
          <w:rFonts w:ascii="宋体" w:hAnsi="宋体" w:cs="宋体"/>
          <w:szCs w:val="24"/>
          <w:highlight w:val="none"/>
        </w:rPr>
      </w:pPr>
      <w:r>
        <w:rPr>
          <w:rFonts w:hint="eastAsia" w:ascii="宋体" w:hAnsi="宋体" w:cs="宋体"/>
          <w:szCs w:val="24"/>
          <w:highlight w:val="none"/>
        </w:rPr>
        <w:t>8）使用培训记录。</w:t>
      </w:r>
    </w:p>
    <w:p>
      <w:pPr>
        <w:rPr>
          <w:rFonts w:ascii="宋体" w:hAnsi="宋体" w:cs="宋体"/>
          <w:szCs w:val="24"/>
          <w:highlight w:val="none"/>
        </w:rPr>
      </w:pPr>
    </w:p>
    <w:p>
      <w:pPr>
        <w:pStyle w:val="23"/>
        <w:rPr>
          <w:rFonts w:ascii="宋体" w:hAnsi="宋体"/>
          <w:b/>
          <w:sz w:val="32"/>
          <w:szCs w:val="32"/>
          <w:highlight w:val="none"/>
        </w:rPr>
      </w:pPr>
      <w:bookmarkStart w:id="277" w:name="_Toc44255283"/>
      <w:bookmarkStart w:id="278" w:name="_Toc40802033"/>
      <w:bookmarkStart w:id="279" w:name="_Toc26142"/>
      <w:bookmarkStart w:id="280" w:name="_Toc150453636"/>
      <w:bookmarkStart w:id="281" w:name="_Toc245"/>
      <w:r>
        <w:rPr>
          <w:rFonts w:hint="eastAsia" w:ascii="宋体" w:hAnsi="宋体"/>
          <w:b/>
          <w:sz w:val="32"/>
          <w:szCs w:val="32"/>
          <w:highlight w:val="none"/>
        </w:rPr>
        <w:t>五、冷冻站高效机房+水蓄冷冷热源系统群控</w:t>
      </w:r>
      <w:bookmarkEnd w:id="277"/>
      <w:bookmarkEnd w:id="278"/>
      <w:r>
        <w:rPr>
          <w:rFonts w:hint="eastAsia" w:ascii="宋体" w:hAnsi="宋体"/>
          <w:b/>
          <w:sz w:val="32"/>
          <w:szCs w:val="32"/>
          <w:highlight w:val="none"/>
        </w:rPr>
        <w:t>技术要求</w:t>
      </w:r>
      <w:bookmarkEnd w:id="279"/>
      <w:bookmarkEnd w:id="280"/>
      <w:bookmarkEnd w:id="281"/>
    </w:p>
    <w:p>
      <w:pPr>
        <w:keepNext/>
        <w:keepLines/>
        <w:outlineLvl w:val="2"/>
        <w:rPr>
          <w:rFonts w:ascii="宋体" w:hAnsi="宋体" w:cs="宋体"/>
          <w:b/>
          <w:bCs/>
          <w:sz w:val="28"/>
          <w:szCs w:val="32"/>
          <w:highlight w:val="none"/>
          <w:lang w:val="en-GB"/>
        </w:rPr>
      </w:pPr>
      <w:bookmarkStart w:id="282" w:name="_Toc27487"/>
      <w:bookmarkStart w:id="283" w:name="_Toc3331"/>
      <w:bookmarkStart w:id="284" w:name="_Toc150453637"/>
      <w:bookmarkStart w:id="285" w:name="_Toc10305"/>
      <w:bookmarkStart w:id="286" w:name="_Toc1662"/>
      <w:bookmarkStart w:id="287" w:name="_Hlk39077011"/>
      <w:r>
        <w:rPr>
          <w:rFonts w:hint="eastAsia" w:ascii="宋体" w:hAnsi="宋体" w:cs="宋体"/>
          <w:b/>
          <w:bCs/>
          <w:sz w:val="28"/>
          <w:szCs w:val="32"/>
          <w:highlight w:val="none"/>
        </w:rPr>
        <w:t>1</w:t>
      </w:r>
      <w:r>
        <w:rPr>
          <w:rFonts w:hint="eastAsia" w:ascii="宋体" w:hAnsi="宋体" w:cs="宋体"/>
          <w:b/>
          <w:bCs/>
          <w:sz w:val="28"/>
          <w:szCs w:val="32"/>
          <w:highlight w:val="none"/>
          <w:lang w:val="en-GB"/>
        </w:rPr>
        <w:t>、</w:t>
      </w:r>
      <w:r>
        <w:rPr>
          <w:rFonts w:hint="eastAsia" w:ascii="宋体" w:hAnsi="宋体" w:cs="宋体"/>
          <w:b/>
          <w:bCs/>
          <w:sz w:val="28"/>
          <w:szCs w:val="32"/>
          <w:highlight w:val="none"/>
        </w:rPr>
        <w:t xml:space="preserve"> </w:t>
      </w:r>
      <w:r>
        <w:rPr>
          <w:rFonts w:hint="eastAsia" w:ascii="宋体" w:hAnsi="宋体" w:cs="宋体"/>
          <w:b/>
          <w:bCs/>
          <w:sz w:val="28"/>
          <w:szCs w:val="32"/>
          <w:highlight w:val="none"/>
          <w:lang w:val="en-GB"/>
        </w:rPr>
        <w:t>冷冻站高效机房群控系统总体说明</w:t>
      </w:r>
      <w:bookmarkEnd w:id="282"/>
      <w:bookmarkEnd w:id="283"/>
      <w:bookmarkEnd w:id="284"/>
      <w:bookmarkEnd w:id="285"/>
      <w:bookmarkEnd w:id="286"/>
    </w:p>
    <w:bookmarkEnd w:id="287"/>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承包人应采用先进、智能、成熟的自动化管理系统及设备，必须保证各种设备在设计要求的参数下安全可靠地运行，并能达到降低能耗及经济运行的目的。群控系统与被服务对象的规模相适应并易于扩展，合理布置系统各监控点。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2、承包人应结合所承包范围内的产品选型进行深化设计，产品选型参数不低于本技术要求的参数指标， 深化设计应满足施工图、本技术要求的相关内容，深化设计不产生额外费用。深化设计方案需包括但不限于 I/O 点表、接线表、配电图、桥架布置图、网络架构图、控制策略说明等文件，所有箱体要提供详细的内部线路图。深化设计方案须报送设计院、发包人审核批准后方可实施。</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3、承包人负责机房群控系统软硬件的供应及安装，并提供相关符合要求的接口及开放所有 BA 集成所需的协议，配合接入业主智慧建筑管理平台；群控系统包括以下模块：计算机及网络附件，高效智慧软件平台，高效智慧控制柜（内置制冷主机能效优化智慧群控技术，冷冻水泵组动态变频优化智慧控制技术， 冷却水温度优化智慧控制技术，冷却塔风机智慧控制技术等），传感器，精准计量及能效监测模块，系统热平衡校验功能、能效优化控制及系统能效承诺，系统调试及调适服务。群控系统涉及到的外围部件如温度、压力传感器、流量传感器、机房冷量计量装置等相关部件和线路的供应及安装。</w:t>
      </w:r>
    </w:p>
    <w:p>
      <w:pPr>
        <w:widowControl/>
        <w:spacing w:after="160"/>
        <w:ind w:firstLine="440" w:firstLineChars="200"/>
        <w:jc w:val="left"/>
        <w:rPr>
          <w:rFonts w:ascii="宋体" w:hAnsi="宋体" w:cs="宋体"/>
          <w:sz w:val="22"/>
          <w:highlight w:val="none"/>
          <w:lang w:val="en-GB"/>
        </w:rPr>
      </w:pPr>
    </w:p>
    <w:p>
      <w:pPr>
        <w:keepNext/>
        <w:keepLines/>
        <w:outlineLvl w:val="2"/>
        <w:rPr>
          <w:rFonts w:ascii="宋体" w:hAnsi="宋体" w:cs="宋体"/>
          <w:b/>
          <w:bCs/>
          <w:sz w:val="28"/>
          <w:szCs w:val="32"/>
          <w:highlight w:val="none"/>
          <w:lang w:val="en-GB"/>
        </w:rPr>
      </w:pPr>
      <w:bookmarkStart w:id="288" w:name="_Toc25896"/>
      <w:bookmarkStart w:id="289" w:name="_Toc17460"/>
      <w:bookmarkStart w:id="290" w:name="_Toc10033"/>
      <w:bookmarkStart w:id="291" w:name="_Toc150453638"/>
      <w:bookmarkStart w:id="292" w:name="_Toc12488"/>
      <w:bookmarkStart w:id="293" w:name="_Hlk38207046"/>
      <w:r>
        <w:rPr>
          <w:rFonts w:hint="eastAsia" w:ascii="宋体" w:hAnsi="宋体" w:cs="宋体"/>
          <w:b/>
          <w:bCs/>
          <w:sz w:val="28"/>
          <w:szCs w:val="32"/>
          <w:highlight w:val="none"/>
        </w:rPr>
        <w:t>2</w:t>
      </w:r>
      <w:r>
        <w:rPr>
          <w:rFonts w:hint="eastAsia" w:ascii="宋体" w:hAnsi="宋体" w:cs="宋体"/>
          <w:b/>
          <w:bCs/>
          <w:sz w:val="28"/>
          <w:szCs w:val="32"/>
          <w:highlight w:val="none"/>
          <w:lang w:val="en-GB"/>
        </w:rPr>
        <w:t>、 冷冻站高效机房系统架构</w:t>
      </w:r>
      <w:bookmarkEnd w:id="288"/>
      <w:bookmarkEnd w:id="289"/>
      <w:bookmarkEnd w:id="290"/>
      <w:bookmarkEnd w:id="291"/>
      <w:bookmarkEnd w:id="292"/>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控制系统采用PLC控制系统。控制系统必须具有先进性、开放性、可扩充性、标准化等特征。本项目的制冷机房控制系统由中央控制单元、PLC控制单元、电动阀、传感检测器件、系统控制柜、系统软件等部分组成。</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系统必须满足日后系统的扩展。系统的扩展必须无需额外增加工作分站，也不需要废弃或更换基本系统任何部件。即使日后扩容量高出预留扩容量也只需增加 PLC 及交换机数量，不应影响整个系统架构。</w:t>
      </w:r>
    </w:p>
    <w:p>
      <w:pPr>
        <w:widowControl/>
        <w:spacing w:after="160"/>
        <w:ind w:firstLine="420" w:firstLineChars="200"/>
        <w:jc w:val="left"/>
        <w:rPr>
          <w:rFonts w:ascii="宋体" w:hAnsi="宋体"/>
          <w:sz w:val="22"/>
          <w:highlight w:val="none"/>
          <w:lang w:val="en-GB"/>
        </w:rPr>
      </w:pPr>
      <w:r>
        <w:rPr>
          <w:rFonts w:hint="eastAsia" w:ascii="宋体" w:hAnsi="宋体" w:cs="宋体"/>
          <w:szCs w:val="24"/>
          <w:highlight w:val="none"/>
          <w:lang w:val="en-GB"/>
        </w:rPr>
        <w:t>中央控制单元设置集中控制台，进行远程管理和打印。</w:t>
      </w:r>
    </w:p>
    <w:p>
      <w:pPr>
        <w:keepNext/>
        <w:keepLines/>
        <w:outlineLvl w:val="2"/>
        <w:rPr>
          <w:rFonts w:ascii="宋体" w:hAnsi="宋体" w:cs="宋体"/>
          <w:b/>
          <w:bCs/>
          <w:sz w:val="28"/>
          <w:szCs w:val="32"/>
          <w:highlight w:val="none"/>
        </w:rPr>
      </w:pPr>
      <w:bookmarkStart w:id="294" w:name="_Toc11807"/>
      <w:bookmarkStart w:id="295" w:name="_Toc8957"/>
      <w:bookmarkStart w:id="296" w:name="_Toc150453639"/>
      <w:bookmarkStart w:id="297" w:name="_Toc25466"/>
      <w:bookmarkStart w:id="298" w:name="_Toc27862"/>
      <w:r>
        <w:rPr>
          <w:rFonts w:hint="eastAsia" w:ascii="宋体" w:hAnsi="宋体" w:cs="宋体"/>
          <w:b/>
          <w:bCs/>
          <w:sz w:val="28"/>
          <w:szCs w:val="32"/>
          <w:highlight w:val="none"/>
        </w:rPr>
        <w:t>3</w:t>
      </w:r>
      <w:r>
        <w:rPr>
          <w:rFonts w:hint="eastAsia" w:ascii="宋体" w:hAnsi="宋体" w:cs="宋体"/>
          <w:b/>
          <w:bCs/>
          <w:sz w:val="28"/>
          <w:szCs w:val="32"/>
          <w:highlight w:val="none"/>
          <w:lang w:val="en-GB"/>
        </w:rPr>
        <w:t xml:space="preserve">、 </w:t>
      </w:r>
      <w:bookmarkEnd w:id="294"/>
      <w:bookmarkEnd w:id="295"/>
      <w:r>
        <w:rPr>
          <w:rFonts w:hint="eastAsia" w:ascii="宋体" w:hAnsi="宋体" w:cs="宋体"/>
          <w:b/>
          <w:bCs/>
          <w:sz w:val="28"/>
          <w:szCs w:val="32"/>
          <w:highlight w:val="none"/>
          <w:lang w:val="en-GB"/>
        </w:rPr>
        <w:t>冷冻站高效机房群控系统的控制要求</w:t>
      </w:r>
      <w:bookmarkEnd w:id="296"/>
      <w:bookmarkEnd w:id="297"/>
      <w:bookmarkEnd w:id="298"/>
    </w:p>
    <w:p>
      <w:pPr>
        <w:widowControl/>
        <w:spacing w:after="160"/>
        <w:jc w:val="left"/>
        <w:rPr>
          <w:rFonts w:ascii="宋体" w:hAnsi="宋体" w:cs="宋体"/>
          <w:b/>
          <w:bCs/>
          <w:szCs w:val="24"/>
          <w:highlight w:val="none"/>
          <w:lang w:val="en-GB"/>
        </w:rPr>
      </w:pPr>
      <w:r>
        <w:rPr>
          <w:rFonts w:hint="eastAsia" w:ascii="宋体" w:hAnsi="宋体" w:cs="宋体"/>
          <w:b/>
          <w:bCs/>
          <w:szCs w:val="24"/>
          <w:highlight w:val="none"/>
          <w:lang w:val="en-GB"/>
        </w:rPr>
        <w:t xml:space="preserve">1、控制功能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（1）冷冻站高效机房系统运行工况切换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本项目冷冻站高效机房系统的包含以下 5 种运行工况。不同工况的优先运行顺序详见招标图纸中设计说明相关要求。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a.夜间蓄冷模式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b.主机单独供冷模式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c.蓄冷水罐单独放冷模式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d.主机蓄冷水罐联合供冷模式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e.夜间边蓄边供模式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冷冻站高效机房控制系统应能完成不同工况的远程切换控制，包括不同工况下相关设备（制冷主机、水泵、冷却塔等）的启停和相关阀门的开启、关闭和开度调节。自控柜上必须设置应急手自动转换功能，在自控出现问题的情况下可以手动应急转换所有电动阀门。电动阀门应有打开到位、关闭到位的显示和开度位置指示，以确保工况远程切换的安全。电动调节阀还宜设置手动调节阀门开度的装置。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（3）冷冻站高效机房系统的节能控制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 提供冷冻水泵变频调速运行控制策略（即变频器运行频率跟随末端负荷变化的动态控制策略），在确保制冷机组蒸发器安全的条件下以实现冷冻水泵的节能运行。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 提供蓄冷、放冷水泵变频调速运行控制策略（即变频器运行频率在蓄冷工况和放冷工况下各自的动态控制策略），在确保制冷机组蒸发器安全的条件下以实现蓄冷、放冷水泵的节能运行。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3） 提供冷却塔运行台数的控制策略，以确保制冷机组有较高的能效比（COP）。 </w:t>
      </w:r>
    </w:p>
    <w:p>
      <w:pPr>
        <w:widowControl/>
        <w:spacing w:after="160"/>
        <w:jc w:val="left"/>
        <w:rPr>
          <w:rFonts w:ascii="宋体" w:hAnsi="宋体" w:cs="宋体"/>
          <w:szCs w:val="24"/>
          <w:highlight w:val="none"/>
          <w:lang w:val="en-GB"/>
        </w:rPr>
      </w:pPr>
      <w:r>
        <w:rPr>
          <w:rFonts w:hint="eastAsia" w:ascii="宋体" w:hAnsi="宋体" w:cs="宋体"/>
          <w:b/>
          <w:bCs/>
          <w:szCs w:val="24"/>
          <w:highlight w:val="none"/>
          <w:lang w:val="en-GB"/>
        </w:rPr>
        <w:t>2、冷冻站高效机房系统的运行监测</w:t>
      </w:r>
      <w:r>
        <w:rPr>
          <w:rFonts w:hint="eastAsia" w:ascii="宋体" w:hAnsi="宋体" w:cs="宋体"/>
          <w:szCs w:val="24"/>
          <w:highlight w:val="none"/>
          <w:lang w:val="en-GB"/>
        </w:rPr>
        <w:t xml:space="preserve">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（1）空调系统运行状态的监测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显示页面需要直观地显示包含制冷机组、冷冻水泵、蓄冷水泵、放冷水泵、冷却水泵、冷却塔、蓄冷水罐、板式换热器、电动阀门等设备在内的空调系统工艺流程图，并在工艺流程图上以不同的颜色实时显示每台空调设备的运行状态。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 实时显示各电动阀门的阀位：开启、关闭，开度位置。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 实时显示空调系统当前运行的控制模式：自动控制、远程手动控制、就地手动控制。 </w:t>
      </w:r>
    </w:p>
    <w:p>
      <w:pPr>
        <w:widowControl/>
        <w:spacing w:after="160"/>
        <w:ind w:left="420" w:leftChars="200"/>
        <w:jc w:val="left"/>
        <w:rPr>
          <w:rFonts w:ascii="宋体" w:hAnsi="宋体" w:cs="宋体"/>
          <w:szCs w:val="24"/>
          <w:highlight w:val="none"/>
          <w:lang w:val="en-GB"/>
        </w:rPr>
      </w:pPr>
      <w:r>
        <w:rPr>
          <w:rFonts w:hint="eastAsia" w:ascii="宋体" w:hAnsi="宋体" w:cs="宋体"/>
          <w:szCs w:val="24"/>
          <w:highlight w:val="none"/>
          <w:lang w:val="en-GB"/>
        </w:rPr>
        <w:t xml:space="preserve">（2）空调系统运行参数的监测                                                              1）直观地显示本技术要求每一种运行工况的工艺流程图，并在图形的适当部位实时动态显示需要监测的空调系统运行参数。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 需要实时采集并动态监视的空调系统运行参数如下：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——蓄冷水罐中垂直方向每 0.5m 设置一个温度传感器，同一液位高度不少于两个检测点；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——制冷机组蒸发器出水的温度值；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——冷冻水供水/回水总管的温度值；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——冷冻水回水总管的流量值；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——冷却水回水总管的流量值；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——制冷机组冷凝器出水的温度值；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——冷却水出水/回水总管的温度值；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——蓄冷水罐进水/出水的温度值；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——蓄冷水罐蓄冷、放冷的流量值；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——蓄冷水罐液位传感器；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——冷冻水系统末端空调负荷值；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——蓄冷水罐的蓄冷量值（蓄冷工况时为已蓄冷量；放冷工况时为剩余冷量）；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——变频运行水泵电机的运行频率值；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——室外空气温、湿度值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（3）运行能耗的监测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1）空调电能消耗的监测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   在包括制冷机组、冷冻水泵、蓄冷水泵、放冷水泵、冷却水泵、冷却塔等设备的供电线路或控制柜（箱）中装设数字式电能表，对每台设备电能消耗进行独立监测与数据采集，并传送到计算机工作站。</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 空调用水消耗的监测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    在冷冻水系统补水管、冷却水系统补水管和蓄冷水罐补水管分别安装可靠的远传水表，对空调各个水系统的用水消耗进行独立检测与数据采集，并传送到计算机工作站。 </w:t>
      </w:r>
    </w:p>
    <w:p>
      <w:pPr>
        <w:widowControl/>
        <w:spacing w:after="160"/>
        <w:jc w:val="left"/>
        <w:rPr>
          <w:rFonts w:ascii="宋体" w:hAnsi="宋体" w:cs="宋体"/>
          <w:b/>
          <w:bCs/>
          <w:szCs w:val="24"/>
          <w:highlight w:val="none"/>
          <w:lang w:val="en-GB"/>
        </w:rPr>
      </w:pPr>
      <w:r>
        <w:rPr>
          <w:rFonts w:hint="eastAsia" w:ascii="宋体" w:hAnsi="宋体" w:cs="宋体"/>
          <w:b/>
          <w:bCs/>
          <w:szCs w:val="24"/>
          <w:highlight w:val="none"/>
          <w:lang w:val="en-GB"/>
        </w:rPr>
        <w:t xml:space="preserve">3、能耗数据的统计与处理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对采集到的空调设备电能消耗数据按设备分类进行分项、分时段（峰、平、谷）统计和记录，自动生成每台、每类和全部设备的电耗、累计电耗台账。同时，还应对每台设备的运行时间、累计运行时间进行统计，以保障各台设备运行时间的相对均衡。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（2）对采集到的空调各个水系统的用水消耗数据进行分项统计和记录，自动生成每个水系统的水耗及累计水耗台账。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（3）、控制系统应能按日、按周、按月生成（或打印）空调系统的累计电耗及费用报表、累计水耗及费用报表，还能生成相应的能耗及费用趋势曲线，以方便能耗的对比分析、过程监控和精细化管理。 </w:t>
      </w:r>
    </w:p>
    <w:p>
      <w:pPr>
        <w:widowControl/>
        <w:spacing w:after="160"/>
        <w:jc w:val="left"/>
        <w:rPr>
          <w:rFonts w:ascii="宋体" w:hAnsi="宋体" w:cs="宋体"/>
          <w:b/>
          <w:bCs/>
          <w:szCs w:val="24"/>
          <w:highlight w:val="none"/>
          <w:lang w:val="en-GB"/>
        </w:rPr>
      </w:pPr>
      <w:r>
        <w:rPr>
          <w:rFonts w:hint="eastAsia" w:ascii="宋体" w:hAnsi="宋体" w:cs="宋体"/>
          <w:b/>
          <w:bCs/>
          <w:szCs w:val="24"/>
          <w:highlight w:val="none"/>
          <w:lang w:val="en-GB"/>
        </w:rPr>
        <w:t xml:space="preserve">4、能耗数据的储存与查询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（1）控制系统应能对所记录的能耗（电耗和水耗）数据进行储存，存储时间不得少于 5 年。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（2）登录控制系统后，应能对历史能耗（电耗和水耗）数据报表、曲线等进行查询或复制。</w:t>
      </w:r>
    </w:p>
    <w:p>
      <w:pPr>
        <w:widowControl/>
        <w:spacing w:after="160"/>
        <w:jc w:val="left"/>
        <w:rPr>
          <w:rFonts w:ascii="宋体" w:hAnsi="宋体" w:cs="宋体"/>
          <w:szCs w:val="24"/>
          <w:highlight w:val="none"/>
          <w:lang w:val="en-GB"/>
        </w:rPr>
      </w:pPr>
      <w:r>
        <w:rPr>
          <w:rFonts w:hint="eastAsia" w:ascii="宋体" w:hAnsi="宋体" w:cs="宋体"/>
          <w:b/>
          <w:bCs/>
          <w:szCs w:val="24"/>
          <w:highlight w:val="none"/>
          <w:lang w:val="en-GB"/>
        </w:rPr>
        <w:t xml:space="preserve"> 5、 能耗的分析评估诊断功能</w:t>
      </w:r>
      <w:r>
        <w:rPr>
          <w:rFonts w:hint="eastAsia" w:ascii="宋体" w:hAnsi="宋体" w:cs="宋体"/>
          <w:szCs w:val="24"/>
          <w:highlight w:val="none"/>
          <w:lang w:val="en-GB"/>
        </w:rPr>
        <w:t xml:space="preserve">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对系统的整体能耗以及系统内各设备的能耗情况进行分析梳理，对比制冷机房与制冷机房之间、设备与设备之间的能效差距，寻找并分析原因，找出关键能耗点和异常能耗点，并评估系统的能耗状态，提出诊断改进意见，最终找到最优的能效控制方案。</w:t>
      </w:r>
    </w:p>
    <w:p>
      <w:pPr>
        <w:widowControl/>
        <w:spacing w:after="160"/>
        <w:jc w:val="left"/>
        <w:rPr>
          <w:rFonts w:ascii="宋体" w:hAnsi="宋体" w:cs="宋体"/>
          <w:b/>
          <w:bCs/>
          <w:szCs w:val="24"/>
          <w:highlight w:val="none"/>
          <w:lang w:val="en-GB"/>
        </w:rPr>
      </w:pPr>
      <w:r>
        <w:rPr>
          <w:rFonts w:hint="eastAsia" w:ascii="宋体" w:hAnsi="宋体" w:cs="宋体"/>
          <w:b/>
          <w:bCs/>
          <w:szCs w:val="24"/>
          <w:highlight w:val="none"/>
          <w:lang w:val="en-GB"/>
        </w:rPr>
        <w:t xml:space="preserve"> 6、 空调系统的安全保护与故障报警 </w:t>
      </w:r>
    </w:p>
    <w:p>
      <w:pPr>
        <w:widowControl/>
        <w:spacing w:after="160"/>
        <w:jc w:val="left"/>
        <w:rPr>
          <w:rFonts w:ascii="宋体" w:hAnsi="宋体" w:cs="宋体"/>
          <w:szCs w:val="24"/>
          <w:highlight w:val="none"/>
          <w:lang w:val="en-GB"/>
        </w:rPr>
      </w:pPr>
      <w:r>
        <w:rPr>
          <w:rFonts w:hint="eastAsia" w:ascii="宋体" w:hAnsi="宋体" w:cs="宋体"/>
          <w:szCs w:val="24"/>
          <w:highlight w:val="none"/>
          <w:lang w:val="en-GB"/>
        </w:rPr>
        <w:t xml:space="preserve">（1）安全保护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除控制柜（箱）的电气安全保护以外，控制系统还应有以下保护功能：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1）冷冻水低流量保护： 在水泵变频工况下，当冷冻水流量低于设定值（如单台机组额定流量的 60%） 时，控制系统应自动采取增大流量的措施，以保障制冷机组蒸发器安全运行。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 冷冻水出水低温保护：在水泵变频工况下，当制冷机组蒸发器的出水温度低于设定值（如 3.5℃） 时，控制系统自动采取升高出水温度的措施，以保障制冷机组蒸发器安全运行。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3） 冷冻水低压差保护： 在水泵变频工况下，当冷冻水供回水压差小于设定值时，控制系统应自动采取提升供回水压差的措施，以保障末端空调设备所需的水流量。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4） 冷却水出水高温保护： 当制冷机组冷凝器的出水温度高于其设定值（如 38℃）时，控制系统应自动采取降低冷却水出水温度的措施，以保障制冷机组的运行效率。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5） 冷却水进水低温保护： 当制冷机组冷凝器的冷却水进水温度低于其设定值（如 12.5℃）时，控制系统应自动采取提升冷却水进水温度的措施，以保障制冷机组正常运行。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6） 冷却塔液位保护：当冷却水塔集水盘液面低于设置高度时，控制系统应第一时间发出故障报警，并对水塔进行自动布水或手动补水，保证系统正常运行。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7） 系统 PH 检测：冷冻水系统、冷却水系统、蓄冷系统需要进行 PH 检测。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8） 蓄冷水罐状态：自控系统可以提取至少 1 年内每日的蓄冷水罐温度状况。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9） 防窜水保护：为了防止冷冻水由于阀门、控制等其他问题误流入蓄冷水池，造成空调末端系统水量不足，控制系统应采取其他手段保护防止末端水流入蓄冷水池，防窜水系统应独立控制，但报警信号应纳入自控系统。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10）自控柜上必须设置应急手自动转换功能，在自控出现问题的情况下可以手动应急转换所有电动阀门（调节阀需要有单独的调节控制器）和开关所有设备。 </w:t>
      </w:r>
    </w:p>
    <w:p>
      <w:pPr>
        <w:widowControl/>
        <w:spacing w:after="160"/>
        <w:jc w:val="left"/>
        <w:rPr>
          <w:rFonts w:ascii="宋体" w:hAnsi="宋体" w:cs="宋体"/>
          <w:szCs w:val="24"/>
          <w:highlight w:val="none"/>
          <w:lang w:val="en-GB"/>
        </w:rPr>
      </w:pPr>
      <w:r>
        <w:rPr>
          <w:rFonts w:hint="eastAsia" w:ascii="宋体" w:hAnsi="宋体" w:cs="宋体"/>
          <w:szCs w:val="24"/>
          <w:highlight w:val="none"/>
          <w:lang w:val="en-GB"/>
        </w:rPr>
        <w:t xml:space="preserve">（2）操作权限管理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为确保中央空调系统运行的安全性，防止无关人员的随意操作，控制系统应有操作权限管理功能，即操作人员必需输入码“登录”控制系统后，才能获取对空调系统的控制操作权限。 </w:t>
      </w:r>
    </w:p>
    <w:p>
      <w:pPr>
        <w:widowControl/>
        <w:spacing w:after="160"/>
        <w:jc w:val="left"/>
        <w:rPr>
          <w:rFonts w:ascii="宋体" w:hAnsi="宋体" w:cs="宋体"/>
          <w:szCs w:val="24"/>
          <w:highlight w:val="none"/>
          <w:lang w:val="en-GB"/>
        </w:rPr>
      </w:pPr>
      <w:r>
        <w:rPr>
          <w:rFonts w:hint="eastAsia" w:ascii="宋体" w:hAnsi="宋体" w:cs="宋体"/>
          <w:szCs w:val="24"/>
          <w:highlight w:val="none"/>
          <w:lang w:val="en-GB"/>
        </w:rPr>
        <w:t xml:space="preserve">（3）故障报警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 当控制系统设备或被控制的空调系统设备运行中发生故障时，控制系统应提供故障报警。 </w:t>
      </w:r>
    </w:p>
    <w:p>
      <w:pPr>
        <w:widowControl/>
        <w:spacing w:after="160"/>
        <w:ind w:firstLine="420" w:firstLineChars="200"/>
        <w:jc w:val="left"/>
        <w:rPr>
          <w:rFonts w:ascii="宋体" w:hAnsi="宋体"/>
          <w:highlight w:val="none"/>
        </w:rPr>
      </w:pPr>
      <w:r>
        <w:rPr>
          <w:rFonts w:hint="eastAsia" w:ascii="宋体" w:hAnsi="宋体" w:cs="宋体"/>
          <w:szCs w:val="24"/>
          <w:highlight w:val="none"/>
          <w:lang w:val="en-GB"/>
        </w:rPr>
        <w:t>2） 控制柜（箱）应设置报警电铃和故障指示灯，以声光报警方式提供故障报警。同时，应能将故障报警信号传送到上位机，并在上位机显示器上显示相应的报警信息。</w:t>
      </w:r>
    </w:p>
    <w:p>
      <w:pPr>
        <w:keepNext/>
        <w:keepLines/>
        <w:outlineLvl w:val="2"/>
        <w:rPr>
          <w:rFonts w:ascii="宋体" w:hAnsi="宋体" w:cs="宋体"/>
          <w:b/>
          <w:bCs/>
          <w:sz w:val="28"/>
          <w:szCs w:val="32"/>
          <w:highlight w:val="none"/>
          <w:lang w:val="en-GB"/>
        </w:rPr>
      </w:pPr>
      <w:bookmarkStart w:id="299" w:name="_Toc9988"/>
      <w:bookmarkStart w:id="300" w:name="_Toc19588"/>
      <w:bookmarkStart w:id="301" w:name="_Toc150453640"/>
      <w:bookmarkStart w:id="302" w:name="_Toc12726"/>
      <w:r>
        <w:rPr>
          <w:rFonts w:hint="eastAsia" w:ascii="宋体" w:hAnsi="宋体" w:cs="宋体"/>
          <w:b/>
          <w:bCs/>
          <w:sz w:val="28"/>
          <w:szCs w:val="32"/>
          <w:highlight w:val="none"/>
        </w:rPr>
        <w:t>4</w:t>
      </w:r>
      <w:r>
        <w:rPr>
          <w:rFonts w:hint="eastAsia" w:ascii="宋体" w:hAnsi="宋体" w:cs="宋体"/>
          <w:b/>
          <w:bCs/>
          <w:sz w:val="28"/>
          <w:szCs w:val="32"/>
          <w:highlight w:val="none"/>
          <w:lang w:val="en-GB"/>
        </w:rPr>
        <w:t>、 冷冻站高效机房系统软件的控制要求</w:t>
      </w:r>
      <w:bookmarkEnd w:id="299"/>
      <w:bookmarkEnd w:id="300"/>
      <w:bookmarkEnd w:id="301"/>
      <w:bookmarkEnd w:id="302"/>
    </w:p>
    <w:p>
      <w:pPr>
        <w:widowControl/>
        <w:spacing w:after="160"/>
        <w:ind w:firstLine="420" w:firstLineChars="200"/>
        <w:jc w:val="left"/>
        <w:rPr>
          <w:rFonts w:ascii="宋体" w:hAnsi="宋体" w:cs="宋体"/>
          <w:iCs/>
          <w:szCs w:val="24"/>
          <w:highlight w:val="none"/>
          <w:lang w:val="en-GB"/>
        </w:rPr>
      </w:pPr>
      <w:r>
        <w:rPr>
          <w:rFonts w:hint="eastAsia" w:ascii="宋体" w:hAnsi="宋体" w:cs="宋体"/>
          <w:iCs/>
          <w:szCs w:val="24"/>
          <w:highlight w:val="none"/>
          <w:lang w:val="en-GB"/>
        </w:rPr>
        <w:t xml:space="preserve">1、系统软件应包括 WEB 服务模块、图形化视图模块、设备管理模块、能源分析管理模块、负荷预测分析管理模块、数据记录管理和报表生成模块。 </w:t>
      </w:r>
      <w:r>
        <w:rPr>
          <w:rFonts w:hint="eastAsia" w:ascii="宋体" w:hAnsi="宋体" w:cs="宋体"/>
          <w:iCs/>
          <w:szCs w:val="24"/>
          <w:highlight w:val="none"/>
          <w:lang w:val="en-GB"/>
        </w:rPr>
        <w:tab/>
      </w:r>
      <w:r>
        <w:rPr>
          <w:rFonts w:hint="eastAsia" w:ascii="宋体" w:hAnsi="宋体" w:cs="宋体"/>
          <w:iCs/>
          <w:szCs w:val="24"/>
          <w:highlight w:val="none"/>
          <w:lang w:val="en-GB"/>
        </w:rPr>
        <w:t xml:space="preserve"> </w:t>
      </w:r>
    </w:p>
    <w:p>
      <w:pPr>
        <w:widowControl/>
        <w:spacing w:after="160"/>
        <w:ind w:firstLine="420" w:firstLineChars="200"/>
        <w:jc w:val="left"/>
        <w:rPr>
          <w:rFonts w:ascii="宋体" w:hAnsi="宋体" w:cs="宋体"/>
          <w:iCs/>
          <w:szCs w:val="24"/>
          <w:highlight w:val="none"/>
          <w:lang w:val="en-GB"/>
        </w:rPr>
      </w:pPr>
      <w:r>
        <w:rPr>
          <w:rFonts w:hint="eastAsia" w:ascii="宋体" w:hAnsi="宋体" w:cs="宋体"/>
          <w:iCs/>
          <w:szCs w:val="24"/>
          <w:highlight w:val="none"/>
          <w:lang w:val="en-GB"/>
        </w:rPr>
        <w:t xml:space="preserve">2、WEB 服务模块：软件具有 WEB 服务功能，只需安装在服务器上，网络上被授权的客户可通过浏览器监视查询设备的工作状态、维修记录、能耗分析等统计和报表数据等。 </w:t>
      </w:r>
    </w:p>
    <w:p>
      <w:pPr>
        <w:widowControl/>
        <w:spacing w:after="160"/>
        <w:ind w:firstLine="420" w:firstLineChars="200"/>
        <w:jc w:val="left"/>
        <w:rPr>
          <w:rFonts w:ascii="宋体" w:hAnsi="宋体" w:cs="宋体"/>
          <w:iCs/>
          <w:szCs w:val="24"/>
          <w:highlight w:val="none"/>
          <w:lang w:val="en-GB"/>
        </w:rPr>
      </w:pPr>
      <w:r>
        <w:rPr>
          <w:rFonts w:hint="eastAsia" w:ascii="宋体" w:hAnsi="宋体" w:cs="宋体"/>
          <w:iCs/>
          <w:szCs w:val="24"/>
          <w:highlight w:val="none"/>
          <w:lang w:val="en-GB"/>
        </w:rPr>
        <w:t xml:space="preserve">3、图形化操作模块：应以可视化图形显示建筑平面、设备分布图、监控系统图、工艺流程图，图例应为设备实物的模拟图，在图例旁边实时显示系统或和设备的动态数据。通过图形、三维图像、动画、报表等多种方式，表示设备的启/停、手动/自动、运行/故障等状态和温度、流量、湿度、压力、等参数， 仅使用键盘或鼠标即可完成对所有设备的在线控制和监控操作（包括增加、删除、修改控制程序和设备运行参数），但并不中断系统的正常运行。 </w:t>
      </w:r>
    </w:p>
    <w:p>
      <w:pPr>
        <w:widowControl/>
        <w:spacing w:after="160"/>
        <w:ind w:firstLine="420" w:firstLineChars="200"/>
        <w:jc w:val="left"/>
        <w:rPr>
          <w:rFonts w:ascii="宋体" w:hAnsi="宋体" w:cs="宋体"/>
          <w:iCs/>
          <w:szCs w:val="24"/>
          <w:highlight w:val="none"/>
          <w:lang w:val="en-GB"/>
        </w:rPr>
      </w:pPr>
      <w:r>
        <w:rPr>
          <w:rFonts w:hint="eastAsia" w:ascii="宋体" w:hAnsi="宋体" w:cs="宋体"/>
          <w:iCs/>
          <w:szCs w:val="24"/>
          <w:highlight w:val="none"/>
          <w:lang w:val="en-GB"/>
        </w:rPr>
        <w:t xml:space="preserve">4、设备管理模块：对设备进行重点能耗监测，依据实际运行参数和耗电系数、单位面积电负荷等计算出单位时间的用电负荷，得到设备的负荷变化特征，作为设备诊断和运行效率分析的依据，发现节能空间，从管理方式上实现节能的可能性。为用户提供冷站设备基本信息如设备名称、所属分类、目前状态、安装位置、供货方信息、设备累计运行时间等。具体内容如下： </w:t>
      </w:r>
    </w:p>
    <w:p>
      <w:pPr>
        <w:widowControl/>
        <w:spacing w:after="160"/>
        <w:jc w:val="left"/>
        <w:rPr>
          <w:rFonts w:ascii="宋体" w:hAnsi="宋体" w:cs="宋体"/>
          <w:iCs/>
          <w:szCs w:val="24"/>
          <w:highlight w:val="none"/>
          <w:lang w:val="en-GB"/>
        </w:rPr>
      </w:pPr>
      <w:r>
        <w:rPr>
          <w:rFonts w:hint="eastAsia" w:ascii="宋体" w:hAnsi="宋体" w:cs="宋体"/>
          <w:iCs/>
          <w:szCs w:val="24"/>
          <w:highlight w:val="none"/>
          <w:lang w:val="en-GB"/>
        </w:rPr>
        <w:t xml:space="preserve">（1）对主机设备的能耗及用电参数进行监视、测量和记录，生成负荷曲线、COP 曲线、能耗柱状图、运行效率关系图等； </w:t>
      </w:r>
    </w:p>
    <w:p>
      <w:pPr>
        <w:widowControl/>
        <w:spacing w:after="160"/>
        <w:jc w:val="left"/>
        <w:rPr>
          <w:rFonts w:ascii="宋体" w:hAnsi="宋体" w:cs="宋体"/>
          <w:iCs/>
          <w:szCs w:val="24"/>
          <w:highlight w:val="none"/>
          <w:lang w:val="en-GB"/>
        </w:rPr>
      </w:pPr>
      <w:r>
        <w:rPr>
          <w:rFonts w:hint="eastAsia" w:ascii="宋体" w:hAnsi="宋体" w:cs="宋体"/>
          <w:iCs/>
          <w:szCs w:val="24"/>
          <w:highlight w:val="none"/>
          <w:lang w:val="en-GB"/>
        </w:rPr>
        <w:t xml:space="preserve">（2）对水泵设备的能耗及用电参数进行监视、测量和记录，生成负荷曲线、能耗柱状图、运行效率关系图等； </w:t>
      </w:r>
    </w:p>
    <w:p>
      <w:pPr>
        <w:widowControl/>
        <w:spacing w:after="160"/>
        <w:jc w:val="left"/>
        <w:rPr>
          <w:rFonts w:ascii="宋体" w:hAnsi="宋体" w:cs="宋体"/>
          <w:iCs/>
          <w:szCs w:val="24"/>
          <w:highlight w:val="none"/>
          <w:lang w:val="en-GB"/>
        </w:rPr>
      </w:pPr>
      <w:r>
        <w:rPr>
          <w:rFonts w:hint="eastAsia" w:ascii="宋体" w:hAnsi="宋体" w:cs="宋体"/>
          <w:iCs/>
          <w:szCs w:val="24"/>
          <w:highlight w:val="none"/>
          <w:lang w:val="en-GB"/>
        </w:rPr>
        <w:t xml:space="preserve">（3）对配电设备的能耗及用电参数进行监视，生成负荷曲线、能耗柱状图、运行效率关系图； </w:t>
      </w:r>
    </w:p>
    <w:p>
      <w:pPr>
        <w:widowControl/>
        <w:spacing w:after="160"/>
        <w:jc w:val="left"/>
        <w:rPr>
          <w:rFonts w:ascii="宋体" w:hAnsi="宋体" w:cs="宋体"/>
          <w:iCs/>
          <w:szCs w:val="24"/>
          <w:highlight w:val="none"/>
          <w:lang w:val="en-GB"/>
        </w:rPr>
      </w:pPr>
      <w:r>
        <w:rPr>
          <w:rFonts w:hint="eastAsia" w:ascii="宋体" w:hAnsi="宋体" w:cs="宋体"/>
          <w:iCs/>
          <w:szCs w:val="24"/>
          <w:highlight w:val="none"/>
          <w:lang w:val="en-GB"/>
        </w:rPr>
        <w:t xml:space="preserve">（4）对风机的能耗及用电参数进行监视，生成负荷曲线、能耗柱状图、运行效率关系图。 </w:t>
      </w:r>
    </w:p>
    <w:p>
      <w:pPr>
        <w:widowControl/>
        <w:spacing w:after="160"/>
        <w:ind w:firstLine="420" w:firstLineChars="200"/>
        <w:jc w:val="left"/>
        <w:rPr>
          <w:rFonts w:ascii="宋体" w:hAnsi="宋体" w:cs="宋体"/>
          <w:iCs/>
          <w:szCs w:val="24"/>
          <w:highlight w:val="none"/>
          <w:lang w:val="en-GB"/>
        </w:rPr>
      </w:pPr>
      <w:r>
        <w:rPr>
          <w:rFonts w:hint="eastAsia" w:ascii="宋体" w:hAnsi="宋体" w:cs="宋体"/>
          <w:iCs/>
          <w:szCs w:val="24"/>
          <w:highlight w:val="none"/>
          <w:lang w:val="en-GB"/>
        </w:rPr>
        <w:t xml:space="preserve">5、报警管理模块：系统自动运行而无需操作人员介入，报警优先级别应分为三级，按轻重缓急来处理异常事。当设备发生故障时，能在显示器上弹出红色闪烁对话框，配以声响提示，显示出相应设备的图形界面，所有的应显示报警点的详细资料，包括位置、类别、处理方法、时间、日期等，同时能显示维修和处理方法，并根据报警级优先级别和时间专页自动记录备案，建立设备的维修档案，并在打印机上输出打印告。 </w:t>
      </w:r>
    </w:p>
    <w:p>
      <w:pPr>
        <w:widowControl/>
        <w:spacing w:after="160"/>
        <w:ind w:firstLine="420" w:firstLineChars="200"/>
        <w:jc w:val="left"/>
        <w:rPr>
          <w:rFonts w:ascii="宋体" w:hAnsi="宋体" w:cs="宋体"/>
          <w:iCs/>
          <w:szCs w:val="24"/>
          <w:highlight w:val="none"/>
          <w:lang w:val="en-GB"/>
        </w:rPr>
      </w:pPr>
      <w:r>
        <w:rPr>
          <w:rFonts w:hint="eastAsia" w:ascii="宋体" w:hAnsi="宋体" w:cs="宋体"/>
          <w:iCs/>
          <w:szCs w:val="24"/>
          <w:highlight w:val="none"/>
          <w:lang w:val="en-GB"/>
        </w:rPr>
        <w:t xml:space="preserve">6、能源分析与管理模块：根据内置当年的温度、湿度等天气情况，并根据系统中各设备的能源消耗和运行时间，以及实际运行中的负荷变化规律，选择性地按每日、每周、每月或每年进行能耗分析，自动处理并调整系统的运行参数，以实现系统的最优节能运行。 </w:t>
      </w:r>
    </w:p>
    <w:p>
      <w:pPr>
        <w:widowControl/>
        <w:spacing w:after="160"/>
        <w:ind w:firstLine="420" w:firstLineChars="200"/>
        <w:jc w:val="left"/>
        <w:rPr>
          <w:rFonts w:ascii="宋体" w:hAnsi="宋体" w:cs="宋体"/>
          <w:iCs/>
          <w:szCs w:val="24"/>
          <w:highlight w:val="none"/>
          <w:lang w:val="en-GB"/>
        </w:rPr>
      </w:pPr>
      <w:r>
        <w:rPr>
          <w:rFonts w:hint="eastAsia" w:ascii="宋体" w:hAnsi="宋体" w:cs="宋体"/>
          <w:iCs/>
          <w:szCs w:val="24"/>
          <w:highlight w:val="none"/>
          <w:lang w:val="en-GB"/>
        </w:rPr>
        <w:t xml:space="preserve">7、负荷预测分析管理模块：能源的数据采集存储进行分析预测，通过对用户末端负荷数据的采集分析， 进行仿真计算，结合对历史数据库的统计分析，以及当前的环境温湿度等因素，预测出下一时段的能源需求，并指导制定系统运行策略，使系统节能高效运行。 </w:t>
      </w:r>
    </w:p>
    <w:p>
      <w:pPr>
        <w:widowControl/>
        <w:spacing w:after="160"/>
        <w:ind w:firstLine="420" w:firstLineChars="200"/>
        <w:jc w:val="left"/>
        <w:rPr>
          <w:rFonts w:ascii="宋体" w:hAnsi="宋体" w:cs="宋体"/>
          <w:iCs/>
          <w:szCs w:val="24"/>
          <w:highlight w:val="none"/>
          <w:lang w:val="en-GB"/>
        </w:rPr>
      </w:pPr>
      <w:r>
        <w:rPr>
          <w:rFonts w:hint="eastAsia" w:ascii="宋体" w:hAnsi="宋体" w:cs="宋体"/>
          <w:iCs/>
          <w:szCs w:val="24"/>
          <w:highlight w:val="none"/>
          <w:lang w:val="en-GB"/>
        </w:rPr>
        <w:t>8、历史数据记录、管理及报表生成模块：系统可自动或按指令生成运行记录和报表，包括系统设备运行记录、系统报警记录、系统用电量记录、客户用冷量报告以及各种分析报告等。这些记录和报表可按时间、日期、阶段生成，并可随时调阅或打印。</w:t>
      </w:r>
    </w:p>
    <w:p>
      <w:pPr>
        <w:keepNext/>
        <w:keepLines/>
        <w:outlineLvl w:val="2"/>
        <w:rPr>
          <w:rFonts w:ascii="宋体" w:hAnsi="宋体" w:cs="宋体"/>
          <w:b/>
          <w:bCs/>
          <w:sz w:val="28"/>
          <w:szCs w:val="32"/>
          <w:highlight w:val="none"/>
          <w:lang w:val="en-GB"/>
        </w:rPr>
      </w:pPr>
      <w:bookmarkStart w:id="303" w:name="_Toc3222"/>
      <w:bookmarkStart w:id="304" w:name="_Toc150453641"/>
      <w:bookmarkStart w:id="305" w:name="_Toc18968"/>
      <w:r>
        <w:rPr>
          <w:rFonts w:hint="eastAsia" w:ascii="宋体" w:hAnsi="宋体" w:cs="宋体"/>
          <w:b/>
          <w:bCs/>
          <w:sz w:val="28"/>
          <w:szCs w:val="32"/>
          <w:highlight w:val="none"/>
        </w:rPr>
        <w:t>5</w:t>
      </w:r>
      <w:r>
        <w:rPr>
          <w:rFonts w:hint="eastAsia" w:ascii="宋体" w:hAnsi="宋体" w:cs="宋体"/>
          <w:b/>
          <w:bCs/>
          <w:sz w:val="28"/>
          <w:szCs w:val="32"/>
          <w:highlight w:val="none"/>
          <w:lang w:val="en-GB"/>
        </w:rPr>
        <w:t>、 冷冻站高效机房系统硬件的控制要求</w:t>
      </w:r>
      <w:bookmarkEnd w:id="303"/>
      <w:bookmarkEnd w:id="304"/>
      <w:bookmarkEnd w:id="305"/>
    </w:p>
    <w:p>
      <w:pPr>
        <w:widowControl/>
        <w:spacing w:after="160"/>
        <w:jc w:val="left"/>
        <w:rPr>
          <w:rFonts w:ascii="宋体" w:hAnsi="宋体"/>
          <w:szCs w:val="24"/>
          <w:highlight w:val="none"/>
          <w:lang w:val="en-GB"/>
        </w:rPr>
      </w:pPr>
      <w:r>
        <w:rPr>
          <w:rFonts w:hint="eastAsia" w:ascii="宋体" w:hAnsi="宋体"/>
          <w:szCs w:val="24"/>
          <w:highlight w:val="none"/>
          <w:lang w:val="en-GB"/>
        </w:rPr>
        <w:t xml:space="preserve">1、硬件控制器需要满足至少以下要求：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ascii="宋体" w:hAnsi="宋体"/>
          <w:szCs w:val="24"/>
          <w:highlight w:val="none"/>
          <w:lang w:val="en-GB"/>
        </w:rPr>
        <w:t xml:space="preserve">PLC </w:t>
      </w:r>
      <w:r>
        <w:rPr>
          <w:rFonts w:hint="eastAsia" w:ascii="宋体" w:hAnsi="宋体"/>
          <w:szCs w:val="24"/>
          <w:highlight w:val="none"/>
          <w:lang w:val="en-GB"/>
        </w:rPr>
        <w:t>控制系统分为管理层、控制层和现场层三层网络结构；管理、控制层采用</w:t>
      </w:r>
      <w:r>
        <w:rPr>
          <w:rFonts w:ascii="宋体" w:hAnsi="宋体"/>
          <w:szCs w:val="24"/>
          <w:highlight w:val="none"/>
          <w:lang w:val="en-GB"/>
        </w:rPr>
        <w:t xml:space="preserve">TCP/IP </w:t>
      </w:r>
      <w:r>
        <w:rPr>
          <w:rFonts w:hint="eastAsia" w:ascii="宋体" w:hAnsi="宋体"/>
          <w:szCs w:val="24"/>
          <w:highlight w:val="none"/>
          <w:lang w:val="en-GB"/>
        </w:rPr>
        <w:t>或</w:t>
      </w:r>
      <w:r>
        <w:rPr>
          <w:rFonts w:ascii="宋体" w:hAnsi="宋体"/>
          <w:szCs w:val="24"/>
          <w:highlight w:val="none"/>
          <w:lang w:val="en-GB"/>
        </w:rPr>
        <w:t>EtherNet/IP</w:t>
      </w:r>
      <w:r>
        <w:rPr>
          <w:rFonts w:hint="eastAsia" w:ascii="宋体" w:hAnsi="宋体"/>
          <w:szCs w:val="24"/>
          <w:highlight w:val="none"/>
          <w:lang w:val="en-GB"/>
        </w:rPr>
        <w:t xml:space="preserve">结构，通过冷站智能网進行通信，实现集中控制与管理，在控制中心对本冷站区域内所有机电设备进行集中监控与管理。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ascii="宋体" w:hAnsi="宋体"/>
          <w:szCs w:val="24"/>
          <w:highlight w:val="none"/>
          <w:lang w:val="en-GB"/>
        </w:rPr>
        <w:t xml:space="preserve">PLC </w:t>
      </w:r>
      <w:r>
        <w:rPr>
          <w:rFonts w:hint="eastAsia" w:ascii="宋体" w:hAnsi="宋体"/>
          <w:szCs w:val="24"/>
          <w:highlight w:val="none"/>
          <w:lang w:val="en-GB"/>
        </w:rPr>
        <w:t>编程软件，符合</w:t>
      </w:r>
      <w:r>
        <w:rPr>
          <w:rFonts w:ascii="宋体" w:hAnsi="宋体"/>
          <w:szCs w:val="24"/>
          <w:highlight w:val="none"/>
          <w:lang w:val="en-GB"/>
        </w:rPr>
        <w:t xml:space="preserve"> IEC61131-3 </w:t>
      </w:r>
      <w:r>
        <w:rPr>
          <w:rFonts w:hint="eastAsia" w:ascii="宋体" w:hAnsi="宋体"/>
          <w:szCs w:val="24"/>
          <w:highlight w:val="none"/>
          <w:lang w:val="en-GB"/>
        </w:rPr>
        <w:t>标准，同时提供</w:t>
      </w:r>
      <w:r>
        <w:rPr>
          <w:rFonts w:ascii="宋体" w:hAnsi="宋体"/>
          <w:szCs w:val="24"/>
          <w:highlight w:val="none"/>
          <w:lang w:val="en-GB"/>
        </w:rPr>
        <w:t xml:space="preserve"> LD(</w:t>
      </w:r>
      <w:r>
        <w:rPr>
          <w:rFonts w:hint="eastAsia" w:ascii="宋体" w:hAnsi="宋体"/>
          <w:szCs w:val="24"/>
          <w:highlight w:val="none"/>
          <w:lang w:val="en-GB"/>
        </w:rPr>
        <w:t>梯形图</w:t>
      </w:r>
      <w:r>
        <w:rPr>
          <w:rFonts w:ascii="宋体" w:hAnsi="宋体"/>
          <w:szCs w:val="24"/>
          <w:highlight w:val="none"/>
          <w:lang w:val="en-GB"/>
        </w:rPr>
        <w:t>)</w:t>
      </w:r>
      <w:r>
        <w:rPr>
          <w:rFonts w:hint="eastAsia" w:ascii="宋体" w:hAnsi="宋体"/>
          <w:szCs w:val="24"/>
          <w:highlight w:val="none"/>
          <w:lang w:val="en-GB"/>
        </w:rPr>
        <w:t>，</w:t>
      </w:r>
      <w:r>
        <w:rPr>
          <w:rFonts w:ascii="宋体" w:hAnsi="宋体"/>
          <w:szCs w:val="24"/>
          <w:highlight w:val="none"/>
          <w:lang w:val="en-GB"/>
        </w:rPr>
        <w:t>FBD(</w:t>
      </w:r>
      <w:r>
        <w:rPr>
          <w:rFonts w:hint="eastAsia" w:ascii="宋体" w:hAnsi="宋体"/>
          <w:szCs w:val="24"/>
          <w:highlight w:val="none"/>
          <w:lang w:val="en-GB"/>
        </w:rPr>
        <w:t>功能块图</w:t>
      </w:r>
      <w:r>
        <w:rPr>
          <w:rFonts w:ascii="宋体" w:hAnsi="宋体"/>
          <w:szCs w:val="24"/>
          <w:highlight w:val="none"/>
          <w:lang w:val="en-GB"/>
        </w:rPr>
        <w:t>)</w:t>
      </w:r>
      <w:r>
        <w:rPr>
          <w:rFonts w:hint="eastAsia" w:ascii="宋体" w:hAnsi="宋体"/>
          <w:szCs w:val="24"/>
          <w:highlight w:val="none"/>
          <w:lang w:val="en-GB"/>
        </w:rPr>
        <w:t>，</w:t>
      </w:r>
      <w:r>
        <w:rPr>
          <w:rFonts w:ascii="宋体" w:hAnsi="宋体"/>
          <w:szCs w:val="24"/>
          <w:highlight w:val="none"/>
          <w:lang w:val="en-GB"/>
        </w:rPr>
        <w:t>ST(</w:t>
      </w:r>
      <w:r>
        <w:rPr>
          <w:rFonts w:hint="eastAsia" w:ascii="宋体" w:hAnsi="宋体"/>
          <w:szCs w:val="24"/>
          <w:highlight w:val="none"/>
          <w:lang w:val="en-GB"/>
        </w:rPr>
        <w:t>结构化文本</w:t>
      </w:r>
      <w:r>
        <w:rPr>
          <w:rFonts w:ascii="宋体" w:hAnsi="宋体"/>
          <w:szCs w:val="24"/>
          <w:highlight w:val="none"/>
          <w:lang w:val="en-GB"/>
        </w:rPr>
        <w:t>)</w:t>
      </w:r>
      <w:r>
        <w:rPr>
          <w:rFonts w:hint="eastAsia" w:ascii="宋体" w:hAnsi="宋体"/>
          <w:szCs w:val="24"/>
          <w:highlight w:val="none"/>
          <w:lang w:val="en-GB"/>
        </w:rPr>
        <w:t xml:space="preserve">，SFC(顺序功能图)等编程语言：完成离线仿真功能。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管理层网络：系统图形工作站通过以太网实现区域性数据联网，遵循</w:t>
      </w:r>
      <w:r>
        <w:rPr>
          <w:rFonts w:ascii="宋体" w:hAnsi="宋体"/>
          <w:szCs w:val="24"/>
          <w:highlight w:val="none"/>
          <w:lang w:val="en-GB"/>
        </w:rPr>
        <w:t xml:space="preserve"> TCP/IP </w:t>
      </w:r>
      <w:r>
        <w:rPr>
          <w:rFonts w:hint="eastAsia" w:ascii="宋体" w:hAnsi="宋体"/>
          <w:szCs w:val="24"/>
          <w:highlight w:val="none"/>
          <w:lang w:val="en-GB"/>
        </w:rPr>
        <w:t>或</w:t>
      </w:r>
      <w:r>
        <w:rPr>
          <w:rFonts w:ascii="宋体" w:hAnsi="宋体"/>
          <w:szCs w:val="24"/>
          <w:highlight w:val="none"/>
          <w:lang w:val="en-GB"/>
        </w:rPr>
        <w:t xml:space="preserve"> EtherNet/IP </w:t>
      </w:r>
      <w:r>
        <w:rPr>
          <w:rFonts w:hint="eastAsia" w:ascii="宋体" w:hAnsi="宋体"/>
          <w:szCs w:val="24"/>
          <w:highlight w:val="none"/>
          <w:lang w:val="en-GB"/>
        </w:rPr>
        <w:t>通訊协议进行数据管理，通讯速率为</w:t>
      </w:r>
      <w:r>
        <w:rPr>
          <w:rFonts w:ascii="宋体" w:hAnsi="宋体"/>
          <w:szCs w:val="24"/>
          <w:highlight w:val="none"/>
          <w:lang w:val="en-GB"/>
        </w:rPr>
        <w:t xml:space="preserve"> 10/100M bps</w:t>
      </w:r>
      <w:r>
        <w:rPr>
          <w:rFonts w:hint="eastAsia" w:ascii="宋体" w:hAnsi="宋体"/>
          <w:szCs w:val="24"/>
          <w:highlight w:val="none"/>
          <w:lang w:val="en-GB"/>
        </w:rPr>
        <w:t>。</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控制层网络：各站主控制柜通過以太网与管理层及现场智能控制箱通訊现场层：各前端受控设备及检测设备接入对应控制柜。</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中央管理站系统由</w:t>
      </w:r>
      <w:r>
        <w:rPr>
          <w:rFonts w:ascii="宋体" w:hAnsi="宋体"/>
          <w:szCs w:val="24"/>
          <w:highlight w:val="none"/>
          <w:lang w:val="en-GB"/>
        </w:rPr>
        <w:t xml:space="preserve"> PC </w:t>
      </w:r>
      <w:r>
        <w:rPr>
          <w:rFonts w:hint="eastAsia" w:ascii="宋体" w:hAnsi="宋体"/>
          <w:szCs w:val="24"/>
          <w:highlight w:val="none"/>
          <w:lang w:val="en-GB"/>
        </w:rPr>
        <w:t>主机、显示器、交换机通过以太网相连。</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宋体" w:hAnsi="宋体"/>
          <w:szCs w:val="24"/>
          <w:highlight w:val="none"/>
          <w:lang w:val="en-GB"/>
        </w:rPr>
        <w:t xml:space="preserve">2、通讯接口 </w:t>
      </w:r>
    </w:p>
    <w:p>
      <w:pPr>
        <w:widowControl/>
        <w:spacing w:after="160"/>
        <w:jc w:val="left"/>
        <w:rPr>
          <w:rFonts w:ascii="宋体" w:hAnsi="宋体"/>
          <w:szCs w:val="24"/>
          <w:highlight w:val="none"/>
          <w:lang w:val="en-GB"/>
        </w:rPr>
      </w:pPr>
      <w:r>
        <w:rPr>
          <w:rFonts w:hint="eastAsia" w:ascii="宋体" w:hAnsi="宋体"/>
          <w:szCs w:val="24"/>
          <w:highlight w:val="none"/>
          <w:lang w:val="en-GB"/>
        </w:rPr>
        <w:t xml:space="preserve">（1）系统通过计算机网络提供的服务和接口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支持用户通过</w:t>
      </w:r>
      <w:r>
        <w:rPr>
          <w:rFonts w:ascii="宋体" w:hAnsi="宋体"/>
          <w:szCs w:val="24"/>
          <w:highlight w:val="none"/>
          <w:lang w:val="en-GB"/>
        </w:rPr>
        <w:t xml:space="preserve"> Internet </w:t>
      </w:r>
      <w:r>
        <w:rPr>
          <w:rFonts w:hint="eastAsia" w:ascii="宋体" w:hAnsi="宋体"/>
          <w:szCs w:val="24"/>
          <w:highlight w:val="none"/>
          <w:lang w:val="en-GB"/>
        </w:rPr>
        <w:t>浏览器远程管理系统的服务。</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支持历史数据分析和效用成本管理</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支持远程监控功能</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 xml:space="preserve">所配置的设备必须能组成一套完整的系统，以达到与外部设备进行通信并在本系统中完整解释显示通信信息。进行通信所需的软硬件接口设备、网关设备、协议转换设备及软件调整开发等费用必须包含在询价的总价之内，中标后集成商不得要求因需要与这些第三方系统等通信而增加任何费用。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应提供本系统与各个被集成的系统和设备的接口、通信协议、连接图及方案。</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为子系统接入开发的接口，均必须带详细、准确、格式标准的电子帮助文档，以便用户可以在操作过程中随时调用查看。</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系统集成配置点的调整修改应方便灵活，当被集成的子系统的个别点因参数调整改变而导致其数据不能被本系统读取时，应可以通用户对该点的简单修改，便可恢复该数据的读取。</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宋体" w:hAnsi="宋体"/>
          <w:szCs w:val="24"/>
          <w:highlight w:val="none"/>
          <w:lang w:val="en-GB"/>
        </w:rPr>
        <w:t xml:space="preserve">（2）系统通过总线方式提供的服务和接口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以网关方式提供连接第三方系统的接口</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MS Gothic" w:hAnsi="MS Gothic" w:eastAsia="MS Gothic" w:cs="MS Gothic"/>
          <w:szCs w:val="24"/>
          <w:highlight w:val="none"/>
          <w:lang w:val="en-GB"/>
        </w:rPr>
        <w:t>➢</w:t>
      </w:r>
      <w:r>
        <w:rPr>
          <w:rFonts w:hint="eastAsia" w:ascii="宋体" w:hAnsi="宋体"/>
          <w:szCs w:val="24"/>
          <w:highlight w:val="none"/>
          <w:lang w:val="en-GB"/>
        </w:rPr>
        <w:t>接口划分</w:t>
      </w:r>
      <w:r>
        <w:rPr>
          <w:rFonts w:ascii="宋体" w:hAnsi="宋体"/>
          <w:szCs w:val="24"/>
          <w:highlight w:val="none"/>
          <w:lang w:val="en-GB"/>
        </w:rPr>
        <w:t xml:space="preserve"> </w:t>
      </w:r>
    </w:p>
    <w:p>
      <w:pPr>
        <w:widowControl/>
        <w:spacing w:after="160"/>
        <w:jc w:val="left"/>
        <w:rPr>
          <w:rFonts w:ascii="宋体" w:hAnsi="宋体"/>
          <w:szCs w:val="24"/>
          <w:highlight w:val="none"/>
          <w:lang w:val="en-GB"/>
        </w:rPr>
      </w:pPr>
      <w:r>
        <w:rPr>
          <w:rFonts w:hint="eastAsia" w:ascii="宋体" w:hAnsi="宋体"/>
          <w:szCs w:val="24"/>
          <w:highlight w:val="none"/>
          <w:lang w:val="en-GB"/>
        </w:rPr>
        <w:t>控制接口：所有受系统监控的低压配电柜或动力电控箱等，均必须按照监控要求预留硬接点。有关预留点的点数和功能应完全满足设备监控的内容。所有预留接点均要求为无源干接点，其中对于运行状态、故障报警、手自动状态等状态反馈接点，无源点由电箱提供；而远程开关控制等控制接点，无源点由本控制系统提供，电箱接受该无源点的控制。电箱与控制系统的工作界面以接线端子排为界，端子排及其内二次回路由电箱负责，控制系统负责箱外监控线到端子排的端接。有关电箱制造前，控制系统的集成商应确认所有电箱的二次回路资料。</w:t>
      </w:r>
    </w:p>
    <w:p>
      <w:pPr>
        <w:keepNext/>
        <w:keepLines/>
        <w:outlineLvl w:val="2"/>
        <w:rPr>
          <w:rFonts w:ascii="宋体" w:hAnsi="宋体" w:cs="宋体"/>
          <w:b/>
          <w:bCs/>
          <w:sz w:val="28"/>
          <w:szCs w:val="32"/>
          <w:highlight w:val="none"/>
          <w:lang w:val="en-GB"/>
        </w:rPr>
      </w:pPr>
      <w:bookmarkStart w:id="306" w:name="_Toc150453642"/>
      <w:bookmarkStart w:id="307" w:name="_Toc4766"/>
      <w:bookmarkStart w:id="308" w:name="_Toc9536"/>
      <w:r>
        <w:rPr>
          <w:rFonts w:hint="eastAsia" w:ascii="宋体" w:hAnsi="宋体" w:cs="宋体"/>
          <w:b/>
          <w:bCs/>
          <w:sz w:val="28"/>
          <w:szCs w:val="32"/>
          <w:highlight w:val="none"/>
        </w:rPr>
        <w:t>6</w:t>
      </w:r>
      <w:r>
        <w:rPr>
          <w:rFonts w:hint="eastAsia" w:ascii="宋体" w:hAnsi="宋体" w:cs="宋体"/>
          <w:b/>
          <w:bCs/>
          <w:sz w:val="28"/>
          <w:szCs w:val="32"/>
          <w:highlight w:val="none"/>
          <w:lang w:val="en-GB"/>
        </w:rPr>
        <w:t>、 冷冻站高效机房系统控制柜的控制要求</w:t>
      </w:r>
      <w:bookmarkEnd w:id="306"/>
      <w:bookmarkEnd w:id="307"/>
      <w:bookmarkEnd w:id="308"/>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 本项目工程必须提供除制冷机组以外的所有设备的控制柜（或控制箱），包括冷冻水泵、蓄冷、放冷水泵、冷却水泵、冷却塔、电动阀等设备的控制柜（或控制箱）。其中，制冷系统所有水泵采用变频调速控制柜。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 控制柜结构坚固，美观大方，左右侧板和前后门可方便拆卸。柜体内外需防腐处理，柜体表面色调一致，不得有皱纹、斑点、流漆、气泡、细沙砾、手印和粘物，面漆采用亚光漆。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3、 控制柜（箱）内部的元器件安装和布线应整齐美观，强电与弱电线缆应分别布置于不同的线槽，导线应采用耐热、耐潮和阻燃型，表面应无损伤，端头采用压紧型的连接件，导线的两头应有编号，编号标识应清楚，以便于检修。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4、控制柜（箱）所采用的控制器应具有智能功能，可实现编程控制，并支持网络连接应用，提供 RS485 通信口和 Ethernet 通信口，支持 Modbus 协议和 BACnet 协议。可实现与计算机工作站（上位机）的连接，将各种参数通过通信接口传送给上位机，同时接收和处理上位机发出的各种运行工况控制信号，以实现远程监视和控制。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5、控制柜（箱）应能防滴水、防尘、防潮，确保在地下室环境能保持正常工作。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6、控制柜（箱）面板上应设置必要的测量表计、控制按钮、转换开关和指示灯（提供控制柜或箱面板的布置图）。指示灯和按钮的颜色根据其用途按 GB/T 4025-2003《人－机界面标志标识的基本和安全规则 指示器和操作器的编码规则》的规定选用。控制柜前、后门都应装有带钥匙的安全锁，为便于运行管理，所有控制柜均使用同一把钥匙。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7、控制柜应具备自动启动、远程控制启动和就地手动启动等三种启动方式，控制柜面板上应设置手动/自动转换开关，实现手动/自动的灵活转换，以满足不同的控制要求。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8、控制柜的安装应排列整齐，固定于工字钢或槽钢上，安装应牢固可靠，所有控制柜的接地端都应与大厦的接地系统进行可靠的连接。控制柜的外接电缆应采用镀锌钢桥架进行固定和保护。控制柜后面应留有适当的维修空间和通道。 </w:t>
      </w:r>
    </w:p>
    <w:p>
      <w:pPr>
        <w:ind w:firstLine="420" w:firstLineChars="200"/>
        <w:rPr>
          <w:rFonts w:ascii="宋体" w:hAnsi="宋体" w:cs="宋体"/>
          <w:szCs w:val="24"/>
          <w:highlight w:val="none"/>
          <w:lang w:val="en-GB"/>
        </w:rPr>
      </w:pPr>
      <w:r>
        <w:rPr>
          <w:rFonts w:hint="eastAsia" w:ascii="宋体" w:hAnsi="宋体" w:cs="宋体"/>
          <w:szCs w:val="24"/>
          <w:highlight w:val="none"/>
          <w:lang w:val="en-GB"/>
        </w:rPr>
        <w:t>9、控制柜需要设置电动阀门应急手自动转换功能，在自动出现问题的情况下可以手动应急转换所有电动阀门（调节阀需要有单独的调节控制器）和开关所有设备。</w:t>
      </w:r>
    </w:p>
    <w:p>
      <w:pPr>
        <w:keepNext/>
        <w:keepLines/>
        <w:outlineLvl w:val="2"/>
        <w:rPr>
          <w:b/>
          <w:bCs/>
          <w:sz w:val="28"/>
          <w:szCs w:val="32"/>
          <w:highlight w:val="none"/>
          <w:lang w:val="en-GB"/>
        </w:rPr>
      </w:pPr>
      <w:bookmarkStart w:id="309" w:name="_Toc150453643"/>
      <w:bookmarkStart w:id="310" w:name="_Toc12624"/>
      <w:bookmarkStart w:id="311" w:name="_Toc28670"/>
      <w:r>
        <w:rPr>
          <w:rFonts w:hint="eastAsia"/>
          <w:b/>
          <w:bCs/>
          <w:sz w:val="28"/>
          <w:szCs w:val="32"/>
          <w:highlight w:val="none"/>
        </w:rPr>
        <w:t>7</w:t>
      </w:r>
      <w:r>
        <w:rPr>
          <w:rFonts w:hint="eastAsia"/>
          <w:b/>
          <w:bCs/>
          <w:sz w:val="28"/>
          <w:szCs w:val="32"/>
          <w:highlight w:val="none"/>
          <w:lang w:val="en-GB"/>
        </w:rPr>
        <w:t>、 冷冻站高效机房系统传感器的控制要求</w:t>
      </w:r>
      <w:bookmarkEnd w:id="309"/>
      <w:bookmarkEnd w:id="310"/>
      <w:bookmarkEnd w:id="311"/>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1、所有传感器应采用工业标准制造并与现场控制器相匹配的高灵敏度、高稳定性、寿命长的原装进口品牌传感器。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2、管装式或浸探式传感器必须适合于设计图纸及本招标文件中有关章节所要求的工作场所（如工作温度及压力等），传感器测量范围的选择应尽可能使设定点在感应范围的中点。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3、传感器必须采用防腐蚀结构，适合固定于振动安装环境的表面。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4、防干预式传感器必须由制造商在厂内按要求调校妥当。集成商应在传感器安装前，对所安装的传感器进行校对检查，并应提供标准的测量仪计（如高精度温度计和湿度计），以作为检验依据。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5、室内温度传感器要求采用 Pt 型或同等质量精度的传感器，具体参数参考如下：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量程范围 0～60℃（可调整）；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误差&lt;0.1℃。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6、室外安装式温度、湿度传感器应配带暗装接线盒,若安装处易受阳光直射或雨淋，需安装保护箱进行保护, 具体参数：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温度量程：-20℃至 50℃，误差&lt;±0.3℃；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湿度量程：0%～100％RH，误差&lt;3％RH；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防护等级：IP65；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安装方式：一体化安装。 </w:t>
      </w:r>
    </w:p>
    <w:p>
      <w:pPr>
        <w:widowControl/>
        <w:spacing w:after="160"/>
        <w:jc w:val="left"/>
        <w:rPr>
          <w:rFonts w:ascii="宋体" w:hAnsi="宋体" w:cs="宋体"/>
          <w:szCs w:val="24"/>
          <w:highlight w:val="none"/>
          <w:lang w:val="en-GB"/>
        </w:rPr>
      </w:pPr>
      <w:r>
        <w:rPr>
          <w:rFonts w:hint="eastAsia" w:ascii="宋体" w:hAnsi="宋体" w:cs="宋体"/>
          <w:szCs w:val="24"/>
          <w:highlight w:val="none"/>
          <w:lang w:val="en-GB"/>
        </w:rPr>
        <w:t xml:space="preserve">7、流量传感器: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采用电磁流量传感器；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4~20mA 模拟量信号输出；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可实现数据远传；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精度：±1.5% ； </w:t>
      </w:r>
    </w:p>
    <w:p>
      <w:pPr>
        <w:widowControl/>
        <w:spacing w:after="160"/>
        <w:jc w:val="left"/>
        <w:rPr>
          <w:rFonts w:ascii="宋体" w:hAnsi="宋体" w:cs="宋体"/>
          <w:szCs w:val="24"/>
          <w:highlight w:val="none"/>
          <w:lang w:val="en-GB"/>
        </w:rPr>
      </w:pPr>
      <w:r>
        <w:rPr>
          <w:rFonts w:hint="eastAsia" w:ascii="宋体" w:hAnsi="宋体" w:cs="宋体"/>
          <w:szCs w:val="24"/>
          <w:highlight w:val="none"/>
          <w:lang w:val="en-GB"/>
        </w:rPr>
        <w:t xml:space="preserve">8、压力传感器: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4~20mA 模拟量信号输出；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可实现数据远传；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测量精度：≤0.15% ； </w:t>
      </w:r>
    </w:p>
    <w:p>
      <w:pPr>
        <w:widowControl/>
        <w:spacing w:after="160"/>
        <w:jc w:val="left"/>
        <w:rPr>
          <w:rFonts w:ascii="宋体" w:hAnsi="宋体" w:cs="宋体"/>
          <w:szCs w:val="24"/>
          <w:highlight w:val="none"/>
          <w:lang w:val="en-GB"/>
        </w:rPr>
      </w:pPr>
      <w:r>
        <w:rPr>
          <w:rFonts w:hint="eastAsia" w:ascii="MS Gothic" w:hAnsi="MS Gothic" w:eastAsia="MS Gothic" w:cs="MS Gothic"/>
          <w:szCs w:val="24"/>
          <w:highlight w:val="none"/>
          <w:lang w:val="en-GB"/>
        </w:rPr>
        <w:t>➢</w:t>
      </w:r>
      <w:r>
        <w:rPr>
          <w:rFonts w:hint="eastAsia" w:ascii="宋体" w:hAnsi="宋体" w:cs="宋体"/>
          <w:szCs w:val="24"/>
          <w:highlight w:val="none"/>
          <w:lang w:val="en-GB"/>
        </w:rPr>
        <w:t xml:space="preserve">测量范围：0~1.6MPa。 </w:t>
      </w:r>
    </w:p>
    <w:p>
      <w:pPr>
        <w:widowControl/>
        <w:spacing w:after="160"/>
        <w:ind w:left="360" w:hanging="360"/>
        <w:jc w:val="left"/>
        <w:rPr>
          <w:rFonts w:ascii="宋体" w:hAnsi="宋体" w:cs="宋体"/>
          <w:szCs w:val="24"/>
          <w:highlight w:val="none"/>
          <w:lang w:val="en-GB"/>
        </w:rPr>
      </w:pPr>
      <w:r>
        <w:rPr>
          <w:rFonts w:hint="eastAsia" w:ascii="宋体" w:hAnsi="宋体" w:cs="宋体"/>
          <w:szCs w:val="24"/>
          <w:highlight w:val="none"/>
        </w:rPr>
        <w:t>9</w:t>
      </w:r>
      <w:r>
        <w:rPr>
          <w:rFonts w:ascii="宋体" w:hAnsi="宋体" w:cs="宋体"/>
          <w:szCs w:val="24"/>
          <w:highlight w:val="none"/>
          <w:lang w:val="en-GB"/>
        </w:rPr>
        <w:t>、</w:t>
      </w:r>
      <w:r>
        <w:rPr>
          <w:rFonts w:hint="eastAsia" w:ascii="宋体" w:hAnsi="宋体" w:cs="宋体"/>
          <w:szCs w:val="24"/>
          <w:highlight w:val="none"/>
          <w:lang w:val="en-GB"/>
        </w:rPr>
        <w:t>所有传感器的安装由承包商负责实施。</w:t>
      </w:r>
    </w:p>
    <w:p>
      <w:pPr>
        <w:keepNext/>
        <w:keepLines/>
        <w:outlineLvl w:val="2"/>
        <w:rPr>
          <w:rFonts w:ascii="宋体" w:hAnsi="宋体" w:cs="宋体"/>
          <w:b/>
          <w:bCs/>
          <w:sz w:val="28"/>
          <w:szCs w:val="32"/>
          <w:highlight w:val="none"/>
          <w:lang w:val="en-GB"/>
        </w:rPr>
      </w:pPr>
      <w:bookmarkStart w:id="312" w:name="_Toc12089"/>
      <w:bookmarkStart w:id="313" w:name="_Toc10469"/>
      <w:bookmarkStart w:id="314" w:name="_Toc150453644"/>
      <w:r>
        <w:rPr>
          <w:rFonts w:hint="eastAsia" w:ascii="宋体" w:hAnsi="宋体" w:cs="宋体"/>
          <w:b/>
          <w:bCs/>
          <w:sz w:val="28"/>
          <w:szCs w:val="32"/>
          <w:highlight w:val="none"/>
        </w:rPr>
        <w:t>8</w:t>
      </w:r>
      <w:r>
        <w:rPr>
          <w:rFonts w:hint="eastAsia" w:ascii="宋体" w:hAnsi="宋体" w:cs="宋体"/>
          <w:b/>
          <w:bCs/>
          <w:sz w:val="28"/>
          <w:szCs w:val="32"/>
          <w:highlight w:val="none"/>
          <w:lang w:val="en-GB"/>
        </w:rPr>
        <w:t>、 冷冻站高效机房系统调试要求</w:t>
      </w:r>
      <w:bookmarkEnd w:id="312"/>
      <w:bookmarkEnd w:id="313"/>
      <w:bookmarkEnd w:id="314"/>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1、群控系统的调试时间、进度应满足整个机电安装项目推进的进度要求，调试效果应满足设计及发包人要求，若因调试效果达不到相应要求，导致的项目进度滞后的责任由承包人承担。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2、单机调试：承包人应编制相应的组织计划、校验方案、验收表格，并报工程师和发包人审批通过后， 开展单点校验工作，以达到控制系统显示、变化与现场设备实际状态、数值变化相对应的效果。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3、联合调试：承包人应编制相应的联合调试方案、验收表格，并报工程师和发包人审批通过后，各参与方按照联合调试方案进行调试，以实现冷站集中监控及能源管理系统的上述要求。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 xml:space="preserve">4、由承包人供货设备的单机调试由承包人协调设备供应商负责，相关供应商尚应负责准备与设备相关的所有测试仪器工具人员； </w:t>
      </w:r>
    </w:p>
    <w:p>
      <w:pPr>
        <w:widowControl/>
        <w:spacing w:after="160"/>
        <w:ind w:firstLine="420" w:firstLineChars="200"/>
        <w:jc w:val="left"/>
        <w:rPr>
          <w:rFonts w:ascii="宋体" w:hAnsi="宋体" w:cs="宋体"/>
          <w:szCs w:val="24"/>
          <w:highlight w:val="none"/>
          <w:lang w:val="en-GB"/>
        </w:rPr>
      </w:pPr>
      <w:r>
        <w:rPr>
          <w:rFonts w:hint="eastAsia" w:ascii="宋体" w:hAnsi="宋体" w:cs="宋体"/>
          <w:szCs w:val="24"/>
          <w:highlight w:val="none"/>
          <w:lang w:val="en-GB"/>
        </w:rPr>
        <w:t>5、定期召开单机和联合调试协调会议。</w:t>
      </w:r>
    </w:p>
    <w:bookmarkEnd w:id="293"/>
    <w:p>
      <w:pPr>
        <w:widowControl/>
        <w:jc w:val="left"/>
        <w:rPr>
          <w:b/>
          <w:sz w:val="32"/>
          <w:szCs w:val="32"/>
          <w:highlight w:val="none"/>
        </w:rPr>
      </w:pPr>
      <w:bookmarkStart w:id="315" w:name="_Toc21771"/>
      <w:bookmarkStart w:id="316" w:name="_Toc107212551"/>
      <w:bookmarkStart w:id="317" w:name="_Toc11645"/>
      <w:r>
        <w:rPr>
          <w:rFonts w:hint="eastAsia"/>
          <w:b/>
          <w:sz w:val="32"/>
          <w:szCs w:val="32"/>
          <w:highlight w:val="none"/>
        </w:rPr>
        <w:t>六、设备</w:t>
      </w:r>
      <w:r>
        <w:rPr>
          <w:b/>
          <w:sz w:val="32"/>
          <w:szCs w:val="32"/>
          <w:highlight w:val="none"/>
        </w:rPr>
        <w:t>质量保证和售后服务</w:t>
      </w:r>
      <w:bookmarkEnd w:id="315"/>
      <w:bookmarkEnd w:id="316"/>
      <w:bookmarkEnd w:id="317"/>
    </w:p>
    <w:p>
      <w:pPr>
        <w:keepNext/>
        <w:keepLines/>
        <w:outlineLvl w:val="2"/>
        <w:rPr>
          <w:rFonts w:ascii="宋体" w:hAnsi="宋体" w:cs="宋体"/>
          <w:b/>
          <w:bCs/>
          <w:sz w:val="28"/>
          <w:szCs w:val="32"/>
          <w:highlight w:val="none"/>
        </w:rPr>
      </w:pPr>
      <w:bookmarkStart w:id="318" w:name="_Toc107212552"/>
      <w:bookmarkStart w:id="319" w:name="_Toc9896"/>
      <w:bookmarkStart w:id="320" w:name="_Toc21392_WPSOffice_Level2"/>
      <w:bookmarkStart w:id="321" w:name="_Toc5147"/>
      <w:bookmarkStart w:id="322" w:name="_Toc18383"/>
      <w:bookmarkStart w:id="323" w:name="_Toc4435"/>
      <w:bookmarkStart w:id="324" w:name="_Toc9563"/>
      <w:bookmarkStart w:id="325" w:name="_Toc14231_WPSOffice_Level2"/>
      <w:bookmarkStart w:id="326" w:name="_Toc809"/>
      <w:r>
        <w:rPr>
          <w:rFonts w:hint="eastAsia" w:ascii="宋体" w:hAnsi="宋体" w:cs="宋体"/>
          <w:b/>
          <w:bCs/>
          <w:sz w:val="28"/>
          <w:szCs w:val="32"/>
          <w:highlight w:val="none"/>
        </w:rPr>
        <w:t>1.质量保证</w:t>
      </w:r>
      <w:bookmarkEnd w:id="318"/>
      <w:bookmarkEnd w:id="319"/>
      <w:bookmarkEnd w:id="320"/>
      <w:bookmarkEnd w:id="321"/>
      <w:bookmarkEnd w:id="322"/>
      <w:bookmarkEnd w:id="323"/>
      <w:bookmarkEnd w:id="324"/>
      <w:bookmarkEnd w:id="325"/>
      <w:bookmarkEnd w:id="326"/>
    </w:p>
    <w:p>
      <w:pPr>
        <w:tabs>
          <w:tab w:val="left" w:pos="5640"/>
        </w:tabs>
        <w:spacing w:line="500" w:lineRule="exact"/>
        <w:ind w:firstLine="480"/>
        <w:rPr>
          <w:rFonts w:ascii="宋体" w:hAnsi="宋体" w:cs="宋体"/>
          <w:szCs w:val="24"/>
          <w:highlight w:val="none"/>
        </w:rPr>
      </w:pPr>
      <w:r>
        <w:rPr>
          <w:rFonts w:hint="eastAsia" w:ascii="宋体" w:hAnsi="宋体" w:cs="宋体"/>
          <w:szCs w:val="24"/>
          <w:highlight w:val="none"/>
        </w:rPr>
        <w:t>设备制造方保证货物系用优质材料和电池行业制造标准制成，全新未曾用过，并完全符合本合同规定的质量、规格和性能。并保证设备在正确安装、正常使用和维护的情况下能有满意的性能。</w:t>
      </w:r>
    </w:p>
    <w:p>
      <w:pPr>
        <w:tabs>
          <w:tab w:val="left" w:pos="5640"/>
        </w:tabs>
        <w:spacing w:line="500" w:lineRule="exact"/>
        <w:ind w:firstLine="480"/>
        <w:rPr>
          <w:rFonts w:ascii="宋体" w:hAnsi="宋体" w:cs="宋体"/>
          <w:szCs w:val="24"/>
          <w:highlight w:val="none"/>
        </w:rPr>
      </w:pPr>
      <w:r>
        <w:rPr>
          <w:rFonts w:hint="eastAsia" w:ascii="宋体" w:hAnsi="宋体"/>
          <w:szCs w:val="24"/>
          <w:highlight w:val="none"/>
        </w:rPr>
        <w:t>本项目自终验之日起保修期</w:t>
      </w:r>
      <w:r>
        <w:rPr>
          <w:rFonts w:ascii="宋体" w:hAnsi="宋体"/>
          <w:b/>
          <w:szCs w:val="24"/>
          <w:highlight w:val="none"/>
          <w:u w:val="single"/>
        </w:rPr>
        <w:t xml:space="preserve"> </w:t>
      </w:r>
      <w:r>
        <w:rPr>
          <w:rFonts w:hint="eastAsia" w:ascii="宋体" w:hAnsi="宋体"/>
          <w:b/>
          <w:szCs w:val="24"/>
          <w:highlight w:val="none"/>
          <w:u w:val="single"/>
        </w:rPr>
        <w:t>两</w:t>
      </w:r>
      <w:r>
        <w:rPr>
          <w:rFonts w:hint="eastAsia" w:ascii="宋体" w:hAnsi="宋体"/>
          <w:szCs w:val="24"/>
          <w:highlight w:val="none"/>
        </w:rPr>
        <w:t>年，在保修期内如因中标方施工质量问题导致的工程返工等，由中标方按照要求免费负责完成。无论保修期内外（含工程期），凡因投标方施工造成的质量事故和质量缺陷给人员造成伤亡，或给设备造成损失，或对第三方造成损害，全部由承包方负责赔偿和承担责任。为及时响应维保服务，投标方公司注册地址应为广东省内或承诺中标后在广东省内设立办事处及售后服务中心。</w:t>
      </w:r>
    </w:p>
    <w:p>
      <w:pPr>
        <w:keepNext/>
        <w:keepLines/>
        <w:outlineLvl w:val="2"/>
        <w:rPr>
          <w:rFonts w:ascii="宋体" w:hAnsi="宋体" w:cs="宋体"/>
          <w:b/>
          <w:bCs/>
          <w:sz w:val="28"/>
          <w:szCs w:val="32"/>
          <w:highlight w:val="none"/>
        </w:rPr>
      </w:pPr>
      <w:bookmarkStart w:id="327" w:name="_Toc22966"/>
      <w:bookmarkStart w:id="328" w:name="_Toc18855"/>
      <w:bookmarkStart w:id="329" w:name="_Toc19924"/>
      <w:bookmarkStart w:id="330" w:name="_Toc2877_WPSOffice_Level2"/>
      <w:bookmarkStart w:id="331" w:name="_Toc16551"/>
      <w:bookmarkStart w:id="332" w:name="_Toc18878"/>
      <w:bookmarkStart w:id="333" w:name="_Toc9871_WPSOffice_Level2"/>
      <w:bookmarkStart w:id="334" w:name="_Toc4927"/>
      <w:bookmarkStart w:id="335" w:name="_Toc107212553"/>
      <w:r>
        <w:rPr>
          <w:rFonts w:hint="eastAsia" w:ascii="宋体" w:hAnsi="宋体" w:cs="宋体"/>
          <w:b/>
          <w:bCs/>
          <w:sz w:val="28"/>
          <w:szCs w:val="32"/>
          <w:highlight w:val="none"/>
        </w:rPr>
        <w:t>2.售后服务</w:t>
      </w:r>
      <w:bookmarkEnd w:id="327"/>
      <w:bookmarkEnd w:id="328"/>
      <w:bookmarkEnd w:id="329"/>
      <w:bookmarkEnd w:id="330"/>
      <w:bookmarkEnd w:id="331"/>
      <w:bookmarkEnd w:id="332"/>
      <w:bookmarkEnd w:id="333"/>
      <w:bookmarkEnd w:id="334"/>
      <w:bookmarkEnd w:id="335"/>
    </w:p>
    <w:p>
      <w:pPr>
        <w:jc w:val="left"/>
        <w:rPr>
          <w:rFonts w:ascii="宋体" w:hAnsi="宋体"/>
          <w:szCs w:val="24"/>
          <w:highlight w:val="none"/>
        </w:rPr>
      </w:pPr>
      <w:r>
        <w:rPr>
          <w:rFonts w:ascii="宋体" w:hAnsi="宋体"/>
          <w:szCs w:val="24"/>
          <w:highlight w:val="none"/>
        </w:rPr>
        <w:t>2.1</w:t>
      </w:r>
      <w:r>
        <w:rPr>
          <w:rFonts w:hint="eastAsia" w:ascii="宋体" w:hAnsi="宋体"/>
          <w:szCs w:val="24"/>
          <w:highlight w:val="none"/>
        </w:rPr>
        <w:t xml:space="preserve"> 制造方须指定专人，作为售后服务联络负责人，以便问题及时处理；</w:t>
      </w:r>
    </w:p>
    <w:p>
      <w:pPr>
        <w:rPr>
          <w:rFonts w:ascii="宋体"/>
          <w:szCs w:val="21"/>
          <w:highlight w:val="none"/>
        </w:rPr>
      </w:pPr>
      <w:r>
        <w:rPr>
          <w:rFonts w:ascii="宋体" w:hAnsi="宋体"/>
          <w:highlight w:val="none"/>
        </w:rPr>
        <w:t>2.</w:t>
      </w:r>
      <w:r>
        <w:rPr>
          <w:rFonts w:hint="eastAsia" w:ascii="宋体" w:hAnsi="宋体"/>
          <w:highlight w:val="none"/>
        </w:rPr>
        <w:t xml:space="preserve">2 </w:t>
      </w:r>
      <w:r>
        <w:rPr>
          <w:rFonts w:hint="eastAsia" w:ascii="宋体" w:hAnsi="宋体"/>
          <w:szCs w:val="21"/>
          <w:highlight w:val="none"/>
        </w:rPr>
        <w:t>在保修期内，设备供应商需提供一整套保养计划，以确保所有制冷机的正常运行。</w:t>
      </w:r>
    </w:p>
    <w:p>
      <w:pPr>
        <w:rPr>
          <w:rFonts w:ascii="宋体"/>
          <w:szCs w:val="21"/>
          <w:highlight w:val="none"/>
        </w:rPr>
      </w:pPr>
      <w:r>
        <w:rPr>
          <w:rFonts w:ascii="宋体" w:hAnsi="宋体"/>
          <w:highlight w:val="none"/>
        </w:rPr>
        <w:t>2.</w:t>
      </w:r>
      <w:r>
        <w:rPr>
          <w:rFonts w:hint="eastAsia" w:ascii="宋体" w:hAnsi="宋体"/>
          <w:highlight w:val="none"/>
        </w:rPr>
        <w:t xml:space="preserve">3 </w:t>
      </w:r>
      <w:r>
        <w:rPr>
          <w:rFonts w:hint="eastAsia" w:ascii="宋体" w:hAnsi="宋体"/>
          <w:szCs w:val="21"/>
          <w:highlight w:val="none"/>
        </w:rPr>
        <w:t>在保修期内，提供定期的检查和维修保养，以确保所有制冷机组能正常运行。定期维修的人员应于至少</w:t>
      </w:r>
      <w:r>
        <w:rPr>
          <w:rFonts w:ascii="宋体" w:hAnsi="宋体"/>
          <w:szCs w:val="21"/>
          <w:highlight w:val="none"/>
        </w:rPr>
        <w:t>7</w:t>
      </w:r>
      <w:r>
        <w:rPr>
          <w:rFonts w:hint="eastAsia" w:ascii="宋体" w:hAnsi="宋体"/>
          <w:szCs w:val="21"/>
          <w:highlight w:val="none"/>
        </w:rPr>
        <w:t>天前与甲方预约，以便甲方可以派代表在场。</w:t>
      </w:r>
    </w:p>
    <w:p>
      <w:pPr>
        <w:rPr>
          <w:rFonts w:ascii="宋体"/>
          <w:szCs w:val="21"/>
          <w:highlight w:val="none"/>
        </w:rPr>
      </w:pPr>
      <w:r>
        <w:rPr>
          <w:rFonts w:ascii="宋体" w:hAnsi="宋体"/>
          <w:highlight w:val="none"/>
        </w:rPr>
        <w:t>2.</w:t>
      </w:r>
      <w:r>
        <w:rPr>
          <w:rFonts w:hint="eastAsia" w:ascii="宋体" w:hAnsi="宋体"/>
          <w:highlight w:val="none"/>
        </w:rPr>
        <w:t xml:space="preserve">4 </w:t>
      </w:r>
      <w:r>
        <w:rPr>
          <w:rFonts w:hint="eastAsia" w:ascii="宋体" w:hAnsi="宋体"/>
          <w:szCs w:val="21"/>
          <w:highlight w:val="none"/>
        </w:rPr>
        <w:t>所有定期维修保养之工作内容，须于书面形式提交业主代表给予确认签字，并提交业主代表给予确认、签字，并提交</w:t>
      </w:r>
      <w:r>
        <w:rPr>
          <w:rFonts w:ascii="宋体" w:hAnsi="宋体"/>
          <w:szCs w:val="21"/>
          <w:highlight w:val="none"/>
        </w:rPr>
        <w:t>2</w:t>
      </w:r>
      <w:r>
        <w:rPr>
          <w:rFonts w:hint="eastAsia" w:ascii="宋体" w:hAnsi="宋体"/>
          <w:szCs w:val="21"/>
          <w:highlight w:val="none"/>
        </w:rPr>
        <w:t>份内容清单及处理情况的报告。</w:t>
      </w:r>
    </w:p>
    <w:p>
      <w:pPr>
        <w:rPr>
          <w:rFonts w:ascii="宋体"/>
          <w:szCs w:val="21"/>
          <w:highlight w:val="none"/>
        </w:rPr>
      </w:pPr>
      <w:r>
        <w:rPr>
          <w:rFonts w:ascii="宋体" w:hAnsi="宋体"/>
          <w:highlight w:val="none"/>
        </w:rPr>
        <w:t>2.</w:t>
      </w:r>
      <w:r>
        <w:rPr>
          <w:rFonts w:hint="eastAsia" w:ascii="宋体" w:hAnsi="宋体"/>
          <w:highlight w:val="none"/>
        </w:rPr>
        <w:t xml:space="preserve">5 </w:t>
      </w:r>
      <w:r>
        <w:rPr>
          <w:rFonts w:hint="eastAsia" w:ascii="宋体" w:hAnsi="宋体"/>
          <w:szCs w:val="21"/>
          <w:highlight w:val="none"/>
        </w:rPr>
        <w:t>所有定期维修保养以不影响整体冷水机组的原则下进行并应与甲方安排合适的时间。</w:t>
      </w:r>
    </w:p>
    <w:p>
      <w:pPr>
        <w:jc w:val="left"/>
        <w:rPr>
          <w:rFonts w:ascii="宋体" w:hAnsi="宋体"/>
          <w:szCs w:val="24"/>
          <w:highlight w:val="none"/>
        </w:rPr>
      </w:pPr>
      <w:r>
        <w:rPr>
          <w:rFonts w:ascii="宋体" w:hAnsi="宋体"/>
          <w:szCs w:val="24"/>
          <w:highlight w:val="none"/>
        </w:rPr>
        <w:t>2.</w:t>
      </w:r>
      <w:r>
        <w:rPr>
          <w:rFonts w:hint="eastAsia" w:ascii="宋体" w:hAnsi="宋体"/>
          <w:szCs w:val="24"/>
          <w:highlight w:val="none"/>
        </w:rPr>
        <w:t xml:space="preserve">6 </w:t>
      </w:r>
      <w:r>
        <w:rPr>
          <w:rFonts w:hint="eastAsia" w:ascii="宋体" w:hAnsi="宋体"/>
          <w:szCs w:val="21"/>
          <w:highlight w:val="none"/>
        </w:rPr>
        <w:t>承包单位自备所有维修和保养所需的工具和更换配件</w:t>
      </w:r>
      <w:r>
        <w:rPr>
          <w:rFonts w:ascii="宋体" w:hAnsi="宋体"/>
          <w:szCs w:val="21"/>
          <w:highlight w:val="none"/>
        </w:rPr>
        <w:t>(</w:t>
      </w:r>
      <w:r>
        <w:rPr>
          <w:rFonts w:hint="eastAsia" w:ascii="宋体" w:hAnsi="宋体"/>
          <w:szCs w:val="21"/>
          <w:highlight w:val="none"/>
        </w:rPr>
        <w:t>易耗品除外</w:t>
      </w:r>
      <w:r>
        <w:rPr>
          <w:rFonts w:ascii="宋体" w:hAnsi="宋体"/>
          <w:szCs w:val="21"/>
          <w:highlight w:val="none"/>
        </w:rPr>
        <w:t>)</w:t>
      </w:r>
      <w:r>
        <w:rPr>
          <w:rFonts w:hint="eastAsia" w:ascii="宋体" w:hAnsi="宋体"/>
          <w:szCs w:val="21"/>
          <w:highlight w:val="none"/>
        </w:rPr>
        <w:t>。</w:t>
      </w:r>
    </w:p>
    <w:p>
      <w:pPr>
        <w:jc w:val="left"/>
        <w:rPr>
          <w:rFonts w:ascii="宋体" w:hAnsi="宋体"/>
          <w:szCs w:val="24"/>
          <w:highlight w:val="none"/>
        </w:rPr>
      </w:pPr>
      <w:r>
        <w:rPr>
          <w:rFonts w:ascii="宋体" w:hAnsi="宋体"/>
          <w:szCs w:val="24"/>
          <w:highlight w:val="none"/>
        </w:rPr>
        <w:t>2.</w:t>
      </w:r>
      <w:r>
        <w:rPr>
          <w:rFonts w:hint="eastAsia" w:ascii="宋体" w:hAnsi="宋体"/>
          <w:szCs w:val="24"/>
          <w:highlight w:val="none"/>
        </w:rPr>
        <w:t>7 设备因软件问题造成停机时，乙方收到甲方反馈信息后，乙方现场软件技术售后人员需在现场即时响应，</w:t>
      </w:r>
      <w:r>
        <w:rPr>
          <w:rFonts w:ascii="宋体" w:hAnsi="宋体"/>
          <w:szCs w:val="24"/>
          <w:highlight w:val="none"/>
        </w:rPr>
        <w:t>30</w:t>
      </w:r>
      <w:r>
        <w:rPr>
          <w:rFonts w:hint="eastAsia" w:ascii="宋体" w:hAnsi="宋体"/>
          <w:szCs w:val="24"/>
          <w:highlight w:val="none"/>
        </w:rPr>
        <w:t>分钟内给出解决方案，并解决软件问题。如解决超时，乙方需要做出合理解释，对于因人员技术水平或前期软件较严重的设计问题造成的延时，甲方对乙方进行罚款，罚款金额与当前设备延时时间的损失金额一致；</w:t>
      </w:r>
    </w:p>
    <w:p>
      <w:pPr>
        <w:tabs>
          <w:tab w:val="left" w:pos="420"/>
        </w:tabs>
        <w:rPr>
          <w:rFonts w:ascii="宋体" w:hAnsi="宋体"/>
          <w:highlight w:val="none"/>
        </w:rPr>
      </w:pPr>
      <w:r>
        <w:rPr>
          <w:rFonts w:ascii="宋体" w:hAnsi="宋体"/>
          <w:highlight w:val="none"/>
        </w:rPr>
        <w:t>2.</w:t>
      </w:r>
      <w:r>
        <w:rPr>
          <w:rFonts w:hint="eastAsia" w:ascii="宋体" w:hAnsi="宋体"/>
          <w:highlight w:val="none"/>
        </w:rPr>
        <w:t>8 设备超过维修期后，仍须提供技术支持与服务，备件的供应按成本收费。</w:t>
      </w:r>
    </w:p>
    <w:p>
      <w:pPr>
        <w:jc w:val="left"/>
        <w:rPr>
          <w:szCs w:val="24"/>
          <w:highlight w:val="none"/>
        </w:rPr>
      </w:pPr>
    </w:p>
    <w:p>
      <w:pPr>
        <w:rPr>
          <w:rFonts w:ascii="宋体" w:hAnsi="宋体"/>
          <w:highlight w:val="none"/>
        </w:rPr>
      </w:pPr>
      <w:r>
        <w:rPr>
          <w:rFonts w:hint="eastAsia" w:ascii="宋体" w:hAnsi="宋体"/>
          <w:highlight w:val="none"/>
        </w:rPr>
        <w:t>（以下无正文）</w:t>
      </w:r>
    </w:p>
    <w:p>
      <w:pPr>
        <w:jc w:val="left"/>
        <w:rPr>
          <w:szCs w:val="24"/>
          <w:highlight w:val="none"/>
        </w:rPr>
      </w:pPr>
    </w:p>
    <w:p>
      <w:pPr>
        <w:pStyle w:val="9"/>
        <w:ind w:left="0"/>
        <w:rPr>
          <w:highlight w:val="none"/>
        </w:rPr>
      </w:pPr>
    </w:p>
    <w:p>
      <w:pPr>
        <w:pStyle w:val="9"/>
        <w:ind w:left="0"/>
        <w:rPr>
          <w:highlight w:val="none"/>
        </w:rPr>
      </w:pPr>
    </w:p>
    <w:p>
      <w:pPr>
        <w:pStyle w:val="9"/>
        <w:ind w:left="0"/>
        <w:rPr>
          <w:highlight w:val="none"/>
        </w:rPr>
      </w:pPr>
    </w:p>
    <w:p>
      <w:pPr>
        <w:pStyle w:val="9"/>
        <w:ind w:left="0"/>
        <w:rPr>
          <w:highlight w:val="none"/>
        </w:rPr>
      </w:pPr>
    </w:p>
    <w:p>
      <w:pPr>
        <w:pStyle w:val="9"/>
        <w:ind w:left="0"/>
        <w:rPr>
          <w:b/>
          <w:highlight w:val="none"/>
        </w:rPr>
      </w:pPr>
      <w:r>
        <w:rPr>
          <w:rFonts w:hint="eastAsia"/>
          <w:b/>
          <w:highlight w:val="none"/>
        </w:rPr>
        <w:t>附件</w:t>
      </w:r>
      <w:r>
        <w:rPr>
          <w:b/>
          <w:highlight w:val="none"/>
        </w:rPr>
        <w:t xml:space="preserve">3 </w:t>
      </w:r>
      <w:r>
        <w:rPr>
          <w:rFonts w:hint="eastAsia"/>
          <w:b/>
          <w:highlight w:val="none"/>
        </w:rPr>
        <w:t>空压机技术规格书：</w:t>
      </w:r>
    </w:p>
    <w:p>
      <w:pPr>
        <w:jc w:val="center"/>
        <w:outlineLvl w:val="0"/>
        <w:rPr>
          <w:rFonts w:ascii="宋体" w:hAnsi="宋体" w:cs="宋体"/>
          <w:b/>
          <w:sz w:val="44"/>
          <w:szCs w:val="44"/>
          <w:highlight w:val="none"/>
        </w:rPr>
      </w:pPr>
      <w:r>
        <w:rPr>
          <w:rFonts w:hint="eastAsia" w:ascii="宋体" w:hAnsi="宋体" w:cs="宋体"/>
          <w:b/>
          <w:sz w:val="44"/>
          <w:szCs w:val="44"/>
          <w:highlight w:val="none"/>
        </w:rPr>
        <w:t>空压系统技术规格书</w:t>
      </w:r>
    </w:p>
    <w:p>
      <w:pPr>
        <w:outlineLvl w:val="0"/>
        <w:rPr>
          <w:rFonts w:ascii="宋体" w:hAnsi="宋体" w:cs="宋体"/>
          <w:b/>
          <w:sz w:val="28"/>
          <w:highlight w:val="none"/>
        </w:rPr>
      </w:pPr>
      <w:r>
        <w:rPr>
          <w:rFonts w:hint="eastAsia" w:ascii="宋体" w:hAnsi="宋体" w:cs="宋体"/>
          <w:b/>
          <w:sz w:val="28"/>
          <w:highlight w:val="none"/>
        </w:rPr>
        <w:t>一、设备简介</w:t>
      </w:r>
    </w:p>
    <w:p>
      <w:pPr>
        <w:pStyle w:val="8"/>
        <w:ind w:left="840"/>
        <w:outlineLvl w:val="1"/>
        <w:rPr>
          <w:b/>
          <w:highlight w:val="none"/>
        </w:rPr>
      </w:pPr>
      <w:bookmarkStart w:id="336" w:name="_Toc144669672"/>
      <w:r>
        <w:rPr>
          <w:rFonts w:hint="eastAsia"/>
          <w:b/>
          <w:highlight w:val="none"/>
        </w:rPr>
        <w:t>1.</w:t>
      </w:r>
      <w:r>
        <w:rPr>
          <w:b/>
          <w:highlight w:val="none"/>
        </w:rPr>
        <w:t>1</w:t>
      </w:r>
      <w:r>
        <w:rPr>
          <w:rFonts w:hint="eastAsia"/>
          <w:b/>
          <w:highlight w:val="none"/>
        </w:rPr>
        <w:t>设备动作流程</w:t>
      </w:r>
      <w:bookmarkEnd w:id="336"/>
    </w:p>
    <w:p>
      <w:pPr>
        <w:rPr>
          <w:rFonts w:ascii="宋体" w:hAnsi="宋体" w:cs="Calibri"/>
          <w:b/>
          <w:color w:val="595959"/>
          <w:highlight w:val="none"/>
        </w:rPr>
      </w:pPr>
      <w:r>
        <w:rPr>
          <w:highlight w:val="none"/>
        </w:rPr>
        <mc:AlternateContent>
          <mc:Choice Requires="wps">
            <w:drawing>
              <wp:anchor distT="0" distB="0" distL="114300" distR="114300" simplePos="0" relativeHeight="251691008" behindDoc="0" locked="0" layoutInCell="1" allowOverlap="1">
                <wp:simplePos x="0" y="0"/>
                <wp:positionH relativeFrom="column">
                  <wp:posOffset>2212340</wp:posOffset>
                </wp:positionH>
                <wp:positionV relativeFrom="paragraph">
                  <wp:posOffset>129540</wp:posOffset>
                </wp:positionV>
                <wp:extent cx="1400175" cy="720090"/>
                <wp:effectExtent l="7620" t="7620" r="20955" b="15240"/>
                <wp:wrapNone/>
                <wp:docPr id="85" name="圆角矩形 85"/>
                <wp:cNvGraphicFramePr/>
                <a:graphic xmlns:a="http://schemas.openxmlformats.org/drawingml/2006/main">
                  <a:graphicData uri="http://schemas.microsoft.com/office/word/2010/wordprocessingShape">
                    <wps:wsp>
                      <wps:cNvSpPr>
                        <a:spLocks noChangeArrowheads="1"/>
                      </wps:cNvSpPr>
                      <wps:spPr bwMode="auto">
                        <a:xfrm>
                          <a:off x="0" y="0"/>
                          <a:ext cx="1400175" cy="720090"/>
                        </a:xfrm>
                        <a:prstGeom prst="roundRect">
                          <a:avLst>
                            <a:gd name="adj" fmla="val 16667"/>
                          </a:avLst>
                        </a:prstGeom>
                        <a:gradFill rotWithShape="0">
                          <a:gsLst>
                            <a:gs pos="0">
                              <a:srgbClr val="FFFFFF"/>
                            </a:gs>
                            <a:gs pos="100000">
                              <a:srgbClr val="FFFFFF"/>
                            </a:gs>
                          </a:gsLst>
                          <a:lin ang="0"/>
                        </a:gradFill>
                        <a:ln w="15875">
                          <a:solidFill>
                            <a:srgbClr val="000000"/>
                          </a:solidFill>
                          <a:round/>
                        </a:ln>
                        <a:effectLst/>
                      </wps:spPr>
                      <wps:txbx>
                        <w:txbxContent>
                          <w:p>
                            <w:pPr>
                              <w:jc w:val="center"/>
                            </w:pPr>
                            <w:r>
                              <w:rPr>
                                <w:rFonts w:hint="eastAsia"/>
                              </w:rPr>
                              <w:t>压缩热</w:t>
                            </w:r>
                          </w:p>
                          <w:p>
                            <w:pPr>
                              <w:jc w:val="center"/>
                            </w:pPr>
                            <w:r>
                              <w:rPr>
                                <w:rFonts w:hint="eastAsia"/>
                              </w:rPr>
                              <w:t>再生干燥机</w:t>
                            </w:r>
                          </w:p>
                        </w:txbxContent>
                      </wps:txbx>
                      <wps:bodyPr rot="0" vert="horz" wrap="square" lIns="91439" tIns="45720" rIns="91439" bIns="45720" anchor="t" anchorCtr="0" upright="1">
                        <a:noAutofit/>
                      </wps:bodyPr>
                    </wps:wsp>
                  </a:graphicData>
                </a:graphic>
              </wp:anchor>
            </w:drawing>
          </mc:Choice>
          <mc:Fallback>
            <w:pict>
              <v:roundrect id="_x0000_s1026" o:spid="_x0000_s1026" o:spt="2" style="position:absolute;left:0pt;margin-left:174.2pt;margin-top:10.2pt;height:56.7pt;width:110.25pt;z-index:251691008;mso-width-relative:page;mso-height-relative:page;" fillcolor="#FFFFFF" filled="t" stroked="t" coordsize="21600,21600" arcsize="0.166666666666667" o:gfxdata="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4HO&#10;Z9sAAAAKAQAADwAAAAAAAAABACAAAAAiAAAAZHJzL2Rvd25yZXYueG1sUEsBAhQAFAAAAAgAh07i&#10;QNuwxaGRAgAALwUAAA4AAAAAAAAAAQAgAAAAKgEAAGRycy9lMm9Eb2MueG1sUEsFBgAAAAAGAAYA&#10;WQEAAC0GAAAAAA==&#10;">
                <v:fill type="gradient" on="t" color2="#FFFFFF" angle="90" focus="100%" focussize="0,0">
                  <o:fill type="gradientUnscaled" v:ext="backwardCompatible"/>
                </v:fill>
                <v:stroke weight="1.25pt" color="#000000" joinstyle="round"/>
                <v:imagedata o:title=""/>
                <o:lock v:ext="edit" aspectratio="f"/>
                <v:textbox inset="7.19992125984252pt,1.27mm,7.19992125984252pt,1.27mm">
                  <w:txbxContent>
                    <w:p>
                      <w:pPr>
                        <w:jc w:val="center"/>
                      </w:pPr>
                      <w:r>
                        <w:rPr>
                          <w:rFonts w:hint="eastAsia"/>
                        </w:rPr>
                        <w:t>压缩热</w:t>
                      </w:r>
                    </w:p>
                    <w:p>
                      <w:pPr>
                        <w:jc w:val="center"/>
                      </w:pPr>
                      <w:r>
                        <w:rPr>
                          <w:rFonts w:hint="eastAsia"/>
                        </w:rPr>
                        <w:t>再生干燥机</w:t>
                      </w:r>
                    </w:p>
                  </w:txbxContent>
                </v:textbox>
              </v:roundrect>
            </w:pict>
          </mc:Fallback>
        </mc:AlternateContent>
      </w:r>
      <w:r>
        <w:rPr>
          <w:highlight w:val="none"/>
        </w:rPr>
        <mc:AlternateContent>
          <mc:Choice Requires="wps">
            <w:drawing>
              <wp:anchor distT="0" distB="0" distL="114300" distR="114300" simplePos="0" relativeHeight="251693056" behindDoc="0" locked="0" layoutInCell="1" allowOverlap="1">
                <wp:simplePos x="0" y="0"/>
                <wp:positionH relativeFrom="column">
                  <wp:posOffset>4261485</wp:posOffset>
                </wp:positionH>
                <wp:positionV relativeFrom="paragraph">
                  <wp:posOffset>140970</wp:posOffset>
                </wp:positionV>
                <wp:extent cx="1348105" cy="458470"/>
                <wp:effectExtent l="7620" t="7620" r="15875" b="10160"/>
                <wp:wrapNone/>
                <wp:docPr id="67" name="圆角矩形 67"/>
                <wp:cNvGraphicFramePr/>
                <a:graphic xmlns:a="http://schemas.openxmlformats.org/drawingml/2006/main">
                  <a:graphicData uri="http://schemas.microsoft.com/office/word/2010/wordprocessingShape">
                    <wps:wsp>
                      <wps:cNvSpPr>
                        <a:spLocks noChangeArrowheads="1"/>
                      </wps:cNvSpPr>
                      <wps:spPr bwMode="auto">
                        <a:xfrm>
                          <a:off x="0" y="0"/>
                          <a:ext cx="1348105" cy="458470"/>
                        </a:xfrm>
                        <a:prstGeom prst="roundRect">
                          <a:avLst>
                            <a:gd name="adj" fmla="val 16667"/>
                          </a:avLst>
                        </a:prstGeom>
                        <a:gradFill rotWithShape="0">
                          <a:gsLst>
                            <a:gs pos="0">
                              <a:srgbClr val="FFFFFF"/>
                            </a:gs>
                            <a:gs pos="100000">
                              <a:srgbClr val="FFFFFF"/>
                            </a:gs>
                          </a:gsLst>
                          <a:lin ang="0"/>
                        </a:gradFill>
                        <a:ln w="15875">
                          <a:solidFill>
                            <a:srgbClr val="000000"/>
                          </a:solidFill>
                          <a:round/>
                        </a:ln>
                        <a:effectLst/>
                      </wps:spPr>
                      <wps:txbx>
                        <w:txbxContent>
                          <w:p>
                            <w:pPr>
                              <w:jc w:val="center"/>
                            </w:pPr>
                            <w:r>
                              <w:rPr>
                                <w:rFonts w:hint="eastAsia"/>
                              </w:rPr>
                              <w:t>二级过滤器</w:t>
                            </w:r>
                          </w:p>
                        </w:txbxContent>
                      </wps:txbx>
                      <wps:bodyPr rot="0" vert="horz" wrap="square" lIns="17999" tIns="17999" rIns="17999" bIns="17999" anchor="t" anchorCtr="0" upright="1">
                        <a:noAutofit/>
                      </wps:bodyPr>
                    </wps:wsp>
                  </a:graphicData>
                </a:graphic>
              </wp:anchor>
            </w:drawing>
          </mc:Choice>
          <mc:Fallback>
            <w:pict>
              <v:roundrect id="_x0000_s1026" o:spid="_x0000_s1026" o:spt="2" style="position:absolute;left:0pt;margin-left:335.55pt;margin-top:11.1pt;height:36.1pt;width:106.15pt;z-index:251693056;mso-width-relative:page;mso-height-relative:page;" fillcolor="#FFFFFF" filled="t" stroked="t" coordsize="21600,21600" arcsize="0.166666666666667" o:gfxdata="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8dfUG2gAA&#10;AAkBAAAPAAAAAAAAAAEAIAAAACIAAABkcnMvZG93bnJldi54bWxQSwECFAAUAAAACACHTuJAmrMd&#10;+I4CAAAvBQAADgAAAAAAAAABACAAAAApAQAAZHJzL2Uyb0RvYy54bWxQSwUGAAAAAAYABgBZAQAA&#10;KQYAAAAA&#10;">
                <v:fill type="gradient" on="t" color2="#FFFFFF" angle="90" focus="100%" focussize="0,0">
                  <o:fill type="gradientUnscaled" v:ext="backwardCompatible"/>
                </v:fill>
                <v:stroke weight="1.25pt" color="#000000" joinstyle="round"/>
                <v:imagedata o:title=""/>
                <o:lock v:ext="edit" aspectratio="f"/>
                <v:textbox inset="1.41724409448819pt,1.41724409448819pt,1.41724409448819pt,1.41724409448819pt">
                  <w:txbxContent>
                    <w:p>
                      <w:pPr>
                        <w:jc w:val="center"/>
                      </w:pPr>
                      <w:r>
                        <w:rPr>
                          <w:rFonts w:hint="eastAsia"/>
                        </w:rPr>
                        <w:t>二级过滤器</w:t>
                      </w:r>
                    </w:p>
                  </w:txbxContent>
                </v:textbox>
              </v:roundrect>
            </w:pict>
          </mc:Fallback>
        </mc:AlternateContent>
      </w:r>
      <w:r>
        <w:rPr>
          <w:highlight w:val="none"/>
        </w:rPr>
        <mc:AlternateContent>
          <mc:Choice Requires="wps">
            <w:drawing>
              <wp:anchor distT="0" distB="0" distL="114300" distR="114300" simplePos="0" relativeHeight="251689984" behindDoc="0" locked="0" layoutInCell="1" allowOverlap="1">
                <wp:simplePos x="0" y="0"/>
                <wp:positionH relativeFrom="column">
                  <wp:posOffset>1706245</wp:posOffset>
                </wp:positionH>
                <wp:positionV relativeFrom="paragraph">
                  <wp:posOffset>299720</wp:posOffset>
                </wp:positionV>
                <wp:extent cx="390525" cy="152400"/>
                <wp:effectExtent l="7620" t="16510" r="20955" b="21590"/>
                <wp:wrapNone/>
                <wp:docPr id="66" name="左箭头 66"/>
                <wp:cNvGraphicFramePr/>
                <a:graphic xmlns:a="http://schemas.openxmlformats.org/drawingml/2006/main">
                  <a:graphicData uri="http://schemas.microsoft.com/office/word/2010/wordprocessingShape">
                    <wps:wsp>
                      <wps:cNvSpPr>
                        <a:spLocks noChangeArrowheads="1"/>
                      </wps:cNvSpPr>
                      <wps:spPr bwMode="auto">
                        <a:xfrm rot="10800000">
                          <a:off x="0" y="0"/>
                          <a:ext cx="390525" cy="152400"/>
                        </a:xfrm>
                        <a:prstGeom prst="leftArrow">
                          <a:avLst>
                            <a:gd name="adj1" fmla="val 50000"/>
                            <a:gd name="adj2" fmla="val 64063"/>
                          </a:avLst>
                        </a:prstGeom>
                        <a:gradFill rotWithShape="0">
                          <a:gsLst>
                            <a:gs pos="0">
                              <a:srgbClr val="FFFFFF"/>
                            </a:gs>
                            <a:gs pos="100000">
                              <a:srgbClr val="FFFFFF"/>
                            </a:gs>
                          </a:gsLst>
                          <a:lin ang="0"/>
                        </a:gra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66" type="#_x0000_t66" style="position:absolute;left:0pt;margin-left:134.35pt;margin-top:23.6pt;height:12pt;width:30.75pt;rotation:11796480f;z-index:251689984;mso-width-relative:page;mso-height-relative:page;" fillcolor="#FFFFFF" filled="t" stroked="t" coordsize="21600,21600" o:gfxdata="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oGcFtkAAAAJAQAADwAAAAAAAAABACAAAAAiAAAAZHJzL2Rvd25yZXYueG1sUEsBAhQA&#10;FAAAAAgAh07iQHJISJScAgAAYQUAAA4AAAAAAAAAAQAgAAAAKAEAAGRycy9lMm9Eb2MueG1sUEsF&#10;BgAAAAAGAAYAWQEAADYGAAAAAA==&#10;" adj="5400,5400">
                <v:fill type="gradient" on="t" color2="#FFFFFF" angle="90" focus="100%" focussize="0,0">
                  <o:fill type="gradientUnscaled" v:ext="backwardCompatible"/>
                </v:fill>
                <v:stroke weight="1.25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688960" behindDoc="0" locked="0" layoutInCell="1" allowOverlap="1">
                <wp:simplePos x="0" y="0"/>
                <wp:positionH relativeFrom="column">
                  <wp:posOffset>631190</wp:posOffset>
                </wp:positionH>
                <wp:positionV relativeFrom="paragraph">
                  <wp:posOffset>120015</wp:posOffset>
                </wp:positionV>
                <wp:extent cx="913765" cy="466725"/>
                <wp:effectExtent l="7620" t="7620" r="12065" b="20955"/>
                <wp:wrapNone/>
                <wp:docPr id="65" name="圆角矩形 65"/>
                <wp:cNvGraphicFramePr/>
                <a:graphic xmlns:a="http://schemas.openxmlformats.org/drawingml/2006/main">
                  <a:graphicData uri="http://schemas.microsoft.com/office/word/2010/wordprocessingShape">
                    <wps:wsp>
                      <wps:cNvSpPr>
                        <a:spLocks noChangeArrowheads="1"/>
                      </wps:cNvSpPr>
                      <wps:spPr bwMode="auto">
                        <a:xfrm>
                          <a:off x="0" y="0"/>
                          <a:ext cx="913765" cy="466725"/>
                        </a:xfrm>
                        <a:prstGeom prst="roundRect">
                          <a:avLst>
                            <a:gd name="adj" fmla="val 16667"/>
                          </a:avLst>
                        </a:prstGeom>
                        <a:gradFill rotWithShape="0">
                          <a:gsLst>
                            <a:gs pos="0">
                              <a:srgbClr val="FFFFFF"/>
                            </a:gs>
                            <a:gs pos="100000">
                              <a:srgbClr val="FFFFFF"/>
                            </a:gs>
                          </a:gsLst>
                          <a:lin ang="0"/>
                        </a:gradFill>
                        <a:ln w="15875">
                          <a:solidFill>
                            <a:srgbClr val="000000"/>
                          </a:solidFill>
                          <a:round/>
                        </a:ln>
                        <a:effectLst/>
                      </wps:spPr>
                      <wps:txbx>
                        <w:txbxContent>
                          <w:p>
                            <w:pPr>
                              <w:jc w:val="center"/>
                            </w:pPr>
                            <w:r>
                              <w:rPr>
                                <w:rFonts w:hint="eastAsia"/>
                              </w:rPr>
                              <w:t>空压机</w:t>
                            </w:r>
                          </w:p>
                        </w:txbxContent>
                      </wps:txbx>
                      <wps:bodyPr rot="0" vert="horz" wrap="square" lIns="91439" tIns="45720" rIns="91439" bIns="45720" anchor="t" anchorCtr="0" upright="1">
                        <a:noAutofit/>
                      </wps:bodyPr>
                    </wps:wsp>
                  </a:graphicData>
                </a:graphic>
              </wp:anchor>
            </w:drawing>
          </mc:Choice>
          <mc:Fallback>
            <w:pict>
              <v:roundrect id="_x0000_s1026" o:spid="_x0000_s1026" o:spt="2" style="position:absolute;left:0pt;margin-left:49.7pt;margin-top:9.45pt;height:36.75pt;width:71.95pt;z-index:251688960;mso-width-relative:page;mso-height-relative:page;" fillcolor="#FFFFFF" filled="t" stroked="t" coordsize="21600,21600" arcsize="0.166666666666667" o:gfxdata="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n4Ily&#10;2QAAAAgBAAAPAAAAAAAAAAEAIAAAACIAAABkcnMvZG93bnJldi54bWxQSwECFAAUAAAACACHTuJA&#10;HvBX0pICAAAuBQAADgAAAAAAAAABACAAAAAoAQAAZHJzL2Uyb0RvYy54bWxQSwUGAAAAAAYABgBZ&#10;AQAALAYAAAAA&#10;">
                <v:fill type="gradient" on="t" color2="#FFFFFF" angle="90" focus="100%" focussize="0,0">
                  <o:fill type="gradientUnscaled" v:ext="backwardCompatible"/>
                </v:fill>
                <v:stroke weight="1.25pt" color="#000000" joinstyle="round"/>
                <v:imagedata o:title=""/>
                <o:lock v:ext="edit" aspectratio="f"/>
                <v:textbox inset="7.19992125984252pt,1.27mm,7.19992125984252pt,1.27mm">
                  <w:txbxContent>
                    <w:p>
                      <w:pPr>
                        <w:jc w:val="center"/>
                      </w:pPr>
                      <w:r>
                        <w:rPr>
                          <w:rFonts w:hint="eastAsia"/>
                        </w:rPr>
                        <w:t>空压机</w:t>
                      </w:r>
                    </w:p>
                  </w:txbxContent>
                </v:textbox>
              </v:roundrect>
            </w:pict>
          </mc:Fallback>
        </mc:AlternateContent>
      </w:r>
    </w:p>
    <w:p>
      <w:pPr>
        <w:rPr>
          <w:rFonts w:ascii="宋体" w:hAnsi="宋体" w:cs="Calibri"/>
          <w:b/>
          <w:color w:val="595959"/>
          <w:highlight w:val="none"/>
        </w:rPr>
      </w:pPr>
      <w:r>
        <w:rPr>
          <w:highlight w:val="none"/>
        </w:rPr>
        <mc:AlternateContent>
          <mc:Choice Requires="wps">
            <w:drawing>
              <wp:anchor distT="0" distB="0" distL="114300" distR="114300" simplePos="0" relativeHeight="251696128" behindDoc="0" locked="0" layoutInCell="1" allowOverlap="1">
                <wp:simplePos x="0" y="0"/>
                <wp:positionH relativeFrom="column">
                  <wp:posOffset>4069715</wp:posOffset>
                </wp:positionH>
                <wp:positionV relativeFrom="paragraph">
                  <wp:posOffset>855980</wp:posOffset>
                </wp:positionV>
                <wp:extent cx="390525" cy="152400"/>
                <wp:effectExtent l="12700" t="16510" r="15875" b="21590"/>
                <wp:wrapNone/>
                <wp:docPr id="62" name="左箭头 62"/>
                <wp:cNvGraphicFramePr/>
                <a:graphic xmlns:a="http://schemas.openxmlformats.org/drawingml/2006/main">
                  <a:graphicData uri="http://schemas.microsoft.com/office/word/2010/wordprocessingShape">
                    <wps:wsp>
                      <wps:cNvSpPr>
                        <a:spLocks noChangeArrowheads="1"/>
                      </wps:cNvSpPr>
                      <wps:spPr bwMode="auto">
                        <a:xfrm>
                          <a:off x="0" y="0"/>
                          <a:ext cx="390525" cy="152400"/>
                        </a:xfrm>
                        <a:prstGeom prst="leftArrow">
                          <a:avLst>
                            <a:gd name="adj1" fmla="val 50000"/>
                            <a:gd name="adj2" fmla="val 64063"/>
                          </a:avLst>
                        </a:prstGeom>
                        <a:gradFill rotWithShape="0">
                          <a:gsLst>
                            <a:gs pos="0">
                              <a:srgbClr val="FFFFFF"/>
                            </a:gs>
                            <a:gs pos="100000">
                              <a:srgbClr val="FFFFFF"/>
                            </a:gs>
                          </a:gsLst>
                          <a:lin ang="0"/>
                        </a:gra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66" type="#_x0000_t66" style="position:absolute;left:0pt;margin-left:320.45pt;margin-top:67.4pt;height:12pt;width:30.75pt;z-index:251696128;mso-width-relative:page;mso-height-relative:page;" fillcolor="#FFFFFF" filled="t" stroked="t" coordsize="21600,21600" o:gfxdata="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MWvO&#10;otgAAAALAQAADwAAAAAAAAABACAAAAAiAAAAZHJzL2Rvd25yZXYueG1sUEsBAhQAFAAAAAgAh07i&#10;QDY0wPOUAgAAUgUAAA4AAAAAAAAAAQAgAAAAJwEAAGRycy9lMm9Eb2MueG1sUEsFBgAAAAAGAAYA&#10;WQEAAC0GAAAAAA==&#10;" adj="5400,5400">
                <v:fill type="gradient" on="t" color2="#FFFFFF" angle="90" focus="100%" focussize="0,0">
                  <o:fill type="gradientUnscaled" v:ext="backwardCompatible"/>
                </v:fill>
                <v:stroke weight="1.25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695104" behindDoc="0" locked="0" layoutInCell="1" allowOverlap="1">
                <wp:simplePos x="0" y="0"/>
                <wp:positionH relativeFrom="column">
                  <wp:posOffset>4587875</wp:posOffset>
                </wp:positionH>
                <wp:positionV relativeFrom="paragraph">
                  <wp:posOffset>667385</wp:posOffset>
                </wp:positionV>
                <wp:extent cx="1049020" cy="452755"/>
                <wp:effectExtent l="7620" t="7620" r="10160" b="15875"/>
                <wp:wrapNone/>
                <wp:docPr id="63" name="圆角矩形 63"/>
                <wp:cNvGraphicFramePr/>
                <a:graphic xmlns:a="http://schemas.openxmlformats.org/drawingml/2006/main">
                  <a:graphicData uri="http://schemas.microsoft.com/office/word/2010/wordprocessingShape">
                    <wps:wsp>
                      <wps:cNvSpPr>
                        <a:spLocks noChangeArrowheads="1"/>
                      </wps:cNvSpPr>
                      <wps:spPr bwMode="auto">
                        <a:xfrm>
                          <a:off x="0" y="0"/>
                          <a:ext cx="1049020" cy="452755"/>
                        </a:xfrm>
                        <a:prstGeom prst="roundRect">
                          <a:avLst>
                            <a:gd name="adj" fmla="val 16667"/>
                          </a:avLst>
                        </a:prstGeom>
                        <a:gradFill rotWithShape="0">
                          <a:gsLst>
                            <a:gs pos="0">
                              <a:srgbClr val="FFFFFF"/>
                            </a:gs>
                            <a:gs pos="100000">
                              <a:srgbClr val="FFFFFF"/>
                            </a:gs>
                          </a:gsLst>
                          <a:lin ang="0"/>
                        </a:gradFill>
                        <a:ln w="15875">
                          <a:solidFill>
                            <a:srgbClr val="000000"/>
                          </a:solidFill>
                          <a:round/>
                        </a:ln>
                        <a:effectLst/>
                      </wps:spPr>
                      <wps:txbx>
                        <w:txbxContent>
                          <w:p>
                            <w:pPr>
                              <w:jc w:val="center"/>
                            </w:pPr>
                            <w:r>
                              <w:rPr>
                                <w:rFonts w:hint="eastAsia"/>
                              </w:rPr>
                              <w:t>储气罐</w:t>
                            </w:r>
                          </w:p>
                        </w:txbxContent>
                      </wps:txbx>
                      <wps:bodyPr rot="0" vert="horz" wrap="square" lIns="91439" tIns="45720" rIns="91439" bIns="45720" anchor="t" anchorCtr="0" upright="1">
                        <a:noAutofit/>
                      </wps:bodyPr>
                    </wps:wsp>
                  </a:graphicData>
                </a:graphic>
              </wp:anchor>
            </w:drawing>
          </mc:Choice>
          <mc:Fallback>
            <w:pict>
              <v:roundrect id="_x0000_s1026" o:spid="_x0000_s1026" o:spt="2" style="position:absolute;left:0pt;margin-left:361.25pt;margin-top:52.55pt;height:35.65pt;width:82.6pt;z-index:251695104;mso-width-relative:page;mso-height-relative:page;" fillcolor="#FFFFFF" filled="t" stroked="t" coordsize="21600,21600" arcsize="0.166666666666667" o:gfxdata="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v&#10;tHVP2wAAAAsBAAAPAAAAAAAAAAEAIAAAACIAAABkcnMvZG93bnJldi54bWxQSwECFAAUAAAACACH&#10;TuJAWDOHNZMCAAAvBQAADgAAAAAAAAABACAAAAAqAQAAZHJzL2Uyb0RvYy54bWxQSwUGAAAAAAYA&#10;BgBZAQAALwYAAAAA&#10;">
                <v:fill type="gradient" on="t" color2="#FFFFFF" angle="90" focus="100%" focussize="0,0">
                  <o:fill type="gradientUnscaled" v:ext="backwardCompatible"/>
                </v:fill>
                <v:stroke weight="1.25pt" color="#000000" joinstyle="round"/>
                <v:imagedata o:title=""/>
                <o:lock v:ext="edit" aspectratio="f"/>
                <v:textbox inset="7.19992125984252pt,1.27mm,7.19992125984252pt,1.27mm">
                  <w:txbxContent>
                    <w:p>
                      <w:pPr>
                        <w:jc w:val="center"/>
                      </w:pPr>
                      <w:r>
                        <w:rPr>
                          <w:rFonts w:hint="eastAsia"/>
                        </w:rPr>
                        <w:t>储气罐</w:t>
                      </w:r>
                    </w:p>
                  </w:txbxContent>
                </v:textbox>
              </v:roundrect>
            </w:pict>
          </mc:Fallback>
        </mc:AlternateContent>
      </w:r>
      <w:r>
        <w:rPr>
          <w:highlight w:val="none"/>
        </w:rPr>
        <mc:AlternateContent>
          <mc:Choice Requires="wps">
            <w:drawing>
              <wp:anchor distT="0" distB="0" distL="114300" distR="114300" simplePos="0" relativeHeight="251692032" behindDoc="0" locked="0" layoutInCell="1" allowOverlap="1">
                <wp:simplePos x="0" y="0"/>
                <wp:positionH relativeFrom="column">
                  <wp:posOffset>3785870</wp:posOffset>
                </wp:positionH>
                <wp:positionV relativeFrom="paragraph">
                  <wp:posOffset>2540</wp:posOffset>
                </wp:positionV>
                <wp:extent cx="390525" cy="152400"/>
                <wp:effectExtent l="7620" t="16510" r="20955" b="21590"/>
                <wp:wrapNone/>
                <wp:docPr id="61" name="左箭头 61"/>
                <wp:cNvGraphicFramePr/>
                <a:graphic xmlns:a="http://schemas.openxmlformats.org/drawingml/2006/main">
                  <a:graphicData uri="http://schemas.microsoft.com/office/word/2010/wordprocessingShape">
                    <wps:wsp>
                      <wps:cNvSpPr>
                        <a:spLocks noChangeArrowheads="1"/>
                      </wps:cNvSpPr>
                      <wps:spPr bwMode="auto">
                        <a:xfrm rot="10800000">
                          <a:off x="0" y="0"/>
                          <a:ext cx="390525" cy="152400"/>
                        </a:xfrm>
                        <a:prstGeom prst="leftArrow">
                          <a:avLst>
                            <a:gd name="adj1" fmla="val 50000"/>
                            <a:gd name="adj2" fmla="val 64063"/>
                          </a:avLst>
                        </a:prstGeom>
                        <a:gradFill rotWithShape="0">
                          <a:gsLst>
                            <a:gs pos="0">
                              <a:srgbClr val="FFFFFF"/>
                            </a:gs>
                            <a:gs pos="100000">
                              <a:srgbClr val="FFFFFF"/>
                            </a:gs>
                          </a:gsLst>
                          <a:lin ang="0"/>
                        </a:gradFill>
                        <a:ln w="1587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66" type="#_x0000_t66" style="position:absolute;left:0pt;margin-left:298.1pt;margin-top:0.2pt;height:12pt;width:30.75pt;rotation:11796480f;z-index:251692032;mso-width-relative:page;mso-height-relative:page;" fillcolor="#FFFFFF" filled="t" stroked="t" coordsize="21600,21600" o:gfxdata="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xZXXdgAAAAHAQAADwAAAAAAAAABACAAAAAiAAAAZHJzL2Rvd25yZXYueG1sUEsBAhQAFAAA&#10;AAgAh07iQKJk7aGaAgAAYQUAAA4AAAAAAAAAAQAgAAAAJwEAAGRycy9lMm9Eb2MueG1sUEsFBgAA&#10;AAAGAAYAWQEAADMGAAAAAA==&#10;" adj="5400,5400">
                <v:fill type="gradient" on="t" color2="#FFFFFF" angle="90" focus="100%" focussize="0,0">
                  <o:fill type="gradientUnscaled" v:ext="backwardCompatible"/>
                </v:fill>
                <v:stroke weight="1.25pt" color="#000000" miterlimit="8" joinstyle="miter"/>
                <v:imagedata o:title=""/>
                <o:lock v:ext="edit" aspectratio="f"/>
              </v:shape>
            </w:pict>
          </mc:Fallback>
        </mc:AlternateContent>
      </w:r>
    </w:p>
    <w:p>
      <w:pPr>
        <w:rPr>
          <w:rFonts w:ascii="宋体" w:hAnsi="宋体" w:cs="Calibri"/>
          <w:b/>
          <w:color w:val="595959"/>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4991735</wp:posOffset>
                </wp:positionH>
                <wp:positionV relativeFrom="paragraph">
                  <wp:posOffset>48895</wp:posOffset>
                </wp:positionV>
                <wp:extent cx="152400" cy="361950"/>
                <wp:effectExtent l="17145" t="7620" r="20955" b="30480"/>
                <wp:wrapNone/>
                <wp:docPr id="56" name="下箭头 56"/>
                <wp:cNvGraphicFramePr/>
                <a:graphic xmlns:a="http://schemas.openxmlformats.org/drawingml/2006/main">
                  <a:graphicData uri="http://schemas.microsoft.com/office/word/2010/wordprocessingShape">
                    <wps:wsp>
                      <wps:cNvSpPr>
                        <a:spLocks noChangeArrowheads="1"/>
                      </wps:cNvSpPr>
                      <wps:spPr bwMode="auto">
                        <a:xfrm>
                          <a:off x="0" y="0"/>
                          <a:ext cx="152400" cy="361950"/>
                        </a:xfrm>
                        <a:prstGeom prst="downArrow">
                          <a:avLst>
                            <a:gd name="adj1" fmla="val 50000"/>
                            <a:gd name="adj2" fmla="val 59375"/>
                          </a:avLst>
                        </a:prstGeom>
                        <a:gradFill rotWithShape="0">
                          <a:gsLst>
                            <a:gs pos="0">
                              <a:srgbClr val="FFFFFF"/>
                            </a:gs>
                            <a:gs pos="100000">
                              <a:srgbClr val="FFFFFF"/>
                            </a:gs>
                          </a:gsLst>
                          <a:lin ang="0"/>
                        </a:gradFill>
                        <a:ln w="15875">
                          <a:solidFill>
                            <a:srgbClr val="000000"/>
                          </a:solidFill>
                          <a:miter lim="800000"/>
                        </a:ln>
                        <a:effectLst/>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393.05pt;margin-top:3.85pt;height:28.5pt;width:12pt;z-index:251694080;mso-width-relative:page;mso-height-relative:page;" fillcolor="#FFFFFF" filled="t" stroked="t" coordsize="21600,21600" o:gfxdata="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e4TVvX&#10;AAAACAEAAA8AAAAAAAAAAQAgAAAAIgAAAGRycy9kb3ducmV2LnhtbFBLAQIUABQAAAAIAIdO4kBC&#10;giwLkwIAAFQFAAAOAAAAAAAAAAEAIAAAACYBAABkcnMvZTJvRG9jLnhtbFBLBQYAAAAABgAGAFkB&#10;AAArBgAAAAA=&#10;" adj="16200,5400">
                <v:fill type="gradient" on="t" color2="#FFFFFF" angle="90" focus="100%" focussize="0,0">
                  <o:fill type="gradientUnscaled" v:ext="backwardCompatible"/>
                </v:fill>
                <v:stroke weight="1.25pt" color="#000000" miterlimit="8" joinstyle="miter"/>
                <v:imagedata o:title=""/>
                <o:lock v:ext="edit" aspectratio="f"/>
                <v:textbox style="layout-flow:vertical-ideographic;"/>
              </v:shape>
            </w:pict>
          </mc:Fallback>
        </mc:AlternateContent>
      </w:r>
    </w:p>
    <w:p>
      <w:pPr>
        <w:rPr>
          <w:rFonts w:ascii="宋体" w:hAnsi="宋体" w:cs="Calibri"/>
          <w:b/>
          <w:color w:val="595959"/>
          <w:highlight w:val="none"/>
        </w:rPr>
      </w:pPr>
      <w:r>
        <w:rPr>
          <w:highlight w:val="none"/>
        </w:rPr>
        <mc:AlternateContent>
          <mc:Choice Requires="wps">
            <w:drawing>
              <wp:anchor distT="0" distB="0" distL="114300" distR="114300" simplePos="0" relativeHeight="251697152" behindDoc="0" locked="0" layoutInCell="1" allowOverlap="1">
                <wp:simplePos x="0" y="0"/>
                <wp:positionH relativeFrom="column">
                  <wp:posOffset>2939415</wp:posOffset>
                </wp:positionH>
                <wp:positionV relativeFrom="paragraph">
                  <wp:posOffset>144145</wp:posOffset>
                </wp:positionV>
                <wp:extent cx="1075690" cy="466725"/>
                <wp:effectExtent l="7620" t="7620" r="21590" b="20955"/>
                <wp:wrapNone/>
                <wp:docPr id="18" name="圆角矩形 18"/>
                <wp:cNvGraphicFramePr/>
                <a:graphic xmlns:a="http://schemas.openxmlformats.org/drawingml/2006/main">
                  <a:graphicData uri="http://schemas.microsoft.com/office/word/2010/wordprocessingShape">
                    <wps:wsp>
                      <wps:cNvSpPr>
                        <a:spLocks noChangeArrowheads="1"/>
                      </wps:cNvSpPr>
                      <wps:spPr bwMode="auto">
                        <a:xfrm>
                          <a:off x="0" y="0"/>
                          <a:ext cx="1075690" cy="466725"/>
                        </a:xfrm>
                        <a:prstGeom prst="roundRect">
                          <a:avLst>
                            <a:gd name="adj" fmla="val 16667"/>
                          </a:avLst>
                        </a:prstGeom>
                        <a:gradFill rotWithShape="0">
                          <a:gsLst>
                            <a:gs pos="0">
                              <a:srgbClr val="FFFFFF"/>
                            </a:gs>
                            <a:gs pos="100000">
                              <a:srgbClr val="FFFFFF"/>
                            </a:gs>
                          </a:gsLst>
                          <a:lin ang="0"/>
                        </a:gradFill>
                        <a:ln w="15875">
                          <a:solidFill>
                            <a:srgbClr val="000000"/>
                          </a:solidFill>
                          <a:round/>
                        </a:ln>
                        <a:effectLst/>
                      </wps:spPr>
                      <wps:txbx>
                        <w:txbxContent>
                          <w:p>
                            <w:pPr>
                              <w:jc w:val="center"/>
                            </w:pPr>
                            <w:r>
                              <w:rPr>
                                <w:rFonts w:hint="eastAsia"/>
                              </w:rPr>
                              <w:t>用气点</w:t>
                            </w:r>
                          </w:p>
                        </w:txbxContent>
                      </wps:txbx>
                      <wps:bodyPr rot="0" vert="horz" wrap="square" lIns="91439" tIns="45720" rIns="91439" bIns="45720" anchor="t" anchorCtr="0" upright="1">
                        <a:noAutofit/>
                      </wps:bodyPr>
                    </wps:wsp>
                  </a:graphicData>
                </a:graphic>
              </wp:anchor>
            </w:drawing>
          </mc:Choice>
          <mc:Fallback>
            <w:pict>
              <v:roundrect id="_x0000_s1026" o:spid="_x0000_s1026" o:spt="2" style="position:absolute;left:0pt;margin-left:231.45pt;margin-top:11.35pt;height:36.75pt;width:84.7pt;z-index:251697152;mso-width-relative:page;mso-height-relative:page;" fillcolor="#FFFFFF" filled="t" stroked="t" coordsize="21600,21600" arcsize="0.166666666666667" o:gfxdata="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izc&#10;WNoAAAAJAQAADwAAAAAAAAABACAAAAAiAAAAZHJzL2Rvd25yZXYueG1sUEsBAhQAFAAAAAgAh07i&#10;QHSV2/GSAgAALwUAAA4AAAAAAAAAAQAgAAAAKQEAAGRycy9lMm9Eb2MueG1sUEsFBgAAAAAGAAYA&#10;WQEAAC0GAAAAAA==&#10;">
                <v:fill type="gradient" on="t" color2="#FFFFFF" angle="90" focus="100%" focussize="0,0">
                  <o:fill type="gradientUnscaled" v:ext="backwardCompatible"/>
                </v:fill>
                <v:stroke weight="1.25pt" color="#000000" joinstyle="round"/>
                <v:imagedata o:title=""/>
                <o:lock v:ext="edit" aspectratio="f"/>
                <v:textbox inset="7.19992125984252pt,1.27mm,7.19992125984252pt,1.27mm">
                  <w:txbxContent>
                    <w:p>
                      <w:pPr>
                        <w:jc w:val="center"/>
                      </w:pPr>
                      <w:r>
                        <w:rPr>
                          <w:rFonts w:hint="eastAsia"/>
                        </w:rPr>
                        <w:t>用气点</w:t>
                      </w:r>
                    </w:p>
                  </w:txbxContent>
                </v:textbox>
              </v:roundrect>
            </w:pict>
          </mc:Fallback>
        </mc:AlternateContent>
      </w:r>
    </w:p>
    <w:p>
      <w:pPr>
        <w:pStyle w:val="8"/>
        <w:ind w:left="840" w:firstLine="480"/>
        <w:outlineLvl w:val="2"/>
        <w:rPr>
          <w:highlight w:val="none"/>
        </w:rPr>
      </w:pPr>
    </w:p>
    <w:p>
      <w:pPr>
        <w:pStyle w:val="8"/>
        <w:ind w:left="840"/>
        <w:outlineLvl w:val="2"/>
        <w:rPr>
          <w:highlight w:val="none"/>
        </w:rPr>
      </w:pPr>
      <w:r>
        <w:rPr>
          <w:rFonts w:hint="eastAsia"/>
          <w:b/>
          <w:highlight w:val="none"/>
        </w:rPr>
        <w:t>1</w:t>
      </w:r>
      <w:r>
        <w:rPr>
          <w:b/>
          <w:highlight w:val="none"/>
        </w:rPr>
        <w:t xml:space="preserve">.2 </w:t>
      </w:r>
      <w:r>
        <w:rPr>
          <w:rFonts w:hint="eastAsia" w:ascii="宋体" w:hAnsi="宋体" w:cs="微软雅黑"/>
          <w:b/>
          <w:sz w:val="24"/>
          <w:highlight w:val="none"/>
        </w:rPr>
        <w:t>主要</w:t>
      </w:r>
      <w:r>
        <w:rPr>
          <w:rFonts w:hint="eastAsia" w:ascii="宋体" w:hAnsi="宋体" w:cs="微软雅黑"/>
          <w:b/>
          <w:highlight w:val="none"/>
        </w:rPr>
        <w:t>设备参数</w:t>
      </w:r>
      <w:r>
        <w:rPr>
          <w:rFonts w:hint="eastAsia" w:ascii="宋体" w:hAnsi="宋体" w:cs="微软雅黑"/>
          <w:b/>
          <w:sz w:val="24"/>
          <w:highlight w:val="none"/>
        </w:rPr>
        <w:t>需求一览表</w:t>
      </w:r>
    </w:p>
    <w:p>
      <w:pPr>
        <w:pStyle w:val="8"/>
        <w:ind w:left="840" w:firstLine="480"/>
        <w:rPr>
          <w:highlight w:val="none"/>
        </w:rPr>
      </w:pPr>
    </w:p>
    <w:tbl>
      <w:tblPr>
        <w:tblStyle w:val="16"/>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18"/>
        <w:gridCol w:w="1276"/>
        <w:gridCol w:w="708"/>
        <w:gridCol w:w="3937"/>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08" w:type="dxa"/>
            <w:shd w:val="clear" w:color="auto" w:fill="FFFFFF"/>
            <w:noWrap w:val="0"/>
            <w:vAlign w:val="center"/>
          </w:tcPr>
          <w:p>
            <w:pPr>
              <w:pStyle w:val="8"/>
              <w:spacing w:line="200" w:lineRule="exact"/>
              <w:ind w:left="840"/>
              <w:jc w:val="center"/>
              <w:rPr>
                <w:rFonts w:ascii="宋体" w:hAnsi="宋体"/>
                <w:szCs w:val="21"/>
                <w:highlight w:val="none"/>
              </w:rPr>
            </w:pPr>
            <w:r>
              <w:rPr>
                <w:rFonts w:hint="eastAsia" w:ascii="宋体" w:hAnsi="宋体"/>
                <w:szCs w:val="21"/>
                <w:highlight w:val="none"/>
              </w:rPr>
              <w:t>序号</w:t>
            </w:r>
          </w:p>
        </w:tc>
        <w:tc>
          <w:tcPr>
            <w:tcW w:w="1418" w:type="dxa"/>
            <w:shd w:val="clear" w:color="auto" w:fill="FFFFFF"/>
            <w:noWrap w:val="0"/>
            <w:vAlign w:val="center"/>
          </w:tcPr>
          <w:p>
            <w:pPr>
              <w:pStyle w:val="8"/>
              <w:spacing w:line="200" w:lineRule="exact"/>
              <w:ind w:left="840"/>
              <w:jc w:val="center"/>
              <w:rPr>
                <w:rFonts w:ascii="宋体" w:hAnsi="宋体"/>
                <w:szCs w:val="21"/>
                <w:highlight w:val="none"/>
              </w:rPr>
            </w:pPr>
            <w:r>
              <w:rPr>
                <w:rFonts w:hint="eastAsia" w:ascii="宋体" w:hAnsi="宋体"/>
                <w:szCs w:val="21"/>
                <w:highlight w:val="none"/>
              </w:rPr>
              <w:t>型号</w:t>
            </w:r>
          </w:p>
        </w:tc>
        <w:tc>
          <w:tcPr>
            <w:tcW w:w="1276" w:type="dxa"/>
            <w:shd w:val="clear" w:color="auto" w:fill="FFFFFF"/>
            <w:noWrap w:val="0"/>
            <w:vAlign w:val="top"/>
          </w:tcPr>
          <w:p>
            <w:pPr>
              <w:pStyle w:val="8"/>
              <w:spacing w:line="200" w:lineRule="exact"/>
              <w:ind w:left="840"/>
              <w:jc w:val="center"/>
              <w:rPr>
                <w:rFonts w:ascii="宋体" w:hAnsi="宋体"/>
                <w:szCs w:val="21"/>
                <w:highlight w:val="none"/>
              </w:rPr>
            </w:pPr>
            <w:r>
              <w:rPr>
                <w:rFonts w:hint="eastAsia" w:ascii="宋体" w:hAnsi="宋体"/>
                <w:szCs w:val="21"/>
                <w:highlight w:val="none"/>
              </w:rPr>
              <w:t>品牌</w:t>
            </w:r>
          </w:p>
        </w:tc>
        <w:tc>
          <w:tcPr>
            <w:tcW w:w="708" w:type="dxa"/>
            <w:shd w:val="clear" w:color="auto" w:fill="FFFFFF"/>
            <w:noWrap w:val="0"/>
            <w:vAlign w:val="center"/>
          </w:tcPr>
          <w:p>
            <w:pPr>
              <w:pStyle w:val="8"/>
              <w:spacing w:line="200" w:lineRule="exact"/>
              <w:ind w:left="840"/>
              <w:jc w:val="center"/>
              <w:rPr>
                <w:rFonts w:ascii="宋体" w:hAnsi="宋体"/>
                <w:szCs w:val="21"/>
                <w:highlight w:val="none"/>
              </w:rPr>
            </w:pPr>
            <w:r>
              <w:rPr>
                <w:rFonts w:hint="eastAsia" w:ascii="宋体" w:hAnsi="宋体"/>
                <w:szCs w:val="21"/>
                <w:highlight w:val="none"/>
              </w:rPr>
              <w:t>数量</w:t>
            </w:r>
          </w:p>
        </w:tc>
        <w:tc>
          <w:tcPr>
            <w:tcW w:w="3937" w:type="dxa"/>
            <w:shd w:val="clear" w:color="auto" w:fill="FFFFFF"/>
            <w:noWrap w:val="0"/>
            <w:vAlign w:val="center"/>
          </w:tcPr>
          <w:p>
            <w:pPr>
              <w:pStyle w:val="8"/>
              <w:spacing w:line="200" w:lineRule="exact"/>
              <w:ind w:left="840"/>
              <w:jc w:val="center"/>
              <w:rPr>
                <w:rFonts w:ascii="宋体" w:hAnsi="宋体"/>
                <w:szCs w:val="21"/>
                <w:highlight w:val="none"/>
              </w:rPr>
            </w:pPr>
            <w:r>
              <w:rPr>
                <w:rFonts w:hint="eastAsia" w:ascii="宋体" w:hAnsi="宋体"/>
                <w:szCs w:val="21"/>
                <w:highlight w:val="none"/>
              </w:rPr>
              <w:t>配置参数</w:t>
            </w:r>
          </w:p>
        </w:tc>
        <w:tc>
          <w:tcPr>
            <w:tcW w:w="1871" w:type="dxa"/>
            <w:shd w:val="clear" w:color="auto" w:fill="FFFFFF"/>
            <w:noWrap w:val="0"/>
            <w:vAlign w:val="center"/>
          </w:tcPr>
          <w:p>
            <w:pPr>
              <w:pStyle w:val="8"/>
              <w:spacing w:line="200" w:lineRule="exact"/>
              <w:ind w:left="840"/>
              <w:jc w:val="center"/>
              <w:rPr>
                <w:rFonts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708" w:type="dxa"/>
            <w:vMerge w:val="restart"/>
            <w:shd w:val="clear" w:color="auto" w:fill="FFFFFF"/>
            <w:noWrap w:val="0"/>
            <w:vAlign w:val="center"/>
          </w:tcPr>
          <w:p>
            <w:pPr>
              <w:pStyle w:val="8"/>
              <w:spacing w:line="200" w:lineRule="exact"/>
              <w:ind w:left="840"/>
              <w:jc w:val="center"/>
              <w:rPr>
                <w:rFonts w:ascii="宋体" w:hAnsi="宋体"/>
                <w:szCs w:val="21"/>
                <w:highlight w:val="none"/>
              </w:rPr>
            </w:pPr>
            <w:r>
              <w:rPr>
                <w:rFonts w:hint="eastAsia" w:ascii="宋体" w:hAnsi="宋体"/>
                <w:szCs w:val="21"/>
                <w:highlight w:val="none"/>
              </w:rPr>
              <w:t>1</w:t>
            </w: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水冷无油离心空压机</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英格索兰/寿力/</w:t>
            </w:r>
          </w:p>
          <w:p>
            <w:pPr>
              <w:pStyle w:val="8"/>
              <w:spacing w:line="200" w:lineRule="exact"/>
              <w:ind w:left="840"/>
              <w:rPr>
                <w:rFonts w:ascii="宋体" w:hAnsi="宋体"/>
                <w:szCs w:val="21"/>
                <w:highlight w:val="none"/>
              </w:rPr>
            </w:pPr>
            <w:r>
              <w:rPr>
                <w:rFonts w:hint="eastAsia" w:ascii="宋体" w:hAnsi="宋体"/>
                <w:szCs w:val="21"/>
                <w:highlight w:val="none"/>
              </w:rPr>
              <w:t>阿特拉斯</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2台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产量：1</w:t>
            </w:r>
            <w:r>
              <w:rPr>
                <w:rFonts w:ascii="宋体" w:hAnsi="宋体"/>
                <w:szCs w:val="21"/>
                <w:highlight w:val="none"/>
              </w:rPr>
              <w:t>10</w:t>
            </w:r>
            <w:r>
              <w:rPr>
                <w:rFonts w:hint="eastAsia" w:ascii="宋体" w:hAnsi="宋体"/>
                <w:szCs w:val="21"/>
                <w:highlight w:val="none"/>
              </w:rPr>
              <w:t>m³</w:t>
            </w:r>
            <w:r>
              <w:rPr>
                <w:rFonts w:ascii="宋体" w:hAnsi="宋体"/>
                <w:szCs w:val="21"/>
                <w:highlight w:val="none"/>
              </w:rPr>
              <w:t>/</w:t>
            </w:r>
            <w:r>
              <w:rPr>
                <w:rFonts w:hint="eastAsia" w:ascii="宋体" w:hAnsi="宋体"/>
                <w:szCs w:val="21"/>
                <w:highlight w:val="none"/>
              </w:rPr>
              <w:t>min。</w:t>
            </w:r>
          </w:p>
          <w:p>
            <w:pPr>
              <w:pStyle w:val="8"/>
              <w:spacing w:line="200" w:lineRule="exact"/>
              <w:ind w:left="840"/>
              <w:rPr>
                <w:rFonts w:ascii="宋体" w:hAnsi="宋体"/>
                <w:szCs w:val="21"/>
                <w:highlight w:val="none"/>
              </w:rPr>
            </w:pPr>
            <w:r>
              <w:rPr>
                <w:rFonts w:hint="eastAsia" w:ascii="宋体" w:hAnsi="宋体"/>
                <w:szCs w:val="21"/>
                <w:highlight w:val="none"/>
              </w:rPr>
              <w:t>电压：1</w:t>
            </w:r>
            <w:r>
              <w:rPr>
                <w:rFonts w:ascii="宋体" w:hAnsi="宋体"/>
                <w:szCs w:val="21"/>
                <w:highlight w:val="none"/>
              </w:rPr>
              <w:t>0</w:t>
            </w:r>
            <w:r>
              <w:rPr>
                <w:rFonts w:hint="eastAsia" w:ascii="宋体" w:hAnsi="宋体"/>
                <w:szCs w:val="21"/>
                <w:highlight w:val="none"/>
              </w:rPr>
              <w:t>kV±1</w:t>
            </w:r>
            <w:r>
              <w:rPr>
                <w:rFonts w:ascii="宋体" w:hAnsi="宋体"/>
                <w:szCs w:val="21"/>
                <w:highlight w:val="none"/>
              </w:rPr>
              <w:t>0%</w:t>
            </w:r>
            <w:r>
              <w:rPr>
                <w:rFonts w:hint="eastAsia" w:ascii="宋体" w:hAnsi="宋体"/>
                <w:szCs w:val="21"/>
                <w:highlight w:val="none"/>
              </w:rPr>
              <w:t>；</w:t>
            </w:r>
          </w:p>
          <w:p>
            <w:pPr>
              <w:pStyle w:val="8"/>
              <w:spacing w:line="200" w:lineRule="exact"/>
              <w:ind w:left="840"/>
              <w:rPr>
                <w:rFonts w:ascii="宋体" w:hAnsi="宋体"/>
                <w:szCs w:val="21"/>
                <w:highlight w:val="none"/>
              </w:rPr>
            </w:pPr>
            <w:r>
              <w:rPr>
                <w:rFonts w:hint="eastAsia" w:ascii="宋体" w:hAnsi="宋体"/>
                <w:szCs w:val="21"/>
                <w:highlight w:val="none"/>
              </w:rPr>
              <w:t>气压：</w:t>
            </w:r>
            <w:r>
              <w:rPr>
                <w:rFonts w:ascii="宋体" w:hAnsi="宋体"/>
                <w:szCs w:val="21"/>
                <w:highlight w:val="none"/>
              </w:rPr>
              <w:t>0.85MP</w:t>
            </w:r>
            <w:r>
              <w:rPr>
                <w:rFonts w:hint="eastAsia" w:ascii="宋体" w:hAnsi="宋体"/>
                <w:szCs w:val="21"/>
                <w:highlight w:val="none"/>
              </w:rPr>
              <w:t>a；</w:t>
            </w:r>
          </w:p>
          <w:p>
            <w:pPr>
              <w:pStyle w:val="8"/>
              <w:spacing w:line="200" w:lineRule="exact"/>
              <w:ind w:left="840"/>
              <w:rPr>
                <w:rFonts w:ascii="宋体" w:hAnsi="宋体"/>
                <w:szCs w:val="21"/>
                <w:highlight w:val="none"/>
              </w:rPr>
            </w:pPr>
            <w:r>
              <w:rPr>
                <w:rFonts w:hint="eastAsia" w:ascii="宋体" w:hAnsi="宋体"/>
                <w:szCs w:val="21"/>
                <w:highlight w:val="none"/>
              </w:rPr>
              <w:t>电机品牌：</w:t>
            </w:r>
            <w:r>
              <w:rPr>
                <w:rFonts w:ascii="宋体" w:hAnsi="宋体"/>
                <w:szCs w:val="21"/>
                <w:highlight w:val="none"/>
              </w:rPr>
              <w:t>ABB/</w:t>
            </w:r>
            <w:r>
              <w:rPr>
                <w:rFonts w:hint="eastAsia" w:ascii="宋体" w:hAnsi="宋体"/>
                <w:szCs w:val="21"/>
                <w:highlight w:val="none"/>
              </w:rPr>
              <w:t>西门子/空压机同品牌，自带进气过滤器、消音器、高压启动柜</w:t>
            </w:r>
          </w:p>
        </w:tc>
        <w:tc>
          <w:tcPr>
            <w:tcW w:w="1871" w:type="dxa"/>
            <w:shd w:val="clear" w:color="auto" w:fill="auto"/>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离心机和螺杆机需同一品牌，单台产气量范围1</w:t>
            </w:r>
            <w:r>
              <w:rPr>
                <w:rFonts w:ascii="宋体" w:hAnsi="宋体"/>
                <w:szCs w:val="21"/>
                <w:highlight w:val="none"/>
              </w:rPr>
              <w:t>10</w:t>
            </w:r>
            <w:r>
              <w:rPr>
                <w:rFonts w:hint="eastAsia" w:ascii="宋体" w:hAnsi="宋体"/>
                <w:szCs w:val="21"/>
                <w:highlight w:val="none"/>
              </w:rPr>
              <w:t>~</w:t>
            </w:r>
            <w:r>
              <w:rPr>
                <w:rFonts w:ascii="宋体" w:hAnsi="宋体"/>
                <w:szCs w:val="21"/>
                <w:highlight w:val="none"/>
              </w:rPr>
              <w:t>120</w:t>
            </w:r>
            <w:r>
              <w:rPr>
                <w:rFonts w:hint="eastAsia" w:ascii="宋体" w:hAnsi="宋体"/>
                <w:szCs w:val="21"/>
                <w:highlight w:val="none"/>
              </w:rPr>
              <w:t>m³</w:t>
            </w:r>
            <w:r>
              <w:rPr>
                <w:rFonts w:ascii="宋体" w:hAnsi="宋体"/>
                <w:szCs w:val="21"/>
                <w:highlight w:val="none"/>
              </w:rPr>
              <w:t>/</w:t>
            </w:r>
            <w:r>
              <w:rPr>
                <w:rFonts w:hint="eastAsia" w:ascii="宋体" w:hAnsi="宋体"/>
                <w:szCs w:val="21"/>
                <w:highlight w:val="none"/>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压缩热再生干燥机</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汉克森/</w:t>
            </w:r>
            <w:r>
              <w:rPr>
                <w:rFonts w:ascii="宋体" w:hAnsi="宋体"/>
                <w:szCs w:val="21"/>
                <w:highlight w:val="none"/>
              </w:rPr>
              <w:t>多米尼克</w:t>
            </w:r>
            <w:r>
              <w:rPr>
                <w:rFonts w:hint="eastAsia" w:ascii="宋体" w:hAnsi="宋体"/>
                <w:szCs w:val="21"/>
                <w:highlight w:val="none"/>
              </w:rPr>
              <w:t>/贝克欧/同空压机品牌</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2台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流量：适配离心机；</w:t>
            </w:r>
          </w:p>
          <w:p>
            <w:pPr>
              <w:pStyle w:val="8"/>
              <w:spacing w:line="200" w:lineRule="exact"/>
              <w:ind w:left="840"/>
              <w:rPr>
                <w:rFonts w:ascii="宋体" w:hAnsi="宋体"/>
                <w:szCs w:val="21"/>
                <w:highlight w:val="none"/>
              </w:rPr>
            </w:pPr>
            <w:r>
              <w:rPr>
                <w:rFonts w:hint="eastAsia" w:ascii="宋体" w:hAnsi="宋体"/>
                <w:szCs w:val="21"/>
                <w:highlight w:val="none"/>
              </w:rPr>
              <w:t>压力：PN=</w:t>
            </w:r>
            <w:r>
              <w:rPr>
                <w:rFonts w:ascii="宋体" w:hAnsi="宋体"/>
                <w:szCs w:val="21"/>
                <w:highlight w:val="none"/>
              </w:rPr>
              <w:t>0.85</w:t>
            </w:r>
            <w:r>
              <w:rPr>
                <w:rFonts w:hint="eastAsia" w:ascii="宋体" w:hAnsi="宋体"/>
                <w:szCs w:val="21"/>
                <w:highlight w:val="none"/>
              </w:rPr>
              <w:t>Mpa；保证成品常压露点≤-</w:t>
            </w:r>
            <w:r>
              <w:rPr>
                <w:rFonts w:ascii="宋体" w:hAnsi="宋体"/>
                <w:szCs w:val="21"/>
                <w:highlight w:val="none"/>
              </w:rPr>
              <w:t>60</w:t>
            </w:r>
            <w:r>
              <w:rPr>
                <w:rFonts w:hint="eastAsia" w:ascii="宋体" w:hAnsi="宋体"/>
                <w:szCs w:val="21"/>
                <w:highlight w:val="none"/>
              </w:rPr>
              <w:t>℃、自耗气量为≤</w:t>
            </w:r>
            <w:r>
              <w:rPr>
                <w:rFonts w:ascii="宋体" w:hAnsi="宋体"/>
                <w:szCs w:val="21"/>
                <w:highlight w:val="none"/>
              </w:rPr>
              <w:t>3</w:t>
            </w:r>
            <w:r>
              <w:rPr>
                <w:rFonts w:hint="eastAsia" w:ascii="宋体" w:hAnsi="宋体"/>
                <w:szCs w:val="21"/>
                <w:highlight w:val="none"/>
              </w:rPr>
              <w:t>%；</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需与离心空压机一一对应匹配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SS304除尘过滤器</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汉克森/</w:t>
            </w:r>
            <w:r>
              <w:rPr>
                <w:rFonts w:ascii="宋体" w:hAnsi="宋体"/>
                <w:szCs w:val="21"/>
                <w:highlight w:val="none"/>
              </w:rPr>
              <w:t>多米尼克</w:t>
            </w:r>
            <w:r>
              <w:rPr>
                <w:rFonts w:hint="eastAsia" w:ascii="宋体" w:hAnsi="宋体"/>
                <w:szCs w:val="21"/>
                <w:highlight w:val="none"/>
              </w:rPr>
              <w:t>/贝克欧/同空压机品牌</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2台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压力：PN=</w:t>
            </w:r>
            <w:r>
              <w:rPr>
                <w:rFonts w:ascii="宋体" w:hAnsi="宋体"/>
                <w:szCs w:val="21"/>
                <w:highlight w:val="none"/>
              </w:rPr>
              <w:t>0.85</w:t>
            </w:r>
            <w:r>
              <w:rPr>
                <w:rFonts w:hint="eastAsia" w:ascii="宋体" w:hAnsi="宋体"/>
                <w:szCs w:val="21"/>
                <w:highlight w:val="none"/>
              </w:rPr>
              <w:t>MPa，</w:t>
            </w:r>
          </w:p>
          <w:p>
            <w:pPr>
              <w:pStyle w:val="8"/>
              <w:spacing w:line="200" w:lineRule="exact"/>
              <w:ind w:left="840"/>
              <w:rPr>
                <w:rFonts w:ascii="宋体" w:hAnsi="宋体"/>
                <w:szCs w:val="21"/>
                <w:highlight w:val="none"/>
              </w:rPr>
            </w:pPr>
            <w:r>
              <w:rPr>
                <w:rFonts w:hint="eastAsia" w:ascii="宋体" w:hAnsi="宋体"/>
                <w:szCs w:val="21"/>
                <w:highlight w:val="none"/>
              </w:rPr>
              <w:t>过滤精度0.1um，</w:t>
            </w:r>
          </w:p>
          <w:p>
            <w:pPr>
              <w:pStyle w:val="8"/>
              <w:spacing w:line="200" w:lineRule="exact"/>
              <w:ind w:left="840"/>
              <w:rPr>
                <w:rFonts w:ascii="宋体" w:hAnsi="宋体"/>
                <w:szCs w:val="21"/>
                <w:highlight w:val="none"/>
              </w:rPr>
            </w:pPr>
            <w:r>
              <w:rPr>
                <w:rFonts w:hint="eastAsia" w:ascii="宋体" w:hAnsi="宋体"/>
                <w:szCs w:val="21"/>
                <w:highlight w:val="none"/>
              </w:rPr>
              <w:t>处理量：≥匹配对应离心空压机产气量1</w:t>
            </w:r>
            <w:r>
              <w:rPr>
                <w:rFonts w:ascii="宋体" w:hAnsi="宋体"/>
                <w:szCs w:val="21"/>
                <w:highlight w:val="none"/>
              </w:rPr>
              <w:t>.3</w:t>
            </w:r>
            <w:r>
              <w:rPr>
                <w:rFonts w:hint="eastAsia" w:ascii="宋体" w:hAnsi="宋体"/>
                <w:szCs w:val="21"/>
                <w:highlight w:val="none"/>
              </w:rPr>
              <w:t>倍（自带压差计、自动</w:t>
            </w:r>
            <w:r>
              <w:rPr>
                <w:rFonts w:ascii="宋体" w:hAnsi="宋体"/>
                <w:szCs w:val="21"/>
                <w:highlight w:val="none"/>
              </w:rPr>
              <w:t>排水</w:t>
            </w:r>
            <w:r>
              <w:rPr>
                <w:rFonts w:hint="eastAsia" w:ascii="宋体" w:hAnsi="宋体"/>
                <w:szCs w:val="21"/>
                <w:highlight w:val="none"/>
              </w:rPr>
              <w:t>阀、压力容器合格证）</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需与离心空压机一一对应匹配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SS304精密除尘过滤器</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汉克森/</w:t>
            </w:r>
            <w:r>
              <w:rPr>
                <w:rFonts w:ascii="宋体" w:hAnsi="宋体"/>
                <w:szCs w:val="21"/>
                <w:highlight w:val="none"/>
              </w:rPr>
              <w:t>多米尼克</w:t>
            </w:r>
            <w:r>
              <w:rPr>
                <w:rFonts w:hint="eastAsia" w:ascii="宋体" w:hAnsi="宋体"/>
                <w:szCs w:val="21"/>
                <w:highlight w:val="none"/>
              </w:rPr>
              <w:t>/贝克欧/同空压机品牌</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2台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压力：PN=</w:t>
            </w:r>
            <w:r>
              <w:rPr>
                <w:rFonts w:ascii="宋体" w:hAnsi="宋体"/>
                <w:szCs w:val="21"/>
                <w:highlight w:val="none"/>
              </w:rPr>
              <w:t>0.85</w:t>
            </w:r>
            <w:r>
              <w:rPr>
                <w:rFonts w:hint="eastAsia" w:ascii="宋体" w:hAnsi="宋体"/>
                <w:szCs w:val="21"/>
                <w:highlight w:val="none"/>
              </w:rPr>
              <w:t>MPa，</w:t>
            </w:r>
          </w:p>
          <w:p>
            <w:pPr>
              <w:pStyle w:val="8"/>
              <w:spacing w:line="200" w:lineRule="exact"/>
              <w:ind w:left="840"/>
              <w:rPr>
                <w:rFonts w:ascii="宋体" w:hAnsi="宋体"/>
                <w:szCs w:val="21"/>
                <w:highlight w:val="none"/>
              </w:rPr>
            </w:pPr>
            <w:r>
              <w:rPr>
                <w:rFonts w:hint="eastAsia" w:ascii="宋体" w:hAnsi="宋体"/>
                <w:szCs w:val="21"/>
                <w:highlight w:val="none"/>
              </w:rPr>
              <w:t>过滤精度0.</w:t>
            </w:r>
            <w:r>
              <w:rPr>
                <w:rFonts w:ascii="宋体" w:hAnsi="宋体"/>
                <w:szCs w:val="21"/>
                <w:highlight w:val="none"/>
              </w:rPr>
              <w:t>0</w:t>
            </w:r>
            <w:r>
              <w:rPr>
                <w:rFonts w:hint="eastAsia" w:ascii="宋体" w:hAnsi="宋体"/>
                <w:szCs w:val="21"/>
                <w:highlight w:val="none"/>
              </w:rPr>
              <w:t>1um，</w:t>
            </w:r>
          </w:p>
          <w:p>
            <w:pPr>
              <w:pStyle w:val="8"/>
              <w:spacing w:line="200" w:lineRule="exact"/>
              <w:ind w:left="840"/>
              <w:rPr>
                <w:rFonts w:ascii="宋体" w:hAnsi="宋体"/>
                <w:szCs w:val="21"/>
                <w:highlight w:val="none"/>
              </w:rPr>
            </w:pPr>
            <w:r>
              <w:rPr>
                <w:rFonts w:hint="eastAsia" w:ascii="宋体" w:hAnsi="宋体"/>
                <w:szCs w:val="21"/>
                <w:highlight w:val="none"/>
              </w:rPr>
              <w:t>处理量：≥匹配对应理想空压机产气量1</w:t>
            </w:r>
            <w:r>
              <w:rPr>
                <w:rFonts w:ascii="宋体" w:hAnsi="宋体"/>
                <w:szCs w:val="21"/>
                <w:highlight w:val="none"/>
              </w:rPr>
              <w:t>.3</w:t>
            </w:r>
            <w:r>
              <w:rPr>
                <w:rFonts w:hint="eastAsia" w:ascii="宋体" w:hAnsi="宋体"/>
                <w:szCs w:val="21"/>
                <w:highlight w:val="none"/>
              </w:rPr>
              <w:t>倍（自带压差计、自动</w:t>
            </w:r>
            <w:r>
              <w:rPr>
                <w:rFonts w:ascii="宋体" w:hAnsi="宋体"/>
                <w:szCs w:val="21"/>
                <w:highlight w:val="none"/>
              </w:rPr>
              <w:t>排水</w:t>
            </w:r>
            <w:r>
              <w:rPr>
                <w:rFonts w:hint="eastAsia" w:ascii="宋体" w:hAnsi="宋体"/>
                <w:szCs w:val="21"/>
                <w:highlight w:val="none"/>
              </w:rPr>
              <w:t>阀、压力容器合格证）</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需与离心空压机一一对应匹配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708" w:type="dxa"/>
            <w:vMerge w:val="restart"/>
            <w:shd w:val="clear" w:color="auto" w:fill="FFFFFF"/>
            <w:noWrap w:val="0"/>
            <w:vAlign w:val="center"/>
          </w:tcPr>
          <w:p>
            <w:pPr>
              <w:pStyle w:val="8"/>
              <w:spacing w:line="200" w:lineRule="exact"/>
              <w:ind w:left="840"/>
              <w:jc w:val="center"/>
              <w:rPr>
                <w:rFonts w:ascii="宋体" w:hAnsi="宋体"/>
                <w:szCs w:val="21"/>
                <w:highlight w:val="none"/>
              </w:rPr>
            </w:pPr>
            <w:r>
              <w:rPr>
                <w:rFonts w:hint="eastAsia" w:ascii="宋体" w:hAnsi="宋体"/>
                <w:szCs w:val="21"/>
                <w:highlight w:val="none"/>
              </w:rPr>
              <w:t>2</w:t>
            </w: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水冷无油离心空压机</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英格索兰/寿力/</w:t>
            </w:r>
          </w:p>
          <w:p>
            <w:pPr>
              <w:pStyle w:val="8"/>
              <w:spacing w:line="200" w:lineRule="exact"/>
              <w:ind w:left="840"/>
              <w:rPr>
                <w:rFonts w:ascii="宋体" w:hAnsi="宋体"/>
                <w:szCs w:val="21"/>
                <w:highlight w:val="none"/>
              </w:rPr>
            </w:pPr>
            <w:r>
              <w:rPr>
                <w:rFonts w:hint="eastAsia" w:ascii="宋体" w:hAnsi="宋体"/>
                <w:szCs w:val="21"/>
                <w:highlight w:val="none"/>
              </w:rPr>
              <w:t>阿特拉斯</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2台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产量：1</w:t>
            </w:r>
            <w:r>
              <w:rPr>
                <w:rFonts w:ascii="宋体" w:hAnsi="宋体"/>
                <w:szCs w:val="21"/>
                <w:highlight w:val="none"/>
              </w:rPr>
              <w:t>60</w:t>
            </w:r>
            <w:r>
              <w:rPr>
                <w:rFonts w:hint="eastAsia" w:ascii="宋体" w:hAnsi="宋体"/>
                <w:szCs w:val="21"/>
                <w:highlight w:val="none"/>
              </w:rPr>
              <w:t>m³</w:t>
            </w:r>
            <w:r>
              <w:rPr>
                <w:rFonts w:ascii="宋体" w:hAnsi="宋体"/>
                <w:szCs w:val="21"/>
                <w:highlight w:val="none"/>
              </w:rPr>
              <w:t>/</w:t>
            </w:r>
            <w:r>
              <w:rPr>
                <w:rFonts w:hint="eastAsia" w:ascii="宋体" w:hAnsi="宋体"/>
                <w:szCs w:val="21"/>
                <w:highlight w:val="none"/>
              </w:rPr>
              <w:t xml:space="preserve">min。 </w:t>
            </w:r>
            <w:r>
              <w:rPr>
                <w:rFonts w:ascii="宋体" w:hAnsi="宋体"/>
                <w:szCs w:val="21"/>
                <w:highlight w:val="none"/>
              </w:rPr>
              <w:t xml:space="preserve">            </w:t>
            </w:r>
          </w:p>
          <w:p>
            <w:pPr>
              <w:pStyle w:val="8"/>
              <w:spacing w:line="200" w:lineRule="exact"/>
              <w:ind w:left="840"/>
              <w:rPr>
                <w:rFonts w:ascii="宋体" w:hAnsi="宋体"/>
                <w:szCs w:val="21"/>
                <w:highlight w:val="none"/>
              </w:rPr>
            </w:pPr>
            <w:r>
              <w:rPr>
                <w:rFonts w:hint="eastAsia" w:ascii="宋体" w:hAnsi="宋体"/>
                <w:szCs w:val="21"/>
                <w:highlight w:val="none"/>
              </w:rPr>
              <w:t>电压：1</w:t>
            </w:r>
            <w:r>
              <w:rPr>
                <w:rFonts w:ascii="宋体" w:hAnsi="宋体"/>
                <w:szCs w:val="21"/>
                <w:highlight w:val="none"/>
              </w:rPr>
              <w:t>0</w:t>
            </w:r>
            <w:r>
              <w:rPr>
                <w:rFonts w:hint="eastAsia" w:ascii="宋体" w:hAnsi="宋体"/>
                <w:szCs w:val="21"/>
                <w:highlight w:val="none"/>
              </w:rPr>
              <w:t>kV±1</w:t>
            </w:r>
            <w:r>
              <w:rPr>
                <w:rFonts w:ascii="宋体" w:hAnsi="宋体"/>
                <w:szCs w:val="21"/>
                <w:highlight w:val="none"/>
              </w:rPr>
              <w:t>0%</w:t>
            </w:r>
            <w:r>
              <w:rPr>
                <w:rFonts w:hint="eastAsia" w:ascii="宋体" w:hAnsi="宋体"/>
                <w:szCs w:val="21"/>
                <w:highlight w:val="none"/>
              </w:rPr>
              <w:t>；</w:t>
            </w:r>
          </w:p>
          <w:p>
            <w:pPr>
              <w:pStyle w:val="8"/>
              <w:spacing w:line="200" w:lineRule="exact"/>
              <w:ind w:left="840"/>
              <w:rPr>
                <w:rFonts w:ascii="宋体" w:hAnsi="宋体"/>
                <w:szCs w:val="21"/>
                <w:highlight w:val="none"/>
              </w:rPr>
            </w:pPr>
            <w:r>
              <w:rPr>
                <w:rFonts w:hint="eastAsia" w:ascii="宋体" w:hAnsi="宋体"/>
                <w:szCs w:val="21"/>
                <w:highlight w:val="none"/>
              </w:rPr>
              <w:t>气压：</w:t>
            </w:r>
            <w:r>
              <w:rPr>
                <w:rFonts w:ascii="宋体" w:hAnsi="宋体"/>
                <w:szCs w:val="21"/>
                <w:highlight w:val="none"/>
              </w:rPr>
              <w:t>0.85MP</w:t>
            </w:r>
            <w:r>
              <w:rPr>
                <w:rFonts w:hint="eastAsia" w:ascii="宋体" w:hAnsi="宋体"/>
                <w:szCs w:val="21"/>
                <w:highlight w:val="none"/>
              </w:rPr>
              <w:t>a；</w:t>
            </w:r>
          </w:p>
          <w:p>
            <w:pPr>
              <w:pStyle w:val="8"/>
              <w:spacing w:line="200" w:lineRule="exact"/>
              <w:ind w:left="840"/>
              <w:rPr>
                <w:rFonts w:ascii="宋体" w:hAnsi="宋体"/>
                <w:szCs w:val="21"/>
                <w:highlight w:val="none"/>
              </w:rPr>
            </w:pPr>
            <w:r>
              <w:rPr>
                <w:rFonts w:hint="eastAsia" w:ascii="宋体" w:hAnsi="宋体"/>
                <w:szCs w:val="21"/>
                <w:highlight w:val="none"/>
              </w:rPr>
              <w:t>电机品牌：</w:t>
            </w:r>
            <w:r>
              <w:rPr>
                <w:rFonts w:ascii="宋体" w:hAnsi="宋体"/>
                <w:szCs w:val="21"/>
                <w:highlight w:val="none"/>
              </w:rPr>
              <w:t>ABB/</w:t>
            </w:r>
            <w:r>
              <w:rPr>
                <w:rFonts w:hint="eastAsia" w:ascii="宋体" w:hAnsi="宋体"/>
                <w:szCs w:val="21"/>
                <w:highlight w:val="none"/>
              </w:rPr>
              <w:t>西门子/空压机同品牌，自带进气过滤器、消音器、高压启动柜</w:t>
            </w:r>
          </w:p>
        </w:tc>
        <w:tc>
          <w:tcPr>
            <w:tcW w:w="1871" w:type="dxa"/>
            <w:shd w:val="clear" w:color="auto" w:fill="auto"/>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离心机和螺杆机需同一品牌，单台产气量范围1</w:t>
            </w:r>
            <w:r>
              <w:rPr>
                <w:rFonts w:ascii="宋体" w:hAnsi="宋体"/>
                <w:szCs w:val="21"/>
                <w:highlight w:val="none"/>
              </w:rPr>
              <w:t>50</w:t>
            </w:r>
            <w:r>
              <w:rPr>
                <w:rFonts w:hint="eastAsia" w:ascii="宋体" w:hAnsi="宋体"/>
                <w:szCs w:val="21"/>
                <w:highlight w:val="none"/>
              </w:rPr>
              <w:t>~</w:t>
            </w:r>
            <w:r>
              <w:rPr>
                <w:rFonts w:ascii="宋体" w:hAnsi="宋体"/>
                <w:szCs w:val="21"/>
                <w:highlight w:val="none"/>
              </w:rPr>
              <w:t>160</w:t>
            </w:r>
            <w:r>
              <w:rPr>
                <w:rFonts w:hint="eastAsia" w:ascii="宋体" w:hAnsi="宋体"/>
                <w:szCs w:val="21"/>
                <w:highlight w:val="none"/>
              </w:rPr>
              <w:t>m³</w:t>
            </w:r>
            <w:r>
              <w:rPr>
                <w:rFonts w:ascii="宋体" w:hAnsi="宋体"/>
                <w:szCs w:val="21"/>
                <w:highlight w:val="none"/>
              </w:rPr>
              <w:t>/</w:t>
            </w:r>
            <w:r>
              <w:rPr>
                <w:rFonts w:hint="eastAsia" w:ascii="宋体" w:hAnsi="宋体"/>
                <w:szCs w:val="21"/>
                <w:highlight w:val="none"/>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压缩热再生干燥机</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汉克森/</w:t>
            </w:r>
            <w:r>
              <w:rPr>
                <w:rFonts w:ascii="宋体" w:hAnsi="宋体"/>
                <w:szCs w:val="21"/>
                <w:highlight w:val="none"/>
              </w:rPr>
              <w:t>多米尼克</w:t>
            </w:r>
            <w:r>
              <w:rPr>
                <w:rFonts w:hint="eastAsia" w:ascii="宋体" w:hAnsi="宋体"/>
                <w:szCs w:val="21"/>
                <w:highlight w:val="none"/>
              </w:rPr>
              <w:t>/贝克欧/同空压机品牌</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2台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流量：适配离心机；</w:t>
            </w:r>
          </w:p>
          <w:p>
            <w:pPr>
              <w:pStyle w:val="8"/>
              <w:spacing w:line="200" w:lineRule="exact"/>
              <w:ind w:left="840"/>
              <w:rPr>
                <w:rFonts w:ascii="宋体" w:hAnsi="宋体"/>
                <w:szCs w:val="21"/>
                <w:highlight w:val="none"/>
              </w:rPr>
            </w:pPr>
            <w:r>
              <w:rPr>
                <w:rFonts w:hint="eastAsia" w:ascii="宋体" w:hAnsi="宋体"/>
                <w:szCs w:val="21"/>
                <w:highlight w:val="none"/>
              </w:rPr>
              <w:t>压力：PN=</w:t>
            </w:r>
            <w:r>
              <w:rPr>
                <w:rFonts w:ascii="宋体" w:hAnsi="宋体"/>
                <w:szCs w:val="21"/>
                <w:highlight w:val="none"/>
              </w:rPr>
              <w:t>0.85</w:t>
            </w:r>
            <w:r>
              <w:rPr>
                <w:rFonts w:hint="eastAsia" w:ascii="宋体" w:hAnsi="宋体"/>
                <w:szCs w:val="21"/>
                <w:highlight w:val="none"/>
              </w:rPr>
              <w:t>Mpa；保证成品常压露点≤-</w:t>
            </w:r>
            <w:r>
              <w:rPr>
                <w:rFonts w:ascii="宋体" w:hAnsi="宋体"/>
                <w:szCs w:val="21"/>
                <w:highlight w:val="none"/>
              </w:rPr>
              <w:t>60</w:t>
            </w:r>
            <w:r>
              <w:rPr>
                <w:rFonts w:hint="eastAsia" w:ascii="宋体" w:hAnsi="宋体"/>
                <w:szCs w:val="21"/>
                <w:highlight w:val="none"/>
              </w:rPr>
              <w:t>℃、自耗气量为≤</w:t>
            </w:r>
            <w:r>
              <w:rPr>
                <w:rFonts w:ascii="宋体" w:hAnsi="宋体"/>
                <w:szCs w:val="21"/>
                <w:highlight w:val="none"/>
              </w:rPr>
              <w:t>3</w:t>
            </w:r>
            <w:r>
              <w:rPr>
                <w:rFonts w:hint="eastAsia" w:ascii="宋体" w:hAnsi="宋体"/>
                <w:szCs w:val="21"/>
                <w:highlight w:val="none"/>
              </w:rPr>
              <w:t>%；</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需与离心空压机一一对应匹配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SS304除尘过滤器</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汉克森/</w:t>
            </w:r>
            <w:r>
              <w:rPr>
                <w:rFonts w:ascii="宋体" w:hAnsi="宋体"/>
                <w:szCs w:val="21"/>
                <w:highlight w:val="none"/>
              </w:rPr>
              <w:t>多米尼克</w:t>
            </w:r>
            <w:r>
              <w:rPr>
                <w:rFonts w:hint="eastAsia" w:ascii="宋体" w:hAnsi="宋体"/>
                <w:szCs w:val="21"/>
                <w:highlight w:val="none"/>
              </w:rPr>
              <w:t>/贝克欧/同空压机品牌</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2台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压力：PN=</w:t>
            </w:r>
            <w:r>
              <w:rPr>
                <w:rFonts w:ascii="宋体" w:hAnsi="宋体"/>
                <w:szCs w:val="21"/>
                <w:highlight w:val="none"/>
              </w:rPr>
              <w:t>0.85</w:t>
            </w:r>
            <w:r>
              <w:rPr>
                <w:rFonts w:hint="eastAsia" w:ascii="宋体" w:hAnsi="宋体"/>
                <w:szCs w:val="21"/>
                <w:highlight w:val="none"/>
              </w:rPr>
              <w:t>MPa，</w:t>
            </w:r>
          </w:p>
          <w:p>
            <w:pPr>
              <w:pStyle w:val="8"/>
              <w:spacing w:line="200" w:lineRule="exact"/>
              <w:ind w:left="840"/>
              <w:rPr>
                <w:rFonts w:ascii="宋体" w:hAnsi="宋体"/>
                <w:szCs w:val="21"/>
                <w:highlight w:val="none"/>
              </w:rPr>
            </w:pPr>
            <w:r>
              <w:rPr>
                <w:rFonts w:hint="eastAsia" w:ascii="宋体" w:hAnsi="宋体"/>
                <w:szCs w:val="21"/>
                <w:highlight w:val="none"/>
              </w:rPr>
              <w:t>过滤精度0.1um，</w:t>
            </w:r>
          </w:p>
          <w:p>
            <w:pPr>
              <w:pStyle w:val="8"/>
              <w:spacing w:line="200" w:lineRule="exact"/>
              <w:ind w:left="840"/>
              <w:rPr>
                <w:rFonts w:ascii="宋体" w:hAnsi="宋体"/>
                <w:szCs w:val="21"/>
                <w:highlight w:val="none"/>
              </w:rPr>
            </w:pPr>
            <w:r>
              <w:rPr>
                <w:rFonts w:hint="eastAsia" w:ascii="宋体" w:hAnsi="宋体"/>
                <w:szCs w:val="21"/>
                <w:highlight w:val="none"/>
              </w:rPr>
              <w:t>处理量：≥匹配对应离心空压机产气量1</w:t>
            </w:r>
            <w:r>
              <w:rPr>
                <w:rFonts w:ascii="宋体" w:hAnsi="宋体"/>
                <w:szCs w:val="21"/>
                <w:highlight w:val="none"/>
              </w:rPr>
              <w:t>.3</w:t>
            </w:r>
            <w:r>
              <w:rPr>
                <w:rFonts w:hint="eastAsia" w:ascii="宋体" w:hAnsi="宋体"/>
                <w:szCs w:val="21"/>
                <w:highlight w:val="none"/>
              </w:rPr>
              <w:t>倍（自带压差计、自动</w:t>
            </w:r>
            <w:r>
              <w:rPr>
                <w:rFonts w:ascii="宋体" w:hAnsi="宋体"/>
                <w:szCs w:val="21"/>
                <w:highlight w:val="none"/>
              </w:rPr>
              <w:t>排水</w:t>
            </w:r>
            <w:r>
              <w:rPr>
                <w:rFonts w:hint="eastAsia" w:ascii="宋体" w:hAnsi="宋体"/>
                <w:szCs w:val="21"/>
                <w:highlight w:val="none"/>
              </w:rPr>
              <w:t>阀、压力容器合格证）</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需与离心空压机一一对应匹配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SS304精密除尘过滤器</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汉克森/</w:t>
            </w:r>
            <w:r>
              <w:rPr>
                <w:rFonts w:ascii="宋体" w:hAnsi="宋体"/>
                <w:szCs w:val="21"/>
                <w:highlight w:val="none"/>
              </w:rPr>
              <w:t>多米尼克</w:t>
            </w:r>
            <w:r>
              <w:rPr>
                <w:rFonts w:hint="eastAsia" w:ascii="宋体" w:hAnsi="宋体"/>
                <w:szCs w:val="21"/>
                <w:highlight w:val="none"/>
              </w:rPr>
              <w:t>/贝克欧/同空压机品牌</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2台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压力：PN=</w:t>
            </w:r>
            <w:r>
              <w:rPr>
                <w:rFonts w:ascii="宋体" w:hAnsi="宋体"/>
                <w:szCs w:val="21"/>
                <w:highlight w:val="none"/>
              </w:rPr>
              <w:t>0.85</w:t>
            </w:r>
            <w:r>
              <w:rPr>
                <w:rFonts w:hint="eastAsia" w:ascii="宋体" w:hAnsi="宋体"/>
                <w:szCs w:val="21"/>
                <w:highlight w:val="none"/>
              </w:rPr>
              <w:t>MPa，</w:t>
            </w:r>
          </w:p>
          <w:p>
            <w:pPr>
              <w:pStyle w:val="8"/>
              <w:spacing w:line="200" w:lineRule="exact"/>
              <w:ind w:left="840"/>
              <w:rPr>
                <w:rFonts w:ascii="宋体" w:hAnsi="宋体"/>
                <w:szCs w:val="21"/>
                <w:highlight w:val="none"/>
              </w:rPr>
            </w:pPr>
            <w:r>
              <w:rPr>
                <w:rFonts w:hint="eastAsia" w:ascii="宋体" w:hAnsi="宋体"/>
                <w:szCs w:val="21"/>
                <w:highlight w:val="none"/>
              </w:rPr>
              <w:t>过滤精度0.</w:t>
            </w:r>
            <w:r>
              <w:rPr>
                <w:rFonts w:ascii="宋体" w:hAnsi="宋体"/>
                <w:szCs w:val="21"/>
                <w:highlight w:val="none"/>
              </w:rPr>
              <w:t>0</w:t>
            </w:r>
            <w:r>
              <w:rPr>
                <w:rFonts w:hint="eastAsia" w:ascii="宋体" w:hAnsi="宋体"/>
                <w:szCs w:val="21"/>
                <w:highlight w:val="none"/>
              </w:rPr>
              <w:t>1um，</w:t>
            </w:r>
          </w:p>
          <w:p>
            <w:pPr>
              <w:pStyle w:val="8"/>
              <w:spacing w:line="200" w:lineRule="exact"/>
              <w:ind w:left="840"/>
              <w:rPr>
                <w:rFonts w:ascii="宋体" w:hAnsi="宋体"/>
                <w:szCs w:val="21"/>
                <w:highlight w:val="none"/>
              </w:rPr>
            </w:pPr>
            <w:r>
              <w:rPr>
                <w:rFonts w:hint="eastAsia" w:ascii="宋体" w:hAnsi="宋体"/>
                <w:szCs w:val="21"/>
                <w:highlight w:val="none"/>
              </w:rPr>
              <w:t>处理量：≥匹配对应理想空压机产气量1</w:t>
            </w:r>
            <w:r>
              <w:rPr>
                <w:rFonts w:ascii="宋体" w:hAnsi="宋体"/>
                <w:szCs w:val="21"/>
                <w:highlight w:val="none"/>
              </w:rPr>
              <w:t>.3</w:t>
            </w:r>
            <w:r>
              <w:rPr>
                <w:rFonts w:hint="eastAsia" w:ascii="宋体" w:hAnsi="宋体"/>
                <w:szCs w:val="21"/>
                <w:highlight w:val="none"/>
              </w:rPr>
              <w:t>倍（自带压差计、自动</w:t>
            </w:r>
            <w:r>
              <w:rPr>
                <w:rFonts w:ascii="宋体" w:hAnsi="宋体"/>
                <w:szCs w:val="21"/>
                <w:highlight w:val="none"/>
              </w:rPr>
              <w:t>排水</w:t>
            </w:r>
            <w:r>
              <w:rPr>
                <w:rFonts w:hint="eastAsia" w:ascii="宋体" w:hAnsi="宋体"/>
                <w:szCs w:val="21"/>
                <w:highlight w:val="none"/>
              </w:rPr>
              <w:t>阀、压力容器合格证）</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需与离心空压机一一对应匹配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708" w:type="dxa"/>
            <w:vMerge w:val="restart"/>
            <w:shd w:val="clear" w:color="auto" w:fill="FFFFFF"/>
            <w:noWrap w:val="0"/>
            <w:vAlign w:val="center"/>
          </w:tcPr>
          <w:p>
            <w:pPr>
              <w:pStyle w:val="8"/>
              <w:spacing w:line="200" w:lineRule="exact"/>
              <w:ind w:left="840"/>
              <w:jc w:val="center"/>
              <w:rPr>
                <w:rFonts w:ascii="宋体" w:hAnsi="宋体"/>
                <w:szCs w:val="21"/>
                <w:highlight w:val="none"/>
              </w:rPr>
            </w:pPr>
            <w:r>
              <w:rPr>
                <w:rFonts w:ascii="宋体" w:hAnsi="宋体"/>
                <w:szCs w:val="21"/>
                <w:highlight w:val="none"/>
              </w:rPr>
              <w:t>3</w:t>
            </w:r>
          </w:p>
        </w:tc>
        <w:tc>
          <w:tcPr>
            <w:tcW w:w="1418" w:type="dxa"/>
            <w:shd w:val="clear" w:color="auto" w:fill="FFFFFF"/>
            <w:noWrap w:val="0"/>
            <w:vAlign w:val="center"/>
          </w:tcPr>
          <w:p>
            <w:pPr>
              <w:pStyle w:val="8"/>
              <w:spacing w:line="200" w:lineRule="exact"/>
              <w:ind w:left="840"/>
              <w:rPr>
                <w:rFonts w:ascii="宋体" w:hAnsi="宋体"/>
                <w:szCs w:val="21"/>
                <w:highlight w:val="none"/>
              </w:rPr>
            </w:pPr>
            <w:bookmarkStart w:id="337" w:name="_Hlk98850020"/>
            <w:r>
              <w:rPr>
                <w:rFonts w:hint="eastAsia" w:ascii="宋体" w:hAnsi="宋体"/>
                <w:szCs w:val="21"/>
                <w:highlight w:val="none"/>
              </w:rPr>
              <w:t>水冷无油螺杆空压</w:t>
            </w:r>
            <w:bookmarkEnd w:id="337"/>
            <w:r>
              <w:rPr>
                <w:rFonts w:hint="eastAsia" w:ascii="宋体" w:hAnsi="宋体"/>
                <w:szCs w:val="21"/>
                <w:highlight w:val="none"/>
              </w:rPr>
              <w:t>机（变频）</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英格索兰/寿力/</w:t>
            </w:r>
          </w:p>
          <w:p>
            <w:pPr>
              <w:pStyle w:val="8"/>
              <w:spacing w:line="200" w:lineRule="exact"/>
              <w:ind w:left="840"/>
              <w:rPr>
                <w:rFonts w:ascii="宋体" w:hAnsi="宋体"/>
                <w:szCs w:val="21"/>
                <w:highlight w:val="none"/>
              </w:rPr>
            </w:pPr>
            <w:r>
              <w:rPr>
                <w:rFonts w:hint="eastAsia" w:ascii="宋体" w:hAnsi="宋体"/>
                <w:szCs w:val="21"/>
                <w:highlight w:val="none"/>
              </w:rPr>
              <w:t>阿特拉斯</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1台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产量：</w:t>
            </w:r>
            <w:r>
              <w:rPr>
                <w:rFonts w:ascii="宋体" w:hAnsi="宋体"/>
                <w:szCs w:val="21"/>
                <w:highlight w:val="none"/>
              </w:rPr>
              <w:t>41</w:t>
            </w:r>
            <w:r>
              <w:rPr>
                <w:rFonts w:hint="eastAsia" w:ascii="宋体" w:hAnsi="宋体"/>
                <w:szCs w:val="21"/>
                <w:highlight w:val="none"/>
              </w:rPr>
              <w:t>m³</w:t>
            </w:r>
            <w:r>
              <w:rPr>
                <w:rFonts w:ascii="宋体" w:hAnsi="宋体"/>
                <w:szCs w:val="21"/>
                <w:highlight w:val="none"/>
              </w:rPr>
              <w:t>/</w:t>
            </w:r>
            <w:r>
              <w:rPr>
                <w:rFonts w:hint="eastAsia" w:ascii="宋体" w:hAnsi="宋体"/>
                <w:szCs w:val="21"/>
                <w:highlight w:val="none"/>
              </w:rPr>
              <w:t>min。</w:t>
            </w:r>
          </w:p>
          <w:p>
            <w:pPr>
              <w:pStyle w:val="8"/>
              <w:spacing w:line="200" w:lineRule="exact"/>
              <w:ind w:left="840"/>
              <w:rPr>
                <w:rFonts w:ascii="宋体" w:hAnsi="宋体"/>
                <w:szCs w:val="21"/>
                <w:highlight w:val="none"/>
              </w:rPr>
            </w:pPr>
            <w:r>
              <w:rPr>
                <w:rFonts w:hint="eastAsia" w:ascii="宋体" w:hAnsi="宋体"/>
                <w:szCs w:val="21"/>
                <w:highlight w:val="none"/>
              </w:rPr>
              <w:t>电压：3</w:t>
            </w:r>
            <w:r>
              <w:rPr>
                <w:rFonts w:ascii="宋体" w:hAnsi="宋体"/>
                <w:szCs w:val="21"/>
                <w:highlight w:val="none"/>
              </w:rPr>
              <w:t>80</w:t>
            </w:r>
            <w:r>
              <w:rPr>
                <w:rFonts w:hint="eastAsia" w:ascii="宋体" w:hAnsi="宋体"/>
                <w:szCs w:val="21"/>
                <w:highlight w:val="none"/>
              </w:rPr>
              <w:t>V±</w:t>
            </w:r>
            <w:r>
              <w:rPr>
                <w:rFonts w:ascii="宋体" w:hAnsi="宋体"/>
                <w:szCs w:val="21"/>
                <w:highlight w:val="none"/>
              </w:rPr>
              <w:t>10%</w:t>
            </w:r>
          </w:p>
          <w:p>
            <w:pPr>
              <w:pStyle w:val="8"/>
              <w:spacing w:line="200" w:lineRule="exact"/>
              <w:ind w:left="840"/>
              <w:rPr>
                <w:rFonts w:ascii="宋体" w:hAnsi="宋体"/>
                <w:szCs w:val="21"/>
                <w:highlight w:val="none"/>
              </w:rPr>
            </w:pPr>
            <w:r>
              <w:rPr>
                <w:rFonts w:hint="eastAsia" w:ascii="宋体" w:hAnsi="宋体"/>
                <w:szCs w:val="21"/>
                <w:highlight w:val="none"/>
              </w:rPr>
              <w:t>压力：</w:t>
            </w:r>
            <w:r>
              <w:rPr>
                <w:rFonts w:ascii="宋体" w:hAnsi="宋体"/>
                <w:szCs w:val="21"/>
                <w:highlight w:val="none"/>
              </w:rPr>
              <w:t>0.85MP</w:t>
            </w:r>
            <w:r>
              <w:rPr>
                <w:rFonts w:hint="eastAsia" w:ascii="宋体" w:hAnsi="宋体"/>
                <w:szCs w:val="21"/>
                <w:highlight w:val="none"/>
              </w:rPr>
              <w:t>a；</w:t>
            </w:r>
          </w:p>
          <w:p>
            <w:pPr>
              <w:pStyle w:val="8"/>
              <w:spacing w:line="200" w:lineRule="exact"/>
              <w:ind w:left="840"/>
              <w:rPr>
                <w:rFonts w:ascii="宋体" w:hAnsi="宋体"/>
                <w:szCs w:val="21"/>
                <w:highlight w:val="none"/>
              </w:rPr>
            </w:pPr>
            <w:r>
              <w:rPr>
                <w:rFonts w:hint="eastAsia" w:ascii="宋体" w:hAnsi="宋体"/>
                <w:szCs w:val="21"/>
                <w:highlight w:val="none"/>
              </w:rPr>
              <w:t>电机品牌：</w:t>
            </w:r>
            <w:r>
              <w:rPr>
                <w:rFonts w:ascii="宋体" w:hAnsi="宋体"/>
                <w:szCs w:val="21"/>
                <w:highlight w:val="none"/>
              </w:rPr>
              <w:t>ABB/</w:t>
            </w:r>
            <w:r>
              <w:rPr>
                <w:rFonts w:hint="eastAsia" w:ascii="宋体" w:hAnsi="宋体"/>
                <w:szCs w:val="21"/>
                <w:highlight w:val="none"/>
              </w:rPr>
              <w:t>西门子/空压机同品牌；自带进气过滤器、消音器；（需设置总进线断路器）</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离心机和螺杆机需同一品牌，单台产气量范围</w:t>
            </w:r>
            <w:r>
              <w:rPr>
                <w:rFonts w:ascii="宋体" w:hAnsi="宋体"/>
                <w:szCs w:val="21"/>
                <w:highlight w:val="none"/>
              </w:rPr>
              <w:t>41</w:t>
            </w:r>
            <w:r>
              <w:rPr>
                <w:rFonts w:hint="eastAsia" w:ascii="宋体" w:hAnsi="宋体"/>
                <w:szCs w:val="21"/>
                <w:highlight w:val="none"/>
              </w:rPr>
              <w:t>~</w:t>
            </w:r>
            <w:r>
              <w:rPr>
                <w:rFonts w:ascii="宋体" w:hAnsi="宋体"/>
                <w:szCs w:val="21"/>
                <w:highlight w:val="none"/>
              </w:rPr>
              <w:t>50</w:t>
            </w:r>
            <w:r>
              <w:rPr>
                <w:rFonts w:hint="eastAsia" w:ascii="宋体" w:hAnsi="宋体"/>
                <w:szCs w:val="21"/>
                <w:highlight w:val="none"/>
              </w:rPr>
              <w:t>m³</w:t>
            </w:r>
            <w:r>
              <w:rPr>
                <w:rFonts w:ascii="宋体" w:hAnsi="宋体"/>
                <w:szCs w:val="21"/>
                <w:highlight w:val="none"/>
              </w:rPr>
              <w:t>/</w:t>
            </w:r>
            <w:r>
              <w:rPr>
                <w:rFonts w:hint="eastAsia" w:ascii="宋体" w:hAnsi="宋体"/>
                <w:szCs w:val="21"/>
                <w:highlight w:val="none"/>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水冷无油螺杆空压机（定频）</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英格索兰/寿力/</w:t>
            </w:r>
          </w:p>
          <w:p>
            <w:pPr>
              <w:pStyle w:val="8"/>
              <w:spacing w:line="200" w:lineRule="exact"/>
              <w:ind w:left="840"/>
              <w:rPr>
                <w:rFonts w:ascii="宋体" w:hAnsi="宋体"/>
                <w:szCs w:val="21"/>
                <w:highlight w:val="none"/>
              </w:rPr>
            </w:pPr>
            <w:r>
              <w:rPr>
                <w:rFonts w:hint="eastAsia" w:ascii="宋体" w:hAnsi="宋体"/>
                <w:szCs w:val="21"/>
                <w:highlight w:val="none"/>
              </w:rPr>
              <w:t>阿特拉斯</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1台</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产量：</w:t>
            </w:r>
            <w:r>
              <w:rPr>
                <w:rFonts w:ascii="宋体" w:hAnsi="宋体"/>
                <w:szCs w:val="21"/>
                <w:highlight w:val="none"/>
              </w:rPr>
              <w:t>41</w:t>
            </w:r>
            <w:r>
              <w:rPr>
                <w:rFonts w:hint="eastAsia" w:ascii="宋体" w:hAnsi="宋体"/>
                <w:szCs w:val="21"/>
                <w:highlight w:val="none"/>
              </w:rPr>
              <w:t>m³</w:t>
            </w:r>
            <w:r>
              <w:rPr>
                <w:rFonts w:ascii="宋体" w:hAnsi="宋体"/>
                <w:szCs w:val="21"/>
                <w:highlight w:val="none"/>
              </w:rPr>
              <w:t>/</w:t>
            </w:r>
            <w:r>
              <w:rPr>
                <w:rFonts w:hint="eastAsia" w:ascii="宋体" w:hAnsi="宋体"/>
                <w:szCs w:val="21"/>
                <w:highlight w:val="none"/>
              </w:rPr>
              <w:t>min</w:t>
            </w:r>
          </w:p>
          <w:p>
            <w:pPr>
              <w:pStyle w:val="8"/>
              <w:spacing w:line="200" w:lineRule="exact"/>
              <w:ind w:left="840"/>
              <w:rPr>
                <w:rFonts w:ascii="宋体" w:hAnsi="宋体"/>
                <w:szCs w:val="21"/>
                <w:highlight w:val="none"/>
              </w:rPr>
            </w:pPr>
            <w:r>
              <w:rPr>
                <w:rFonts w:hint="eastAsia" w:ascii="宋体" w:hAnsi="宋体"/>
                <w:szCs w:val="21"/>
                <w:highlight w:val="none"/>
              </w:rPr>
              <w:t>电压：3</w:t>
            </w:r>
            <w:r>
              <w:rPr>
                <w:rFonts w:ascii="宋体" w:hAnsi="宋体"/>
                <w:szCs w:val="21"/>
                <w:highlight w:val="none"/>
              </w:rPr>
              <w:t>80</w:t>
            </w:r>
            <w:r>
              <w:rPr>
                <w:rFonts w:hint="eastAsia" w:ascii="宋体" w:hAnsi="宋体"/>
                <w:szCs w:val="21"/>
                <w:highlight w:val="none"/>
              </w:rPr>
              <w:t>V±</w:t>
            </w:r>
            <w:r>
              <w:rPr>
                <w:rFonts w:ascii="宋体" w:hAnsi="宋体"/>
                <w:szCs w:val="21"/>
                <w:highlight w:val="none"/>
              </w:rPr>
              <w:t>10%</w:t>
            </w:r>
          </w:p>
          <w:p>
            <w:pPr>
              <w:pStyle w:val="8"/>
              <w:spacing w:line="200" w:lineRule="exact"/>
              <w:ind w:left="840"/>
              <w:rPr>
                <w:rFonts w:ascii="宋体" w:hAnsi="宋体"/>
                <w:szCs w:val="21"/>
                <w:highlight w:val="none"/>
              </w:rPr>
            </w:pPr>
            <w:r>
              <w:rPr>
                <w:rFonts w:hint="eastAsia" w:ascii="宋体" w:hAnsi="宋体"/>
                <w:szCs w:val="21"/>
                <w:highlight w:val="none"/>
              </w:rPr>
              <w:t>压力：</w:t>
            </w:r>
            <w:r>
              <w:rPr>
                <w:rFonts w:ascii="宋体" w:hAnsi="宋体"/>
                <w:szCs w:val="21"/>
                <w:highlight w:val="none"/>
              </w:rPr>
              <w:t>0.85MP</w:t>
            </w:r>
            <w:r>
              <w:rPr>
                <w:rFonts w:hint="eastAsia" w:ascii="宋体" w:hAnsi="宋体"/>
                <w:szCs w:val="21"/>
                <w:highlight w:val="none"/>
              </w:rPr>
              <w:t>a；</w:t>
            </w:r>
          </w:p>
          <w:p>
            <w:pPr>
              <w:pStyle w:val="8"/>
              <w:spacing w:line="200" w:lineRule="exact"/>
              <w:ind w:left="840"/>
              <w:rPr>
                <w:rFonts w:ascii="宋体" w:hAnsi="宋体"/>
                <w:szCs w:val="21"/>
                <w:highlight w:val="none"/>
              </w:rPr>
            </w:pPr>
            <w:r>
              <w:rPr>
                <w:rFonts w:hint="eastAsia" w:ascii="宋体" w:hAnsi="宋体"/>
                <w:szCs w:val="21"/>
                <w:highlight w:val="none"/>
              </w:rPr>
              <w:t>电机品牌：</w:t>
            </w:r>
            <w:r>
              <w:rPr>
                <w:rFonts w:ascii="宋体" w:hAnsi="宋体"/>
                <w:szCs w:val="21"/>
                <w:highlight w:val="none"/>
              </w:rPr>
              <w:t>ABB/</w:t>
            </w:r>
            <w:r>
              <w:rPr>
                <w:rFonts w:hint="eastAsia" w:ascii="宋体" w:hAnsi="宋体"/>
                <w:szCs w:val="21"/>
                <w:highlight w:val="none"/>
              </w:rPr>
              <w:t>西门子/空压机同品牌；自带进气过滤器、消音器；（需设置总进线断路器）</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离心机和螺杆机需同一品牌，单台产气量范围</w:t>
            </w:r>
            <w:r>
              <w:rPr>
                <w:rFonts w:ascii="宋体" w:hAnsi="宋体"/>
                <w:szCs w:val="21"/>
                <w:highlight w:val="none"/>
              </w:rPr>
              <w:t>41</w:t>
            </w:r>
            <w:r>
              <w:rPr>
                <w:rFonts w:hint="eastAsia" w:ascii="宋体" w:hAnsi="宋体"/>
                <w:szCs w:val="21"/>
                <w:highlight w:val="none"/>
              </w:rPr>
              <w:t>~</w:t>
            </w:r>
            <w:r>
              <w:rPr>
                <w:rFonts w:ascii="宋体" w:hAnsi="宋体"/>
                <w:szCs w:val="21"/>
                <w:highlight w:val="none"/>
              </w:rPr>
              <w:t>50</w:t>
            </w:r>
            <w:r>
              <w:rPr>
                <w:rFonts w:hint="eastAsia" w:ascii="宋体" w:hAnsi="宋体"/>
                <w:szCs w:val="21"/>
                <w:highlight w:val="none"/>
              </w:rPr>
              <w:t>m³</w:t>
            </w:r>
            <w:r>
              <w:rPr>
                <w:rFonts w:ascii="宋体" w:hAnsi="宋体"/>
                <w:szCs w:val="21"/>
                <w:highlight w:val="none"/>
              </w:rPr>
              <w:t>/</w:t>
            </w:r>
            <w:r>
              <w:rPr>
                <w:rFonts w:hint="eastAsia" w:ascii="宋体" w:hAnsi="宋体"/>
                <w:szCs w:val="21"/>
                <w:highlight w:val="none"/>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鼓风热再生吸附式干燥机</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汉克森/</w:t>
            </w:r>
            <w:r>
              <w:rPr>
                <w:rFonts w:ascii="宋体" w:hAnsi="宋体"/>
                <w:szCs w:val="21"/>
                <w:highlight w:val="none"/>
              </w:rPr>
              <w:t>多米尼克</w:t>
            </w:r>
            <w:r>
              <w:rPr>
                <w:rFonts w:hint="eastAsia" w:ascii="宋体" w:hAnsi="宋体"/>
                <w:szCs w:val="21"/>
                <w:highlight w:val="none"/>
              </w:rPr>
              <w:t>/贝克欧或同空压机品牌</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与螺杆空压机数量一致</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流量：Q≥匹配对应螺杆空压机产气量1</w:t>
            </w:r>
            <w:r>
              <w:rPr>
                <w:rFonts w:ascii="宋体" w:hAnsi="宋体"/>
                <w:szCs w:val="21"/>
                <w:highlight w:val="none"/>
              </w:rPr>
              <w:t>.3</w:t>
            </w:r>
            <w:r>
              <w:rPr>
                <w:rFonts w:hint="eastAsia" w:ascii="宋体" w:hAnsi="宋体"/>
                <w:szCs w:val="21"/>
                <w:highlight w:val="none"/>
              </w:rPr>
              <w:t>倍；</w:t>
            </w:r>
          </w:p>
          <w:p>
            <w:pPr>
              <w:pStyle w:val="8"/>
              <w:spacing w:line="200" w:lineRule="exact"/>
              <w:ind w:left="840"/>
              <w:rPr>
                <w:rFonts w:ascii="宋体" w:hAnsi="宋体"/>
                <w:szCs w:val="21"/>
                <w:highlight w:val="none"/>
              </w:rPr>
            </w:pPr>
            <w:r>
              <w:rPr>
                <w:rFonts w:hint="eastAsia" w:ascii="宋体" w:hAnsi="宋体"/>
                <w:szCs w:val="21"/>
                <w:highlight w:val="none"/>
              </w:rPr>
              <w:t>压力：PN=</w:t>
            </w:r>
            <w:r>
              <w:rPr>
                <w:rFonts w:ascii="宋体" w:hAnsi="宋体"/>
                <w:szCs w:val="21"/>
                <w:highlight w:val="none"/>
              </w:rPr>
              <w:t>0.85</w:t>
            </w:r>
            <w:r>
              <w:rPr>
                <w:rFonts w:hint="eastAsia" w:ascii="宋体" w:hAnsi="宋体"/>
                <w:szCs w:val="21"/>
                <w:highlight w:val="none"/>
              </w:rPr>
              <w:t>Mpa；配置匹配加热器，保证成品压力露点≤-</w:t>
            </w:r>
            <w:r>
              <w:rPr>
                <w:rFonts w:ascii="宋体" w:hAnsi="宋体"/>
                <w:szCs w:val="21"/>
                <w:highlight w:val="none"/>
              </w:rPr>
              <w:t>60</w:t>
            </w:r>
            <w:r>
              <w:rPr>
                <w:rFonts w:hint="eastAsia" w:ascii="宋体" w:hAnsi="宋体"/>
                <w:szCs w:val="21"/>
                <w:highlight w:val="none"/>
              </w:rPr>
              <w:t>℃、自耗气量为≤</w:t>
            </w:r>
            <w:r>
              <w:rPr>
                <w:rFonts w:ascii="宋体" w:hAnsi="宋体"/>
                <w:szCs w:val="21"/>
                <w:highlight w:val="none"/>
              </w:rPr>
              <w:t>3</w:t>
            </w:r>
            <w:r>
              <w:rPr>
                <w:rFonts w:hint="eastAsia" w:ascii="宋体" w:hAnsi="宋体"/>
                <w:szCs w:val="21"/>
                <w:highlight w:val="none"/>
              </w:rPr>
              <w:t>%；</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需与螺杆空压机一一对应匹配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SS304除尘过滤器</w:t>
            </w:r>
          </w:p>
        </w:tc>
        <w:tc>
          <w:tcPr>
            <w:tcW w:w="1276" w:type="dxa"/>
            <w:shd w:val="clear" w:color="auto" w:fill="FFFFFF"/>
            <w:noWrap w:val="0"/>
            <w:vAlign w:val="top"/>
          </w:tcPr>
          <w:p>
            <w:pPr>
              <w:pStyle w:val="8"/>
              <w:spacing w:line="200" w:lineRule="exact"/>
              <w:ind w:left="840"/>
              <w:rPr>
                <w:rFonts w:ascii="宋体" w:hAnsi="宋体"/>
                <w:szCs w:val="21"/>
                <w:highlight w:val="none"/>
              </w:rPr>
            </w:pPr>
            <w:r>
              <w:rPr>
                <w:rFonts w:hint="eastAsia" w:ascii="宋体" w:hAnsi="宋体"/>
                <w:szCs w:val="21"/>
                <w:highlight w:val="none"/>
              </w:rPr>
              <w:t>汉克森/</w:t>
            </w:r>
            <w:r>
              <w:rPr>
                <w:rFonts w:ascii="宋体" w:hAnsi="宋体"/>
                <w:szCs w:val="21"/>
                <w:highlight w:val="none"/>
              </w:rPr>
              <w:t>多米尼克</w:t>
            </w:r>
            <w:r>
              <w:rPr>
                <w:rFonts w:hint="eastAsia" w:ascii="宋体" w:hAnsi="宋体"/>
                <w:szCs w:val="21"/>
                <w:highlight w:val="none"/>
              </w:rPr>
              <w:t>/贝克欧或同空压机品牌</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与螺杆空压机数量一致</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压力：PN=</w:t>
            </w:r>
            <w:r>
              <w:rPr>
                <w:rFonts w:ascii="宋体" w:hAnsi="宋体"/>
                <w:szCs w:val="21"/>
                <w:highlight w:val="none"/>
              </w:rPr>
              <w:t>0.85</w:t>
            </w:r>
            <w:r>
              <w:rPr>
                <w:rFonts w:hint="eastAsia" w:ascii="宋体" w:hAnsi="宋体"/>
                <w:szCs w:val="21"/>
                <w:highlight w:val="none"/>
              </w:rPr>
              <w:t>MPa；</w:t>
            </w:r>
          </w:p>
          <w:p>
            <w:pPr>
              <w:pStyle w:val="8"/>
              <w:spacing w:line="200" w:lineRule="exact"/>
              <w:ind w:left="840"/>
              <w:rPr>
                <w:rFonts w:ascii="宋体" w:hAnsi="宋体"/>
                <w:szCs w:val="21"/>
                <w:highlight w:val="none"/>
              </w:rPr>
            </w:pPr>
            <w:r>
              <w:rPr>
                <w:rFonts w:hint="eastAsia" w:ascii="宋体" w:hAnsi="宋体"/>
                <w:szCs w:val="21"/>
                <w:highlight w:val="none"/>
              </w:rPr>
              <w:t>过滤精度：0.1um；</w:t>
            </w:r>
          </w:p>
          <w:p>
            <w:pPr>
              <w:pStyle w:val="8"/>
              <w:spacing w:line="200" w:lineRule="exact"/>
              <w:ind w:left="840"/>
              <w:rPr>
                <w:rFonts w:ascii="宋体" w:hAnsi="宋体"/>
                <w:szCs w:val="21"/>
                <w:highlight w:val="none"/>
              </w:rPr>
            </w:pPr>
            <w:r>
              <w:rPr>
                <w:rFonts w:hint="eastAsia" w:ascii="宋体" w:hAnsi="宋体"/>
                <w:szCs w:val="21"/>
                <w:highlight w:val="none"/>
              </w:rPr>
              <w:t>处理量：≥匹配对应螺杆空压机需与离心空压机一一对应匹配产气量1</w:t>
            </w:r>
            <w:r>
              <w:rPr>
                <w:rFonts w:ascii="宋体" w:hAnsi="宋体"/>
                <w:szCs w:val="21"/>
                <w:highlight w:val="none"/>
              </w:rPr>
              <w:t>.3</w:t>
            </w:r>
            <w:r>
              <w:rPr>
                <w:rFonts w:hint="eastAsia" w:ascii="宋体" w:hAnsi="宋体"/>
                <w:szCs w:val="21"/>
                <w:highlight w:val="none"/>
              </w:rPr>
              <w:t>倍（自带压差计、自动</w:t>
            </w:r>
            <w:r>
              <w:rPr>
                <w:rFonts w:ascii="宋体" w:hAnsi="宋体"/>
                <w:szCs w:val="21"/>
                <w:highlight w:val="none"/>
              </w:rPr>
              <w:t>排水</w:t>
            </w:r>
            <w:r>
              <w:rPr>
                <w:rFonts w:hint="eastAsia" w:ascii="宋体" w:hAnsi="宋体"/>
                <w:szCs w:val="21"/>
                <w:highlight w:val="none"/>
              </w:rPr>
              <w:t>阀、压力容器合格证）</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需与螺杆空压机一一对应匹配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708" w:type="dxa"/>
            <w:vMerge w:val="continue"/>
            <w:shd w:val="clear" w:color="auto" w:fill="FFFFFF"/>
            <w:noWrap w:val="0"/>
            <w:vAlign w:val="center"/>
          </w:tcPr>
          <w:p>
            <w:pPr>
              <w:pStyle w:val="8"/>
              <w:spacing w:line="200" w:lineRule="exact"/>
              <w:ind w:left="840"/>
              <w:jc w:val="center"/>
              <w:rPr>
                <w:rFonts w:ascii="宋体" w:hAnsi="宋体"/>
                <w:szCs w:val="21"/>
                <w:highlight w:val="none"/>
              </w:rPr>
            </w:pP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SS304精密除尘过滤器</w:t>
            </w:r>
          </w:p>
        </w:tc>
        <w:tc>
          <w:tcPr>
            <w:tcW w:w="1276" w:type="dxa"/>
            <w:shd w:val="clear" w:color="auto" w:fill="FFFFFF"/>
            <w:noWrap w:val="0"/>
            <w:vAlign w:val="top"/>
          </w:tcPr>
          <w:p>
            <w:pPr>
              <w:pStyle w:val="8"/>
              <w:spacing w:line="200" w:lineRule="exact"/>
              <w:ind w:left="840"/>
              <w:rPr>
                <w:rFonts w:ascii="宋体" w:hAnsi="宋体"/>
                <w:szCs w:val="21"/>
                <w:highlight w:val="none"/>
              </w:rPr>
            </w:pPr>
            <w:r>
              <w:rPr>
                <w:rFonts w:hint="eastAsia" w:ascii="宋体" w:hAnsi="宋体"/>
                <w:szCs w:val="21"/>
                <w:highlight w:val="none"/>
              </w:rPr>
              <w:t>汉克森/</w:t>
            </w:r>
            <w:r>
              <w:rPr>
                <w:rFonts w:ascii="宋体" w:hAnsi="宋体"/>
                <w:szCs w:val="21"/>
                <w:highlight w:val="none"/>
              </w:rPr>
              <w:t>多米尼克</w:t>
            </w:r>
            <w:r>
              <w:rPr>
                <w:rFonts w:hint="eastAsia" w:ascii="宋体" w:hAnsi="宋体"/>
                <w:szCs w:val="21"/>
                <w:highlight w:val="none"/>
              </w:rPr>
              <w:t>/贝克欧或同空压机品牌</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与螺杆空压机数量一致</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压力：PN=</w:t>
            </w:r>
            <w:r>
              <w:rPr>
                <w:rFonts w:ascii="宋体" w:hAnsi="宋体"/>
                <w:szCs w:val="21"/>
                <w:highlight w:val="none"/>
              </w:rPr>
              <w:t>0.85</w:t>
            </w:r>
            <w:r>
              <w:rPr>
                <w:rFonts w:hint="eastAsia" w:ascii="宋体" w:hAnsi="宋体"/>
                <w:szCs w:val="21"/>
                <w:highlight w:val="none"/>
              </w:rPr>
              <w:t>MPa；</w:t>
            </w:r>
          </w:p>
          <w:p>
            <w:pPr>
              <w:pStyle w:val="8"/>
              <w:spacing w:line="200" w:lineRule="exact"/>
              <w:ind w:left="840"/>
              <w:rPr>
                <w:rFonts w:ascii="宋体" w:hAnsi="宋体"/>
                <w:szCs w:val="21"/>
                <w:highlight w:val="none"/>
              </w:rPr>
            </w:pPr>
            <w:r>
              <w:rPr>
                <w:rFonts w:hint="eastAsia" w:ascii="宋体" w:hAnsi="宋体"/>
                <w:szCs w:val="21"/>
                <w:highlight w:val="none"/>
              </w:rPr>
              <w:t>过滤精度：0.</w:t>
            </w:r>
            <w:r>
              <w:rPr>
                <w:rFonts w:ascii="宋体" w:hAnsi="宋体"/>
                <w:szCs w:val="21"/>
                <w:highlight w:val="none"/>
              </w:rPr>
              <w:t>0</w:t>
            </w:r>
            <w:r>
              <w:rPr>
                <w:rFonts w:hint="eastAsia" w:ascii="宋体" w:hAnsi="宋体"/>
                <w:szCs w:val="21"/>
                <w:highlight w:val="none"/>
              </w:rPr>
              <w:t>1um；</w:t>
            </w:r>
          </w:p>
          <w:p>
            <w:pPr>
              <w:pStyle w:val="8"/>
              <w:spacing w:line="200" w:lineRule="exact"/>
              <w:ind w:left="840"/>
              <w:rPr>
                <w:rFonts w:ascii="宋体" w:hAnsi="宋体"/>
                <w:szCs w:val="21"/>
                <w:highlight w:val="none"/>
              </w:rPr>
            </w:pPr>
            <w:r>
              <w:rPr>
                <w:rFonts w:hint="eastAsia" w:ascii="宋体" w:hAnsi="宋体"/>
                <w:szCs w:val="21"/>
                <w:highlight w:val="none"/>
              </w:rPr>
              <w:t>处理量：≥匹配对应螺杆空压机产气量1</w:t>
            </w:r>
            <w:r>
              <w:rPr>
                <w:rFonts w:ascii="宋体" w:hAnsi="宋体"/>
                <w:szCs w:val="21"/>
                <w:highlight w:val="none"/>
              </w:rPr>
              <w:t>.3</w:t>
            </w:r>
            <w:r>
              <w:rPr>
                <w:rFonts w:hint="eastAsia" w:ascii="宋体" w:hAnsi="宋体"/>
                <w:szCs w:val="21"/>
                <w:highlight w:val="none"/>
              </w:rPr>
              <w:t>倍（自带压差计、自动</w:t>
            </w:r>
            <w:r>
              <w:rPr>
                <w:rFonts w:ascii="宋体" w:hAnsi="宋体"/>
                <w:szCs w:val="21"/>
                <w:highlight w:val="none"/>
              </w:rPr>
              <w:t>排水</w:t>
            </w:r>
            <w:r>
              <w:rPr>
                <w:rFonts w:hint="eastAsia" w:ascii="宋体" w:hAnsi="宋体"/>
                <w:szCs w:val="21"/>
                <w:highlight w:val="none"/>
              </w:rPr>
              <w:t>阀、压力容器合格证）</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需与螺杆空压机一一对应匹配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08" w:type="dxa"/>
            <w:shd w:val="clear" w:color="auto" w:fill="FFFFFF"/>
            <w:noWrap w:val="0"/>
            <w:vAlign w:val="center"/>
          </w:tcPr>
          <w:p>
            <w:pPr>
              <w:pStyle w:val="8"/>
              <w:spacing w:line="200" w:lineRule="exact"/>
              <w:ind w:left="840"/>
              <w:jc w:val="center"/>
              <w:rPr>
                <w:rFonts w:ascii="宋体" w:hAnsi="宋体"/>
                <w:szCs w:val="21"/>
                <w:highlight w:val="none"/>
              </w:rPr>
            </w:pPr>
            <w:r>
              <w:rPr>
                <w:rFonts w:ascii="宋体" w:hAnsi="宋体"/>
                <w:szCs w:val="21"/>
                <w:highlight w:val="none"/>
              </w:rPr>
              <w:t>4</w:t>
            </w: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SS3</w:t>
            </w:r>
            <w:r>
              <w:rPr>
                <w:rFonts w:ascii="宋体" w:hAnsi="宋体"/>
                <w:szCs w:val="21"/>
                <w:highlight w:val="none"/>
              </w:rPr>
              <w:t>04</w:t>
            </w:r>
            <w:r>
              <w:rPr>
                <w:rFonts w:hint="eastAsia" w:ascii="宋体" w:hAnsi="宋体"/>
                <w:szCs w:val="21"/>
                <w:highlight w:val="none"/>
              </w:rPr>
              <w:t>储气罐（含底座）</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上海申江(申牌)、上海奉贤（申江牌）、青岛海空</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ascii="宋体" w:hAnsi="宋体"/>
                <w:szCs w:val="21"/>
                <w:highlight w:val="none"/>
              </w:rPr>
              <w:t>3</w:t>
            </w:r>
            <w:r>
              <w:rPr>
                <w:rFonts w:hint="eastAsia" w:ascii="宋体" w:hAnsi="宋体"/>
                <w:szCs w:val="21"/>
                <w:highlight w:val="none"/>
              </w:rPr>
              <w:t>个</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容积：V=</w:t>
            </w:r>
            <w:r>
              <w:rPr>
                <w:rFonts w:ascii="宋体" w:hAnsi="宋体"/>
                <w:szCs w:val="21"/>
                <w:highlight w:val="none"/>
              </w:rPr>
              <w:t>20m</w:t>
            </w:r>
            <w:r>
              <w:rPr>
                <w:rFonts w:ascii="宋体" w:hAnsi="宋体" w:cs="Calibri"/>
                <w:szCs w:val="21"/>
                <w:highlight w:val="none"/>
              </w:rPr>
              <w:t>³</w:t>
            </w:r>
            <w:r>
              <w:rPr>
                <w:rFonts w:hint="eastAsia" w:ascii="宋体" w:hAnsi="宋体"/>
                <w:szCs w:val="21"/>
                <w:highlight w:val="none"/>
              </w:rPr>
              <w:t>；</w:t>
            </w:r>
          </w:p>
          <w:p>
            <w:pPr>
              <w:pStyle w:val="8"/>
              <w:spacing w:line="200" w:lineRule="exact"/>
              <w:ind w:left="840"/>
              <w:rPr>
                <w:rFonts w:ascii="宋体" w:hAnsi="宋体"/>
                <w:szCs w:val="21"/>
                <w:highlight w:val="none"/>
              </w:rPr>
            </w:pPr>
            <w:r>
              <w:rPr>
                <w:rFonts w:hint="eastAsia" w:ascii="宋体" w:hAnsi="宋体"/>
                <w:szCs w:val="21"/>
                <w:highlight w:val="none"/>
              </w:rPr>
              <w:t>压力：PN=1.0Mpa（带压力表.安全阀、自动</w:t>
            </w:r>
            <w:r>
              <w:rPr>
                <w:rFonts w:ascii="宋体" w:hAnsi="宋体"/>
                <w:szCs w:val="21"/>
                <w:highlight w:val="none"/>
              </w:rPr>
              <w:t>排水</w:t>
            </w:r>
            <w:r>
              <w:rPr>
                <w:rFonts w:hint="eastAsia" w:ascii="宋体" w:hAnsi="宋体"/>
                <w:szCs w:val="21"/>
                <w:highlight w:val="none"/>
              </w:rPr>
              <w:t>阀））能够在工程所在地技术监督局进行备案的产品；</w:t>
            </w:r>
          </w:p>
          <w:p>
            <w:pPr>
              <w:pStyle w:val="8"/>
              <w:spacing w:line="200" w:lineRule="exact"/>
              <w:ind w:left="840"/>
              <w:rPr>
                <w:rFonts w:ascii="宋体" w:hAnsi="宋体"/>
                <w:szCs w:val="21"/>
                <w:highlight w:val="none"/>
              </w:rPr>
            </w:pPr>
            <w:r>
              <w:rPr>
                <w:rFonts w:hint="eastAsia" w:ascii="宋体" w:hAnsi="宋体"/>
                <w:szCs w:val="21"/>
                <w:highlight w:val="none"/>
              </w:rPr>
              <w:t>安全阀品牌：斯派莎克、阿姆斯壮、艾瑞或同档次品牌；</w:t>
            </w:r>
          </w:p>
          <w:p>
            <w:pPr>
              <w:pStyle w:val="8"/>
              <w:spacing w:line="200" w:lineRule="exact"/>
              <w:ind w:left="840"/>
              <w:rPr>
                <w:rFonts w:ascii="宋体" w:hAnsi="宋体"/>
                <w:szCs w:val="21"/>
                <w:highlight w:val="none"/>
              </w:rPr>
            </w:pPr>
            <w:r>
              <w:rPr>
                <w:rFonts w:hint="eastAsia" w:ascii="宋体" w:hAnsi="宋体"/>
                <w:szCs w:val="21"/>
                <w:highlight w:val="none"/>
              </w:rPr>
              <w:t>压力表需安装球阀方便拆卸；</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安装完成后高度≤</w:t>
            </w:r>
            <w:r>
              <w:rPr>
                <w:rFonts w:ascii="宋体" w:hAnsi="宋体"/>
                <w:szCs w:val="21"/>
                <w:highlight w:val="none"/>
              </w:rPr>
              <w:t>62</w:t>
            </w:r>
            <w:r>
              <w:rPr>
                <w:rFonts w:hint="eastAsia" w:ascii="宋体" w:hAnsi="宋体"/>
                <w:szCs w:val="21"/>
                <w:highlight w:val="none"/>
              </w:rPr>
              <w:t>00mm（含安全阀）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08" w:type="dxa"/>
            <w:shd w:val="clear" w:color="auto" w:fill="FFFFFF"/>
            <w:noWrap w:val="0"/>
            <w:vAlign w:val="center"/>
          </w:tcPr>
          <w:p>
            <w:pPr>
              <w:pStyle w:val="8"/>
              <w:spacing w:line="200" w:lineRule="exact"/>
              <w:ind w:left="840"/>
              <w:jc w:val="center"/>
              <w:rPr>
                <w:rFonts w:ascii="宋体" w:hAnsi="宋体"/>
                <w:szCs w:val="21"/>
                <w:highlight w:val="none"/>
              </w:rPr>
            </w:pPr>
            <w:r>
              <w:rPr>
                <w:rFonts w:ascii="宋体" w:hAnsi="宋体"/>
                <w:szCs w:val="21"/>
                <w:highlight w:val="none"/>
              </w:rPr>
              <w:t>5</w:t>
            </w: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站内管道</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ascii="宋体" w:hAnsi="宋体"/>
                <w:szCs w:val="21"/>
                <w:highlight w:val="none"/>
              </w:rPr>
              <w:t>1</w:t>
            </w:r>
            <w:r>
              <w:rPr>
                <w:rFonts w:hint="eastAsia" w:ascii="宋体" w:hAnsi="宋体"/>
                <w:szCs w:val="21"/>
                <w:highlight w:val="none"/>
              </w:rPr>
              <w:t>套</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材质：采用S</w:t>
            </w:r>
            <w:r>
              <w:rPr>
                <w:rFonts w:ascii="宋体" w:hAnsi="宋体"/>
                <w:szCs w:val="21"/>
                <w:highlight w:val="none"/>
              </w:rPr>
              <w:t>S304</w:t>
            </w:r>
            <w:r>
              <w:rPr>
                <w:rFonts w:hint="eastAsia" w:ascii="宋体" w:hAnsi="宋体"/>
                <w:szCs w:val="21"/>
                <w:highlight w:val="none"/>
              </w:rPr>
              <w:t>管道；</w:t>
            </w:r>
          </w:p>
        </w:tc>
        <w:tc>
          <w:tcPr>
            <w:tcW w:w="1871" w:type="dxa"/>
            <w:shd w:val="clear" w:color="auto" w:fill="FFFFFF"/>
            <w:noWrap w:val="0"/>
            <w:vAlign w:val="center"/>
          </w:tcPr>
          <w:p>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jc w:val="both"/>
              <w:textAlignment w:val="auto"/>
              <w:rPr>
                <w:rFonts w:ascii="宋体" w:hAnsi="宋体"/>
                <w:szCs w:val="21"/>
                <w:highlight w:val="none"/>
              </w:rPr>
            </w:pPr>
            <w:r>
              <w:rPr>
                <w:rFonts w:hint="eastAsia" w:ascii="宋体" w:hAnsi="宋体"/>
                <w:szCs w:val="21"/>
                <w:highlight w:val="none"/>
              </w:rPr>
              <w:t>预留后1</w:t>
            </w:r>
            <w:r>
              <w:rPr>
                <w:rFonts w:ascii="宋体" w:hAnsi="宋体"/>
                <w:szCs w:val="21"/>
                <w:highlight w:val="none"/>
              </w:rPr>
              <w:t>5</w:t>
            </w:r>
            <w:r>
              <w:rPr>
                <w:rFonts w:hint="eastAsia" w:ascii="宋体" w:hAnsi="宋体"/>
                <w:szCs w:val="21"/>
                <w:highlight w:val="none"/>
              </w:rPr>
              <w:t>GWh对接口（含阀门）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708" w:type="dxa"/>
            <w:shd w:val="clear" w:color="auto" w:fill="FFFFFF"/>
            <w:noWrap w:val="0"/>
            <w:vAlign w:val="center"/>
          </w:tcPr>
          <w:p>
            <w:pPr>
              <w:pStyle w:val="8"/>
              <w:spacing w:line="200" w:lineRule="exact"/>
              <w:ind w:left="840"/>
              <w:jc w:val="center"/>
              <w:rPr>
                <w:rFonts w:ascii="宋体" w:hAnsi="宋体"/>
                <w:szCs w:val="21"/>
                <w:highlight w:val="none"/>
              </w:rPr>
            </w:pPr>
            <w:r>
              <w:rPr>
                <w:rFonts w:ascii="宋体" w:hAnsi="宋体"/>
                <w:szCs w:val="21"/>
                <w:highlight w:val="none"/>
              </w:rPr>
              <w:t>6</w:t>
            </w:r>
          </w:p>
        </w:tc>
        <w:tc>
          <w:tcPr>
            <w:tcW w:w="141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高压启动柜</w:t>
            </w:r>
          </w:p>
        </w:tc>
        <w:tc>
          <w:tcPr>
            <w:tcW w:w="1276" w:type="dxa"/>
            <w:shd w:val="clear" w:color="auto" w:fill="FFFFFF"/>
            <w:noWrap w:val="0"/>
            <w:vAlign w:val="center"/>
          </w:tcPr>
          <w:p>
            <w:pPr>
              <w:pStyle w:val="8"/>
              <w:spacing w:line="200" w:lineRule="exact"/>
              <w:ind w:left="840"/>
              <w:rPr>
                <w:rFonts w:ascii="宋体" w:hAnsi="宋体"/>
                <w:szCs w:val="21"/>
                <w:highlight w:val="none"/>
              </w:rPr>
            </w:pPr>
            <w:r>
              <w:rPr>
                <w:rFonts w:ascii="宋体" w:hAnsi="宋体"/>
                <w:szCs w:val="21"/>
                <w:highlight w:val="none"/>
              </w:rPr>
              <w:t>/</w:t>
            </w:r>
          </w:p>
        </w:tc>
        <w:tc>
          <w:tcPr>
            <w:tcW w:w="708"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与离心空压机数量一致</w:t>
            </w:r>
          </w:p>
        </w:tc>
        <w:tc>
          <w:tcPr>
            <w:tcW w:w="3937"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高压真空断路器品牌：ABB</w:t>
            </w:r>
            <w:r>
              <w:rPr>
                <w:rFonts w:ascii="宋体" w:hAnsi="宋体"/>
                <w:szCs w:val="21"/>
                <w:highlight w:val="none"/>
              </w:rPr>
              <w:t>/</w:t>
            </w:r>
            <w:r>
              <w:rPr>
                <w:rFonts w:hint="eastAsia" w:ascii="宋体" w:hAnsi="宋体"/>
                <w:szCs w:val="21"/>
                <w:highlight w:val="none"/>
              </w:rPr>
              <w:t>西门子/施耐德；</w:t>
            </w:r>
          </w:p>
          <w:p>
            <w:pPr>
              <w:pStyle w:val="8"/>
              <w:spacing w:line="200" w:lineRule="exact"/>
              <w:ind w:left="840"/>
              <w:rPr>
                <w:rFonts w:ascii="宋体" w:hAnsi="宋体"/>
                <w:szCs w:val="21"/>
                <w:highlight w:val="none"/>
              </w:rPr>
            </w:pPr>
            <w:r>
              <w:rPr>
                <w:rFonts w:hint="eastAsia" w:ascii="宋体" w:hAnsi="宋体"/>
                <w:szCs w:val="21"/>
                <w:highlight w:val="none"/>
              </w:rPr>
              <w:t>高压真空接触器品牌：ABB</w:t>
            </w:r>
            <w:r>
              <w:rPr>
                <w:rFonts w:ascii="宋体" w:hAnsi="宋体"/>
                <w:szCs w:val="21"/>
                <w:highlight w:val="none"/>
              </w:rPr>
              <w:t>/</w:t>
            </w:r>
            <w:r>
              <w:rPr>
                <w:rFonts w:hint="eastAsia" w:ascii="宋体" w:hAnsi="宋体"/>
                <w:szCs w:val="21"/>
                <w:highlight w:val="none"/>
              </w:rPr>
              <w:t>西门子/施耐德；</w:t>
            </w:r>
          </w:p>
        </w:tc>
        <w:tc>
          <w:tcPr>
            <w:tcW w:w="1871" w:type="dxa"/>
            <w:shd w:val="clear" w:color="auto" w:fill="FFFFFF"/>
            <w:noWrap w:val="0"/>
            <w:vAlign w:val="center"/>
          </w:tcPr>
          <w:p>
            <w:pPr>
              <w:pStyle w:val="8"/>
              <w:spacing w:line="200" w:lineRule="exact"/>
              <w:ind w:left="840"/>
              <w:rPr>
                <w:rFonts w:ascii="宋体" w:hAnsi="宋体"/>
                <w:szCs w:val="21"/>
                <w:highlight w:val="none"/>
              </w:rPr>
            </w:pPr>
            <w:r>
              <w:rPr>
                <w:rFonts w:hint="eastAsia" w:ascii="宋体" w:hAnsi="宋体"/>
                <w:szCs w:val="21"/>
                <w:highlight w:val="none"/>
              </w:rPr>
              <w:t>需满足上述离心空压机使用要求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918" w:type="dxa"/>
            <w:gridSpan w:val="6"/>
            <w:shd w:val="clear" w:color="auto" w:fill="FFFFFF"/>
            <w:noWrap w:val="0"/>
            <w:vAlign w:val="center"/>
          </w:tcPr>
          <w:p>
            <w:pPr>
              <w:pStyle w:val="8"/>
              <w:spacing w:line="200" w:lineRule="exact"/>
              <w:ind w:left="840"/>
              <w:rPr>
                <w:rFonts w:ascii="宋体" w:hAnsi="宋体"/>
                <w:b/>
                <w:szCs w:val="21"/>
                <w:highlight w:val="none"/>
              </w:rPr>
            </w:pPr>
            <w:r>
              <w:rPr>
                <w:rFonts w:hint="eastAsia" w:ascii="宋体" w:hAnsi="宋体"/>
                <w:b/>
                <w:szCs w:val="21"/>
                <w:highlight w:val="none"/>
              </w:rPr>
              <w:t>备注：本次招标范围空压机总产气量必须≥6</w:t>
            </w:r>
            <w:r>
              <w:rPr>
                <w:rFonts w:ascii="宋体" w:hAnsi="宋体"/>
                <w:b/>
                <w:szCs w:val="21"/>
                <w:highlight w:val="none"/>
              </w:rPr>
              <w:t>20</w:t>
            </w:r>
            <w:r>
              <w:rPr>
                <w:rFonts w:hint="eastAsia" w:ascii="宋体" w:hAnsi="宋体"/>
                <w:b/>
                <w:szCs w:val="21"/>
                <w:highlight w:val="none"/>
              </w:rPr>
              <w:t>m</w:t>
            </w:r>
            <w:r>
              <w:rPr>
                <w:rFonts w:ascii="宋体" w:hAnsi="宋体"/>
                <w:b/>
                <w:szCs w:val="21"/>
                <w:highlight w:val="none"/>
              </w:rPr>
              <w:t>3/min</w:t>
            </w:r>
            <w:r>
              <w:rPr>
                <w:rFonts w:hint="eastAsia" w:ascii="宋体" w:hAnsi="宋体"/>
                <w:b/>
                <w:szCs w:val="21"/>
                <w:highlight w:val="none"/>
              </w:rPr>
              <w:t>。</w:t>
            </w:r>
          </w:p>
        </w:tc>
      </w:tr>
    </w:tbl>
    <w:p>
      <w:pPr>
        <w:pStyle w:val="8"/>
        <w:ind w:left="840" w:firstLine="165" w:firstLineChars="82"/>
        <w:outlineLvl w:val="1"/>
        <w:rPr>
          <w:highlight w:val="none"/>
        </w:rPr>
      </w:pPr>
      <w:bookmarkStart w:id="338" w:name="_Toc144669675"/>
      <w:r>
        <w:rPr>
          <w:rFonts w:hint="eastAsia"/>
          <w:b/>
          <w:highlight w:val="none"/>
        </w:rPr>
        <w:t>1.</w:t>
      </w:r>
      <w:r>
        <w:rPr>
          <w:b/>
          <w:highlight w:val="none"/>
        </w:rPr>
        <w:t>3</w:t>
      </w:r>
      <w:r>
        <w:rPr>
          <w:rFonts w:hint="eastAsia"/>
          <w:b/>
          <w:highlight w:val="none"/>
        </w:rPr>
        <w:t>设备控制部分</w:t>
      </w:r>
      <w:r>
        <w:rPr>
          <w:rFonts w:hint="eastAsia"/>
          <w:highlight w:val="none"/>
        </w:rPr>
        <w:t>：</w:t>
      </w:r>
      <w:bookmarkEnd w:id="338"/>
    </w:p>
    <w:p>
      <w:pPr>
        <w:pStyle w:val="8"/>
        <w:ind w:left="840" w:firstLine="480"/>
        <w:rPr>
          <w:highlight w:val="none"/>
        </w:rPr>
      </w:pPr>
      <w:r>
        <w:rPr>
          <w:rFonts w:hint="eastAsia"/>
          <w:highlight w:val="none"/>
        </w:rPr>
        <w:t>设备控制部分包含：电控系统、人机界面等部分。</w:t>
      </w:r>
    </w:p>
    <w:p>
      <w:pPr>
        <w:pStyle w:val="8"/>
        <w:ind w:left="840" w:firstLine="480"/>
        <w:outlineLvl w:val="2"/>
        <w:rPr>
          <w:highlight w:val="none"/>
        </w:rPr>
      </w:pPr>
      <w:r>
        <w:rPr>
          <w:rFonts w:hint="eastAsia"/>
          <w:highlight w:val="none"/>
        </w:rPr>
        <w:t>1.</w:t>
      </w:r>
      <w:r>
        <w:rPr>
          <w:highlight w:val="none"/>
        </w:rPr>
        <w:t>3</w:t>
      </w:r>
      <w:r>
        <w:rPr>
          <w:rFonts w:hint="eastAsia"/>
          <w:highlight w:val="none"/>
        </w:rPr>
        <w:t>.1电控系统</w:t>
      </w:r>
    </w:p>
    <w:p>
      <w:pPr>
        <w:pStyle w:val="8"/>
        <w:ind w:left="840" w:firstLine="480"/>
        <w:rPr>
          <w:highlight w:val="none"/>
        </w:rPr>
      </w:pPr>
      <w:r>
        <w:rPr>
          <w:rFonts w:hint="eastAsia"/>
          <w:highlight w:val="none"/>
        </w:rPr>
        <w:t>1）功能：本机控制及与外部设备的通讯。</w:t>
      </w:r>
    </w:p>
    <w:p>
      <w:pPr>
        <w:pStyle w:val="8"/>
        <w:ind w:left="840" w:firstLine="480"/>
        <w:rPr>
          <w:highlight w:val="none"/>
        </w:rPr>
      </w:pPr>
      <w:r>
        <w:rPr>
          <w:rFonts w:hint="eastAsia"/>
          <w:highlight w:val="none"/>
        </w:rPr>
        <w:t>2）要求：电气设备安全标准按GB19517-2009《国家电气设备安全标准》</w:t>
      </w:r>
    </w:p>
    <w:p>
      <w:pPr>
        <w:pStyle w:val="8"/>
        <w:ind w:left="840" w:firstLine="480"/>
        <w:rPr>
          <w:highlight w:val="none"/>
        </w:rPr>
      </w:pPr>
      <w:r>
        <w:rPr>
          <w:rFonts w:hint="eastAsia"/>
          <w:highlight w:val="none"/>
        </w:rPr>
        <w:t>a.设备气控原件和电控元件电箱独立分开；</w:t>
      </w:r>
    </w:p>
    <w:p>
      <w:pPr>
        <w:pStyle w:val="8"/>
        <w:ind w:left="840" w:firstLine="480"/>
        <w:rPr>
          <w:highlight w:val="none"/>
        </w:rPr>
      </w:pPr>
      <w:r>
        <w:rPr>
          <w:rFonts w:hint="eastAsia"/>
          <w:highlight w:val="none"/>
        </w:rPr>
        <w:t>b.电箱防尘、密封和降温处理；电箱排风扇需经过滤后，方可排风至车间，电柜防护等级要求IP54，范围内的所有电机防护等级要求IP55）；</w:t>
      </w:r>
    </w:p>
    <w:p>
      <w:pPr>
        <w:pStyle w:val="8"/>
        <w:ind w:left="840" w:firstLine="480"/>
        <w:rPr>
          <w:highlight w:val="none"/>
        </w:rPr>
      </w:pPr>
      <w:r>
        <w:rPr>
          <w:rFonts w:hint="eastAsia"/>
          <w:highlight w:val="none"/>
        </w:rPr>
        <w:t>c.感应器、电磁阀等的防护不低于IP64，其他区域满足IP54即可；</w:t>
      </w:r>
    </w:p>
    <w:p>
      <w:pPr>
        <w:pStyle w:val="8"/>
        <w:ind w:left="840" w:firstLine="480"/>
        <w:outlineLvl w:val="2"/>
        <w:rPr>
          <w:highlight w:val="none"/>
        </w:rPr>
      </w:pPr>
      <w:r>
        <w:rPr>
          <w:rFonts w:hint="eastAsia"/>
          <w:highlight w:val="none"/>
        </w:rPr>
        <w:t>1.</w:t>
      </w:r>
      <w:r>
        <w:rPr>
          <w:highlight w:val="none"/>
        </w:rPr>
        <w:t>3</w:t>
      </w:r>
      <w:r>
        <w:rPr>
          <w:rFonts w:hint="eastAsia"/>
          <w:highlight w:val="none"/>
        </w:rPr>
        <w:t>.2人机界面</w:t>
      </w:r>
    </w:p>
    <w:p>
      <w:pPr>
        <w:pStyle w:val="8"/>
        <w:ind w:left="840" w:firstLine="480"/>
        <w:rPr>
          <w:highlight w:val="none"/>
        </w:rPr>
      </w:pPr>
      <w:r>
        <w:rPr>
          <w:rFonts w:hint="eastAsia"/>
          <w:highlight w:val="none"/>
        </w:rPr>
        <w:t>1）功能：设备各项功能、设备参数的集成显示且可进行存储等操作，以实现人机交互。</w:t>
      </w:r>
    </w:p>
    <w:p>
      <w:pPr>
        <w:pStyle w:val="8"/>
        <w:ind w:left="840" w:firstLine="480"/>
        <w:rPr>
          <w:highlight w:val="none"/>
        </w:rPr>
      </w:pPr>
      <w:r>
        <w:rPr>
          <w:rFonts w:hint="eastAsia"/>
          <w:highlight w:val="none"/>
        </w:rPr>
        <w:t>2）要求：人机界面不能有生产厂家信息（信息包括：地址、联系电话、传真号等）；</w:t>
      </w:r>
    </w:p>
    <w:p>
      <w:pPr>
        <w:pStyle w:val="8"/>
        <w:ind w:left="840" w:firstLine="480"/>
        <w:rPr>
          <w:highlight w:val="none"/>
        </w:rPr>
      </w:pPr>
      <w:r>
        <w:rPr>
          <w:rFonts w:hint="eastAsia"/>
          <w:highlight w:val="none"/>
        </w:rPr>
        <w:t>3）智能控制：运行监控保护、故障状态显示功能。设备出现故障时，能进行自我诊断，并给出处解决方案。</w:t>
      </w:r>
    </w:p>
    <w:p>
      <w:pPr>
        <w:pStyle w:val="8"/>
        <w:ind w:left="840" w:firstLine="480"/>
        <w:rPr>
          <w:highlight w:val="none"/>
        </w:rPr>
      </w:pPr>
      <w:r>
        <w:rPr>
          <w:rFonts w:hint="eastAsia"/>
          <w:highlight w:val="none"/>
        </w:rPr>
        <w:t>4）密码管理：设备使用时，需有三级密码。</w:t>
      </w:r>
    </w:p>
    <w:p>
      <w:pPr>
        <w:pStyle w:val="8"/>
        <w:ind w:left="840" w:firstLine="480"/>
        <w:outlineLvl w:val="2"/>
        <w:rPr>
          <w:highlight w:val="none"/>
        </w:rPr>
      </w:pPr>
      <w:r>
        <w:rPr>
          <w:rFonts w:hint="eastAsia"/>
          <w:highlight w:val="none"/>
        </w:rPr>
        <w:t>1.</w:t>
      </w:r>
      <w:r>
        <w:rPr>
          <w:highlight w:val="none"/>
        </w:rPr>
        <w:t>3</w:t>
      </w:r>
      <w:r>
        <w:rPr>
          <w:rFonts w:hint="eastAsia"/>
          <w:highlight w:val="none"/>
        </w:rPr>
        <w:t>.3  集中控制系统</w:t>
      </w:r>
    </w:p>
    <w:p>
      <w:pPr>
        <w:pStyle w:val="8"/>
        <w:ind w:left="840" w:firstLine="480"/>
        <w:rPr>
          <w:highlight w:val="none"/>
        </w:rPr>
      </w:pPr>
      <w:r>
        <w:rPr>
          <w:rFonts w:hint="eastAsia"/>
          <w:highlight w:val="none"/>
        </w:rPr>
        <w:t>1）集电力、流量、压力等数据实现压缩空气系统的自动化智能化运行；</w:t>
      </w:r>
    </w:p>
    <w:p>
      <w:pPr>
        <w:pStyle w:val="8"/>
        <w:ind w:left="840" w:firstLine="480"/>
        <w:rPr>
          <w:highlight w:val="none"/>
        </w:rPr>
      </w:pPr>
      <w:r>
        <w:rPr>
          <w:rFonts w:hint="eastAsia"/>
          <w:highlight w:val="none"/>
        </w:rPr>
        <w:t>2）实现空压机的自动开关机顺序启动；</w:t>
      </w:r>
    </w:p>
    <w:p>
      <w:pPr>
        <w:pStyle w:val="8"/>
        <w:ind w:left="840" w:firstLine="480"/>
        <w:rPr>
          <w:highlight w:val="none"/>
        </w:rPr>
      </w:pPr>
      <w:r>
        <w:rPr>
          <w:rFonts w:hint="eastAsia"/>
          <w:highlight w:val="none"/>
        </w:rPr>
        <w:t>3）对供气管网的用气量进行预测，进而控制空压机的运行；</w:t>
      </w:r>
    </w:p>
    <w:p>
      <w:pPr>
        <w:pStyle w:val="8"/>
        <w:ind w:left="840" w:firstLine="480"/>
        <w:rPr>
          <w:highlight w:val="none"/>
        </w:rPr>
      </w:pPr>
      <w:r>
        <w:rPr>
          <w:rFonts w:hint="eastAsia"/>
          <w:highlight w:val="none"/>
        </w:rPr>
        <w:t>4）空压站系统图纸范围内的各种数据的管理及采集；</w:t>
      </w:r>
    </w:p>
    <w:p>
      <w:pPr>
        <w:pStyle w:val="8"/>
        <w:ind w:left="840" w:firstLine="480"/>
        <w:rPr>
          <w:highlight w:val="none"/>
        </w:rPr>
      </w:pPr>
      <w:r>
        <w:rPr>
          <w:rFonts w:hint="eastAsia"/>
          <w:highlight w:val="none"/>
        </w:rPr>
        <w:t>5）集合变频技术来解决负载匹配问题，实现按需供气；</w:t>
      </w:r>
    </w:p>
    <w:p>
      <w:pPr>
        <w:pStyle w:val="8"/>
        <w:ind w:left="840" w:firstLine="480"/>
        <w:rPr>
          <w:highlight w:val="none"/>
        </w:rPr>
      </w:pPr>
      <w:r>
        <w:rPr>
          <w:rFonts w:hint="eastAsia"/>
          <w:highlight w:val="none"/>
        </w:rPr>
        <w:t>6）依据采集数据，如超温、超压等报警，控制空压机和后处理设备的运行；</w:t>
      </w:r>
    </w:p>
    <w:p>
      <w:pPr>
        <w:pStyle w:val="8"/>
        <w:ind w:left="840" w:firstLine="480"/>
        <w:rPr>
          <w:highlight w:val="none"/>
        </w:rPr>
      </w:pPr>
      <w:r>
        <w:rPr>
          <w:rFonts w:hint="eastAsia"/>
          <w:highlight w:val="none"/>
        </w:rPr>
        <w:t>7）每台干燥机运行、停机、报警等与空压机联动；</w:t>
      </w:r>
    </w:p>
    <w:p>
      <w:pPr>
        <w:pStyle w:val="8"/>
        <w:ind w:left="840" w:firstLine="480"/>
        <w:rPr>
          <w:highlight w:val="none"/>
        </w:rPr>
      </w:pPr>
      <w:r>
        <w:rPr>
          <w:rFonts w:hint="eastAsia"/>
          <w:highlight w:val="none"/>
        </w:rPr>
        <w:t>8）循环冷却水系统与空压机组的运行联动控制，自动对冷却塔工作状态进行联动控制；</w:t>
      </w:r>
    </w:p>
    <w:p>
      <w:pPr>
        <w:pStyle w:val="8"/>
        <w:ind w:left="840" w:firstLine="480"/>
        <w:rPr>
          <w:highlight w:val="none"/>
        </w:rPr>
      </w:pPr>
      <w:r>
        <w:rPr>
          <w:rFonts w:hint="eastAsia"/>
          <w:highlight w:val="none"/>
        </w:rPr>
        <w:t>9）包含空压系统压力、露点、运行、停止、故障报警显示功能及空压机运行、停止控制功能；</w:t>
      </w:r>
    </w:p>
    <w:p>
      <w:pPr>
        <w:pStyle w:val="8"/>
        <w:ind w:left="840" w:firstLine="480"/>
        <w:rPr>
          <w:highlight w:val="none"/>
        </w:rPr>
      </w:pPr>
      <w:r>
        <w:rPr>
          <w:rFonts w:hint="eastAsia"/>
          <w:highlight w:val="none"/>
        </w:rPr>
        <w:t>10）手动操作：操作员可在触摸屏上直接操作任意一台联网压缩机的启停、加卸载等；同时也可以与安装前一样，在任意一台压缩机本体操作面板，两处的操作对压缩机完全等同处理，以确保安装自控系统后出线紧急情况下可手动控制；</w:t>
      </w:r>
    </w:p>
    <w:p>
      <w:pPr>
        <w:pStyle w:val="8"/>
        <w:ind w:left="840"/>
        <w:outlineLvl w:val="0"/>
        <w:rPr>
          <w:b/>
          <w:sz w:val="28"/>
          <w:highlight w:val="none"/>
        </w:rPr>
      </w:pPr>
      <w:bookmarkStart w:id="339" w:name="_Toc144669679"/>
      <w:r>
        <w:rPr>
          <w:rFonts w:hint="eastAsia"/>
          <w:b/>
          <w:sz w:val="28"/>
          <w:highlight w:val="none"/>
        </w:rPr>
        <w:t>二、设备技术参数</w:t>
      </w:r>
      <w:bookmarkEnd w:id="339"/>
    </w:p>
    <w:p>
      <w:pPr>
        <w:pStyle w:val="8"/>
        <w:ind w:left="840" w:firstLine="165" w:firstLineChars="82"/>
        <w:outlineLvl w:val="1"/>
        <w:rPr>
          <w:b/>
          <w:highlight w:val="none"/>
        </w:rPr>
      </w:pPr>
      <w:bookmarkStart w:id="340" w:name="_Toc144669680"/>
      <w:r>
        <w:rPr>
          <w:b/>
          <w:highlight w:val="none"/>
        </w:rPr>
        <w:t>2</w:t>
      </w:r>
      <w:r>
        <w:rPr>
          <w:rFonts w:hint="eastAsia"/>
          <w:b/>
          <w:highlight w:val="none"/>
        </w:rPr>
        <w:t>.1无油离心空压机机技术要求</w:t>
      </w:r>
      <w:bookmarkEnd w:id="340"/>
    </w:p>
    <w:p>
      <w:pPr>
        <w:pStyle w:val="8"/>
        <w:ind w:left="840" w:firstLine="480"/>
        <w:rPr>
          <w:highlight w:val="none"/>
        </w:rPr>
      </w:pPr>
      <w:r>
        <w:rPr>
          <w:rFonts w:hint="eastAsia"/>
          <w:highlight w:val="none"/>
        </w:rPr>
        <w:t>空压机本体的单机控制系统（控制系统采用中文），要求每台空压机带一台独立的可编程逻辑控制器PLC或微电脑控制器，对空压机进行保护和控制，并自带低压控制柜。控制柜应具有以下功能：</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2"/>
        <w:gridCol w:w="4982"/>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序号</w:t>
            </w:r>
          </w:p>
        </w:tc>
        <w:tc>
          <w:tcPr>
            <w:tcW w:w="498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描述</w:t>
            </w:r>
          </w:p>
        </w:tc>
        <w:tc>
          <w:tcPr>
            <w:tcW w:w="1134" w:type="dxa"/>
            <w:tcBorders>
              <w:right w:val="single" w:color="auto" w:sz="4" w:space="0"/>
            </w:tcBorders>
            <w:noWrap w:val="0"/>
            <w:vAlign w:val="center"/>
          </w:tcPr>
          <w:p>
            <w:pPr>
              <w:pStyle w:val="8"/>
              <w:spacing w:line="312" w:lineRule="auto"/>
              <w:ind w:left="840"/>
              <w:jc w:val="center"/>
              <w:rPr>
                <w:rFonts w:ascii="宋体" w:hAnsi="宋体"/>
                <w:highlight w:val="none"/>
              </w:rPr>
            </w:pPr>
            <w:r>
              <w:rPr>
                <w:rFonts w:hint="eastAsia" w:ascii="宋体" w:hAnsi="宋体"/>
                <w:highlight w:val="none"/>
              </w:rPr>
              <w:t>显示</w:t>
            </w:r>
          </w:p>
        </w:tc>
        <w:tc>
          <w:tcPr>
            <w:tcW w:w="1134" w:type="dxa"/>
            <w:tcBorders>
              <w:left w:val="single" w:color="auto" w:sz="4" w:space="0"/>
              <w:right w:val="single" w:color="auto" w:sz="4" w:space="0"/>
            </w:tcBorders>
            <w:noWrap w:val="0"/>
            <w:vAlign w:val="center"/>
          </w:tcPr>
          <w:p>
            <w:pPr>
              <w:pStyle w:val="8"/>
              <w:spacing w:line="312" w:lineRule="auto"/>
              <w:ind w:left="840"/>
              <w:jc w:val="center"/>
              <w:rPr>
                <w:rFonts w:ascii="宋体" w:hAnsi="宋体"/>
                <w:highlight w:val="none"/>
              </w:rPr>
            </w:pPr>
            <w:r>
              <w:rPr>
                <w:rFonts w:hint="eastAsia" w:ascii="宋体" w:hAnsi="宋体"/>
                <w:highlight w:val="none"/>
              </w:rPr>
              <w:t>报警</w:t>
            </w:r>
          </w:p>
        </w:tc>
        <w:tc>
          <w:tcPr>
            <w:tcW w:w="1134" w:type="dxa"/>
            <w:tcBorders>
              <w:left w:val="single" w:color="auto" w:sz="4" w:space="0"/>
            </w:tcBorders>
            <w:noWrap w:val="0"/>
            <w:vAlign w:val="center"/>
          </w:tcPr>
          <w:p>
            <w:pPr>
              <w:pStyle w:val="8"/>
              <w:spacing w:line="312" w:lineRule="auto"/>
              <w:ind w:left="840"/>
              <w:jc w:val="center"/>
              <w:rPr>
                <w:rFonts w:ascii="宋体" w:hAnsi="宋体"/>
                <w:highlight w:val="none"/>
              </w:rPr>
            </w:pPr>
            <w:r>
              <w:rPr>
                <w:rFonts w:hint="eastAsia" w:ascii="宋体" w:hAnsi="宋体"/>
                <w:highlight w:val="none"/>
              </w:rPr>
              <w:t>停机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1</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运行小时</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2</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电机电流和保护</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3</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阀门开度</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4</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排气压力</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5</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排气温度</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6</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油压</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7</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油温</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8</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转子振动</w:t>
            </w:r>
            <w:r>
              <w:rPr>
                <w:rFonts w:ascii="宋体" w:hAnsi="宋体"/>
                <w:highlight w:val="none"/>
              </w:rPr>
              <w:t xml:space="preserve">               </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9</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喘振</w:t>
            </w:r>
            <w:r>
              <w:rPr>
                <w:rFonts w:ascii="宋体" w:hAnsi="宋体"/>
                <w:highlight w:val="none"/>
              </w:rPr>
              <w:t xml:space="preserve"> </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10</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低密封空气压力</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11</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开机累计时间</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12</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运行累计时间</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13</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加载累计时间</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14</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开机次数</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15</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语言选择（包括中英双语言）</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16</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报警，停车，操作等事件实时记录、显示</w:t>
            </w:r>
          </w:p>
          <w:p>
            <w:pPr>
              <w:pStyle w:val="8"/>
              <w:spacing w:line="312" w:lineRule="auto"/>
              <w:ind w:left="840"/>
              <w:rPr>
                <w:rFonts w:ascii="宋体" w:hAnsi="宋体"/>
                <w:highlight w:val="none"/>
              </w:rPr>
            </w:pPr>
            <w:r>
              <w:rPr>
                <w:rFonts w:hint="eastAsia" w:ascii="宋体" w:hAnsi="宋体"/>
                <w:highlight w:val="none"/>
              </w:rPr>
              <w:t>（包括原因，数据，日期，时间等）</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852"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17</w:t>
            </w:r>
          </w:p>
        </w:tc>
        <w:tc>
          <w:tcPr>
            <w:tcW w:w="4982" w:type="dxa"/>
            <w:noWrap w:val="0"/>
            <w:vAlign w:val="center"/>
          </w:tcPr>
          <w:p>
            <w:pPr>
              <w:pStyle w:val="8"/>
              <w:spacing w:line="312" w:lineRule="auto"/>
              <w:ind w:left="840"/>
              <w:rPr>
                <w:rFonts w:ascii="宋体" w:hAnsi="宋体"/>
                <w:highlight w:val="none"/>
              </w:rPr>
            </w:pPr>
            <w:r>
              <w:rPr>
                <w:rFonts w:hint="eastAsia" w:ascii="宋体" w:hAnsi="宋体"/>
                <w:highlight w:val="none"/>
              </w:rPr>
              <w:t>压缩机状态</w:t>
            </w:r>
            <w:r>
              <w:rPr>
                <w:rFonts w:ascii="宋体" w:hAnsi="宋体"/>
                <w:highlight w:val="none"/>
              </w:rPr>
              <w:t xml:space="preserve"> </w:t>
            </w:r>
            <w:r>
              <w:rPr>
                <w:rFonts w:hint="eastAsia" w:ascii="宋体" w:hAnsi="宋体"/>
                <w:highlight w:val="none"/>
              </w:rPr>
              <w:t>（等待，没准备好，已准备好启动，负载，卸载，喘振卸载，自动卸载，最小负载，最大负载）</w:t>
            </w:r>
          </w:p>
        </w:tc>
        <w:tc>
          <w:tcPr>
            <w:tcW w:w="1134" w:type="dxa"/>
            <w:noWrap w:val="0"/>
            <w:vAlign w:val="center"/>
          </w:tcPr>
          <w:p>
            <w:pPr>
              <w:pStyle w:val="8"/>
              <w:spacing w:line="312" w:lineRule="auto"/>
              <w:ind w:left="840"/>
              <w:jc w:val="center"/>
              <w:rPr>
                <w:rFonts w:ascii="宋体" w:hAnsi="宋体"/>
                <w:highlight w:val="none"/>
              </w:rPr>
            </w:pPr>
            <w:r>
              <w:rPr>
                <w:rFonts w:hint="eastAsia"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c>
          <w:tcPr>
            <w:tcW w:w="1134" w:type="dxa"/>
            <w:noWrap w:val="0"/>
            <w:vAlign w:val="center"/>
          </w:tcPr>
          <w:p>
            <w:pPr>
              <w:pStyle w:val="8"/>
              <w:spacing w:line="312" w:lineRule="auto"/>
              <w:ind w:left="840"/>
              <w:jc w:val="center"/>
              <w:rPr>
                <w:rFonts w:ascii="宋体" w:hAnsi="宋体"/>
                <w:highlight w:val="none"/>
              </w:rPr>
            </w:pPr>
            <w:r>
              <w:rPr>
                <w:rFonts w:ascii="宋体" w:hAnsi="宋体"/>
                <w:highlight w:val="none"/>
              </w:rPr>
              <w:t>---</w:t>
            </w:r>
          </w:p>
        </w:tc>
      </w:tr>
    </w:tbl>
    <w:p>
      <w:pPr>
        <w:pStyle w:val="8"/>
        <w:ind w:left="840" w:firstLine="165" w:firstLineChars="82"/>
        <w:outlineLvl w:val="1"/>
        <w:rPr>
          <w:b/>
          <w:highlight w:val="none"/>
        </w:rPr>
      </w:pPr>
      <w:bookmarkStart w:id="341" w:name="_Toc144669681"/>
      <w:r>
        <w:rPr>
          <w:b/>
          <w:highlight w:val="none"/>
        </w:rPr>
        <w:t>2</w:t>
      </w:r>
      <w:r>
        <w:rPr>
          <w:rFonts w:hint="eastAsia"/>
          <w:b/>
          <w:highlight w:val="none"/>
        </w:rPr>
        <w:t>.2无油螺杆机部件技术要求</w:t>
      </w:r>
      <w:bookmarkEnd w:id="341"/>
    </w:p>
    <w:p>
      <w:pPr>
        <w:pStyle w:val="8"/>
        <w:ind w:left="840" w:firstLine="480"/>
        <w:outlineLvl w:val="2"/>
        <w:rPr>
          <w:highlight w:val="none"/>
        </w:rPr>
      </w:pPr>
      <w:r>
        <w:rPr>
          <w:highlight w:val="none"/>
        </w:rPr>
        <w:t>2</w:t>
      </w:r>
      <w:r>
        <w:rPr>
          <w:rFonts w:hint="eastAsia"/>
          <w:highlight w:val="none"/>
        </w:rPr>
        <w:t>.2.1控制面板</w:t>
      </w:r>
    </w:p>
    <w:p>
      <w:pPr>
        <w:pStyle w:val="8"/>
        <w:ind w:left="840" w:firstLine="480"/>
        <w:rPr>
          <w:highlight w:val="none"/>
        </w:rPr>
      </w:pPr>
      <w:r>
        <w:rPr>
          <w:rFonts w:hint="eastAsia"/>
          <w:highlight w:val="none"/>
        </w:rPr>
        <w:t>1）显示器上可正常控制机组的启动及停止。</w:t>
      </w:r>
    </w:p>
    <w:p>
      <w:pPr>
        <w:pStyle w:val="8"/>
        <w:ind w:left="840" w:firstLine="480"/>
        <w:rPr>
          <w:highlight w:val="none"/>
        </w:rPr>
      </w:pPr>
      <w:r>
        <w:rPr>
          <w:rFonts w:hint="eastAsia"/>
          <w:highlight w:val="none"/>
        </w:rPr>
        <w:t>2）正常显示机组运行各系统运行参数。</w:t>
      </w:r>
    </w:p>
    <w:p>
      <w:pPr>
        <w:pStyle w:val="8"/>
        <w:ind w:left="840" w:firstLine="480"/>
        <w:rPr>
          <w:highlight w:val="none"/>
        </w:rPr>
      </w:pPr>
      <w:r>
        <w:rPr>
          <w:rFonts w:hint="eastAsia"/>
          <w:highlight w:val="none"/>
        </w:rPr>
        <w:t>3）设置各系统运行的参数及报警值。</w:t>
      </w:r>
    </w:p>
    <w:p>
      <w:pPr>
        <w:pStyle w:val="8"/>
        <w:ind w:left="840" w:firstLine="480"/>
        <w:rPr>
          <w:highlight w:val="none"/>
        </w:rPr>
      </w:pPr>
      <w:r>
        <w:rPr>
          <w:rFonts w:hint="eastAsia"/>
          <w:highlight w:val="none"/>
        </w:rPr>
        <w:t>4）正常显示实时报警数据及信息，并含有复位效果，保证在不影响运行的状态下，消除报警信息。</w:t>
      </w:r>
    </w:p>
    <w:p>
      <w:pPr>
        <w:pStyle w:val="8"/>
        <w:ind w:left="840" w:firstLine="480"/>
        <w:rPr>
          <w:highlight w:val="none"/>
        </w:rPr>
      </w:pPr>
      <w:r>
        <w:rPr>
          <w:rFonts w:hint="eastAsia"/>
          <w:highlight w:val="none"/>
        </w:rPr>
        <w:t>5）显示机组状态，运行时间的信息。</w:t>
      </w:r>
    </w:p>
    <w:p>
      <w:pPr>
        <w:pStyle w:val="8"/>
        <w:ind w:left="840" w:firstLine="480"/>
        <w:rPr>
          <w:highlight w:val="none"/>
        </w:rPr>
      </w:pPr>
      <w:r>
        <w:rPr>
          <w:rFonts w:hint="eastAsia"/>
          <w:highlight w:val="none"/>
        </w:rPr>
        <w:t>6）运行控制程序必须永久性保存，避免交流电源断电</w:t>
      </w:r>
      <w:r>
        <w:rPr>
          <w:rFonts w:ascii="宋体" w:hAnsi="宋体"/>
          <w:highlight w:val="none"/>
        </w:rPr>
        <w:t>/</w:t>
      </w:r>
      <w:r>
        <w:rPr>
          <w:rFonts w:hint="eastAsia"/>
          <w:highlight w:val="none"/>
        </w:rPr>
        <w:t>电池用完而致使机组程序丢失。</w:t>
      </w:r>
    </w:p>
    <w:p>
      <w:pPr>
        <w:pStyle w:val="8"/>
        <w:ind w:left="840" w:firstLine="480"/>
        <w:rPr>
          <w:highlight w:val="none"/>
        </w:rPr>
      </w:pPr>
      <w:r>
        <w:rPr>
          <w:rFonts w:hint="eastAsia"/>
          <w:highlight w:val="none"/>
        </w:rPr>
        <w:t>7）屏幕显示为中英文切换。</w:t>
      </w:r>
    </w:p>
    <w:p>
      <w:pPr>
        <w:pStyle w:val="8"/>
        <w:ind w:left="840" w:firstLine="480"/>
        <w:outlineLvl w:val="2"/>
        <w:rPr>
          <w:highlight w:val="none"/>
        </w:rPr>
      </w:pPr>
      <w:r>
        <w:rPr>
          <w:highlight w:val="none"/>
        </w:rPr>
        <w:t>2</w:t>
      </w:r>
      <w:r>
        <w:rPr>
          <w:rFonts w:hint="eastAsia"/>
          <w:highlight w:val="none"/>
        </w:rPr>
        <w:t>.2.2润滑系统由油箱、油泵、滤油器、油冷却器等组成</w:t>
      </w:r>
    </w:p>
    <w:p>
      <w:pPr>
        <w:pStyle w:val="8"/>
        <w:ind w:left="840" w:firstLine="480"/>
        <w:rPr>
          <w:highlight w:val="none"/>
        </w:rPr>
      </w:pPr>
      <w:r>
        <w:rPr>
          <w:rFonts w:hint="eastAsia"/>
          <w:highlight w:val="none"/>
        </w:rPr>
        <w:t>1）分散润滑方式。</w:t>
      </w:r>
    </w:p>
    <w:p>
      <w:pPr>
        <w:pStyle w:val="8"/>
        <w:ind w:left="840" w:firstLine="480"/>
        <w:rPr>
          <w:highlight w:val="none"/>
        </w:rPr>
      </w:pPr>
      <w:r>
        <w:rPr>
          <w:rFonts w:hint="eastAsia"/>
          <w:highlight w:val="none"/>
        </w:rPr>
        <w:t>2）重要部位润滑检测和显示及控制。</w:t>
      </w:r>
    </w:p>
    <w:p>
      <w:pPr>
        <w:pStyle w:val="8"/>
        <w:ind w:left="840" w:firstLine="480"/>
        <w:rPr>
          <w:highlight w:val="none"/>
        </w:rPr>
      </w:pPr>
      <w:r>
        <w:rPr>
          <w:rFonts w:hint="eastAsia"/>
          <w:highlight w:val="none"/>
        </w:rPr>
        <w:t>3）设有油路过滤系统，采用过滤器。</w:t>
      </w:r>
    </w:p>
    <w:p>
      <w:pPr>
        <w:pStyle w:val="8"/>
        <w:ind w:left="840" w:firstLine="480"/>
        <w:rPr>
          <w:highlight w:val="none"/>
        </w:rPr>
      </w:pPr>
      <w:r>
        <w:rPr>
          <w:rFonts w:hint="eastAsia"/>
          <w:highlight w:val="none"/>
        </w:rPr>
        <w:t xml:space="preserve">4）有油温监测信号，设置油温高低报警值。 </w:t>
      </w:r>
    </w:p>
    <w:p>
      <w:pPr>
        <w:pStyle w:val="8"/>
        <w:ind w:left="840" w:firstLine="480"/>
        <w:rPr>
          <w:highlight w:val="none"/>
        </w:rPr>
      </w:pPr>
      <w:r>
        <w:rPr>
          <w:rFonts w:hint="eastAsia"/>
          <w:highlight w:val="none"/>
        </w:rPr>
        <w:t>5）润滑系统和液压油路系统为1套油箱控制。</w:t>
      </w:r>
    </w:p>
    <w:p>
      <w:pPr>
        <w:pStyle w:val="8"/>
        <w:ind w:left="840" w:firstLine="480"/>
        <w:rPr>
          <w:highlight w:val="none"/>
        </w:rPr>
      </w:pPr>
      <w:r>
        <w:rPr>
          <w:rFonts w:hint="eastAsia"/>
          <w:highlight w:val="none"/>
        </w:rPr>
        <w:t>6）油箱设置玻璃视镜，便于实时了解油液位状况，增加油量。</w:t>
      </w:r>
    </w:p>
    <w:p>
      <w:pPr>
        <w:pStyle w:val="8"/>
        <w:ind w:left="840" w:firstLine="480"/>
        <w:outlineLvl w:val="2"/>
        <w:rPr>
          <w:highlight w:val="none"/>
        </w:rPr>
      </w:pPr>
      <w:r>
        <w:rPr>
          <w:highlight w:val="none"/>
        </w:rPr>
        <w:t>2</w:t>
      </w:r>
      <w:r>
        <w:rPr>
          <w:rFonts w:hint="eastAsia"/>
          <w:highlight w:val="none"/>
        </w:rPr>
        <w:t>.2.3 安全装置（符合国家特级安全企业标准要求）</w:t>
      </w:r>
    </w:p>
    <w:p>
      <w:pPr>
        <w:pStyle w:val="8"/>
        <w:ind w:left="840" w:firstLine="480"/>
        <w:rPr>
          <w:highlight w:val="none"/>
        </w:rPr>
      </w:pPr>
      <w:r>
        <w:rPr>
          <w:rFonts w:hint="eastAsia"/>
          <w:highlight w:val="none"/>
        </w:rPr>
        <w:t>1）紧急停止按钮安装在控制面板上。</w:t>
      </w:r>
    </w:p>
    <w:p>
      <w:pPr>
        <w:pStyle w:val="8"/>
        <w:ind w:left="840" w:firstLine="480"/>
        <w:rPr>
          <w:highlight w:val="none"/>
        </w:rPr>
      </w:pPr>
      <w:r>
        <w:rPr>
          <w:rFonts w:hint="eastAsia"/>
          <w:highlight w:val="none"/>
        </w:rPr>
        <w:t>2）螺杆空压机需加装振动值监测功能。</w:t>
      </w:r>
    </w:p>
    <w:p>
      <w:pPr>
        <w:pStyle w:val="8"/>
        <w:ind w:left="840" w:firstLine="480"/>
        <w:rPr>
          <w:highlight w:val="none"/>
        </w:rPr>
      </w:pPr>
      <w:r>
        <w:rPr>
          <w:rFonts w:hint="eastAsia"/>
          <w:highlight w:val="none"/>
        </w:rPr>
        <w:t>3）机组自带安全阀。</w:t>
      </w:r>
    </w:p>
    <w:p>
      <w:pPr>
        <w:pStyle w:val="8"/>
        <w:ind w:left="840" w:firstLine="480"/>
        <w:rPr>
          <w:highlight w:val="none"/>
        </w:rPr>
      </w:pPr>
      <w:r>
        <w:rPr>
          <w:rFonts w:hint="eastAsia"/>
          <w:highlight w:val="none"/>
        </w:rPr>
        <w:t>4）各种压力容器符合国家特种设备管控标准。</w:t>
      </w:r>
    </w:p>
    <w:p>
      <w:pPr>
        <w:pStyle w:val="8"/>
        <w:ind w:left="840" w:firstLine="480"/>
        <w:outlineLvl w:val="2"/>
        <w:rPr>
          <w:highlight w:val="none"/>
        </w:rPr>
      </w:pPr>
      <w:r>
        <w:rPr>
          <w:highlight w:val="none"/>
        </w:rPr>
        <w:t>2</w:t>
      </w:r>
      <w:r>
        <w:rPr>
          <w:rFonts w:hint="eastAsia"/>
          <w:highlight w:val="none"/>
        </w:rPr>
        <w:t>.2.4空压机组电控技术要求</w:t>
      </w:r>
    </w:p>
    <w:p>
      <w:pPr>
        <w:pStyle w:val="8"/>
        <w:ind w:left="840" w:firstLine="480"/>
        <w:rPr>
          <w:highlight w:val="none"/>
        </w:rPr>
      </w:pPr>
      <w:r>
        <w:rPr>
          <w:rFonts w:hint="eastAsia"/>
          <w:highlight w:val="none"/>
        </w:rPr>
        <w:t>1）控制器采用标配按键式液晶显示器，可设置密码保护操作功能</w:t>
      </w:r>
    </w:p>
    <w:p>
      <w:pPr>
        <w:pStyle w:val="8"/>
        <w:ind w:left="840" w:firstLine="480"/>
        <w:outlineLvl w:val="2"/>
        <w:rPr>
          <w:highlight w:val="none"/>
        </w:rPr>
      </w:pPr>
      <w:r>
        <w:rPr>
          <w:rFonts w:hint="eastAsia"/>
          <w:highlight w:val="none"/>
        </w:rPr>
        <w:t>3.2.5控制方式</w:t>
      </w:r>
    </w:p>
    <w:p>
      <w:pPr>
        <w:pStyle w:val="8"/>
        <w:ind w:left="840" w:firstLine="480"/>
        <w:rPr>
          <w:highlight w:val="none"/>
        </w:rPr>
      </w:pPr>
      <w:r>
        <w:rPr>
          <w:rFonts w:hint="eastAsia"/>
          <w:highlight w:val="none"/>
        </w:rPr>
        <w:t xml:space="preserve">1）空压机排气温度、润滑油温度显示与自动调控。 </w:t>
      </w:r>
    </w:p>
    <w:p>
      <w:pPr>
        <w:pStyle w:val="8"/>
        <w:ind w:left="840" w:firstLine="480"/>
        <w:rPr>
          <w:highlight w:val="none"/>
        </w:rPr>
      </w:pPr>
      <w:r>
        <w:rPr>
          <w:rFonts w:hint="eastAsia"/>
          <w:highlight w:val="none"/>
        </w:rPr>
        <w:t>2）空压机排气压力、润滑油压力、吸气压力显示与自动调控。</w:t>
      </w:r>
    </w:p>
    <w:p>
      <w:pPr>
        <w:pStyle w:val="8"/>
        <w:ind w:left="840" w:firstLine="480"/>
        <w:rPr>
          <w:highlight w:val="none"/>
        </w:rPr>
      </w:pPr>
      <w:r>
        <w:rPr>
          <w:rFonts w:hint="eastAsia"/>
          <w:highlight w:val="none"/>
        </w:rPr>
        <w:t>3）排气压力保护、排气温度过高报警和自动停机保护。</w:t>
      </w:r>
    </w:p>
    <w:p>
      <w:pPr>
        <w:pStyle w:val="8"/>
        <w:ind w:left="840" w:firstLine="480"/>
        <w:rPr>
          <w:highlight w:val="none"/>
        </w:rPr>
      </w:pPr>
      <w:r>
        <w:rPr>
          <w:rFonts w:hint="eastAsia"/>
          <w:highlight w:val="none"/>
        </w:rPr>
        <w:t>4）电机负荷过载保护。</w:t>
      </w:r>
    </w:p>
    <w:p>
      <w:pPr>
        <w:pStyle w:val="8"/>
        <w:ind w:left="840" w:firstLine="480"/>
        <w:rPr>
          <w:highlight w:val="none"/>
        </w:rPr>
      </w:pPr>
      <w:r>
        <w:rPr>
          <w:rFonts w:hint="eastAsia"/>
          <w:highlight w:val="none"/>
        </w:rPr>
        <w:t>5）润滑油压力过低报警和自动停机保护。</w:t>
      </w:r>
    </w:p>
    <w:p>
      <w:pPr>
        <w:pStyle w:val="8"/>
        <w:ind w:left="840" w:firstLine="480"/>
        <w:rPr>
          <w:highlight w:val="none"/>
        </w:rPr>
      </w:pPr>
      <w:r>
        <w:rPr>
          <w:rFonts w:hint="eastAsia"/>
          <w:highlight w:val="none"/>
        </w:rPr>
        <w:t>6）机组紧急停车按钮。</w:t>
      </w:r>
    </w:p>
    <w:p>
      <w:pPr>
        <w:pStyle w:val="8"/>
        <w:ind w:left="840" w:firstLine="480"/>
        <w:rPr>
          <w:highlight w:val="none"/>
        </w:rPr>
      </w:pPr>
      <w:r>
        <w:rPr>
          <w:rFonts w:hint="eastAsia"/>
          <w:highlight w:val="none"/>
        </w:rPr>
        <w:t>7）空压机的显示屏能显示故障原因及部位，能作记忆保存，有报警功能。</w:t>
      </w:r>
    </w:p>
    <w:p>
      <w:pPr>
        <w:pStyle w:val="8"/>
        <w:ind w:left="840" w:firstLine="480"/>
        <w:rPr>
          <w:highlight w:val="none"/>
        </w:rPr>
      </w:pPr>
      <w:r>
        <w:rPr>
          <w:rFonts w:hint="eastAsia"/>
          <w:highlight w:val="none"/>
        </w:rPr>
        <w:t>8）控制显示面板必须中文显示,可全面准确地反映系统运行状态。</w:t>
      </w:r>
    </w:p>
    <w:p>
      <w:pPr>
        <w:pStyle w:val="8"/>
        <w:ind w:left="840" w:firstLine="480"/>
        <w:rPr>
          <w:highlight w:val="none"/>
        </w:rPr>
      </w:pPr>
      <w:r>
        <w:rPr>
          <w:rFonts w:hint="eastAsia"/>
          <w:highlight w:val="none"/>
        </w:rPr>
        <w:t>9）控制面板有运行时间等功能。</w:t>
      </w:r>
    </w:p>
    <w:p>
      <w:pPr>
        <w:pStyle w:val="8"/>
        <w:ind w:left="840" w:firstLine="480"/>
        <w:rPr>
          <w:highlight w:val="none"/>
        </w:rPr>
      </w:pPr>
      <w:r>
        <w:rPr>
          <w:rFonts w:hint="eastAsia"/>
          <w:highlight w:val="none"/>
        </w:rPr>
        <w:t>10）接线电缆严禁裸露，必须走桥架或穿线管。</w:t>
      </w:r>
    </w:p>
    <w:p>
      <w:pPr>
        <w:pStyle w:val="8"/>
        <w:ind w:left="840" w:firstLine="480"/>
        <w:rPr>
          <w:highlight w:val="none"/>
        </w:rPr>
      </w:pPr>
      <w:r>
        <w:rPr>
          <w:rFonts w:hint="eastAsia"/>
          <w:highlight w:val="none"/>
        </w:rPr>
        <w:t>11）启动柜及控制箱存在散热排气装置，降低在零件运行时产生的热量；防止夏季启动柜存在结露状态，烧坏柜体及其他电子元器件。</w:t>
      </w:r>
    </w:p>
    <w:p>
      <w:pPr>
        <w:pStyle w:val="8"/>
        <w:ind w:left="840" w:firstLine="480"/>
        <w:rPr>
          <w:highlight w:val="none"/>
        </w:rPr>
      </w:pPr>
      <w:r>
        <w:rPr>
          <w:rFonts w:hint="eastAsia"/>
          <w:highlight w:val="none"/>
        </w:rPr>
        <w:t>12）具有就地、远程控制功能，能在无人值班的情况下连续安全运行。</w:t>
      </w:r>
    </w:p>
    <w:p>
      <w:pPr>
        <w:pStyle w:val="8"/>
        <w:ind w:left="840" w:firstLine="480"/>
        <w:rPr>
          <w:highlight w:val="none"/>
        </w:rPr>
      </w:pPr>
      <w:r>
        <w:rPr>
          <w:rFonts w:hint="eastAsia"/>
          <w:highlight w:val="none"/>
        </w:rPr>
        <w:t>13）在运行过程中出现冷却水突然断水、电压突然变化、失电等意外情况下机组能自我保护而不受损坏。</w:t>
      </w:r>
    </w:p>
    <w:p>
      <w:pPr>
        <w:pStyle w:val="8"/>
        <w:ind w:left="840" w:firstLine="480"/>
        <w:rPr>
          <w:highlight w:val="none"/>
        </w:rPr>
      </w:pPr>
      <w:r>
        <w:rPr>
          <w:rFonts w:hint="eastAsia"/>
          <w:highlight w:val="none"/>
        </w:rPr>
        <w:t>14）监控的各参数地报警值出现时需在中控机显示屏反映，并提醒值班人员。</w:t>
      </w:r>
    </w:p>
    <w:p>
      <w:pPr>
        <w:pStyle w:val="8"/>
        <w:ind w:left="840" w:firstLine="165" w:firstLineChars="82"/>
        <w:outlineLvl w:val="1"/>
        <w:rPr>
          <w:b/>
          <w:highlight w:val="none"/>
        </w:rPr>
      </w:pPr>
      <w:bookmarkStart w:id="342" w:name="_Toc144669682"/>
      <w:r>
        <w:rPr>
          <w:b/>
          <w:highlight w:val="none"/>
        </w:rPr>
        <w:t>2</w:t>
      </w:r>
      <w:r>
        <w:rPr>
          <w:rFonts w:hint="eastAsia"/>
          <w:b/>
          <w:highlight w:val="none"/>
        </w:rPr>
        <w:t>.</w:t>
      </w:r>
      <w:r>
        <w:rPr>
          <w:b/>
          <w:highlight w:val="none"/>
        </w:rPr>
        <w:t>3</w:t>
      </w:r>
      <w:r>
        <w:rPr>
          <w:rFonts w:hint="eastAsia"/>
          <w:b/>
          <w:highlight w:val="none"/>
        </w:rPr>
        <w:t>鼓风热干燥机、压缩热再生干燥机技术要求</w:t>
      </w:r>
      <w:bookmarkEnd w:id="342"/>
    </w:p>
    <w:p>
      <w:pPr>
        <w:pStyle w:val="8"/>
        <w:ind w:left="840" w:firstLine="480"/>
        <w:rPr>
          <w:highlight w:val="none"/>
        </w:rPr>
      </w:pPr>
      <w:r>
        <w:rPr>
          <w:highlight w:val="none"/>
        </w:rPr>
        <w:t>2</w:t>
      </w:r>
      <w:r>
        <w:rPr>
          <w:rFonts w:hint="eastAsia"/>
          <w:highlight w:val="none"/>
        </w:rPr>
        <w:t>.3.1空气处理量与空压机匹配，(测量条件：吸气压力为1标准大气压；温度为20℃；相对湿度为60%) 。</w:t>
      </w:r>
    </w:p>
    <w:p>
      <w:pPr>
        <w:pStyle w:val="8"/>
        <w:ind w:left="840" w:firstLine="480"/>
        <w:rPr>
          <w:highlight w:val="none"/>
        </w:rPr>
      </w:pPr>
      <w:r>
        <w:rPr>
          <w:highlight w:val="none"/>
        </w:rPr>
        <w:t>2</w:t>
      </w:r>
      <w:r>
        <w:rPr>
          <w:rFonts w:hint="eastAsia"/>
          <w:highlight w:val="none"/>
        </w:rPr>
        <w:t>.3.2鼓风热干燥机技术要求，与上述空压机配套使用相关参数如下表：</w:t>
      </w:r>
    </w:p>
    <w:tbl>
      <w:tblPr>
        <w:tblStyle w:val="16"/>
        <w:tblW w:w="946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2746"/>
        <w:gridCol w:w="1134"/>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序号</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项目</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单位</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1</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鼓风热干燥机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品牌</w:t>
            </w:r>
            <w:r>
              <w:rPr>
                <w:rFonts w:ascii="宋体" w:hAnsi="宋体"/>
                <w:highlight w:val="none"/>
              </w:rPr>
              <w:t>要求：汉克森</w:t>
            </w:r>
            <w:r>
              <w:rPr>
                <w:rFonts w:hint="eastAsia" w:ascii="宋体" w:hAnsi="宋体"/>
                <w:highlight w:val="none"/>
              </w:rPr>
              <w:t>/</w:t>
            </w:r>
            <w:r>
              <w:rPr>
                <w:rFonts w:ascii="宋体" w:hAnsi="宋体"/>
                <w:highlight w:val="none"/>
              </w:rPr>
              <w:t>多米尼克</w:t>
            </w:r>
            <w:r>
              <w:rPr>
                <w:rFonts w:hint="eastAsia" w:ascii="宋体" w:hAnsi="宋体"/>
                <w:highlight w:val="none"/>
              </w:rPr>
              <w:t>/贝克欧或同空压机品牌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2</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处理介质</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压缩空气100%饱和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3</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额定处理量</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m</w:t>
            </w:r>
            <w:r>
              <w:rPr>
                <w:rFonts w:ascii="宋体" w:hAnsi="宋体" w:cs="Calibri"/>
                <w:bCs/>
                <w:highlight w:val="none"/>
              </w:rPr>
              <w:t>³</w:t>
            </w:r>
            <w:r>
              <w:rPr>
                <w:rFonts w:hint="eastAsia" w:ascii="宋体" w:hAnsi="宋体"/>
                <w:bCs/>
                <w:highlight w:val="none"/>
              </w:rPr>
              <w:t>/min</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highlight w:val="none"/>
              </w:rPr>
              <w:t>Q≥匹配空压机产气量1</w:t>
            </w:r>
            <w:r>
              <w:rPr>
                <w:rFonts w:ascii="宋体" w:hAnsi="宋体"/>
                <w:highlight w:val="none"/>
              </w:rPr>
              <w:t>.3</w:t>
            </w:r>
            <w:r>
              <w:rPr>
                <w:rFonts w:hint="eastAsia" w:ascii="宋体" w:hAnsi="宋体"/>
                <w:highlight w:val="none"/>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4</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进气工作压力</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MPa（G）</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ascii="宋体" w:hAnsi="宋体"/>
                <w:bCs/>
                <w:highlight w:val="none"/>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5</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出口空气露点</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w:t>
            </w:r>
            <w:r>
              <w:rPr>
                <w:rFonts w:ascii="宋体" w:hAnsi="宋体"/>
                <w:bCs/>
                <w:highlight w:val="none"/>
              </w:rPr>
              <w:t>60</w:t>
            </w:r>
            <w:r>
              <w:rPr>
                <w:rFonts w:hint="eastAsia" w:ascii="宋体" w:hAnsi="宋体"/>
                <w:bCs/>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6</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耗气</w:t>
            </w:r>
            <w:r>
              <w:rPr>
                <w:rFonts w:ascii="宋体" w:hAnsi="宋体"/>
                <w:bCs/>
                <w:highlight w:val="none"/>
              </w:rPr>
              <w:t>量</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w:t>
            </w:r>
            <w:r>
              <w:rPr>
                <w:rFonts w:ascii="宋体" w:hAnsi="宋体"/>
                <w:bCs/>
                <w:highlight w:val="none"/>
              </w:rPr>
              <w:t>3</w:t>
            </w:r>
            <w:r>
              <w:rPr>
                <w:rFonts w:hint="eastAsia" w:ascii="宋体" w:hAnsi="宋体"/>
                <w:bCs/>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7</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标准工作循环周期</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8</w:t>
            </w:r>
            <w:r>
              <w:rPr>
                <w:rFonts w:ascii="宋体" w:hAnsi="宋体"/>
                <w:bCs/>
                <w:highlight w:val="none"/>
              </w:rPr>
              <w:t>-12</w:t>
            </w:r>
            <w:r>
              <w:rPr>
                <w:rFonts w:hint="eastAsia" w:ascii="宋体" w:hAnsi="宋体"/>
                <w:bCs/>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8</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冷却循环水进水温度</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highlight w:val="none"/>
              </w:rPr>
            </w:pPr>
            <w:r>
              <w:rPr>
                <w:rFonts w:ascii="宋体" w:hAnsi="宋体"/>
                <w:highlight w:val="none"/>
              </w:rPr>
              <w:t>9</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冷却循环水供水压力</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MPa</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highlight w:val="none"/>
              </w:rPr>
            </w:pPr>
            <w:r>
              <w:rPr>
                <w:rFonts w:ascii="宋体" w:hAnsi="宋体"/>
                <w:highlight w:val="none"/>
              </w:rPr>
              <w:t>10</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控制系统</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PLC电脑控制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highlight w:val="none"/>
              </w:rPr>
            </w:pPr>
            <w:r>
              <w:rPr>
                <w:rFonts w:ascii="宋体" w:hAnsi="宋体"/>
                <w:highlight w:val="none"/>
              </w:rPr>
              <w:t>11</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适应工作制</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24小时连续工作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highlight w:val="none"/>
              </w:rPr>
            </w:pPr>
            <w:r>
              <w:rPr>
                <w:rFonts w:ascii="宋体" w:hAnsi="宋体"/>
                <w:highlight w:val="none"/>
              </w:rPr>
              <w:t>12</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吸咐剂</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进口品牌/巴斯夫、环球U</w:t>
            </w:r>
            <w:r>
              <w:rPr>
                <w:rFonts w:ascii="宋体" w:hAnsi="宋体"/>
                <w:highlight w:val="none"/>
              </w:rPr>
              <w:t>OP、美国铝业，粒径</w:t>
            </w:r>
            <w:r>
              <w:rPr>
                <w:rFonts w:hint="eastAsia" w:ascii="宋体" w:hAnsi="宋体"/>
                <w:highlight w:val="none"/>
              </w:rPr>
              <w:t>φ</w:t>
            </w:r>
            <w:r>
              <w:rPr>
                <w:rFonts w:ascii="宋体" w:hAnsi="宋体"/>
                <w:highlight w:val="none"/>
              </w:rPr>
              <w:t>3—</w:t>
            </w:r>
            <w:r>
              <w:rPr>
                <w:rFonts w:hint="eastAsia" w:ascii="宋体" w:hAnsi="宋体"/>
                <w:highlight w:val="none"/>
              </w:rPr>
              <w:t>φ</w:t>
            </w:r>
            <w:r>
              <w:rPr>
                <w:rFonts w:ascii="宋体" w:hAnsi="宋体"/>
                <w:highlight w:val="none"/>
              </w:rPr>
              <w:t>5mm，干燥剂寿命为5年及以上（正常运转状况），充注重量和堆积密度必须满足最佳干燥效果</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highlight w:val="none"/>
              </w:rPr>
            </w:pPr>
            <w:r>
              <w:rPr>
                <w:rFonts w:ascii="宋体" w:hAnsi="宋体"/>
                <w:highlight w:val="none"/>
              </w:rPr>
              <w:t>13</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噪音</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w:t>
            </w:r>
            <w:r>
              <w:rPr>
                <w:rFonts w:ascii="宋体" w:hAnsi="宋体"/>
                <w:highlight w:val="none"/>
              </w:rPr>
              <w:t>80</w:t>
            </w:r>
            <w:r>
              <w:rPr>
                <w:rFonts w:hint="eastAsia" w:ascii="宋体" w:hAnsi="宋体"/>
                <w:highlight w:val="none"/>
              </w:rPr>
              <w:t>分贝</w:t>
            </w:r>
          </w:p>
        </w:tc>
      </w:tr>
    </w:tbl>
    <w:p>
      <w:pPr>
        <w:pStyle w:val="8"/>
        <w:ind w:left="840" w:firstLine="480"/>
        <w:rPr>
          <w:highlight w:val="none"/>
        </w:rPr>
      </w:pPr>
      <w:r>
        <w:rPr>
          <w:highlight w:val="none"/>
        </w:rPr>
        <w:t>2</w:t>
      </w:r>
      <w:r>
        <w:rPr>
          <w:rFonts w:hint="eastAsia"/>
          <w:highlight w:val="none"/>
        </w:rPr>
        <w:t>.3.3压缩热再生干燥机技术要求，与上述空压机配套使用相关参数如下表：</w:t>
      </w:r>
    </w:p>
    <w:tbl>
      <w:tblPr>
        <w:tblStyle w:val="16"/>
        <w:tblW w:w="946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2746"/>
        <w:gridCol w:w="1134"/>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序号</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项目</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单位</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1</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压缩热再生干燥机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品牌</w:t>
            </w:r>
            <w:r>
              <w:rPr>
                <w:rFonts w:ascii="宋体" w:hAnsi="宋体"/>
                <w:highlight w:val="none"/>
              </w:rPr>
              <w:t>要求：汉克森</w:t>
            </w:r>
            <w:r>
              <w:rPr>
                <w:rFonts w:hint="eastAsia" w:ascii="宋体" w:hAnsi="宋体"/>
                <w:highlight w:val="none"/>
              </w:rPr>
              <w:t>/</w:t>
            </w:r>
            <w:r>
              <w:rPr>
                <w:rFonts w:ascii="宋体" w:hAnsi="宋体"/>
                <w:highlight w:val="none"/>
              </w:rPr>
              <w:t>多米尼克</w:t>
            </w:r>
            <w:r>
              <w:rPr>
                <w:rFonts w:hint="eastAsia" w:ascii="宋体" w:hAnsi="宋体"/>
                <w:highlight w:val="none"/>
              </w:rPr>
              <w:t>/贝克欧/同空压机品牌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2</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处理介质</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压缩空气100%饱和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hint="eastAsia" w:ascii="宋体" w:hAnsi="宋体"/>
                <w:bCs/>
                <w:highlight w:val="none"/>
              </w:rPr>
              <w:t>3</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额定处理量</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m</w:t>
            </w:r>
            <w:r>
              <w:rPr>
                <w:rFonts w:ascii="宋体" w:hAnsi="宋体" w:cs="Calibri"/>
                <w:bCs/>
                <w:highlight w:val="none"/>
              </w:rPr>
              <w:t>³</w:t>
            </w:r>
            <w:r>
              <w:rPr>
                <w:rFonts w:hint="eastAsia" w:ascii="宋体" w:hAnsi="宋体"/>
                <w:bCs/>
                <w:highlight w:val="none"/>
              </w:rPr>
              <w:t>/min</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适配离心空压机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4</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进气工作压力</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MPa（G）</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ascii="宋体" w:hAnsi="宋体"/>
                <w:bCs/>
                <w:highlight w:val="none"/>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5</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出口空气露点</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w:t>
            </w:r>
            <w:r>
              <w:rPr>
                <w:rFonts w:ascii="宋体" w:hAnsi="宋体"/>
                <w:bCs/>
                <w:highlight w:val="none"/>
              </w:rPr>
              <w:t>60</w:t>
            </w:r>
            <w:r>
              <w:rPr>
                <w:rFonts w:hint="eastAsia" w:ascii="宋体" w:hAnsi="宋体"/>
                <w:bCs/>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6</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耗气</w:t>
            </w:r>
            <w:r>
              <w:rPr>
                <w:rFonts w:ascii="宋体" w:hAnsi="宋体"/>
                <w:bCs/>
                <w:highlight w:val="none"/>
              </w:rPr>
              <w:t>量</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w:t>
            </w:r>
            <w:r>
              <w:rPr>
                <w:rFonts w:ascii="宋体" w:hAnsi="宋体"/>
                <w:bCs/>
                <w:highlight w:val="none"/>
              </w:rPr>
              <w:t>3</w:t>
            </w:r>
            <w:r>
              <w:rPr>
                <w:rFonts w:hint="eastAsia" w:ascii="宋体" w:hAnsi="宋体"/>
                <w:bCs/>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7</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标准工作循环周期</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8</w:t>
            </w:r>
            <w:r>
              <w:rPr>
                <w:rFonts w:ascii="宋体" w:hAnsi="宋体"/>
                <w:bCs/>
                <w:highlight w:val="none"/>
              </w:rPr>
              <w:t>-12</w:t>
            </w:r>
            <w:r>
              <w:rPr>
                <w:rFonts w:hint="eastAsia" w:ascii="宋体" w:hAnsi="宋体"/>
                <w:bCs/>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bCs/>
                <w:highlight w:val="none"/>
              </w:rPr>
            </w:pPr>
            <w:r>
              <w:rPr>
                <w:rFonts w:ascii="宋体" w:hAnsi="宋体"/>
                <w:bCs/>
                <w:highlight w:val="none"/>
              </w:rPr>
              <w:t>8</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冷却循环水进水温度</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bCs/>
                <w:highlight w:val="none"/>
              </w:rPr>
            </w:pPr>
            <w:r>
              <w:rPr>
                <w:rFonts w:hint="eastAsia" w:ascii="宋体" w:hAnsi="宋体"/>
                <w:bCs/>
                <w:highlight w:val="none"/>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jc w:val="center"/>
              <w:rPr>
                <w:rFonts w:ascii="宋体" w:hAnsi="宋体"/>
                <w:highlight w:val="none"/>
              </w:rPr>
            </w:pPr>
            <w:r>
              <w:rPr>
                <w:rFonts w:ascii="宋体" w:hAnsi="宋体"/>
                <w:highlight w:val="none"/>
              </w:rPr>
              <w:t>9</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冷却循环水供水压力</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MPa</w:t>
            </w: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ascii="宋体" w:hAnsi="宋体"/>
                <w:highlight w:val="none"/>
              </w:rPr>
              <w:t>10</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控制系统</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PLC电脑控制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ascii="宋体" w:hAnsi="宋体"/>
                <w:highlight w:val="none"/>
              </w:rPr>
              <w:t>11</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适应工作制</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24小时连续工作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ascii="宋体" w:hAnsi="宋体"/>
                <w:highlight w:val="none"/>
              </w:rPr>
              <w:t>12</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吸咐剂</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进口品牌/巴斯夫、环球U</w:t>
            </w:r>
            <w:r>
              <w:rPr>
                <w:rFonts w:ascii="宋体" w:hAnsi="宋体"/>
                <w:highlight w:val="none"/>
              </w:rPr>
              <w:t>OP、美国铝业，粒径</w:t>
            </w:r>
            <w:r>
              <w:rPr>
                <w:rFonts w:hint="eastAsia" w:ascii="宋体" w:hAnsi="宋体"/>
                <w:highlight w:val="none"/>
              </w:rPr>
              <w:t>φ</w:t>
            </w:r>
            <w:r>
              <w:rPr>
                <w:rFonts w:ascii="宋体" w:hAnsi="宋体"/>
                <w:highlight w:val="none"/>
              </w:rPr>
              <w:t>3—</w:t>
            </w:r>
            <w:r>
              <w:rPr>
                <w:rFonts w:hint="eastAsia" w:ascii="宋体" w:hAnsi="宋体"/>
                <w:highlight w:val="none"/>
              </w:rPr>
              <w:t>φ</w:t>
            </w:r>
            <w:r>
              <w:rPr>
                <w:rFonts w:ascii="宋体" w:hAnsi="宋体"/>
                <w:highlight w:val="none"/>
              </w:rPr>
              <w:t>5mm，干燥剂寿命为5年及以上（正常运转状况），充注重量和堆积密度必须满足最佳干燥效果</w:t>
            </w:r>
            <w:r>
              <w:rPr>
                <w:rFonts w:hint="eastAsia" w:ascii="宋体" w:hAnsi="宋体"/>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1047"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ascii="宋体" w:hAnsi="宋体"/>
                <w:highlight w:val="none"/>
              </w:rPr>
              <w:t>13</w:t>
            </w:r>
          </w:p>
        </w:tc>
        <w:tc>
          <w:tcPr>
            <w:tcW w:w="274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噪音</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p>
        </w:tc>
        <w:tc>
          <w:tcPr>
            <w:tcW w:w="4536" w:type="dxa"/>
            <w:tcBorders>
              <w:top w:val="single" w:color="auto" w:sz="4" w:space="0"/>
              <w:left w:val="single" w:color="auto" w:sz="4" w:space="0"/>
              <w:bottom w:val="single" w:color="auto" w:sz="4" w:space="0"/>
              <w:right w:val="single" w:color="auto" w:sz="4" w:space="0"/>
            </w:tcBorders>
            <w:noWrap w:val="0"/>
            <w:vAlign w:val="center"/>
          </w:tcPr>
          <w:p>
            <w:pPr>
              <w:pStyle w:val="8"/>
              <w:spacing w:line="336" w:lineRule="auto"/>
              <w:ind w:left="840"/>
              <w:rPr>
                <w:rFonts w:ascii="宋体" w:hAnsi="宋体"/>
                <w:highlight w:val="none"/>
              </w:rPr>
            </w:pPr>
            <w:r>
              <w:rPr>
                <w:rFonts w:hint="eastAsia" w:ascii="宋体" w:hAnsi="宋体"/>
                <w:highlight w:val="none"/>
              </w:rPr>
              <w:t>≤</w:t>
            </w:r>
            <w:r>
              <w:rPr>
                <w:rFonts w:ascii="宋体" w:hAnsi="宋体"/>
                <w:highlight w:val="none"/>
              </w:rPr>
              <w:t>80</w:t>
            </w:r>
            <w:r>
              <w:rPr>
                <w:rFonts w:hint="eastAsia" w:ascii="宋体" w:hAnsi="宋体"/>
                <w:highlight w:val="none"/>
              </w:rPr>
              <w:t>分贝</w:t>
            </w:r>
          </w:p>
        </w:tc>
      </w:tr>
    </w:tbl>
    <w:p>
      <w:pPr>
        <w:pStyle w:val="8"/>
        <w:ind w:left="840" w:firstLine="480"/>
        <w:rPr>
          <w:highlight w:val="none"/>
        </w:rPr>
      </w:pPr>
      <w:r>
        <w:rPr>
          <w:highlight w:val="none"/>
        </w:rPr>
        <w:t>2</w:t>
      </w:r>
      <w:r>
        <w:rPr>
          <w:rFonts w:hint="eastAsia"/>
          <w:highlight w:val="none"/>
        </w:rPr>
        <w:t>.3.4干燥机对压缩空气进行吸附干燥，降低露点温度，绝对保证使用气体的品质，达到工艺要求，喷漆外观颜色与空压机保持一致。</w:t>
      </w:r>
    </w:p>
    <w:p>
      <w:pPr>
        <w:pStyle w:val="8"/>
        <w:ind w:left="840" w:firstLine="480"/>
        <w:rPr>
          <w:highlight w:val="none"/>
        </w:rPr>
      </w:pPr>
      <w:r>
        <w:rPr>
          <w:highlight w:val="none"/>
        </w:rPr>
        <w:t>2</w:t>
      </w:r>
      <w:r>
        <w:rPr>
          <w:rFonts w:hint="eastAsia"/>
          <w:highlight w:val="none"/>
        </w:rPr>
        <w:t xml:space="preserve">.3.5吸附塔干燥剂充注量按处理量计算填注。 </w:t>
      </w:r>
    </w:p>
    <w:p>
      <w:pPr>
        <w:pStyle w:val="8"/>
        <w:ind w:left="840" w:firstLine="480"/>
        <w:rPr>
          <w:highlight w:val="none"/>
        </w:rPr>
      </w:pPr>
      <w:r>
        <w:rPr>
          <w:highlight w:val="none"/>
        </w:rPr>
        <w:t>2</w:t>
      </w:r>
      <w:r>
        <w:rPr>
          <w:rFonts w:hint="eastAsia"/>
          <w:highlight w:val="none"/>
        </w:rPr>
        <w:t>.3.6压缩热再生干燥机压缩空气出口总压降&lt;0.03MPa。</w:t>
      </w:r>
    </w:p>
    <w:p>
      <w:pPr>
        <w:pStyle w:val="8"/>
        <w:ind w:left="840" w:firstLine="480"/>
        <w:rPr>
          <w:highlight w:val="none"/>
        </w:rPr>
      </w:pPr>
      <w:r>
        <w:rPr>
          <w:highlight w:val="none"/>
        </w:rPr>
        <w:t>2</w:t>
      </w:r>
      <w:r>
        <w:rPr>
          <w:rFonts w:hint="eastAsia"/>
          <w:highlight w:val="none"/>
        </w:rPr>
        <w:t>.3.7吸附式干燥机罐体及其焊接管路、法兰等部件整体做撬装。</w:t>
      </w:r>
    </w:p>
    <w:p>
      <w:pPr>
        <w:pStyle w:val="8"/>
        <w:ind w:left="840" w:firstLine="480"/>
        <w:rPr>
          <w:highlight w:val="none"/>
        </w:rPr>
      </w:pPr>
      <w:r>
        <w:rPr>
          <w:highlight w:val="none"/>
        </w:rPr>
        <w:t>2</w:t>
      </w:r>
      <w:r>
        <w:rPr>
          <w:rFonts w:hint="eastAsia"/>
          <w:highlight w:val="none"/>
        </w:rPr>
        <w:t>.3.8可编程控制器采用西门子、ABB、欧姆龙品牌。</w:t>
      </w:r>
    </w:p>
    <w:p>
      <w:pPr>
        <w:pStyle w:val="8"/>
        <w:ind w:left="840" w:firstLine="480"/>
        <w:rPr>
          <w:highlight w:val="none"/>
        </w:rPr>
      </w:pPr>
      <w:r>
        <w:rPr>
          <w:highlight w:val="none"/>
        </w:rPr>
        <w:t>2</w:t>
      </w:r>
      <w:r>
        <w:rPr>
          <w:rFonts w:hint="eastAsia"/>
          <w:highlight w:val="none"/>
        </w:rPr>
        <w:t>.3.9自动充压功能，确保干燥剂寿命（不管是充压，还是排气泄压都需二级充、排放（先小管、再大管），延长吸附剂的寿命以及降低噪音量）（选用）。</w:t>
      </w:r>
    </w:p>
    <w:p>
      <w:pPr>
        <w:pStyle w:val="8"/>
        <w:ind w:left="840" w:firstLine="480"/>
        <w:rPr>
          <w:highlight w:val="none"/>
        </w:rPr>
      </w:pPr>
      <w:r>
        <w:rPr>
          <w:highlight w:val="none"/>
        </w:rPr>
        <w:t>2</w:t>
      </w:r>
      <w:r>
        <w:rPr>
          <w:rFonts w:hint="eastAsia"/>
          <w:highlight w:val="none"/>
        </w:rPr>
        <w:t>.3.10有效设计消声系统，降低再生噪音。</w:t>
      </w:r>
    </w:p>
    <w:p>
      <w:pPr>
        <w:pStyle w:val="8"/>
        <w:ind w:left="840" w:firstLine="480"/>
        <w:rPr>
          <w:highlight w:val="none"/>
        </w:rPr>
      </w:pPr>
      <w:r>
        <w:rPr>
          <w:highlight w:val="none"/>
        </w:rPr>
        <w:t>2</w:t>
      </w:r>
      <w:r>
        <w:rPr>
          <w:rFonts w:hint="eastAsia"/>
          <w:highlight w:val="none"/>
        </w:rPr>
        <w:t>.3.11由露点仪控制再生周期和时间。</w:t>
      </w:r>
    </w:p>
    <w:p>
      <w:pPr>
        <w:pStyle w:val="8"/>
        <w:ind w:left="840" w:firstLine="480"/>
        <w:rPr>
          <w:highlight w:val="none"/>
        </w:rPr>
      </w:pPr>
      <w:r>
        <w:rPr>
          <w:highlight w:val="none"/>
        </w:rPr>
        <w:t>2</w:t>
      </w:r>
      <w:r>
        <w:rPr>
          <w:rFonts w:hint="eastAsia"/>
          <w:highlight w:val="none"/>
        </w:rPr>
        <w:t>.3.12干燥桶槽必须符合压力容器设计，审核规范有取得压力容器使用证。</w:t>
      </w:r>
    </w:p>
    <w:p>
      <w:pPr>
        <w:pStyle w:val="8"/>
        <w:ind w:left="840" w:firstLine="480"/>
        <w:rPr>
          <w:highlight w:val="none"/>
        </w:rPr>
      </w:pPr>
      <w:r>
        <w:rPr>
          <w:highlight w:val="none"/>
        </w:rPr>
        <w:t>2</w:t>
      </w:r>
      <w:r>
        <w:rPr>
          <w:rFonts w:hint="eastAsia"/>
          <w:highlight w:val="none"/>
        </w:rPr>
        <w:t>.3.13管道和加热塔采用碳钢。</w:t>
      </w:r>
    </w:p>
    <w:p>
      <w:pPr>
        <w:pStyle w:val="8"/>
        <w:ind w:left="840" w:firstLine="480"/>
        <w:rPr>
          <w:highlight w:val="none"/>
        </w:rPr>
      </w:pPr>
      <w:r>
        <w:rPr>
          <w:highlight w:val="none"/>
        </w:rPr>
        <w:t>2</w:t>
      </w:r>
      <w:r>
        <w:rPr>
          <w:rFonts w:hint="eastAsia"/>
          <w:highlight w:val="none"/>
        </w:rPr>
        <w:t>.3.14排水阀采用：电子自动排水阀+手动排水阀。</w:t>
      </w:r>
    </w:p>
    <w:p>
      <w:pPr>
        <w:pStyle w:val="8"/>
        <w:ind w:left="840" w:firstLine="480"/>
        <w:rPr>
          <w:highlight w:val="none"/>
        </w:rPr>
      </w:pPr>
      <w:r>
        <w:rPr>
          <w:highlight w:val="none"/>
        </w:rPr>
        <w:t>2</w:t>
      </w:r>
      <w:r>
        <w:rPr>
          <w:rFonts w:hint="eastAsia"/>
          <w:highlight w:val="none"/>
        </w:rPr>
        <w:t>.3.15压缩热再生干燥机的吸附塔塔径不小于1.5m。</w:t>
      </w:r>
    </w:p>
    <w:p>
      <w:pPr>
        <w:pStyle w:val="8"/>
        <w:ind w:left="840" w:firstLine="480"/>
        <w:rPr>
          <w:highlight w:val="none"/>
        </w:rPr>
      </w:pPr>
      <w:r>
        <w:rPr>
          <w:highlight w:val="none"/>
        </w:rPr>
        <w:t>2</w:t>
      </w:r>
      <w:r>
        <w:rPr>
          <w:rFonts w:hint="eastAsia"/>
          <w:highlight w:val="none"/>
        </w:rPr>
        <w:t>.3.16干燥机控制系统：</w:t>
      </w:r>
    </w:p>
    <w:p>
      <w:pPr>
        <w:pStyle w:val="8"/>
        <w:ind w:left="840" w:firstLine="480"/>
        <w:rPr>
          <w:highlight w:val="none"/>
        </w:rPr>
      </w:pPr>
      <w:r>
        <w:rPr>
          <w:rFonts w:hint="eastAsia"/>
          <w:highlight w:val="none"/>
        </w:rPr>
        <w:t>1）控制系统采用24V的安全电压，控制阀组系统为常开；</w:t>
      </w:r>
    </w:p>
    <w:p>
      <w:pPr>
        <w:pStyle w:val="8"/>
        <w:ind w:left="840" w:firstLine="480"/>
        <w:rPr>
          <w:highlight w:val="none"/>
        </w:rPr>
      </w:pPr>
      <w:r>
        <w:rPr>
          <w:rFonts w:hint="eastAsia"/>
          <w:highlight w:val="none"/>
        </w:rPr>
        <w:t>2）每台干燥机的露点检测信号需在线检测，监测信号点预留归属乙方范围，监控系统安装归属招标方；</w:t>
      </w:r>
    </w:p>
    <w:p>
      <w:pPr>
        <w:pStyle w:val="8"/>
        <w:ind w:left="840" w:firstLine="480"/>
        <w:rPr>
          <w:highlight w:val="none"/>
        </w:rPr>
      </w:pPr>
      <w:r>
        <w:rPr>
          <w:rFonts w:hint="eastAsia"/>
          <w:highlight w:val="none"/>
        </w:rPr>
        <w:t>3） 接线电缆严禁裸露，必须走桥架或穿线管；</w:t>
      </w:r>
    </w:p>
    <w:p>
      <w:pPr>
        <w:pStyle w:val="8"/>
        <w:ind w:left="840" w:firstLine="480"/>
        <w:rPr>
          <w:highlight w:val="none"/>
        </w:rPr>
      </w:pPr>
      <w:r>
        <w:rPr>
          <w:rFonts w:hint="eastAsia"/>
          <w:highlight w:val="none"/>
        </w:rPr>
        <w:t>4）电控箱具有良好的散热排气，降低在零件运行时产生的热量，避免烧坏柜体及其他电子元器件；</w:t>
      </w:r>
    </w:p>
    <w:p>
      <w:pPr>
        <w:pStyle w:val="8"/>
        <w:ind w:left="840" w:firstLine="480"/>
        <w:rPr>
          <w:highlight w:val="none"/>
        </w:rPr>
      </w:pPr>
      <w:r>
        <w:rPr>
          <w:rFonts w:hint="eastAsia"/>
          <w:highlight w:val="none"/>
        </w:rPr>
        <w:t>5）电控柜全部为机载式，内部配置元器件为ABB、SIEMENS、施耐德品牌产品，并配置主空气开关，控制柜电源电线及相关桥架、线管由投标方提供；</w:t>
      </w:r>
    </w:p>
    <w:p>
      <w:pPr>
        <w:pStyle w:val="8"/>
        <w:ind w:left="840" w:firstLine="480"/>
        <w:rPr>
          <w:highlight w:val="none"/>
        </w:rPr>
      </w:pPr>
      <w:r>
        <w:rPr>
          <w:rFonts w:hint="eastAsia"/>
          <w:highlight w:val="none"/>
        </w:rPr>
        <w:t>6）由露点仪控制再生周期和时间；</w:t>
      </w:r>
    </w:p>
    <w:p>
      <w:pPr>
        <w:pStyle w:val="8"/>
        <w:ind w:left="840" w:firstLine="480"/>
        <w:rPr>
          <w:highlight w:val="none"/>
        </w:rPr>
      </w:pPr>
      <w:r>
        <w:rPr>
          <w:rFonts w:hint="eastAsia"/>
          <w:highlight w:val="none"/>
        </w:rPr>
        <w:t>7）PLC控制面板上必须有所有阀门状态反馈点，同时进气阀门需带互锁功能（一开、一关）；</w:t>
      </w:r>
    </w:p>
    <w:p>
      <w:pPr>
        <w:pStyle w:val="8"/>
        <w:ind w:left="840" w:firstLine="480"/>
        <w:rPr>
          <w:highlight w:val="none"/>
        </w:rPr>
      </w:pPr>
      <w:r>
        <w:rPr>
          <w:rFonts w:hint="eastAsia"/>
          <w:highlight w:val="none"/>
        </w:rPr>
        <w:t>8）干燥机加热器需设置双重感温探测器保护。</w:t>
      </w:r>
    </w:p>
    <w:p>
      <w:pPr>
        <w:pStyle w:val="8"/>
        <w:ind w:left="840" w:firstLine="480"/>
        <w:rPr>
          <w:highlight w:val="none"/>
        </w:rPr>
      </w:pPr>
      <w:r>
        <w:rPr>
          <w:highlight w:val="none"/>
        </w:rPr>
        <w:t>2</w:t>
      </w:r>
      <w:r>
        <w:rPr>
          <w:rFonts w:hint="eastAsia"/>
          <w:highlight w:val="none"/>
        </w:rPr>
        <w:t>.3.17气动阀门：</w:t>
      </w:r>
    </w:p>
    <w:p>
      <w:pPr>
        <w:pStyle w:val="8"/>
        <w:ind w:left="840" w:firstLine="480"/>
        <w:rPr>
          <w:highlight w:val="none"/>
        </w:rPr>
      </w:pPr>
      <w:r>
        <w:rPr>
          <w:rFonts w:hint="eastAsia"/>
          <w:highlight w:val="none"/>
        </w:rPr>
        <w:t>1）确保阀门动作准确可靠，且阀门均带反馈信号，便于维护及故障排查；</w:t>
      </w:r>
    </w:p>
    <w:p>
      <w:pPr>
        <w:pStyle w:val="8"/>
        <w:ind w:left="840" w:firstLine="480"/>
        <w:rPr>
          <w:highlight w:val="none"/>
        </w:rPr>
      </w:pPr>
      <w:r>
        <w:rPr>
          <w:rFonts w:hint="eastAsia"/>
          <w:highlight w:val="none"/>
        </w:rPr>
        <w:t>2）设定保养周期后，设备具有自动提醒保养时间及需要更换的配件的功能。</w:t>
      </w:r>
    </w:p>
    <w:p>
      <w:pPr>
        <w:pStyle w:val="8"/>
        <w:ind w:left="840"/>
        <w:outlineLvl w:val="0"/>
        <w:rPr>
          <w:b/>
          <w:sz w:val="28"/>
          <w:highlight w:val="none"/>
        </w:rPr>
      </w:pPr>
      <w:bookmarkStart w:id="343" w:name="_Toc144669683"/>
      <w:r>
        <w:rPr>
          <w:rFonts w:hint="eastAsia"/>
          <w:b/>
          <w:sz w:val="28"/>
          <w:highlight w:val="none"/>
        </w:rPr>
        <w:t>三、设备一般配置和标准</w:t>
      </w:r>
      <w:bookmarkEnd w:id="343"/>
    </w:p>
    <w:p>
      <w:pPr>
        <w:pStyle w:val="8"/>
        <w:ind w:left="840" w:firstLine="165" w:firstLineChars="82"/>
        <w:outlineLvl w:val="1"/>
        <w:rPr>
          <w:b/>
          <w:highlight w:val="none"/>
        </w:rPr>
      </w:pPr>
      <w:bookmarkStart w:id="344" w:name="_Toc144669684"/>
      <w:r>
        <w:rPr>
          <w:b/>
          <w:highlight w:val="none"/>
        </w:rPr>
        <w:t>3</w:t>
      </w:r>
      <w:r>
        <w:rPr>
          <w:rFonts w:hint="eastAsia"/>
          <w:b/>
          <w:highlight w:val="none"/>
        </w:rPr>
        <w:t>.1设备外观要求</w:t>
      </w:r>
      <w:bookmarkEnd w:id="344"/>
    </w:p>
    <w:p>
      <w:pPr>
        <w:pStyle w:val="8"/>
        <w:ind w:left="840" w:firstLine="480"/>
        <w:rPr>
          <w:highlight w:val="none"/>
        </w:rPr>
      </w:pPr>
      <w:r>
        <w:rPr>
          <w:rFonts w:hint="eastAsia"/>
          <w:highlight w:val="none"/>
        </w:rPr>
        <w:t xml:space="preserve">1）设备表面材质及颜色：耐腐蚀，且美观、便于5S清洁； </w:t>
      </w:r>
    </w:p>
    <w:p>
      <w:pPr>
        <w:pStyle w:val="8"/>
        <w:ind w:left="840" w:firstLine="480"/>
        <w:rPr>
          <w:highlight w:val="none"/>
        </w:rPr>
      </w:pPr>
      <w:r>
        <w:rPr>
          <w:rFonts w:hint="eastAsia"/>
          <w:highlight w:val="none"/>
        </w:rPr>
        <w:t>2）操作人员可直接触碰到位置或容易受污染区域，人员操作位地板需采用花纹板或增加防滑垫；</w:t>
      </w:r>
    </w:p>
    <w:p>
      <w:pPr>
        <w:pStyle w:val="8"/>
        <w:ind w:left="840" w:firstLine="480"/>
        <w:rPr>
          <w:highlight w:val="none"/>
        </w:rPr>
      </w:pPr>
      <w:r>
        <w:rPr>
          <w:rFonts w:hint="eastAsia"/>
          <w:highlight w:val="none"/>
        </w:rPr>
        <w:t>3）需在设备合适的位置制作甲方公司LOGO的标识牌，具体位置在设计时由甲方提供</w:t>
      </w:r>
      <w:r>
        <w:rPr>
          <w:rFonts w:hint="eastAsia" w:ascii="宋体" w:hAnsi="宋体"/>
          <w:highlight w:val="none"/>
        </w:rPr>
        <w:t>/</w:t>
      </w:r>
      <w:r>
        <w:rPr>
          <w:rFonts w:hint="eastAsia"/>
          <w:highlight w:val="none"/>
        </w:rPr>
        <w:t>确定；</w:t>
      </w:r>
    </w:p>
    <w:p>
      <w:pPr>
        <w:pStyle w:val="8"/>
        <w:ind w:left="840" w:firstLine="480"/>
        <w:rPr>
          <w:highlight w:val="none"/>
        </w:rPr>
      </w:pPr>
      <w:r>
        <w:rPr>
          <w:rFonts w:hint="eastAsia"/>
          <w:highlight w:val="none"/>
        </w:rPr>
        <w:t>4）设备标识需要同时标注中文、英文。</w:t>
      </w:r>
    </w:p>
    <w:p>
      <w:pPr>
        <w:pStyle w:val="8"/>
        <w:ind w:left="840" w:firstLine="165" w:firstLineChars="82"/>
        <w:outlineLvl w:val="1"/>
        <w:rPr>
          <w:b/>
          <w:highlight w:val="none"/>
        </w:rPr>
      </w:pPr>
      <w:bookmarkStart w:id="345" w:name="_Toc144669685"/>
      <w:r>
        <w:rPr>
          <w:b/>
          <w:highlight w:val="none"/>
        </w:rPr>
        <w:t>3</w:t>
      </w:r>
      <w:r>
        <w:rPr>
          <w:rFonts w:hint="eastAsia"/>
          <w:b/>
          <w:highlight w:val="none"/>
        </w:rPr>
        <w:t>.2环境要求</w:t>
      </w:r>
      <w:bookmarkEnd w:id="345"/>
    </w:p>
    <w:p>
      <w:pPr>
        <w:pStyle w:val="8"/>
        <w:ind w:left="840" w:firstLine="480"/>
        <w:rPr>
          <w:highlight w:val="none"/>
        </w:rPr>
      </w:pPr>
      <w:r>
        <w:rPr>
          <w:rFonts w:hint="eastAsia"/>
          <w:highlight w:val="none"/>
        </w:rPr>
        <w:t>1）设备有产生噪音的部位需做隔音、消音处理，设备噪音要求≤80dB，具体检测方法参照《工业企业噪声测量规范》GBJ122执行，甲方按此方法检测的数据验收；</w:t>
      </w:r>
    </w:p>
    <w:p>
      <w:pPr>
        <w:pStyle w:val="8"/>
        <w:ind w:left="840" w:firstLine="480"/>
        <w:rPr>
          <w:highlight w:val="none"/>
        </w:rPr>
      </w:pPr>
      <w:r>
        <w:rPr>
          <w:rFonts w:hint="eastAsia"/>
          <w:highlight w:val="none"/>
        </w:rPr>
        <w:t>2）在厂房环境下，设备无生锈和非金属制品脆化现象，无可燃性、腐蚀性气体产生；</w:t>
      </w:r>
    </w:p>
    <w:p>
      <w:pPr>
        <w:pStyle w:val="8"/>
        <w:ind w:left="840" w:firstLine="480"/>
        <w:rPr>
          <w:highlight w:val="none"/>
        </w:rPr>
      </w:pPr>
      <w:r>
        <w:rPr>
          <w:rFonts w:hint="eastAsia"/>
          <w:highlight w:val="none"/>
        </w:rPr>
        <w:t>3）安装、调试、使用过程中，不得残留对设备及周边环境的污染物；</w:t>
      </w:r>
    </w:p>
    <w:p>
      <w:pPr>
        <w:pStyle w:val="8"/>
        <w:ind w:left="840" w:firstLine="480"/>
        <w:rPr>
          <w:highlight w:val="none"/>
        </w:rPr>
      </w:pPr>
      <w:r>
        <w:rPr>
          <w:rFonts w:hint="eastAsia"/>
          <w:highlight w:val="none"/>
        </w:rPr>
        <w:t>4）设备安装、调试、使用过程中不产生污染环境的气体、液体、固体等种类废弃物。</w:t>
      </w:r>
    </w:p>
    <w:p>
      <w:pPr>
        <w:pStyle w:val="8"/>
        <w:ind w:left="840" w:firstLine="165" w:firstLineChars="82"/>
        <w:outlineLvl w:val="1"/>
        <w:rPr>
          <w:b/>
          <w:highlight w:val="none"/>
        </w:rPr>
      </w:pPr>
      <w:bookmarkStart w:id="346" w:name="_Toc144669686"/>
      <w:r>
        <w:rPr>
          <w:b/>
          <w:highlight w:val="none"/>
        </w:rPr>
        <w:t>3</w:t>
      </w:r>
      <w:r>
        <w:rPr>
          <w:rFonts w:hint="eastAsia"/>
          <w:b/>
          <w:highlight w:val="none"/>
        </w:rPr>
        <w:t>.3保密要求</w:t>
      </w:r>
      <w:bookmarkEnd w:id="346"/>
    </w:p>
    <w:p>
      <w:pPr>
        <w:pStyle w:val="8"/>
        <w:ind w:left="840" w:firstLine="480"/>
        <w:rPr>
          <w:highlight w:val="none"/>
        </w:rPr>
      </w:pPr>
      <w:r>
        <w:rPr>
          <w:rFonts w:hint="eastAsia"/>
          <w:highlight w:val="none"/>
        </w:rPr>
        <w:t>1）所有设备制造商必须与买方签订保密协议,并无条件遵守；</w:t>
      </w:r>
    </w:p>
    <w:p>
      <w:pPr>
        <w:pStyle w:val="8"/>
        <w:ind w:left="840" w:firstLine="480"/>
        <w:rPr>
          <w:highlight w:val="none"/>
        </w:rPr>
      </w:pPr>
      <w:r>
        <w:rPr>
          <w:rFonts w:hint="eastAsia"/>
          <w:highlight w:val="none"/>
        </w:rPr>
        <w:t>2）供应商不得以任何方式向第三方透露此文件的任何相关信息，如有违反者，罚款不低于人民币100万元，已合作供应商如有违反者，罚款金额为历史合同金额的30%，并追究其法律责任。其余未尽条款以方另行签署的《保密协议》为准。</w:t>
      </w:r>
    </w:p>
    <w:p>
      <w:pPr>
        <w:pStyle w:val="8"/>
        <w:ind w:left="840" w:firstLine="165" w:firstLineChars="82"/>
        <w:outlineLvl w:val="1"/>
        <w:rPr>
          <w:b/>
          <w:highlight w:val="none"/>
        </w:rPr>
      </w:pPr>
      <w:bookmarkStart w:id="347" w:name="_Toc144669687"/>
      <w:r>
        <w:rPr>
          <w:b/>
          <w:highlight w:val="none"/>
        </w:rPr>
        <w:t>3</w:t>
      </w:r>
      <w:r>
        <w:rPr>
          <w:rFonts w:hint="eastAsia"/>
          <w:b/>
          <w:highlight w:val="none"/>
        </w:rPr>
        <w:t>.4设备随机物品</w:t>
      </w:r>
      <w:bookmarkEnd w:id="347"/>
    </w:p>
    <w:p>
      <w:pPr>
        <w:pStyle w:val="8"/>
        <w:ind w:left="840" w:firstLine="480"/>
        <w:rPr>
          <w:highlight w:val="none"/>
        </w:rPr>
      </w:pPr>
      <w:r>
        <w:rPr>
          <w:rFonts w:hint="eastAsia"/>
          <w:highlight w:val="none"/>
        </w:rPr>
        <w:t>1）乙方需要根据本技术要求书及附件要求提供对应的文件及实物；</w:t>
      </w:r>
    </w:p>
    <w:p>
      <w:pPr>
        <w:pStyle w:val="8"/>
        <w:ind w:left="840" w:firstLine="480"/>
        <w:rPr>
          <w:highlight w:val="none"/>
        </w:rPr>
      </w:pPr>
      <w:r>
        <w:rPr>
          <w:rFonts w:hint="eastAsia"/>
          <w:highlight w:val="none"/>
        </w:rPr>
        <w:t>2）关于随机物品，按本要求书提供约定的物品以及备品备件、工装夹具、工具等；</w:t>
      </w:r>
    </w:p>
    <w:p>
      <w:pPr>
        <w:pStyle w:val="8"/>
        <w:ind w:left="840" w:firstLine="480"/>
        <w:rPr>
          <w:highlight w:val="none"/>
        </w:rPr>
      </w:pPr>
      <w:r>
        <w:rPr>
          <w:rFonts w:hint="eastAsia"/>
          <w:highlight w:val="none"/>
        </w:rPr>
        <w:t>3）乙方需提供附录赠送清单内的物品以及备品备件、工装夹具、工具等；</w:t>
      </w:r>
    </w:p>
    <w:p>
      <w:pPr>
        <w:pStyle w:val="8"/>
        <w:ind w:left="840" w:firstLine="480"/>
        <w:rPr>
          <w:highlight w:val="none"/>
        </w:rPr>
      </w:pPr>
      <w:r>
        <w:rPr>
          <w:rFonts w:hint="eastAsia"/>
          <w:highlight w:val="none"/>
        </w:rPr>
        <w:t>4）乙方需提供设备的中文操作说明书、维修手册、电器控制图、气动控制图、外购部件说明书和源程序代码等资料（包含电子档以及纸档）；</w:t>
      </w:r>
    </w:p>
    <w:p>
      <w:pPr>
        <w:pStyle w:val="8"/>
        <w:ind w:left="840" w:firstLine="480"/>
        <w:rPr>
          <w:highlight w:val="none"/>
        </w:rPr>
      </w:pPr>
      <w:r>
        <w:rPr>
          <w:rFonts w:hint="eastAsia"/>
          <w:highlight w:val="none"/>
        </w:rPr>
        <w:t>5）乙方须提供备件/易损件清单、工具清单，以及提供相应附录清单的现场实物给甲方，清单信息需包含易损件名称、单机数量、规格/型号或图纸、品牌、价格等。</w:t>
      </w:r>
    </w:p>
    <w:tbl>
      <w:tblPr>
        <w:tblStyle w:val="16"/>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418"/>
        <w:gridCol w:w="1984"/>
        <w:gridCol w:w="709"/>
        <w:gridCol w:w="1417"/>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567" w:type="dxa"/>
            <w:noWrap w:val="0"/>
            <w:vAlign w:val="center"/>
          </w:tcPr>
          <w:p>
            <w:pPr>
              <w:pStyle w:val="8"/>
              <w:spacing w:line="336" w:lineRule="auto"/>
              <w:ind w:left="840"/>
              <w:jc w:val="center"/>
              <w:rPr>
                <w:rFonts w:ascii="宋体" w:hAnsi="宋体"/>
                <w:sz w:val="22"/>
                <w:highlight w:val="none"/>
              </w:rPr>
            </w:pPr>
            <w:r>
              <w:rPr>
                <w:rFonts w:ascii="宋体" w:hAnsi="宋体"/>
                <w:sz w:val="22"/>
                <w:highlight w:val="none"/>
              </w:rPr>
              <w:t>序号</w:t>
            </w:r>
          </w:p>
        </w:tc>
        <w:tc>
          <w:tcPr>
            <w:tcW w:w="1418" w:type="dxa"/>
            <w:noWrap w:val="0"/>
            <w:vAlign w:val="center"/>
          </w:tcPr>
          <w:p>
            <w:pPr>
              <w:pStyle w:val="8"/>
              <w:spacing w:line="336" w:lineRule="auto"/>
              <w:ind w:left="840"/>
              <w:jc w:val="center"/>
              <w:rPr>
                <w:rFonts w:ascii="宋体" w:hAnsi="宋体"/>
                <w:sz w:val="22"/>
                <w:highlight w:val="none"/>
              </w:rPr>
            </w:pPr>
            <w:r>
              <w:rPr>
                <w:rFonts w:ascii="宋体" w:hAnsi="宋体"/>
                <w:sz w:val="22"/>
                <w:highlight w:val="none"/>
              </w:rPr>
              <w:t>名称</w:t>
            </w:r>
          </w:p>
        </w:tc>
        <w:tc>
          <w:tcPr>
            <w:tcW w:w="1984" w:type="dxa"/>
            <w:noWrap w:val="0"/>
            <w:vAlign w:val="center"/>
          </w:tcPr>
          <w:p>
            <w:pPr>
              <w:pStyle w:val="8"/>
              <w:spacing w:line="336" w:lineRule="auto"/>
              <w:ind w:left="840"/>
              <w:jc w:val="center"/>
              <w:rPr>
                <w:rFonts w:ascii="宋体" w:hAnsi="宋体"/>
                <w:sz w:val="22"/>
                <w:highlight w:val="none"/>
              </w:rPr>
            </w:pPr>
            <w:r>
              <w:rPr>
                <w:rFonts w:ascii="宋体" w:hAnsi="宋体"/>
                <w:sz w:val="22"/>
                <w:highlight w:val="none"/>
              </w:rPr>
              <w:t>规格</w:t>
            </w:r>
          </w:p>
        </w:tc>
        <w:tc>
          <w:tcPr>
            <w:tcW w:w="709" w:type="dxa"/>
            <w:noWrap w:val="0"/>
            <w:vAlign w:val="center"/>
          </w:tcPr>
          <w:p>
            <w:pPr>
              <w:pStyle w:val="8"/>
              <w:spacing w:line="336" w:lineRule="auto"/>
              <w:ind w:left="840"/>
              <w:jc w:val="center"/>
              <w:rPr>
                <w:rFonts w:ascii="宋体" w:hAnsi="宋体"/>
                <w:sz w:val="22"/>
                <w:highlight w:val="none"/>
              </w:rPr>
            </w:pPr>
            <w:r>
              <w:rPr>
                <w:rFonts w:hint="eastAsia" w:ascii="宋体" w:hAnsi="宋体"/>
                <w:sz w:val="22"/>
                <w:highlight w:val="none"/>
              </w:rPr>
              <w:t>设计寿命</w:t>
            </w:r>
          </w:p>
        </w:tc>
        <w:tc>
          <w:tcPr>
            <w:tcW w:w="1417" w:type="dxa"/>
            <w:noWrap w:val="0"/>
            <w:vAlign w:val="center"/>
          </w:tcPr>
          <w:p>
            <w:pPr>
              <w:pStyle w:val="8"/>
              <w:spacing w:line="336" w:lineRule="auto"/>
              <w:ind w:left="840"/>
              <w:jc w:val="center"/>
              <w:rPr>
                <w:rFonts w:ascii="宋体" w:hAnsi="宋体"/>
                <w:sz w:val="22"/>
                <w:highlight w:val="none"/>
              </w:rPr>
            </w:pPr>
            <w:r>
              <w:rPr>
                <w:rFonts w:hint="eastAsia" w:ascii="宋体" w:hAnsi="宋体"/>
                <w:sz w:val="22"/>
                <w:highlight w:val="none"/>
              </w:rPr>
              <w:t>免费提供的</w:t>
            </w:r>
            <w:r>
              <w:rPr>
                <w:rFonts w:ascii="宋体" w:hAnsi="宋体"/>
                <w:sz w:val="22"/>
                <w:highlight w:val="none"/>
              </w:rPr>
              <w:t>数量</w:t>
            </w:r>
          </w:p>
        </w:tc>
        <w:tc>
          <w:tcPr>
            <w:tcW w:w="3165" w:type="dxa"/>
            <w:noWrap w:val="0"/>
            <w:vAlign w:val="center"/>
          </w:tcPr>
          <w:p>
            <w:pPr>
              <w:pStyle w:val="8"/>
              <w:spacing w:line="336" w:lineRule="auto"/>
              <w:ind w:left="840"/>
              <w:jc w:val="center"/>
              <w:rPr>
                <w:rFonts w:ascii="宋体" w:hAnsi="宋体"/>
                <w:sz w:val="22"/>
                <w:highlight w:val="none"/>
              </w:rPr>
            </w:pPr>
            <w:r>
              <w:rPr>
                <w:rFonts w:ascii="宋体" w:hAnsi="宋体"/>
                <w:sz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67" w:type="dxa"/>
            <w:noWrap w:val="0"/>
            <w:vAlign w:val="center"/>
          </w:tcPr>
          <w:p>
            <w:pPr>
              <w:pStyle w:val="8"/>
              <w:spacing w:line="336" w:lineRule="auto"/>
              <w:ind w:left="840"/>
              <w:jc w:val="center"/>
              <w:rPr>
                <w:rFonts w:ascii="宋体" w:hAnsi="宋体"/>
                <w:sz w:val="22"/>
                <w:highlight w:val="none"/>
              </w:rPr>
            </w:pPr>
            <w:r>
              <w:rPr>
                <w:rFonts w:ascii="宋体" w:hAnsi="宋体"/>
                <w:sz w:val="22"/>
                <w:highlight w:val="none"/>
              </w:rPr>
              <w:t>1</w:t>
            </w:r>
          </w:p>
        </w:tc>
        <w:tc>
          <w:tcPr>
            <w:tcW w:w="1418" w:type="dxa"/>
            <w:noWrap w:val="0"/>
            <w:vAlign w:val="center"/>
          </w:tcPr>
          <w:p>
            <w:pPr>
              <w:pStyle w:val="8"/>
              <w:spacing w:line="336" w:lineRule="auto"/>
              <w:ind w:left="840"/>
              <w:rPr>
                <w:rFonts w:ascii="宋体" w:hAnsi="宋体"/>
                <w:sz w:val="22"/>
                <w:highlight w:val="none"/>
              </w:rPr>
            </w:pPr>
            <w:r>
              <w:rPr>
                <w:rFonts w:hint="eastAsia" w:ascii="宋体" w:hAnsi="宋体"/>
                <w:sz w:val="22"/>
                <w:highlight w:val="none"/>
              </w:rPr>
              <w:t>专用工具及</w:t>
            </w:r>
            <w:r>
              <w:rPr>
                <w:rFonts w:ascii="宋体" w:hAnsi="宋体"/>
                <w:sz w:val="22"/>
                <w:highlight w:val="none"/>
              </w:rPr>
              <w:t>消耗材料</w:t>
            </w:r>
          </w:p>
        </w:tc>
        <w:tc>
          <w:tcPr>
            <w:tcW w:w="1984" w:type="dxa"/>
            <w:noWrap w:val="0"/>
            <w:vAlign w:val="center"/>
          </w:tcPr>
          <w:p>
            <w:pPr>
              <w:pStyle w:val="8"/>
              <w:spacing w:line="336" w:lineRule="auto"/>
              <w:ind w:left="840"/>
              <w:jc w:val="center"/>
              <w:rPr>
                <w:rFonts w:ascii="宋体" w:hAnsi="宋体"/>
                <w:sz w:val="22"/>
                <w:highlight w:val="none"/>
              </w:rPr>
            </w:pPr>
            <w:r>
              <w:rPr>
                <w:rFonts w:hint="eastAsia" w:ascii="宋体" w:hAnsi="宋体"/>
                <w:sz w:val="22"/>
                <w:highlight w:val="none"/>
              </w:rPr>
              <w:t>依据设计</w:t>
            </w:r>
          </w:p>
        </w:tc>
        <w:tc>
          <w:tcPr>
            <w:tcW w:w="709" w:type="dxa"/>
            <w:noWrap w:val="0"/>
            <w:vAlign w:val="center"/>
          </w:tcPr>
          <w:p>
            <w:pPr>
              <w:pStyle w:val="8"/>
              <w:spacing w:line="336" w:lineRule="auto"/>
              <w:ind w:left="840"/>
              <w:rPr>
                <w:rFonts w:ascii="宋体" w:hAnsi="宋体"/>
                <w:sz w:val="22"/>
                <w:highlight w:val="none"/>
              </w:rPr>
            </w:pPr>
          </w:p>
        </w:tc>
        <w:tc>
          <w:tcPr>
            <w:tcW w:w="1417" w:type="dxa"/>
            <w:noWrap w:val="0"/>
            <w:vAlign w:val="center"/>
          </w:tcPr>
          <w:p>
            <w:pPr>
              <w:pStyle w:val="8"/>
              <w:spacing w:line="336" w:lineRule="auto"/>
              <w:ind w:left="840"/>
              <w:rPr>
                <w:rFonts w:ascii="宋体" w:hAnsi="宋体"/>
                <w:sz w:val="22"/>
                <w:highlight w:val="none"/>
              </w:rPr>
            </w:pPr>
          </w:p>
        </w:tc>
        <w:tc>
          <w:tcPr>
            <w:tcW w:w="3165" w:type="dxa"/>
            <w:noWrap w:val="0"/>
            <w:vAlign w:val="center"/>
          </w:tcPr>
          <w:p>
            <w:pPr>
              <w:pStyle w:val="8"/>
              <w:spacing w:line="336" w:lineRule="auto"/>
              <w:ind w:left="840"/>
              <w:rPr>
                <w:rFonts w:ascii="宋体" w:hAnsi="宋体"/>
                <w:sz w:val="22"/>
                <w:highlight w:val="none"/>
              </w:rPr>
            </w:pPr>
            <w:r>
              <w:rPr>
                <w:rFonts w:hint="eastAsia" w:ascii="宋体" w:hAnsi="宋体"/>
                <w:sz w:val="22"/>
                <w:highlight w:val="none"/>
              </w:rPr>
              <w:t>组装工具、专用检测工具等，若没有专用工具则不需要提供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67" w:type="dxa"/>
            <w:noWrap w:val="0"/>
            <w:vAlign w:val="center"/>
          </w:tcPr>
          <w:p>
            <w:pPr>
              <w:pStyle w:val="8"/>
              <w:spacing w:line="336" w:lineRule="auto"/>
              <w:ind w:left="840"/>
              <w:jc w:val="center"/>
              <w:rPr>
                <w:rFonts w:ascii="宋体" w:hAnsi="宋体"/>
                <w:sz w:val="22"/>
                <w:highlight w:val="none"/>
              </w:rPr>
            </w:pPr>
            <w:r>
              <w:rPr>
                <w:rFonts w:ascii="宋体" w:hAnsi="宋体"/>
                <w:sz w:val="22"/>
                <w:highlight w:val="none"/>
              </w:rPr>
              <w:t>2</w:t>
            </w:r>
          </w:p>
        </w:tc>
        <w:tc>
          <w:tcPr>
            <w:tcW w:w="1418" w:type="dxa"/>
            <w:noWrap w:val="0"/>
            <w:vAlign w:val="center"/>
          </w:tcPr>
          <w:p>
            <w:pPr>
              <w:pStyle w:val="8"/>
              <w:spacing w:line="336" w:lineRule="auto"/>
              <w:ind w:left="840"/>
              <w:jc w:val="center"/>
              <w:rPr>
                <w:rFonts w:ascii="宋体" w:hAnsi="宋体"/>
                <w:sz w:val="22"/>
                <w:highlight w:val="none"/>
              </w:rPr>
            </w:pPr>
            <w:r>
              <w:rPr>
                <w:rFonts w:hint="eastAsia" w:ascii="宋体" w:hAnsi="宋体"/>
                <w:sz w:val="22"/>
                <w:highlight w:val="none"/>
              </w:rPr>
              <w:t>易损件</w:t>
            </w:r>
          </w:p>
        </w:tc>
        <w:tc>
          <w:tcPr>
            <w:tcW w:w="1984" w:type="dxa"/>
            <w:noWrap w:val="0"/>
            <w:vAlign w:val="center"/>
          </w:tcPr>
          <w:p>
            <w:pPr>
              <w:pStyle w:val="8"/>
              <w:spacing w:line="336" w:lineRule="auto"/>
              <w:ind w:left="840"/>
              <w:rPr>
                <w:rFonts w:ascii="宋体" w:hAnsi="宋体"/>
                <w:sz w:val="22"/>
                <w:highlight w:val="none"/>
              </w:rPr>
            </w:pPr>
            <w:r>
              <w:rPr>
                <w:rFonts w:hint="eastAsia" w:ascii="宋体" w:hAnsi="宋体"/>
                <w:sz w:val="22"/>
                <w:highlight w:val="none"/>
              </w:rPr>
              <w:t>按供应商的易损件图档或及清单</w:t>
            </w:r>
          </w:p>
        </w:tc>
        <w:tc>
          <w:tcPr>
            <w:tcW w:w="709" w:type="dxa"/>
            <w:noWrap w:val="0"/>
            <w:vAlign w:val="center"/>
          </w:tcPr>
          <w:p>
            <w:pPr>
              <w:pStyle w:val="8"/>
              <w:spacing w:line="336" w:lineRule="auto"/>
              <w:ind w:left="840"/>
              <w:rPr>
                <w:rFonts w:ascii="宋体" w:hAnsi="宋体"/>
                <w:sz w:val="22"/>
                <w:highlight w:val="none"/>
              </w:rPr>
            </w:pPr>
          </w:p>
        </w:tc>
        <w:tc>
          <w:tcPr>
            <w:tcW w:w="1417" w:type="dxa"/>
            <w:noWrap w:val="0"/>
            <w:vAlign w:val="center"/>
          </w:tcPr>
          <w:p>
            <w:pPr>
              <w:pStyle w:val="8"/>
              <w:spacing w:line="336" w:lineRule="auto"/>
              <w:ind w:left="840"/>
              <w:rPr>
                <w:rFonts w:ascii="宋体" w:hAnsi="宋体"/>
                <w:sz w:val="22"/>
                <w:highlight w:val="none"/>
              </w:rPr>
            </w:pPr>
            <w:r>
              <w:rPr>
                <w:rFonts w:hint="eastAsia" w:ascii="宋体" w:hAnsi="宋体"/>
                <w:sz w:val="22"/>
                <w:highlight w:val="none"/>
              </w:rPr>
              <w:t>按易损件清单提供一套</w:t>
            </w:r>
          </w:p>
        </w:tc>
        <w:tc>
          <w:tcPr>
            <w:tcW w:w="3165" w:type="dxa"/>
            <w:noWrap w:val="0"/>
            <w:vAlign w:val="center"/>
          </w:tcPr>
          <w:p>
            <w:pPr>
              <w:pStyle w:val="8"/>
              <w:spacing w:line="336" w:lineRule="auto"/>
              <w:ind w:left="840"/>
              <w:rPr>
                <w:rFonts w:ascii="宋体" w:hAnsi="宋体"/>
                <w:sz w:val="22"/>
                <w:highlight w:val="none"/>
              </w:rPr>
            </w:pPr>
            <w:r>
              <w:rPr>
                <w:rFonts w:hint="eastAsia" w:ascii="宋体" w:hAnsi="宋体"/>
                <w:sz w:val="22"/>
                <w:highlight w:val="none"/>
              </w:rPr>
              <w:t>需提供所有易损件市场价</w:t>
            </w:r>
          </w:p>
        </w:tc>
      </w:tr>
    </w:tbl>
    <w:p>
      <w:pPr>
        <w:pStyle w:val="8"/>
        <w:ind w:left="840" w:firstLine="165" w:firstLineChars="82"/>
        <w:outlineLvl w:val="1"/>
        <w:rPr>
          <w:b/>
          <w:highlight w:val="none"/>
        </w:rPr>
      </w:pPr>
      <w:bookmarkStart w:id="348" w:name="_Toc144669688"/>
      <w:r>
        <w:rPr>
          <w:b/>
          <w:highlight w:val="none"/>
        </w:rPr>
        <w:t>3</w:t>
      </w:r>
      <w:r>
        <w:rPr>
          <w:rFonts w:hint="eastAsia"/>
          <w:b/>
          <w:highlight w:val="none"/>
        </w:rPr>
        <w:t>.5语言要求</w:t>
      </w:r>
      <w:bookmarkEnd w:id="348"/>
    </w:p>
    <w:p>
      <w:pPr>
        <w:pStyle w:val="8"/>
        <w:ind w:left="840" w:firstLine="480"/>
        <w:rPr>
          <w:highlight w:val="none"/>
        </w:rPr>
      </w:pPr>
      <w:r>
        <w:rPr>
          <w:rFonts w:hint="eastAsia"/>
          <w:highlight w:val="none"/>
        </w:rPr>
        <w:t>1）所提供的资料要求中文、英文对照两个版本；</w:t>
      </w:r>
    </w:p>
    <w:p>
      <w:pPr>
        <w:pStyle w:val="8"/>
        <w:ind w:left="840" w:firstLine="480"/>
        <w:rPr>
          <w:highlight w:val="none"/>
        </w:rPr>
      </w:pPr>
      <w:r>
        <w:rPr>
          <w:rFonts w:hint="eastAsia"/>
          <w:highlight w:val="none"/>
        </w:rPr>
        <w:t>2）设备标识需要同时标注中文、英文；</w:t>
      </w:r>
    </w:p>
    <w:p>
      <w:pPr>
        <w:pStyle w:val="8"/>
        <w:ind w:left="840" w:firstLine="480"/>
        <w:rPr>
          <w:highlight w:val="none"/>
        </w:rPr>
      </w:pPr>
      <w:r>
        <w:rPr>
          <w:rFonts w:hint="eastAsia"/>
          <w:highlight w:val="none"/>
        </w:rPr>
        <w:t>3）人机界面需要设置中文、英文两种模式，在人机界面首页进行选择。</w:t>
      </w:r>
    </w:p>
    <w:p>
      <w:pPr>
        <w:pStyle w:val="8"/>
        <w:ind w:left="840" w:firstLine="165" w:firstLineChars="82"/>
        <w:outlineLvl w:val="1"/>
        <w:rPr>
          <w:b/>
          <w:highlight w:val="none"/>
        </w:rPr>
      </w:pPr>
      <w:bookmarkStart w:id="349" w:name="_Toc144669689"/>
      <w:r>
        <w:rPr>
          <w:b/>
          <w:highlight w:val="none"/>
        </w:rPr>
        <w:t>3</w:t>
      </w:r>
      <w:r>
        <w:rPr>
          <w:rFonts w:hint="eastAsia"/>
          <w:b/>
          <w:highlight w:val="none"/>
        </w:rPr>
        <w:t>.6设备控制系统要求</w:t>
      </w:r>
      <w:bookmarkEnd w:id="349"/>
    </w:p>
    <w:p>
      <w:pPr>
        <w:pStyle w:val="8"/>
        <w:ind w:left="840" w:firstLine="480"/>
        <w:rPr>
          <w:highlight w:val="none"/>
        </w:rPr>
      </w:pPr>
      <w:r>
        <w:rPr>
          <w:rFonts w:hint="eastAsia"/>
          <w:highlight w:val="none"/>
        </w:rPr>
        <w:t>控制系统设计的首要原则是保证空压机系统运行的安全性,其次是操作的智能化、维护的方便性。包括空压机参数设置、系统权限设置、运行数据管理、工况监控、故障查询、维护指南菜单等功能，并能各设备之间实现集中控制预留接口。</w:t>
      </w:r>
    </w:p>
    <w:p>
      <w:pPr>
        <w:pStyle w:val="8"/>
        <w:ind w:left="840" w:firstLine="480"/>
        <w:outlineLvl w:val="2"/>
        <w:rPr>
          <w:highlight w:val="none"/>
        </w:rPr>
      </w:pPr>
      <w:r>
        <w:rPr>
          <w:highlight w:val="none"/>
        </w:rPr>
        <w:t>3</w:t>
      </w:r>
      <w:r>
        <w:rPr>
          <w:rFonts w:hint="eastAsia"/>
          <w:highlight w:val="none"/>
        </w:rPr>
        <w:t>.6.1电控系统要求：</w:t>
      </w:r>
    </w:p>
    <w:p>
      <w:pPr>
        <w:pStyle w:val="8"/>
        <w:ind w:left="840" w:firstLine="480"/>
        <w:rPr>
          <w:highlight w:val="none"/>
        </w:rPr>
      </w:pPr>
      <w:r>
        <w:rPr>
          <w:rFonts w:hint="eastAsia"/>
          <w:highlight w:val="none"/>
        </w:rPr>
        <w:t>电气设备安全标准按GB19517-2009《国家电气设备安全标准》</w:t>
      </w:r>
    </w:p>
    <w:p>
      <w:pPr>
        <w:pStyle w:val="8"/>
        <w:ind w:left="840" w:firstLine="480"/>
        <w:rPr>
          <w:highlight w:val="none"/>
        </w:rPr>
      </w:pPr>
      <w:r>
        <w:rPr>
          <w:rFonts w:hint="eastAsia"/>
          <w:highlight w:val="none"/>
        </w:rPr>
        <w:t>1）设备气控原件（如果没有气控元件，请忽略此要求）和电控元件电箱独立分开 (若厂房限制，电柜可不独立开，气控和电控元件就近安装，增加隔板)；</w:t>
      </w:r>
    </w:p>
    <w:p>
      <w:pPr>
        <w:pStyle w:val="8"/>
        <w:ind w:left="840" w:firstLine="480"/>
        <w:rPr>
          <w:highlight w:val="none"/>
        </w:rPr>
      </w:pPr>
      <w:r>
        <w:rPr>
          <w:rFonts w:hint="eastAsia"/>
          <w:highlight w:val="none"/>
        </w:rPr>
        <w:t>2）电箱防尘、密封和降温处理；电箱排风扇需经过滤后，方可排风至车间，电柜防护等级要求IP54，范围内的所有电机防护等级要求IP55）；</w:t>
      </w:r>
    </w:p>
    <w:p>
      <w:pPr>
        <w:pStyle w:val="8"/>
        <w:ind w:left="840" w:firstLine="480"/>
        <w:rPr>
          <w:highlight w:val="none"/>
        </w:rPr>
      </w:pPr>
      <w:r>
        <w:rPr>
          <w:rFonts w:hint="eastAsia"/>
          <w:highlight w:val="none"/>
        </w:rPr>
        <w:t>3）感应器、电磁阀、行程开关等的防护不低于IP64，其他区域满足IP54即可；</w:t>
      </w:r>
    </w:p>
    <w:p>
      <w:pPr>
        <w:pStyle w:val="8"/>
        <w:ind w:left="840" w:firstLine="480"/>
        <w:rPr>
          <w:highlight w:val="none"/>
        </w:rPr>
      </w:pPr>
      <w:r>
        <w:rPr>
          <w:rFonts w:hint="eastAsia"/>
          <w:highlight w:val="none"/>
        </w:rPr>
        <w:t>4）强电与弱电线路隔开，信号线增加屏弊措施；</w:t>
      </w:r>
    </w:p>
    <w:p>
      <w:pPr>
        <w:pStyle w:val="8"/>
        <w:ind w:left="840" w:firstLine="480"/>
        <w:rPr>
          <w:highlight w:val="none"/>
        </w:rPr>
      </w:pPr>
      <w:r>
        <w:rPr>
          <w:rFonts w:hint="eastAsia"/>
          <w:highlight w:val="none"/>
        </w:rPr>
        <w:t>5）设备电源进线端须配备开关，设备功率超过15KW需配软启动或降压启动；</w:t>
      </w:r>
    </w:p>
    <w:p>
      <w:pPr>
        <w:pStyle w:val="8"/>
        <w:ind w:left="840" w:firstLine="480"/>
        <w:rPr>
          <w:highlight w:val="none"/>
        </w:rPr>
      </w:pPr>
      <w:r>
        <w:rPr>
          <w:rFonts w:hint="eastAsia"/>
          <w:highlight w:val="none"/>
        </w:rPr>
        <w:t>6）拖链、线槽选型要求：容积使用率不超过85%,内置电缆或气管等可以自由活动，在半径方向对拖链不产生拉力，且拖链内线全部使用进口耐折线（接头不得留在拖链内部）；</w:t>
      </w:r>
    </w:p>
    <w:p>
      <w:pPr>
        <w:pStyle w:val="8"/>
        <w:ind w:left="840" w:firstLine="480"/>
        <w:rPr>
          <w:highlight w:val="none"/>
        </w:rPr>
      </w:pPr>
      <w:r>
        <w:rPr>
          <w:rFonts w:hint="eastAsia"/>
          <w:highlight w:val="none"/>
        </w:rPr>
        <w:t>7）内高：选择直径最大的内置电缆或气管的尺寸，以此为基准增加10%，作为预留高度空的尺寸；</w:t>
      </w:r>
    </w:p>
    <w:p>
      <w:pPr>
        <w:pStyle w:val="8"/>
        <w:ind w:left="840" w:firstLine="480"/>
        <w:rPr>
          <w:highlight w:val="none"/>
        </w:rPr>
      </w:pPr>
      <w:r>
        <w:rPr>
          <w:rFonts w:hint="eastAsia"/>
          <w:highlight w:val="none"/>
        </w:rPr>
        <w:t>8）设备整体PLC点预留10%以上（输入、输出点各10%）</w:t>
      </w:r>
    </w:p>
    <w:p>
      <w:pPr>
        <w:pStyle w:val="8"/>
        <w:ind w:left="840" w:firstLine="480"/>
        <w:outlineLvl w:val="2"/>
        <w:rPr>
          <w:highlight w:val="none"/>
        </w:rPr>
      </w:pPr>
      <w:r>
        <w:rPr>
          <w:highlight w:val="none"/>
        </w:rPr>
        <w:t>3</w:t>
      </w:r>
      <w:r>
        <w:rPr>
          <w:rFonts w:hint="eastAsia"/>
          <w:highlight w:val="none"/>
        </w:rPr>
        <w:t>.6.2人机界面</w:t>
      </w:r>
    </w:p>
    <w:p>
      <w:pPr>
        <w:pStyle w:val="8"/>
        <w:ind w:left="840" w:firstLine="480"/>
        <w:rPr>
          <w:highlight w:val="none"/>
        </w:rPr>
      </w:pPr>
      <w:r>
        <w:rPr>
          <w:rFonts w:hint="eastAsia"/>
          <w:highlight w:val="none"/>
        </w:rPr>
        <w:t>1）功能：设备各项功能、工艺参数的集成显示且可进行编辑、存储等操作，以实现人机交互；</w:t>
      </w:r>
    </w:p>
    <w:p>
      <w:pPr>
        <w:pStyle w:val="8"/>
        <w:ind w:left="840" w:firstLine="480"/>
        <w:rPr>
          <w:highlight w:val="none"/>
        </w:rPr>
      </w:pPr>
      <w:r>
        <w:rPr>
          <w:rFonts w:hint="eastAsia"/>
          <w:highlight w:val="none"/>
        </w:rPr>
        <w:t>2）智能控制：运行监控保护、故障状态显示功能、交替启动、追踪补偿启动。可通过以太网实现远程联网控制，设备出现故障时，能进行自我诊断，并给出处解决方案；</w:t>
      </w:r>
    </w:p>
    <w:p>
      <w:pPr>
        <w:pStyle w:val="8"/>
        <w:ind w:left="840" w:firstLine="480"/>
        <w:rPr>
          <w:highlight w:val="none"/>
        </w:rPr>
      </w:pPr>
      <w:r>
        <w:rPr>
          <w:rFonts w:hint="eastAsia"/>
          <w:highlight w:val="none"/>
        </w:rPr>
        <w:t>3）密码管理：设备使用时，需有三级密码，一级：系统登录密码，二级：生产主管/工艺工程师/设备工程师操作权限密码，三级：操机人员开机和自主维护操作权限密码，此权限需屏蔽关键设备部件或工艺参数；人员超过5min未手动操作触摸屏时，自动跳至登录界面，防止人员勿碰等引起不良状况发生。</w:t>
      </w:r>
    </w:p>
    <w:p>
      <w:pPr>
        <w:pStyle w:val="8"/>
        <w:ind w:left="840"/>
        <w:outlineLvl w:val="0"/>
        <w:rPr>
          <w:b/>
          <w:sz w:val="28"/>
          <w:highlight w:val="none"/>
        </w:rPr>
      </w:pPr>
      <w:bookmarkStart w:id="350" w:name="_Toc144669690"/>
      <w:r>
        <w:rPr>
          <w:rFonts w:hint="eastAsia"/>
          <w:b/>
          <w:sz w:val="28"/>
          <w:highlight w:val="none"/>
        </w:rPr>
        <w:t>四、设备安全要求</w:t>
      </w:r>
      <w:bookmarkEnd w:id="350"/>
    </w:p>
    <w:p>
      <w:pPr>
        <w:pStyle w:val="8"/>
        <w:ind w:left="840" w:firstLine="166" w:firstLineChars="83"/>
        <w:rPr>
          <w:highlight w:val="none"/>
        </w:rPr>
      </w:pPr>
      <w:r>
        <w:rPr>
          <w:highlight w:val="none"/>
        </w:rPr>
        <w:t>4</w:t>
      </w:r>
      <w:r>
        <w:rPr>
          <w:rFonts w:hint="eastAsia"/>
          <w:highlight w:val="none"/>
        </w:rPr>
        <w:t>.1设备符合国家有关机电设备的安全标准。</w:t>
      </w:r>
    </w:p>
    <w:p>
      <w:pPr>
        <w:pStyle w:val="8"/>
        <w:ind w:left="840" w:firstLine="166" w:firstLineChars="83"/>
        <w:rPr>
          <w:highlight w:val="none"/>
        </w:rPr>
      </w:pPr>
      <w:r>
        <w:rPr>
          <w:highlight w:val="none"/>
        </w:rPr>
        <w:t>4</w:t>
      </w:r>
      <w:r>
        <w:rPr>
          <w:rFonts w:hint="eastAsia"/>
          <w:highlight w:val="none"/>
        </w:rPr>
        <w:t>.2设备及所选用的所有配件均符合国家相关标准。</w:t>
      </w:r>
    </w:p>
    <w:p>
      <w:pPr>
        <w:pStyle w:val="8"/>
        <w:ind w:left="840" w:firstLine="166" w:firstLineChars="83"/>
        <w:rPr>
          <w:highlight w:val="none"/>
        </w:rPr>
      </w:pPr>
      <w:r>
        <w:rPr>
          <w:highlight w:val="none"/>
        </w:rPr>
        <w:t>4</w:t>
      </w:r>
      <w:r>
        <w:rPr>
          <w:rFonts w:hint="eastAsia"/>
          <w:highlight w:val="none"/>
        </w:rPr>
        <w:t>.3所有的操作者工位都必须提供防护措施，以保护人员有意或无意的进入危险区域而免受可能的伤害。</w:t>
      </w:r>
    </w:p>
    <w:p>
      <w:pPr>
        <w:pStyle w:val="8"/>
        <w:ind w:left="840" w:firstLine="166" w:firstLineChars="83"/>
        <w:rPr>
          <w:highlight w:val="none"/>
        </w:rPr>
      </w:pPr>
      <w:r>
        <w:rPr>
          <w:highlight w:val="none"/>
        </w:rPr>
        <w:t>4</w:t>
      </w:r>
      <w:r>
        <w:rPr>
          <w:rFonts w:hint="eastAsia"/>
          <w:highlight w:val="none"/>
        </w:rPr>
        <w:t xml:space="preserve">.4单机的布局设计需要考虑整线的安全需求，在操作工位提供方便的逃生路线。 </w:t>
      </w:r>
    </w:p>
    <w:p>
      <w:pPr>
        <w:pStyle w:val="8"/>
        <w:ind w:left="840" w:firstLine="166" w:firstLineChars="83"/>
        <w:rPr>
          <w:highlight w:val="none"/>
        </w:rPr>
      </w:pPr>
      <w:r>
        <w:rPr>
          <w:highlight w:val="none"/>
        </w:rPr>
        <w:t>4</w:t>
      </w:r>
      <w:r>
        <w:rPr>
          <w:rFonts w:hint="eastAsia"/>
          <w:highlight w:val="none"/>
        </w:rPr>
        <w:t xml:space="preserve">.5如果设备涉及到激光应用的，供应商需要提供至少两套激光防护眼镜。 </w:t>
      </w:r>
    </w:p>
    <w:p>
      <w:pPr>
        <w:pStyle w:val="8"/>
        <w:ind w:left="840" w:firstLine="166" w:firstLineChars="83"/>
        <w:rPr>
          <w:highlight w:val="none"/>
        </w:rPr>
      </w:pPr>
      <w:r>
        <w:rPr>
          <w:highlight w:val="none"/>
        </w:rPr>
        <w:t>4</w:t>
      </w:r>
      <w:r>
        <w:rPr>
          <w:rFonts w:hint="eastAsia"/>
          <w:highlight w:val="none"/>
        </w:rPr>
        <w:t xml:space="preserve">.6如果作业者不得不进入设备，设备内须设计和安装防滑、无台阶的踏板。 </w:t>
      </w:r>
    </w:p>
    <w:p>
      <w:pPr>
        <w:pStyle w:val="8"/>
        <w:ind w:left="840" w:firstLine="166" w:firstLineChars="83"/>
        <w:rPr>
          <w:highlight w:val="none"/>
        </w:rPr>
      </w:pPr>
      <w:r>
        <w:rPr>
          <w:highlight w:val="none"/>
        </w:rPr>
        <w:t>4</w:t>
      </w:r>
      <w:r>
        <w:rPr>
          <w:rFonts w:hint="eastAsia"/>
          <w:highlight w:val="none"/>
        </w:rPr>
        <w:t xml:space="preserve">.7所有开放的连接处在设备装运时应该被密封保护。 </w:t>
      </w:r>
    </w:p>
    <w:p>
      <w:pPr>
        <w:pStyle w:val="8"/>
        <w:ind w:left="840" w:firstLine="166" w:firstLineChars="83"/>
        <w:rPr>
          <w:highlight w:val="none"/>
        </w:rPr>
      </w:pPr>
      <w:r>
        <w:rPr>
          <w:highlight w:val="none"/>
        </w:rPr>
        <w:t>4</w:t>
      </w:r>
      <w:r>
        <w:rPr>
          <w:rFonts w:hint="eastAsia"/>
          <w:highlight w:val="none"/>
        </w:rPr>
        <w:t>.8设备防护装置外观和结构方式需在设计审核时，逐一检查。后期加工和安装不能造成机械干涉、不便维护及相关安全问题。</w:t>
      </w:r>
    </w:p>
    <w:p>
      <w:pPr>
        <w:pStyle w:val="8"/>
        <w:ind w:left="840" w:firstLine="166" w:firstLineChars="83"/>
        <w:rPr>
          <w:highlight w:val="none"/>
        </w:rPr>
      </w:pPr>
      <w:r>
        <w:rPr>
          <w:highlight w:val="none"/>
        </w:rPr>
        <w:t>4</w:t>
      </w:r>
      <w:r>
        <w:rPr>
          <w:rFonts w:hint="eastAsia"/>
          <w:highlight w:val="none"/>
        </w:rPr>
        <w:t>.9设备设计开发过程中，综合考虑设备制造、安装、调试、运营、拆卸、报废等正生命周期的各环节，应用“综合安全三原则”对设备进行安全风险评估。综合安全三原则如下：</w:t>
      </w:r>
    </w:p>
    <w:p>
      <w:pPr>
        <w:pStyle w:val="8"/>
        <w:ind w:left="840" w:firstLine="480"/>
        <w:rPr>
          <w:highlight w:val="none"/>
        </w:rPr>
      </w:pPr>
      <w:r>
        <w:rPr>
          <w:rFonts w:hint="eastAsia"/>
          <w:highlight w:val="none"/>
        </w:rPr>
        <w:t>1）采用本质安全的方式，尽可能消除或减小风险；</w:t>
      </w:r>
    </w:p>
    <w:p>
      <w:pPr>
        <w:pStyle w:val="8"/>
        <w:ind w:left="840" w:firstLine="480"/>
        <w:rPr>
          <w:highlight w:val="none"/>
        </w:rPr>
      </w:pPr>
      <w:r>
        <w:rPr>
          <w:rFonts w:hint="eastAsia"/>
          <w:highlight w:val="none"/>
        </w:rPr>
        <w:t>2）对不能消除的风险采取必要的保护措施（安全护罩，联锁安全回路等）；</w:t>
      </w:r>
    </w:p>
    <w:p>
      <w:pPr>
        <w:pStyle w:val="8"/>
        <w:ind w:left="840" w:firstLine="480"/>
        <w:rPr>
          <w:highlight w:val="none"/>
        </w:rPr>
      </w:pPr>
      <w:r>
        <w:rPr>
          <w:rFonts w:hint="eastAsia"/>
          <w:highlight w:val="none"/>
        </w:rPr>
        <w:t>3）告知用户由于所采取保护措施的缺陷而造成的遗留风险，并说明是否需要专门的培训以及规定需要提供的个体防护设备。</w:t>
      </w:r>
    </w:p>
    <w:p>
      <w:pPr>
        <w:pStyle w:val="8"/>
        <w:ind w:left="840" w:firstLine="166" w:firstLineChars="83"/>
        <w:rPr>
          <w:highlight w:val="none"/>
        </w:rPr>
      </w:pPr>
      <w:r>
        <w:rPr>
          <w:highlight w:val="none"/>
        </w:rPr>
        <w:t>4</w:t>
      </w:r>
      <w:r>
        <w:rPr>
          <w:rFonts w:hint="eastAsia"/>
          <w:highlight w:val="none"/>
        </w:rPr>
        <w:t>.10乙方提供详细的安全风险识别清单。</w:t>
      </w:r>
    </w:p>
    <w:p>
      <w:pPr>
        <w:pStyle w:val="8"/>
        <w:ind w:left="840"/>
        <w:outlineLvl w:val="0"/>
        <w:rPr>
          <w:b/>
          <w:sz w:val="28"/>
          <w:highlight w:val="none"/>
        </w:rPr>
      </w:pPr>
      <w:bookmarkStart w:id="351" w:name="_Toc144669691"/>
      <w:r>
        <w:rPr>
          <w:rFonts w:hint="eastAsia"/>
          <w:b/>
          <w:sz w:val="28"/>
          <w:highlight w:val="none"/>
        </w:rPr>
        <w:t>五、设备设计要求</w:t>
      </w:r>
      <w:bookmarkEnd w:id="351"/>
    </w:p>
    <w:p>
      <w:pPr>
        <w:pStyle w:val="8"/>
        <w:ind w:left="840" w:firstLine="165" w:firstLineChars="82"/>
        <w:outlineLvl w:val="1"/>
        <w:rPr>
          <w:b/>
          <w:highlight w:val="none"/>
        </w:rPr>
      </w:pPr>
      <w:bookmarkStart w:id="352" w:name="_Toc144669692"/>
      <w:r>
        <w:rPr>
          <w:b/>
          <w:highlight w:val="none"/>
        </w:rPr>
        <w:t>5</w:t>
      </w:r>
      <w:r>
        <w:rPr>
          <w:rFonts w:hint="eastAsia"/>
          <w:b/>
          <w:highlight w:val="none"/>
        </w:rPr>
        <w:t>.1机械结构设计要求</w:t>
      </w:r>
      <w:bookmarkEnd w:id="352"/>
    </w:p>
    <w:p>
      <w:pPr>
        <w:pStyle w:val="8"/>
        <w:ind w:left="840" w:firstLine="480"/>
        <w:rPr>
          <w:highlight w:val="none"/>
        </w:rPr>
      </w:pPr>
      <w:r>
        <w:rPr>
          <w:rFonts w:hint="eastAsia"/>
          <w:highlight w:val="none"/>
        </w:rPr>
        <w:t>1） 部件设计时要充分考虑可靠性，包括机械强度、组装方式等，确保设备长期运行不会因变形、疲劳等问题导致同其他配件干涉，而导致碰撞、摩擦产生污染物；</w:t>
      </w:r>
    </w:p>
    <w:p>
      <w:pPr>
        <w:pStyle w:val="8"/>
        <w:ind w:left="840" w:firstLine="480"/>
        <w:rPr>
          <w:highlight w:val="none"/>
        </w:rPr>
      </w:pPr>
      <w:r>
        <w:rPr>
          <w:rFonts w:hint="eastAsia"/>
          <w:highlight w:val="none"/>
        </w:rPr>
        <w:t>2.）机械加工件必须清除毛刺，焊渣，防止在设备组装、使用过程中毛刺、焊渣在外力作用下脱落；</w:t>
      </w:r>
    </w:p>
    <w:p>
      <w:pPr>
        <w:pStyle w:val="8"/>
        <w:ind w:left="840" w:firstLine="480"/>
        <w:rPr>
          <w:highlight w:val="none"/>
        </w:rPr>
      </w:pPr>
      <w:r>
        <w:rPr>
          <w:rFonts w:hint="eastAsia"/>
          <w:highlight w:val="none"/>
        </w:rPr>
        <w:t>3）设备零部件需要进行可靠的防腐蚀处理，保证设备在使用过程不生锈。</w:t>
      </w:r>
    </w:p>
    <w:p>
      <w:pPr>
        <w:pStyle w:val="8"/>
        <w:ind w:left="840" w:firstLine="165" w:firstLineChars="82"/>
        <w:outlineLvl w:val="1"/>
        <w:rPr>
          <w:b/>
          <w:highlight w:val="none"/>
        </w:rPr>
      </w:pPr>
      <w:bookmarkStart w:id="353" w:name="_Toc144669693"/>
      <w:r>
        <w:rPr>
          <w:b/>
          <w:highlight w:val="none"/>
        </w:rPr>
        <w:t>5</w:t>
      </w:r>
      <w:r>
        <w:rPr>
          <w:rFonts w:hint="eastAsia"/>
          <w:b/>
          <w:highlight w:val="none"/>
        </w:rPr>
        <w:t>.2电气设计通用要求</w:t>
      </w:r>
      <w:bookmarkEnd w:id="353"/>
    </w:p>
    <w:p>
      <w:pPr>
        <w:pStyle w:val="8"/>
        <w:ind w:left="840" w:firstLine="480"/>
        <w:rPr>
          <w:highlight w:val="none"/>
        </w:rPr>
      </w:pPr>
      <w:r>
        <w:rPr>
          <w:rFonts w:hint="eastAsia"/>
          <w:highlight w:val="none"/>
        </w:rPr>
        <w:t>设备开发过程中，需要设计安全、可靠、有效的电气控制方案，满足设备功能要求。</w:t>
      </w:r>
    </w:p>
    <w:p>
      <w:pPr>
        <w:pStyle w:val="8"/>
        <w:ind w:left="840" w:firstLine="165" w:firstLineChars="82"/>
        <w:outlineLvl w:val="1"/>
        <w:rPr>
          <w:b/>
          <w:highlight w:val="none"/>
        </w:rPr>
      </w:pPr>
      <w:bookmarkStart w:id="354" w:name="_Toc144669694"/>
      <w:r>
        <w:rPr>
          <w:b/>
          <w:highlight w:val="none"/>
        </w:rPr>
        <w:t>5</w:t>
      </w:r>
      <w:r>
        <w:rPr>
          <w:rFonts w:hint="eastAsia"/>
          <w:b/>
          <w:highlight w:val="none"/>
        </w:rPr>
        <w:t>.3人机界面要求</w:t>
      </w:r>
      <w:bookmarkEnd w:id="354"/>
    </w:p>
    <w:p>
      <w:pPr>
        <w:pStyle w:val="8"/>
        <w:ind w:left="840" w:firstLine="480"/>
        <w:rPr>
          <w:highlight w:val="none"/>
        </w:rPr>
      </w:pPr>
      <w:r>
        <w:rPr>
          <w:rFonts w:hint="eastAsia"/>
          <w:highlight w:val="none"/>
        </w:rPr>
        <w:t>设备开发过程中，需要设计统一、实用且方便操作的人机界面，满足人机交互的需要。</w:t>
      </w:r>
    </w:p>
    <w:p>
      <w:pPr>
        <w:pStyle w:val="8"/>
        <w:ind w:left="840" w:firstLine="165" w:firstLineChars="82"/>
        <w:outlineLvl w:val="1"/>
        <w:rPr>
          <w:b/>
          <w:highlight w:val="none"/>
        </w:rPr>
      </w:pPr>
      <w:bookmarkStart w:id="355" w:name="_Toc144669695"/>
      <w:r>
        <w:rPr>
          <w:b/>
          <w:highlight w:val="none"/>
        </w:rPr>
        <w:t>5</w:t>
      </w:r>
      <w:r>
        <w:rPr>
          <w:rFonts w:hint="eastAsia"/>
          <w:b/>
          <w:highlight w:val="none"/>
        </w:rPr>
        <w:t>.4元器件选型</w:t>
      </w:r>
      <w:bookmarkEnd w:id="355"/>
    </w:p>
    <w:p>
      <w:pPr>
        <w:pStyle w:val="8"/>
        <w:ind w:left="840" w:firstLine="480"/>
        <w:rPr>
          <w:highlight w:val="none"/>
        </w:rPr>
      </w:pPr>
      <w:r>
        <w:rPr>
          <w:highlight w:val="none"/>
        </w:rPr>
        <w:t>5.4.1</w:t>
      </w:r>
      <w:r>
        <w:rPr>
          <w:rFonts w:hint="eastAsia"/>
          <w:highlight w:val="none"/>
        </w:rPr>
        <w:t>设备开发过程中，选择满足设计精度和要求的情况下还应该满足如下原则：</w:t>
      </w:r>
    </w:p>
    <w:p>
      <w:pPr>
        <w:pStyle w:val="8"/>
        <w:ind w:left="840" w:firstLine="480"/>
        <w:rPr>
          <w:highlight w:val="none"/>
        </w:rPr>
      </w:pPr>
      <w:r>
        <w:rPr>
          <w:highlight w:val="none"/>
        </w:rPr>
        <w:t>1</w:t>
      </w:r>
      <w:r>
        <w:rPr>
          <w:rFonts w:hint="eastAsia"/>
          <w:highlight w:val="none"/>
        </w:rPr>
        <w:t>）普遍性原则：所选的元器件要是被广泛使用验证过的，尽量少使用冷门、偏门元器件；市场没有可满足产品需要定制情况下，需要满足采购方便原则、可替代原则，减少风险；</w:t>
      </w:r>
    </w:p>
    <w:p>
      <w:pPr>
        <w:pStyle w:val="8"/>
        <w:ind w:left="840" w:firstLine="480"/>
        <w:rPr>
          <w:highlight w:val="none"/>
        </w:rPr>
      </w:pPr>
      <w:r>
        <w:rPr>
          <w:highlight w:val="none"/>
        </w:rPr>
        <w:t>2</w:t>
      </w:r>
      <w:r>
        <w:rPr>
          <w:rFonts w:hint="eastAsia"/>
          <w:highlight w:val="none"/>
        </w:rPr>
        <w:t>）高性价比原则：在功能、性能都相近的情况下，尽量选择价格比较好的元器件，降低成本；</w:t>
      </w:r>
    </w:p>
    <w:p>
      <w:pPr>
        <w:pStyle w:val="8"/>
        <w:ind w:left="840" w:firstLine="480"/>
        <w:rPr>
          <w:highlight w:val="none"/>
        </w:rPr>
      </w:pPr>
      <w:r>
        <w:rPr>
          <w:highlight w:val="none"/>
        </w:rPr>
        <w:t>3</w:t>
      </w:r>
      <w:r>
        <w:rPr>
          <w:rFonts w:hint="eastAsia"/>
          <w:highlight w:val="none"/>
        </w:rPr>
        <w:t>）采购方便原则：尽量选择容易买到、供货周期短的元器件；</w:t>
      </w:r>
    </w:p>
    <w:p>
      <w:pPr>
        <w:pStyle w:val="8"/>
        <w:ind w:left="840" w:firstLine="480"/>
        <w:rPr>
          <w:highlight w:val="none"/>
        </w:rPr>
      </w:pPr>
      <w:r>
        <w:rPr>
          <w:highlight w:val="none"/>
        </w:rPr>
        <w:t>4</w:t>
      </w:r>
      <w:r>
        <w:rPr>
          <w:rFonts w:hint="eastAsia"/>
          <w:highlight w:val="none"/>
        </w:rPr>
        <w:t>）持续发展原则：尽量选择在可预见的时间内不会停产的元器件；</w:t>
      </w:r>
    </w:p>
    <w:p>
      <w:pPr>
        <w:pStyle w:val="8"/>
        <w:ind w:left="840" w:firstLine="480"/>
        <w:rPr>
          <w:highlight w:val="none"/>
        </w:rPr>
      </w:pPr>
      <w:r>
        <w:rPr>
          <w:highlight w:val="none"/>
        </w:rPr>
        <w:t>5</w:t>
      </w:r>
      <w:r>
        <w:rPr>
          <w:rFonts w:hint="eastAsia"/>
          <w:highlight w:val="none"/>
        </w:rPr>
        <w:t>）可替代原则：尽量选择具有可替代品牌及型号的元器件；</w:t>
      </w:r>
    </w:p>
    <w:p>
      <w:pPr>
        <w:pStyle w:val="8"/>
        <w:ind w:left="840" w:firstLine="480"/>
        <w:rPr>
          <w:highlight w:val="none"/>
        </w:rPr>
      </w:pPr>
      <w:r>
        <w:rPr>
          <w:highlight w:val="none"/>
        </w:rPr>
        <w:t>6</w:t>
      </w:r>
      <w:r>
        <w:rPr>
          <w:rFonts w:hint="eastAsia"/>
          <w:highlight w:val="none"/>
        </w:rPr>
        <w:t>）品牌、型号最少原则：选用元器件的品牌、型号最少，满足同一品牌、型号的互换性；</w:t>
      </w:r>
    </w:p>
    <w:p>
      <w:pPr>
        <w:pStyle w:val="8"/>
        <w:ind w:left="840" w:firstLine="480"/>
        <w:rPr>
          <w:highlight w:val="none"/>
        </w:rPr>
      </w:pPr>
      <w:r>
        <w:rPr>
          <w:highlight w:val="none"/>
        </w:rPr>
        <w:t>5.4.2</w:t>
      </w:r>
      <w:r>
        <w:rPr>
          <w:rFonts w:hint="eastAsia"/>
          <w:highlight w:val="none"/>
        </w:rPr>
        <w:t>元器件品牌的选择参考附件一，如以上没有明确的关键部件或需要更换品牌的，需要跟甲方确认并得到甲方认可后才可以使用。</w:t>
      </w:r>
    </w:p>
    <w:p>
      <w:pPr>
        <w:pStyle w:val="8"/>
        <w:ind w:left="840" w:firstLine="165" w:firstLineChars="82"/>
        <w:outlineLvl w:val="1"/>
        <w:rPr>
          <w:b/>
          <w:highlight w:val="none"/>
        </w:rPr>
      </w:pPr>
      <w:bookmarkStart w:id="356" w:name="_Toc144669696"/>
      <w:r>
        <w:rPr>
          <w:b/>
          <w:highlight w:val="none"/>
        </w:rPr>
        <w:t>5</w:t>
      </w:r>
      <w:r>
        <w:rPr>
          <w:rFonts w:hint="eastAsia"/>
          <w:b/>
          <w:highlight w:val="none"/>
        </w:rPr>
        <w:t>.5数据统计分析要求</w:t>
      </w:r>
      <w:bookmarkEnd w:id="356"/>
    </w:p>
    <w:p>
      <w:pPr>
        <w:pStyle w:val="8"/>
        <w:ind w:left="840" w:firstLine="480"/>
        <w:rPr>
          <w:highlight w:val="none"/>
        </w:rPr>
      </w:pPr>
      <w:r>
        <w:rPr>
          <w:rFonts w:hint="eastAsia"/>
          <w:highlight w:val="none"/>
        </w:rPr>
        <w:t>1）设备需要具备产气量、气压、露点等分析功能，具备利用量相关时间统计分析功能，具备关键零部件的点检、保养管理功能，具备能耗统计分析功能。</w:t>
      </w:r>
    </w:p>
    <w:p>
      <w:pPr>
        <w:pStyle w:val="8"/>
        <w:ind w:left="840" w:firstLine="480"/>
        <w:rPr>
          <w:highlight w:val="none"/>
        </w:rPr>
      </w:pPr>
      <w:r>
        <w:rPr>
          <w:rFonts w:hint="eastAsia"/>
          <w:highlight w:val="none"/>
        </w:rPr>
        <w:t>2）以上各数据形成报表、图表可随时查看调用。</w:t>
      </w:r>
    </w:p>
    <w:p>
      <w:pPr>
        <w:pStyle w:val="8"/>
        <w:ind w:left="840" w:firstLine="480"/>
        <w:rPr>
          <w:highlight w:val="none"/>
        </w:rPr>
      </w:pPr>
      <w:r>
        <w:rPr>
          <w:rFonts w:hint="eastAsia"/>
          <w:highlight w:val="none"/>
        </w:rPr>
        <w:t>3）设备设计开发过程中，需要选用合理的传感器检测相关参数或数据。设计合理的数据报表及图表，软件开发过程中确定详细的方案。</w:t>
      </w:r>
    </w:p>
    <w:p>
      <w:pPr>
        <w:pStyle w:val="8"/>
        <w:ind w:left="840"/>
        <w:outlineLvl w:val="0"/>
        <w:rPr>
          <w:b/>
          <w:sz w:val="28"/>
          <w:highlight w:val="none"/>
        </w:rPr>
      </w:pPr>
      <w:bookmarkStart w:id="357" w:name="_Toc144669697"/>
      <w:r>
        <w:rPr>
          <w:rFonts w:hint="eastAsia"/>
          <w:b/>
          <w:sz w:val="28"/>
          <w:highlight w:val="none"/>
        </w:rPr>
        <w:t>六、设备对接智能制造系统要求</w:t>
      </w:r>
      <w:bookmarkEnd w:id="357"/>
    </w:p>
    <w:p>
      <w:pPr>
        <w:pStyle w:val="8"/>
        <w:ind w:left="840" w:firstLine="165" w:firstLineChars="82"/>
        <w:outlineLvl w:val="1"/>
        <w:rPr>
          <w:b/>
          <w:highlight w:val="none"/>
        </w:rPr>
      </w:pPr>
      <w:bookmarkStart w:id="358" w:name="_Toc144669698"/>
      <w:r>
        <w:rPr>
          <w:b/>
          <w:highlight w:val="none"/>
        </w:rPr>
        <w:t>6</w:t>
      </w:r>
      <w:r>
        <w:rPr>
          <w:rFonts w:hint="eastAsia"/>
          <w:b/>
          <w:highlight w:val="none"/>
        </w:rPr>
        <w:t>.1智能及软件要求</w:t>
      </w:r>
      <w:bookmarkEnd w:id="358"/>
    </w:p>
    <w:p>
      <w:pPr>
        <w:pStyle w:val="8"/>
        <w:ind w:left="840" w:firstLine="480"/>
        <w:outlineLvl w:val="2"/>
        <w:rPr>
          <w:highlight w:val="none"/>
        </w:rPr>
      </w:pPr>
      <w:r>
        <w:rPr>
          <w:highlight w:val="none"/>
        </w:rPr>
        <w:t>6</w:t>
      </w:r>
      <w:r>
        <w:rPr>
          <w:rFonts w:hint="eastAsia"/>
          <w:highlight w:val="none"/>
        </w:rPr>
        <w:t>.1.1通讯及软件要求：</w:t>
      </w:r>
    </w:p>
    <w:p>
      <w:pPr>
        <w:pStyle w:val="8"/>
        <w:ind w:left="840" w:firstLine="480"/>
        <w:rPr>
          <w:highlight w:val="none"/>
        </w:rPr>
      </w:pPr>
      <w:r>
        <w:rPr>
          <w:rFonts w:hint="eastAsia"/>
          <w:highlight w:val="none"/>
        </w:rPr>
        <w:t>1）每台单机设备（或单个控制系统）需要连机的，需要有空余网口与485通讯接口；如果有上位机的至少需要多余的网卡与485通讯接口（开放通讯协议）；</w:t>
      </w:r>
    </w:p>
    <w:p>
      <w:pPr>
        <w:pStyle w:val="8"/>
        <w:ind w:left="840" w:firstLine="480"/>
        <w:rPr>
          <w:highlight w:val="none"/>
        </w:rPr>
      </w:pPr>
      <w:r>
        <w:rPr>
          <w:rFonts w:hint="eastAsia"/>
          <w:highlight w:val="none"/>
        </w:rPr>
        <w:t>2）如果有上位机和相应的系统，应该提供与甲方系统对接的程序及配套技术支持;</w:t>
      </w:r>
    </w:p>
    <w:p>
      <w:pPr>
        <w:pStyle w:val="8"/>
        <w:ind w:left="840" w:firstLine="480"/>
        <w:rPr>
          <w:highlight w:val="none"/>
        </w:rPr>
      </w:pPr>
      <w:r>
        <w:rPr>
          <w:rFonts w:hint="eastAsia"/>
          <w:highlight w:val="none"/>
        </w:rPr>
        <w:t>3）甲方系统可开放API接口供对方调用，供乙方上传甲方所需的数据；</w:t>
      </w:r>
    </w:p>
    <w:p>
      <w:pPr>
        <w:pStyle w:val="8"/>
        <w:ind w:left="840" w:firstLine="480"/>
        <w:rPr>
          <w:highlight w:val="none"/>
        </w:rPr>
      </w:pPr>
      <w:r>
        <w:rPr>
          <w:rFonts w:hint="eastAsia"/>
          <w:highlight w:val="none"/>
        </w:rPr>
        <w:t>4）设备所有参数数据对甲方智能制造系统开放。</w:t>
      </w:r>
    </w:p>
    <w:p>
      <w:pPr>
        <w:pStyle w:val="8"/>
        <w:ind w:left="840" w:firstLine="480"/>
        <w:outlineLvl w:val="2"/>
        <w:rPr>
          <w:highlight w:val="none"/>
        </w:rPr>
      </w:pPr>
      <w:r>
        <w:rPr>
          <w:highlight w:val="none"/>
        </w:rPr>
        <w:t>6</w:t>
      </w:r>
      <w:r>
        <w:rPr>
          <w:rFonts w:hint="eastAsia"/>
          <w:highlight w:val="none"/>
        </w:rPr>
        <w:t>.1.2硬件要求：</w:t>
      </w:r>
    </w:p>
    <w:p>
      <w:pPr>
        <w:pStyle w:val="8"/>
        <w:ind w:left="840" w:firstLine="480"/>
        <w:rPr>
          <w:highlight w:val="none"/>
        </w:rPr>
      </w:pPr>
      <w:r>
        <w:rPr>
          <w:rFonts w:hint="eastAsia"/>
          <w:highlight w:val="none"/>
        </w:rPr>
        <w:t>1）所有的电脑软件，须有正版授权，且最终授权归属于公司（如windows等）；</w:t>
      </w:r>
    </w:p>
    <w:p>
      <w:pPr>
        <w:pStyle w:val="8"/>
        <w:ind w:left="840" w:firstLine="480"/>
        <w:rPr>
          <w:highlight w:val="none"/>
        </w:rPr>
      </w:pPr>
      <w:r>
        <w:rPr>
          <w:rFonts w:hint="eastAsia"/>
          <w:highlight w:val="none"/>
        </w:rPr>
        <w:t>2）乙方需要提供甲方所采购设备及配套设施的CAD图纸或3D图纸（仅用于智能制造系统建设使用）；</w:t>
      </w:r>
    </w:p>
    <w:p>
      <w:pPr>
        <w:pStyle w:val="8"/>
        <w:ind w:left="840" w:firstLine="480"/>
        <w:rPr>
          <w:highlight w:val="none"/>
        </w:rPr>
      </w:pPr>
      <w:r>
        <w:rPr>
          <w:rFonts w:hint="eastAsia"/>
          <w:highlight w:val="none"/>
        </w:rPr>
        <w:t>3）传感器、仪表、仪器等提供的数据可以由控制系统自动识别、采集并提供给智能制造系统。</w:t>
      </w:r>
    </w:p>
    <w:p>
      <w:pPr>
        <w:pStyle w:val="8"/>
        <w:ind w:left="840" w:firstLine="165" w:firstLineChars="82"/>
        <w:outlineLvl w:val="1"/>
        <w:rPr>
          <w:b/>
          <w:highlight w:val="none"/>
        </w:rPr>
      </w:pPr>
      <w:bookmarkStart w:id="359" w:name="_Toc144669699"/>
      <w:r>
        <w:rPr>
          <w:b/>
          <w:highlight w:val="none"/>
        </w:rPr>
        <w:t>6</w:t>
      </w:r>
      <w:r>
        <w:rPr>
          <w:rFonts w:hint="eastAsia"/>
          <w:b/>
          <w:highlight w:val="none"/>
        </w:rPr>
        <w:t>.2其他要求：</w:t>
      </w:r>
      <w:bookmarkEnd w:id="359"/>
    </w:p>
    <w:p>
      <w:pPr>
        <w:pStyle w:val="8"/>
        <w:ind w:left="840" w:firstLine="480"/>
        <w:rPr>
          <w:highlight w:val="none"/>
        </w:rPr>
      </w:pPr>
      <w:r>
        <w:rPr>
          <w:rFonts w:hint="eastAsia"/>
          <w:highlight w:val="none"/>
        </w:rPr>
        <w:t>1）设备需要根据要求保存所有的参数，保存时间不少于15天，当存储空间达90%时；需停机报警，报警信息需在设备端屏幕上显示出来，方便人员查看处理。</w:t>
      </w:r>
    </w:p>
    <w:p>
      <w:pPr>
        <w:pStyle w:val="8"/>
        <w:ind w:left="840" w:firstLine="480"/>
        <w:rPr>
          <w:highlight w:val="none"/>
        </w:rPr>
      </w:pPr>
      <w:r>
        <w:rPr>
          <w:rFonts w:hint="eastAsia"/>
          <w:highlight w:val="none"/>
        </w:rPr>
        <w:t>2）当智能制造系统异常时，设备参数保存在系统或本地工控机内，待系统正常后，这些设备参数可以手动一次性上传到智能制造系统。</w:t>
      </w:r>
    </w:p>
    <w:p>
      <w:pPr>
        <w:pStyle w:val="8"/>
        <w:ind w:left="840" w:firstLine="480"/>
        <w:rPr>
          <w:highlight w:val="none"/>
        </w:rPr>
      </w:pPr>
      <w:r>
        <w:rPr>
          <w:rFonts w:hint="eastAsia"/>
          <w:highlight w:val="none"/>
        </w:rPr>
        <w:t>3）智能制造系统与设备端信息对应错误需停机报警，报警信息需在设备端屏幕上显示出来，方便人员查看处理。</w:t>
      </w:r>
    </w:p>
    <w:p>
      <w:pPr>
        <w:pStyle w:val="8"/>
        <w:ind w:left="840"/>
        <w:outlineLvl w:val="0"/>
        <w:rPr>
          <w:b/>
          <w:sz w:val="28"/>
          <w:highlight w:val="none"/>
        </w:rPr>
      </w:pPr>
      <w:bookmarkStart w:id="360" w:name="_Toc144669700"/>
      <w:r>
        <w:rPr>
          <w:rFonts w:hint="eastAsia"/>
          <w:b/>
          <w:sz w:val="28"/>
          <w:highlight w:val="none"/>
        </w:rPr>
        <w:t>七、粉尘管控要求</w:t>
      </w:r>
      <w:bookmarkEnd w:id="360"/>
    </w:p>
    <w:p>
      <w:pPr>
        <w:pStyle w:val="8"/>
        <w:ind w:left="840" w:firstLine="480"/>
        <w:rPr>
          <w:highlight w:val="none"/>
        </w:rPr>
      </w:pPr>
      <w:r>
        <w:rPr>
          <w:rFonts w:hint="eastAsia"/>
          <w:highlight w:val="none"/>
        </w:rPr>
        <w:t>1）设备需进行防锈处理，运动零部件禁止喷漆，禁止出现金属磨金属不良，所有轴承等需全部配有密封端盖，丝杆、滑块等运动部件必须配有密封的防护罩。</w:t>
      </w:r>
    </w:p>
    <w:p>
      <w:pPr>
        <w:pStyle w:val="8"/>
        <w:ind w:left="840" w:firstLine="480"/>
        <w:rPr>
          <w:highlight w:val="none"/>
        </w:rPr>
      </w:pPr>
      <w:r>
        <w:rPr>
          <w:rFonts w:hint="eastAsia"/>
          <w:highlight w:val="none"/>
        </w:rPr>
        <w:t>2）设备进厂前需确保箱体内清理干净，不得残留粉尘（特别是金属粉尘），检测方法：用无尘纸擦拭箱体内部，要求无明显污迹和粉尘。</w:t>
      </w:r>
    </w:p>
    <w:p>
      <w:pPr>
        <w:pStyle w:val="8"/>
        <w:ind w:left="840" w:firstLine="480"/>
        <w:rPr>
          <w:highlight w:val="none"/>
        </w:rPr>
      </w:pPr>
      <w:r>
        <w:rPr>
          <w:rFonts w:hint="eastAsia"/>
          <w:highlight w:val="none"/>
        </w:rPr>
        <w:t>3）设备进厂，拆箱后，收集到的粉尘、杂质等，不得含有金属屑。</w:t>
      </w:r>
    </w:p>
    <w:p>
      <w:pPr>
        <w:pStyle w:val="8"/>
        <w:ind w:left="840" w:firstLine="480"/>
        <w:rPr>
          <w:highlight w:val="none"/>
        </w:rPr>
      </w:pPr>
      <w:r>
        <w:rPr>
          <w:rFonts w:hint="eastAsia"/>
          <w:highlight w:val="none"/>
        </w:rPr>
        <w:t>4）设备进厂时要求无油漆脱落，无生锈刮伤等痕迹。</w:t>
      </w:r>
    </w:p>
    <w:p>
      <w:pPr>
        <w:pStyle w:val="8"/>
        <w:ind w:left="840" w:firstLine="480"/>
        <w:rPr>
          <w:highlight w:val="none"/>
        </w:rPr>
      </w:pPr>
      <w:r>
        <w:rPr>
          <w:rFonts w:hint="eastAsia"/>
          <w:highlight w:val="none"/>
        </w:rPr>
        <w:t>5）设备的零部件应在未出货前完成焊接、打磨等给环境造成污染的过程。</w:t>
      </w:r>
    </w:p>
    <w:p>
      <w:pPr>
        <w:pStyle w:val="8"/>
        <w:ind w:left="840"/>
        <w:outlineLvl w:val="0"/>
        <w:rPr>
          <w:b/>
          <w:sz w:val="28"/>
          <w:highlight w:val="none"/>
        </w:rPr>
      </w:pPr>
      <w:bookmarkStart w:id="361" w:name="_Toc144669701"/>
      <w:r>
        <w:rPr>
          <w:rFonts w:hint="eastAsia"/>
          <w:b/>
          <w:sz w:val="28"/>
          <w:highlight w:val="none"/>
        </w:rPr>
        <w:t>八、设备卸车、安装调试与培训</w:t>
      </w:r>
      <w:bookmarkEnd w:id="361"/>
    </w:p>
    <w:p>
      <w:pPr>
        <w:pStyle w:val="8"/>
        <w:ind w:left="840" w:firstLine="165" w:firstLineChars="82"/>
        <w:outlineLvl w:val="1"/>
        <w:rPr>
          <w:b/>
          <w:highlight w:val="none"/>
        </w:rPr>
      </w:pPr>
      <w:bookmarkStart w:id="362" w:name="_Toc144669702"/>
      <w:r>
        <w:rPr>
          <w:b/>
          <w:highlight w:val="none"/>
        </w:rPr>
        <w:t>8</w:t>
      </w:r>
      <w:r>
        <w:rPr>
          <w:rFonts w:hint="eastAsia"/>
          <w:b/>
          <w:highlight w:val="none"/>
        </w:rPr>
        <w:t>.1设备包装、发货运输</w:t>
      </w:r>
      <w:bookmarkEnd w:id="362"/>
    </w:p>
    <w:p>
      <w:pPr>
        <w:pStyle w:val="8"/>
        <w:ind w:left="840" w:firstLine="480"/>
        <w:rPr>
          <w:highlight w:val="none"/>
        </w:rPr>
      </w:pPr>
      <w:r>
        <w:rPr>
          <w:rFonts w:hint="eastAsia"/>
          <w:highlight w:val="none"/>
        </w:rPr>
        <w:t>从承重、机械强度、防护、装卸吊装、运输距离、运输方式、过程检查、设备特殊性、安全可靠等方面考虑，为设备设计合理的包装方案，确保从发货地到收货地过程中，设备不受损伤。</w:t>
      </w:r>
    </w:p>
    <w:p>
      <w:pPr>
        <w:pStyle w:val="8"/>
        <w:ind w:left="840" w:firstLine="480"/>
        <w:rPr>
          <w:highlight w:val="none"/>
        </w:rPr>
      </w:pPr>
      <w:r>
        <w:rPr>
          <w:rFonts w:hint="eastAsia"/>
          <w:highlight w:val="none"/>
        </w:rPr>
        <w:t>根据收货地点、到货时间（根据项目进度确定发货时间）、设备特殊性选择合适的运输方式，确保设备按时、完好无损到达收货地点；</w:t>
      </w:r>
    </w:p>
    <w:p>
      <w:pPr>
        <w:pStyle w:val="8"/>
        <w:ind w:left="840" w:firstLine="165" w:firstLineChars="82"/>
        <w:outlineLvl w:val="1"/>
        <w:rPr>
          <w:b/>
          <w:highlight w:val="none"/>
        </w:rPr>
      </w:pPr>
      <w:bookmarkStart w:id="363" w:name="_Toc144669703"/>
      <w:r>
        <w:rPr>
          <w:b/>
          <w:highlight w:val="none"/>
        </w:rPr>
        <w:t>8</w:t>
      </w:r>
      <w:r>
        <w:rPr>
          <w:rFonts w:hint="eastAsia"/>
          <w:b/>
          <w:highlight w:val="none"/>
        </w:rPr>
        <w:t>.2设备卸车、定位</w:t>
      </w:r>
      <w:bookmarkEnd w:id="363"/>
    </w:p>
    <w:p>
      <w:pPr>
        <w:pStyle w:val="8"/>
        <w:ind w:left="840" w:firstLine="480"/>
        <w:rPr>
          <w:highlight w:val="none"/>
        </w:rPr>
      </w:pPr>
      <w:r>
        <w:rPr>
          <w:rFonts w:hint="eastAsia"/>
          <w:highlight w:val="none"/>
        </w:rPr>
        <w:t>1）设备到位后，由乙方负责设备卸车、移位、就位，按甲方的要求放置到指定位置并确保设备使用性能不受影响。</w:t>
      </w:r>
    </w:p>
    <w:p>
      <w:pPr>
        <w:pStyle w:val="8"/>
        <w:ind w:left="840" w:firstLine="480"/>
        <w:rPr>
          <w:highlight w:val="none"/>
        </w:rPr>
      </w:pPr>
      <w:r>
        <w:rPr>
          <w:rFonts w:hint="eastAsia"/>
          <w:highlight w:val="none"/>
        </w:rPr>
        <w:t>2）设备卸车、定位需要有资质、有经验的专业施工团队完成，施工团队、施工方案需接受甲方的审查和监督。</w:t>
      </w:r>
    </w:p>
    <w:p>
      <w:pPr>
        <w:pStyle w:val="8"/>
        <w:ind w:left="840" w:firstLine="480"/>
        <w:rPr>
          <w:highlight w:val="none"/>
        </w:rPr>
      </w:pPr>
      <w:r>
        <w:rPr>
          <w:rFonts w:hint="eastAsia"/>
          <w:highlight w:val="none"/>
        </w:rPr>
        <w:t>3）乙方需要足够的措施保障设备和人员安全并向甲方提供安全承诺书。若过程出现意外，所造成的损失由乙方承担，因此给甲方造成不良影响的，甲方保留追究乙方法律责任的权力。</w:t>
      </w:r>
    </w:p>
    <w:p>
      <w:pPr>
        <w:pStyle w:val="8"/>
        <w:ind w:left="840" w:firstLine="165" w:firstLineChars="82"/>
        <w:outlineLvl w:val="1"/>
        <w:rPr>
          <w:b/>
          <w:highlight w:val="none"/>
        </w:rPr>
      </w:pPr>
      <w:bookmarkStart w:id="364" w:name="_Toc144669704"/>
      <w:r>
        <w:rPr>
          <w:b/>
          <w:highlight w:val="none"/>
        </w:rPr>
        <w:t>8</w:t>
      </w:r>
      <w:r>
        <w:rPr>
          <w:rFonts w:hint="eastAsia"/>
          <w:b/>
          <w:highlight w:val="none"/>
        </w:rPr>
        <w:t>.3设备安装调试</w:t>
      </w:r>
      <w:bookmarkEnd w:id="364"/>
    </w:p>
    <w:p>
      <w:pPr>
        <w:pStyle w:val="8"/>
        <w:ind w:left="840" w:firstLine="480"/>
        <w:rPr>
          <w:highlight w:val="none"/>
        </w:rPr>
      </w:pPr>
      <w:r>
        <w:rPr>
          <w:rFonts w:hint="eastAsia"/>
          <w:highlight w:val="none"/>
        </w:rPr>
        <w:t>1）设备到甲方工厂后，乙方派技术人员进行安装、调试，需要提供详细的安装调试方案（包含但不限于安装调试计划、人员配置、工具、物料等）。</w:t>
      </w:r>
    </w:p>
    <w:p>
      <w:pPr>
        <w:pStyle w:val="8"/>
        <w:ind w:left="840" w:firstLine="480"/>
        <w:rPr>
          <w:highlight w:val="none"/>
        </w:rPr>
      </w:pPr>
      <w:r>
        <w:rPr>
          <w:rFonts w:hint="eastAsia"/>
          <w:highlight w:val="none"/>
        </w:rPr>
        <w:t>2）设备安装调试时间为设备到厂后</w:t>
      </w:r>
      <w:r>
        <w:rPr>
          <w:highlight w:val="none"/>
        </w:rPr>
        <w:t>10</w:t>
      </w:r>
      <w:r>
        <w:rPr>
          <w:rFonts w:hint="eastAsia"/>
          <w:highlight w:val="none"/>
        </w:rPr>
        <w:t>天（由于甲方原因造成的延期，则安装调试时间顺延）。</w:t>
      </w:r>
    </w:p>
    <w:p>
      <w:pPr>
        <w:pStyle w:val="8"/>
        <w:ind w:left="840" w:firstLine="165" w:firstLineChars="82"/>
        <w:outlineLvl w:val="1"/>
        <w:rPr>
          <w:b/>
          <w:highlight w:val="none"/>
        </w:rPr>
      </w:pPr>
      <w:bookmarkStart w:id="365" w:name="_Toc144669705"/>
      <w:r>
        <w:rPr>
          <w:b/>
          <w:highlight w:val="none"/>
        </w:rPr>
        <w:t>8</w:t>
      </w:r>
      <w:r>
        <w:rPr>
          <w:rFonts w:hint="eastAsia"/>
          <w:b/>
          <w:highlight w:val="none"/>
        </w:rPr>
        <w:t>.</w:t>
      </w:r>
      <w:r>
        <w:rPr>
          <w:b/>
          <w:highlight w:val="none"/>
        </w:rPr>
        <w:t>4</w:t>
      </w:r>
      <w:r>
        <w:rPr>
          <w:rFonts w:hint="eastAsia"/>
          <w:b/>
          <w:highlight w:val="none"/>
        </w:rPr>
        <w:t>设备培训</w:t>
      </w:r>
      <w:bookmarkEnd w:id="365"/>
    </w:p>
    <w:p>
      <w:pPr>
        <w:pStyle w:val="8"/>
        <w:ind w:left="840" w:firstLine="480"/>
        <w:rPr>
          <w:highlight w:val="none"/>
        </w:rPr>
      </w:pPr>
      <w:r>
        <w:rPr>
          <w:rFonts w:hint="eastAsia"/>
          <w:highlight w:val="none"/>
        </w:rPr>
        <w:t>乙方现场技术人员，需在甲方公司内免费服务半年，主要完成对甲方人员培训和现场维修等工作内容，同时，乙方技术人员给我方操作人员及设备维护人员进行培训，直到我方掌握了设备的使用及维护要点。若我方在使用过程中有问题解决不了，通知乙方后，乙方在现场售后人员即时响应，24H内出解决方案/需派技术人员（或解决问题的其他方式）解决。</w:t>
      </w:r>
    </w:p>
    <w:p>
      <w:pPr>
        <w:pStyle w:val="8"/>
        <w:ind w:left="840"/>
        <w:outlineLvl w:val="0"/>
        <w:rPr>
          <w:b/>
          <w:sz w:val="28"/>
          <w:highlight w:val="none"/>
        </w:rPr>
      </w:pPr>
      <w:bookmarkStart w:id="366" w:name="_Toc144669706"/>
      <w:r>
        <w:rPr>
          <w:rFonts w:hint="eastAsia"/>
          <w:b/>
          <w:sz w:val="28"/>
          <w:highlight w:val="none"/>
        </w:rPr>
        <w:t>九、检验与验收标准</w:t>
      </w:r>
      <w:bookmarkEnd w:id="366"/>
    </w:p>
    <w:p>
      <w:pPr>
        <w:pStyle w:val="8"/>
        <w:ind w:left="840" w:firstLine="480"/>
        <w:rPr>
          <w:highlight w:val="none"/>
        </w:rPr>
      </w:pPr>
      <w:r>
        <w:rPr>
          <w:rFonts w:hint="eastAsia"/>
          <w:highlight w:val="none"/>
        </w:rPr>
        <w:t>1）以设计文件和技术规格书附件作为验收标准；</w:t>
      </w:r>
    </w:p>
    <w:p>
      <w:pPr>
        <w:pStyle w:val="8"/>
        <w:ind w:left="840" w:firstLine="480"/>
        <w:rPr>
          <w:highlight w:val="none"/>
        </w:rPr>
      </w:pPr>
      <w:r>
        <w:rPr>
          <w:highlight w:val="none"/>
        </w:rPr>
        <w:t>2</w:t>
      </w:r>
      <w:r>
        <w:rPr>
          <w:rFonts w:hint="eastAsia"/>
          <w:highlight w:val="none"/>
        </w:rPr>
        <w:t>）设备验收流程：设备在甲方现场安装、调试完成，乙方按本要求书约定的验收标准自检验收合格后，向甲方出具自检验收报告并书面申请验收，甲方收到验收申请启动验收，如有验收不合格项，由乙方整改，自检验收合格后书面申请二次验收。</w:t>
      </w:r>
    </w:p>
    <w:p>
      <w:pPr>
        <w:pStyle w:val="8"/>
        <w:ind w:left="840" w:firstLine="480"/>
        <w:rPr>
          <w:highlight w:val="none"/>
        </w:rPr>
      </w:pPr>
      <w:r>
        <w:rPr>
          <w:highlight w:val="none"/>
        </w:rPr>
        <w:t>3</w:t>
      </w:r>
      <w:r>
        <w:rPr>
          <w:rFonts w:hint="eastAsia"/>
          <w:highlight w:val="none"/>
        </w:rPr>
        <w:t>）设备二次或多次验收所产生的费用（人工费、能耗费，试机材料费，不合格项目导致的直接损失等费用）由乙方承担，自乙方首次提出申请后所作的任何整改和验收均属于二次或多次验收范围。</w:t>
      </w:r>
    </w:p>
    <w:p>
      <w:pPr>
        <w:pStyle w:val="8"/>
        <w:ind w:left="840" w:firstLine="480"/>
        <w:rPr>
          <w:highlight w:val="none"/>
        </w:rPr>
      </w:pPr>
      <w:r>
        <w:rPr>
          <w:highlight w:val="none"/>
        </w:rPr>
        <w:t>4</w:t>
      </w:r>
      <w:r>
        <w:rPr>
          <w:rFonts w:hint="eastAsia"/>
          <w:highlight w:val="none"/>
        </w:rPr>
        <w:t>）本技术要求书内容最终解释权，归甲方所有。</w:t>
      </w:r>
    </w:p>
    <w:p>
      <w:pPr>
        <w:pStyle w:val="8"/>
        <w:ind w:left="840"/>
        <w:outlineLvl w:val="0"/>
        <w:rPr>
          <w:b/>
          <w:highlight w:val="none"/>
        </w:rPr>
      </w:pPr>
      <w:bookmarkStart w:id="367" w:name="_Toc144669707"/>
      <w:r>
        <w:rPr>
          <w:rFonts w:hint="eastAsia"/>
          <w:b/>
          <w:highlight w:val="none"/>
        </w:rPr>
        <w:t>十、设备质量保证和售后服务</w:t>
      </w:r>
      <w:bookmarkEnd w:id="367"/>
    </w:p>
    <w:p>
      <w:pPr>
        <w:pStyle w:val="8"/>
        <w:ind w:left="840" w:firstLine="165" w:firstLineChars="82"/>
        <w:outlineLvl w:val="1"/>
        <w:rPr>
          <w:b/>
          <w:highlight w:val="none"/>
        </w:rPr>
      </w:pPr>
      <w:bookmarkStart w:id="368" w:name="_Toc144669708"/>
      <w:r>
        <w:rPr>
          <w:rFonts w:hint="eastAsia"/>
          <w:b/>
          <w:highlight w:val="none"/>
        </w:rPr>
        <w:t>1</w:t>
      </w:r>
      <w:r>
        <w:rPr>
          <w:b/>
          <w:highlight w:val="none"/>
        </w:rPr>
        <w:t>0</w:t>
      </w:r>
      <w:r>
        <w:rPr>
          <w:rFonts w:hint="eastAsia"/>
          <w:b/>
          <w:highlight w:val="none"/>
        </w:rPr>
        <w:t>.1质量保证</w:t>
      </w:r>
      <w:bookmarkEnd w:id="368"/>
    </w:p>
    <w:p>
      <w:pPr>
        <w:pStyle w:val="8"/>
        <w:ind w:left="840" w:firstLine="480"/>
        <w:rPr>
          <w:highlight w:val="none"/>
        </w:rPr>
      </w:pPr>
      <w:r>
        <w:rPr>
          <w:rFonts w:hint="eastAsia"/>
          <w:highlight w:val="none"/>
        </w:rPr>
        <w:t>设备制造方保证货物系用优质材料和电池行业制造标准制成，全新未曾用过，并完全符合本合同规定的质量、规格和性能。并保证设备在正确安装、正常使用和维护的情况下能有满意的性能，质保期为合同设备最终验收合格后</w:t>
      </w:r>
      <w:r>
        <w:rPr>
          <w:highlight w:val="none"/>
        </w:rPr>
        <w:t>24</w:t>
      </w:r>
      <w:r>
        <w:rPr>
          <w:rFonts w:hint="eastAsia"/>
          <w:highlight w:val="none"/>
        </w:rPr>
        <w:t>个月；</w:t>
      </w:r>
    </w:p>
    <w:p>
      <w:pPr>
        <w:pStyle w:val="8"/>
        <w:ind w:left="840" w:firstLine="165" w:firstLineChars="82"/>
        <w:outlineLvl w:val="1"/>
        <w:rPr>
          <w:b/>
          <w:highlight w:val="none"/>
        </w:rPr>
      </w:pPr>
      <w:bookmarkStart w:id="369" w:name="_Toc144669709"/>
      <w:r>
        <w:rPr>
          <w:rFonts w:hint="eastAsia"/>
          <w:b/>
          <w:highlight w:val="none"/>
        </w:rPr>
        <w:t>1</w:t>
      </w:r>
      <w:r>
        <w:rPr>
          <w:b/>
          <w:highlight w:val="none"/>
        </w:rPr>
        <w:t>0</w:t>
      </w:r>
      <w:r>
        <w:rPr>
          <w:rFonts w:hint="eastAsia"/>
          <w:b/>
          <w:highlight w:val="none"/>
        </w:rPr>
        <w:t>.2售后服务</w:t>
      </w:r>
      <w:bookmarkEnd w:id="369"/>
    </w:p>
    <w:p>
      <w:pPr>
        <w:pStyle w:val="8"/>
        <w:ind w:left="840" w:firstLine="480"/>
        <w:rPr>
          <w:highlight w:val="none"/>
        </w:rPr>
      </w:pPr>
      <w:r>
        <w:rPr>
          <w:rFonts w:hint="eastAsia"/>
          <w:highlight w:val="none"/>
        </w:rPr>
        <w:t>1）制造方须指定专人，作为售后服务联络负责人，以便问题及时处理；</w:t>
      </w:r>
    </w:p>
    <w:p>
      <w:pPr>
        <w:pStyle w:val="8"/>
        <w:ind w:left="840" w:firstLine="480"/>
        <w:rPr>
          <w:highlight w:val="none"/>
        </w:rPr>
      </w:pPr>
      <w:r>
        <w:rPr>
          <w:rFonts w:hint="eastAsia"/>
          <w:highlight w:val="none"/>
        </w:rPr>
        <w:t>2）设备因软件问题造成停机时，乙方收到甲方反馈信息后，乙方现场软件技术售后人员需在现场即时响应，30分钟内给出解决方案，并解决软件问题。如解决超时，乙方需要做出合理解释，对于因人员技术水平或前期软件较严重的设计问题造成的延时，甲方对乙方进行罚款，罚款金额与当前设备延时时间的损失金额一致；</w:t>
      </w:r>
    </w:p>
    <w:p>
      <w:pPr>
        <w:pStyle w:val="8"/>
        <w:ind w:left="840" w:firstLine="480"/>
        <w:rPr>
          <w:highlight w:val="none"/>
        </w:rPr>
      </w:pPr>
      <w:r>
        <w:rPr>
          <w:rFonts w:hint="eastAsia"/>
          <w:highlight w:val="none"/>
        </w:rPr>
        <w:t>3）设备因硬件损坏问题出现停机时，乙方收到甲方反馈信息后，乙方现场硬件售后服务人员需在现场即时响应，24小时内给出解决方案，做出相应的解决对策答复；如：答复售后人员到位时间或24H内发出维修所需的配件等措施，每超出1H，进行罚款，罚款金额与甲方在当前设备的损失一致；</w:t>
      </w:r>
    </w:p>
    <w:p>
      <w:pPr>
        <w:pStyle w:val="8"/>
        <w:ind w:left="840" w:firstLine="480"/>
        <w:rPr>
          <w:highlight w:val="none"/>
        </w:rPr>
      </w:pPr>
      <w:r>
        <w:rPr>
          <w:rFonts w:hint="eastAsia"/>
          <w:highlight w:val="none"/>
        </w:rPr>
        <w:t>4）设备的保修期为两年，两年内如有质量问题，制造方将免费负责维修或更换；</w:t>
      </w:r>
    </w:p>
    <w:p>
      <w:pPr>
        <w:pStyle w:val="8"/>
        <w:ind w:left="840" w:firstLine="480"/>
        <w:rPr>
          <w:highlight w:val="none"/>
        </w:rPr>
      </w:pPr>
      <w:r>
        <w:rPr>
          <w:rFonts w:hint="eastAsia"/>
          <w:highlight w:val="none"/>
        </w:rPr>
        <w:t>5）设备超过维修期后，仍须提供技术支持与服务，备件的供应按成本收费。</w:t>
      </w:r>
    </w:p>
    <w:p>
      <w:pPr>
        <w:pStyle w:val="8"/>
        <w:ind w:left="840" w:firstLine="480"/>
        <w:rPr>
          <w:highlight w:val="none"/>
        </w:rPr>
      </w:pPr>
      <w:r>
        <w:rPr>
          <w:rFonts w:hint="eastAsia"/>
          <w:highlight w:val="none"/>
        </w:rPr>
        <w:t>（以下无正文）</w:t>
      </w:r>
    </w:p>
    <w:p>
      <w:pPr>
        <w:pStyle w:val="8"/>
        <w:ind w:left="840"/>
        <w:rPr>
          <w:highlight w:val="none"/>
        </w:rPr>
      </w:pPr>
    </w:p>
    <w:p>
      <w:pPr>
        <w:pStyle w:val="9"/>
        <w:ind w:left="0"/>
        <w:rPr>
          <w:highlight w:val="none"/>
        </w:rPr>
      </w:pPr>
    </w:p>
    <w:p>
      <w:pPr>
        <w:pStyle w:val="9"/>
        <w:ind w:left="0"/>
        <w:rPr>
          <w:highlight w:val="none"/>
        </w:rPr>
      </w:pPr>
    </w:p>
    <w:p>
      <w:pPr>
        <w:ind w:left="0"/>
        <w:rPr>
          <w:rFonts w:hint="eastAsia"/>
          <w:b/>
          <w:highlight w:val="none"/>
        </w:rPr>
      </w:pPr>
      <w:r>
        <w:rPr>
          <w:rFonts w:hint="eastAsia"/>
          <w:b/>
          <w:highlight w:val="none"/>
        </w:rPr>
        <w:br w:type="page"/>
      </w:r>
    </w:p>
    <w:p>
      <w:pPr>
        <w:pStyle w:val="9"/>
        <w:ind w:left="0"/>
        <w:rPr>
          <w:b/>
          <w:highlight w:val="none"/>
        </w:rPr>
      </w:pPr>
      <w:r>
        <w:rPr>
          <w:rFonts w:hint="eastAsia"/>
          <w:b/>
          <w:highlight w:val="none"/>
        </w:rPr>
        <w:t>附件</w:t>
      </w:r>
      <w:r>
        <w:rPr>
          <w:b/>
          <w:highlight w:val="none"/>
        </w:rPr>
        <w:t>4</w:t>
      </w:r>
      <w:r>
        <w:rPr>
          <w:rFonts w:hint="eastAsia"/>
          <w:b/>
          <w:highlight w:val="none"/>
        </w:rPr>
        <w:t>电梯技术规格书</w:t>
      </w:r>
    </w:p>
    <w:p>
      <w:pPr>
        <w:jc w:val="center"/>
        <w:rPr>
          <w:rFonts w:cs="宋体"/>
          <w:b/>
          <w:sz w:val="36"/>
          <w:szCs w:val="36"/>
          <w:highlight w:val="none"/>
        </w:rPr>
      </w:pPr>
      <w:r>
        <w:rPr>
          <w:rFonts w:hint="eastAsia" w:cs="宋体"/>
          <w:b/>
          <w:sz w:val="36"/>
          <w:szCs w:val="36"/>
          <w:highlight w:val="none"/>
        </w:rPr>
        <w:t>客、货电梯技术规格书</w:t>
      </w:r>
    </w:p>
    <w:p>
      <w:pPr>
        <w:numPr>
          <w:ilvl w:val="0"/>
          <w:numId w:val="104"/>
        </w:numPr>
        <w:spacing w:after="260" w:afterLines="80"/>
        <w:rPr>
          <w:b/>
          <w:highlight w:val="none"/>
        </w:rPr>
      </w:pPr>
      <w:r>
        <w:rPr>
          <w:highlight w:val="none"/>
        </w:rPr>
        <mc:AlternateContent>
          <mc:Choice Requires="wps">
            <w:drawing>
              <wp:anchor distT="0" distB="0" distL="114300" distR="114300" simplePos="0" relativeHeight="251698176" behindDoc="0" locked="0" layoutInCell="1" allowOverlap="1">
                <wp:simplePos x="0" y="0"/>
                <wp:positionH relativeFrom="column">
                  <wp:posOffset>8255</wp:posOffset>
                </wp:positionH>
                <wp:positionV relativeFrom="paragraph">
                  <wp:posOffset>4408170</wp:posOffset>
                </wp:positionV>
                <wp:extent cx="635" cy="0"/>
                <wp:effectExtent l="0" t="4445" r="0" b="5080"/>
                <wp:wrapNone/>
                <wp:docPr id="69" name="直接连接符 69"/>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0.65pt;margin-top:347.1pt;height:0pt;width:0.05pt;z-index:251698176;mso-width-relative:page;mso-height-relative:page;" filled="f" stroked="t" coordsize="21600,21600" o:gfxdata="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iKMsZ0gAAAAcBAAAPAAAAAAAAAAEAIAAAACIAAABkcnMvZG93bnJldi54bWxQSwECFAAUAAAA&#10;CACHTuJAtj8ugvQBAADuAwAADgAAAAAAAAABACAAAAAhAQAAZHJzL2Uyb0RvYy54bWxQSwUGAAAA&#10;AAYABgBZAQAAhwUAAAAA&#10;">
                <v:fill on="f" focussize="0,0"/>
                <v:stroke color="#000000" joinstyle="round"/>
                <v:imagedata o:title=""/>
                <o:lock v:ext="edit" aspectratio="f"/>
              </v:line>
            </w:pict>
          </mc:Fallback>
        </mc:AlternateContent>
      </w:r>
      <w:r>
        <w:rPr>
          <w:rFonts w:hint="eastAsia"/>
          <w:b/>
          <w:highlight w:val="none"/>
        </w:rPr>
        <w:t>项目概述</w:t>
      </w:r>
    </w:p>
    <w:p>
      <w:pPr>
        <w:pStyle w:val="20"/>
        <w:ind w:firstLine="480"/>
        <w:rPr>
          <w:sz w:val="24"/>
          <w:highlight w:val="none"/>
        </w:rPr>
      </w:pPr>
      <w:r>
        <w:rPr>
          <w:rFonts w:hint="eastAsia"/>
          <w:sz w:val="24"/>
          <w:highlight w:val="none"/>
        </w:rPr>
        <w:t>广州年产3</w:t>
      </w:r>
      <w:r>
        <w:rPr>
          <w:sz w:val="24"/>
          <w:highlight w:val="none"/>
        </w:rPr>
        <w:t>0</w:t>
      </w:r>
      <w:r>
        <w:rPr>
          <w:rFonts w:hint="eastAsia"/>
          <w:sz w:val="24"/>
          <w:highlight w:val="none"/>
        </w:rPr>
        <w:t>GW</w:t>
      </w:r>
      <w:r>
        <w:rPr>
          <w:sz w:val="24"/>
          <w:highlight w:val="none"/>
        </w:rPr>
        <w:t>h</w:t>
      </w:r>
      <w:r>
        <w:rPr>
          <w:rFonts w:hint="eastAsia"/>
          <w:sz w:val="24"/>
          <w:highlight w:val="none"/>
        </w:rPr>
        <w:t>动力电池项目一、二、三标段厂房结构形式以钢结构为主。电芯装配车间1内共设置</w:t>
      </w:r>
      <w:r>
        <w:rPr>
          <w:sz w:val="24"/>
          <w:highlight w:val="none"/>
        </w:rPr>
        <w:t>1</w:t>
      </w:r>
      <w:r>
        <w:rPr>
          <w:rFonts w:hint="eastAsia"/>
          <w:sz w:val="24"/>
          <w:highlight w:val="none"/>
        </w:rPr>
        <w:t>台货梯，货梯参数为</w:t>
      </w:r>
      <w:r>
        <w:rPr>
          <w:sz w:val="24"/>
          <w:highlight w:val="none"/>
        </w:rPr>
        <w:t>1</w:t>
      </w:r>
      <w:r>
        <w:rPr>
          <w:rFonts w:hint="eastAsia"/>
          <w:sz w:val="24"/>
          <w:highlight w:val="none"/>
        </w:rPr>
        <w:t>台两层</w:t>
      </w:r>
      <w:r>
        <w:rPr>
          <w:sz w:val="24"/>
          <w:highlight w:val="none"/>
        </w:rPr>
        <w:t>3</w:t>
      </w:r>
      <w:r>
        <w:rPr>
          <w:rFonts w:hint="eastAsia"/>
          <w:sz w:val="24"/>
          <w:highlight w:val="none"/>
        </w:rPr>
        <w:t>T。</w:t>
      </w:r>
      <w:r>
        <w:rPr>
          <w:rFonts w:hint="eastAsia"/>
          <w:highlight w:val="none"/>
        </w:rPr>
        <w:t>化成车间1</w:t>
      </w:r>
      <w:r>
        <w:rPr>
          <w:rFonts w:hint="eastAsia"/>
          <w:sz w:val="24"/>
          <w:highlight w:val="none"/>
        </w:rPr>
        <w:t>内设置</w:t>
      </w:r>
      <w:r>
        <w:rPr>
          <w:sz w:val="24"/>
          <w:highlight w:val="none"/>
        </w:rPr>
        <w:t>1</w:t>
      </w:r>
      <w:r>
        <w:rPr>
          <w:rFonts w:hint="eastAsia"/>
          <w:sz w:val="24"/>
          <w:highlight w:val="none"/>
        </w:rPr>
        <w:t>台货梯，货梯参数为</w:t>
      </w:r>
      <w:r>
        <w:rPr>
          <w:sz w:val="24"/>
          <w:highlight w:val="none"/>
        </w:rPr>
        <w:t>1</w:t>
      </w:r>
      <w:r>
        <w:rPr>
          <w:rFonts w:hint="eastAsia"/>
          <w:sz w:val="24"/>
          <w:highlight w:val="none"/>
        </w:rPr>
        <w:t>台两层</w:t>
      </w:r>
      <w:r>
        <w:rPr>
          <w:sz w:val="24"/>
          <w:highlight w:val="none"/>
        </w:rPr>
        <w:t>4</w:t>
      </w:r>
      <w:r>
        <w:rPr>
          <w:rFonts w:hint="eastAsia"/>
          <w:sz w:val="24"/>
          <w:highlight w:val="none"/>
        </w:rPr>
        <w:t>T。</w:t>
      </w:r>
      <w:r>
        <w:rPr>
          <w:sz w:val="24"/>
          <w:highlight w:val="none"/>
        </w:rPr>
        <w:t>Pack</w:t>
      </w:r>
      <w:r>
        <w:rPr>
          <w:rFonts w:hint="eastAsia"/>
          <w:sz w:val="24"/>
          <w:highlight w:val="none"/>
        </w:rPr>
        <w:t>车间内设置</w:t>
      </w:r>
      <w:r>
        <w:rPr>
          <w:sz w:val="24"/>
          <w:highlight w:val="none"/>
        </w:rPr>
        <w:t>10</w:t>
      </w:r>
      <w:r>
        <w:rPr>
          <w:rFonts w:hint="eastAsia"/>
          <w:sz w:val="24"/>
          <w:highlight w:val="none"/>
        </w:rPr>
        <w:t>台货梯和</w:t>
      </w:r>
      <w:r>
        <w:rPr>
          <w:sz w:val="24"/>
          <w:highlight w:val="none"/>
        </w:rPr>
        <w:t>2</w:t>
      </w:r>
      <w:r>
        <w:rPr>
          <w:rFonts w:hint="eastAsia"/>
          <w:sz w:val="24"/>
          <w:highlight w:val="none"/>
        </w:rPr>
        <w:t>台客梯，货梯参数为</w:t>
      </w:r>
      <w:r>
        <w:rPr>
          <w:sz w:val="24"/>
          <w:highlight w:val="none"/>
        </w:rPr>
        <w:t>10</w:t>
      </w:r>
      <w:r>
        <w:rPr>
          <w:rFonts w:hint="eastAsia"/>
          <w:sz w:val="24"/>
          <w:highlight w:val="none"/>
        </w:rPr>
        <w:t>台两层</w:t>
      </w:r>
      <w:r>
        <w:rPr>
          <w:sz w:val="24"/>
          <w:highlight w:val="none"/>
        </w:rPr>
        <w:t>5</w:t>
      </w:r>
      <w:r>
        <w:rPr>
          <w:rFonts w:hint="eastAsia"/>
          <w:sz w:val="24"/>
          <w:highlight w:val="none"/>
        </w:rPr>
        <w:t>T，</w:t>
      </w:r>
      <w:r>
        <w:rPr>
          <w:sz w:val="24"/>
          <w:highlight w:val="none"/>
        </w:rPr>
        <w:t xml:space="preserve"> </w:t>
      </w:r>
      <w:r>
        <w:rPr>
          <w:rFonts w:hint="eastAsia"/>
          <w:sz w:val="24"/>
          <w:highlight w:val="none"/>
        </w:rPr>
        <w:t>客梯参数为</w:t>
      </w:r>
      <w:r>
        <w:rPr>
          <w:sz w:val="24"/>
          <w:highlight w:val="none"/>
        </w:rPr>
        <w:t>2</w:t>
      </w:r>
      <w:r>
        <w:rPr>
          <w:rFonts w:hint="eastAsia"/>
          <w:sz w:val="24"/>
          <w:highlight w:val="none"/>
        </w:rPr>
        <w:t>台两层</w:t>
      </w:r>
      <w:r>
        <w:rPr>
          <w:sz w:val="24"/>
          <w:highlight w:val="none"/>
        </w:rPr>
        <w:t>1.275</w:t>
      </w:r>
      <w:r>
        <w:rPr>
          <w:rFonts w:hint="eastAsia"/>
          <w:sz w:val="24"/>
          <w:highlight w:val="none"/>
        </w:rPr>
        <w:t>T，其中四部货梯（2</w:t>
      </w:r>
      <w:r>
        <w:rPr>
          <w:sz w:val="24"/>
          <w:highlight w:val="none"/>
        </w:rPr>
        <w:t>#</w:t>
      </w:r>
      <w:r>
        <w:rPr>
          <w:rFonts w:hint="eastAsia"/>
          <w:sz w:val="24"/>
          <w:highlight w:val="none"/>
        </w:rPr>
        <w:t>、3</w:t>
      </w:r>
      <w:r>
        <w:rPr>
          <w:sz w:val="24"/>
          <w:highlight w:val="none"/>
        </w:rPr>
        <w:t>#</w:t>
      </w:r>
      <w:r>
        <w:rPr>
          <w:rFonts w:hint="eastAsia"/>
          <w:sz w:val="24"/>
          <w:highlight w:val="none"/>
        </w:rPr>
        <w:t>、4</w:t>
      </w:r>
      <w:r>
        <w:rPr>
          <w:sz w:val="24"/>
          <w:highlight w:val="none"/>
        </w:rPr>
        <w:t>#</w:t>
      </w:r>
      <w:r>
        <w:rPr>
          <w:rFonts w:hint="eastAsia"/>
          <w:sz w:val="24"/>
          <w:highlight w:val="none"/>
        </w:rPr>
        <w:t>、</w:t>
      </w:r>
      <w:r>
        <w:rPr>
          <w:sz w:val="24"/>
          <w:highlight w:val="none"/>
        </w:rPr>
        <w:t>5#</w:t>
      </w:r>
      <w:r>
        <w:rPr>
          <w:rFonts w:hint="eastAsia"/>
          <w:sz w:val="24"/>
          <w:highlight w:val="none"/>
        </w:rPr>
        <w:t>），需要与外接A</w:t>
      </w:r>
      <w:r>
        <w:rPr>
          <w:sz w:val="24"/>
          <w:highlight w:val="none"/>
        </w:rPr>
        <w:t>GV</w:t>
      </w:r>
      <w:r>
        <w:rPr>
          <w:rFonts w:hint="eastAsia"/>
          <w:sz w:val="24"/>
          <w:highlight w:val="none"/>
        </w:rPr>
        <w:t>系统进行交互，通过W</w:t>
      </w:r>
      <w:r>
        <w:rPr>
          <w:sz w:val="24"/>
          <w:highlight w:val="none"/>
        </w:rPr>
        <w:t>IFI</w:t>
      </w:r>
      <w:r>
        <w:rPr>
          <w:rFonts w:hint="eastAsia"/>
          <w:sz w:val="24"/>
          <w:highlight w:val="none"/>
        </w:rPr>
        <w:t>网络进行通讯，我方增加无线对接盒装置，远程呼叫电梯开门。计量中心设置</w:t>
      </w:r>
      <w:r>
        <w:rPr>
          <w:sz w:val="24"/>
          <w:highlight w:val="none"/>
        </w:rPr>
        <w:t>1</w:t>
      </w:r>
      <w:r>
        <w:rPr>
          <w:rFonts w:hint="eastAsia"/>
          <w:sz w:val="24"/>
          <w:highlight w:val="none"/>
        </w:rPr>
        <w:t>台货梯，货梯参数为</w:t>
      </w:r>
      <w:r>
        <w:rPr>
          <w:sz w:val="24"/>
          <w:highlight w:val="none"/>
        </w:rPr>
        <w:t>1</w:t>
      </w:r>
      <w:r>
        <w:rPr>
          <w:rFonts w:hint="eastAsia"/>
          <w:sz w:val="24"/>
          <w:highlight w:val="none"/>
        </w:rPr>
        <w:t>台两层</w:t>
      </w:r>
      <w:r>
        <w:rPr>
          <w:sz w:val="24"/>
          <w:highlight w:val="none"/>
        </w:rPr>
        <w:t>3</w:t>
      </w:r>
      <w:r>
        <w:rPr>
          <w:rFonts w:hint="eastAsia"/>
          <w:sz w:val="24"/>
          <w:highlight w:val="none"/>
        </w:rPr>
        <w:t>T。动力站房设置</w:t>
      </w:r>
      <w:r>
        <w:rPr>
          <w:sz w:val="24"/>
          <w:highlight w:val="none"/>
        </w:rPr>
        <w:t>1</w:t>
      </w:r>
      <w:r>
        <w:rPr>
          <w:rFonts w:hint="eastAsia"/>
          <w:sz w:val="24"/>
          <w:highlight w:val="none"/>
        </w:rPr>
        <w:t>台货梯，货梯参数为</w:t>
      </w:r>
      <w:r>
        <w:rPr>
          <w:sz w:val="24"/>
          <w:highlight w:val="none"/>
        </w:rPr>
        <w:t>1</w:t>
      </w:r>
      <w:r>
        <w:rPr>
          <w:rFonts w:hint="eastAsia"/>
          <w:sz w:val="24"/>
          <w:highlight w:val="none"/>
        </w:rPr>
        <w:t>台三层</w:t>
      </w:r>
      <w:r>
        <w:rPr>
          <w:sz w:val="24"/>
          <w:highlight w:val="none"/>
        </w:rPr>
        <w:t>3</w:t>
      </w:r>
      <w:r>
        <w:rPr>
          <w:rFonts w:hint="eastAsia"/>
          <w:sz w:val="24"/>
          <w:highlight w:val="none"/>
        </w:rPr>
        <w:t>T。食堂1、食堂2设置</w:t>
      </w:r>
      <w:r>
        <w:rPr>
          <w:sz w:val="24"/>
          <w:highlight w:val="none"/>
        </w:rPr>
        <w:t>2</w:t>
      </w:r>
      <w:r>
        <w:rPr>
          <w:rFonts w:hint="eastAsia"/>
          <w:sz w:val="24"/>
          <w:highlight w:val="none"/>
        </w:rPr>
        <w:t>台客梯和</w:t>
      </w:r>
      <w:r>
        <w:rPr>
          <w:sz w:val="24"/>
          <w:highlight w:val="none"/>
        </w:rPr>
        <w:t>2</w:t>
      </w:r>
      <w:r>
        <w:rPr>
          <w:rFonts w:hint="eastAsia"/>
          <w:sz w:val="24"/>
          <w:highlight w:val="none"/>
        </w:rPr>
        <w:t>台货梯，客梯参数为</w:t>
      </w:r>
      <w:r>
        <w:rPr>
          <w:sz w:val="24"/>
          <w:highlight w:val="none"/>
        </w:rPr>
        <w:t>2</w:t>
      </w:r>
      <w:r>
        <w:rPr>
          <w:rFonts w:hint="eastAsia"/>
          <w:sz w:val="24"/>
          <w:highlight w:val="none"/>
        </w:rPr>
        <w:t>台两层</w:t>
      </w:r>
      <w:r>
        <w:rPr>
          <w:sz w:val="24"/>
          <w:highlight w:val="none"/>
        </w:rPr>
        <w:t>1</w:t>
      </w:r>
      <w:r>
        <w:rPr>
          <w:rFonts w:hint="eastAsia"/>
          <w:sz w:val="24"/>
          <w:highlight w:val="none"/>
        </w:rPr>
        <w:t>T，货梯参数为</w:t>
      </w:r>
      <w:r>
        <w:rPr>
          <w:sz w:val="24"/>
          <w:highlight w:val="none"/>
        </w:rPr>
        <w:t>2</w:t>
      </w:r>
      <w:r>
        <w:rPr>
          <w:rFonts w:hint="eastAsia"/>
          <w:sz w:val="24"/>
          <w:highlight w:val="none"/>
        </w:rPr>
        <w:t>台两层</w:t>
      </w:r>
      <w:r>
        <w:rPr>
          <w:sz w:val="24"/>
          <w:highlight w:val="none"/>
        </w:rPr>
        <w:t>0.32</w:t>
      </w:r>
      <w:r>
        <w:rPr>
          <w:rFonts w:hint="eastAsia"/>
          <w:sz w:val="24"/>
          <w:highlight w:val="none"/>
        </w:rPr>
        <w:t>T。货梯及客梯井道设计由具有电梯安装工程资质单位进行深化设计，所有电梯均为无机房电梯。</w:t>
      </w:r>
    </w:p>
    <w:p>
      <w:pPr>
        <w:numPr>
          <w:ilvl w:val="0"/>
          <w:numId w:val="104"/>
        </w:numPr>
        <w:spacing w:after="260" w:afterLines="80"/>
        <w:rPr>
          <w:b/>
          <w:highlight w:val="none"/>
        </w:rPr>
      </w:pPr>
      <w:r>
        <w:rPr>
          <w:rFonts w:hint="eastAsia"/>
          <w:b/>
          <w:highlight w:val="none"/>
        </w:rPr>
        <w:t>相关的国家标准及规范规定</w:t>
      </w:r>
    </w:p>
    <w:p>
      <w:pPr>
        <w:pStyle w:val="20"/>
        <w:ind w:firstLine="480"/>
        <w:rPr>
          <w:sz w:val="24"/>
          <w:highlight w:val="none"/>
        </w:rPr>
      </w:pPr>
      <w:r>
        <w:rPr>
          <w:sz w:val="24"/>
          <w:highlight w:val="none"/>
        </w:rPr>
        <w:t>未列出的标准及规范，实际施工中</w:t>
      </w:r>
      <w:r>
        <w:rPr>
          <w:rFonts w:hint="eastAsia"/>
          <w:sz w:val="24"/>
          <w:highlight w:val="none"/>
        </w:rPr>
        <w:t>均</w:t>
      </w:r>
      <w:r>
        <w:rPr>
          <w:sz w:val="24"/>
          <w:highlight w:val="none"/>
        </w:rPr>
        <w:t>应达到国家现行有关技术、质量标准和设计、施工验收规范的要求，但不限于以下所列。当各种标准之间出现偏差时以要求高者为准。</w:t>
      </w:r>
    </w:p>
    <w:p>
      <w:pPr>
        <w:pStyle w:val="8"/>
        <w:tabs>
          <w:tab w:val="left" w:pos="4559"/>
        </w:tabs>
        <w:ind w:left="420" w:leftChars="200" w:firstLine="480"/>
        <w:rPr>
          <w:bCs/>
          <w:sz w:val="24"/>
          <w:szCs w:val="24"/>
          <w:highlight w:val="none"/>
        </w:rPr>
      </w:pPr>
      <w:r>
        <w:rPr>
          <w:rFonts w:hint="eastAsia"/>
          <w:bCs/>
          <w:sz w:val="24"/>
          <w:szCs w:val="24"/>
          <w:highlight w:val="none"/>
        </w:rPr>
        <w:t>GB7588-2003                          《电梯制造与安装安全规范》</w:t>
      </w:r>
    </w:p>
    <w:p>
      <w:pPr>
        <w:pStyle w:val="8"/>
        <w:tabs>
          <w:tab w:val="left" w:pos="4379"/>
        </w:tabs>
        <w:spacing w:before="278"/>
        <w:ind w:left="420" w:leftChars="200" w:firstLine="480"/>
        <w:rPr>
          <w:bCs/>
          <w:sz w:val="24"/>
          <w:szCs w:val="24"/>
          <w:highlight w:val="none"/>
        </w:rPr>
      </w:pPr>
      <w:r>
        <w:rPr>
          <w:rFonts w:hint="eastAsia"/>
          <w:bCs/>
          <w:sz w:val="24"/>
          <w:szCs w:val="24"/>
          <w:highlight w:val="none"/>
        </w:rPr>
        <w:t>GB10058-1997                         《电梯技术条件》</w:t>
      </w:r>
    </w:p>
    <w:p>
      <w:pPr>
        <w:pStyle w:val="8"/>
        <w:tabs>
          <w:tab w:val="left" w:pos="4559"/>
        </w:tabs>
        <w:ind w:left="420" w:leftChars="200" w:firstLine="480"/>
        <w:rPr>
          <w:bCs/>
          <w:sz w:val="24"/>
          <w:szCs w:val="24"/>
          <w:highlight w:val="none"/>
        </w:rPr>
      </w:pPr>
      <w:r>
        <w:rPr>
          <w:rFonts w:hint="eastAsia"/>
          <w:bCs/>
          <w:sz w:val="24"/>
          <w:szCs w:val="24"/>
          <w:highlight w:val="none"/>
        </w:rPr>
        <w:t>GB10059-1997                         《电梯试验方法》</w:t>
      </w:r>
    </w:p>
    <w:p>
      <w:pPr>
        <w:pStyle w:val="8"/>
        <w:tabs>
          <w:tab w:val="left" w:pos="4559"/>
        </w:tabs>
        <w:ind w:left="420" w:leftChars="200" w:firstLine="480"/>
        <w:rPr>
          <w:bCs/>
          <w:sz w:val="24"/>
          <w:szCs w:val="24"/>
          <w:highlight w:val="none"/>
        </w:rPr>
      </w:pPr>
      <w:r>
        <w:rPr>
          <w:rFonts w:hint="eastAsia"/>
          <w:bCs/>
          <w:sz w:val="24"/>
          <w:szCs w:val="24"/>
          <w:highlight w:val="none"/>
        </w:rPr>
        <w:t>GB10060-93                           《电梯安装验收规范》</w:t>
      </w:r>
    </w:p>
    <w:p>
      <w:pPr>
        <w:pStyle w:val="8"/>
        <w:tabs>
          <w:tab w:val="left" w:pos="4559"/>
        </w:tabs>
        <w:ind w:left="420" w:leftChars="200" w:firstLine="480"/>
        <w:rPr>
          <w:bCs/>
          <w:sz w:val="24"/>
          <w:szCs w:val="24"/>
          <w:highlight w:val="none"/>
        </w:rPr>
      </w:pPr>
      <w:r>
        <w:rPr>
          <w:rFonts w:hint="eastAsia"/>
          <w:bCs/>
          <w:sz w:val="24"/>
          <w:szCs w:val="24"/>
          <w:highlight w:val="none"/>
        </w:rPr>
        <w:t>GB/T5072.1-1996                      《电梯T型导轨》</w:t>
      </w:r>
    </w:p>
    <w:p>
      <w:pPr>
        <w:pStyle w:val="8"/>
        <w:tabs>
          <w:tab w:val="left" w:pos="4559"/>
        </w:tabs>
        <w:spacing w:before="278"/>
        <w:ind w:left="420" w:leftChars="200" w:firstLine="480"/>
        <w:rPr>
          <w:bCs/>
          <w:sz w:val="24"/>
          <w:szCs w:val="24"/>
          <w:highlight w:val="none"/>
        </w:rPr>
      </w:pPr>
      <w:r>
        <w:rPr>
          <w:rFonts w:hint="eastAsia"/>
          <w:bCs/>
          <w:sz w:val="24"/>
          <w:szCs w:val="24"/>
          <w:highlight w:val="none"/>
        </w:rPr>
        <w:t>GB/T13435-92                         《电梯曳引机》</w:t>
      </w:r>
    </w:p>
    <w:p>
      <w:pPr>
        <w:pStyle w:val="8"/>
        <w:tabs>
          <w:tab w:val="left" w:pos="4559"/>
        </w:tabs>
        <w:ind w:left="420" w:leftChars="200" w:firstLine="480"/>
        <w:rPr>
          <w:bCs/>
          <w:sz w:val="24"/>
          <w:szCs w:val="24"/>
          <w:highlight w:val="none"/>
        </w:rPr>
      </w:pPr>
      <w:r>
        <w:rPr>
          <w:rFonts w:hint="eastAsia"/>
          <w:bCs/>
          <w:sz w:val="24"/>
          <w:szCs w:val="24"/>
          <w:highlight w:val="none"/>
        </w:rPr>
        <w:t>GB8904-88                            《电梯用钢丝绳》</w:t>
      </w:r>
    </w:p>
    <w:p>
      <w:pPr>
        <w:pStyle w:val="8"/>
        <w:tabs>
          <w:tab w:val="left" w:pos="4559"/>
        </w:tabs>
        <w:ind w:left="420" w:leftChars="200" w:firstLine="480"/>
        <w:rPr>
          <w:bCs/>
          <w:sz w:val="24"/>
          <w:szCs w:val="24"/>
          <w:highlight w:val="none"/>
        </w:rPr>
      </w:pPr>
      <w:r>
        <w:rPr>
          <w:rFonts w:hint="eastAsia"/>
          <w:bCs/>
          <w:sz w:val="24"/>
          <w:szCs w:val="24"/>
          <w:highlight w:val="none"/>
        </w:rPr>
        <w:t>GB50310-2002                         《电梯工程施工质量验收规范》</w:t>
      </w:r>
    </w:p>
    <w:p>
      <w:pPr>
        <w:pStyle w:val="8"/>
        <w:tabs>
          <w:tab w:val="left" w:pos="4559"/>
        </w:tabs>
        <w:spacing w:before="279"/>
        <w:ind w:left="420" w:leftChars="200" w:firstLine="480"/>
        <w:rPr>
          <w:bCs/>
          <w:sz w:val="24"/>
          <w:szCs w:val="24"/>
          <w:highlight w:val="none"/>
        </w:rPr>
      </w:pPr>
      <w:r>
        <w:rPr>
          <w:rFonts w:hint="eastAsia"/>
          <w:bCs/>
          <w:sz w:val="24"/>
          <w:szCs w:val="24"/>
          <w:highlight w:val="none"/>
        </w:rPr>
        <w:t>GB50300-2001                         《建筑工程施工质量验收统一标准》</w:t>
      </w:r>
    </w:p>
    <w:p>
      <w:pPr>
        <w:pStyle w:val="8"/>
        <w:tabs>
          <w:tab w:val="left" w:pos="4379"/>
        </w:tabs>
        <w:spacing w:before="318"/>
        <w:ind w:left="420" w:leftChars="200" w:firstLine="480"/>
        <w:rPr>
          <w:bCs/>
          <w:sz w:val="24"/>
          <w:szCs w:val="22"/>
          <w:highlight w:val="none"/>
        </w:rPr>
      </w:pPr>
      <w:r>
        <w:rPr>
          <w:rFonts w:hint="eastAsia"/>
          <w:bCs/>
          <w:sz w:val="24"/>
          <w:szCs w:val="24"/>
          <w:highlight w:val="none"/>
        </w:rPr>
        <w:t>GB50116-98                           《火灾自动报警系统设计规范》</w:t>
      </w:r>
    </w:p>
    <w:p>
      <w:pPr>
        <w:numPr>
          <w:ilvl w:val="0"/>
          <w:numId w:val="104"/>
        </w:numPr>
        <w:spacing w:after="326" w:afterLines="100"/>
        <w:rPr>
          <w:b/>
          <w:highlight w:val="none"/>
        </w:rPr>
      </w:pPr>
      <w:r>
        <w:rPr>
          <w:rFonts w:hint="eastAsia"/>
          <w:b/>
          <w:highlight w:val="none"/>
        </w:rPr>
        <w:br w:type="page"/>
      </w:r>
      <w:r>
        <w:rPr>
          <w:rFonts w:hint="eastAsia"/>
          <w:b/>
          <w:highlight w:val="none"/>
        </w:rPr>
        <w:t>基本参数</w:t>
      </w:r>
    </w:p>
    <w:p>
      <w:pPr>
        <w:spacing w:before="163" w:beforeLines="50"/>
        <w:rPr>
          <w:b/>
          <w:highlight w:val="none"/>
        </w:rPr>
      </w:pPr>
      <w:r>
        <w:rPr>
          <w:rFonts w:hint="eastAsia"/>
          <w:b/>
          <w:highlight w:val="none"/>
        </w:rPr>
        <w:t>表格1</w:t>
      </w:r>
    </w:p>
    <w:tbl>
      <w:tblPr>
        <w:tblStyle w:val="16"/>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5"/>
        <w:gridCol w:w="1246"/>
        <w:gridCol w:w="6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内容</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电芯装配车间1货梯（</w:t>
            </w:r>
            <w:r>
              <w:rPr>
                <w:rFonts w:cs="宋体"/>
                <w:szCs w:val="24"/>
                <w:highlight w:val="none"/>
              </w:rPr>
              <w:t>3000kg</w:t>
            </w:r>
            <w:r>
              <w:rPr>
                <w:rFonts w:hint="eastAsia" w:cs="宋体"/>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数量</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1</w:t>
            </w:r>
            <w:r>
              <w:rPr>
                <w:rFonts w:hint="eastAsia" w:cs="宋体"/>
                <w:szCs w:val="24"/>
                <w:highlight w:val="none"/>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▲电梯速度（</w:t>
            </w:r>
            <w:r>
              <w:rPr>
                <w:rFonts w:cs="宋体"/>
                <w:szCs w:val="24"/>
                <w:highlight w:val="none"/>
              </w:rPr>
              <w:t>m/s</w:t>
            </w:r>
            <w:r>
              <w:rPr>
                <w:rFonts w:hint="eastAsia" w:cs="宋体"/>
                <w:szCs w:val="24"/>
                <w:highlight w:val="none"/>
              </w:rPr>
              <w:t>）</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0.5m/s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▲层</w:t>
            </w:r>
            <w:r>
              <w:rPr>
                <w:rFonts w:cs="宋体"/>
                <w:szCs w:val="24"/>
                <w:highlight w:val="none"/>
              </w:rPr>
              <w:t>/</w:t>
            </w:r>
            <w:r>
              <w:rPr>
                <w:rFonts w:hint="eastAsia" w:cs="宋体"/>
                <w:szCs w:val="24"/>
                <w:highlight w:val="none"/>
              </w:rPr>
              <w:t>站</w:t>
            </w:r>
            <w:r>
              <w:rPr>
                <w:rFonts w:cs="宋体"/>
                <w:szCs w:val="24"/>
                <w:highlight w:val="none"/>
              </w:rPr>
              <w:t>/</w:t>
            </w:r>
            <w:r>
              <w:rPr>
                <w:rFonts w:hint="eastAsia" w:cs="宋体"/>
                <w:szCs w:val="24"/>
                <w:highlight w:val="none"/>
              </w:rPr>
              <w:t>门</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2/2/2</w:t>
            </w:r>
            <w:r>
              <w:rPr>
                <w:rFonts w:hint="eastAsia" w:cs="宋体"/>
                <w:szCs w:val="24"/>
                <w:highlight w:val="none"/>
              </w:rPr>
              <w:t>（主体建筑共</w:t>
            </w:r>
            <w:r>
              <w:rPr>
                <w:rFonts w:cs="宋体"/>
                <w:szCs w:val="24"/>
                <w:highlight w:val="none"/>
              </w:rPr>
              <w:t>2</w:t>
            </w:r>
            <w:r>
              <w:rPr>
                <w:rFonts w:hint="eastAsia" w:cs="宋体"/>
                <w:szCs w:val="24"/>
                <w:highlight w:val="none"/>
              </w:rPr>
              <w:t>层：一楼层高</w:t>
            </w:r>
            <w:r>
              <w:rPr>
                <w:rFonts w:cs="宋体"/>
                <w:szCs w:val="24"/>
                <w:highlight w:val="none"/>
              </w:rPr>
              <w:t>11.5</w:t>
            </w:r>
            <w:r>
              <w:rPr>
                <w:rFonts w:hint="eastAsia" w:cs="宋体"/>
                <w:szCs w:val="24"/>
                <w:highlight w:val="none"/>
              </w:rPr>
              <w:t>米、净空约</w:t>
            </w:r>
            <w:r>
              <w:rPr>
                <w:rFonts w:cs="宋体"/>
                <w:szCs w:val="24"/>
                <w:highlight w:val="none"/>
              </w:rPr>
              <w:t>10</w:t>
            </w:r>
            <w:r>
              <w:rPr>
                <w:rFonts w:hint="eastAsia" w:cs="宋体"/>
                <w:szCs w:val="24"/>
                <w:highlight w:val="none"/>
              </w:rPr>
              <w:t>.</w:t>
            </w:r>
            <w:r>
              <w:rPr>
                <w:rFonts w:cs="宋体"/>
                <w:szCs w:val="24"/>
                <w:highlight w:val="none"/>
              </w:rPr>
              <w:t>7</w:t>
            </w:r>
            <w:r>
              <w:rPr>
                <w:rFonts w:hint="eastAsia" w:cs="宋体"/>
                <w:szCs w:val="24"/>
                <w:highlight w:val="none"/>
              </w:rPr>
              <w:t>米；二楼层高4</w:t>
            </w:r>
            <w:r>
              <w:rPr>
                <w:rFonts w:cs="宋体"/>
                <w:szCs w:val="24"/>
                <w:highlight w:val="none"/>
              </w:rPr>
              <w:t>.5</w:t>
            </w:r>
            <w:r>
              <w:rPr>
                <w:rFonts w:hint="eastAsia" w:cs="宋体"/>
                <w:szCs w:val="24"/>
                <w:highlight w:val="none"/>
              </w:rPr>
              <w:t>米、净空约</w:t>
            </w:r>
            <w:r>
              <w:rPr>
                <w:rFonts w:cs="宋体"/>
                <w:szCs w:val="24"/>
                <w:highlight w:val="none"/>
              </w:rPr>
              <w:t>4.2</w:t>
            </w:r>
            <w:r>
              <w:rPr>
                <w:rFonts w:hint="eastAsia" w:cs="宋体"/>
                <w:szCs w:val="24"/>
                <w:highlight w:val="none"/>
              </w:rPr>
              <w:t>米。）以图为准。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▲操作方法</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单控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▲额定载重量（</w:t>
            </w:r>
            <w:r>
              <w:rPr>
                <w:rFonts w:cs="宋体"/>
                <w:szCs w:val="24"/>
                <w:highlight w:val="none"/>
              </w:rPr>
              <w:t>KG</w:t>
            </w:r>
            <w:r>
              <w:rPr>
                <w:rFonts w:hint="eastAsia" w:cs="宋体"/>
                <w:szCs w:val="24"/>
                <w:highlight w:val="none"/>
              </w:rPr>
              <w:t>）</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基站</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两层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机房位置</w:t>
            </w:r>
          </w:p>
        </w:tc>
        <w:tc>
          <w:tcPr>
            <w:tcW w:w="6516" w:type="dxa"/>
            <w:noWrap w:val="0"/>
            <w:tcMar>
              <w:left w:w="108" w:type="dxa"/>
              <w:right w:w="108" w:type="dxa"/>
            </w:tcMar>
            <w:vAlign w:val="center"/>
          </w:tcPr>
          <w:p>
            <w:pPr>
              <w:rPr>
                <w:rFonts w:cs="宋体"/>
                <w:szCs w:val="24"/>
                <w:highlight w:val="none"/>
              </w:rPr>
            </w:pPr>
            <w:r>
              <w:rPr>
                <w:rFonts w:hint="eastAsia" w:cs="宋体"/>
                <w:b/>
                <w:szCs w:val="24"/>
                <w:highlight w:val="none"/>
              </w:rPr>
              <w:t>第</w:t>
            </w:r>
            <w:r>
              <w:rPr>
                <w:rFonts w:cs="宋体"/>
                <w:b/>
                <w:szCs w:val="24"/>
                <w:highlight w:val="none"/>
              </w:rPr>
              <w:t>2</w:t>
            </w:r>
            <w:r>
              <w:rPr>
                <w:rFonts w:hint="eastAsia" w:cs="宋体"/>
                <w:b/>
                <w:szCs w:val="24"/>
                <w:highlight w:val="none"/>
              </w:rPr>
              <w:t>层（无机房）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▲主机</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永磁同步无齿轮曳引机或有齿轮曳引机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▲控制形式</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VVVF</w:t>
            </w:r>
            <w:r>
              <w:rPr>
                <w:rFonts w:hint="eastAsia" w:cs="宋体"/>
                <w:szCs w:val="24"/>
                <w:highlight w:val="none"/>
              </w:rPr>
              <w:t>变频变压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噪音</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达到国标规范要求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▲井道净尺寸</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3700mm*3500mm</w:t>
            </w:r>
            <w:r>
              <w:rPr>
                <w:rFonts w:hint="eastAsia" w:cs="宋体"/>
                <w:szCs w:val="24"/>
                <w:highlight w:val="none"/>
              </w:rPr>
              <w:t xml:space="preserve">  （宽</w:t>
            </w:r>
            <w:r>
              <w:rPr>
                <w:rFonts w:cs="宋体"/>
                <w:szCs w:val="24"/>
                <w:highlight w:val="none"/>
              </w:rPr>
              <w:t>*</w:t>
            </w:r>
            <w:r>
              <w:rPr>
                <w:rFonts w:hint="eastAsia" w:cs="宋体"/>
                <w:szCs w:val="24"/>
                <w:highlight w:val="none"/>
              </w:rPr>
              <w:t>深）（此尺寸供参考）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▲地坑深度</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1.8m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提升高度</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现场测量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▲轿厢尺寸</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2000mm*2850mm*2100mm</w:t>
            </w:r>
            <w:r>
              <w:rPr>
                <w:rFonts w:hint="eastAsia" w:cs="宋体"/>
                <w:szCs w:val="24"/>
                <w:highlight w:val="none"/>
              </w:rPr>
              <w:t>（宽</w:t>
            </w:r>
            <w:r>
              <w:rPr>
                <w:rFonts w:cs="宋体"/>
                <w:szCs w:val="24"/>
                <w:highlight w:val="none"/>
              </w:rPr>
              <w:t>*</w:t>
            </w:r>
            <w:r>
              <w:rPr>
                <w:rFonts w:hint="eastAsia" w:cs="宋体"/>
                <w:szCs w:val="24"/>
                <w:highlight w:val="none"/>
              </w:rPr>
              <w:t>深</w:t>
            </w:r>
            <w:r>
              <w:rPr>
                <w:rFonts w:cs="宋体"/>
                <w:szCs w:val="24"/>
                <w:highlight w:val="none"/>
              </w:rPr>
              <w:t>*</w:t>
            </w:r>
            <w:r>
              <w:rPr>
                <w:rFonts w:hint="eastAsia" w:cs="宋体"/>
                <w:szCs w:val="24"/>
                <w:highlight w:val="none"/>
              </w:rPr>
              <w:t>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▲净开门尺寸</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1800mm*2100mm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▲开门方式</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中分式或者</w:t>
            </w:r>
            <w:r>
              <w:rPr>
                <w:rFonts w:cs="宋体"/>
                <w:szCs w:val="24"/>
                <w:highlight w:val="none"/>
              </w:rPr>
              <w:t>旁开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▲门保护</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光幕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▲轿厢操作盘</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发纹不锈钢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召唤按钮</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发纹不锈钢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▲厅门显示</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LED</w:t>
            </w:r>
            <w:r>
              <w:rPr>
                <w:rFonts w:hint="eastAsia" w:cs="宋体"/>
                <w:szCs w:val="24"/>
                <w:highlight w:val="none"/>
              </w:rPr>
              <w:t>点阵显示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restart"/>
            <w:noWrap w:val="0"/>
            <w:tcMar>
              <w:left w:w="108" w:type="dxa"/>
              <w:right w:w="108" w:type="dxa"/>
            </w:tcMar>
            <w:vAlign w:val="center"/>
          </w:tcPr>
          <w:p>
            <w:pPr>
              <w:rPr>
                <w:rFonts w:cs="宋体"/>
                <w:szCs w:val="24"/>
                <w:highlight w:val="none"/>
              </w:rPr>
            </w:pPr>
            <w:r>
              <w:rPr>
                <w:rFonts w:hint="eastAsia" w:cs="宋体"/>
                <w:szCs w:val="24"/>
                <w:highlight w:val="none"/>
              </w:rPr>
              <w:t>▲轿厢装修</w:t>
            </w: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轿门</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轿顶</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地坪</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防腐蚀钢板，由投标人提供式样供招标人选择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四壁</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门套</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厅门</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bl>
    <w:p>
      <w:pPr>
        <w:spacing w:before="163" w:beforeLines="50"/>
        <w:rPr>
          <w:b/>
          <w:highlight w:val="none"/>
        </w:rPr>
      </w:pPr>
      <w:r>
        <w:rPr>
          <w:rFonts w:hint="eastAsia"/>
          <w:b/>
          <w:highlight w:val="none"/>
        </w:rPr>
        <w:t>表格2</w:t>
      </w:r>
    </w:p>
    <w:tbl>
      <w:tblPr>
        <w:tblStyle w:val="16"/>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5"/>
        <w:gridCol w:w="1246"/>
        <w:gridCol w:w="6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内容</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化成车间1货梯（</w:t>
            </w:r>
            <w:r>
              <w:rPr>
                <w:rFonts w:cs="宋体"/>
                <w:szCs w:val="24"/>
                <w:highlight w:val="none"/>
              </w:rPr>
              <w:t>4000kg</w:t>
            </w:r>
            <w:r>
              <w:rPr>
                <w:rFonts w:hint="eastAsia" w:cs="宋体"/>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数量</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1</w:t>
            </w:r>
            <w:r>
              <w:rPr>
                <w:rFonts w:hint="eastAsia" w:cs="宋体"/>
                <w:szCs w:val="24"/>
                <w:highlight w:val="none"/>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▲电梯速度（</w:t>
            </w:r>
            <w:r>
              <w:rPr>
                <w:rFonts w:cs="宋体"/>
                <w:szCs w:val="24"/>
                <w:highlight w:val="none"/>
              </w:rPr>
              <w:t>m/s</w:t>
            </w:r>
            <w:r>
              <w:rPr>
                <w:rFonts w:hint="eastAsia" w:cs="宋体"/>
                <w:szCs w:val="24"/>
                <w:highlight w:val="none"/>
              </w:rPr>
              <w:t>）</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0.5m/s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▲层</w:t>
            </w:r>
            <w:r>
              <w:rPr>
                <w:rFonts w:cs="宋体"/>
                <w:szCs w:val="24"/>
                <w:highlight w:val="none"/>
              </w:rPr>
              <w:t>/</w:t>
            </w:r>
            <w:r>
              <w:rPr>
                <w:rFonts w:hint="eastAsia" w:cs="宋体"/>
                <w:szCs w:val="24"/>
                <w:highlight w:val="none"/>
              </w:rPr>
              <w:t>站</w:t>
            </w:r>
            <w:r>
              <w:rPr>
                <w:rFonts w:cs="宋体"/>
                <w:szCs w:val="24"/>
                <w:highlight w:val="none"/>
              </w:rPr>
              <w:t>/</w:t>
            </w:r>
            <w:r>
              <w:rPr>
                <w:rFonts w:hint="eastAsia" w:cs="宋体"/>
                <w:szCs w:val="24"/>
                <w:highlight w:val="none"/>
              </w:rPr>
              <w:t>门</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2</w:t>
            </w:r>
            <w:r>
              <w:rPr>
                <w:rFonts w:cs="宋体"/>
                <w:szCs w:val="24"/>
                <w:highlight w:val="none"/>
              </w:rPr>
              <w:t>/</w:t>
            </w:r>
            <w:r>
              <w:rPr>
                <w:rFonts w:hint="eastAsia" w:cs="宋体"/>
                <w:szCs w:val="24"/>
                <w:highlight w:val="none"/>
              </w:rPr>
              <w:t>2</w:t>
            </w:r>
            <w:r>
              <w:rPr>
                <w:rFonts w:cs="宋体"/>
                <w:szCs w:val="24"/>
                <w:highlight w:val="none"/>
              </w:rPr>
              <w:t>/</w:t>
            </w:r>
            <w:r>
              <w:rPr>
                <w:rFonts w:hint="eastAsia" w:cs="宋体"/>
                <w:szCs w:val="24"/>
                <w:highlight w:val="none"/>
              </w:rPr>
              <w:t>2（主体建筑共</w:t>
            </w:r>
            <w:r>
              <w:rPr>
                <w:rFonts w:cs="宋体"/>
                <w:szCs w:val="24"/>
                <w:highlight w:val="none"/>
              </w:rPr>
              <w:t>2</w:t>
            </w:r>
            <w:r>
              <w:rPr>
                <w:rFonts w:hint="eastAsia" w:cs="宋体"/>
                <w:szCs w:val="24"/>
                <w:highlight w:val="none"/>
              </w:rPr>
              <w:t>层：一楼层高</w:t>
            </w:r>
            <w:r>
              <w:rPr>
                <w:rFonts w:cs="宋体"/>
                <w:szCs w:val="24"/>
                <w:highlight w:val="none"/>
              </w:rPr>
              <w:t>8</w:t>
            </w:r>
            <w:r>
              <w:rPr>
                <w:rFonts w:hint="eastAsia" w:cs="宋体"/>
                <w:szCs w:val="24"/>
                <w:highlight w:val="none"/>
              </w:rPr>
              <w:t>.</w:t>
            </w:r>
            <w:r>
              <w:rPr>
                <w:rFonts w:cs="宋体"/>
                <w:szCs w:val="24"/>
                <w:highlight w:val="none"/>
              </w:rPr>
              <w:t>1</w:t>
            </w:r>
            <w:r>
              <w:rPr>
                <w:rFonts w:hint="eastAsia" w:cs="宋体"/>
                <w:szCs w:val="24"/>
                <w:highlight w:val="none"/>
              </w:rPr>
              <w:t>米、净空约7米；二楼层高</w:t>
            </w:r>
            <w:r>
              <w:rPr>
                <w:rFonts w:cs="宋体"/>
                <w:szCs w:val="24"/>
                <w:highlight w:val="none"/>
              </w:rPr>
              <w:t>8.1</w:t>
            </w:r>
            <w:r>
              <w:rPr>
                <w:rFonts w:hint="eastAsia" w:cs="宋体"/>
                <w:szCs w:val="24"/>
                <w:highlight w:val="none"/>
              </w:rPr>
              <w:t>米、净空约</w:t>
            </w:r>
            <w:r>
              <w:rPr>
                <w:rFonts w:cs="宋体"/>
                <w:szCs w:val="24"/>
                <w:highlight w:val="none"/>
              </w:rPr>
              <w:t>7.5</w:t>
            </w:r>
            <w:r>
              <w:rPr>
                <w:rFonts w:hint="eastAsia" w:cs="宋体"/>
                <w:szCs w:val="24"/>
                <w:highlight w:val="none"/>
              </w:rPr>
              <w:t>米。）以图为准。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▲操作方法</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单控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▲额定载重量（</w:t>
            </w:r>
            <w:r>
              <w:rPr>
                <w:rFonts w:cs="宋体"/>
                <w:szCs w:val="24"/>
                <w:highlight w:val="none"/>
              </w:rPr>
              <w:t>KG</w:t>
            </w:r>
            <w:r>
              <w:rPr>
                <w:rFonts w:hint="eastAsia" w:cs="宋体"/>
                <w:szCs w:val="24"/>
                <w:highlight w:val="none"/>
              </w:rPr>
              <w:t>）</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基站</w:t>
            </w:r>
          </w:p>
        </w:tc>
        <w:tc>
          <w:tcPr>
            <w:tcW w:w="6516" w:type="dxa"/>
            <w:noWrap w:val="0"/>
            <w:tcMar>
              <w:left w:w="108" w:type="dxa"/>
              <w:right w:w="108" w:type="dxa"/>
            </w:tcMar>
            <w:vAlign w:val="center"/>
          </w:tcPr>
          <w:p>
            <w:pPr>
              <w:rPr>
                <w:rFonts w:cs="宋体"/>
                <w:szCs w:val="24"/>
                <w:highlight w:val="none"/>
              </w:rPr>
            </w:pPr>
            <w:r>
              <w:rPr>
                <w:rFonts w:hint="eastAsia" w:cs="宋体"/>
                <w:color w:val="FF0000"/>
                <w:szCs w:val="24"/>
                <w:highlight w:val="none"/>
              </w:rPr>
              <w:t>两层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机房位置</w:t>
            </w:r>
          </w:p>
        </w:tc>
        <w:tc>
          <w:tcPr>
            <w:tcW w:w="6516" w:type="dxa"/>
            <w:noWrap w:val="0"/>
            <w:tcMar>
              <w:left w:w="108" w:type="dxa"/>
              <w:right w:w="108" w:type="dxa"/>
            </w:tcMar>
            <w:vAlign w:val="center"/>
          </w:tcPr>
          <w:p>
            <w:pPr>
              <w:rPr>
                <w:rFonts w:cs="宋体"/>
                <w:szCs w:val="24"/>
                <w:highlight w:val="none"/>
              </w:rPr>
            </w:pPr>
            <w:r>
              <w:rPr>
                <w:rFonts w:hint="eastAsia" w:cs="宋体"/>
                <w:b/>
                <w:szCs w:val="24"/>
                <w:highlight w:val="none"/>
              </w:rPr>
              <w:t>第</w:t>
            </w:r>
            <w:r>
              <w:rPr>
                <w:rFonts w:cs="宋体"/>
                <w:b/>
                <w:szCs w:val="24"/>
                <w:highlight w:val="none"/>
              </w:rPr>
              <w:t>2</w:t>
            </w:r>
            <w:r>
              <w:rPr>
                <w:rFonts w:hint="eastAsia" w:cs="宋体"/>
                <w:b/>
                <w:szCs w:val="24"/>
                <w:highlight w:val="none"/>
              </w:rPr>
              <w:t>层（无机房）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▲主机</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永磁同步无齿轮曳引机或有齿轮曳引机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▲控制形式</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VVVF</w:t>
            </w:r>
            <w:r>
              <w:rPr>
                <w:rFonts w:hint="eastAsia" w:cs="宋体"/>
                <w:szCs w:val="24"/>
                <w:highlight w:val="none"/>
              </w:rPr>
              <w:t>变频变压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噪音</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达到国标规范要求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▲井道净尺寸</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4300mm*4000mm</w:t>
            </w:r>
            <w:r>
              <w:rPr>
                <w:rFonts w:hint="eastAsia" w:cs="宋体"/>
                <w:szCs w:val="24"/>
                <w:highlight w:val="none"/>
              </w:rPr>
              <w:t xml:space="preserve"> （宽</w:t>
            </w:r>
            <w:r>
              <w:rPr>
                <w:rFonts w:cs="宋体"/>
                <w:szCs w:val="24"/>
                <w:highlight w:val="none"/>
              </w:rPr>
              <w:t>*</w:t>
            </w:r>
            <w:r>
              <w:rPr>
                <w:rFonts w:hint="eastAsia" w:cs="宋体"/>
                <w:szCs w:val="24"/>
                <w:highlight w:val="none"/>
              </w:rPr>
              <w:t>深）（此尺寸供参考）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▲地坑深度</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1.8m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提升高度</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现场测量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▲轿厢尺寸</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2000mm*2850mm*2500mm</w:t>
            </w:r>
            <w:r>
              <w:rPr>
                <w:rFonts w:hint="eastAsia" w:cs="宋体"/>
                <w:szCs w:val="24"/>
                <w:highlight w:val="none"/>
              </w:rPr>
              <w:t>（宽</w:t>
            </w:r>
            <w:r>
              <w:rPr>
                <w:rFonts w:cs="宋体"/>
                <w:szCs w:val="24"/>
                <w:highlight w:val="none"/>
              </w:rPr>
              <w:t>*</w:t>
            </w:r>
            <w:r>
              <w:rPr>
                <w:rFonts w:hint="eastAsia" w:cs="宋体"/>
                <w:szCs w:val="24"/>
                <w:highlight w:val="none"/>
              </w:rPr>
              <w:t>深</w:t>
            </w:r>
            <w:r>
              <w:rPr>
                <w:rFonts w:cs="宋体"/>
                <w:szCs w:val="24"/>
                <w:highlight w:val="none"/>
              </w:rPr>
              <w:t>*</w:t>
            </w:r>
            <w:r>
              <w:rPr>
                <w:rFonts w:hint="eastAsia" w:cs="宋体"/>
                <w:szCs w:val="24"/>
                <w:highlight w:val="none"/>
              </w:rPr>
              <w:t>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▲净开门尺寸</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2000mm*2100mm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▲开门方式</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中分式或者</w:t>
            </w:r>
            <w:r>
              <w:rPr>
                <w:rFonts w:cs="宋体"/>
                <w:szCs w:val="24"/>
                <w:highlight w:val="none"/>
              </w:rPr>
              <w:t>旁开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▲门保护</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光幕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▲轿厢操作盘</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发纹不锈钢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召唤按钮</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发纹不锈钢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▲厅门显示</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LED</w:t>
            </w:r>
            <w:r>
              <w:rPr>
                <w:rFonts w:hint="eastAsia" w:cs="宋体"/>
                <w:szCs w:val="24"/>
                <w:highlight w:val="none"/>
              </w:rPr>
              <w:t>点阵显示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restart"/>
            <w:noWrap w:val="0"/>
            <w:tcMar>
              <w:left w:w="108" w:type="dxa"/>
              <w:right w:w="108" w:type="dxa"/>
            </w:tcMar>
            <w:vAlign w:val="center"/>
          </w:tcPr>
          <w:p>
            <w:pPr>
              <w:rPr>
                <w:rFonts w:cs="宋体"/>
                <w:szCs w:val="24"/>
                <w:highlight w:val="none"/>
              </w:rPr>
            </w:pPr>
            <w:r>
              <w:rPr>
                <w:rFonts w:hint="eastAsia" w:cs="宋体"/>
                <w:szCs w:val="24"/>
                <w:highlight w:val="none"/>
              </w:rPr>
              <w:t>▲轿厢装修</w:t>
            </w: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轿门</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轿顶</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地坪</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防腐蚀钢板，由投标人提供式样供招标人选择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四壁</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门套</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厅门</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bl>
    <w:p>
      <w:pPr>
        <w:spacing w:before="163" w:beforeLines="50"/>
        <w:rPr>
          <w:b/>
          <w:highlight w:val="none"/>
        </w:rPr>
      </w:pPr>
      <w:r>
        <w:rPr>
          <w:rFonts w:hint="eastAsia"/>
          <w:b/>
          <w:highlight w:val="none"/>
        </w:rPr>
        <w:t>表格</w:t>
      </w:r>
      <w:r>
        <w:rPr>
          <w:b/>
          <w:highlight w:val="none"/>
        </w:rPr>
        <w:t>3</w:t>
      </w:r>
    </w:p>
    <w:tbl>
      <w:tblPr>
        <w:tblStyle w:val="16"/>
        <w:tblW w:w="93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1256"/>
        <w:gridCol w:w="6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3"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内容</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Pack</w:t>
            </w:r>
            <w:r>
              <w:rPr>
                <w:rFonts w:hint="eastAsia" w:cs="宋体"/>
                <w:szCs w:val="24"/>
                <w:highlight w:val="none"/>
              </w:rPr>
              <w:t>车间货梯（</w:t>
            </w:r>
            <w:r>
              <w:rPr>
                <w:rFonts w:cs="宋体"/>
                <w:szCs w:val="24"/>
                <w:highlight w:val="none"/>
              </w:rPr>
              <w:t>5000kg</w:t>
            </w:r>
            <w:r>
              <w:rPr>
                <w:rFonts w:hint="eastAsia" w:cs="宋体"/>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数量</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10</w:t>
            </w:r>
            <w:r>
              <w:rPr>
                <w:rFonts w:hint="eastAsia" w:cs="宋体"/>
                <w:szCs w:val="24"/>
                <w:highlight w:val="none"/>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▲电梯速度（</w:t>
            </w:r>
            <w:r>
              <w:rPr>
                <w:rFonts w:cs="宋体"/>
                <w:szCs w:val="24"/>
                <w:highlight w:val="none"/>
              </w:rPr>
              <w:t>m/s</w:t>
            </w:r>
            <w:r>
              <w:rPr>
                <w:rFonts w:hint="eastAsia" w:cs="宋体"/>
                <w:szCs w:val="24"/>
                <w:highlight w:val="none"/>
              </w:rPr>
              <w:t>）</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w:t>
            </w:r>
            <w:r>
              <w:rPr>
                <w:rFonts w:cs="宋体"/>
                <w:szCs w:val="24"/>
                <w:highlight w:val="none"/>
              </w:rPr>
              <w:t>0.5m/s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▲层</w:t>
            </w:r>
            <w:r>
              <w:rPr>
                <w:rFonts w:cs="宋体"/>
                <w:szCs w:val="24"/>
                <w:highlight w:val="none"/>
              </w:rPr>
              <w:t>/</w:t>
            </w:r>
            <w:r>
              <w:rPr>
                <w:rFonts w:hint="eastAsia" w:cs="宋体"/>
                <w:szCs w:val="24"/>
                <w:highlight w:val="none"/>
              </w:rPr>
              <w:t>站</w:t>
            </w:r>
            <w:r>
              <w:rPr>
                <w:rFonts w:cs="宋体"/>
                <w:szCs w:val="24"/>
                <w:highlight w:val="none"/>
              </w:rPr>
              <w:t>/</w:t>
            </w:r>
            <w:r>
              <w:rPr>
                <w:rFonts w:hint="eastAsia" w:cs="宋体"/>
                <w:szCs w:val="24"/>
                <w:highlight w:val="none"/>
              </w:rPr>
              <w:t>门</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2/2/2</w:t>
            </w:r>
            <w:r>
              <w:rPr>
                <w:rFonts w:hint="eastAsia" w:cs="宋体"/>
                <w:szCs w:val="24"/>
                <w:highlight w:val="none"/>
              </w:rPr>
              <w:t>（主体建筑共</w:t>
            </w:r>
            <w:r>
              <w:rPr>
                <w:rFonts w:cs="宋体"/>
                <w:szCs w:val="24"/>
                <w:highlight w:val="none"/>
              </w:rPr>
              <w:t>2</w:t>
            </w:r>
            <w:r>
              <w:rPr>
                <w:rFonts w:hint="eastAsia" w:cs="宋体"/>
                <w:szCs w:val="24"/>
                <w:highlight w:val="none"/>
              </w:rPr>
              <w:t>层：一楼层高</w:t>
            </w:r>
            <w:r>
              <w:rPr>
                <w:rFonts w:cs="宋体"/>
                <w:szCs w:val="24"/>
                <w:highlight w:val="none"/>
              </w:rPr>
              <w:t>8.1</w:t>
            </w:r>
            <w:r>
              <w:rPr>
                <w:rFonts w:hint="eastAsia" w:cs="宋体"/>
                <w:szCs w:val="24"/>
                <w:highlight w:val="none"/>
              </w:rPr>
              <w:t>米、净空约</w:t>
            </w:r>
            <w:r>
              <w:rPr>
                <w:rFonts w:cs="宋体"/>
                <w:szCs w:val="24"/>
                <w:highlight w:val="none"/>
              </w:rPr>
              <w:t>7.2</w:t>
            </w:r>
            <w:r>
              <w:rPr>
                <w:rFonts w:hint="eastAsia" w:cs="宋体"/>
                <w:szCs w:val="24"/>
                <w:highlight w:val="none"/>
              </w:rPr>
              <w:t>米；二楼层高</w:t>
            </w:r>
            <w:r>
              <w:rPr>
                <w:rFonts w:cs="宋体"/>
                <w:szCs w:val="24"/>
                <w:highlight w:val="none"/>
              </w:rPr>
              <w:t>8.1</w:t>
            </w:r>
            <w:r>
              <w:rPr>
                <w:rFonts w:hint="eastAsia" w:cs="宋体"/>
                <w:szCs w:val="24"/>
                <w:highlight w:val="none"/>
              </w:rPr>
              <w:t>米、净空约</w:t>
            </w:r>
            <w:r>
              <w:rPr>
                <w:rFonts w:cs="宋体"/>
                <w:szCs w:val="24"/>
                <w:highlight w:val="none"/>
              </w:rPr>
              <w:t>7.2</w:t>
            </w:r>
            <w:r>
              <w:rPr>
                <w:rFonts w:hint="eastAsia" w:cs="宋体"/>
                <w:szCs w:val="24"/>
                <w:highlight w:val="none"/>
              </w:rPr>
              <w:t>米。）以图为准。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▲操作方法</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单控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▲额定载重量（</w:t>
            </w:r>
            <w:r>
              <w:rPr>
                <w:rFonts w:cs="宋体"/>
                <w:szCs w:val="24"/>
                <w:highlight w:val="none"/>
              </w:rPr>
              <w:t>KG</w:t>
            </w:r>
            <w:r>
              <w:rPr>
                <w:rFonts w:hint="eastAsia" w:cs="宋体"/>
                <w:szCs w:val="24"/>
                <w:highlight w:val="none"/>
              </w:rPr>
              <w:t>）</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基站</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两层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机房位置</w:t>
            </w:r>
          </w:p>
        </w:tc>
        <w:tc>
          <w:tcPr>
            <w:tcW w:w="6564" w:type="dxa"/>
            <w:noWrap w:val="0"/>
            <w:tcMar>
              <w:left w:w="108" w:type="dxa"/>
              <w:right w:w="108" w:type="dxa"/>
            </w:tcMar>
            <w:vAlign w:val="center"/>
          </w:tcPr>
          <w:p>
            <w:pPr>
              <w:rPr>
                <w:rFonts w:cs="宋体"/>
                <w:szCs w:val="24"/>
                <w:highlight w:val="none"/>
              </w:rPr>
            </w:pPr>
            <w:r>
              <w:rPr>
                <w:rFonts w:hint="eastAsia" w:cs="宋体"/>
                <w:b/>
                <w:szCs w:val="24"/>
                <w:highlight w:val="none"/>
              </w:rPr>
              <w:t>第</w:t>
            </w:r>
            <w:r>
              <w:rPr>
                <w:rFonts w:cs="宋体"/>
                <w:b/>
                <w:szCs w:val="24"/>
                <w:highlight w:val="none"/>
              </w:rPr>
              <w:t>2</w:t>
            </w:r>
            <w:r>
              <w:rPr>
                <w:rFonts w:hint="eastAsia" w:cs="宋体"/>
                <w:b/>
                <w:szCs w:val="24"/>
                <w:highlight w:val="none"/>
              </w:rPr>
              <w:t>层（无机房）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▲主机</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永磁同步无齿轮曳引机或有齿轮曳引机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▲控制形式</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VVVF</w:t>
            </w:r>
            <w:r>
              <w:rPr>
                <w:rFonts w:hint="eastAsia" w:cs="宋体"/>
                <w:szCs w:val="24"/>
                <w:highlight w:val="none"/>
              </w:rPr>
              <w:t>变频变压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噪音</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达到国标规范要求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▲井道净尺寸</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4725mm*4875mm</w:t>
            </w:r>
            <w:r>
              <w:rPr>
                <w:rFonts w:hint="eastAsia" w:cs="宋体"/>
                <w:szCs w:val="24"/>
                <w:highlight w:val="none"/>
              </w:rPr>
              <w:t xml:space="preserve">  （宽</w:t>
            </w:r>
            <w:r>
              <w:rPr>
                <w:rFonts w:cs="宋体"/>
                <w:szCs w:val="24"/>
                <w:highlight w:val="none"/>
              </w:rPr>
              <w:t>*</w:t>
            </w:r>
            <w:r>
              <w:rPr>
                <w:rFonts w:hint="eastAsia" w:cs="宋体"/>
                <w:szCs w:val="24"/>
                <w:highlight w:val="none"/>
              </w:rPr>
              <w:t>深）（此尺寸供参考）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▲地坑深度</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1.8m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提升高度</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现场测量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▲轿厢尺寸</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2700mm*3300mm*3100mm</w:t>
            </w:r>
            <w:r>
              <w:rPr>
                <w:rFonts w:hint="eastAsia" w:cs="宋体"/>
                <w:szCs w:val="24"/>
                <w:highlight w:val="none"/>
              </w:rPr>
              <w:t>（宽</w:t>
            </w:r>
            <w:r>
              <w:rPr>
                <w:rFonts w:cs="宋体"/>
                <w:szCs w:val="24"/>
                <w:highlight w:val="none"/>
              </w:rPr>
              <w:t>*</w:t>
            </w:r>
            <w:r>
              <w:rPr>
                <w:rFonts w:hint="eastAsia" w:cs="宋体"/>
                <w:szCs w:val="24"/>
                <w:highlight w:val="none"/>
              </w:rPr>
              <w:t>深</w:t>
            </w:r>
            <w:r>
              <w:rPr>
                <w:rFonts w:cs="宋体"/>
                <w:szCs w:val="24"/>
                <w:highlight w:val="none"/>
              </w:rPr>
              <w:t>*</w:t>
            </w:r>
            <w:r>
              <w:rPr>
                <w:rFonts w:hint="eastAsia" w:cs="宋体"/>
                <w:szCs w:val="24"/>
                <w:highlight w:val="none"/>
              </w:rPr>
              <w:t>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▲净开门尺寸</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2500mm*2800mm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▲开门方式</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中分式或者</w:t>
            </w:r>
            <w:r>
              <w:rPr>
                <w:rFonts w:cs="宋体"/>
                <w:szCs w:val="24"/>
                <w:highlight w:val="none"/>
              </w:rPr>
              <w:t>旁开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▲门保护</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光幕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▲轿厢操作盘</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发纹不锈钢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召唤按钮</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发纹不锈钢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822" w:type="dxa"/>
            <w:gridSpan w:val="2"/>
            <w:noWrap w:val="0"/>
            <w:tcMar>
              <w:left w:w="108" w:type="dxa"/>
              <w:right w:w="108" w:type="dxa"/>
            </w:tcMar>
            <w:vAlign w:val="center"/>
          </w:tcPr>
          <w:p>
            <w:pPr>
              <w:rPr>
                <w:rFonts w:cs="宋体"/>
                <w:szCs w:val="24"/>
                <w:highlight w:val="none"/>
              </w:rPr>
            </w:pPr>
            <w:r>
              <w:rPr>
                <w:rFonts w:hint="eastAsia" w:cs="宋体"/>
                <w:szCs w:val="24"/>
                <w:highlight w:val="none"/>
              </w:rPr>
              <w:t>▲厅门显示</w:t>
            </w:r>
          </w:p>
        </w:tc>
        <w:tc>
          <w:tcPr>
            <w:tcW w:w="6564" w:type="dxa"/>
            <w:noWrap w:val="0"/>
            <w:tcMar>
              <w:left w:w="108" w:type="dxa"/>
              <w:right w:w="108" w:type="dxa"/>
            </w:tcMar>
            <w:vAlign w:val="center"/>
          </w:tcPr>
          <w:p>
            <w:pPr>
              <w:rPr>
                <w:rFonts w:cs="宋体"/>
                <w:szCs w:val="24"/>
                <w:highlight w:val="none"/>
              </w:rPr>
            </w:pPr>
            <w:r>
              <w:rPr>
                <w:rFonts w:cs="宋体"/>
                <w:szCs w:val="24"/>
                <w:highlight w:val="none"/>
              </w:rPr>
              <w:t>LED</w:t>
            </w:r>
            <w:r>
              <w:rPr>
                <w:rFonts w:hint="eastAsia" w:cs="宋体"/>
                <w:szCs w:val="24"/>
                <w:highlight w:val="none"/>
              </w:rPr>
              <w:t>点阵显示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566" w:type="dxa"/>
            <w:vMerge w:val="restart"/>
            <w:noWrap w:val="0"/>
            <w:tcMar>
              <w:left w:w="108" w:type="dxa"/>
              <w:right w:w="108" w:type="dxa"/>
            </w:tcMar>
            <w:vAlign w:val="center"/>
          </w:tcPr>
          <w:p>
            <w:pPr>
              <w:rPr>
                <w:rFonts w:cs="宋体"/>
                <w:szCs w:val="24"/>
                <w:highlight w:val="none"/>
              </w:rPr>
            </w:pPr>
            <w:r>
              <w:rPr>
                <w:rFonts w:hint="eastAsia" w:cs="宋体"/>
                <w:szCs w:val="24"/>
                <w:highlight w:val="none"/>
              </w:rPr>
              <w:t>▲轿厢装修</w:t>
            </w:r>
          </w:p>
        </w:tc>
        <w:tc>
          <w:tcPr>
            <w:tcW w:w="1255" w:type="dxa"/>
            <w:noWrap w:val="0"/>
            <w:tcMar>
              <w:left w:w="108" w:type="dxa"/>
              <w:right w:w="108" w:type="dxa"/>
            </w:tcMar>
            <w:vAlign w:val="center"/>
          </w:tcPr>
          <w:p>
            <w:pPr>
              <w:rPr>
                <w:rFonts w:cs="宋体"/>
                <w:szCs w:val="24"/>
                <w:highlight w:val="none"/>
              </w:rPr>
            </w:pPr>
            <w:r>
              <w:rPr>
                <w:rFonts w:hint="eastAsia" w:cs="宋体"/>
                <w:szCs w:val="24"/>
                <w:highlight w:val="none"/>
              </w:rPr>
              <w:t>轿门</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566" w:type="dxa"/>
            <w:vMerge w:val="continue"/>
            <w:noWrap w:val="0"/>
            <w:vAlign w:val="center"/>
          </w:tcPr>
          <w:p>
            <w:pPr>
              <w:rPr>
                <w:szCs w:val="24"/>
                <w:highlight w:val="none"/>
              </w:rPr>
            </w:pPr>
          </w:p>
        </w:tc>
        <w:tc>
          <w:tcPr>
            <w:tcW w:w="1255" w:type="dxa"/>
            <w:noWrap w:val="0"/>
            <w:tcMar>
              <w:left w:w="108" w:type="dxa"/>
              <w:right w:w="108" w:type="dxa"/>
            </w:tcMar>
            <w:vAlign w:val="center"/>
          </w:tcPr>
          <w:p>
            <w:pPr>
              <w:rPr>
                <w:rFonts w:cs="宋体"/>
                <w:szCs w:val="24"/>
                <w:highlight w:val="none"/>
              </w:rPr>
            </w:pPr>
            <w:r>
              <w:rPr>
                <w:rFonts w:hint="eastAsia" w:cs="宋体"/>
                <w:szCs w:val="24"/>
                <w:highlight w:val="none"/>
              </w:rPr>
              <w:t>轿顶</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1566" w:type="dxa"/>
            <w:vMerge w:val="continue"/>
            <w:noWrap w:val="0"/>
            <w:vAlign w:val="center"/>
          </w:tcPr>
          <w:p>
            <w:pPr>
              <w:rPr>
                <w:szCs w:val="24"/>
                <w:highlight w:val="none"/>
              </w:rPr>
            </w:pPr>
          </w:p>
        </w:tc>
        <w:tc>
          <w:tcPr>
            <w:tcW w:w="1255" w:type="dxa"/>
            <w:noWrap w:val="0"/>
            <w:tcMar>
              <w:left w:w="108" w:type="dxa"/>
              <w:right w:w="108" w:type="dxa"/>
            </w:tcMar>
            <w:vAlign w:val="center"/>
          </w:tcPr>
          <w:p>
            <w:pPr>
              <w:rPr>
                <w:rFonts w:cs="宋体"/>
                <w:szCs w:val="24"/>
                <w:highlight w:val="none"/>
              </w:rPr>
            </w:pPr>
            <w:r>
              <w:rPr>
                <w:rFonts w:hint="eastAsia" w:cs="宋体"/>
                <w:szCs w:val="24"/>
                <w:highlight w:val="none"/>
              </w:rPr>
              <w:t>地坪</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防腐蚀钢板，由投标人提供式样供招标人选择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566" w:type="dxa"/>
            <w:vMerge w:val="continue"/>
            <w:noWrap w:val="0"/>
            <w:vAlign w:val="center"/>
          </w:tcPr>
          <w:p>
            <w:pPr>
              <w:rPr>
                <w:szCs w:val="24"/>
                <w:highlight w:val="none"/>
              </w:rPr>
            </w:pPr>
          </w:p>
        </w:tc>
        <w:tc>
          <w:tcPr>
            <w:tcW w:w="1255" w:type="dxa"/>
            <w:noWrap w:val="0"/>
            <w:tcMar>
              <w:left w:w="108" w:type="dxa"/>
              <w:right w:w="108" w:type="dxa"/>
            </w:tcMar>
            <w:vAlign w:val="center"/>
          </w:tcPr>
          <w:p>
            <w:pPr>
              <w:rPr>
                <w:rFonts w:cs="宋体"/>
                <w:szCs w:val="24"/>
                <w:highlight w:val="none"/>
              </w:rPr>
            </w:pPr>
            <w:r>
              <w:rPr>
                <w:rFonts w:hint="eastAsia" w:cs="宋体"/>
                <w:szCs w:val="24"/>
                <w:highlight w:val="none"/>
              </w:rPr>
              <w:t>四壁</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566" w:type="dxa"/>
            <w:vMerge w:val="continue"/>
            <w:noWrap w:val="0"/>
            <w:vAlign w:val="center"/>
          </w:tcPr>
          <w:p>
            <w:pPr>
              <w:rPr>
                <w:szCs w:val="24"/>
                <w:highlight w:val="none"/>
              </w:rPr>
            </w:pPr>
          </w:p>
        </w:tc>
        <w:tc>
          <w:tcPr>
            <w:tcW w:w="1255" w:type="dxa"/>
            <w:noWrap w:val="0"/>
            <w:tcMar>
              <w:left w:w="108" w:type="dxa"/>
              <w:right w:w="108" w:type="dxa"/>
            </w:tcMar>
            <w:vAlign w:val="center"/>
          </w:tcPr>
          <w:p>
            <w:pPr>
              <w:rPr>
                <w:rFonts w:cs="宋体"/>
                <w:szCs w:val="24"/>
                <w:highlight w:val="none"/>
              </w:rPr>
            </w:pPr>
            <w:r>
              <w:rPr>
                <w:rFonts w:hint="eastAsia" w:cs="宋体"/>
                <w:szCs w:val="24"/>
                <w:highlight w:val="none"/>
              </w:rPr>
              <w:t>门套</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566" w:type="dxa"/>
            <w:vMerge w:val="continue"/>
            <w:noWrap w:val="0"/>
            <w:vAlign w:val="center"/>
          </w:tcPr>
          <w:p>
            <w:pPr>
              <w:rPr>
                <w:szCs w:val="24"/>
                <w:highlight w:val="none"/>
              </w:rPr>
            </w:pPr>
          </w:p>
        </w:tc>
        <w:tc>
          <w:tcPr>
            <w:tcW w:w="1255" w:type="dxa"/>
            <w:noWrap w:val="0"/>
            <w:tcMar>
              <w:left w:w="108" w:type="dxa"/>
              <w:right w:w="108" w:type="dxa"/>
            </w:tcMar>
            <w:vAlign w:val="center"/>
          </w:tcPr>
          <w:p>
            <w:pPr>
              <w:rPr>
                <w:rFonts w:cs="宋体"/>
                <w:szCs w:val="24"/>
                <w:highlight w:val="none"/>
              </w:rPr>
            </w:pPr>
            <w:r>
              <w:rPr>
                <w:rFonts w:hint="eastAsia" w:cs="宋体"/>
                <w:szCs w:val="24"/>
                <w:highlight w:val="none"/>
              </w:rPr>
              <w:t>厅门</w:t>
            </w:r>
          </w:p>
        </w:tc>
        <w:tc>
          <w:tcPr>
            <w:tcW w:w="6564"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bl>
    <w:p>
      <w:pPr>
        <w:spacing w:before="163" w:beforeLines="50"/>
        <w:rPr>
          <w:b/>
          <w:highlight w:val="none"/>
        </w:rPr>
      </w:pPr>
      <w:r>
        <w:rPr>
          <w:rFonts w:hint="eastAsia"/>
          <w:b/>
          <w:highlight w:val="none"/>
        </w:rPr>
        <w:t>表格</w:t>
      </w:r>
      <w:r>
        <w:rPr>
          <w:b/>
          <w:highlight w:val="none"/>
        </w:rPr>
        <w:t>4</w:t>
      </w:r>
    </w:p>
    <w:tbl>
      <w:tblPr>
        <w:tblStyle w:val="16"/>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5"/>
        <w:gridCol w:w="1246"/>
        <w:gridCol w:w="6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内容</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Pack</w:t>
            </w:r>
            <w:r>
              <w:rPr>
                <w:rFonts w:hint="eastAsia" w:cs="宋体"/>
                <w:szCs w:val="24"/>
                <w:highlight w:val="none"/>
              </w:rPr>
              <w:t>车间客梯（</w:t>
            </w:r>
            <w:r>
              <w:rPr>
                <w:rFonts w:cs="宋体"/>
                <w:szCs w:val="24"/>
                <w:highlight w:val="none"/>
              </w:rPr>
              <w:t>1275kg</w:t>
            </w:r>
            <w:r>
              <w:rPr>
                <w:rFonts w:hint="eastAsia" w:cs="宋体"/>
                <w:szCs w:val="24"/>
                <w:highlight w:val="none"/>
              </w:rPr>
              <w:t>）</w:t>
            </w:r>
            <w:r>
              <w:rPr>
                <w:rFonts w:cs="宋体"/>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数量</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2</w:t>
            </w:r>
            <w:r>
              <w:rPr>
                <w:rFonts w:hint="eastAsia" w:cs="宋体"/>
                <w:szCs w:val="24"/>
                <w:highlight w:val="none"/>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▲电梯速度（</w:t>
            </w:r>
            <w:r>
              <w:rPr>
                <w:rFonts w:cs="宋体"/>
                <w:szCs w:val="24"/>
                <w:highlight w:val="none"/>
              </w:rPr>
              <w:t>m/s</w:t>
            </w:r>
            <w:r>
              <w:rPr>
                <w:rFonts w:hint="eastAsia" w:cs="宋体"/>
                <w:szCs w:val="24"/>
                <w:highlight w:val="none"/>
              </w:rPr>
              <w:t>）</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w:t>
            </w:r>
            <w:r>
              <w:rPr>
                <w:rFonts w:cs="宋体"/>
                <w:szCs w:val="24"/>
                <w:highlight w:val="none"/>
              </w:rPr>
              <w:t>1.6m/s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▲层</w:t>
            </w:r>
            <w:r>
              <w:rPr>
                <w:rFonts w:cs="宋体"/>
                <w:szCs w:val="24"/>
                <w:highlight w:val="none"/>
              </w:rPr>
              <w:t>/</w:t>
            </w:r>
            <w:r>
              <w:rPr>
                <w:rFonts w:hint="eastAsia" w:cs="宋体"/>
                <w:szCs w:val="24"/>
                <w:highlight w:val="none"/>
              </w:rPr>
              <w:t>站</w:t>
            </w:r>
            <w:r>
              <w:rPr>
                <w:rFonts w:cs="宋体"/>
                <w:szCs w:val="24"/>
                <w:highlight w:val="none"/>
              </w:rPr>
              <w:t>/</w:t>
            </w:r>
            <w:r>
              <w:rPr>
                <w:rFonts w:hint="eastAsia" w:cs="宋体"/>
                <w:szCs w:val="24"/>
                <w:highlight w:val="none"/>
              </w:rPr>
              <w:t>门</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2/2/2</w:t>
            </w:r>
            <w:r>
              <w:rPr>
                <w:rFonts w:hint="eastAsia" w:cs="宋体"/>
                <w:szCs w:val="24"/>
                <w:highlight w:val="none"/>
              </w:rPr>
              <w:t>（主体建筑共</w:t>
            </w:r>
            <w:r>
              <w:rPr>
                <w:rFonts w:cs="宋体"/>
                <w:szCs w:val="24"/>
                <w:highlight w:val="none"/>
              </w:rPr>
              <w:t>2</w:t>
            </w:r>
            <w:r>
              <w:rPr>
                <w:rFonts w:hint="eastAsia" w:cs="宋体"/>
                <w:szCs w:val="24"/>
                <w:highlight w:val="none"/>
              </w:rPr>
              <w:t>层：一楼层高</w:t>
            </w:r>
            <w:r>
              <w:rPr>
                <w:rFonts w:cs="宋体"/>
                <w:szCs w:val="24"/>
                <w:highlight w:val="none"/>
              </w:rPr>
              <w:t>8.1</w:t>
            </w:r>
            <w:r>
              <w:rPr>
                <w:rFonts w:hint="eastAsia" w:cs="宋体"/>
                <w:szCs w:val="24"/>
                <w:highlight w:val="none"/>
              </w:rPr>
              <w:t>米、净空约</w:t>
            </w:r>
            <w:r>
              <w:rPr>
                <w:rFonts w:cs="宋体"/>
                <w:szCs w:val="24"/>
                <w:highlight w:val="none"/>
              </w:rPr>
              <w:t>7.2</w:t>
            </w:r>
            <w:r>
              <w:rPr>
                <w:rFonts w:hint="eastAsia" w:cs="宋体"/>
                <w:szCs w:val="24"/>
                <w:highlight w:val="none"/>
              </w:rPr>
              <w:t>米；二楼层高</w:t>
            </w:r>
            <w:r>
              <w:rPr>
                <w:rFonts w:cs="宋体"/>
                <w:szCs w:val="24"/>
                <w:highlight w:val="none"/>
              </w:rPr>
              <w:t>8.1</w:t>
            </w:r>
            <w:r>
              <w:rPr>
                <w:rFonts w:hint="eastAsia" w:cs="宋体"/>
                <w:szCs w:val="24"/>
                <w:highlight w:val="none"/>
              </w:rPr>
              <w:t>米、净空约</w:t>
            </w:r>
            <w:r>
              <w:rPr>
                <w:rFonts w:cs="宋体"/>
                <w:szCs w:val="24"/>
                <w:highlight w:val="none"/>
              </w:rPr>
              <w:t>7.2</w:t>
            </w:r>
            <w:r>
              <w:rPr>
                <w:rFonts w:hint="eastAsia" w:cs="宋体"/>
                <w:szCs w:val="24"/>
                <w:highlight w:val="none"/>
              </w:rPr>
              <w:t>米。）以图为准。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▲操作方法</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单控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▲额定载重量（</w:t>
            </w:r>
            <w:r>
              <w:rPr>
                <w:rFonts w:cs="宋体"/>
                <w:szCs w:val="24"/>
                <w:highlight w:val="none"/>
              </w:rPr>
              <w:t>KG</w:t>
            </w:r>
            <w:r>
              <w:rPr>
                <w:rFonts w:hint="eastAsia" w:cs="宋体"/>
                <w:szCs w:val="24"/>
                <w:highlight w:val="none"/>
              </w:rPr>
              <w:t>）</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1275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基站</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两层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机房位置</w:t>
            </w:r>
          </w:p>
        </w:tc>
        <w:tc>
          <w:tcPr>
            <w:tcW w:w="6516" w:type="dxa"/>
            <w:noWrap w:val="0"/>
            <w:tcMar>
              <w:left w:w="108" w:type="dxa"/>
              <w:right w:w="108" w:type="dxa"/>
            </w:tcMar>
            <w:vAlign w:val="center"/>
          </w:tcPr>
          <w:p>
            <w:pPr>
              <w:rPr>
                <w:rFonts w:cs="宋体"/>
                <w:szCs w:val="24"/>
                <w:highlight w:val="none"/>
              </w:rPr>
            </w:pPr>
            <w:r>
              <w:rPr>
                <w:rFonts w:hint="eastAsia" w:cs="宋体"/>
                <w:b/>
                <w:szCs w:val="24"/>
                <w:highlight w:val="none"/>
              </w:rPr>
              <w:t>第2层（无机房）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▲主机</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永磁同步无齿轮曳引机或有齿轮曳引机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▲控制形式</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VVVF</w:t>
            </w:r>
            <w:r>
              <w:rPr>
                <w:rFonts w:hint="eastAsia" w:cs="宋体"/>
                <w:szCs w:val="24"/>
                <w:highlight w:val="none"/>
              </w:rPr>
              <w:t>变频变压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噪音</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达到国标规范要求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▲井道净尺寸</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2825mm*3550mm</w:t>
            </w:r>
            <w:r>
              <w:rPr>
                <w:rFonts w:hint="eastAsia" w:cs="宋体"/>
                <w:szCs w:val="24"/>
                <w:highlight w:val="none"/>
              </w:rPr>
              <w:t xml:space="preserve"> （宽</w:t>
            </w:r>
            <w:r>
              <w:rPr>
                <w:rFonts w:cs="宋体"/>
                <w:szCs w:val="24"/>
                <w:highlight w:val="none"/>
              </w:rPr>
              <w:t>*</w:t>
            </w:r>
            <w:r>
              <w:rPr>
                <w:rFonts w:hint="eastAsia" w:cs="宋体"/>
                <w:szCs w:val="24"/>
                <w:highlight w:val="none"/>
              </w:rPr>
              <w:t>深）（此尺寸供参考）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▲地坑深度</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1.6m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提升高度</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现场测量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▲轿厢尺寸</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1600mm*2200mm*2500mm</w:t>
            </w:r>
            <w:r>
              <w:rPr>
                <w:rFonts w:hint="eastAsia" w:cs="宋体"/>
                <w:szCs w:val="24"/>
                <w:highlight w:val="none"/>
              </w:rPr>
              <w:t>（宽</w:t>
            </w:r>
            <w:r>
              <w:rPr>
                <w:rFonts w:cs="宋体"/>
                <w:szCs w:val="24"/>
                <w:highlight w:val="none"/>
              </w:rPr>
              <w:t>*</w:t>
            </w:r>
            <w:r>
              <w:rPr>
                <w:rFonts w:hint="eastAsia" w:cs="宋体"/>
                <w:szCs w:val="24"/>
                <w:highlight w:val="none"/>
              </w:rPr>
              <w:t>深</w:t>
            </w:r>
            <w:r>
              <w:rPr>
                <w:rFonts w:cs="宋体"/>
                <w:szCs w:val="24"/>
                <w:highlight w:val="none"/>
              </w:rPr>
              <w:t>*</w:t>
            </w:r>
            <w:r>
              <w:rPr>
                <w:rFonts w:hint="eastAsia" w:cs="宋体"/>
                <w:szCs w:val="24"/>
                <w:highlight w:val="none"/>
              </w:rPr>
              <w:t>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▲净开门尺寸</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1400mm*2200mm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▲开门方式</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中分式或者</w:t>
            </w:r>
            <w:r>
              <w:rPr>
                <w:rFonts w:cs="宋体"/>
                <w:szCs w:val="24"/>
                <w:highlight w:val="none"/>
              </w:rPr>
              <w:t>旁开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▲门保护</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光幕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▲轿厢操作盘</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发纹不锈钢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召唤按钮</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发纹不锈钢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801" w:type="dxa"/>
            <w:gridSpan w:val="2"/>
            <w:noWrap w:val="0"/>
            <w:tcMar>
              <w:left w:w="108" w:type="dxa"/>
              <w:right w:w="108" w:type="dxa"/>
            </w:tcMar>
            <w:vAlign w:val="center"/>
          </w:tcPr>
          <w:p>
            <w:pPr>
              <w:rPr>
                <w:rFonts w:cs="宋体"/>
                <w:szCs w:val="24"/>
                <w:highlight w:val="none"/>
              </w:rPr>
            </w:pPr>
            <w:r>
              <w:rPr>
                <w:rFonts w:hint="eastAsia" w:cs="宋体"/>
                <w:szCs w:val="24"/>
                <w:highlight w:val="none"/>
              </w:rPr>
              <w:t>▲厅门显示</w:t>
            </w:r>
          </w:p>
        </w:tc>
        <w:tc>
          <w:tcPr>
            <w:tcW w:w="6516" w:type="dxa"/>
            <w:noWrap w:val="0"/>
            <w:tcMar>
              <w:left w:w="108" w:type="dxa"/>
              <w:right w:w="108" w:type="dxa"/>
            </w:tcMar>
            <w:vAlign w:val="center"/>
          </w:tcPr>
          <w:p>
            <w:pPr>
              <w:rPr>
                <w:rFonts w:cs="宋体"/>
                <w:szCs w:val="24"/>
                <w:highlight w:val="none"/>
              </w:rPr>
            </w:pPr>
            <w:r>
              <w:rPr>
                <w:rFonts w:cs="宋体"/>
                <w:szCs w:val="24"/>
                <w:highlight w:val="none"/>
              </w:rPr>
              <w:t>LED</w:t>
            </w:r>
            <w:r>
              <w:rPr>
                <w:rFonts w:hint="eastAsia" w:cs="宋体"/>
                <w:szCs w:val="24"/>
                <w:highlight w:val="none"/>
              </w:rPr>
              <w:t>点阵显示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restart"/>
            <w:noWrap w:val="0"/>
            <w:tcMar>
              <w:left w:w="108" w:type="dxa"/>
              <w:right w:w="108" w:type="dxa"/>
            </w:tcMar>
            <w:vAlign w:val="center"/>
          </w:tcPr>
          <w:p>
            <w:pPr>
              <w:rPr>
                <w:rFonts w:cs="宋体"/>
                <w:szCs w:val="24"/>
                <w:highlight w:val="none"/>
              </w:rPr>
            </w:pPr>
            <w:r>
              <w:rPr>
                <w:rFonts w:hint="eastAsia" w:cs="宋体"/>
                <w:szCs w:val="24"/>
                <w:highlight w:val="none"/>
              </w:rPr>
              <w:t>▲轿厢装修</w:t>
            </w: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轿门</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轿顶</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地坪</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防腐蚀钢板，由投标人提供式样供招标人选择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四壁</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门套</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555" w:type="dxa"/>
            <w:vMerge w:val="continue"/>
            <w:noWrap w:val="0"/>
            <w:vAlign w:val="center"/>
          </w:tcPr>
          <w:p>
            <w:pPr>
              <w:rPr>
                <w:szCs w:val="24"/>
                <w:highlight w:val="none"/>
              </w:rPr>
            </w:pPr>
          </w:p>
        </w:tc>
        <w:tc>
          <w:tcPr>
            <w:tcW w:w="1246" w:type="dxa"/>
            <w:noWrap w:val="0"/>
            <w:tcMar>
              <w:left w:w="108" w:type="dxa"/>
              <w:right w:w="108" w:type="dxa"/>
            </w:tcMar>
            <w:vAlign w:val="center"/>
          </w:tcPr>
          <w:p>
            <w:pPr>
              <w:rPr>
                <w:rFonts w:cs="宋体"/>
                <w:szCs w:val="24"/>
                <w:highlight w:val="none"/>
              </w:rPr>
            </w:pPr>
            <w:r>
              <w:rPr>
                <w:rFonts w:hint="eastAsia" w:cs="宋体"/>
                <w:szCs w:val="24"/>
                <w:highlight w:val="none"/>
              </w:rPr>
              <w:t>厅门</w:t>
            </w:r>
          </w:p>
        </w:tc>
        <w:tc>
          <w:tcPr>
            <w:tcW w:w="6516" w:type="dxa"/>
            <w:noWrap w:val="0"/>
            <w:tcMar>
              <w:left w:w="108" w:type="dxa"/>
              <w:right w:w="108" w:type="dxa"/>
            </w:tcMar>
            <w:vAlign w:val="center"/>
          </w:tcPr>
          <w:p>
            <w:pPr>
              <w:rPr>
                <w:rFonts w:cs="宋体"/>
                <w:szCs w:val="24"/>
                <w:highlight w:val="none"/>
              </w:rPr>
            </w:pPr>
            <w:r>
              <w:rPr>
                <w:rFonts w:hint="eastAsia" w:cs="宋体"/>
                <w:szCs w:val="24"/>
                <w:highlight w:val="none"/>
              </w:rPr>
              <w:t>喷漆钢板</w:t>
            </w:r>
          </w:p>
        </w:tc>
      </w:tr>
    </w:tbl>
    <w:p>
      <w:pPr>
        <w:spacing w:before="163" w:beforeLines="50"/>
        <w:rPr>
          <w:b/>
          <w:highlight w:val="none"/>
        </w:rPr>
      </w:pPr>
      <w:r>
        <w:rPr>
          <w:rFonts w:hint="eastAsia"/>
          <w:b/>
          <w:highlight w:val="none"/>
        </w:rPr>
        <w:t>表格</w:t>
      </w:r>
      <w:r>
        <w:rPr>
          <w:b/>
          <w:highlight w:val="none"/>
        </w:rPr>
        <w:t>5</w:t>
      </w:r>
    </w:p>
    <w:tbl>
      <w:tblPr>
        <w:tblStyle w:val="1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50"/>
        <w:gridCol w:w="6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内容</w:t>
            </w:r>
          </w:p>
        </w:tc>
        <w:tc>
          <w:tcPr>
            <w:tcW w:w="6883" w:type="dxa"/>
            <w:shd w:val="clear" w:color="auto" w:fill="auto"/>
            <w:noWrap w:val="0"/>
            <w:vAlign w:val="center"/>
          </w:tcPr>
          <w:p>
            <w:pPr>
              <w:rPr>
                <w:rFonts w:cs="宋体"/>
                <w:szCs w:val="24"/>
                <w:highlight w:val="none"/>
              </w:rPr>
            </w:pPr>
            <w:r>
              <w:rPr>
                <w:rFonts w:hint="eastAsia" w:cs="宋体"/>
                <w:szCs w:val="24"/>
                <w:highlight w:val="none"/>
              </w:rPr>
              <w:t>计量中心货梯（</w:t>
            </w:r>
            <w:r>
              <w:rPr>
                <w:rFonts w:cs="宋体"/>
                <w:szCs w:val="24"/>
                <w:highlight w:val="none"/>
              </w:rPr>
              <w:t>3000kg</w:t>
            </w:r>
            <w:r>
              <w:rPr>
                <w:rFonts w:hint="eastAsia" w:cs="宋体"/>
                <w:szCs w:val="24"/>
                <w:highlight w:val="none"/>
              </w:rPr>
              <w:t>）</w:t>
            </w:r>
            <w:r>
              <w:rPr>
                <w:rFonts w:cs="宋体"/>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数量</w:t>
            </w:r>
          </w:p>
        </w:tc>
        <w:tc>
          <w:tcPr>
            <w:tcW w:w="6883" w:type="dxa"/>
            <w:shd w:val="clear" w:color="auto" w:fill="auto"/>
            <w:noWrap w:val="0"/>
            <w:vAlign w:val="center"/>
          </w:tcPr>
          <w:p>
            <w:pPr>
              <w:rPr>
                <w:rFonts w:cs="宋体"/>
                <w:szCs w:val="24"/>
                <w:highlight w:val="none"/>
              </w:rPr>
            </w:pPr>
            <w:r>
              <w:rPr>
                <w:rFonts w:cs="宋体"/>
                <w:szCs w:val="24"/>
                <w:highlight w:val="none"/>
              </w:rPr>
              <w:t>1</w:t>
            </w:r>
            <w:r>
              <w:rPr>
                <w:rFonts w:hint="eastAsia" w:cs="宋体"/>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▲电梯速度（</w:t>
            </w:r>
            <w:r>
              <w:rPr>
                <w:rFonts w:cs="宋体"/>
                <w:szCs w:val="24"/>
                <w:highlight w:val="none"/>
              </w:rPr>
              <w:t>m/s</w:t>
            </w:r>
            <w:r>
              <w:rPr>
                <w:rFonts w:hint="eastAsia" w:cs="宋体"/>
                <w:szCs w:val="24"/>
                <w:highlight w:val="none"/>
              </w:rPr>
              <w:t>）</w:t>
            </w:r>
          </w:p>
        </w:tc>
        <w:tc>
          <w:tcPr>
            <w:tcW w:w="6883" w:type="dxa"/>
            <w:shd w:val="clear" w:color="auto" w:fill="auto"/>
            <w:noWrap w:val="0"/>
            <w:vAlign w:val="center"/>
          </w:tcPr>
          <w:p>
            <w:pPr>
              <w:rPr>
                <w:rFonts w:cs="宋体"/>
                <w:szCs w:val="24"/>
                <w:highlight w:val="none"/>
              </w:rPr>
            </w:pPr>
            <w:r>
              <w:rPr>
                <w:rFonts w:hint="eastAsia" w:cs="宋体"/>
                <w:szCs w:val="24"/>
                <w:highlight w:val="none"/>
              </w:rPr>
              <w:t>≥</w:t>
            </w:r>
            <w:r>
              <w:rPr>
                <w:rFonts w:cs="宋体"/>
                <w:szCs w:val="24"/>
                <w:highlight w:val="none"/>
              </w:rPr>
              <w:t>0.5m/s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▲层</w:t>
            </w:r>
            <w:r>
              <w:rPr>
                <w:rFonts w:cs="宋体"/>
                <w:szCs w:val="24"/>
                <w:highlight w:val="none"/>
              </w:rPr>
              <w:t>/</w:t>
            </w:r>
            <w:r>
              <w:rPr>
                <w:rFonts w:hint="eastAsia" w:cs="宋体"/>
                <w:szCs w:val="24"/>
                <w:highlight w:val="none"/>
              </w:rPr>
              <w:t>站</w:t>
            </w:r>
            <w:r>
              <w:rPr>
                <w:rFonts w:cs="宋体"/>
                <w:szCs w:val="24"/>
                <w:highlight w:val="none"/>
              </w:rPr>
              <w:t>/</w:t>
            </w:r>
            <w:r>
              <w:rPr>
                <w:rFonts w:hint="eastAsia" w:cs="宋体"/>
                <w:szCs w:val="24"/>
                <w:highlight w:val="none"/>
              </w:rPr>
              <w:t>门</w:t>
            </w:r>
          </w:p>
        </w:tc>
        <w:tc>
          <w:tcPr>
            <w:tcW w:w="6883" w:type="dxa"/>
            <w:shd w:val="clear" w:color="auto" w:fill="auto"/>
            <w:noWrap w:val="0"/>
            <w:vAlign w:val="center"/>
          </w:tcPr>
          <w:p>
            <w:pPr>
              <w:rPr>
                <w:rFonts w:cs="宋体"/>
                <w:szCs w:val="24"/>
                <w:highlight w:val="none"/>
              </w:rPr>
            </w:pPr>
            <w:r>
              <w:rPr>
                <w:rFonts w:cs="宋体"/>
                <w:szCs w:val="24"/>
                <w:highlight w:val="none"/>
              </w:rPr>
              <w:t>2/2/2</w:t>
            </w:r>
            <w:r>
              <w:rPr>
                <w:rFonts w:hint="eastAsia" w:cs="宋体"/>
                <w:szCs w:val="24"/>
                <w:highlight w:val="none"/>
              </w:rPr>
              <w:t>（主体建筑共</w:t>
            </w:r>
            <w:r>
              <w:rPr>
                <w:rFonts w:cs="宋体"/>
                <w:szCs w:val="24"/>
                <w:highlight w:val="none"/>
              </w:rPr>
              <w:t>2</w:t>
            </w:r>
            <w:r>
              <w:rPr>
                <w:rFonts w:hint="eastAsia" w:cs="宋体"/>
                <w:szCs w:val="24"/>
                <w:highlight w:val="none"/>
              </w:rPr>
              <w:t>层：一楼层高</w:t>
            </w:r>
            <w:r>
              <w:rPr>
                <w:rFonts w:cs="宋体"/>
                <w:szCs w:val="24"/>
                <w:highlight w:val="none"/>
              </w:rPr>
              <w:t>6</w:t>
            </w:r>
            <w:r>
              <w:rPr>
                <w:rFonts w:hint="eastAsia" w:cs="宋体"/>
                <w:szCs w:val="24"/>
                <w:highlight w:val="none"/>
              </w:rPr>
              <w:t>米、净空约</w:t>
            </w:r>
            <w:r>
              <w:rPr>
                <w:rFonts w:cs="宋体"/>
                <w:szCs w:val="24"/>
                <w:highlight w:val="none"/>
              </w:rPr>
              <w:t>5.2</w:t>
            </w:r>
            <w:r>
              <w:rPr>
                <w:rFonts w:hint="eastAsia" w:cs="宋体"/>
                <w:szCs w:val="24"/>
                <w:highlight w:val="none"/>
              </w:rPr>
              <w:t>米；二楼层高</w:t>
            </w:r>
            <w:r>
              <w:rPr>
                <w:rFonts w:cs="宋体"/>
                <w:szCs w:val="24"/>
                <w:highlight w:val="none"/>
              </w:rPr>
              <w:t>5</w:t>
            </w:r>
            <w:r>
              <w:rPr>
                <w:rFonts w:hint="eastAsia" w:cs="宋体"/>
                <w:szCs w:val="24"/>
                <w:highlight w:val="none"/>
              </w:rPr>
              <w:t>米、净空约</w:t>
            </w:r>
            <w:r>
              <w:rPr>
                <w:rFonts w:cs="宋体"/>
                <w:szCs w:val="24"/>
                <w:highlight w:val="none"/>
              </w:rPr>
              <w:t>4.2</w:t>
            </w:r>
            <w:r>
              <w:rPr>
                <w:rFonts w:hint="eastAsia" w:cs="宋体"/>
                <w:szCs w:val="24"/>
                <w:highlight w:val="none"/>
              </w:rPr>
              <w:t>米。）以图为准。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▲操作方法</w:t>
            </w:r>
          </w:p>
        </w:tc>
        <w:tc>
          <w:tcPr>
            <w:tcW w:w="6883" w:type="dxa"/>
            <w:shd w:val="clear" w:color="auto" w:fill="auto"/>
            <w:noWrap w:val="0"/>
            <w:vAlign w:val="center"/>
          </w:tcPr>
          <w:p>
            <w:pPr>
              <w:rPr>
                <w:rFonts w:cs="宋体"/>
                <w:szCs w:val="24"/>
                <w:highlight w:val="none"/>
              </w:rPr>
            </w:pPr>
            <w:r>
              <w:rPr>
                <w:rFonts w:hint="eastAsia" w:cs="宋体"/>
                <w:szCs w:val="24"/>
                <w:highlight w:val="none"/>
              </w:rPr>
              <w:t>单控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▲额定载重量（</w:t>
            </w:r>
            <w:r>
              <w:rPr>
                <w:rFonts w:cs="宋体"/>
                <w:szCs w:val="24"/>
                <w:highlight w:val="none"/>
              </w:rPr>
              <w:t>KG</w:t>
            </w:r>
            <w:r>
              <w:rPr>
                <w:rFonts w:hint="eastAsia" w:cs="宋体"/>
                <w:szCs w:val="24"/>
                <w:highlight w:val="none"/>
              </w:rPr>
              <w:t>）</w:t>
            </w:r>
          </w:p>
        </w:tc>
        <w:tc>
          <w:tcPr>
            <w:tcW w:w="6883" w:type="dxa"/>
            <w:shd w:val="clear" w:color="auto" w:fill="auto"/>
            <w:noWrap w:val="0"/>
            <w:vAlign w:val="center"/>
          </w:tcPr>
          <w:p>
            <w:pPr>
              <w:rPr>
                <w:rFonts w:cs="宋体"/>
                <w:szCs w:val="24"/>
                <w:highlight w:val="none"/>
              </w:rPr>
            </w:pPr>
            <w:r>
              <w:rPr>
                <w:rFonts w:cs="宋体"/>
                <w:szCs w:val="24"/>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ind w:firstLine="210"/>
              <w:rPr>
                <w:rFonts w:cs="宋体"/>
                <w:szCs w:val="24"/>
                <w:highlight w:val="none"/>
              </w:rPr>
            </w:pPr>
            <w:r>
              <w:rPr>
                <w:rFonts w:hint="eastAsia" w:cs="宋体"/>
                <w:szCs w:val="24"/>
                <w:highlight w:val="none"/>
              </w:rPr>
              <w:t>基站</w:t>
            </w:r>
          </w:p>
        </w:tc>
        <w:tc>
          <w:tcPr>
            <w:tcW w:w="6883" w:type="dxa"/>
            <w:shd w:val="clear" w:color="auto" w:fill="auto"/>
            <w:noWrap w:val="0"/>
            <w:vAlign w:val="center"/>
          </w:tcPr>
          <w:p>
            <w:pPr>
              <w:widowControl/>
              <w:rPr>
                <w:rFonts w:cs="宋体"/>
                <w:szCs w:val="24"/>
                <w:highlight w:val="none"/>
              </w:rPr>
            </w:pPr>
            <w:r>
              <w:rPr>
                <w:rFonts w:hint="eastAsia" w:cs="宋体"/>
                <w:szCs w:val="24"/>
                <w:highlight w:val="none"/>
              </w:rPr>
              <w:t>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ind w:firstLine="210"/>
              <w:rPr>
                <w:rFonts w:cs="宋体"/>
                <w:szCs w:val="24"/>
                <w:highlight w:val="none"/>
              </w:rPr>
            </w:pPr>
            <w:r>
              <w:rPr>
                <w:rFonts w:hint="eastAsia" w:cs="宋体"/>
                <w:szCs w:val="24"/>
                <w:highlight w:val="none"/>
              </w:rPr>
              <w:t>机房位置</w:t>
            </w:r>
          </w:p>
        </w:tc>
        <w:tc>
          <w:tcPr>
            <w:tcW w:w="6883" w:type="dxa"/>
            <w:shd w:val="clear" w:color="auto" w:fill="auto"/>
            <w:noWrap w:val="0"/>
            <w:vAlign w:val="center"/>
          </w:tcPr>
          <w:p>
            <w:pPr>
              <w:widowControl/>
              <w:rPr>
                <w:rFonts w:cs="宋体"/>
                <w:szCs w:val="24"/>
                <w:highlight w:val="none"/>
              </w:rPr>
            </w:pPr>
            <w:r>
              <w:rPr>
                <w:rFonts w:hint="eastAsia" w:cs="宋体"/>
                <w:szCs w:val="24"/>
                <w:highlight w:val="none"/>
              </w:rPr>
              <w:t>第2层（无机房）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▲主机</w:t>
            </w:r>
          </w:p>
        </w:tc>
        <w:tc>
          <w:tcPr>
            <w:tcW w:w="6883" w:type="dxa"/>
            <w:shd w:val="clear" w:color="auto" w:fill="auto"/>
            <w:noWrap w:val="0"/>
            <w:vAlign w:val="center"/>
          </w:tcPr>
          <w:p>
            <w:pPr>
              <w:widowControl/>
              <w:rPr>
                <w:rFonts w:cs="宋体"/>
                <w:szCs w:val="24"/>
                <w:highlight w:val="none"/>
              </w:rPr>
            </w:pPr>
            <w:r>
              <w:rPr>
                <w:rFonts w:cs="宋体"/>
                <w:szCs w:val="24"/>
                <w:highlight w:val="none"/>
              </w:rPr>
              <w:t>蜗轮蜗杆传动杂物电梯专用曳引机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▲控制形式</w:t>
            </w:r>
          </w:p>
        </w:tc>
        <w:tc>
          <w:tcPr>
            <w:tcW w:w="6883" w:type="dxa"/>
            <w:shd w:val="clear" w:color="auto" w:fill="auto"/>
            <w:noWrap w:val="0"/>
            <w:vAlign w:val="center"/>
          </w:tcPr>
          <w:p>
            <w:pPr>
              <w:widowControl/>
              <w:rPr>
                <w:rFonts w:cs="宋体"/>
                <w:szCs w:val="24"/>
                <w:highlight w:val="none"/>
              </w:rPr>
            </w:pPr>
            <w:r>
              <w:rPr>
                <w:rFonts w:cs="宋体"/>
                <w:szCs w:val="24"/>
                <w:highlight w:val="none"/>
              </w:rPr>
              <w:t>PLC、按钮轿外控制、变频控制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ind w:firstLine="210"/>
              <w:rPr>
                <w:rFonts w:cs="宋体"/>
                <w:szCs w:val="24"/>
                <w:highlight w:val="none"/>
              </w:rPr>
            </w:pPr>
            <w:r>
              <w:rPr>
                <w:rFonts w:hint="eastAsia" w:cs="宋体"/>
                <w:szCs w:val="24"/>
                <w:highlight w:val="none"/>
              </w:rPr>
              <w:t>噪音</w:t>
            </w:r>
          </w:p>
        </w:tc>
        <w:tc>
          <w:tcPr>
            <w:tcW w:w="6883" w:type="dxa"/>
            <w:shd w:val="clear" w:color="auto" w:fill="auto"/>
            <w:noWrap w:val="0"/>
            <w:vAlign w:val="center"/>
          </w:tcPr>
          <w:p>
            <w:pPr>
              <w:widowControl/>
              <w:rPr>
                <w:rFonts w:cs="宋体"/>
                <w:szCs w:val="24"/>
                <w:highlight w:val="none"/>
              </w:rPr>
            </w:pPr>
            <w:r>
              <w:rPr>
                <w:rFonts w:hint="eastAsia" w:cs="宋体"/>
                <w:szCs w:val="24"/>
                <w:highlight w:val="none"/>
              </w:rPr>
              <w:t>达到国标要求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▲井道净尺寸</w:t>
            </w:r>
          </w:p>
        </w:tc>
        <w:tc>
          <w:tcPr>
            <w:tcW w:w="6883" w:type="dxa"/>
            <w:shd w:val="clear" w:color="auto" w:fill="auto"/>
            <w:noWrap w:val="0"/>
            <w:vAlign w:val="center"/>
          </w:tcPr>
          <w:p>
            <w:pPr>
              <w:rPr>
                <w:rFonts w:cs="宋体"/>
                <w:szCs w:val="24"/>
                <w:highlight w:val="none"/>
              </w:rPr>
            </w:pPr>
            <w:r>
              <w:rPr>
                <w:rFonts w:cs="宋体"/>
                <w:szCs w:val="24"/>
                <w:highlight w:val="none"/>
              </w:rPr>
              <w:t>3350mm*3300mm</w:t>
            </w:r>
            <w:r>
              <w:rPr>
                <w:rFonts w:hint="eastAsia" w:cs="宋体"/>
                <w:szCs w:val="24"/>
                <w:highlight w:val="none"/>
              </w:rPr>
              <w:t xml:space="preserve"> （宽</w:t>
            </w:r>
            <w:r>
              <w:rPr>
                <w:rFonts w:cs="宋体"/>
                <w:szCs w:val="24"/>
                <w:highlight w:val="none"/>
              </w:rPr>
              <w:t>*</w:t>
            </w:r>
            <w:r>
              <w:rPr>
                <w:rFonts w:hint="eastAsia" w:cs="宋体"/>
                <w:szCs w:val="24"/>
                <w:highlight w:val="none"/>
              </w:rPr>
              <w:t>深）（此尺寸供参考）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▲地坑深度</w:t>
            </w:r>
          </w:p>
        </w:tc>
        <w:tc>
          <w:tcPr>
            <w:tcW w:w="6883" w:type="dxa"/>
            <w:shd w:val="clear" w:color="auto" w:fill="auto"/>
            <w:noWrap w:val="0"/>
            <w:vAlign w:val="center"/>
          </w:tcPr>
          <w:p>
            <w:pPr>
              <w:rPr>
                <w:rFonts w:cs="宋体"/>
                <w:szCs w:val="24"/>
                <w:highlight w:val="none"/>
              </w:rPr>
            </w:pPr>
            <w:r>
              <w:rPr>
                <w:rFonts w:cs="宋体"/>
                <w:szCs w:val="24"/>
                <w:highlight w:val="none"/>
              </w:rPr>
              <w:t>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ind w:firstLine="210"/>
              <w:rPr>
                <w:rFonts w:cs="宋体"/>
                <w:szCs w:val="24"/>
                <w:highlight w:val="none"/>
              </w:rPr>
            </w:pPr>
            <w:r>
              <w:rPr>
                <w:rFonts w:hint="eastAsia" w:cs="宋体"/>
                <w:szCs w:val="24"/>
                <w:highlight w:val="none"/>
              </w:rPr>
              <w:t>提升高度</w:t>
            </w:r>
          </w:p>
        </w:tc>
        <w:tc>
          <w:tcPr>
            <w:tcW w:w="6883" w:type="dxa"/>
            <w:shd w:val="clear" w:color="auto" w:fill="auto"/>
            <w:noWrap w:val="0"/>
            <w:vAlign w:val="center"/>
          </w:tcPr>
          <w:p>
            <w:pPr>
              <w:rPr>
                <w:rFonts w:cs="宋体"/>
                <w:szCs w:val="24"/>
                <w:highlight w:val="none"/>
              </w:rPr>
            </w:pPr>
            <w:r>
              <w:rPr>
                <w:rFonts w:hint="eastAsia" w:cs="宋体"/>
                <w:szCs w:val="24"/>
                <w:highlight w:val="none"/>
              </w:rPr>
              <w:t>现场测量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▲轿厢尺寸</w:t>
            </w:r>
          </w:p>
        </w:tc>
        <w:tc>
          <w:tcPr>
            <w:tcW w:w="6883" w:type="dxa"/>
            <w:shd w:val="clear" w:color="auto" w:fill="auto"/>
            <w:noWrap w:val="0"/>
            <w:vAlign w:val="center"/>
          </w:tcPr>
          <w:p>
            <w:pPr>
              <w:rPr>
                <w:rFonts w:cs="宋体"/>
                <w:szCs w:val="24"/>
                <w:highlight w:val="none"/>
              </w:rPr>
            </w:pPr>
            <w:r>
              <w:rPr>
                <w:rFonts w:cs="宋体"/>
                <w:szCs w:val="24"/>
                <w:highlight w:val="none"/>
              </w:rPr>
              <w:t>2200mm*2850mm*2500mm</w:t>
            </w:r>
            <w:r>
              <w:rPr>
                <w:rFonts w:hint="eastAsia" w:cs="宋体"/>
                <w:szCs w:val="24"/>
                <w:highlight w:val="none"/>
              </w:rPr>
              <w:t>（宽</w:t>
            </w:r>
            <w:r>
              <w:rPr>
                <w:rFonts w:cs="宋体"/>
                <w:szCs w:val="24"/>
                <w:highlight w:val="none"/>
              </w:rPr>
              <w:t>*</w:t>
            </w:r>
            <w:r>
              <w:rPr>
                <w:rFonts w:hint="eastAsia" w:cs="宋体"/>
                <w:szCs w:val="24"/>
                <w:highlight w:val="none"/>
              </w:rPr>
              <w:t>深</w:t>
            </w:r>
            <w:r>
              <w:rPr>
                <w:rFonts w:cs="宋体"/>
                <w:szCs w:val="24"/>
                <w:highlight w:val="none"/>
              </w:rPr>
              <w:t>*</w:t>
            </w:r>
            <w:r>
              <w:rPr>
                <w:rFonts w:hint="eastAsia" w:cs="宋体"/>
                <w:szCs w:val="24"/>
                <w:highlight w:val="none"/>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▲净开门尺寸</w:t>
            </w:r>
          </w:p>
        </w:tc>
        <w:tc>
          <w:tcPr>
            <w:tcW w:w="6883" w:type="dxa"/>
            <w:shd w:val="clear" w:color="auto" w:fill="auto"/>
            <w:noWrap w:val="0"/>
            <w:vAlign w:val="center"/>
          </w:tcPr>
          <w:p>
            <w:pPr>
              <w:rPr>
                <w:rFonts w:cs="宋体"/>
                <w:szCs w:val="24"/>
                <w:highlight w:val="none"/>
              </w:rPr>
            </w:pPr>
            <w:r>
              <w:rPr>
                <w:rFonts w:cs="宋体"/>
                <w:szCs w:val="24"/>
                <w:highlight w:val="none"/>
              </w:rPr>
              <w:t>2000mm*2200mm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▲开门方式</w:t>
            </w:r>
          </w:p>
        </w:tc>
        <w:tc>
          <w:tcPr>
            <w:tcW w:w="6883" w:type="dxa"/>
            <w:shd w:val="clear" w:color="auto" w:fill="auto"/>
            <w:noWrap w:val="0"/>
            <w:vAlign w:val="center"/>
          </w:tcPr>
          <w:p>
            <w:pPr>
              <w:widowControl/>
              <w:rPr>
                <w:rFonts w:cs="宋体"/>
                <w:szCs w:val="24"/>
                <w:highlight w:val="none"/>
              </w:rPr>
            </w:pPr>
            <w:r>
              <w:rPr>
                <w:rFonts w:hint="eastAsia" w:cs="宋体"/>
                <w:szCs w:val="24"/>
                <w:highlight w:val="none"/>
              </w:rPr>
              <w:t>中分式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▲门保护</w:t>
            </w:r>
          </w:p>
        </w:tc>
        <w:tc>
          <w:tcPr>
            <w:tcW w:w="6883" w:type="dxa"/>
            <w:shd w:val="clear" w:color="auto" w:fill="auto"/>
            <w:noWrap w:val="0"/>
            <w:vAlign w:val="center"/>
          </w:tcPr>
          <w:p>
            <w:pPr>
              <w:widowControl/>
              <w:rPr>
                <w:rFonts w:cs="宋体"/>
                <w:szCs w:val="24"/>
                <w:highlight w:val="none"/>
              </w:rPr>
            </w:pPr>
            <w:r>
              <w:rPr>
                <w:rFonts w:hint="eastAsia" w:cs="宋体"/>
                <w:szCs w:val="24"/>
                <w:highlight w:val="none"/>
              </w:rPr>
              <w:t>光幕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▲轿厢操作盘</w:t>
            </w:r>
          </w:p>
        </w:tc>
        <w:tc>
          <w:tcPr>
            <w:tcW w:w="6883" w:type="dxa"/>
            <w:shd w:val="clear" w:color="auto" w:fill="auto"/>
            <w:noWrap w:val="0"/>
            <w:vAlign w:val="center"/>
          </w:tcPr>
          <w:p>
            <w:pPr>
              <w:widowControl/>
              <w:rPr>
                <w:rFonts w:cs="宋体"/>
                <w:szCs w:val="24"/>
                <w:highlight w:val="none"/>
              </w:rPr>
            </w:pPr>
            <w:r>
              <w:rPr>
                <w:rFonts w:cs="宋体"/>
                <w:szCs w:val="24"/>
                <w:highlight w:val="none"/>
              </w:rPr>
              <w:t>304</w:t>
            </w:r>
            <w:r>
              <w:rPr>
                <w:rFonts w:hint="eastAsia" w:cs="宋体"/>
                <w:szCs w:val="24"/>
                <w:highlight w:val="none"/>
              </w:rPr>
              <w:t>发纹不锈钢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ind w:firstLine="210"/>
              <w:rPr>
                <w:rFonts w:cs="宋体"/>
                <w:szCs w:val="24"/>
                <w:highlight w:val="none"/>
              </w:rPr>
            </w:pPr>
            <w:r>
              <w:rPr>
                <w:rFonts w:hint="eastAsia" w:cs="宋体"/>
                <w:szCs w:val="24"/>
                <w:highlight w:val="none"/>
              </w:rPr>
              <w:t>召唤按钮</w:t>
            </w:r>
          </w:p>
        </w:tc>
        <w:tc>
          <w:tcPr>
            <w:tcW w:w="6883" w:type="dxa"/>
            <w:shd w:val="clear" w:color="auto" w:fill="auto"/>
            <w:noWrap w:val="0"/>
            <w:vAlign w:val="center"/>
          </w:tcPr>
          <w:p>
            <w:pPr>
              <w:widowControl/>
              <w:rPr>
                <w:rFonts w:cs="宋体"/>
                <w:szCs w:val="24"/>
                <w:highlight w:val="none"/>
              </w:rPr>
            </w:pPr>
            <w:r>
              <w:rPr>
                <w:rFonts w:cs="宋体"/>
                <w:szCs w:val="24"/>
                <w:highlight w:val="none"/>
              </w:rPr>
              <w:t>304</w:t>
            </w:r>
            <w:r>
              <w:rPr>
                <w:rFonts w:hint="eastAsia" w:cs="宋体"/>
                <w:szCs w:val="24"/>
                <w:highlight w:val="none"/>
              </w:rPr>
              <w:t>发纹不锈钢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widowControl/>
              <w:rPr>
                <w:rFonts w:cs="宋体"/>
                <w:szCs w:val="24"/>
                <w:highlight w:val="none"/>
              </w:rPr>
            </w:pPr>
            <w:r>
              <w:rPr>
                <w:rFonts w:hint="eastAsia" w:cs="宋体"/>
                <w:szCs w:val="24"/>
                <w:highlight w:val="none"/>
              </w:rPr>
              <w:t>▲厅门显示</w:t>
            </w:r>
          </w:p>
        </w:tc>
        <w:tc>
          <w:tcPr>
            <w:tcW w:w="6883" w:type="dxa"/>
            <w:shd w:val="clear" w:color="auto" w:fill="auto"/>
            <w:noWrap w:val="0"/>
            <w:vAlign w:val="center"/>
          </w:tcPr>
          <w:p>
            <w:pPr>
              <w:widowControl/>
              <w:rPr>
                <w:rFonts w:cs="宋体"/>
                <w:szCs w:val="24"/>
                <w:highlight w:val="none"/>
              </w:rPr>
            </w:pPr>
            <w:r>
              <w:rPr>
                <w:rFonts w:cs="宋体"/>
                <w:szCs w:val="24"/>
                <w:highlight w:val="none"/>
              </w:rPr>
              <w:t>LED</w:t>
            </w:r>
            <w:r>
              <w:rPr>
                <w:rFonts w:hint="eastAsia" w:cs="宋体"/>
                <w:szCs w:val="24"/>
                <w:highlight w:val="none"/>
              </w:rPr>
              <w:t>点阵显示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shd w:val="clear" w:color="auto" w:fill="auto"/>
            <w:noWrap w:val="0"/>
            <w:vAlign w:val="center"/>
          </w:tcPr>
          <w:p>
            <w:pPr>
              <w:widowControl/>
              <w:rPr>
                <w:rFonts w:cs="宋体"/>
                <w:szCs w:val="24"/>
                <w:highlight w:val="none"/>
              </w:rPr>
            </w:pPr>
            <w:r>
              <w:rPr>
                <w:rFonts w:hint="eastAsia" w:cs="宋体"/>
                <w:szCs w:val="24"/>
                <w:highlight w:val="none"/>
              </w:rPr>
              <w:t>▲轿厢装修</w:t>
            </w:r>
          </w:p>
        </w:tc>
        <w:tc>
          <w:tcPr>
            <w:tcW w:w="850" w:type="dxa"/>
            <w:shd w:val="clear" w:color="auto" w:fill="auto"/>
            <w:noWrap w:val="0"/>
            <w:vAlign w:val="center"/>
          </w:tcPr>
          <w:p>
            <w:pPr>
              <w:widowControl/>
              <w:rPr>
                <w:rFonts w:cs="宋体"/>
                <w:szCs w:val="24"/>
                <w:highlight w:val="none"/>
              </w:rPr>
            </w:pPr>
            <w:r>
              <w:rPr>
                <w:rFonts w:hint="eastAsia" w:cs="宋体"/>
                <w:szCs w:val="24"/>
                <w:highlight w:val="none"/>
              </w:rPr>
              <w:t>轿门</w:t>
            </w:r>
          </w:p>
        </w:tc>
        <w:tc>
          <w:tcPr>
            <w:tcW w:w="6883" w:type="dxa"/>
            <w:shd w:val="clear" w:color="auto" w:fill="auto"/>
            <w:noWrap w:val="0"/>
            <w:vAlign w:val="center"/>
          </w:tcPr>
          <w:p>
            <w:pPr>
              <w:widowControl/>
              <w:rPr>
                <w:rFonts w:cs="宋体"/>
                <w:szCs w:val="24"/>
                <w:highlight w:val="none"/>
              </w:rPr>
            </w:pPr>
            <w:r>
              <w:rPr>
                <w:rFonts w:cs="宋体"/>
                <w:szCs w:val="24"/>
                <w:highlight w:val="none"/>
              </w:rPr>
              <w:t>304发纹不锈钢板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shd w:val="clear" w:color="auto" w:fill="auto"/>
            <w:noWrap w:val="0"/>
            <w:vAlign w:val="center"/>
          </w:tcPr>
          <w:p>
            <w:pPr>
              <w:widowControl/>
              <w:rPr>
                <w:rFonts w:cs="宋体"/>
                <w:szCs w:val="24"/>
                <w:highlight w:val="none"/>
              </w:rPr>
            </w:pPr>
          </w:p>
        </w:tc>
        <w:tc>
          <w:tcPr>
            <w:tcW w:w="850" w:type="dxa"/>
            <w:shd w:val="clear" w:color="auto" w:fill="auto"/>
            <w:noWrap w:val="0"/>
            <w:vAlign w:val="center"/>
          </w:tcPr>
          <w:p>
            <w:pPr>
              <w:widowControl/>
              <w:rPr>
                <w:rFonts w:cs="宋体"/>
                <w:szCs w:val="24"/>
                <w:highlight w:val="none"/>
              </w:rPr>
            </w:pPr>
            <w:r>
              <w:rPr>
                <w:rFonts w:hint="eastAsia" w:cs="宋体"/>
                <w:szCs w:val="24"/>
                <w:highlight w:val="none"/>
              </w:rPr>
              <w:t>轿顶</w:t>
            </w:r>
          </w:p>
        </w:tc>
        <w:tc>
          <w:tcPr>
            <w:tcW w:w="6883" w:type="dxa"/>
            <w:shd w:val="clear" w:color="auto" w:fill="auto"/>
            <w:noWrap w:val="0"/>
            <w:vAlign w:val="center"/>
          </w:tcPr>
          <w:p>
            <w:pPr>
              <w:widowControl/>
              <w:rPr>
                <w:rFonts w:cs="宋体"/>
                <w:szCs w:val="24"/>
                <w:highlight w:val="none"/>
              </w:rPr>
            </w:pPr>
            <w:r>
              <w:rPr>
                <w:rFonts w:cs="宋体"/>
                <w:szCs w:val="24"/>
                <w:highlight w:val="none"/>
              </w:rPr>
              <w:t>304发纹不锈钢板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shd w:val="clear" w:color="auto" w:fill="auto"/>
            <w:noWrap w:val="0"/>
            <w:vAlign w:val="center"/>
          </w:tcPr>
          <w:p>
            <w:pPr>
              <w:widowControl/>
              <w:rPr>
                <w:rFonts w:cs="宋体"/>
                <w:szCs w:val="24"/>
                <w:highlight w:val="none"/>
              </w:rPr>
            </w:pPr>
          </w:p>
        </w:tc>
        <w:tc>
          <w:tcPr>
            <w:tcW w:w="850" w:type="dxa"/>
            <w:shd w:val="clear" w:color="auto" w:fill="auto"/>
            <w:noWrap w:val="0"/>
            <w:vAlign w:val="center"/>
          </w:tcPr>
          <w:p>
            <w:pPr>
              <w:widowControl/>
              <w:rPr>
                <w:rFonts w:cs="宋体"/>
                <w:szCs w:val="24"/>
                <w:highlight w:val="none"/>
              </w:rPr>
            </w:pPr>
            <w:r>
              <w:rPr>
                <w:rFonts w:hint="eastAsia" w:cs="宋体"/>
                <w:szCs w:val="24"/>
                <w:highlight w:val="none"/>
              </w:rPr>
              <w:t>地坪</w:t>
            </w:r>
          </w:p>
        </w:tc>
        <w:tc>
          <w:tcPr>
            <w:tcW w:w="6883" w:type="dxa"/>
            <w:shd w:val="clear" w:color="auto" w:fill="auto"/>
            <w:noWrap w:val="0"/>
            <w:vAlign w:val="center"/>
          </w:tcPr>
          <w:p>
            <w:pPr>
              <w:widowControl/>
              <w:rPr>
                <w:rFonts w:cs="宋体"/>
                <w:szCs w:val="24"/>
                <w:highlight w:val="none"/>
              </w:rPr>
            </w:pPr>
            <w:r>
              <w:rPr>
                <w:rFonts w:hint="eastAsia" w:cs="宋体"/>
                <w:szCs w:val="24"/>
                <w:highlight w:val="none"/>
              </w:rPr>
              <w:t>防腐蚀钢板，由投标人提供式样供招标人选择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shd w:val="clear" w:color="auto" w:fill="auto"/>
            <w:noWrap w:val="0"/>
            <w:vAlign w:val="center"/>
          </w:tcPr>
          <w:p>
            <w:pPr>
              <w:widowControl/>
              <w:rPr>
                <w:rFonts w:cs="宋体"/>
                <w:szCs w:val="24"/>
                <w:highlight w:val="none"/>
              </w:rPr>
            </w:pPr>
          </w:p>
        </w:tc>
        <w:tc>
          <w:tcPr>
            <w:tcW w:w="850" w:type="dxa"/>
            <w:shd w:val="clear" w:color="auto" w:fill="auto"/>
            <w:noWrap w:val="0"/>
            <w:vAlign w:val="center"/>
          </w:tcPr>
          <w:p>
            <w:pPr>
              <w:widowControl/>
              <w:rPr>
                <w:rFonts w:cs="宋体"/>
                <w:szCs w:val="24"/>
                <w:highlight w:val="none"/>
              </w:rPr>
            </w:pPr>
            <w:r>
              <w:rPr>
                <w:rFonts w:hint="eastAsia" w:cs="宋体"/>
                <w:szCs w:val="24"/>
                <w:highlight w:val="none"/>
              </w:rPr>
              <w:t>四壁</w:t>
            </w:r>
          </w:p>
        </w:tc>
        <w:tc>
          <w:tcPr>
            <w:tcW w:w="6883" w:type="dxa"/>
            <w:shd w:val="clear" w:color="auto" w:fill="auto"/>
            <w:noWrap w:val="0"/>
            <w:vAlign w:val="center"/>
          </w:tcPr>
          <w:p>
            <w:pPr>
              <w:widowControl/>
              <w:rPr>
                <w:rFonts w:cs="宋体"/>
                <w:szCs w:val="24"/>
                <w:highlight w:val="none"/>
              </w:rPr>
            </w:pPr>
            <w:r>
              <w:rPr>
                <w:rFonts w:cs="宋体"/>
                <w:szCs w:val="24"/>
                <w:highlight w:val="none"/>
              </w:rPr>
              <w:t>304发纹不锈钢板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shd w:val="clear" w:color="auto" w:fill="auto"/>
            <w:noWrap w:val="0"/>
            <w:vAlign w:val="center"/>
          </w:tcPr>
          <w:p>
            <w:pPr>
              <w:widowControl/>
              <w:rPr>
                <w:rFonts w:cs="宋体"/>
                <w:szCs w:val="24"/>
                <w:highlight w:val="none"/>
              </w:rPr>
            </w:pPr>
          </w:p>
        </w:tc>
        <w:tc>
          <w:tcPr>
            <w:tcW w:w="850" w:type="dxa"/>
            <w:shd w:val="clear" w:color="auto" w:fill="auto"/>
            <w:noWrap w:val="0"/>
            <w:vAlign w:val="center"/>
          </w:tcPr>
          <w:p>
            <w:pPr>
              <w:widowControl/>
              <w:rPr>
                <w:rFonts w:cs="宋体"/>
                <w:szCs w:val="24"/>
                <w:highlight w:val="none"/>
              </w:rPr>
            </w:pPr>
            <w:r>
              <w:rPr>
                <w:rFonts w:hint="eastAsia" w:cs="宋体"/>
                <w:szCs w:val="24"/>
                <w:highlight w:val="none"/>
              </w:rPr>
              <w:t>门套</w:t>
            </w:r>
          </w:p>
        </w:tc>
        <w:tc>
          <w:tcPr>
            <w:tcW w:w="6883" w:type="dxa"/>
            <w:shd w:val="clear" w:color="auto" w:fill="auto"/>
            <w:noWrap w:val="0"/>
            <w:vAlign w:val="center"/>
          </w:tcPr>
          <w:p>
            <w:pPr>
              <w:widowControl/>
              <w:rPr>
                <w:rFonts w:cs="宋体"/>
                <w:szCs w:val="24"/>
                <w:highlight w:val="none"/>
              </w:rPr>
            </w:pPr>
            <w:r>
              <w:rPr>
                <w:rFonts w:cs="宋体"/>
                <w:szCs w:val="24"/>
                <w:highlight w:val="none"/>
              </w:rPr>
              <w:t>304发纹不锈钢板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shd w:val="clear" w:color="auto" w:fill="auto"/>
            <w:noWrap w:val="0"/>
            <w:vAlign w:val="center"/>
          </w:tcPr>
          <w:p>
            <w:pPr>
              <w:widowControl/>
              <w:rPr>
                <w:rFonts w:cs="宋体"/>
                <w:szCs w:val="24"/>
                <w:highlight w:val="none"/>
              </w:rPr>
            </w:pPr>
          </w:p>
        </w:tc>
        <w:tc>
          <w:tcPr>
            <w:tcW w:w="850" w:type="dxa"/>
            <w:shd w:val="clear" w:color="auto" w:fill="auto"/>
            <w:noWrap w:val="0"/>
            <w:vAlign w:val="center"/>
          </w:tcPr>
          <w:p>
            <w:pPr>
              <w:widowControl/>
              <w:rPr>
                <w:rFonts w:cs="宋体"/>
                <w:szCs w:val="24"/>
                <w:highlight w:val="none"/>
              </w:rPr>
            </w:pPr>
            <w:r>
              <w:rPr>
                <w:rFonts w:hint="eastAsia" w:cs="宋体"/>
                <w:szCs w:val="24"/>
                <w:highlight w:val="none"/>
              </w:rPr>
              <w:t>厅门</w:t>
            </w:r>
          </w:p>
        </w:tc>
        <w:tc>
          <w:tcPr>
            <w:tcW w:w="6883" w:type="dxa"/>
            <w:shd w:val="clear" w:color="auto" w:fill="auto"/>
            <w:noWrap w:val="0"/>
            <w:vAlign w:val="center"/>
          </w:tcPr>
          <w:p>
            <w:pPr>
              <w:widowControl/>
              <w:rPr>
                <w:rFonts w:cs="宋体"/>
                <w:szCs w:val="24"/>
                <w:highlight w:val="none"/>
              </w:rPr>
            </w:pPr>
            <w:r>
              <w:rPr>
                <w:rFonts w:cs="宋体"/>
                <w:szCs w:val="24"/>
                <w:highlight w:val="none"/>
              </w:rPr>
              <w:t>304发纹不锈钢板</w:t>
            </w:r>
          </w:p>
        </w:tc>
      </w:tr>
    </w:tbl>
    <w:p>
      <w:pPr>
        <w:spacing w:before="163" w:beforeLines="50"/>
        <w:rPr>
          <w:b/>
          <w:highlight w:val="none"/>
        </w:rPr>
      </w:pPr>
      <w:r>
        <w:rPr>
          <w:rFonts w:hint="eastAsia"/>
          <w:b/>
          <w:highlight w:val="none"/>
        </w:rPr>
        <w:t>表格</w:t>
      </w:r>
      <w:r>
        <w:rPr>
          <w:b/>
          <w:highlight w:val="none"/>
        </w:rPr>
        <w:t>6</w:t>
      </w:r>
    </w:p>
    <w:tbl>
      <w:tblPr>
        <w:tblStyle w:val="16"/>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203"/>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内容</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动力站房货梯（</w:t>
            </w:r>
            <w:r>
              <w:rPr>
                <w:rFonts w:cs="宋体"/>
                <w:color w:val="auto"/>
                <w:szCs w:val="24"/>
                <w:highlight w:val="none"/>
              </w:rPr>
              <w:t>3000kg</w:t>
            </w:r>
            <w:r>
              <w:rPr>
                <w:rFonts w:hint="eastAsia" w:cs="宋体"/>
                <w:color w:val="auto"/>
                <w:szCs w:val="24"/>
                <w:highlight w:val="none"/>
              </w:rPr>
              <w:t>）</w:t>
            </w:r>
            <w:r>
              <w:rPr>
                <w:rFonts w:cs="宋体"/>
                <w:color w:val="auto"/>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数量</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1</w:t>
            </w:r>
            <w:r>
              <w:rPr>
                <w:rFonts w:hint="eastAsia" w:cs="宋体"/>
                <w:color w:val="auto"/>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▲电梯速度（</w:t>
            </w:r>
            <w:r>
              <w:rPr>
                <w:rFonts w:cs="宋体"/>
                <w:color w:val="auto"/>
                <w:szCs w:val="24"/>
                <w:highlight w:val="none"/>
              </w:rPr>
              <w:t>m/s</w:t>
            </w:r>
            <w:r>
              <w:rPr>
                <w:rFonts w:hint="eastAsia" w:cs="宋体"/>
                <w:color w:val="auto"/>
                <w:szCs w:val="24"/>
                <w:highlight w:val="none"/>
              </w:rPr>
              <w:t>）</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0.5m/s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▲层</w:t>
            </w:r>
            <w:r>
              <w:rPr>
                <w:rFonts w:cs="宋体"/>
                <w:color w:val="auto"/>
                <w:szCs w:val="24"/>
                <w:highlight w:val="none"/>
              </w:rPr>
              <w:t>/</w:t>
            </w:r>
            <w:r>
              <w:rPr>
                <w:rFonts w:hint="eastAsia" w:cs="宋体"/>
                <w:color w:val="auto"/>
                <w:szCs w:val="24"/>
                <w:highlight w:val="none"/>
              </w:rPr>
              <w:t>站</w:t>
            </w:r>
            <w:r>
              <w:rPr>
                <w:rFonts w:cs="宋体"/>
                <w:color w:val="auto"/>
                <w:szCs w:val="24"/>
                <w:highlight w:val="none"/>
              </w:rPr>
              <w:t>/</w:t>
            </w:r>
            <w:r>
              <w:rPr>
                <w:rFonts w:hint="eastAsia" w:cs="宋体"/>
                <w:color w:val="auto"/>
                <w:szCs w:val="24"/>
                <w:highlight w:val="none"/>
              </w:rPr>
              <w:t>门</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3/3/3</w:t>
            </w:r>
            <w:r>
              <w:rPr>
                <w:rFonts w:hint="eastAsia" w:cs="宋体"/>
                <w:color w:val="auto"/>
                <w:szCs w:val="24"/>
                <w:highlight w:val="none"/>
              </w:rPr>
              <w:t>（主体建筑共</w:t>
            </w:r>
            <w:r>
              <w:rPr>
                <w:rFonts w:cs="宋体"/>
                <w:color w:val="auto"/>
                <w:szCs w:val="24"/>
                <w:highlight w:val="none"/>
              </w:rPr>
              <w:t>3</w:t>
            </w:r>
            <w:r>
              <w:rPr>
                <w:rFonts w:hint="eastAsia" w:cs="宋体"/>
                <w:color w:val="auto"/>
                <w:szCs w:val="24"/>
                <w:highlight w:val="none"/>
              </w:rPr>
              <w:t>层：一楼层高</w:t>
            </w:r>
            <w:r>
              <w:rPr>
                <w:rFonts w:cs="宋体"/>
                <w:color w:val="auto"/>
                <w:szCs w:val="24"/>
                <w:highlight w:val="none"/>
              </w:rPr>
              <w:t>8</w:t>
            </w:r>
            <w:r>
              <w:rPr>
                <w:rFonts w:hint="eastAsia" w:cs="宋体"/>
                <w:color w:val="auto"/>
                <w:szCs w:val="24"/>
                <w:highlight w:val="none"/>
              </w:rPr>
              <w:t>米、净空约7米；二楼层高</w:t>
            </w:r>
            <w:r>
              <w:rPr>
                <w:rFonts w:cs="宋体"/>
                <w:color w:val="auto"/>
                <w:szCs w:val="24"/>
                <w:highlight w:val="none"/>
              </w:rPr>
              <w:t>6.5</w:t>
            </w:r>
            <w:r>
              <w:rPr>
                <w:rFonts w:hint="eastAsia" w:cs="宋体"/>
                <w:color w:val="auto"/>
                <w:szCs w:val="24"/>
                <w:highlight w:val="none"/>
              </w:rPr>
              <w:t>米、净空约5</w:t>
            </w:r>
            <w:r>
              <w:rPr>
                <w:rFonts w:cs="宋体"/>
                <w:color w:val="auto"/>
                <w:szCs w:val="24"/>
                <w:highlight w:val="none"/>
              </w:rPr>
              <w:t>.7</w:t>
            </w:r>
            <w:r>
              <w:rPr>
                <w:rFonts w:hint="eastAsia" w:cs="宋体"/>
                <w:color w:val="auto"/>
                <w:szCs w:val="24"/>
                <w:highlight w:val="none"/>
              </w:rPr>
              <w:t>米；三楼层高</w:t>
            </w:r>
            <w:r>
              <w:rPr>
                <w:rFonts w:cs="宋体"/>
                <w:color w:val="auto"/>
                <w:szCs w:val="24"/>
                <w:highlight w:val="none"/>
              </w:rPr>
              <w:t>5.3</w:t>
            </w:r>
            <w:r>
              <w:rPr>
                <w:rFonts w:hint="eastAsia" w:cs="宋体"/>
                <w:color w:val="auto"/>
                <w:szCs w:val="24"/>
                <w:highlight w:val="none"/>
              </w:rPr>
              <w:t>米、净空约</w:t>
            </w:r>
            <w:r>
              <w:rPr>
                <w:rFonts w:cs="宋体"/>
                <w:color w:val="auto"/>
                <w:szCs w:val="24"/>
                <w:highlight w:val="none"/>
              </w:rPr>
              <w:t>4.8</w:t>
            </w:r>
            <w:r>
              <w:rPr>
                <w:rFonts w:hint="eastAsia" w:cs="宋体"/>
                <w:color w:val="auto"/>
                <w:szCs w:val="24"/>
                <w:highlight w:val="none"/>
              </w:rPr>
              <w:t>米。）以图为准。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▲操作方法</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单控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▲额定载重量（</w:t>
            </w:r>
            <w:r>
              <w:rPr>
                <w:rFonts w:cs="宋体"/>
                <w:color w:val="auto"/>
                <w:szCs w:val="24"/>
                <w:highlight w:val="none"/>
              </w:rPr>
              <w:t>KG</w:t>
            </w:r>
            <w:r>
              <w:rPr>
                <w:rFonts w:hint="eastAsia" w:cs="宋体"/>
                <w:color w:val="auto"/>
                <w:szCs w:val="24"/>
                <w:highlight w:val="none"/>
              </w:rPr>
              <w:t>）</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基站</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机房位置</w:t>
            </w:r>
          </w:p>
        </w:tc>
        <w:tc>
          <w:tcPr>
            <w:tcW w:w="6860" w:type="dxa"/>
            <w:shd w:val="clear" w:color="auto" w:fill="auto"/>
            <w:noWrap w:val="0"/>
            <w:vAlign w:val="center"/>
          </w:tcPr>
          <w:p>
            <w:pPr>
              <w:rPr>
                <w:rFonts w:cs="宋体"/>
                <w:color w:val="auto"/>
                <w:szCs w:val="24"/>
                <w:highlight w:val="none"/>
              </w:rPr>
            </w:pPr>
            <w:r>
              <w:rPr>
                <w:rFonts w:hint="eastAsia" w:cs="宋体"/>
                <w:b/>
                <w:color w:val="auto"/>
                <w:szCs w:val="24"/>
                <w:highlight w:val="none"/>
              </w:rPr>
              <w:t>第</w:t>
            </w:r>
            <w:r>
              <w:rPr>
                <w:rFonts w:cs="宋体"/>
                <w:b/>
                <w:color w:val="auto"/>
                <w:szCs w:val="24"/>
                <w:highlight w:val="none"/>
              </w:rPr>
              <w:t>3</w:t>
            </w:r>
            <w:r>
              <w:rPr>
                <w:rFonts w:hint="eastAsia" w:cs="宋体"/>
                <w:b/>
                <w:color w:val="auto"/>
                <w:szCs w:val="24"/>
                <w:highlight w:val="none"/>
              </w:rPr>
              <w:t>层（无机房）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▲主机</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永磁同步无齿轮曳引机或有齿轮曳引机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▲控制形式</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VVVF</w:t>
            </w:r>
            <w:r>
              <w:rPr>
                <w:rFonts w:hint="eastAsia" w:cs="宋体"/>
                <w:color w:val="auto"/>
                <w:szCs w:val="24"/>
                <w:highlight w:val="none"/>
              </w:rPr>
              <w:t>变频变压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噪音</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达到国标规范要求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▲井道净尺寸</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3500mm*3500mm</w:t>
            </w:r>
            <w:r>
              <w:rPr>
                <w:rFonts w:hint="eastAsia" w:cs="宋体"/>
                <w:color w:val="auto"/>
                <w:szCs w:val="24"/>
                <w:highlight w:val="none"/>
              </w:rPr>
              <w:t xml:space="preserve"> （宽</w:t>
            </w:r>
            <w:r>
              <w:rPr>
                <w:rFonts w:cs="宋体"/>
                <w:color w:val="auto"/>
                <w:szCs w:val="24"/>
                <w:highlight w:val="none"/>
              </w:rPr>
              <w:t>*</w:t>
            </w:r>
            <w:r>
              <w:rPr>
                <w:rFonts w:hint="eastAsia" w:cs="宋体"/>
                <w:color w:val="auto"/>
                <w:szCs w:val="24"/>
                <w:highlight w:val="none"/>
              </w:rPr>
              <w:t>深）（此尺寸供参考）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▲地坑深度</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1.8m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提升高度</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现场测量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▲轿厢尺寸</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2500mm*2300mm*2500mm</w:t>
            </w:r>
            <w:r>
              <w:rPr>
                <w:rFonts w:hint="eastAsia" w:cs="宋体"/>
                <w:color w:val="auto"/>
                <w:szCs w:val="24"/>
                <w:highlight w:val="none"/>
              </w:rPr>
              <w:t>（宽</w:t>
            </w:r>
            <w:r>
              <w:rPr>
                <w:rFonts w:cs="宋体"/>
                <w:color w:val="auto"/>
                <w:szCs w:val="24"/>
                <w:highlight w:val="none"/>
              </w:rPr>
              <w:t>*</w:t>
            </w:r>
            <w:r>
              <w:rPr>
                <w:rFonts w:hint="eastAsia" w:cs="宋体"/>
                <w:color w:val="auto"/>
                <w:szCs w:val="24"/>
                <w:highlight w:val="none"/>
              </w:rPr>
              <w:t>深</w:t>
            </w:r>
            <w:r>
              <w:rPr>
                <w:rFonts w:cs="宋体"/>
                <w:color w:val="auto"/>
                <w:szCs w:val="24"/>
                <w:highlight w:val="none"/>
              </w:rPr>
              <w:t>*</w:t>
            </w:r>
            <w:r>
              <w:rPr>
                <w:rFonts w:hint="eastAsia" w:cs="宋体"/>
                <w:color w:val="auto"/>
                <w:szCs w:val="24"/>
                <w:highlight w:val="none"/>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▲净开门尺寸</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2000mm*2200mm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▲开门方式</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中分式或者</w:t>
            </w:r>
            <w:r>
              <w:rPr>
                <w:rFonts w:cs="宋体"/>
                <w:color w:val="auto"/>
                <w:szCs w:val="24"/>
                <w:highlight w:val="none"/>
              </w:rPr>
              <w:t>旁开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▲门保护</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光幕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▲轿厢操作盘</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发纹不锈钢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召唤按钮</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发纹不锈钢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▲厅门显示</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LED</w:t>
            </w:r>
            <w:r>
              <w:rPr>
                <w:rFonts w:hint="eastAsia" w:cs="宋体"/>
                <w:color w:val="auto"/>
                <w:szCs w:val="24"/>
                <w:highlight w:val="none"/>
              </w:rPr>
              <w:t>点阵显示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restart"/>
            <w:shd w:val="clear" w:color="auto" w:fill="auto"/>
            <w:noWrap w:val="0"/>
            <w:vAlign w:val="center"/>
          </w:tcPr>
          <w:p>
            <w:pPr>
              <w:rPr>
                <w:rFonts w:cs="宋体"/>
                <w:color w:val="auto"/>
                <w:szCs w:val="24"/>
                <w:highlight w:val="none"/>
              </w:rPr>
            </w:pPr>
            <w:r>
              <w:rPr>
                <w:rFonts w:hint="eastAsia" w:cs="宋体"/>
                <w:color w:val="auto"/>
                <w:szCs w:val="24"/>
                <w:highlight w:val="none"/>
              </w:rPr>
              <w:t>▲轿厢装修</w:t>
            </w: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轿门</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轿顶</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地坪</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防腐蚀钢板，由投标人提供式样供招标人选择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四壁</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门套</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厅门</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bl>
    <w:p>
      <w:pPr>
        <w:spacing w:before="163" w:beforeLines="50"/>
        <w:rPr>
          <w:b/>
          <w:highlight w:val="none"/>
        </w:rPr>
      </w:pPr>
      <w:r>
        <w:rPr>
          <w:rFonts w:hint="eastAsia"/>
          <w:b/>
          <w:highlight w:val="none"/>
        </w:rPr>
        <w:t>表格</w:t>
      </w:r>
      <w:r>
        <w:rPr>
          <w:b/>
          <w:highlight w:val="none"/>
        </w:rPr>
        <w:t>7</w:t>
      </w:r>
    </w:p>
    <w:tbl>
      <w:tblPr>
        <w:tblStyle w:val="16"/>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203"/>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内容</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食堂1、食堂</w:t>
            </w:r>
            <w:r>
              <w:rPr>
                <w:rFonts w:cs="宋体"/>
                <w:color w:val="auto"/>
                <w:szCs w:val="24"/>
                <w:highlight w:val="none"/>
              </w:rPr>
              <w:t>2</w:t>
            </w:r>
            <w:r>
              <w:rPr>
                <w:rFonts w:hint="eastAsia" w:cs="宋体"/>
                <w:color w:val="auto"/>
                <w:szCs w:val="24"/>
                <w:highlight w:val="none"/>
              </w:rPr>
              <w:t>客梯（</w:t>
            </w:r>
            <w:r>
              <w:rPr>
                <w:rFonts w:cs="宋体"/>
                <w:color w:val="auto"/>
                <w:szCs w:val="24"/>
                <w:highlight w:val="none"/>
              </w:rPr>
              <w:t>1000kg</w:t>
            </w:r>
            <w:r>
              <w:rPr>
                <w:rFonts w:hint="eastAsia" w:cs="宋体"/>
                <w:color w:val="auto"/>
                <w:szCs w:val="24"/>
                <w:highlight w:val="none"/>
              </w:rPr>
              <w:t>）</w:t>
            </w:r>
            <w:r>
              <w:rPr>
                <w:rFonts w:cs="宋体"/>
                <w:color w:val="auto"/>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数量</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w:t>
            </w:r>
            <w:r>
              <w:rPr>
                <w:rFonts w:hint="eastAsia" w:cs="宋体"/>
                <w:color w:val="auto"/>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▲电梯速度（</w:t>
            </w:r>
            <w:r>
              <w:rPr>
                <w:rFonts w:cs="宋体"/>
                <w:color w:val="auto"/>
                <w:szCs w:val="24"/>
                <w:highlight w:val="none"/>
              </w:rPr>
              <w:t>m/s</w:t>
            </w:r>
            <w:r>
              <w:rPr>
                <w:rFonts w:hint="eastAsia" w:cs="宋体"/>
                <w:color w:val="auto"/>
                <w:szCs w:val="24"/>
                <w:highlight w:val="none"/>
              </w:rPr>
              <w:t>）</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0.5m/s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▲层</w:t>
            </w:r>
            <w:r>
              <w:rPr>
                <w:rFonts w:cs="宋体"/>
                <w:color w:val="auto"/>
                <w:szCs w:val="24"/>
                <w:highlight w:val="none"/>
              </w:rPr>
              <w:t>/</w:t>
            </w:r>
            <w:r>
              <w:rPr>
                <w:rFonts w:hint="eastAsia" w:cs="宋体"/>
                <w:color w:val="auto"/>
                <w:szCs w:val="24"/>
                <w:highlight w:val="none"/>
              </w:rPr>
              <w:t>站</w:t>
            </w:r>
            <w:r>
              <w:rPr>
                <w:rFonts w:cs="宋体"/>
                <w:color w:val="auto"/>
                <w:szCs w:val="24"/>
                <w:highlight w:val="none"/>
              </w:rPr>
              <w:t>/</w:t>
            </w:r>
            <w:r>
              <w:rPr>
                <w:rFonts w:hint="eastAsia" w:cs="宋体"/>
                <w:color w:val="auto"/>
                <w:szCs w:val="24"/>
                <w:highlight w:val="none"/>
              </w:rPr>
              <w:t>门</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2/2/2</w:t>
            </w:r>
            <w:r>
              <w:rPr>
                <w:rFonts w:hint="eastAsia" w:cs="宋体"/>
                <w:color w:val="auto"/>
                <w:szCs w:val="24"/>
                <w:highlight w:val="none"/>
              </w:rPr>
              <w:t>（主体建筑共</w:t>
            </w:r>
            <w:r>
              <w:rPr>
                <w:rFonts w:cs="宋体"/>
                <w:color w:val="auto"/>
                <w:szCs w:val="24"/>
                <w:highlight w:val="none"/>
              </w:rPr>
              <w:t>2</w:t>
            </w:r>
            <w:r>
              <w:rPr>
                <w:rFonts w:hint="eastAsia" w:cs="宋体"/>
                <w:color w:val="auto"/>
                <w:szCs w:val="24"/>
                <w:highlight w:val="none"/>
              </w:rPr>
              <w:t>层：一楼层高</w:t>
            </w:r>
            <w:r>
              <w:rPr>
                <w:rFonts w:cs="宋体"/>
                <w:color w:val="auto"/>
                <w:szCs w:val="24"/>
                <w:highlight w:val="none"/>
              </w:rPr>
              <w:t>5</w:t>
            </w:r>
            <w:r>
              <w:rPr>
                <w:rFonts w:hint="eastAsia" w:cs="宋体"/>
                <w:color w:val="auto"/>
                <w:szCs w:val="24"/>
                <w:highlight w:val="none"/>
              </w:rPr>
              <w:t>米、净空约</w:t>
            </w:r>
            <w:r>
              <w:rPr>
                <w:rFonts w:cs="宋体"/>
                <w:color w:val="auto"/>
                <w:szCs w:val="24"/>
                <w:highlight w:val="none"/>
              </w:rPr>
              <w:t>4.55</w:t>
            </w:r>
            <w:r>
              <w:rPr>
                <w:rFonts w:hint="eastAsia" w:cs="宋体"/>
                <w:color w:val="auto"/>
                <w:szCs w:val="24"/>
                <w:highlight w:val="none"/>
              </w:rPr>
              <w:t>米；二楼层高</w:t>
            </w:r>
            <w:r>
              <w:rPr>
                <w:rFonts w:cs="宋体"/>
                <w:color w:val="auto"/>
                <w:szCs w:val="24"/>
                <w:highlight w:val="none"/>
              </w:rPr>
              <w:t>5</w:t>
            </w:r>
            <w:r>
              <w:rPr>
                <w:rFonts w:hint="eastAsia" w:cs="宋体"/>
                <w:color w:val="auto"/>
                <w:szCs w:val="24"/>
                <w:highlight w:val="none"/>
              </w:rPr>
              <w:t>米、净空约</w:t>
            </w:r>
            <w:r>
              <w:rPr>
                <w:rFonts w:cs="宋体"/>
                <w:color w:val="auto"/>
                <w:szCs w:val="24"/>
                <w:highlight w:val="none"/>
              </w:rPr>
              <w:t>4.55</w:t>
            </w:r>
            <w:r>
              <w:rPr>
                <w:rFonts w:hint="eastAsia" w:cs="宋体"/>
                <w:color w:val="auto"/>
                <w:szCs w:val="24"/>
                <w:highlight w:val="none"/>
              </w:rPr>
              <w:t>米。）以图为准。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▲操作方法</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单控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▲额定载重量（</w:t>
            </w:r>
            <w:r>
              <w:rPr>
                <w:rFonts w:cs="宋体"/>
                <w:color w:val="auto"/>
                <w:szCs w:val="24"/>
                <w:highlight w:val="none"/>
              </w:rPr>
              <w:t>KG</w:t>
            </w:r>
            <w:r>
              <w:rPr>
                <w:rFonts w:hint="eastAsia" w:cs="宋体"/>
                <w:color w:val="auto"/>
                <w:szCs w:val="24"/>
                <w:highlight w:val="none"/>
              </w:rPr>
              <w:t>）</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基站</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机房位置</w:t>
            </w:r>
          </w:p>
        </w:tc>
        <w:tc>
          <w:tcPr>
            <w:tcW w:w="6860" w:type="dxa"/>
            <w:shd w:val="clear" w:color="auto" w:fill="auto"/>
            <w:noWrap w:val="0"/>
            <w:vAlign w:val="center"/>
          </w:tcPr>
          <w:p>
            <w:pPr>
              <w:rPr>
                <w:rFonts w:cs="宋体"/>
                <w:color w:val="auto"/>
                <w:szCs w:val="24"/>
                <w:highlight w:val="none"/>
              </w:rPr>
            </w:pPr>
            <w:r>
              <w:rPr>
                <w:rFonts w:hint="eastAsia" w:cs="宋体"/>
                <w:b/>
                <w:color w:val="auto"/>
                <w:szCs w:val="24"/>
                <w:highlight w:val="none"/>
              </w:rPr>
              <w:t>第2层（无机房）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▲主机</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永磁同步无齿轮曳引机或有齿轮曳引机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▲控制形式</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VVVF</w:t>
            </w:r>
            <w:r>
              <w:rPr>
                <w:rFonts w:hint="eastAsia" w:cs="宋体"/>
                <w:color w:val="auto"/>
                <w:szCs w:val="24"/>
                <w:highlight w:val="none"/>
              </w:rPr>
              <w:t>变频变压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噪音</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达到国标规范要求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▲井道净尺寸</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2200mm*3000mm</w:t>
            </w:r>
            <w:r>
              <w:rPr>
                <w:rFonts w:hint="eastAsia" w:cs="宋体"/>
                <w:color w:val="auto"/>
                <w:szCs w:val="24"/>
                <w:highlight w:val="none"/>
              </w:rPr>
              <w:t xml:space="preserve"> （宽</w:t>
            </w:r>
            <w:r>
              <w:rPr>
                <w:rFonts w:cs="宋体"/>
                <w:color w:val="auto"/>
                <w:szCs w:val="24"/>
                <w:highlight w:val="none"/>
              </w:rPr>
              <w:t>*</w:t>
            </w:r>
            <w:r>
              <w:rPr>
                <w:rFonts w:hint="eastAsia" w:cs="宋体"/>
                <w:color w:val="auto"/>
                <w:szCs w:val="24"/>
                <w:highlight w:val="none"/>
              </w:rPr>
              <w:t>深）（此尺寸供参考）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▲地坑深度</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提升高度</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现场测量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▲轿厢尺寸</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2200mm*1300mm*2500mm</w:t>
            </w:r>
            <w:r>
              <w:rPr>
                <w:rFonts w:hint="eastAsia" w:cs="宋体"/>
                <w:color w:val="auto"/>
                <w:szCs w:val="24"/>
                <w:highlight w:val="none"/>
              </w:rPr>
              <w:t>（宽</w:t>
            </w:r>
            <w:r>
              <w:rPr>
                <w:rFonts w:cs="宋体"/>
                <w:color w:val="auto"/>
                <w:szCs w:val="24"/>
                <w:highlight w:val="none"/>
              </w:rPr>
              <w:t>*</w:t>
            </w:r>
            <w:r>
              <w:rPr>
                <w:rFonts w:hint="eastAsia" w:cs="宋体"/>
                <w:color w:val="auto"/>
                <w:szCs w:val="24"/>
                <w:highlight w:val="none"/>
              </w:rPr>
              <w:t>深</w:t>
            </w:r>
            <w:r>
              <w:rPr>
                <w:rFonts w:cs="宋体"/>
                <w:color w:val="auto"/>
                <w:szCs w:val="24"/>
                <w:highlight w:val="none"/>
              </w:rPr>
              <w:t>*</w:t>
            </w:r>
            <w:r>
              <w:rPr>
                <w:rFonts w:hint="eastAsia" w:cs="宋体"/>
                <w:color w:val="auto"/>
                <w:szCs w:val="24"/>
                <w:highlight w:val="none"/>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▲净开门尺寸</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2000mm*2200mm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▲开门方式</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中分式或者</w:t>
            </w:r>
            <w:r>
              <w:rPr>
                <w:rFonts w:cs="宋体"/>
                <w:color w:val="auto"/>
                <w:szCs w:val="24"/>
                <w:highlight w:val="none"/>
              </w:rPr>
              <w:t>旁开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▲门保护</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光幕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▲轿厢操作盘</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发纹不锈钢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召唤按钮</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发纹不锈钢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▲厅门显示</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LED</w:t>
            </w:r>
            <w:r>
              <w:rPr>
                <w:rFonts w:hint="eastAsia" w:cs="宋体"/>
                <w:color w:val="auto"/>
                <w:szCs w:val="24"/>
                <w:highlight w:val="none"/>
              </w:rPr>
              <w:t>点阵显示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restart"/>
            <w:shd w:val="clear" w:color="auto" w:fill="auto"/>
            <w:noWrap w:val="0"/>
            <w:vAlign w:val="center"/>
          </w:tcPr>
          <w:p>
            <w:pPr>
              <w:rPr>
                <w:rFonts w:cs="宋体"/>
                <w:color w:val="auto"/>
                <w:szCs w:val="24"/>
                <w:highlight w:val="none"/>
              </w:rPr>
            </w:pPr>
            <w:r>
              <w:rPr>
                <w:rFonts w:hint="eastAsia" w:cs="宋体"/>
                <w:color w:val="auto"/>
                <w:szCs w:val="24"/>
                <w:highlight w:val="none"/>
              </w:rPr>
              <w:t>▲轿厢装修</w:t>
            </w: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轿门</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轿顶</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地坪</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防腐蚀钢板，由投标人提供式样供招标人选择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四壁</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门套</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厅门</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bl>
    <w:p>
      <w:pPr>
        <w:spacing w:before="163" w:beforeLines="50"/>
        <w:rPr>
          <w:b/>
          <w:highlight w:val="none"/>
        </w:rPr>
      </w:pPr>
      <w:r>
        <w:rPr>
          <w:rFonts w:hint="eastAsia"/>
          <w:b/>
          <w:highlight w:val="none"/>
        </w:rPr>
        <w:t>表格</w:t>
      </w:r>
      <w:r>
        <w:rPr>
          <w:b/>
          <w:highlight w:val="none"/>
        </w:rPr>
        <w:t>8</w:t>
      </w:r>
    </w:p>
    <w:tbl>
      <w:tblPr>
        <w:tblStyle w:val="16"/>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203"/>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内容</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食堂1、食堂</w:t>
            </w:r>
            <w:r>
              <w:rPr>
                <w:rFonts w:cs="宋体"/>
                <w:color w:val="auto"/>
                <w:szCs w:val="24"/>
                <w:highlight w:val="none"/>
              </w:rPr>
              <w:t>2</w:t>
            </w:r>
            <w:r>
              <w:rPr>
                <w:rFonts w:hint="eastAsia" w:cs="宋体"/>
                <w:color w:val="auto"/>
                <w:szCs w:val="24"/>
                <w:highlight w:val="none"/>
              </w:rPr>
              <w:t>货梯（</w:t>
            </w:r>
            <w:r>
              <w:rPr>
                <w:rFonts w:cs="宋体"/>
                <w:color w:val="auto"/>
                <w:szCs w:val="24"/>
                <w:highlight w:val="none"/>
              </w:rPr>
              <w:t>320kg</w:t>
            </w:r>
            <w:r>
              <w:rPr>
                <w:rFonts w:hint="eastAsia" w:cs="宋体"/>
                <w:color w:val="auto"/>
                <w:szCs w:val="24"/>
                <w:highlight w:val="none"/>
              </w:rPr>
              <w:t>）</w:t>
            </w:r>
            <w:r>
              <w:rPr>
                <w:rFonts w:cs="宋体"/>
                <w:color w:val="auto"/>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数量</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w:t>
            </w:r>
            <w:r>
              <w:rPr>
                <w:rFonts w:hint="eastAsia" w:cs="宋体"/>
                <w:color w:val="auto"/>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▲电梯速度（</w:t>
            </w:r>
            <w:r>
              <w:rPr>
                <w:rFonts w:cs="宋体"/>
                <w:color w:val="auto"/>
                <w:szCs w:val="24"/>
                <w:highlight w:val="none"/>
              </w:rPr>
              <w:t>m/s</w:t>
            </w:r>
            <w:r>
              <w:rPr>
                <w:rFonts w:hint="eastAsia" w:cs="宋体"/>
                <w:color w:val="auto"/>
                <w:szCs w:val="24"/>
                <w:highlight w:val="none"/>
              </w:rPr>
              <w:t>）</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w:t>
            </w:r>
            <w:r>
              <w:rPr>
                <w:rFonts w:cs="宋体"/>
                <w:color w:val="auto"/>
                <w:szCs w:val="24"/>
                <w:highlight w:val="none"/>
              </w:rPr>
              <w:t>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▲层</w:t>
            </w:r>
            <w:r>
              <w:rPr>
                <w:rFonts w:cs="宋体"/>
                <w:color w:val="auto"/>
                <w:szCs w:val="24"/>
                <w:highlight w:val="none"/>
              </w:rPr>
              <w:t>/</w:t>
            </w:r>
            <w:r>
              <w:rPr>
                <w:rFonts w:hint="eastAsia" w:cs="宋体"/>
                <w:color w:val="auto"/>
                <w:szCs w:val="24"/>
                <w:highlight w:val="none"/>
              </w:rPr>
              <w:t>站</w:t>
            </w:r>
            <w:r>
              <w:rPr>
                <w:rFonts w:cs="宋体"/>
                <w:color w:val="auto"/>
                <w:szCs w:val="24"/>
                <w:highlight w:val="none"/>
              </w:rPr>
              <w:t>/</w:t>
            </w:r>
            <w:r>
              <w:rPr>
                <w:rFonts w:hint="eastAsia" w:cs="宋体"/>
                <w:color w:val="auto"/>
                <w:szCs w:val="24"/>
                <w:highlight w:val="none"/>
              </w:rPr>
              <w:t>门</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2/2/2</w:t>
            </w:r>
            <w:r>
              <w:rPr>
                <w:rFonts w:hint="eastAsia" w:cs="宋体"/>
                <w:color w:val="auto"/>
                <w:szCs w:val="24"/>
                <w:highlight w:val="none"/>
              </w:rPr>
              <w:t>（主体建筑共</w:t>
            </w:r>
            <w:r>
              <w:rPr>
                <w:rFonts w:cs="宋体"/>
                <w:color w:val="auto"/>
                <w:szCs w:val="24"/>
                <w:highlight w:val="none"/>
              </w:rPr>
              <w:t>2</w:t>
            </w:r>
            <w:r>
              <w:rPr>
                <w:rFonts w:hint="eastAsia" w:cs="宋体"/>
                <w:color w:val="auto"/>
                <w:szCs w:val="24"/>
                <w:highlight w:val="none"/>
              </w:rPr>
              <w:t>层：一楼层高</w:t>
            </w:r>
            <w:r>
              <w:rPr>
                <w:rFonts w:cs="宋体"/>
                <w:color w:val="auto"/>
                <w:szCs w:val="24"/>
                <w:highlight w:val="none"/>
              </w:rPr>
              <w:t>5</w:t>
            </w:r>
            <w:r>
              <w:rPr>
                <w:rFonts w:hint="eastAsia" w:cs="宋体"/>
                <w:color w:val="auto"/>
                <w:szCs w:val="24"/>
                <w:highlight w:val="none"/>
              </w:rPr>
              <w:t>米、净空约</w:t>
            </w:r>
            <w:r>
              <w:rPr>
                <w:rFonts w:cs="宋体"/>
                <w:color w:val="auto"/>
                <w:szCs w:val="24"/>
                <w:highlight w:val="none"/>
              </w:rPr>
              <w:t>4.55</w:t>
            </w:r>
            <w:r>
              <w:rPr>
                <w:rFonts w:hint="eastAsia" w:cs="宋体"/>
                <w:color w:val="auto"/>
                <w:szCs w:val="24"/>
                <w:highlight w:val="none"/>
              </w:rPr>
              <w:t>米；二楼层高</w:t>
            </w:r>
            <w:r>
              <w:rPr>
                <w:rFonts w:cs="宋体"/>
                <w:color w:val="auto"/>
                <w:szCs w:val="24"/>
                <w:highlight w:val="none"/>
              </w:rPr>
              <w:t>5</w:t>
            </w:r>
            <w:r>
              <w:rPr>
                <w:rFonts w:hint="eastAsia" w:cs="宋体"/>
                <w:color w:val="auto"/>
                <w:szCs w:val="24"/>
                <w:highlight w:val="none"/>
              </w:rPr>
              <w:t>米、净空约</w:t>
            </w:r>
            <w:r>
              <w:rPr>
                <w:rFonts w:cs="宋体"/>
                <w:color w:val="auto"/>
                <w:szCs w:val="24"/>
                <w:highlight w:val="none"/>
              </w:rPr>
              <w:t>4.55</w:t>
            </w:r>
            <w:r>
              <w:rPr>
                <w:rFonts w:hint="eastAsia" w:cs="宋体"/>
                <w:color w:val="auto"/>
                <w:szCs w:val="24"/>
                <w:highlight w:val="none"/>
              </w:rPr>
              <w:t>米。）以图为准。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▲操作方法</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单控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▲额定载重量（</w:t>
            </w:r>
            <w:r>
              <w:rPr>
                <w:rFonts w:cs="宋体"/>
                <w:color w:val="auto"/>
                <w:szCs w:val="24"/>
                <w:highlight w:val="none"/>
              </w:rPr>
              <w:t>KG</w:t>
            </w:r>
            <w:r>
              <w:rPr>
                <w:rFonts w:hint="eastAsia" w:cs="宋体"/>
                <w:color w:val="auto"/>
                <w:szCs w:val="24"/>
                <w:highlight w:val="none"/>
              </w:rPr>
              <w:t>）</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基站</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机房位置</w:t>
            </w:r>
          </w:p>
        </w:tc>
        <w:tc>
          <w:tcPr>
            <w:tcW w:w="6860" w:type="dxa"/>
            <w:shd w:val="clear" w:color="auto" w:fill="auto"/>
            <w:noWrap w:val="0"/>
            <w:vAlign w:val="center"/>
          </w:tcPr>
          <w:p>
            <w:pPr>
              <w:rPr>
                <w:rFonts w:cs="宋体"/>
                <w:color w:val="auto"/>
                <w:szCs w:val="24"/>
                <w:highlight w:val="none"/>
              </w:rPr>
            </w:pPr>
            <w:r>
              <w:rPr>
                <w:rFonts w:hint="eastAsia" w:cs="宋体"/>
                <w:b/>
                <w:color w:val="auto"/>
                <w:szCs w:val="24"/>
                <w:highlight w:val="none"/>
              </w:rPr>
              <w:t>第2层（无机房）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▲主机</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永磁同步无齿轮曳引机或有齿轮曳引机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▲控制形式</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VVVF</w:t>
            </w:r>
            <w:r>
              <w:rPr>
                <w:rFonts w:hint="eastAsia" w:cs="宋体"/>
                <w:color w:val="auto"/>
                <w:szCs w:val="24"/>
                <w:highlight w:val="none"/>
              </w:rPr>
              <w:t>变频变压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噪音</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达到国标规范要求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▲井道净尺寸</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1600mm*1600mm</w:t>
            </w:r>
            <w:r>
              <w:rPr>
                <w:rFonts w:hint="eastAsia" w:cs="宋体"/>
                <w:color w:val="auto"/>
                <w:szCs w:val="24"/>
                <w:highlight w:val="none"/>
              </w:rPr>
              <w:t xml:space="preserve"> （宽</w:t>
            </w:r>
            <w:r>
              <w:rPr>
                <w:rFonts w:cs="宋体"/>
                <w:color w:val="auto"/>
                <w:szCs w:val="24"/>
                <w:highlight w:val="none"/>
              </w:rPr>
              <w:t>*</w:t>
            </w:r>
            <w:r>
              <w:rPr>
                <w:rFonts w:hint="eastAsia" w:cs="宋体"/>
                <w:color w:val="auto"/>
                <w:szCs w:val="24"/>
                <w:highlight w:val="none"/>
              </w:rPr>
              <w:t>深）（此尺寸供参考）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▲地坑深度</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1.4m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提升高度</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现场测量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▲轿厢尺寸</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2500mm*2300mm*2500mm</w:t>
            </w:r>
            <w:r>
              <w:rPr>
                <w:rFonts w:hint="eastAsia" w:cs="宋体"/>
                <w:color w:val="auto"/>
                <w:szCs w:val="24"/>
                <w:highlight w:val="none"/>
              </w:rPr>
              <w:t>（宽</w:t>
            </w:r>
            <w:r>
              <w:rPr>
                <w:rFonts w:cs="宋体"/>
                <w:color w:val="auto"/>
                <w:szCs w:val="24"/>
                <w:highlight w:val="none"/>
              </w:rPr>
              <w:t>*</w:t>
            </w:r>
            <w:r>
              <w:rPr>
                <w:rFonts w:hint="eastAsia" w:cs="宋体"/>
                <w:color w:val="auto"/>
                <w:szCs w:val="24"/>
                <w:highlight w:val="none"/>
              </w:rPr>
              <w:t>深</w:t>
            </w:r>
            <w:r>
              <w:rPr>
                <w:rFonts w:cs="宋体"/>
                <w:color w:val="auto"/>
                <w:szCs w:val="24"/>
                <w:highlight w:val="none"/>
              </w:rPr>
              <w:t>*</w:t>
            </w:r>
            <w:r>
              <w:rPr>
                <w:rFonts w:hint="eastAsia" w:cs="宋体"/>
                <w:color w:val="auto"/>
                <w:szCs w:val="24"/>
                <w:highlight w:val="none"/>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▲净开门尺寸</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2000mm*2200mm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▲开门方式</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中分式或者</w:t>
            </w:r>
            <w:r>
              <w:rPr>
                <w:rFonts w:cs="宋体"/>
                <w:color w:val="auto"/>
                <w:szCs w:val="24"/>
                <w:highlight w:val="none"/>
              </w:rPr>
              <w:t>旁开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▲门保护</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光幕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▲轿厢操作盘</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发纹不锈钢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召唤按钮</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发纹不锈钢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gridSpan w:val="2"/>
            <w:shd w:val="clear" w:color="auto" w:fill="auto"/>
            <w:noWrap w:val="0"/>
            <w:vAlign w:val="center"/>
          </w:tcPr>
          <w:p>
            <w:pPr>
              <w:rPr>
                <w:rFonts w:cs="宋体"/>
                <w:color w:val="auto"/>
                <w:szCs w:val="24"/>
                <w:highlight w:val="none"/>
              </w:rPr>
            </w:pPr>
            <w:r>
              <w:rPr>
                <w:rFonts w:hint="eastAsia" w:cs="宋体"/>
                <w:color w:val="auto"/>
                <w:szCs w:val="24"/>
                <w:highlight w:val="none"/>
              </w:rPr>
              <w:t>▲厅门显示</w:t>
            </w:r>
          </w:p>
        </w:tc>
        <w:tc>
          <w:tcPr>
            <w:tcW w:w="6860" w:type="dxa"/>
            <w:shd w:val="clear" w:color="auto" w:fill="auto"/>
            <w:noWrap w:val="0"/>
            <w:vAlign w:val="center"/>
          </w:tcPr>
          <w:p>
            <w:pPr>
              <w:rPr>
                <w:rFonts w:cs="宋体"/>
                <w:color w:val="auto"/>
                <w:szCs w:val="24"/>
                <w:highlight w:val="none"/>
              </w:rPr>
            </w:pPr>
            <w:r>
              <w:rPr>
                <w:rFonts w:cs="宋体"/>
                <w:color w:val="auto"/>
                <w:szCs w:val="24"/>
                <w:highlight w:val="none"/>
              </w:rPr>
              <w:t>LED</w:t>
            </w:r>
            <w:r>
              <w:rPr>
                <w:rFonts w:hint="eastAsia" w:cs="宋体"/>
                <w:color w:val="auto"/>
                <w:szCs w:val="24"/>
                <w:highlight w:val="none"/>
              </w:rPr>
              <w:t>点阵显示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restart"/>
            <w:shd w:val="clear" w:color="auto" w:fill="auto"/>
            <w:noWrap w:val="0"/>
            <w:vAlign w:val="center"/>
          </w:tcPr>
          <w:p>
            <w:pPr>
              <w:rPr>
                <w:rFonts w:cs="宋体"/>
                <w:color w:val="auto"/>
                <w:szCs w:val="24"/>
                <w:highlight w:val="none"/>
              </w:rPr>
            </w:pPr>
            <w:r>
              <w:rPr>
                <w:rFonts w:hint="eastAsia" w:cs="宋体"/>
                <w:color w:val="auto"/>
                <w:szCs w:val="24"/>
                <w:highlight w:val="none"/>
              </w:rPr>
              <w:t>▲轿厢装修</w:t>
            </w: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轿门</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轿顶</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地坪</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防腐蚀钢板，由投标人提供式样供招标人选择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四壁</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门套</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shd w:val="clear" w:color="auto" w:fill="auto"/>
            <w:noWrap w:val="0"/>
            <w:vAlign w:val="center"/>
          </w:tcPr>
          <w:p>
            <w:pPr>
              <w:rPr>
                <w:rFonts w:cs="宋体"/>
                <w:color w:val="auto"/>
                <w:szCs w:val="24"/>
                <w:highlight w:val="none"/>
              </w:rPr>
            </w:pPr>
          </w:p>
        </w:tc>
        <w:tc>
          <w:tcPr>
            <w:tcW w:w="1203" w:type="dxa"/>
            <w:shd w:val="clear" w:color="auto" w:fill="auto"/>
            <w:noWrap w:val="0"/>
            <w:vAlign w:val="center"/>
          </w:tcPr>
          <w:p>
            <w:pPr>
              <w:rPr>
                <w:rFonts w:cs="宋体"/>
                <w:color w:val="auto"/>
                <w:szCs w:val="24"/>
                <w:highlight w:val="none"/>
              </w:rPr>
            </w:pPr>
            <w:r>
              <w:rPr>
                <w:rFonts w:hint="eastAsia" w:cs="宋体"/>
                <w:color w:val="auto"/>
                <w:szCs w:val="24"/>
                <w:highlight w:val="none"/>
              </w:rPr>
              <w:t>厅门</w:t>
            </w:r>
          </w:p>
        </w:tc>
        <w:tc>
          <w:tcPr>
            <w:tcW w:w="6860" w:type="dxa"/>
            <w:shd w:val="clear" w:color="auto" w:fill="auto"/>
            <w:noWrap w:val="0"/>
            <w:vAlign w:val="center"/>
          </w:tcPr>
          <w:p>
            <w:pPr>
              <w:rPr>
                <w:rFonts w:cs="宋体"/>
                <w:color w:val="auto"/>
                <w:szCs w:val="24"/>
                <w:highlight w:val="none"/>
              </w:rPr>
            </w:pPr>
            <w:r>
              <w:rPr>
                <w:rFonts w:hint="eastAsia" w:cs="宋体"/>
                <w:color w:val="auto"/>
                <w:szCs w:val="24"/>
                <w:highlight w:val="none"/>
              </w:rPr>
              <w:t>喷漆钢板</w:t>
            </w:r>
          </w:p>
        </w:tc>
      </w:tr>
    </w:tbl>
    <w:p>
      <w:pPr>
        <w:rPr>
          <w:b/>
          <w:highlight w:val="none"/>
        </w:rPr>
      </w:pPr>
    </w:p>
    <w:p>
      <w:pPr>
        <w:numPr>
          <w:ilvl w:val="0"/>
          <w:numId w:val="104"/>
        </w:numPr>
        <w:rPr>
          <w:b/>
          <w:highlight w:val="none"/>
        </w:rPr>
      </w:pPr>
      <w:r>
        <w:rPr>
          <w:rFonts w:hint="eastAsia"/>
          <w:b/>
          <w:highlight w:val="none"/>
        </w:rPr>
        <w:t>技术要求</w:t>
      </w:r>
    </w:p>
    <w:tbl>
      <w:tblPr>
        <w:tblStyle w:val="16"/>
        <w:tblpPr w:leftFromText="180" w:rightFromText="180" w:vertAnchor="text" w:horzAnchor="page" w:tblpXSpec="center" w:tblpY="334"/>
        <w:tblW w:w="92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7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noWrap w:val="0"/>
            <w:tcMar>
              <w:left w:w="108" w:type="dxa"/>
              <w:right w:w="108" w:type="dxa"/>
            </w:tcMar>
            <w:vAlign w:val="top"/>
          </w:tcPr>
          <w:p>
            <w:pPr>
              <w:rPr>
                <w:rFonts w:ascii="宋体"/>
                <w:color w:val="000000"/>
                <w:szCs w:val="24"/>
                <w:highlight w:val="none"/>
              </w:rPr>
            </w:pPr>
            <w:r>
              <w:rPr>
                <w:rFonts w:hint="eastAsia" w:ascii="宋体" w:hAnsi="宋体" w:cs="宋体"/>
                <w:color w:val="000000"/>
                <w:szCs w:val="24"/>
                <w:highlight w:val="none"/>
              </w:rPr>
              <w:t>再平层功能</w:t>
            </w:r>
          </w:p>
        </w:tc>
        <w:tc>
          <w:tcPr>
            <w:tcW w:w="7025" w:type="dxa"/>
            <w:noWrap w:val="0"/>
            <w:tcMar>
              <w:left w:w="108" w:type="dxa"/>
              <w:right w:w="108" w:type="dxa"/>
            </w:tcMar>
            <w:vAlign w:val="top"/>
          </w:tcPr>
          <w:p>
            <w:pPr>
              <w:rPr>
                <w:rFonts w:ascii="宋体"/>
                <w:color w:val="000000"/>
                <w:szCs w:val="24"/>
                <w:highlight w:val="none"/>
              </w:rPr>
            </w:pPr>
            <w:r>
              <w:rPr>
                <w:rFonts w:hint="eastAsia" w:ascii="宋体" w:hAnsi="宋体" w:cs="宋体"/>
                <w:color w:val="000000"/>
                <w:szCs w:val="24"/>
                <w:highlight w:val="none"/>
              </w:rPr>
              <w:t>平层后由于载荷变化而引起轿厢位置变化后，在开门状态低速蠕动再次恢复平层。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color w:val="000000"/>
                <w:szCs w:val="24"/>
                <w:highlight w:val="none"/>
              </w:rPr>
            </w:pPr>
            <w:r>
              <w:rPr>
                <w:rFonts w:hint="eastAsia" w:ascii="宋体" w:hAnsi="宋体" w:cs="宋体"/>
                <w:color w:val="000000"/>
                <w:szCs w:val="24"/>
                <w:highlight w:val="none"/>
              </w:rPr>
              <w:t>锁梯功能</w:t>
            </w:r>
          </w:p>
        </w:tc>
        <w:tc>
          <w:tcPr>
            <w:tcW w:w="7025" w:type="dxa"/>
            <w:noWrap w:val="0"/>
            <w:tcMar>
              <w:left w:w="108" w:type="dxa"/>
              <w:right w:w="108" w:type="dxa"/>
            </w:tcMar>
            <w:vAlign w:val="top"/>
          </w:tcPr>
          <w:p>
            <w:pPr>
              <w:rPr>
                <w:rFonts w:ascii="宋体"/>
                <w:color w:val="000000"/>
                <w:szCs w:val="24"/>
                <w:highlight w:val="none"/>
              </w:rPr>
            </w:pPr>
            <w:r>
              <w:rPr>
                <w:rFonts w:hint="eastAsia" w:ascii="宋体" w:hAnsi="宋体" w:cs="宋体"/>
                <w:color w:val="000000"/>
                <w:szCs w:val="24"/>
                <w:highlight w:val="none"/>
              </w:rPr>
              <w:t>通过安装在指定楼层的钥匙开关，使电梯停止运行。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超载保护功能及声响和灯号警示</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超载时，轿厢内蜂鸣器鸣响并显示轿厢超载。轿厢处于开门状态，停止于该层站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电梯受阻失速保护</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当曳引钢丝绳打滑达到预定时间时，电梯停止运行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轿内反响指令消除</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电梯自动运行时，当电梯沿途响应完最后一个轿内指令或层站召唤后，系统自动检查并消除余下的轿内指令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关门故障保护功能</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因有障碍物而不能关门时，电梯门会重复地打开和关闭直至障碍物被清除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即时关门</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电梯停站开门后，按下关门按钮，门立即关闭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强制关门</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当电梯开门保持时间超过预定值，电梯发出警报声，并尝试关门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本层再开门</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关门过程中，按同方向层站召唤按钮，电梯重新开门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层站运行控制开关</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通过操作指定层站上安装的“运行</w:t>
            </w:r>
            <w:r>
              <w:rPr>
                <w:rFonts w:ascii="宋体" w:hAnsi="宋体" w:cs="宋体"/>
                <w:szCs w:val="24"/>
                <w:highlight w:val="none"/>
              </w:rPr>
              <w:t>/</w:t>
            </w:r>
            <w:r>
              <w:rPr>
                <w:rFonts w:hint="eastAsia" w:ascii="宋体" w:hAnsi="宋体" w:cs="宋体"/>
                <w:szCs w:val="24"/>
                <w:highlight w:val="none"/>
              </w:rPr>
              <w:t>停止”钥匙开关，开启或关闭电梯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次层停靠</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电梯到达目的层后，如轿厢门不能完全开启，则关门前行到下一层，直到门能完全开启，恢复正常运行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停层开门</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电梯停层后自动开门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调整门开启时间</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根据轿厢停靠是由楼层召唤还是轿厢召唤所发生，调整开门时间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开门保持按钮</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操作此按钮可延长电梯的开门等候时间。此外，系统将自动把外呼信号分配给其它电梯响应处理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轿箱警铃</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当电梯发生故障时，乘客可按动轿内报警按钮，及时通知外界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可自动切断轿厢照明及风扇电源的限时开关</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如果在规定的时间内无召唤，轿厢照明</w:t>
            </w:r>
            <w:r>
              <w:rPr>
                <w:rFonts w:ascii="宋体" w:hAnsi="宋体" w:cs="宋体"/>
                <w:szCs w:val="24"/>
                <w:highlight w:val="none"/>
              </w:rPr>
              <w:t>/</w:t>
            </w:r>
            <w:r>
              <w:rPr>
                <w:rFonts w:hint="eastAsia" w:ascii="宋体" w:hAnsi="宋体" w:cs="宋体"/>
                <w:szCs w:val="24"/>
                <w:highlight w:val="none"/>
              </w:rPr>
              <w:t>风扇</w:t>
            </w:r>
            <w:r>
              <w:rPr>
                <w:rFonts w:ascii="宋体" w:hAnsi="宋体" w:cs="宋体"/>
                <w:szCs w:val="24"/>
                <w:highlight w:val="none"/>
              </w:rPr>
              <w:t>/</w:t>
            </w:r>
            <w:r>
              <w:rPr>
                <w:rFonts w:hint="eastAsia" w:ascii="宋体" w:hAnsi="宋体" w:cs="宋体"/>
                <w:szCs w:val="24"/>
                <w:highlight w:val="none"/>
              </w:rPr>
              <w:t>空调自动关闭，以节省能源，轿厢照明度必须满足监控要求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应急照明</w:t>
            </w:r>
            <w:r>
              <w:rPr>
                <w:rFonts w:ascii="宋体" w:hAnsi="宋体" w:cs="宋体"/>
                <w:szCs w:val="24"/>
                <w:highlight w:val="none"/>
              </w:rPr>
              <w:t xml:space="preserve"> (</w:t>
            </w:r>
            <w:r>
              <w:rPr>
                <w:rFonts w:hint="eastAsia" w:ascii="宋体" w:hAnsi="宋体" w:cs="宋体"/>
                <w:szCs w:val="24"/>
                <w:highlight w:val="none"/>
              </w:rPr>
              <w:t>自动充电</w:t>
            </w:r>
            <w:r>
              <w:rPr>
                <w:rFonts w:ascii="宋体" w:hAnsi="宋体" w:cs="宋体"/>
                <w:szCs w:val="24"/>
                <w:highlight w:val="none"/>
              </w:rPr>
              <w:t>)</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当正常电源中断时，立即提供轿厢照明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排气扇</w:t>
            </w:r>
          </w:p>
        </w:tc>
        <w:tc>
          <w:tcPr>
            <w:tcW w:w="7025" w:type="dxa"/>
            <w:noWrap w:val="0"/>
            <w:tcMar>
              <w:left w:w="108" w:type="dxa"/>
              <w:right w:w="108" w:type="dxa"/>
            </w:tcMar>
            <w:vAlign w:val="top"/>
          </w:tcPr>
          <w:p>
            <w:pPr>
              <w:rPr>
                <w:rFonts w:ascii="宋体"/>
                <w:szCs w:val="24"/>
                <w:highlight w:val="none"/>
              </w:rPr>
            </w:pPr>
            <w:r>
              <w:rPr>
                <w:rFonts w:hint="eastAsia" w:ascii="宋体" w:hAnsi="宋体" w:cs="宋体"/>
                <w:szCs w:val="24"/>
                <w:highlight w:val="none"/>
              </w:rPr>
              <w:t>将轿厢内的废气抽至井道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安全停靠</w:t>
            </w:r>
          </w:p>
        </w:tc>
        <w:tc>
          <w:tcPr>
            <w:tcW w:w="7025"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电梯因故停在门区外，控制器进行安全检测，若符合启动要求，则电梯就近停层开门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首层迫降工程</w:t>
            </w:r>
          </w:p>
        </w:tc>
        <w:tc>
          <w:tcPr>
            <w:tcW w:w="7025"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火灾发生后，应根据火情强制所有电梯依次停于首层或电梯转换层。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五方通话系统</w:t>
            </w:r>
          </w:p>
        </w:tc>
        <w:tc>
          <w:tcPr>
            <w:tcW w:w="7025"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在轿厢内、机房、消防监控中心设置对讲电话，在轿厢内通过对讲电话可与机房通话。（机房到值班室线</w:t>
            </w:r>
            <w:r>
              <w:rPr>
                <w:rFonts w:hint="eastAsia"/>
                <w:szCs w:val="24"/>
                <w:highlight w:val="none"/>
              </w:rPr>
              <w:t>由电梯厂家负责</w:t>
            </w:r>
            <w:r>
              <w:rPr>
                <w:rFonts w:hint="eastAsia" w:ascii="宋体" w:hAnsi="宋体" w:cs="宋体"/>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▲监控系统</w:t>
            </w:r>
          </w:p>
        </w:tc>
        <w:tc>
          <w:tcPr>
            <w:tcW w:w="7025"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物联网（免费提供监控系统可实现类似物联网功能）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63" w:type="dxa"/>
            <w:noWrap w:val="0"/>
            <w:tcMar>
              <w:left w:w="108" w:type="dxa"/>
              <w:right w:w="108" w:type="dxa"/>
            </w:tcMar>
            <w:vAlign w:val="top"/>
          </w:tcPr>
          <w:p>
            <w:pPr>
              <w:rPr>
                <w:rFonts w:ascii="宋体" w:hAnsi="宋体" w:cs="宋体"/>
                <w:szCs w:val="24"/>
                <w:highlight w:val="none"/>
              </w:rPr>
            </w:pPr>
            <w:r>
              <w:rPr>
                <w:rFonts w:hint="eastAsia" w:ascii="宋体" w:hAnsi="宋体" w:cs="宋体"/>
                <w:szCs w:val="24"/>
                <w:highlight w:val="none"/>
              </w:rPr>
              <w:t>▲电梯质保期及服务</w:t>
            </w:r>
          </w:p>
        </w:tc>
        <w:tc>
          <w:tcPr>
            <w:tcW w:w="7025" w:type="dxa"/>
            <w:noWrap w:val="0"/>
            <w:tcMar>
              <w:left w:w="108" w:type="dxa"/>
              <w:right w:w="108" w:type="dxa"/>
            </w:tcMar>
            <w:vAlign w:val="top"/>
          </w:tcPr>
          <w:p>
            <w:pPr>
              <w:rPr>
                <w:rFonts w:ascii="宋体" w:hAnsi="宋体" w:cs="宋体"/>
                <w:szCs w:val="24"/>
                <w:highlight w:val="none"/>
              </w:rPr>
            </w:pPr>
            <w:r>
              <w:rPr>
                <w:rFonts w:hint="eastAsia" w:ascii="宋体" w:hAnsi="宋体" w:cs="宋体"/>
                <w:color w:val="000000"/>
                <w:szCs w:val="24"/>
                <w:highlight w:val="none"/>
              </w:rPr>
              <w:t>质保期为壹年。</w:t>
            </w:r>
          </w:p>
        </w:tc>
      </w:tr>
    </w:tbl>
    <w:p>
      <w:pPr>
        <w:rPr>
          <w:b/>
          <w:highlight w:val="none"/>
        </w:rPr>
      </w:pPr>
    </w:p>
    <w:p>
      <w:pPr>
        <w:numPr>
          <w:ilvl w:val="0"/>
          <w:numId w:val="104"/>
        </w:numPr>
        <w:rPr>
          <w:b/>
          <w:highlight w:val="none"/>
        </w:rPr>
      </w:pPr>
      <w:r>
        <w:rPr>
          <w:rFonts w:hint="eastAsia"/>
          <w:b/>
          <w:highlight w:val="none"/>
        </w:rPr>
        <w:t>电梯信号对接技术说明（仅Pa</w:t>
      </w:r>
      <w:r>
        <w:rPr>
          <w:b/>
          <w:highlight w:val="none"/>
        </w:rPr>
        <w:t>ck</w:t>
      </w:r>
      <w:r>
        <w:rPr>
          <w:rFonts w:hint="eastAsia"/>
          <w:b/>
          <w:highlight w:val="none"/>
        </w:rPr>
        <w:t>车间2</w:t>
      </w:r>
      <w:r>
        <w:rPr>
          <w:b/>
          <w:highlight w:val="none"/>
        </w:rPr>
        <w:t>#</w:t>
      </w:r>
      <w:r>
        <w:rPr>
          <w:rFonts w:hint="eastAsia"/>
          <w:b/>
          <w:highlight w:val="none"/>
        </w:rPr>
        <w:t>、3</w:t>
      </w:r>
      <w:r>
        <w:rPr>
          <w:b/>
          <w:highlight w:val="none"/>
        </w:rPr>
        <w:t>#</w:t>
      </w:r>
      <w:r>
        <w:rPr>
          <w:rFonts w:hint="eastAsia"/>
          <w:b/>
          <w:highlight w:val="none"/>
        </w:rPr>
        <w:t>、4</w:t>
      </w:r>
      <w:r>
        <w:rPr>
          <w:b/>
          <w:highlight w:val="none"/>
        </w:rPr>
        <w:t>#</w:t>
      </w:r>
      <w:r>
        <w:rPr>
          <w:rFonts w:hint="eastAsia"/>
          <w:b/>
          <w:highlight w:val="none"/>
        </w:rPr>
        <w:t>、5</w:t>
      </w:r>
      <w:r>
        <w:rPr>
          <w:b/>
          <w:highlight w:val="none"/>
        </w:rPr>
        <w:t>#</w:t>
      </w:r>
      <w:r>
        <w:rPr>
          <w:rFonts w:hint="eastAsia"/>
          <w:b/>
          <w:highlight w:val="none"/>
        </w:rPr>
        <w:t>货梯）</w:t>
      </w:r>
    </w:p>
    <w:p>
      <w:pPr>
        <w:jc w:val="left"/>
        <w:rPr>
          <w:rFonts w:ascii="宋体" w:hAnsi="宋体"/>
          <w:b/>
          <w:szCs w:val="21"/>
          <w:highlight w:val="none"/>
        </w:rPr>
      </w:pPr>
      <w:r>
        <w:rPr>
          <w:rFonts w:hint="eastAsia" w:ascii="宋体" w:hAnsi="宋体"/>
          <w:b/>
          <w:szCs w:val="21"/>
          <w:highlight w:val="none"/>
        </w:rPr>
        <w:t>1</w:t>
      </w:r>
      <w:r>
        <w:rPr>
          <w:rFonts w:ascii="宋体" w:hAnsi="宋体"/>
          <w:b/>
          <w:szCs w:val="21"/>
          <w:highlight w:val="none"/>
        </w:rPr>
        <w:t xml:space="preserve">. </w:t>
      </w:r>
      <w:r>
        <w:rPr>
          <w:rFonts w:hint="eastAsia" w:ascii="宋体" w:hAnsi="宋体"/>
          <w:b/>
          <w:szCs w:val="21"/>
          <w:highlight w:val="none"/>
        </w:rPr>
        <w:t>概述</w:t>
      </w:r>
    </w:p>
    <w:p>
      <w:pPr>
        <w:spacing w:after="163" w:afterLines="50"/>
        <w:rPr>
          <w:rFonts w:ascii="宋体" w:hAnsi="宋体"/>
          <w:szCs w:val="21"/>
          <w:highlight w:val="none"/>
        </w:rPr>
      </w:pPr>
      <w:r>
        <w:rPr>
          <w:rFonts w:hint="eastAsia" w:ascii="宋体" w:hAnsi="宋体"/>
          <w:szCs w:val="21"/>
          <w:highlight w:val="none"/>
        </w:rPr>
        <w:t>AGV行驶路线中，经常需要随电梯一起上下楼层，为实现AGV与电梯自动通讯，自动开关门，自动进出的功能，需要在电梯的控制系统中并入我司自主研发的电梯无线对接系统。</w:t>
      </w:r>
    </w:p>
    <w:p>
      <w:pPr>
        <w:spacing w:after="326" w:afterLines="100"/>
        <w:rPr>
          <w:rFonts w:ascii="等线" w:hAnsi="等线" w:eastAsia="等线"/>
          <w:highlight w:val="none"/>
        </w:rPr>
      </w:pPr>
      <w:r>
        <w:rPr>
          <w:rFonts w:ascii="等线" w:hAnsi="等线" w:eastAsia="等线"/>
          <w:highlight w:val="none"/>
        </w:rPr>
        <w:drawing>
          <wp:inline distT="0" distB="0" distL="114300" distR="114300">
            <wp:extent cx="1356995" cy="1340485"/>
            <wp:effectExtent l="0" t="0" r="14605" b="12065"/>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46"/>
                    <a:stretch>
                      <a:fillRect/>
                    </a:stretch>
                  </pic:blipFill>
                  <pic:spPr>
                    <a:xfrm>
                      <a:off x="0" y="0"/>
                      <a:ext cx="1356995" cy="1340485"/>
                    </a:xfrm>
                    <a:prstGeom prst="rect">
                      <a:avLst/>
                    </a:prstGeom>
                    <a:noFill/>
                    <a:ln>
                      <a:noFill/>
                    </a:ln>
                  </pic:spPr>
                </pic:pic>
              </a:graphicData>
            </a:graphic>
          </wp:inline>
        </w:drawing>
      </w:r>
      <w:r>
        <w:rPr>
          <w:rFonts w:ascii="等线" w:hAnsi="等线" w:eastAsia="等线"/>
          <w:highlight w:val="none"/>
        </w:rPr>
        <w:t xml:space="preserve"> </w:t>
      </w:r>
      <w:r>
        <w:rPr>
          <w:rFonts w:ascii="等线" w:hAnsi="等线" w:eastAsia="等线"/>
          <w:highlight w:val="none"/>
        </w:rPr>
        <w:drawing>
          <wp:inline distT="0" distB="0" distL="114300" distR="114300">
            <wp:extent cx="2327275" cy="1331595"/>
            <wp:effectExtent l="0" t="0" r="15875" b="190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47"/>
                    <a:stretch>
                      <a:fillRect/>
                    </a:stretch>
                  </pic:blipFill>
                  <pic:spPr>
                    <a:xfrm>
                      <a:off x="0" y="0"/>
                      <a:ext cx="2327275" cy="1331595"/>
                    </a:xfrm>
                    <a:prstGeom prst="rect">
                      <a:avLst/>
                    </a:prstGeom>
                    <a:noFill/>
                    <a:ln>
                      <a:noFill/>
                    </a:ln>
                  </pic:spPr>
                </pic:pic>
              </a:graphicData>
            </a:graphic>
          </wp:inline>
        </w:drawing>
      </w:r>
      <w:r>
        <w:rPr>
          <w:rFonts w:ascii="等线" w:hAnsi="等线" w:eastAsia="等线"/>
          <w:highlight w:val="none"/>
        </w:rPr>
        <w:t xml:space="preserve"> </w:t>
      </w:r>
      <w:r>
        <w:rPr>
          <w:rFonts w:ascii="等线" w:hAnsi="等线" w:eastAsia="等线"/>
          <w:highlight w:val="none"/>
        </w:rPr>
        <w:drawing>
          <wp:inline distT="0" distB="0" distL="114300" distR="114300">
            <wp:extent cx="2037715" cy="1330960"/>
            <wp:effectExtent l="0" t="0" r="635" b="254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pic:cNvPicPr>
                  </pic:nvPicPr>
                  <pic:blipFill>
                    <a:blip r:embed="rId48"/>
                    <a:stretch>
                      <a:fillRect/>
                    </a:stretch>
                  </pic:blipFill>
                  <pic:spPr>
                    <a:xfrm>
                      <a:off x="0" y="0"/>
                      <a:ext cx="2037715" cy="1330960"/>
                    </a:xfrm>
                    <a:prstGeom prst="rect">
                      <a:avLst/>
                    </a:prstGeom>
                    <a:noFill/>
                    <a:ln>
                      <a:noFill/>
                    </a:ln>
                  </pic:spPr>
                </pic:pic>
              </a:graphicData>
            </a:graphic>
          </wp:inline>
        </w:drawing>
      </w:r>
    </w:p>
    <w:p>
      <w:pPr>
        <w:spacing w:after="163" w:afterLines="50"/>
        <w:rPr>
          <w:rFonts w:ascii="宋体" w:hAnsi="宋体"/>
          <w:b/>
          <w:szCs w:val="21"/>
          <w:highlight w:val="none"/>
        </w:rPr>
      </w:pPr>
      <w:r>
        <w:rPr>
          <w:rFonts w:hint="eastAsia" w:ascii="宋体" w:hAnsi="宋体"/>
          <w:b/>
          <w:szCs w:val="21"/>
          <w:highlight w:val="none"/>
        </w:rPr>
        <w:t>2</w:t>
      </w:r>
      <w:r>
        <w:rPr>
          <w:rFonts w:ascii="宋体" w:hAnsi="宋体"/>
          <w:b/>
          <w:szCs w:val="21"/>
          <w:highlight w:val="none"/>
        </w:rPr>
        <w:t xml:space="preserve">. </w:t>
      </w:r>
      <w:r>
        <w:rPr>
          <w:rFonts w:hint="eastAsia" w:ascii="宋体" w:hAnsi="宋体"/>
          <w:b/>
          <w:szCs w:val="21"/>
          <w:highlight w:val="none"/>
        </w:rPr>
        <w:t>无线对接系统介绍</w:t>
      </w:r>
    </w:p>
    <w:p>
      <w:pPr>
        <w:spacing w:after="326" w:afterLines="100"/>
        <w:rPr>
          <w:sz w:val="28"/>
          <w:szCs w:val="32"/>
          <w:highlight w:val="none"/>
        </w:rPr>
      </w:pPr>
      <w:r>
        <w:rPr>
          <w:rFonts w:ascii="等线" w:hAnsi="等线" w:eastAsia="等线"/>
          <w:highlight w:val="none"/>
        </w:rPr>
        <w:drawing>
          <wp:inline distT="0" distB="0" distL="114300" distR="114300">
            <wp:extent cx="2147570" cy="960755"/>
            <wp:effectExtent l="0" t="0" r="5080" b="10795"/>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pic:cNvPicPr>
                      <a:picLocks noChangeAspect="1"/>
                    </pic:cNvPicPr>
                  </pic:nvPicPr>
                  <pic:blipFill>
                    <a:blip r:embed="rId49"/>
                    <a:stretch>
                      <a:fillRect/>
                    </a:stretch>
                  </pic:blipFill>
                  <pic:spPr>
                    <a:xfrm>
                      <a:off x="0" y="0"/>
                      <a:ext cx="2147570" cy="960755"/>
                    </a:xfrm>
                    <a:prstGeom prst="rect">
                      <a:avLst/>
                    </a:prstGeom>
                    <a:noFill/>
                    <a:ln>
                      <a:noFill/>
                    </a:ln>
                  </pic:spPr>
                </pic:pic>
              </a:graphicData>
            </a:graphic>
          </wp:inline>
        </w:drawing>
      </w:r>
      <w:r>
        <w:rPr>
          <w:rFonts w:hint="eastAsia"/>
          <w:sz w:val="28"/>
          <w:szCs w:val="32"/>
          <w:highlight w:val="none"/>
        </w:rPr>
        <w:t xml:space="preserve"> </w:t>
      </w:r>
      <w:r>
        <w:rPr>
          <w:rFonts w:ascii="等线" w:hAnsi="等线" w:eastAsia="等线"/>
          <w:highlight w:val="none"/>
        </w:rPr>
        <w:drawing>
          <wp:inline distT="0" distB="0" distL="114300" distR="114300">
            <wp:extent cx="902970" cy="934085"/>
            <wp:effectExtent l="0" t="0" r="11430" b="18415"/>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pic:cNvPicPr>
                  </pic:nvPicPr>
                  <pic:blipFill>
                    <a:blip r:embed="rId50"/>
                    <a:stretch>
                      <a:fillRect/>
                    </a:stretch>
                  </pic:blipFill>
                  <pic:spPr>
                    <a:xfrm>
                      <a:off x="0" y="0"/>
                      <a:ext cx="902970" cy="934085"/>
                    </a:xfrm>
                    <a:prstGeom prst="rect">
                      <a:avLst/>
                    </a:prstGeom>
                    <a:noFill/>
                    <a:ln>
                      <a:noFill/>
                    </a:ln>
                  </pic:spPr>
                </pic:pic>
              </a:graphicData>
            </a:graphic>
          </wp:inline>
        </w:drawing>
      </w:r>
      <w:r>
        <w:rPr>
          <w:sz w:val="28"/>
          <w:szCs w:val="32"/>
          <w:highlight w:val="none"/>
        </w:rPr>
        <w:t xml:space="preserve"> </w:t>
      </w:r>
      <w:r>
        <w:rPr>
          <w:rFonts w:ascii="等线" w:hAnsi="等线" w:eastAsia="等线"/>
          <w:highlight w:val="none"/>
        </w:rPr>
        <w:drawing>
          <wp:inline distT="0" distB="0" distL="114300" distR="114300">
            <wp:extent cx="2597785" cy="961390"/>
            <wp:effectExtent l="0" t="0" r="12065" b="1016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pic:cNvPicPr>
                  </pic:nvPicPr>
                  <pic:blipFill>
                    <a:blip r:embed="rId51"/>
                    <a:stretch>
                      <a:fillRect/>
                    </a:stretch>
                  </pic:blipFill>
                  <pic:spPr>
                    <a:xfrm>
                      <a:off x="0" y="0"/>
                      <a:ext cx="2597785" cy="961390"/>
                    </a:xfrm>
                    <a:prstGeom prst="rect">
                      <a:avLst/>
                    </a:prstGeom>
                    <a:noFill/>
                    <a:ln>
                      <a:noFill/>
                    </a:ln>
                  </pic:spPr>
                </pic:pic>
              </a:graphicData>
            </a:graphic>
          </wp:inline>
        </w:drawing>
      </w:r>
    </w:p>
    <w:p>
      <w:pPr>
        <w:jc w:val="left"/>
        <w:rPr>
          <w:rFonts w:ascii="宋体" w:hAnsi="宋体"/>
          <w:szCs w:val="21"/>
          <w:highlight w:val="none"/>
        </w:rPr>
      </w:pPr>
      <w:r>
        <w:rPr>
          <w:rFonts w:ascii="宋体" w:hAnsi="宋体"/>
          <w:szCs w:val="21"/>
          <w:highlight w:val="none"/>
        </w:rPr>
        <w:t>1</w:t>
      </w:r>
      <w:r>
        <w:rPr>
          <w:rFonts w:hint="eastAsia" w:ascii="宋体" w:hAnsi="宋体"/>
          <w:szCs w:val="21"/>
          <w:highlight w:val="none"/>
        </w:rPr>
        <w:t>）对接模块与</w:t>
      </w:r>
      <w:r>
        <w:rPr>
          <w:rFonts w:ascii="宋体" w:hAnsi="宋体"/>
          <w:szCs w:val="21"/>
          <w:highlight w:val="none"/>
        </w:rPr>
        <w:t>AGV</w:t>
      </w:r>
      <w:r>
        <w:rPr>
          <w:rFonts w:hint="eastAsia" w:ascii="宋体" w:hAnsi="宋体"/>
          <w:szCs w:val="21"/>
          <w:highlight w:val="none"/>
        </w:rPr>
        <w:t>通讯，采用无线信号进行数据交握。</w:t>
      </w:r>
    </w:p>
    <w:p>
      <w:pPr>
        <w:jc w:val="left"/>
        <w:rPr>
          <w:rFonts w:ascii="宋体" w:hAnsi="宋体"/>
          <w:szCs w:val="21"/>
          <w:highlight w:val="none"/>
        </w:rPr>
      </w:pPr>
      <w:r>
        <w:rPr>
          <w:rFonts w:ascii="宋体" w:hAnsi="宋体"/>
          <w:szCs w:val="21"/>
          <w:highlight w:val="none"/>
        </w:rPr>
        <w:t>2</w:t>
      </w:r>
      <w:r>
        <w:rPr>
          <w:rFonts w:hint="eastAsia" w:ascii="宋体" w:hAnsi="宋体"/>
          <w:szCs w:val="21"/>
          <w:highlight w:val="none"/>
        </w:rPr>
        <w:t>）对接模块与感应门控制系统，采用</w:t>
      </w:r>
      <w:r>
        <w:rPr>
          <w:rFonts w:ascii="宋体" w:hAnsi="宋体"/>
          <w:szCs w:val="21"/>
          <w:highlight w:val="none"/>
        </w:rPr>
        <w:t>I/0</w:t>
      </w:r>
      <w:r>
        <w:rPr>
          <w:rFonts w:hint="eastAsia" w:ascii="宋体" w:hAnsi="宋体"/>
          <w:szCs w:val="21"/>
          <w:highlight w:val="none"/>
        </w:rPr>
        <w:t>信号进行连接。</w:t>
      </w:r>
    </w:p>
    <w:p>
      <w:pPr>
        <w:jc w:val="left"/>
        <w:rPr>
          <w:rFonts w:ascii="等线" w:hAnsi="等线" w:eastAsia="等线"/>
          <w:highlight w:val="none"/>
        </w:rPr>
      </w:pPr>
      <w:r>
        <w:rPr>
          <w:rFonts w:ascii="宋体" w:hAnsi="宋体"/>
          <w:szCs w:val="21"/>
          <w:highlight w:val="none"/>
        </w:rPr>
        <w:t>3</w:t>
      </w:r>
      <w:r>
        <w:rPr>
          <w:rFonts w:hint="eastAsia" w:ascii="宋体" w:hAnsi="宋体"/>
          <w:szCs w:val="21"/>
          <w:highlight w:val="none"/>
        </w:rPr>
        <w:t>）其主要输出点位功能为：</w:t>
      </w:r>
      <w:r>
        <w:rPr>
          <w:rFonts w:hint="eastAsia" w:ascii="宋体" w:hAnsi="宋体"/>
          <w:highlight w:val="none"/>
        </w:rPr>
        <w:t xml:space="preserve"> </w:t>
      </w:r>
      <w:r>
        <w:rPr>
          <w:rFonts w:ascii="宋体" w:hAnsi="宋体"/>
          <w:highlight w:val="none"/>
        </w:rPr>
        <w:t xml:space="preserve">          </w:t>
      </w:r>
      <w:r>
        <w:rPr>
          <w:rFonts w:ascii="等线" w:hAnsi="等线" w:eastAsia="等线"/>
          <w:highlight w:val="none"/>
        </w:rPr>
        <w:drawing>
          <wp:inline distT="0" distB="0" distL="114300" distR="114300">
            <wp:extent cx="3119120" cy="1656715"/>
            <wp:effectExtent l="0" t="0" r="5080" b="63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52"/>
                    <a:stretch>
                      <a:fillRect/>
                    </a:stretch>
                  </pic:blipFill>
                  <pic:spPr>
                    <a:xfrm>
                      <a:off x="0" y="0"/>
                      <a:ext cx="3119120" cy="1656715"/>
                    </a:xfrm>
                    <a:prstGeom prst="rect">
                      <a:avLst/>
                    </a:prstGeom>
                    <a:noFill/>
                    <a:ln>
                      <a:noFill/>
                    </a:ln>
                  </pic:spPr>
                </pic:pic>
              </a:graphicData>
            </a:graphic>
          </wp:inline>
        </w:drawing>
      </w:r>
    </w:p>
    <w:p>
      <w:pPr>
        <w:jc w:val="left"/>
        <w:rPr>
          <w:rFonts w:ascii="宋体" w:hAnsi="宋体"/>
          <w:szCs w:val="21"/>
          <w:highlight w:val="none"/>
        </w:rPr>
      </w:pPr>
      <w:r>
        <w:rPr>
          <w:rFonts w:hint="eastAsia" w:ascii="宋体" w:hAnsi="宋体"/>
          <w:szCs w:val="21"/>
          <w:highlight w:val="none"/>
        </w:rPr>
        <w:t>① 开门信号；② 开门到位信号；③</w:t>
      </w:r>
      <w:r>
        <w:rPr>
          <w:rFonts w:ascii="宋体" w:hAnsi="宋体"/>
          <w:szCs w:val="21"/>
          <w:highlight w:val="none"/>
        </w:rPr>
        <w:t xml:space="preserve"> </w:t>
      </w:r>
      <w:r>
        <w:rPr>
          <w:rFonts w:hint="eastAsia" w:ascii="宋体" w:hAnsi="宋体"/>
          <w:szCs w:val="21"/>
          <w:highlight w:val="none"/>
        </w:rPr>
        <w:t>关门信号；④</w:t>
      </w:r>
      <w:r>
        <w:rPr>
          <w:rFonts w:ascii="宋体" w:hAnsi="宋体"/>
          <w:szCs w:val="21"/>
          <w:highlight w:val="none"/>
        </w:rPr>
        <w:t xml:space="preserve"> </w:t>
      </w:r>
      <w:r>
        <w:rPr>
          <w:rFonts w:hint="eastAsia" w:ascii="宋体" w:hAnsi="宋体"/>
          <w:szCs w:val="21"/>
          <w:highlight w:val="none"/>
        </w:rPr>
        <w:t>楼层识别信号。</w:t>
      </w:r>
    </w:p>
    <w:p>
      <w:pPr>
        <w:jc w:val="left"/>
        <w:rPr>
          <w:rFonts w:ascii="宋体" w:hAnsi="宋体"/>
          <w:szCs w:val="21"/>
          <w:highlight w:val="none"/>
        </w:rPr>
      </w:pPr>
      <w:r>
        <w:rPr>
          <w:rFonts w:ascii="宋体" w:hAnsi="宋体"/>
          <w:szCs w:val="21"/>
          <w:highlight w:val="none"/>
        </w:rPr>
        <w:t>I/0</w:t>
      </w:r>
      <w:r>
        <w:rPr>
          <w:rFonts w:hint="eastAsia" w:ascii="宋体" w:hAnsi="宋体"/>
          <w:szCs w:val="21"/>
          <w:highlight w:val="none"/>
        </w:rPr>
        <w:t>信号采用</w:t>
      </w:r>
      <w:r>
        <w:rPr>
          <w:rFonts w:ascii="宋体" w:hAnsi="宋体"/>
          <w:szCs w:val="21"/>
          <w:highlight w:val="none"/>
        </w:rPr>
        <w:t>DC 24V</w:t>
      </w:r>
      <w:r>
        <w:rPr>
          <w:rFonts w:hint="eastAsia" w:ascii="宋体" w:hAnsi="宋体"/>
          <w:szCs w:val="21"/>
          <w:highlight w:val="none"/>
        </w:rPr>
        <w:t>进行供电；主板的输入就是从板的输出，从板的输入就是主板的输出；从板与其他控制设备连接时，需要考虑高低电平问题，如果不一致时，需要利用中间继电器进行连接（无线对接模块输入输出均采用</w:t>
      </w:r>
      <w:r>
        <w:rPr>
          <w:rFonts w:ascii="宋体" w:hAnsi="宋体"/>
          <w:szCs w:val="21"/>
          <w:highlight w:val="none"/>
        </w:rPr>
        <w:t>NPN,即为低电平</w:t>
      </w:r>
      <w:r>
        <w:rPr>
          <w:rFonts w:hint="eastAsia" w:ascii="宋体" w:hAnsi="宋体"/>
          <w:szCs w:val="21"/>
          <w:highlight w:val="none"/>
        </w:rPr>
        <w:t>）。</w:t>
      </w:r>
    </w:p>
    <w:p>
      <w:pPr>
        <w:jc w:val="left"/>
        <w:rPr>
          <w:rFonts w:ascii="宋体" w:hAnsi="宋体"/>
          <w:b/>
          <w:szCs w:val="21"/>
          <w:highlight w:val="none"/>
        </w:rPr>
      </w:pPr>
      <w:r>
        <w:rPr>
          <w:rFonts w:ascii="宋体" w:hAnsi="宋体"/>
          <w:b/>
          <w:szCs w:val="21"/>
          <w:highlight w:val="none"/>
        </w:rPr>
        <w:t xml:space="preserve">3. </w:t>
      </w:r>
      <w:r>
        <w:rPr>
          <w:rFonts w:hint="eastAsia" w:ascii="宋体" w:hAnsi="宋体"/>
          <w:b/>
          <w:szCs w:val="21"/>
          <w:highlight w:val="none"/>
        </w:rPr>
        <w:t>尺寸说明</w:t>
      </w:r>
    </w:p>
    <w:p>
      <w:pPr>
        <w:jc w:val="left"/>
        <w:rPr>
          <w:rFonts w:ascii="等线" w:hAnsi="等线" w:eastAsia="等线"/>
          <w:highlight w:val="none"/>
        </w:rPr>
      </w:pPr>
      <w:r>
        <w:rPr>
          <w:rFonts w:ascii="等线" w:hAnsi="等线" w:eastAsia="等线"/>
          <w:highlight w:val="none"/>
        </w:rPr>
        <w:drawing>
          <wp:inline distT="0" distB="0" distL="114300" distR="114300">
            <wp:extent cx="2621280" cy="1868170"/>
            <wp:effectExtent l="0" t="0" r="7620" b="17780"/>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pic:cNvPicPr>
                      <a:picLocks noChangeAspect="1"/>
                    </pic:cNvPicPr>
                  </pic:nvPicPr>
                  <pic:blipFill>
                    <a:blip r:embed="rId53"/>
                    <a:stretch>
                      <a:fillRect/>
                    </a:stretch>
                  </pic:blipFill>
                  <pic:spPr>
                    <a:xfrm>
                      <a:off x="0" y="0"/>
                      <a:ext cx="2621280" cy="1868170"/>
                    </a:xfrm>
                    <a:prstGeom prst="rect">
                      <a:avLst/>
                    </a:prstGeom>
                    <a:noFill/>
                    <a:ln>
                      <a:noFill/>
                    </a:ln>
                  </pic:spPr>
                </pic:pic>
              </a:graphicData>
            </a:graphic>
          </wp:inline>
        </w:drawing>
      </w:r>
      <w:r>
        <w:rPr>
          <w:rFonts w:hint="eastAsia" w:ascii="等线" w:hAnsi="等线" w:eastAsia="等线"/>
          <w:highlight w:val="none"/>
        </w:rPr>
        <w:t xml:space="preserve"> </w:t>
      </w:r>
      <w:r>
        <w:rPr>
          <w:rFonts w:ascii="等线" w:hAnsi="等线" w:eastAsia="等线"/>
          <w:highlight w:val="none"/>
        </w:rPr>
        <w:drawing>
          <wp:inline distT="0" distB="0" distL="114300" distR="114300">
            <wp:extent cx="3162300" cy="1867535"/>
            <wp:effectExtent l="0" t="0" r="0" b="18415"/>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pic:cNvPicPr>
                      <a:picLocks noChangeAspect="1"/>
                    </pic:cNvPicPr>
                  </pic:nvPicPr>
                  <pic:blipFill>
                    <a:blip r:embed="rId54"/>
                    <a:stretch>
                      <a:fillRect/>
                    </a:stretch>
                  </pic:blipFill>
                  <pic:spPr>
                    <a:xfrm>
                      <a:off x="0" y="0"/>
                      <a:ext cx="3162300" cy="1867535"/>
                    </a:xfrm>
                    <a:prstGeom prst="rect">
                      <a:avLst/>
                    </a:prstGeom>
                    <a:noFill/>
                    <a:ln>
                      <a:noFill/>
                    </a:ln>
                  </pic:spPr>
                </pic:pic>
              </a:graphicData>
            </a:graphic>
          </wp:inline>
        </w:drawing>
      </w:r>
    </w:p>
    <w:p>
      <w:pPr>
        <w:jc w:val="left"/>
        <w:rPr>
          <w:rFonts w:ascii="宋体" w:hAnsi="宋体"/>
          <w:szCs w:val="21"/>
          <w:highlight w:val="none"/>
        </w:rPr>
      </w:pPr>
      <w:r>
        <w:rPr>
          <w:rFonts w:hint="eastAsia" w:ascii="宋体" w:hAnsi="宋体"/>
          <w:szCs w:val="21"/>
          <w:highlight w:val="none"/>
        </w:rPr>
        <w:t>无线对接系统的外形尺寸为：</w:t>
      </w:r>
      <w:r>
        <w:rPr>
          <w:rFonts w:ascii="宋体" w:hAnsi="宋体"/>
          <w:szCs w:val="21"/>
          <w:highlight w:val="none"/>
        </w:rPr>
        <w:t>L240 * W120 * H75 mm</w:t>
      </w:r>
      <w:r>
        <w:rPr>
          <w:rFonts w:hint="eastAsia" w:ascii="宋体" w:hAnsi="宋体"/>
          <w:szCs w:val="21"/>
          <w:highlight w:val="none"/>
        </w:rPr>
        <w:t>；</w:t>
      </w:r>
      <w:r>
        <w:rPr>
          <w:rFonts w:ascii="宋体" w:hAnsi="宋体"/>
          <w:szCs w:val="21"/>
          <w:highlight w:val="none"/>
        </w:rPr>
        <w:t>安装方法采用螺丝固定于感应门控制箱附近</w:t>
      </w:r>
      <w:r>
        <w:rPr>
          <w:rFonts w:hint="eastAsia" w:ascii="宋体" w:hAnsi="宋体"/>
          <w:szCs w:val="21"/>
          <w:highlight w:val="none"/>
        </w:rPr>
        <w:t>；</w:t>
      </w:r>
      <w:r>
        <w:rPr>
          <w:rFonts w:ascii="宋体" w:hAnsi="宋体"/>
          <w:szCs w:val="21"/>
          <w:highlight w:val="none"/>
        </w:rPr>
        <w:t>如果感应门控制箱体较大，也可以将无线对接系统安装在控制箱体内部。</w:t>
      </w:r>
    </w:p>
    <w:p>
      <w:pPr>
        <w:jc w:val="left"/>
        <w:rPr>
          <w:rFonts w:ascii="宋体" w:hAnsi="宋体"/>
          <w:szCs w:val="21"/>
          <w:highlight w:val="none"/>
        </w:rPr>
      </w:pPr>
      <w:r>
        <w:rPr>
          <w:rFonts w:hint="eastAsia" w:ascii="宋体" w:hAnsi="宋体"/>
          <w:b/>
          <w:szCs w:val="21"/>
          <w:highlight w:val="none"/>
        </w:rPr>
        <w:t>4、注意事项</w:t>
      </w:r>
    </w:p>
    <w:p>
      <w:pPr>
        <w:jc w:val="left"/>
        <w:rPr>
          <w:rFonts w:ascii="宋体" w:hAnsi="宋体"/>
          <w:szCs w:val="21"/>
          <w:highlight w:val="none"/>
        </w:rPr>
      </w:pPr>
      <w:r>
        <w:rPr>
          <w:rFonts w:hint="eastAsia" w:ascii="宋体" w:hAnsi="宋体"/>
          <w:szCs w:val="21"/>
          <w:highlight w:val="none"/>
        </w:rPr>
        <w:t>1、电梯需预留电源接口，便于孚能I</w:t>
      </w:r>
      <w:r>
        <w:rPr>
          <w:rFonts w:ascii="宋体" w:hAnsi="宋体"/>
          <w:szCs w:val="21"/>
          <w:highlight w:val="none"/>
        </w:rPr>
        <w:t>T</w:t>
      </w:r>
      <w:r>
        <w:rPr>
          <w:rFonts w:hint="eastAsia" w:ascii="宋体" w:hAnsi="宋体"/>
          <w:szCs w:val="21"/>
          <w:highlight w:val="none"/>
        </w:rPr>
        <w:t>在电梯内布置网络A</w:t>
      </w:r>
      <w:r>
        <w:rPr>
          <w:rFonts w:ascii="宋体" w:hAnsi="宋体"/>
          <w:szCs w:val="21"/>
          <w:highlight w:val="none"/>
        </w:rPr>
        <w:t>P</w:t>
      </w:r>
      <w:r>
        <w:rPr>
          <w:rFonts w:hint="eastAsia" w:ascii="宋体" w:hAnsi="宋体"/>
          <w:szCs w:val="21"/>
          <w:highlight w:val="none"/>
        </w:rPr>
        <w:t>；</w:t>
      </w:r>
    </w:p>
    <w:p>
      <w:pPr>
        <w:jc w:val="left"/>
        <w:rPr>
          <w:rFonts w:ascii="宋体" w:hAnsi="宋体"/>
          <w:szCs w:val="21"/>
          <w:highlight w:val="none"/>
        </w:rPr>
      </w:pPr>
      <w:r>
        <w:rPr>
          <w:rFonts w:ascii="宋体" w:hAnsi="宋体"/>
          <w:szCs w:val="21"/>
          <w:highlight w:val="none"/>
        </w:rPr>
        <w:t>2</w:t>
      </w:r>
      <w:r>
        <w:rPr>
          <w:rFonts w:hint="eastAsia" w:ascii="宋体" w:hAnsi="宋体"/>
          <w:szCs w:val="21"/>
          <w:highlight w:val="none"/>
        </w:rPr>
        <w:t>、电梯开门后，</w:t>
      </w:r>
      <w:r>
        <w:rPr>
          <w:rFonts w:ascii="宋体" w:hAnsi="宋体"/>
          <w:szCs w:val="21"/>
          <w:highlight w:val="none"/>
        </w:rPr>
        <w:t>电梯与楼面高低差为正负4</w:t>
      </w:r>
      <w:r>
        <w:rPr>
          <w:rFonts w:hint="eastAsia" w:ascii="宋体" w:hAnsi="宋体"/>
          <w:szCs w:val="21"/>
          <w:highlight w:val="none"/>
        </w:rPr>
        <w:t>mm</w:t>
      </w:r>
      <w:r>
        <w:rPr>
          <w:rFonts w:ascii="宋体" w:hAnsi="宋体"/>
          <w:szCs w:val="21"/>
          <w:highlight w:val="none"/>
        </w:rPr>
        <w:t>内</w:t>
      </w:r>
      <w:r>
        <w:rPr>
          <w:rFonts w:hint="eastAsia" w:ascii="宋体" w:hAnsi="宋体"/>
          <w:szCs w:val="21"/>
          <w:highlight w:val="none"/>
        </w:rPr>
        <w:t>，两者之间间隙≤2</w:t>
      </w:r>
      <w:r>
        <w:rPr>
          <w:rFonts w:ascii="宋体" w:hAnsi="宋体"/>
          <w:szCs w:val="21"/>
          <w:highlight w:val="none"/>
        </w:rPr>
        <w:t>5</w:t>
      </w:r>
      <w:r>
        <w:rPr>
          <w:rFonts w:hint="eastAsia" w:ascii="宋体" w:hAnsi="宋体"/>
          <w:szCs w:val="21"/>
          <w:highlight w:val="none"/>
        </w:rPr>
        <w:t>mm；</w:t>
      </w:r>
    </w:p>
    <w:p>
      <w:pPr>
        <w:jc w:val="left"/>
        <w:rPr>
          <w:rFonts w:ascii="宋体" w:hAnsi="宋体"/>
          <w:szCs w:val="21"/>
          <w:highlight w:val="none"/>
        </w:rPr>
      </w:pPr>
      <w:r>
        <w:rPr>
          <w:rFonts w:hint="eastAsia" w:ascii="宋体" w:hAnsi="宋体"/>
          <w:szCs w:val="21"/>
          <w:highlight w:val="none"/>
        </w:rPr>
        <w:t>3、A</w:t>
      </w:r>
      <w:r>
        <w:rPr>
          <w:rFonts w:ascii="宋体" w:hAnsi="宋体"/>
          <w:szCs w:val="21"/>
          <w:highlight w:val="none"/>
        </w:rPr>
        <w:t>GV</w:t>
      </w:r>
      <w:r>
        <w:rPr>
          <w:rFonts w:hint="eastAsia" w:ascii="宋体" w:hAnsi="宋体"/>
          <w:szCs w:val="21"/>
          <w:highlight w:val="none"/>
        </w:rPr>
        <w:t>无线终端需安装在电梯主机电控箱内，预留</w:t>
      </w:r>
      <w:r>
        <w:rPr>
          <w:rFonts w:ascii="宋体" w:hAnsi="宋体"/>
          <w:szCs w:val="21"/>
          <w:highlight w:val="none"/>
        </w:rPr>
        <w:t>8组I/O接点，接线方式参考电梯对接技术说明</w:t>
      </w:r>
      <w:r>
        <w:rPr>
          <w:rFonts w:hint="eastAsia" w:ascii="宋体" w:hAnsi="宋体"/>
          <w:szCs w:val="21"/>
          <w:highlight w:val="none"/>
        </w:rPr>
        <w:t>。</w:t>
      </w:r>
    </w:p>
    <w:p>
      <w:pPr>
        <w:jc w:val="left"/>
        <w:rPr>
          <w:rFonts w:ascii="宋体" w:hAnsi="宋体"/>
          <w:highlight w:val="none"/>
        </w:rPr>
      </w:pPr>
    </w:p>
    <w:p>
      <w:pPr>
        <w:numPr>
          <w:ilvl w:val="0"/>
          <w:numId w:val="104"/>
        </w:numPr>
        <w:spacing w:after="260" w:afterLines="80"/>
        <w:rPr>
          <w:b/>
          <w:highlight w:val="none"/>
        </w:rPr>
      </w:pPr>
      <w:r>
        <w:rPr>
          <w:rFonts w:hint="eastAsia"/>
          <w:b/>
          <w:highlight w:val="none"/>
        </w:rPr>
        <w:t>安装与验收</w:t>
      </w:r>
    </w:p>
    <w:p>
      <w:pPr>
        <w:pStyle w:val="8"/>
        <w:ind w:left="840" w:firstLine="480"/>
        <w:rPr>
          <w:sz w:val="24"/>
          <w:szCs w:val="22"/>
          <w:highlight w:val="none"/>
        </w:rPr>
      </w:pPr>
      <w:r>
        <w:rPr>
          <w:rFonts w:hint="eastAsia"/>
          <w:sz w:val="24"/>
          <w:szCs w:val="22"/>
          <w:highlight w:val="none"/>
        </w:rPr>
        <w:t>1、进场设备应提供下列资料。</w:t>
      </w:r>
    </w:p>
    <w:p>
      <w:pPr>
        <w:pStyle w:val="8"/>
        <w:numPr>
          <w:ilvl w:val="0"/>
          <w:numId w:val="105"/>
        </w:numPr>
        <w:spacing w:after="0" w:line="360" w:lineRule="auto"/>
        <w:ind w:left="840" w:firstLine="480"/>
        <w:rPr>
          <w:sz w:val="24"/>
          <w:szCs w:val="22"/>
          <w:highlight w:val="none"/>
        </w:rPr>
      </w:pPr>
      <w:r>
        <w:rPr>
          <w:rFonts w:hint="eastAsia"/>
          <w:sz w:val="24"/>
          <w:szCs w:val="22"/>
          <w:highlight w:val="none"/>
        </w:rPr>
        <w:t>出厂合格证</w:t>
      </w:r>
    </w:p>
    <w:p>
      <w:pPr>
        <w:pStyle w:val="8"/>
        <w:numPr>
          <w:ilvl w:val="0"/>
          <w:numId w:val="105"/>
        </w:numPr>
        <w:spacing w:after="0" w:line="360" w:lineRule="auto"/>
        <w:ind w:left="840" w:firstLine="480"/>
        <w:rPr>
          <w:sz w:val="24"/>
          <w:szCs w:val="22"/>
          <w:highlight w:val="none"/>
        </w:rPr>
      </w:pPr>
      <w:r>
        <w:rPr>
          <w:rFonts w:hint="eastAsia"/>
          <w:sz w:val="24"/>
          <w:szCs w:val="22"/>
          <w:highlight w:val="none"/>
        </w:rPr>
        <w:t>门锁、限速器、安全钳及缓冲器装置的形式实验证书复印件</w:t>
      </w:r>
    </w:p>
    <w:p>
      <w:pPr>
        <w:pStyle w:val="8"/>
        <w:numPr>
          <w:ilvl w:val="0"/>
          <w:numId w:val="105"/>
        </w:numPr>
        <w:spacing w:after="0" w:line="360" w:lineRule="auto"/>
        <w:ind w:left="840" w:firstLine="480"/>
        <w:rPr>
          <w:sz w:val="24"/>
          <w:szCs w:val="22"/>
          <w:highlight w:val="none"/>
        </w:rPr>
      </w:pPr>
      <w:r>
        <w:rPr>
          <w:rFonts w:hint="eastAsia"/>
          <w:sz w:val="24"/>
          <w:szCs w:val="22"/>
          <w:highlight w:val="none"/>
        </w:rPr>
        <w:t>装箱单</w:t>
      </w:r>
    </w:p>
    <w:p>
      <w:pPr>
        <w:pStyle w:val="8"/>
        <w:numPr>
          <w:ilvl w:val="0"/>
          <w:numId w:val="105"/>
        </w:numPr>
        <w:spacing w:after="0" w:line="360" w:lineRule="auto"/>
        <w:ind w:left="840" w:firstLine="480"/>
        <w:rPr>
          <w:sz w:val="24"/>
          <w:szCs w:val="22"/>
          <w:highlight w:val="none"/>
        </w:rPr>
      </w:pPr>
      <w:r>
        <w:rPr>
          <w:rFonts w:hint="eastAsia"/>
          <w:sz w:val="24"/>
          <w:szCs w:val="22"/>
          <w:highlight w:val="none"/>
        </w:rPr>
        <w:t>机房井道布置图，复测井道规格</w:t>
      </w:r>
    </w:p>
    <w:p>
      <w:pPr>
        <w:pStyle w:val="8"/>
        <w:numPr>
          <w:ilvl w:val="0"/>
          <w:numId w:val="105"/>
        </w:numPr>
        <w:spacing w:after="0" w:line="360" w:lineRule="auto"/>
        <w:ind w:left="840" w:firstLine="480"/>
        <w:rPr>
          <w:sz w:val="24"/>
          <w:szCs w:val="22"/>
          <w:highlight w:val="none"/>
        </w:rPr>
      </w:pPr>
      <w:r>
        <w:rPr>
          <w:rFonts w:hint="eastAsia"/>
          <w:sz w:val="24"/>
          <w:szCs w:val="22"/>
          <w:highlight w:val="none"/>
        </w:rPr>
        <w:t>维保说明书及电气控制图纸</w:t>
      </w:r>
    </w:p>
    <w:p>
      <w:pPr>
        <w:pStyle w:val="8"/>
        <w:numPr>
          <w:ilvl w:val="0"/>
          <w:numId w:val="105"/>
        </w:numPr>
        <w:spacing w:after="0" w:line="360" w:lineRule="auto"/>
        <w:ind w:left="840" w:firstLine="480"/>
        <w:rPr>
          <w:sz w:val="24"/>
          <w:szCs w:val="22"/>
          <w:highlight w:val="none"/>
        </w:rPr>
      </w:pPr>
      <w:r>
        <w:rPr>
          <w:rFonts w:hint="eastAsia"/>
          <w:sz w:val="24"/>
          <w:szCs w:val="22"/>
          <w:highlight w:val="none"/>
        </w:rPr>
        <w:t>电气敷线图纸</w:t>
      </w:r>
    </w:p>
    <w:p>
      <w:pPr>
        <w:pStyle w:val="8"/>
        <w:numPr>
          <w:ilvl w:val="0"/>
          <w:numId w:val="105"/>
        </w:numPr>
        <w:spacing w:after="0" w:line="360" w:lineRule="auto"/>
        <w:ind w:left="840" w:firstLine="480"/>
        <w:rPr>
          <w:sz w:val="24"/>
          <w:szCs w:val="22"/>
          <w:highlight w:val="none"/>
        </w:rPr>
      </w:pPr>
      <w:r>
        <w:rPr>
          <w:rFonts w:hint="eastAsia"/>
          <w:sz w:val="24"/>
          <w:szCs w:val="22"/>
          <w:highlight w:val="none"/>
        </w:rPr>
        <w:t>动力电路和安全电路的电气线路示意图及符号说明</w:t>
      </w:r>
    </w:p>
    <w:p>
      <w:pPr>
        <w:pStyle w:val="8"/>
        <w:numPr>
          <w:ilvl w:val="0"/>
          <w:numId w:val="105"/>
        </w:numPr>
        <w:spacing w:after="0" w:line="360" w:lineRule="auto"/>
        <w:ind w:left="840" w:firstLine="480"/>
        <w:rPr>
          <w:sz w:val="24"/>
          <w:szCs w:val="22"/>
          <w:highlight w:val="none"/>
        </w:rPr>
      </w:pPr>
      <w:r>
        <w:rPr>
          <w:rFonts w:hint="eastAsia"/>
          <w:sz w:val="24"/>
          <w:szCs w:val="22"/>
          <w:highlight w:val="none"/>
        </w:rPr>
        <w:t xml:space="preserve">部件安装图 </w:t>
      </w:r>
    </w:p>
    <w:p>
      <w:pPr>
        <w:pStyle w:val="8"/>
        <w:numPr>
          <w:ilvl w:val="0"/>
          <w:numId w:val="105"/>
        </w:numPr>
        <w:spacing w:after="0" w:line="360" w:lineRule="auto"/>
        <w:ind w:left="840" w:firstLine="480"/>
        <w:rPr>
          <w:sz w:val="24"/>
          <w:szCs w:val="22"/>
          <w:highlight w:val="none"/>
        </w:rPr>
      </w:pPr>
      <w:r>
        <w:rPr>
          <w:rFonts w:hint="eastAsia"/>
          <w:sz w:val="24"/>
          <w:szCs w:val="22"/>
          <w:highlight w:val="none"/>
        </w:rPr>
        <w:t>安装说明书</w:t>
      </w:r>
    </w:p>
    <w:p>
      <w:pPr>
        <w:pStyle w:val="8"/>
        <w:ind w:left="840" w:firstLine="480"/>
        <w:rPr>
          <w:sz w:val="24"/>
          <w:szCs w:val="22"/>
          <w:highlight w:val="none"/>
        </w:rPr>
      </w:pPr>
      <w:r>
        <w:rPr>
          <w:rFonts w:hint="eastAsia"/>
          <w:sz w:val="24"/>
          <w:szCs w:val="22"/>
          <w:highlight w:val="none"/>
        </w:rPr>
        <w:t>2、井道照明按规范标准设置。</w:t>
      </w:r>
    </w:p>
    <w:p>
      <w:pPr>
        <w:pStyle w:val="8"/>
        <w:ind w:left="840" w:firstLine="480"/>
        <w:rPr>
          <w:sz w:val="24"/>
          <w:szCs w:val="22"/>
          <w:highlight w:val="none"/>
        </w:rPr>
      </w:pPr>
      <w:r>
        <w:rPr>
          <w:rFonts w:hint="eastAsia"/>
          <w:sz w:val="24"/>
          <w:szCs w:val="22"/>
          <w:highlight w:val="none"/>
        </w:rPr>
        <w:t>3、紧急操作装置必须可靠使用。</w:t>
      </w:r>
    </w:p>
    <w:p>
      <w:pPr>
        <w:pStyle w:val="8"/>
        <w:tabs>
          <w:tab w:val="left" w:pos="7659"/>
        </w:tabs>
        <w:ind w:left="840" w:firstLine="480"/>
        <w:rPr>
          <w:sz w:val="24"/>
          <w:szCs w:val="22"/>
          <w:highlight w:val="none"/>
        </w:rPr>
      </w:pPr>
      <w:r>
        <w:rPr>
          <w:rFonts w:hint="eastAsia"/>
          <w:sz w:val="24"/>
          <w:szCs w:val="22"/>
          <w:highlight w:val="none"/>
        </w:rPr>
        <w:t>4、机房内钢丝绳与楼板孔洞边缘间隙范围：20-40mm。</w:t>
      </w:r>
    </w:p>
    <w:p>
      <w:pPr>
        <w:pStyle w:val="8"/>
        <w:ind w:left="840" w:firstLine="480"/>
        <w:rPr>
          <w:sz w:val="24"/>
          <w:szCs w:val="22"/>
          <w:highlight w:val="none"/>
        </w:rPr>
      </w:pPr>
      <w:r>
        <w:rPr>
          <w:rFonts w:hint="eastAsia"/>
          <w:sz w:val="24"/>
          <w:szCs w:val="22"/>
          <w:highlight w:val="none"/>
        </w:rPr>
        <w:t>5、基础梁安装按规范执行。</w:t>
      </w:r>
    </w:p>
    <w:p>
      <w:pPr>
        <w:pStyle w:val="8"/>
        <w:tabs>
          <w:tab w:val="left" w:pos="4559"/>
        </w:tabs>
        <w:ind w:left="840" w:firstLine="480"/>
        <w:rPr>
          <w:sz w:val="24"/>
          <w:szCs w:val="22"/>
          <w:highlight w:val="none"/>
        </w:rPr>
      </w:pPr>
      <w:r>
        <w:rPr>
          <w:rFonts w:hint="eastAsia"/>
          <w:sz w:val="24"/>
          <w:szCs w:val="22"/>
          <w:highlight w:val="none"/>
        </w:rPr>
        <w:t>6、导轨偏差：轿厢导轨≤2mm，对重导轨≤3mm。</w:t>
      </w:r>
    </w:p>
    <w:p>
      <w:pPr>
        <w:pStyle w:val="8"/>
        <w:tabs>
          <w:tab w:val="left" w:pos="6119"/>
        </w:tabs>
        <w:ind w:left="840" w:firstLine="480"/>
        <w:rPr>
          <w:sz w:val="24"/>
          <w:szCs w:val="22"/>
          <w:highlight w:val="none"/>
        </w:rPr>
      </w:pPr>
      <w:r>
        <w:rPr>
          <w:rFonts w:hint="eastAsia"/>
          <w:sz w:val="24"/>
          <w:szCs w:val="22"/>
          <w:highlight w:val="none"/>
        </w:rPr>
        <w:t>7、层门地坎至轿厢地坎水平偏差≤3mm。</w:t>
      </w:r>
    </w:p>
    <w:p>
      <w:pPr>
        <w:pStyle w:val="8"/>
        <w:tabs>
          <w:tab w:val="left" w:pos="7279"/>
          <w:tab w:val="left" w:pos="12099"/>
        </w:tabs>
        <w:ind w:left="840" w:firstLine="480"/>
        <w:rPr>
          <w:sz w:val="24"/>
          <w:szCs w:val="22"/>
          <w:highlight w:val="none"/>
        </w:rPr>
      </w:pPr>
      <w:r>
        <w:rPr>
          <w:rFonts w:hint="eastAsia"/>
          <w:sz w:val="24"/>
          <w:szCs w:val="22"/>
          <w:highlight w:val="none"/>
        </w:rPr>
        <w:t>8、门扇与门扇、门套、门口处轿壁间隙≤8mm，门扇下端与地坎间隙≤8mm，楼地面边角需有护边角铁。</w:t>
      </w:r>
    </w:p>
    <w:p>
      <w:pPr>
        <w:pStyle w:val="8"/>
        <w:ind w:left="840" w:firstLine="480"/>
        <w:rPr>
          <w:sz w:val="24"/>
          <w:szCs w:val="22"/>
          <w:highlight w:val="none"/>
        </w:rPr>
      </w:pPr>
      <w:r>
        <w:rPr>
          <w:rFonts w:hint="eastAsia"/>
          <w:sz w:val="24"/>
          <w:szCs w:val="22"/>
          <w:highlight w:val="none"/>
        </w:rPr>
        <w:t>9、限速器、安全钳封记完好无损。</w:t>
      </w:r>
    </w:p>
    <w:p>
      <w:pPr>
        <w:pStyle w:val="8"/>
        <w:ind w:left="840" w:firstLine="480"/>
        <w:rPr>
          <w:sz w:val="24"/>
          <w:szCs w:val="22"/>
          <w:highlight w:val="none"/>
        </w:rPr>
      </w:pPr>
      <w:r>
        <w:rPr>
          <w:rFonts w:hint="eastAsia"/>
          <w:sz w:val="24"/>
          <w:szCs w:val="22"/>
          <w:highlight w:val="none"/>
        </w:rPr>
        <w:t>10、钢丝绳头组合应牢固可靠，具有防松措施。</w:t>
      </w:r>
    </w:p>
    <w:p>
      <w:pPr>
        <w:pStyle w:val="8"/>
        <w:tabs>
          <w:tab w:val="left" w:pos="9639"/>
        </w:tabs>
        <w:ind w:left="840" w:firstLine="480"/>
        <w:rPr>
          <w:sz w:val="24"/>
          <w:szCs w:val="22"/>
          <w:highlight w:val="none"/>
        </w:rPr>
      </w:pPr>
      <w:r>
        <w:rPr>
          <w:rFonts w:hint="eastAsia"/>
          <w:sz w:val="24"/>
          <w:szCs w:val="22"/>
          <w:highlight w:val="none"/>
        </w:rPr>
        <w:t>11、所有电气设备及导管、线槽等金属框架和基础型钢、设备支架等均需可靠接地。（PE）</w:t>
      </w:r>
    </w:p>
    <w:p>
      <w:pPr>
        <w:pStyle w:val="8"/>
        <w:tabs>
          <w:tab w:val="left" w:pos="5139"/>
        </w:tabs>
        <w:ind w:left="840" w:firstLine="480"/>
        <w:rPr>
          <w:sz w:val="24"/>
          <w:szCs w:val="22"/>
          <w:highlight w:val="none"/>
        </w:rPr>
      </w:pPr>
      <w:r>
        <w:rPr>
          <w:rFonts w:hint="eastAsia"/>
          <w:sz w:val="24"/>
          <w:szCs w:val="22"/>
          <w:highlight w:val="none"/>
        </w:rPr>
        <w:t>12、控制柜应分别设置零线（N）和保护接地线（PE）汇流排。</w:t>
      </w:r>
    </w:p>
    <w:p>
      <w:pPr>
        <w:pStyle w:val="8"/>
        <w:tabs>
          <w:tab w:val="left" w:pos="3699"/>
        </w:tabs>
        <w:ind w:left="840" w:firstLine="480"/>
        <w:rPr>
          <w:sz w:val="24"/>
          <w:szCs w:val="22"/>
          <w:highlight w:val="none"/>
        </w:rPr>
      </w:pPr>
      <w:r>
        <w:rPr>
          <w:rFonts w:hint="eastAsia"/>
          <w:sz w:val="24"/>
          <w:szCs w:val="22"/>
          <w:highlight w:val="none"/>
        </w:rPr>
        <w:t>13、货梯可靠的限速功能U=1m/s；客梯可靠的限速功能U=</w:t>
      </w:r>
      <w:r>
        <w:rPr>
          <w:sz w:val="24"/>
          <w:szCs w:val="22"/>
          <w:highlight w:val="none"/>
        </w:rPr>
        <w:t>2</w:t>
      </w:r>
      <w:r>
        <w:rPr>
          <w:rFonts w:hint="eastAsia"/>
          <w:sz w:val="24"/>
          <w:szCs w:val="22"/>
          <w:highlight w:val="none"/>
        </w:rPr>
        <w:t>m/s。</w:t>
      </w:r>
    </w:p>
    <w:p>
      <w:pPr>
        <w:pStyle w:val="8"/>
        <w:ind w:left="840" w:firstLine="480"/>
        <w:rPr>
          <w:sz w:val="24"/>
          <w:szCs w:val="22"/>
          <w:highlight w:val="none"/>
        </w:rPr>
      </w:pPr>
      <w:r>
        <w:rPr>
          <w:rFonts w:hint="eastAsia"/>
          <w:sz w:val="24"/>
          <w:szCs w:val="22"/>
          <w:highlight w:val="none"/>
        </w:rPr>
        <w:t>14、缓冲器、安全钳、门锁、上下限位开关必须动作可靠。</w:t>
      </w:r>
    </w:p>
    <w:p>
      <w:pPr>
        <w:pStyle w:val="8"/>
        <w:ind w:left="840" w:firstLine="480"/>
        <w:rPr>
          <w:sz w:val="24"/>
          <w:szCs w:val="22"/>
          <w:highlight w:val="none"/>
        </w:rPr>
      </w:pPr>
      <w:r>
        <w:rPr>
          <w:rFonts w:hint="eastAsia"/>
          <w:sz w:val="24"/>
          <w:szCs w:val="22"/>
          <w:highlight w:val="none"/>
        </w:rPr>
        <w:t>15、门机非正常打开时，电梯应立即停止运行。</w:t>
      </w:r>
    </w:p>
    <w:p>
      <w:pPr>
        <w:pStyle w:val="8"/>
        <w:tabs>
          <w:tab w:val="left" w:pos="4759"/>
        </w:tabs>
        <w:ind w:left="840" w:firstLine="480"/>
        <w:rPr>
          <w:sz w:val="24"/>
          <w:szCs w:val="22"/>
          <w:highlight w:val="none"/>
        </w:rPr>
      </w:pPr>
      <w:r>
        <w:rPr>
          <w:rFonts w:hint="eastAsia"/>
          <w:sz w:val="24"/>
          <w:szCs w:val="22"/>
          <w:highlight w:val="none"/>
        </w:rPr>
        <w:t>16、当加载至额定载重量的125%时，电梯应能可靠制动无滑机现象发生。</w:t>
      </w:r>
    </w:p>
    <w:p>
      <w:pPr>
        <w:pStyle w:val="8"/>
        <w:ind w:left="840" w:firstLine="480"/>
        <w:rPr>
          <w:sz w:val="24"/>
          <w:szCs w:val="22"/>
          <w:highlight w:val="none"/>
        </w:rPr>
      </w:pPr>
      <w:r>
        <w:rPr>
          <w:rFonts w:hint="eastAsia"/>
          <w:sz w:val="24"/>
          <w:szCs w:val="22"/>
          <w:highlight w:val="none"/>
        </w:rPr>
        <w:t>17、门系统运行时与地坎间无刮碰现象发生。</w:t>
      </w:r>
    </w:p>
    <w:p>
      <w:pPr>
        <w:pStyle w:val="8"/>
        <w:ind w:left="840" w:firstLine="480"/>
        <w:rPr>
          <w:sz w:val="24"/>
          <w:szCs w:val="22"/>
          <w:highlight w:val="none"/>
        </w:rPr>
      </w:pPr>
      <w:r>
        <w:rPr>
          <w:rFonts w:hint="eastAsia"/>
          <w:sz w:val="24"/>
          <w:szCs w:val="22"/>
          <w:highlight w:val="none"/>
        </w:rPr>
        <w:t>18、外呼梯盒安装应平直美观与建筑墙面紧密贴合无缝隙。</w:t>
      </w:r>
    </w:p>
    <w:p>
      <w:pPr>
        <w:pStyle w:val="8"/>
        <w:ind w:left="840" w:firstLine="480"/>
        <w:rPr>
          <w:color w:val="000000"/>
          <w:sz w:val="24"/>
          <w:szCs w:val="22"/>
          <w:highlight w:val="none"/>
        </w:rPr>
      </w:pPr>
      <w:r>
        <w:rPr>
          <w:rFonts w:hint="eastAsia"/>
          <w:color w:val="000000"/>
          <w:sz w:val="24"/>
          <w:szCs w:val="22"/>
          <w:highlight w:val="none"/>
        </w:rPr>
        <w:t>19、具备省级或市级特种设备监督检验中心出据的检验报告。</w:t>
      </w:r>
    </w:p>
    <w:p>
      <w:pPr>
        <w:pStyle w:val="8"/>
        <w:ind w:left="840" w:firstLine="480"/>
        <w:rPr>
          <w:highlight w:val="none"/>
        </w:rPr>
      </w:pPr>
      <w:r>
        <w:rPr>
          <w:rFonts w:hint="eastAsia"/>
          <w:color w:val="000000"/>
          <w:sz w:val="24"/>
          <w:szCs w:val="22"/>
          <w:highlight w:val="none"/>
        </w:rPr>
        <w:t>2</w:t>
      </w:r>
      <w:r>
        <w:rPr>
          <w:color w:val="000000"/>
          <w:sz w:val="24"/>
          <w:szCs w:val="22"/>
          <w:highlight w:val="none"/>
        </w:rPr>
        <w:t>0</w:t>
      </w:r>
      <w:r>
        <w:rPr>
          <w:rFonts w:hint="eastAsia"/>
          <w:color w:val="000000"/>
          <w:sz w:val="24"/>
          <w:szCs w:val="22"/>
          <w:highlight w:val="none"/>
        </w:rPr>
        <w:t>、电梯需配置无线救援呼叫系统。</w:t>
      </w:r>
    </w:p>
    <w:sectPr>
      <w:pgSz w:w="11906" w:h="16838"/>
      <w:pgMar w:top="1327" w:right="1293" w:bottom="1440" w:left="1293"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Regular">
    <w:altName w:val="等线"/>
    <w:panose1 w:val="00000000000000000000"/>
    <w:charset w:val="86"/>
    <w:family w:val="auto"/>
    <w:pitch w:val="default"/>
    <w:sig w:usb0="00000000" w:usb1="00000000" w:usb2="00000010" w:usb3="00000000" w:csb0="00040000" w:csb1="00000000"/>
  </w:font>
  <w:font w:name="PMingLiU">
    <w:altName w:val="Microsoft JhengHei"/>
    <w:panose1 w:val="02010601000101010101"/>
    <w:charset w:val="88"/>
    <w:family w:val="auto"/>
    <w:pitch w:val="default"/>
    <w:sig w:usb0="00000000" w:usb1="00000000" w:usb2="00000010" w:usb3="00000000" w:csb0="00100000"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120"/>
    </w:pPr>
    <w: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2540</wp:posOffset>
              </wp:positionV>
              <wp:extent cx="5821045" cy="0"/>
              <wp:effectExtent l="0" t="0" r="0" b="0"/>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821045" cy="0"/>
                      </a:xfrm>
                      <a:prstGeom prst="line">
                        <a:avLst/>
                      </a:prstGeom>
                      <a:noFill/>
                      <a:ln w="9525">
                        <a:solidFill>
                          <a:srgbClr val="FFFFFF"/>
                        </a:solidFill>
                        <a:round/>
                      </a:ln>
                      <a:effectLst/>
                    </wps:spPr>
                    <wps:bodyPr/>
                  </wps:wsp>
                </a:graphicData>
              </a:graphic>
            </wp:anchor>
          </w:drawing>
        </mc:Choice>
        <mc:Fallback>
          <w:pict>
            <v:line id="_x0000_s1026" o:spid="_x0000_s1026" o:spt="20" style="position:absolute;left:0pt;margin-left:-5.25pt;margin-top:0.2pt;height:0pt;width:458.35pt;z-index:251659264;mso-width-relative:page;mso-height-relative:page;" filled="f" stroked="t" coordsize="21600,21600" o:gfxdata="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e+5s0gAA&#10;AAUBAAAPAAAAAAAAAAEAIAAAACIAAABkcnMvZG93bnJldi54bWxQSwECFAAUAAAACACHTuJAP2xV&#10;pesBAAC6AwAADgAAAAAAAAABACAAAAAhAQAAZHJzL2Uyb0RvYy54bWxQSwUGAAAAAAYABgBZAQAA&#10;fgUAAAAA&#10;">
              <v:fill on="f" focussize="0,0"/>
              <v:stroke color="#FFFFFF"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jc w:val="left"/>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12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7hhwzAgAAZQ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7hhw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-66675</wp:posOffset>
              </wp:positionH>
              <wp:positionV relativeFrom="paragraph">
                <wp:posOffset>2540</wp:posOffset>
              </wp:positionV>
              <wp:extent cx="5821045" cy="0"/>
              <wp:effectExtent l="0" t="4445" r="0" b="5080"/>
              <wp:wrapNone/>
              <wp:docPr id="58" name="直接连接符 58"/>
              <wp:cNvGraphicFramePr/>
              <a:graphic xmlns:a="http://schemas.openxmlformats.org/drawingml/2006/main">
                <a:graphicData uri="http://schemas.microsoft.com/office/word/2010/wordprocessingShape">
                  <wps:wsp>
                    <wps:cNvCnPr>
                      <a:cxnSpLocks noChangeShapeType="1"/>
                    </wps:cNvCnPr>
                    <wps:spPr bwMode="auto">
                      <a:xfrm>
                        <a:off x="0" y="0"/>
                        <a:ext cx="5821045" cy="0"/>
                      </a:xfrm>
                      <a:prstGeom prst="line">
                        <a:avLst/>
                      </a:prstGeom>
                      <a:noFill/>
                      <a:ln w="9525">
                        <a:solidFill>
                          <a:srgbClr val="FFFFFF"/>
                        </a:solidFill>
                        <a:round/>
                      </a:ln>
                      <a:effectLst/>
                    </wps:spPr>
                    <wps:bodyPr/>
                  </wps:wsp>
                </a:graphicData>
              </a:graphic>
            </wp:anchor>
          </w:drawing>
        </mc:Choice>
        <mc:Fallback>
          <w:pict>
            <v:line id="_x0000_s1026" o:spid="_x0000_s1026" o:spt="20" style="position:absolute;left:0pt;margin-left:-5.25pt;margin-top:0.2pt;height:0pt;width:458.35pt;z-index:251669504;mso-width-relative:page;mso-height-relative:page;" filled="f" stroked="t" coordsize="21600,21600" o:gfxdata="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e+5s0gAA&#10;AAUBAAAPAAAAAAAAAAEAIAAAACIAAABkcnMvZG93bnJldi54bWxQSwECFAAUAAAACACHTuJAO8+w&#10;JOsBAAC6AwAADgAAAAAAAAABACAAAAAhAQAAZHJzL2Uyb0RvYy54bWxQSwUGAAAAAAYABgBZAQAA&#10;fgUAAAAA&#10;">
              <v:fill on="f" focussize="0,0"/>
              <v:stroke color="#FFFFFF" joinstyle="round"/>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A214F"/>
    <w:multiLevelType w:val="singleLevel"/>
    <w:tmpl w:val="80BA214F"/>
    <w:lvl w:ilvl="0" w:tentative="0">
      <w:start w:val="1"/>
      <w:numFmt w:val="decimal"/>
      <w:lvlText w:val="10.2.4.%1"/>
      <w:lvlJc w:val="left"/>
      <w:pPr>
        <w:tabs>
          <w:tab w:val="left" w:pos="562"/>
        </w:tabs>
        <w:ind w:left="0" w:hanging="425"/>
      </w:pPr>
      <w:rPr>
        <w:rFonts w:hint="default" w:ascii="Times New Roman" w:hAnsi="Times New Roman" w:eastAsia="宋体" w:cs="Times New Roman"/>
      </w:rPr>
    </w:lvl>
  </w:abstractNum>
  <w:abstractNum w:abstractNumId="1">
    <w:nsid w:val="811D1932"/>
    <w:multiLevelType w:val="singleLevel"/>
    <w:tmpl w:val="811D1932"/>
    <w:lvl w:ilvl="0" w:tentative="0">
      <w:start w:val="1"/>
      <w:numFmt w:val="decimal"/>
      <w:lvlText w:val="(%1)"/>
      <w:lvlJc w:val="left"/>
      <w:pPr>
        <w:ind w:left="425" w:hanging="425"/>
      </w:pPr>
      <w:rPr>
        <w:rFonts w:hint="default"/>
      </w:rPr>
    </w:lvl>
  </w:abstractNum>
  <w:abstractNum w:abstractNumId="2">
    <w:nsid w:val="8453DA8B"/>
    <w:multiLevelType w:val="singleLevel"/>
    <w:tmpl w:val="8453DA8B"/>
    <w:lvl w:ilvl="0" w:tentative="0">
      <w:start w:val="1"/>
      <w:numFmt w:val="lowerLetter"/>
      <w:lvlText w:val="%1."/>
      <w:lvlJc w:val="left"/>
      <w:pPr>
        <w:ind w:left="425" w:hanging="425"/>
      </w:pPr>
      <w:rPr>
        <w:rFonts w:hint="default"/>
      </w:rPr>
    </w:lvl>
  </w:abstractNum>
  <w:abstractNum w:abstractNumId="3">
    <w:nsid w:val="877FECDD"/>
    <w:multiLevelType w:val="singleLevel"/>
    <w:tmpl w:val="877FECDD"/>
    <w:lvl w:ilvl="0" w:tentative="0">
      <w:start w:val="1"/>
      <w:numFmt w:val="decimal"/>
      <w:lvlText w:val="(%1)"/>
      <w:lvlJc w:val="left"/>
      <w:pPr>
        <w:ind w:left="425" w:hanging="425"/>
      </w:pPr>
      <w:rPr>
        <w:rFonts w:hint="default"/>
      </w:rPr>
    </w:lvl>
  </w:abstractNum>
  <w:abstractNum w:abstractNumId="4">
    <w:nsid w:val="94417131"/>
    <w:multiLevelType w:val="singleLevel"/>
    <w:tmpl w:val="94417131"/>
    <w:lvl w:ilvl="0" w:tentative="0">
      <w:start w:val="1"/>
      <w:numFmt w:val="decimal"/>
      <w:lvlText w:val="(%1)"/>
      <w:lvlJc w:val="left"/>
      <w:pPr>
        <w:ind w:left="425" w:hanging="425"/>
      </w:pPr>
      <w:rPr>
        <w:rFonts w:hint="default"/>
      </w:rPr>
    </w:lvl>
  </w:abstractNum>
  <w:abstractNum w:abstractNumId="5">
    <w:nsid w:val="9756528F"/>
    <w:multiLevelType w:val="multilevel"/>
    <w:tmpl w:val="9756528F"/>
    <w:lvl w:ilvl="0" w:tentative="0">
      <w:start w:val="1"/>
      <w:numFmt w:val="decimal"/>
      <w:lvlText w:val="（%1）"/>
      <w:lvlJc w:val="left"/>
      <w:pPr>
        <w:ind w:left="336" w:hanging="336"/>
      </w:pPr>
      <w:rPr>
        <w:rFonts w:hint="eastAsia" w:cs="微软雅黑"/>
      </w:rPr>
    </w:lvl>
    <w:lvl w:ilvl="1" w:tentative="0">
      <w:start w:val="1"/>
      <w:numFmt w:val="lowerLetter"/>
      <w:lvlText w:val="%2."/>
      <w:lvlJc w:val="left"/>
      <w:pPr>
        <w:ind w:left="816" w:hanging="336"/>
      </w:pPr>
    </w:lvl>
    <w:lvl w:ilvl="2" w:tentative="0">
      <w:start w:val="1"/>
      <w:numFmt w:val="lowerRoman"/>
      <w:lvlText w:val="%3."/>
      <w:lvlJc w:val="left"/>
      <w:pPr>
        <w:ind w:left="1296" w:hanging="336"/>
      </w:pPr>
    </w:lvl>
    <w:lvl w:ilvl="3" w:tentative="0">
      <w:start w:val="1"/>
      <w:numFmt w:val="decimal"/>
      <w:lvlText w:val="(%4)"/>
      <w:lvlJc w:val="left"/>
      <w:pPr>
        <w:ind w:left="1776" w:hanging="336"/>
      </w:pPr>
    </w:lvl>
    <w:lvl w:ilvl="4" w:tentative="0">
      <w:start w:val="1"/>
      <w:numFmt w:val="lowerLetter"/>
      <w:lvlText w:val="%5."/>
      <w:lvlJc w:val="left"/>
      <w:pPr>
        <w:ind w:left="2256" w:hanging="336"/>
      </w:pPr>
    </w:lvl>
    <w:lvl w:ilvl="5" w:tentative="0">
      <w:start w:val="1"/>
      <w:numFmt w:val="lowerRoman"/>
      <w:lvlText w:val="%6."/>
      <w:lvlJc w:val="left"/>
      <w:pPr>
        <w:ind w:left="2736" w:hanging="336"/>
      </w:pPr>
    </w:lvl>
    <w:lvl w:ilvl="6" w:tentative="0">
      <w:start w:val="1"/>
      <w:numFmt w:val="decimal"/>
      <w:lvlText w:val="(%7)"/>
      <w:lvlJc w:val="left"/>
      <w:pPr>
        <w:ind w:left="3216" w:hanging="336"/>
      </w:pPr>
    </w:lvl>
    <w:lvl w:ilvl="7" w:tentative="0">
      <w:start w:val="1"/>
      <w:numFmt w:val="lowerLetter"/>
      <w:lvlText w:val="%8."/>
      <w:lvlJc w:val="left"/>
      <w:pPr>
        <w:ind w:left="3696" w:hanging="336"/>
      </w:pPr>
    </w:lvl>
    <w:lvl w:ilvl="8" w:tentative="0">
      <w:start w:val="0"/>
      <w:numFmt w:val="decimal"/>
      <w:lvlText w:val=""/>
      <w:lvlJc w:val="left"/>
    </w:lvl>
  </w:abstractNum>
  <w:abstractNum w:abstractNumId="6">
    <w:nsid w:val="9A89CEEE"/>
    <w:multiLevelType w:val="singleLevel"/>
    <w:tmpl w:val="9A89CEEE"/>
    <w:lvl w:ilvl="0" w:tentative="0">
      <w:start w:val="1"/>
      <w:numFmt w:val="decimal"/>
      <w:lvlText w:val="(%1)"/>
      <w:lvlJc w:val="left"/>
      <w:pPr>
        <w:ind w:left="425" w:hanging="425"/>
      </w:pPr>
      <w:rPr>
        <w:rFonts w:hint="default"/>
      </w:rPr>
    </w:lvl>
  </w:abstractNum>
  <w:abstractNum w:abstractNumId="7">
    <w:nsid w:val="9E6B1598"/>
    <w:multiLevelType w:val="singleLevel"/>
    <w:tmpl w:val="9E6B1598"/>
    <w:lvl w:ilvl="0" w:tentative="0">
      <w:start w:val="1"/>
      <w:numFmt w:val="decimal"/>
      <w:lvlText w:val="10.2.2.%1"/>
      <w:lvlJc w:val="left"/>
      <w:pPr>
        <w:tabs>
          <w:tab w:val="left" w:pos="420"/>
        </w:tabs>
        <w:ind w:left="0" w:hanging="425"/>
      </w:pPr>
      <w:rPr>
        <w:rFonts w:hint="default" w:ascii="Times New Roman" w:hAnsi="Times New Roman" w:eastAsia="宋体" w:cs="Times New Roman"/>
      </w:rPr>
    </w:lvl>
  </w:abstractNum>
  <w:abstractNum w:abstractNumId="8">
    <w:nsid w:val="9FE867FF"/>
    <w:multiLevelType w:val="singleLevel"/>
    <w:tmpl w:val="9FE867FF"/>
    <w:lvl w:ilvl="0" w:tentative="0">
      <w:start w:val="1"/>
      <w:numFmt w:val="decimal"/>
      <w:lvlText w:val="(%1)"/>
      <w:lvlJc w:val="left"/>
      <w:pPr>
        <w:ind w:left="425" w:hanging="425"/>
      </w:pPr>
      <w:rPr>
        <w:rFonts w:hint="default"/>
      </w:rPr>
    </w:lvl>
  </w:abstractNum>
  <w:abstractNum w:abstractNumId="9">
    <w:nsid w:val="A066558D"/>
    <w:multiLevelType w:val="singleLevel"/>
    <w:tmpl w:val="A066558D"/>
    <w:lvl w:ilvl="0" w:tentative="0">
      <w:start w:val="1"/>
      <w:numFmt w:val="decimal"/>
      <w:lvlText w:val="(%1)"/>
      <w:lvlJc w:val="left"/>
      <w:pPr>
        <w:ind w:left="425" w:hanging="425"/>
      </w:pPr>
      <w:rPr>
        <w:rFonts w:hint="default"/>
      </w:rPr>
    </w:lvl>
  </w:abstractNum>
  <w:abstractNum w:abstractNumId="10">
    <w:nsid w:val="A76DCA09"/>
    <w:multiLevelType w:val="multilevel"/>
    <w:tmpl w:val="A76DCA09"/>
    <w:lvl w:ilvl="0" w:tentative="0">
      <w:start w:val="1"/>
      <w:numFmt w:val="decimal"/>
      <w:lvlText w:val="10.4.4.%1"/>
      <w:lvlJc w:val="left"/>
      <w:pPr>
        <w:ind w:left="425" w:hanging="425"/>
      </w:pPr>
      <w:rPr>
        <w:rFonts w:hint="default" w:ascii="Times New Roman" w:hAnsi="Times New Roman" w:eastAsia="宋体" w:cs="Times New Roman"/>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1">
    <w:nsid w:val="BFA8E623"/>
    <w:multiLevelType w:val="singleLevel"/>
    <w:tmpl w:val="BFA8E623"/>
    <w:lvl w:ilvl="0" w:tentative="0">
      <w:start w:val="1"/>
      <w:numFmt w:val="decimal"/>
      <w:lvlText w:val="(%1)"/>
      <w:lvlJc w:val="left"/>
      <w:pPr>
        <w:ind w:left="425" w:hanging="425"/>
      </w:pPr>
      <w:rPr>
        <w:rFonts w:hint="default"/>
      </w:rPr>
    </w:lvl>
  </w:abstractNum>
  <w:abstractNum w:abstractNumId="12">
    <w:nsid w:val="C55B3A4A"/>
    <w:multiLevelType w:val="singleLevel"/>
    <w:tmpl w:val="C55B3A4A"/>
    <w:lvl w:ilvl="0" w:tentative="0">
      <w:start w:val="4"/>
      <w:numFmt w:val="decimal"/>
      <w:lvlText w:val="(%1)"/>
      <w:lvlJc w:val="left"/>
      <w:pPr>
        <w:ind w:left="425" w:hanging="425"/>
      </w:pPr>
      <w:rPr>
        <w:rFonts w:hint="default"/>
      </w:rPr>
    </w:lvl>
  </w:abstractNum>
  <w:abstractNum w:abstractNumId="13">
    <w:nsid w:val="CB6DAAF0"/>
    <w:multiLevelType w:val="singleLevel"/>
    <w:tmpl w:val="CB6DAAF0"/>
    <w:lvl w:ilvl="0" w:tentative="0">
      <w:start w:val="1"/>
      <w:numFmt w:val="lowerLetter"/>
      <w:lvlText w:val="%1."/>
      <w:lvlJc w:val="left"/>
      <w:pPr>
        <w:ind w:left="1418" w:hanging="425"/>
      </w:pPr>
      <w:rPr>
        <w:rFonts w:hint="default"/>
      </w:rPr>
    </w:lvl>
  </w:abstractNum>
  <w:abstractNum w:abstractNumId="14">
    <w:nsid w:val="CC1C0FD2"/>
    <w:multiLevelType w:val="singleLevel"/>
    <w:tmpl w:val="CC1C0FD2"/>
    <w:lvl w:ilvl="0" w:tentative="0">
      <w:start w:val="1"/>
      <w:numFmt w:val="lowerLetter"/>
      <w:lvlText w:val="%1."/>
      <w:lvlJc w:val="left"/>
      <w:pPr>
        <w:ind w:left="425" w:hanging="425"/>
      </w:pPr>
      <w:rPr>
        <w:rFonts w:hint="default"/>
      </w:rPr>
    </w:lvl>
  </w:abstractNum>
  <w:abstractNum w:abstractNumId="15">
    <w:nsid w:val="D44977E3"/>
    <w:multiLevelType w:val="singleLevel"/>
    <w:tmpl w:val="D44977E3"/>
    <w:lvl w:ilvl="0" w:tentative="0">
      <w:start w:val="1"/>
      <w:numFmt w:val="decimal"/>
      <w:lvlText w:val="(%1)"/>
      <w:lvlJc w:val="left"/>
      <w:pPr>
        <w:ind w:left="425" w:hanging="425"/>
      </w:pPr>
      <w:rPr>
        <w:rFonts w:hint="default"/>
      </w:rPr>
    </w:lvl>
  </w:abstractNum>
  <w:abstractNum w:abstractNumId="16">
    <w:nsid w:val="D5F51325"/>
    <w:multiLevelType w:val="singleLevel"/>
    <w:tmpl w:val="D5F51325"/>
    <w:lvl w:ilvl="0" w:tentative="0">
      <w:start w:val="1"/>
      <w:numFmt w:val="decimal"/>
      <w:lvlText w:val="(%1)"/>
      <w:lvlJc w:val="left"/>
      <w:pPr>
        <w:ind w:left="425" w:hanging="425"/>
      </w:pPr>
      <w:rPr>
        <w:rFonts w:hint="default"/>
      </w:rPr>
    </w:lvl>
  </w:abstractNum>
  <w:abstractNum w:abstractNumId="17">
    <w:nsid w:val="D691F4BE"/>
    <w:multiLevelType w:val="singleLevel"/>
    <w:tmpl w:val="D691F4BE"/>
    <w:lvl w:ilvl="0" w:tentative="0">
      <w:start w:val="1"/>
      <w:numFmt w:val="decimal"/>
      <w:lvlText w:val="10.1.2.%1"/>
      <w:lvlJc w:val="left"/>
      <w:pPr>
        <w:tabs>
          <w:tab w:val="left" w:pos="420"/>
        </w:tabs>
        <w:ind w:left="425" w:hanging="425"/>
      </w:pPr>
      <w:rPr>
        <w:rFonts w:hint="default" w:ascii="Times New Roman" w:hAnsi="Times New Roman" w:eastAsia="宋体" w:cs="Times New Roman"/>
      </w:rPr>
    </w:lvl>
  </w:abstractNum>
  <w:abstractNum w:abstractNumId="18">
    <w:nsid w:val="D70888C9"/>
    <w:multiLevelType w:val="singleLevel"/>
    <w:tmpl w:val="D70888C9"/>
    <w:lvl w:ilvl="0" w:tentative="0">
      <w:start w:val="1"/>
      <w:numFmt w:val="lowerLetter"/>
      <w:lvlText w:val="%1."/>
      <w:lvlJc w:val="left"/>
      <w:pPr>
        <w:ind w:left="427" w:hanging="425"/>
      </w:pPr>
      <w:rPr>
        <w:rFonts w:hint="default"/>
      </w:rPr>
    </w:lvl>
  </w:abstractNum>
  <w:abstractNum w:abstractNumId="19">
    <w:nsid w:val="DC25299E"/>
    <w:multiLevelType w:val="singleLevel"/>
    <w:tmpl w:val="DC25299E"/>
    <w:lvl w:ilvl="0" w:tentative="0">
      <w:start w:val="1"/>
      <w:numFmt w:val="decimal"/>
      <w:lvlText w:val="(%1)"/>
      <w:lvlJc w:val="left"/>
      <w:pPr>
        <w:ind w:left="425" w:hanging="425"/>
      </w:pPr>
      <w:rPr>
        <w:rFonts w:hint="default"/>
      </w:rPr>
    </w:lvl>
  </w:abstractNum>
  <w:abstractNum w:abstractNumId="20">
    <w:nsid w:val="DC7FD900"/>
    <w:multiLevelType w:val="singleLevel"/>
    <w:tmpl w:val="DC7FD900"/>
    <w:lvl w:ilvl="0" w:tentative="0">
      <w:start w:val="1"/>
      <w:numFmt w:val="decimal"/>
      <w:lvlText w:val="(%1)"/>
      <w:lvlJc w:val="left"/>
      <w:pPr>
        <w:ind w:left="425" w:hanging="425"/>
      </w:pPr>
      <w:rPr>
        <w:rFonts w:hint="default"/>
      </w:rPr>
    </w:lvl>
  </w:abstractNum>
  <w:abstractNum w:abstractNumId="21">
    <w:nsid w:val="DCD0E619"/>
    <w:multiLevelType w:val="singleLevel"/>
    <w:tmpl w:val="DCD0E619"/>
    <w:lvl w:ilvl="0" w:tentative="0">
      <w:start w:val="1"/>
      <w:numFmt w:val="decimal"/>
      <w:lvlText w:val="(%1)"/>
      <w:lvlJc w:val="left"/>
      <w:pPr>
        <w:ind w:left="187" w:hanging="425"/>
      </w:pPr>
      <w:rPr>
        <w:rFonts w:hint="default"/>
      </w:rPr>
    </w:lvl>
  </w:abstractNum>
  <w:abstractNum w:abstractNumId="22">
    <w:nsid w:val="E88A7977"/>
    <w:multiLevelType w:val="singleLevel"/>
    <w:tmpl w:val="E88A7977"/>
    <w:lvl w:ilvl="0" w:tentative="0">
      <w:start w:val="1"/>
      <w:numFmt w:val="decimal"/>
      <w:lvlText w:val="(%1)"/>
      <w:lvlJc w:val="left"/>
      <w:pPr>
        <w:ind w:left="185" w:hanging="425"/>
      </w:pPr>
      <w:rPr>
        <w:rFonts w:hint="default"/>
      </w:rPr>
    </w:lvl>
  </w:abstractNum>
  <w:abstractNum w:abstractNumId="23">
    <w:nsid w:val="EB2C5EE0"/>
    <w:multiLevelType w:val="singleLevel"/>
    <w:tmpl w:val="EB2C5EE0"/>
    <w:lvl w:ilvl="0" w:tentative="0">
      <w:start w:val="1"/>
      <w:numFmt w:val="decimal"/>
      <w:lvlText w:val="(%1)"/>
      <w:lvlJc w:val="left"/>
      <w:pPr>
        <w:ind w:left="425" w:hanging="425"/>
      </w:pPr>
      <w:rPr>
        <w:rFonts w:hint="default"/>
      </w:rPr>
    </w:lvl>
  </w:abstractNum>
  <w:abstractNum w:abstractNumId="24">
    <w:nsid w:val="ED6A1F11"/>
    <w:multiLevelType w:val="singleLevel"/>
    <w:tmpl w:val="ED6A1F11"/>
    <w:lvl w:ilvl="0" w:tentative="0">
      <w:start w:val="1"/>
      <w:numFmt w:val="decimal"/>
      <w:lvlText w:val="(%1)"/>
      <w:lvlJc w:val="left"/>
      <w:pPr>
        <w:ind w:left="0" w:hanging="425"/>
      </w:pPr>
      <w:rPr>
        <w:rFonts w:hint="default"/>
      </w:rPr>
    </w:lvl>
  </w:abstractNum>
  <w:abstractNum w:abstractNumId="25">
    <w:nsid w:val="F1FE2459"/>
    <w:multiLevelType w:val="singleLevel"/>
    <w:tmpl w:val="F1FE2459"/>
    <w:lvl w:ilvl="0" w:tentative="0">
      <w:start w:val="1"/>
      <w:numFmt w:val="decimal"/>
      <w:lvlText w:val="(%1)"/>
      <w:lvlJc w:val="left"/>
      <w:pPr>
        <w:ind w:left="0" w:hanging="425"/>
      </w:pPr>
      <w:rPr>
        <w:rFonts w:hint="default"/>
      </w:rPr>
    </w:lvl>
  </w:abstractNum>
  <w:abstractNum w:abstractNumId="26">
    <w:nsid w:val="F8379780"/>
    <w:multiLevelType w:val="singleLevel"/>
    <w:tmpl w:val="F8379780"/>
    <w:lvl w:ilvl="0" w:tentative="0">
      <w:start w:val="1"/>
      <w:numFmt w:val="decimal"/>
      <w:lvlText w:val="(%1)"/>
      <w:lvlJc w:val="left"/>
      <w:pPr>
        <w:ind w:left="425" w:hanging="425"/>
      </w:pPr>
      <w:rPr>
        <w:rFonts w:hint="default"/>
      </w:rPr>
    </w:lvl>
  </w:abstractNum>
  <w:abstractNum w:abstractNumId="27">
    <w:nsid w:val="F9DF4EF7"/>
    <w:multiLevelType w:val="singleLevel"/>
    <w:tmpl w:val="F9DF4EF7"/>
    <w:lvl w:ilvl="0" w:tentative="0">
      <w:start w:val="1"/>
      <w:numFmt w:val="decimal"/>
      <w:lvlText w:val="(%1)"/>
      <w:lvlJc w:val="left"/>
      <w:pPr>
        <w:ind w:left="0" w:hanging="425"/>
      </w:pPr>
      <w:rPr>
        <w:rFonts w:hint="default"/>
      </w:rPr>
    </w:lvl>
  </w:abstractNum>
  <w:abstractNum w:abstractNumId="28">
    <w:nsid w:val="0070685F"/>
    <w:multiLevelType w:val="multilevel"/>
    <w:tmpl w:val="0070685F"/>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043A8F7D"/>
    <w:multiLevelType w:val="singleLevel"/>
    <w:tmpl w:val="043A8F7D"/>
    <w:lvl w:ilvl="0" w:tentative="0">
      <w:start w:val="1"/>
      <w:numFmt w:val="decimal"/>
      <w:lvlText w:val="(%1)"/>
      <w:lvlJc w:val="left"/>
      <w:pPr>
        <w:ind w:left="425" w:hanging="425"/>
      </w:pPr>
      <w:rPr>
        <w:rFonts w:hint="default"/>
      </w:rPr>
    </w:lvl>
  </w:abstractNum>
  <w:abstractNum w:abstractNumId="30">
    <w:nsid w:val="04667B1F"/>
    <w:multiLevelType w:val="multilevel"/>
    <w:tmpl w:val="04667B1F"/>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05C82D7B"/>
    <w:multiLevelType w:val="singleLevel"/>
    <w:tmpl w:val="05C82D7B"/>
    <w:lvl w:ilvl="0" w:tentative="0">
      <w:start w:val="1"/>
      <w:numFmt w:val="decimal"/>
      <w:lvlText w:val="(%1)"/>
      <w:lvlJc w:val="left"/>
      <w:pPr>
        <w:ind w:left="425" w:hanging="425"/>
      </w:pPr>
      <w:rPr>
        <w:rFonts w:hint="default"/>
      </w:rPr>
    </w:lvl>
  </w:abstractNum>
  <w:abstractNum w:abstractNumId="32">
    <w:nsid w:val="06092AC0"/>
    <w:multiLevelType w:val="multilevel"/>
    <w:tmpl w:val="06092AC0"/>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06FE3D27"/>
    <w:multiLevelType w:val="singleLevel"/>
    <w:tmpl w:val="06FE3D27"/>
    <w:lvl w:ilvl="0" w:tentative="0">
      <w:start w:val="1"/>
      <w:numFmt w:val="decimal"/>
      <w:lvlText w:val="(%1)"/>
      <w:lvlJc w:val="left"/>
      <w:pPr>
        <w:ind w:left="425" w:hanging="425"/>
      </w:pPr>
      <w:rPr>
        <w:rFonts w:hint="default"/>
      </w:rPr>
    </w:lvl>
  </w:abstractNum>
  <w:abstractNum w:abstractNumId="34">
    <w:nsid w:val="0806E126"/>
    <w:multiLevelType w:val="singleLevel"/>
    <w:tmpl w:val="0806E126"/>
    <w:lvl w:ilvl="0" w:tentative="0">
      <w:start w:val="1"/>
      <w:numFmt w:val="decimal"/>
      <w:lvlText w:val="(%1)"/>
      <w:lvlJc w:val="left"/>
      <w:pPr>
        <w:ind w:left="425" w:hanging="425"/>
      </w:pPr>
      <w:rPr>
        <w:rFonts w:hint="default"/>
      </w:rPr>
    </w:lvl>
  </w:abstractNum>
  <w:abstractNum w:abstractNumId="35">
    <w:nsid w:val="0AB15FD6"/>
    <w:multiLevelType w:val="multilevel"/>
    <w:tmpl w:val="0AB15FD6"/>
    <w:lvl w:ilvl="0" w:tentative="0">
      <w:start w:val="1"/>
      <w:numFmt w:val="lowerLetter"/>
      <w:lvlText w:val="%1."/>
      <w:lvlJc w:val="left"/>
      <w:pPr>
        <w:ind w:left="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36">
    <w:nsid w:val="0B4B67F3"/>
    <w:multiLevelType w:val="singleLevel"/>
    <w:tmpl w:val="0B4B67F3"/>
    <w:lvl w:ilvl="0" w:tentative="0">
      <w:start w:val="1"/>
      <w:numFmt w:val="decimal"/>
      <w:lvlText w:val="(%1)"/>
      <w:lvlJc w:val="left"/>
      <w:pPr>
        <w:ind w:left="425" w:hanging="425"/>
      </w:pPr>
      <w:rPr>
        <w:rFonts w:hint="default"/>
      </w:rPr>
    </w:lvl>
  </w:abstractNum>
  <w:abstractNum w:abstractNumId="37">
    <w:nsid w:val="0C95C713"/>
    <w:multiLevelType w:val="singleLevel"/>
    <w:tmpl w:val="0C95C713"/>
    <w:lvl w:ilvl="0" w:tentative="0">
      <w:start w:val="1"/>
      <w:numFmt w:val="decimal"/>
      <w:lvlText w:val="(%1)"/>
      <w:lvlJc w:val="left"/>
      <w:pPr>
        <w:ind w:left="425" w:hanging="425"/>
      </w:pPr>
      <w:rPr>
        <w:rFonts w:hint="default"/>
      </w:rPr>
    </w:lvl>
  </w:abstractNum>
  <w:abstractNum w:abstractNumId="38">
    <w:nsid w:val="0CD33990"/>
    <w:multiLevelType w:val="multilevel"/>
    <w:tmpl w:val="0CD33990"/>
    <w:lvl w:ilvl="0" w:tentative="0">
      <w:start w:val="1"/>
      <w:numFmt w:val="decimal"/>
      <w:lvlText w:val="（%1）"/>
      <w:lvlJc w:val="left"/>
      <w:pPr>
        <w:ind w:left="720" w:hanging="7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0DB757C8"/>
    <w:multiLevelType w:val="multilevel"/>
    <w:tmpl w:val="0DB757C8"/>
    <w:lvl w:ilvl="0" w:tentative="0">
      <w:start w:val="1"/>
      <w:numFmt w:val="lowerLetter"/>
      <w:lvlText w:val="%1."/>
      <w:lvlJc w:val="left"/>
      <w:pPr>
        <w:ind w:left="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40">
    <w:nsid w:val="0DEA8656"/>
    <w:multiLevelType w:val="singleLevel"/>
    <w:tmpl w:val="0DEA8656"/>
    <w:lvl w:ilvl="0" w:tentative="0">
      <w:start w:val="1"/>
      <w:numFmt w:val="decimal"/>
      <w:lvlText w:val="(%1)"/>
      <w:lvlJc w:val="left"/>
      <w:pPr>
        <w:ind w:left="425" w:hanging="425"/>
      </w:pPr>
      <w:rPr>
        <w:rFonts w:hint="default"/>
      </w:rPr>
    </w:lvl>
  </w:abstractNum>
  <w:abstractNum w:abstractNumId="41">
    <w:nsid w:val="0E92385E"/>
    <w:multiLevelType w:val="multilevel"/>
    <w:tmpl w:val="0E92385E"/>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11D70F87"/>
    <w:multiLevelType w:val="multilevel"/>
    <w:tmpl w:val="11D70F87"/>
    <w:lvl w:ilvl="0" w:tentative="0">
      <w:start w:val="1"/>
      <w:numFmt w:val="decimal"/>
      <w:lvlText w:val="（%1）"/>
      <w:lvlJc w:val="left"/>
      <w:pPr>
        <w:ind w:left="420" w:hanging="420"/>
      </w:pPr>
      <w:rPr>
        <w:rFonts w:hint="eastAsia" w:cs="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11DE229A"/>
    <w:multiLevelType w:val="multilevel"/>
    <w:tmpl w:val="11DE229A"/>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13623F4D"/>
    <w:multiLevelType w:val="multilevel"/>
    <w:tmpl w:val="13623F4D"/>
    <w:lvl w:ilvl="0" w:tentative="0">
      <w:start w:val="1"/>
      <w:numFmt w:val="lowerLetter"/>
      <w:lvlText w:val="%1."/>
      <w:lvlJc w:val="left"/>
      <w:pPr>
        <w:ind w:left="0" w:hanging="420"/>
      </w:pPr>
      <w:rPr>
        <w:rFonts w:hint="eastAsia"/>
      </w:rPr>
    </w:lvl>
    <w:lvl w:ilvl="1" w:tentative="0">
      <w:start w:val="1"/>
      <w:numFmt w:val="lowerLetter"/>
      <w:lvlText w:val="%2)"/>
      <w:lvlJc w:val="left"/>
      <w:pPr>
        <w:ind w:left="-60" w:hanging="420"/>
      </w:pPr>
    </w:lvl>
    <w:lvl w:ilvl="2" w:tentative="0">
      <w:start w:val="1"/>
      <w:numFmt w:val="lowerRoman"/>
      <w:lvlText w:val="%3."/>
      <w:lvlJc w:val="right"/>
      <w:pPr>
        <w:ind w:left="360" w:hanging="420"/>
      </w:pPr>
    </w:lvl>
    <w:lvl w:ilvl="3" w:tentative="0">
      <w:start w:val="1"/>
      <w:numFmt w:val="decimal"/>
      <w:lvlText w:val="%4."/>
      <w:lvlJc w:val="left"/>
      <w:pPr>
        <w:ind w:left="780" w:hanging="420"/>
      </w:pPr>
    </w:lvl>
    <w:lvl w:ilvl="4" w:tentative="0">
      <w:start w:val="1"/>
      <w:numFmt w:val="lowerLetter"/>
      <w:lvlText w:val="%5)"/>
      <w:lvlJc w:val="left"/>
      <w:pPr>
        <w:ind w:left="1200" w:hanging="420"/>
      </w:pPr>
    </w:lvl>
    <w:lvl w:ilvl="5" w:tentative="0">
      <w:start w:val="1"/>
      <w:numFmt w:val="lowerRoman"/>
      <w:lvlText w:val="%6."/>
      <w:lvlJc w:val="right"/>
      <w:pPr>
        <w:ind w:left="1620" w:hanging="420"/>
      </w:pPr>
    </w:lvl>
    <w:lvl w:ilvl="6" w:tentative="0">
      <w:start w:val="1"/>
      <w:numFmt w:val="decimal"/>
      <w:lvlText w:val="%7."/>
      <w:lvlJc w:val="left"/>
      <w:pPr>
        <w:ind w:left="2040" w:hanging="420"/>
      </w:pPr>
    </w:lvl>
    <w:lvl w:ilvl="7" w:tentative="0">
      <w:start w:val="1"/>
      <w:numFmt w:val="lowerLetter"/>
      <w:lvlText w:val="%8)"/>
      <w:lvlJc w:val="left"/>
      <w:pPr>
        <w:ind w:left="2460" w:hanging="420"/>
      </w:pPr>
    </w:lvl>
    <w:lvl w:ilvl="8" w:tentative="0">
      <w:start w:val="1"/>
      <w:numFmt w:val="lowerRoman"/>
      <w:lvlText w:val="%9."/>
      <w:lvlJc w:val="right"/>
      <w:pPr>
        <w:ind w:left="2880" w:hanging="420"/>
      </w:pPr>
    </w:lvl>
  </w:abstractNum>
  <w:abstractNum w:abstractNumId="45">
    <w:nsid w:val="16E927BB"/>
    <w:multiLevelType w:val="multilevel"/>
    <w:tmpl w:val="16E927BB"/>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17E0B392"/>
    <w:multiLevelType w:val="singleLevel"/>
    <w:tmpl w:val="17E0B392"/>
    <w:lvl w:ilvl="0" w:tentative="0">
      <w:start w:val="1"/>
      <w:numFmt w:val="decimal"/>
      <w:lvlText w:val="(%1)"/>
      <w:lvlJc w:val="left"/>
      <w:pPr>
        <w:ind w:left="425" w:hanging="425"/>
      </w:pPr>
      <w:rPr>
        <w:rFonts w:hint="default"/>
      </w:rPr>
    </w:lvl>
  </w:abstractNum>
  <w:abstractNum w:abstractNumId="47">
    <w:nsid w:val="1A0F8C31"/>
    <w:multiLevelType w:val="singleLevel"/>
    <w:tmpl w:val="1A0F8C31"/>
    <w:lvl w:ilvl="0" w:tentative="0">
      <w:start w:val="1"/>
      <w:numFmt w:val="decimal"/>
      <w:lvlText w:val="(%1)"/>
      <w:lvlJc w:val="left"/>
      <w:pPr>
        <w:ind w:left="0" w:hanging="425"/>
      </w:pPr>
      <w:rPr>
        <w:rFonts w:hint="default"/>
      </w:rPr>
    </w:lvl>
  </w:abstractNum>
  <w:abstractNum w:abstractNumId="48">
    <w:nsid w:val="1CE52B59"/>
    <w:multiLevelType w:val="singleLevel"/>
    <w:tmpl w:val="1CE52B59"/>
    <w:lvl w:ilvl="0" w:tentative="0">
      <w:start w:val="1"/>
      <w:numFmt w:val="decimal"/>
      <w:lvlText w:val="10.1.1.%1"/>
      <w:lvlJc w:val="left"/>
      <w:pPr>
        <w:tabs>
          <w:tab w:val="left" w:pos="420"/>
        </w:tabs>
        <w:ind w:left="425" w:hanging="425"/>
      </w:pPr>
      <w:rPr>
        <w:rFonts w:hint="default" w:ascii="Times New Roman" w:hAnsi="Times New Roman" w:eastAsia="宋体" w:cs="Times New Roman"/>
      </w:rPr>
    </w:lvl>
  </w:abstractNum>
  <w:abstractNum w:abstractNumId="49">
    <w:nsid w:val="1D5130D5"/>
    <w:multiLevelType w:val="singleLevel"/>
    <w:tmpl w:val="1D5130D5"/>
    <w:lvl w:ilvl="0" w:tentative="0">
      <w:start w:val="1"/>
      <w:numFmt w:val="decimal"/>
      <w:lvlText w:val="(%1)"/>
      <w:lvlJc w:val="left"/>
      <w:pPr>
        <w:ind w:left="425" w:hanging="425"/>
      </w:pPr>
      <w:rPr>
        <w:rFonts w:hint="default"/>
      </w:rPr>
    </w:lvl>
  </w:abstractNum>
  <w:abstractNum w:abstractNumId="50">
    <w:nsid w:val="1EB2291C"/>
    <w:multiLevelType w:val="singleLevel"/>
    <w:tmpl w:val="1EB2291C"/>
    <w:lvl w:ilvl="0" w:tentative="0">
      <w:start w:val="1"/>
      <w:numFmt w:val="decimal"/>
      <w:lvlText w:val="(%1)"/>
      <w:lvlJc w:val="left"/>
      <w:pPr>
        <w:ind w:left="425" w:hanging="425"/>
      </w:pPr>
      <w:rPr>
        <w:rFonts w:hint="default"/>
      </w:rPr>
    </w:lvl>
  </w:abstractNum>
  <w:abstractNum w:abstractNumId="51">
    <w:nsid w:val="22851102"/>
    <w:multiLevelType w:val="multilevel"/>
    <w:tmpl w:val="22851102"/>
    <w:lvl w:ilvl="0" w:tentative="0">
      <w:start w:val="5"/>
      <w:numFmt w:val="decimal"/>
      <w:lvlText w:val="%1"/>
      <w:lvlJc w:val="left"/>
      <w:pPr>
        <w:ind w:left="900" w:hanging="900"/>
      </w:pPr>
      <w:rPr>
        <w:rFonts w:hint="default"/>
        <w:color w:val="auto"/>
      </w:rPr>
    </w:lvl>
    <w:lvl w:ilvl="1" w:tentative="0">
      <w:start w:val="11"/>
      <w:numFmt w:val="decimal"/>
      <w:lvlText w:val="%1.%2"/>
      <w:lvlJc w:val="left"/>
      <w:pPr>
        <w:ind w:left="900" w:hanging="900"/>
      </w:pPr>
      <w:rPr>
        <w:rFonts w:hint="default"/>
        <w:color w:val="auto"/>
      </w:rPr>
    </w:lvl>
    <w:lvl w:ilvl="2" w:tentative="0">
      <w:start w:val="4"/>
      <w:numFmt w:val="decimal"/>
      <w:lvlText w:val="%1.%2.%3"/>
      <w:lvlJc w:val="left"/>
      <w:pPr>
        <w:ind w:left="900" w:hanging="900"/>
      </w:pPr>
      <w:rPr>
        <w:rFonts w:hint="default"/>
        <w:color w:val="auto"/>
      </w:rPr>
    </w:lvl>
    <w:lvl w:ilvl="3" w:tentative="0">
      <w:start w:val="19"/>
      <w:numFmt w:val="decimal"/>
      <w:lvlText w:val="%1.%2.%3.%4"/>
      <w:lvlJc w:val="left"/>
      <w:pPr>
        <w:ind w:left="900" w:hanging="900"/>
      </w:pPr>
      <w:rPr>
        <w:rFonts w:hint="default"/>
        <w:color w:val="auto"/>
      </w:rPr>
    </w:lvl>
    <w:lvl w:ilvl="4" w:tentative="0">
      <w:start w:val="1"/>
      <w:numFmt w:val="decimal"/>
      <w:lvlText w:val="%1.%2.%3.%4.%5"/>
      <w:lvlJc w:val="left"/>
      <w:pPr>
        <w:ind w:left="1080" w:hanging="1080"/>
      </w:pPr>
      <w:rPr>
        <w:rFonts w:hint="default"/>
        <w:color w:val="auto"/>
      </w:rPr>
    </w:lvl>
    <w:lvl w:ilvl="5" w:tentative="0">
      <w:start w:val="1"/>
      <w:numFmt w:val="decimal"/>
      <w:lvlText w:val="%1.%2.%3.%4.%5.%6"/>
      <w:lvlJc w:val="left"/>
      <w:pPr>
        <w:ind w:left="1080" w:hanging="1080"/>
      </w:pPr>
      <w:rPr>
        <w:rFonts w:hint="default"/>
        <w:color w:val="auto"/>
      </w:rPr>
    </w:lvl>
    <w:lvl w:ilvl="6" w:tentative="0">
      <w:start w:val="1"/>
      <w:numFmt w:val="decimal"/>
      <w:lvlText w:val="%1.%2.%3.%4.%5.%6.%7"/>
      <w:lvlJc w:val="left"/>
      <w:pPr>
        <w:ind w:left="1440" w:hanging="1440"/>
      </w:pPr>
      <w:rPr>
        <w:rFonts w:hint="default"/>
        <w:color w:val="auto"/>
      </w:rPr>
    </w:lvl>
    <w:lvl w:ilvl="7" w:tentative="0">
      <w:start w:val="1"/>
      <w:numFmt w:val="decimal"/>
      <w:lvlText w:val="%1.%2.%3.%4.%5.%6.%7.%8"/>
      <w:lvlJc w:val="left"/>
      <w:pPr>
        <w:ind w:left="1440" w:hanging="1440"/>
      </w:pPr>
      <w:rPr>
        <w:rFonts w:hint="default"/>
        <w:color w:val="auto"/>
      </w:rPr>
    </w:lvl>
    <w:lvl w:ilvl="8" w:tentative="0">
      <w:start w:val="1"/>
      <w:numFmt w:val="decimal"/>
      <w:lvlText w:val="%1.%2.%3.%4.%5.%6.%7.%8.%9"/>
      <w:lvlJc w:val="left"/>
      <w:pPr>
        <w:ind w:left="1800" w:hanging="1800"/>
      </w:pPr>
      <w:rPr>
        <w:rFonts w:hint="default"/>
        <w:color w:val="auto"/>
      </w:rPr>
    </w:lvl>
  </w:abstractNum>
  <w:abstractNum w:abstractNumId="52">
    <w:nsid w:val="235769BF"/>
    <w:multiLevelType w:val="multilevel"/>
    <w:tmpl w:val="235769BF"/>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26F43FCC"/>
    <w:multiLevelType w:val="singleLevel"/>
    <w:tmpl w:val="26F43FCC"/>
    <w:lvl w:ilvl="0" w:tentative="0">
      <w:start w:val="1"/>
      <w:numFmt w:val="lowerLetter"/>
      <w:lvlText w:val="%1."/>
      <w:lvlJc w:val="left"/>
      <w:pPr>
        <w:ind w:left="425" w:hanging="425"/>
      </w:pPr>
      <w:rPr>
        <w:rFonts w:hint="default"/>
      </w:rPr>
    </w:lvl>
  </w:abstractNum>
  <w:abstractNum w:abstractNumId="54">
    <w:nsid w:val="26FDC478"/>
    <w:multiLevelType w:val="singleLevel"/>
    <w:tmpl w:val="26FDC478"/>
    <w:lvl w:ilvl="0" w:tentative="0">
      <w:start w:val="1"/>
      <w:numFmt w:val="decimal"/>
      <w:lvlText w:val="(%1)"/>
      <w:lvlJc w:val="left"/>
      <w:pPr>
        <w:ind w:left="425" w:hanging="425"/>
      </w:pPr>
      <w:rPr>
        <w:rFonts w:hint="default"/>
      </w:rPr>
    </w:lvl>
  </w:abstractNum>
  <w:abstractNum w:abstractNumId="55">
    <w:nsid w:val="270D59D5"/>
    <w:multiLevelType w:val="multilevel"/>
    <w:tmpl w:val="270D59D5"/>
    <w:lvl w:ilvl="0" w:tentative="0">
      <w:start w:val="7"/>
      <w:numFmt w:val="decimal"/>
      <w:lvlText w:val="（%1）"/>
      <w:lvlJc w:val="left"/>
      <w:pPr>
        <w:ind w:left="0" w:hanging="420"/>
      </w:pPr>
      <w:rPr>
        <w:rFonts w:hint="eastAsia" w:cs="微软雅黑"/>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56">
    <w:nsid w:val="28E51677"/>
    <w:multiLevelType w:val="multilevel"/>
    <w:tmpl w:val="28E51677"/>
    <w:lvl w:ilvl="0" w:tentative="0">
      <w:start w:val="1"/>
      <w:numFmt w:val="decimal"/>
      <w:lvlText w:val="（%1）"/>
      <w:lvlJc w:val="left"/>
      <w:pPr>
        <w:ind w:left="420" w:hanging="420"/>
      </w:pPr>
      <w:rPr>
        <w:rFonts w:hint="eastAsia" w:cs="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28F1BE53"/>
    <w:multiLevelType w:val="singleLevel"/>
    <w:tmpl w:val="28F1BE53"/>
    <w:lvl w:ilvl="0" w:tentative="0">
      <w:start w:val="1"/>
      <w:numFmt w:val="decimal"/>
      <w:lvlText w:val="(%1)"/>
      <w:lvlJc w:val="left"/>
      <w:pPr>
        <w:ind w:left="425" w:hanging="425"/>
      </w:pPr>
      <w:rPr>
        <w:rFonts w:hint="default"/>
      </w:rPr>
    </w:lvl>
  </w:abstractNum>
  <w:abstractNum w:abstractNumId="58">
    <w:nsid w:val="2A6E67B2"/>
    <w:multiLevelType w:val="multilevel"/>
    <w:tmpl w:val="2A6E67B2"/>
    <w:lvl w:ilvl="0" w:tentative="0">
      <w:start w:val="1"/>
      <w:numFmt w:val="lowerLetter"/>
      <w:lvlText w:val="%1."/>
      <w:lvlJc w:val="left"/>
      <w:pPr>
        <w:ind w:left="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59">
    <w:nsid w:val="2E6C48E5"/>
    <w:multiLevelType w:val="singleLevel"/>
    <w:tmpl w:val="2E6C48E5"/>
    <w:lvl w:ilvl="0" w:tentative="0">
      <w:start w:val="1"/>
      <w:numFmt w:val="decimal"/>
      <w:lvlText w:val="(%1)"/>
      <w:lvlJc w:val="left"/>
      <w:pPr>
        <w:ind w:left="425" w:hanging="425"/>
      </w:pPr>
      <w:rPr>
        <w:rFonts w:hint="default"/>
      </w:rPr>
    </w:lvl>
  </w:abstractNum>
  <w:abstractNum w:abstractNumId="60">
    <w:nsid w:val="30B6A0D3"/>
    <w:multiLevelType w:val="singleLevel"/>
    <w:tmpl w:val="30B6A0D3"/>
    <w:lvl w:ilvl="0" w:tentative="0">
      <w:start w:val="1"/>
      <w:numFmt w:val="decimal"/>
      <w:lvlText w:val="(%1)"/>
      <w:lvlJc w:val="left"/>
      <w:pPr>
        <w:ind w:left="425" w:hanging="425"/>
      </w:pPr>
      <w:rPr>
        <w:rFonts w:hint="default"/>
      </w:rPr>
    </w:lvl>
  </w:abstractNum>
  <w:abstractNum w:abstractNumId="61">
    <w:nsid w:val="30D1EFB1"/>
    <w:multiLevelType w:val="singleLevel"/>
    <w:tmpl w:val="30D1EFB1"/>
    <w:lvl w:ilvl="0" w:tentative="0">
      <w:start w:val="1"/>
      <w:numFmt w:val="decimal"/>
      <w:lvlText w:val="(%1)"/>
      <w:lvlJc w:val="left"/>
      <w:pPr>
        <w:ind w:left="425" w:hanging="425"/>
      </w:pPr>
      <w:rPr>
        <w:rFonts w:hint="default"/>
      </w:rPr>
    </w:lvl>
  </w:abstractNum>
  <w:abstractNum w:abstractNumId="62">
    <w:nsid w:val="32F80606"/>
    <w:multiLevelType w:val="multilevel"/>
    <w:tmpl w:val="32F80606"/>
    <w:lvl w:ilvl="0" w:tentative="0">
      <w:start w:val="5"/>
      <w:numFmt w:val="decimal"/>
      <w:lvlText w:val="%1"/>
      <w:lvlJc w:val="left"/>
      <w:pPr>
        <w:ind w:left="600" w:hanging="600"/>
      </w:pPr>
      <w:rPr>
        <w:rFonts w:hint="default"/>
      </w:rPr>
    </w:lvl>
    <w:lvl w:ilvl="1" w:tentative="0">
      <w:start w:val="11"/>
      <w:numFmt w:val="decimal"/>
      <w:lvlText w:val="%1.%2"/>
      <w:lvlJc w:val="left"/>
      <w:pPr>
        <w:ind w:left="600" w:hanging="60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3">
    <w:nsid w:val="35EF75BB"/>
    <w:multiLevelType w:val="singleLevel"/>
    <w:tmpl w:val="35EF75BB"/>
    <w:lvl w:ilvl="0" w:tentative="0">
      <w:start w:val="1"/>
      <w:numFmt w:val="decimal"/>
      <w:lvlText w:val="(%1)"/>
      <w:lvlJc w:val="left"/>
      <w:pPr>
        <w:ind w:left="425" w:hanging="425"/>
      </w:pPr>
      <w:rPr>
        <w:rFonts w:hint="default"/>
      </w:rPr>
    </w:lvl>
  </w:abstractNum>
  <w:abstractNum w:abstractNumId="64">
    <w:nsid w:val="37821DD9"/>
    <w:multiLevelType w:val="singleLevel"/>
    <w:tmpl w:val="37821DD9"/>
    <w:lvl w:ilvl="0" w:tentative="0">
      <w:start w:val="1"/>
      <w:numFmt w:val="decimal"/>
      <w:lvlText w:val="(%1)"/>
      <w:lvlJc w:val="left"/>
      <w:pPr>
        <w:ind w:left="425" w:hanging="425"/>
      </w:pPr>
      <w:rPr>
        <w:rFonts w:hint="default"/>
      </w:rPr>
    </w:lvl>
  </w:abstractNum>
  <w:abstractNum w:abstractNumId="65">
    <w:nsid w:val="37C0A0C2"/>
    <w:multiLevelType w:val="singleLevel"/>
    <w:tmpl w:val="37C0A0C2"/>
    <w:lvl w:ilvl="0" w:tentative="0">
      <w:start w:val="1"/>
      <w:numFmt w:val="decimal"/>
      <w:lvlText w:val="(%1)"/>
      <w:lvlJc w:val="left"/>
      <w:pPr>
        <w:ind w:left="425" w:hanging="425"/>
      </w:pPr>
      <w:rPr>
        <w:rFonts w:hint="default"/>
      </w:rPr>
    </w:lvl>
  </w:abstractNum>
  <w:abstractNum w:abstractNumId="66">
    <w:nsid w:val="38B82CAE"/>
    <w:multiLevelType w:val="multilevel"/>
    <w:tmpl w:val="38B82CAE"/>
    <w:lvl w:ilvl="0" w:tentative="0">
      <w:start w:val="1"/>
      <w:numFmt w:val="decimal"/>
      <w:lvlText w:val="（%1）"/>
      <w:lvlJc w:val="left"/>
      <w:pPr>
        <w:ind w:left="420" w:hanging="420"/>
      </w:pPr>
      <w:rPr>
        <w:rFonts w:hint="eastAsia" w:cs="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3CD32EFF"/>
    <w:multiLevelType w:val="multilevel"/>
    <w:tmpl w:val="3CD32EFF"/>
    <w:lvl w:ilvl="0" w:tentative="0">
      <w:start w:val="1"/>
      <w:numFmt w:val="decimal"/>
      <w:lvlText w:val="（%1）"/>
      <w:lvlJc w:val="left"/>
      <w:pPr>
        <w:ind w:left="336" w:hanging="336"/>
      </w:pPr>
      <w:rPr>
        <w:rFonts w:hint="eastAsia" w:cs="微软雅黑"/>
      </w:rPr>
    </w:lvl>
    <w:lvl w:ilvl="1" w:tentative="0">
      <w:start w:val="1"/>
      <w:numFmt w:val="lowerLetter"/>
      <w:lvlText w:val="%2."/>
      <w:lvlJc w:val="left"/>
      <w:pPr>
        <w:ind w:left="816" w:hanging="336"/>
      </w:pPr>
    </w:lvl>
    <w:lvl w:ilvl="2" w:tentative="0">
      <w:start w:val="1"/>
      <w:numFmt w:val="lowerRoman"/>
      <w:lvlText w:val="%3."/>
      <w:lvlJc w:val="left"/>
      <w:pPr>
        <w:ind w:left="1296" w:hanging="336"/>
      </w:pPr>
    </w:lvl>
    <w:lvl w:ilvl="3" w:tentative="0">
      <w:start w:val="1"/>
      <w:numFmt w:val="decimal"/>
      <w:lvlText w:val="(%4)"/>
      <w:lvlJc w:val="left"/>
      <w:pPr>
        <w:ind w:left="1776" w:hanging="336"/>
      </w:pPr>
    </w:lvl>
    <w:lvl w:ilvl="4" w:tentative="0">
      <w:start w:val="1"/>
      <w:numFmt w:val="lowerLetter"/>
      <w:lvlText w:val="%5."/>
      <w:lvlJc w:val="left"/>
      <w:pPr>
        <w:ind w:left="2256" w:hanging="336"/>
      </w:pPr>
    </w:lvl>
    <w:lvl w:ilvl="5" w:tentative="0">
      <w:start w:val="1"/>
      <w:numFmt w:val="lowerRoman"/>
      <w:lvlText w:val="%6."/>
      <w:lvlJc w:val="left"/>
      <w:pPr>
        <w:ind w:left="2736" w:hanging="336"/>
      </w:pPr>
    </w:lvl>
    <w:lvl w:ilvl="6" w:tentative="0">
      <w:start w:val="1"/>
      <w:numFmt w:val="decimal"/>
      <w:lvlText w:val="(%7)"/>
      <w:lvlJc w:val="left"/>
      <w:pPr>
        <w:ind w:left="3216" w:hanging="336"/>
      </w:pPr>
    </w:lvl>
    <w:lvl w:ilvl="7" w:tentative="0">
      <w:start w:val="1"/>
      <w:numFmt w:val="lowerLetter"/>
      <w:lvlText w:val="%8."/>
      <w:lvlJc w:val="left"/>
      <w:pPr>
        <w:ind w:left="3696" w:hanging="336"/>
      </w:pPr>
    </w:lvl>
    <w:lvl w:ilvl="8" w:tentative="0">
      <w:start w:val="0"/>
      <w:numFmt w:val="decimal"/>
      <w:lvlText w:val=""/>
      <w:lvlJc w:val="left"/>
    </w:lvl>
  </w:abstractNum>
  <w:abstractNum w:abstractNumId="68">
    <w:nsid w:val="41F77324"/>
    <w:multiLevelType w:val="multilevel"/>
    <w:tmpl w:val="41F77324"/>
    <w:lvl w:ilvl="0" w:tentative="0">
      <w:start w:val="1"/>
      <w:numFmt w:val="decimal"/>
      <w:lvlText w:val="（%1）"/>
      <w:lvlJc w:val="left"/>
      <w:pPr>
        <w:ind w:left="425" w:hanging="425"/>
      </w:pPr>
      <w:rPr>
        <w:rFonts w:hint="eastAsia" w:cs="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42F90360"/>
    <w:multiLevelType w:val="singleLevel"/>
    <w:tmpl w:val="42F90360"/>
    <w:lvl w:ilvl="0" w:tentative="0">
      <w:start w:val="1"/>
      <w:numFmt w:val="decimal"/>
      <w:lvlText w:val="(%1)"/>
      <w:lvlJc w:val="left"/>
      <w:pPr>
        <w:ind w:left="425" w:hanging="425"/>
      </w:pPr>
      <w:rPr>
        <w:rFonts w:hint="default"/>
      </w:rPr>
    </w:lvl>
  </w:abstractNum>
  <w:abstractNum w:abstractNumId="70">
    <w:nsid w:val="4304768C"/>
    <w:multiLevelType w:val="multilevel"/>
    <w:tmpl w:val="4304768C"/>
    <w:lvl w:ilvl="0" w:tentative="0">
      <w:start w:val="1"/>
      <w:numFmt w:val="lowerLetter"/>
      <w:lvlText w:val="%1."/>
      <w:lvlJc w:val="left"/>
      <w:pPr>
        <w:ind w:left="0" w:hanging="420"/>
      </w:pPr>
      <w:rPr>
        <w:rFonts w:hint="default"/>
      </w:rPr>
    </w:lvl>
    <w:lvl w:ilvl="1" w:tentative="0">
      <w:start w:val="1"/>
      <w:numFmt w:val="lowerLetter"/>
      <w:lvlText w:val="%2)"/>
      <w:lvlJc w:val="left"/>
      <w:pPr>
        <w:ind w:left="900" w:hanging="420"/>
      </w:pPr>
    </w:lvl>
    <w:lvl w:ilvl="2" w:tentative="0">
      <w:start w:val="1"/>
      <w:numFmt w:val="lowerRoman"/>
      <w:lvlText w:val="%3."/>
      <w:lvlJc w:val="right"/>
      <w:pPr>
        <w:ind w:left="1320" w:hanging="420"/>
      </w:pPr>
    </w:lvl>
    <w:lvl w:ilvl="3" w:tentative="0">
      <w:start w:val="1"/>
      <w:numFmt w:val="decimal"/>
      <w:lvlText w:val="%4."/>
      <w:lvlJc w:val="left"/>
      <w:pPr>
        <w:ind w:left="1740" w:hanging="420"/>
      </w:pPr>
    </w:lvl>
    <w:lvl w:ilvl="4" w:tentative="0">
      <w:start w:val="1"/>
      <w:numFmt w:val="lowerLetter"/>
      <w:lvlText w:val="%5)"/>
      <w:lvlJc w:val="left"/>
      <w:pPr>
        <w:ind w:left="2160" w:hanging="420"/>
      </w:pPr>
    </w:lvl>
    <w:lvl w:ilvl="5" w:tentative="0">
      <w:start w:val="1"/>
      <w:numFmt w:val="lowerRoman"/>
      <w:lvlText w:val="%6."/>
      <w:lvlJc w:val="right"/>
      <w:pPr>
        <w:ind w:left="2580" w:hanging="420"/>
      </w:pPr>
    </w:lvl>
    <w:lvl w:ilvl="6" w:tentative="0">
      <w:start w:val="1"/>
      <w:numFmt w:val="decimal"/>
      <w:lvlText w:val="%7."/>
      <w:lvlJc w:val="left"/>
      <w:pPr>
        <w:ind w:left="3000" w:hanging="420"/>
      </w:pPr>
    </w:lvl>
    <w:lvl w:ilvl="7" w:tentative="0">
      <w:start w:val="1"/>
      <w:numFmt w:val="lowerLetter"/>
      <w:lvlText w:val="%8)"/>
      <w:lvlJc w:val="left"/>
      <w:pPr>
        <w:ind w:left="3420" w:hanging="420"/>
      </w:pPr>
    </w:lvl>
    <w:lvl w:ilvl="8" w:tentative="0">
      <w:start w:val="1"/>
      <w:numFmt w:val="lowerRoman"/>
      <w:lvlText w:val="%9."/>
      <w:lvlJc w:val="right"/>
      <w:pPr>
        <w:ind w:left="3840" w:hanging="420"/>
      </w:pPr>
    </w:lvl>
  </w:abstractNum>
  <w:abstractNum w:abstractNumId="71">
    <w:nsid w:val="473A7A94"/>
    <w:multiLevelType w:val="singleLevel"/>
    <w:tmpl w:val="473A7A94"/>
    <w:lvl w:ilvl="0" w:tentative="0">
      <w:start w:val="1"/>
      <w:numFmt w:val="decimal"/>
      <w:lvlText w:val="(%1)"/>
      <w:lvlJc w:val="left"/>
      <w:pPr>
        <w:ind w:left="425" w:hanging="425"/>
      </w:pPr>
      <w:rPr>
        <w:rFonts w:hint="default"/>
      </w:rPr>
    </w:lvl>
  </w:abstractNum>
  <w:abstractNum w:abstractNumId="72">
    <w:nsid w:val="4853514A"/>
    <w:multiLevelType w:val="multilevel"/>
    <w:tmpl w:val="4853514A"/>
    <w:lvl w:ilvl="0" w:tentative="0">
      <w:start w:val="1"/>
      <w:numFmt w:val="decimal"/>
      <w:lvlText w:val="（%1）"/>
      <w:lvlJc w:val="left"/>
      <w:pPr>
        <w:ind w:left="420" w:hanging="420"/>
      </w:pPr>
      <w:rPr>
        <w:rFonts w:hint="eastAsia" w:cs="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4C907709"/>
    <w:multiLevelType w:val="multilevel"/>
    <w:tmpl w:val="4C907709"/>
    <w:lvl w:ilvl="0" w:tentative="0">
      <w:start w:val="1"/>
      <w:numFmt w:val="lowerLetter"/>
      <w:lvlText w:val="%1."/>
      <w:lvlJc w:val="left"/>
      <w:pPr>
        <w:ind w:left="0" w:hanging="42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74">
    <w:nsid w:val="4CAC95DB"/>
    <w:multiLevelType w:val="singleLevel"/>
    <w:tmpl w:val="4CAC95DB"/>
    <w:lvl w:ilvl="0" w:tentative="0">
      <w:start w:val="1"/>
      <w:numFmt w:val="decimal"/>
      <w:lvlText w:val="(%1)"/>
      <w:lvlJc w:val="left"/>
      <w:pPr>
        <w:ind w:left="425" w:hanging="425"/>
      </w:pPr>
      <w:rPr>
        <w:rFonts w:hint="default"/>
      </w:rPr>
    </w:lvl>
  </w:abstractNum>
  <w:abstractNum w:abstractNumId="75">
    <w:nsid w:val="4D2F1E11"/>
    <w:multiLevelType w:val="singleLevel"/>
    <w:tmpl w:val="4D2F1E11"/>
    <w:lvl w:ilvl="0" w:tentative="0">
      <w:start w:val="1"/>
      <w:numFmt w:val="decimal"/>
      <w:lvlText w:val="(%1)"/>
      <w:lvlJc w:val="left"/>
      <w:pPr>
        <w:ind w:left="425" w:hanging="425"/>
      </w:pPr>
      <w:rPr>
        <w:rFonts w:hint="default"/>
      </w:rPr>
    </w:lvl>
  </w:abstractNum>
  <w:abstractNum w:abstractNumId="76">
    <w:nsid w:val="4D601918"/>
    <w:multiLevelType w:val="multilevel"/>
    <w:tmpl w:val="4D601918"/>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4F73D15F"/>
    <w:multiLevelType w:val="singleLevel"/>
    <w:tmpl w:val="4F73D15F"/>
    <w:lvl w:ilvl="0" w:tentative="0">
      <w:start w:val="1"/>
      <w:numFmt w:val="decimal"/>
      <w:lvlText w:val="(%1)"/>
      <w:lvlJc w:val="left"/>
      <w:pPr>
        <w:ind w:left="425" w:hanging="425"/>
      </w:pPr>
      <w:rPr>
        <w:rFonts w:hint="default"/>
      </w:rPr>
    </w:lvl>
  </w:abstractNum>
  <w:abstractNum w:abstractNumId="78">
    <w:nsid w:val="503C5707"/>
    <w:multiLevelType w:val="multilevel"/>
    <w:tmpl w:val="503C5707"/>
    <w:lvl w:ilvl="0" w:tentative="0">
      <w:start w:val="1"/>
      <w:numFmt w:val="decimal"/>
      <w:lvlText w:val="(%1)"/>
      <w:lvlJc w:val="left"/>
      <w:pPr>
        <w:ind w:left="708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52223308"/>
    <w:multiLevelType w:val="multilevel"/>
    <w:tmpl w:val="52223308"/>
    <w:lvl w:ilvl="0" w:tentative="0">
      <w:start w:val="1"/>
      <w:numFmt w:val="decimal"/>
      <w:lvlText w:val="（%1）"/>
      <w:lvlJc w:val="left"/>
      <w:pPr>
        <w:ind w:left="0" w:hanging="420"/>
      </w:pPr>
      <w:rPr>
        <w:rFonts w:hint="eastAsia" w:cs="微软雅黑"/>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80">
    <w:nsid w:val="556F1993"/>
    <w:multiLevelType w:val="singleLevel"/>
    <w:tmpl w:val="556F1993"/>
    <w:lvl w:ilvl="0" w:tentative="0">
      <w:start w:val="1"/>
      <w:numFmt w:val="decimal"/>
      <w:lvlText w:val="10.3.3.%1"/>
      <w:lvlJc w:val="left"/>
      <w:pPr>
        <w:tabs>
          <w:tab w:val="left" w:pos="420"/>
        </w:tabs>
        <w:ind w:left="425" w:hanging="425"/>
      </w:pPr>
      <w:rPr>
        <w:rFonts w:hint="default" w:ascii="Times New Roman" w:hAnsi="Times New Roman" w:eastAsia="宋体" w:cs="Times New Roman"/>
      </w:rPr>
    </w:lvl>
  </w:abstractNum>
  <w:abstractNum w:abstractNumId="81">
    <w:nsid w:val="55AD205C"/>
    <w:multiLevelType w:val="multilevel"/>
    <w:tmpl w:val="55AD205C"/>
    <w:lvl w:ilvl="0" w:tentative="0">
      <w:start w:val="1"/>
      <w:numFmt w:val="decimal"/>
      <w:lvlText w:val="(%1)"/>
      <w:lvlJc w:val="left"/>
      <w:pPr>
        <w:ind w:left="425" w:hanging="4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56B94EFC"/>
    <w:multiLevelType w:val="singleLevel"/>
    <w:tmpl w:val="56B94EFC"/>
    <w:lvl w:ilvl="0" w:tentative="0">
      <w:start w:val="1"/>
      <w:numFmt w:val="decimal"/>
      <w:lvlText w:val="(%1)"/>
      <w:lvlJc w:val="left"/>
      <w:pPr>
        <w:ind w:left="425" w:hanging="425"/>
      </w:pPr>
      <w:rPr>
        <w:rFonts w:hint="default"/>
      </w:rPr>
    </w:lvl>
  </w:abstractNum>
  <w:abstractNum w:abstractNumId="83">
    <w:nsid w:val="596255DE"/>
    <w:multiLevelType w:val="multilevel"/>
    <w:tmpl w:val="596255DE"/>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5AB52780"/>
    <w:multiLevelType w:val="multilevel"/>
    <w:tmpl w:val="5AB52780"/>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5B6B56AB"/>
    <w:multiLevelType w:val="multilevel"/>
    <w:tmpl w:val="5B6B56A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5C221B48"/>
    <w:multiLevelType w:val="singleLevel"/>
    <w:tmpl w:val="5C221B48"/>
    <w:lvl w:ilvl="0" w:tentative="0">
      <w:start w:val="1"/>
      <w:numFmt w:val="decimal"/>
      <w:lvlText w:val="(%1)"/>
      <w:lvlJc w:val="left"/>
      <w:pPr>
        <w:ind w:left="425" w:hanging="425"/>
      </w:pPr>
      <w:rPr>
        <w:rFonts w:hint="default"/>
      </w:rPr>
    </w:lvl>
  </w:abstractNum>
  <w:abstractNum w:abstractNumId="87">
    <w:nsid w:val="5C946296"/>
    <w:multiLevelType w:val="singleLevel"/>
    <w:tmpl w:val="5C946296"/>
    <w:lvl w:ilvl="0" w:tentative="0">
      <w:start w:val="1"/>
      <w:numFmt w:val="koreanDigital2"/>
      <w:suff w:val="nothing"/>
      <w:lvlText w:val="%1、"/>
      <w:lvlJc w:val="left"/>
      <w:pPr>
        <w:ind w:left="0" w:firstLine="0"/>
      </w:pPr>
      <w:rPr>
        <w:rFonts w:hint="default" w:ascii="宋体" w:hAnsi="宋体"/>
        <w:spacing w:val="0"/>
        <w:w w:val="100"/>
        <w:sz w:val="20"/>
      </w:rPr>
    </w:lvl>
  </w:abstractNum>
  <w:abstractNum w:abstractNumId="88">
    <w:nsid w:val="5ED26B41"/>
    <w:multiLevelType w:val="multilevel"/>
    <w:tmpl w:val="5ED26B41"/>
    <w:lvl w:ilvl="0" w:tentative="0">
      <w:start w:val="1"/>
      <w:numFmt w:val="decimal"/>
      <w:lvlText w:val="(%1)"/>
      <w:lvlJc w:val="center"/>
      <w:pPr>
        <w:ind w:left="420" w:hanging="420"/>
      </w:pPr>
      <w:rPr>
        <w:rFonts w:hint="default" w:ascii="Times New Roman" w:hAnsi="Times New Roman" w:cs="Times New Roman"/>
      </w:rPr>
    </w:lvl>
    <w:lvl w:ilvl="1" w:tentative="0">
      <w:start w:val="1"/>
      <w:numFmt w:val="lowerLetter"/>
      <w:lvlText w:val="%2．"/>
      <w:lvlJc w:val="left"/>
      <w:pPr>
        <w:ind w:left="780" w:hanging="360"/>
      </w:pPr>
      <w:rPr>
        <w:rFonts w:hint="default"/>
        <w:color w:val="00000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5EE3F301"/>
    <w:multiLevelType w:val="singleLevel"/>
    <w:tmpl w:val="5EE3F301"/>
    <w:lvl w:ilvl="0" w:tentative="0">
      <w:start w:val="1"/>
      <w:numFmt w:val="decimal"/>
      <w:lvlText w:val="(%1)"/>
      <w:lvlJc w:val="left"/>
      <w:pPr>
        <w:ind w:left="425" w:hanging="425"/>
      </w:pPr>
      <w:rPr>
        <w:rFonts w:hint="default"/>
      </w:rPr>
    </w:lvl>
  </w:abstractNum>
  <w:abstractNum w:abstractNumId="90">
    <w:nsid w:val="6363EE42"/>
    <w:multiLevelType w:val="singleLevel"/>
    <w:tmpl w:val="6363EE42"/>
    <w:lvl w:ilvl="0" w:tentative="0">
      <w:start w:val="1"/>
      <w:numFmt w:val="decimal"/>
      <w:lvlText w:val="(%1)"/>
      <w:lvlJc w:val="left"/>
      <w:pPr>
        <w:ind w:left="425" w:hanging="425"/>
      </w:pPr>
      <w:rPr>
        <w:rFonts w:hint="default"/>
      </w:rPr>
    </w:lvl>
  </w:abstractNum>
  <w:abstractNum w:abstractNumId="91">
    <w:nsid w:val="6405D81C"/>
    <w:multiLevelType w:val="singleLevel"/>
    <w:tmpl w:val="6405D81C"/>
    <w:lvl w:ilvl="0" w:tentative="0">
      <w:start w:val="1"/>
      <w:numFmt w:val="decimal"/>
      <w:lvlText w:val="(%1)"/>
      <w:lvlJc w:val="left"/>
      <w:pPr>
        <w:ind w:left="425" w:hanging="425"/>
      </w:pPr>
      <w:rPr>
        <w:rFonts w:hint="default"/>
      </w:rPr>
    </w:lvl>
  </w:abstractNum>
  <w:abstractNum w:abstractNumId="92">
    <w:nsid w:val="6AC8600A"/>
    <w:multiLevelType w:val="singleLevel"/>
    <w:tmpl w:val="6AC8600A"/>
    <w:lvl w:ilvl="0" w:tentative="0">
      <w:start w:val="1"/>
      <w:numFmt w:val="lowerLetter"/>
      <w:lvlText w:val="%1."/>
      <w:lvlJc w:val="left"/>
      <w:pPr>
        <w:ind w:left="425" w:hanging="425"/>
      </w:pPr>
      <w:rPr>
        <w:rFonts w:hint="default"/>
      </w:rPr>
    </w:lvl>
  </w:abstractNum>
  <w:abstractNum w:abstractNumId="93">
    <w:nsid w:val="6CC80E60"/>
    <w:multiLevelType w:val="multilevel"/>
    <w:tmpl w:val="6CC80E60"/>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6F68811D"/>
    <w:multiLevelType w:val="singleLevel"/>
    <w:tmpl w:val="6F68811D"/>
    <w:lvl w:ilvl="0" w:tentative="0">
      <w:start w:val="1"/>
      <w:numFmt w:val="decimal"/>
      <w:lvlText w:val="(%1)"/>
      <w:lvlJc w:val="left"/>
      <w:pPr>
        <w:ind w:left="425" w:hanging="425"/>
      </w:pPr>
      <w:rPr>
        <w:rFonts w:hint="default"/>
      </w:rPr>
    </w:lvl>
  </w:abstractNum>
  <w:abstractNum w:abstractNumId="95">
    <w:nsid w:val="733D5263"/>
    <w:multiLevelType w:val="singleLevel"/>
    <w:tmpl w:val="733D5263"/>
    <w:lvl w:ilvl="0" w:tentative="0">
      <w:start w:val="1"/>
      <w:numFmt w:val="decimal"/>
      <w:lvlText w:val="10.3.2.%1"/>
      <w:lvlJc w:val="left"/>
      <w:pPr>
        <w:tabs>
          <w:tab w:val="left" w:pos="420"/>
        </w:tabs>
        <w:ind w:left="425" w:hanging="425"/>
      </w:pPr>
      <w:rPr>
        <w:rFonts w:hint="default" w:ascii="Times New Roman" w:hAnsi="Times New Roman" w:eastAsia="宋体" w:cs="Times New Roman"/>
        <w:b w:val="0"/>
        <w:bCs w:val="0"/>
      </w:rPr>
    </w:lvl>
  </w:abstractNum>
  <w:abstractNum w:abstractNumId="96">
    <w:nsid w:val="73B409EE"/>
    <w:multiLevelType w:val="multilevel"/>
    <w:tmpl w:val="73B409EE"/>
    <w:lvl w:ilvl="0" w:tentative="0">
      <w:start w:val="1"/>
      <w:numFmt w:val="decimal"/>
      <w:lvlText w:val="（%1）"/>
      <w:lvlJc w:val="left"/>
      <w:pPr>
        <w:ind w:left="420" w:hanging="420"/>
      </w:pPr>
      <w:rPr>
        <w:rFonts w:hint="eastAsia" w:cs="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75E34AC9"/>
    <w:multiLevelType w:val="multilevel"/>
    <w:tmpl w:val="75E34AC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774F733E"/>
    <w:multiLevelType w:val="multilevel"/>
    <w:tmpl w:val="774F733E"/>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9">
    <w:nsid w:val="7A8A26A7"/>
    <w:multiLevelType w:val="singleLevel"/>
    <w:tmpl w:val="7A8A26A7"/>
    <w:lvl w:ilvl="0" w:tentative="0">
      <w:start w:val="1"/>
      <w:numFmt w:val="decimal"/>
      <w:lvlText w:val="(%1)"/>
      <w:lvlJc w:val="left"/>
      <w:pPr>
        <w:ind w:left="425" w:hanging="425"/>
      </w:pPr>
      <w:rPr>
        <w:rFonts w:hint="default"/>
      </w:rPr>
    </w:lvl>
  </w:abstractNum>
  <w:abstractNum w:abstractNumId="100">
    <w:nsid w:val="7AC18C61"/>
    <w:multiLevelType w:val="singleLevel"/>
    <w:tmpl w:val="7AC18C61"/>
    <w:lvl w:ilvl="0" w:tentative="0">
      <w:start w:val="1"/>
      <w:numFmt w:val="decimal"/>
      <w:lvlText w:val="(%1)"/>
      <w:lvlJc w:val="left"/>
      <w:pPr>
        <w:ind w:left="425" w:hanging="425"/>
      </w:pPr>
      <w:rPr>
        <w:rFonts w:hint="default"/>
      </w:rPr>
    </w:lvl>
  </w:abstractNum>
  <w:abstractNum w:abstractNumId="101">
    <w:nsid w:val="7C650FEB"/>
    <w:multiLevelType w:val="multilevel"/>
    <w:tmpl w:val="7C650FEB"/>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7CDD69E3"/>
    <w:multiLevelType w:val="singleLevel"/>
    <w:tmpl w:val="7CDD69E3"/>
    <w:lvl w:ilvl="0" w:tentative="0">
      <w:start w:val="1"/>
      <w:numFmt w:val="decimal"/>
      <w:lvlText w:val="10.3.1.%1"/>
      <w:lvlJc w:val="left"/>
      <w:pPr>
        <w:tabs>
          <w:tab w:val="left" w:pos="420"/>
        </w:tabs>
        <w:ind w:left="425" w:hanging="425"/>
      </w:pPr>
      <w:rPr>
        <w:rFonts w:hint="default" w:ascii="Times New Roman" w:hAnsi="Times New Roman" w:eastAsia="宋体" w:cs="Times New Roman"/>
      </w:rPr>
    </w:lvl>
  </w:abstractNum>
  <w:abstractNum w:abstractNumId="103">
    <w:nsid w:val="7DE3C89A"/>
    <w:multiLevelType w:val="singleLevel"/>
    <w:tmpl w:val="7DE3C89A"/>
    <w:lvl w:ilvl="0" w:tentative="0">
      <w:start w:val="1"/>
      <w:numFmt w:val="decimal"/>
      <w:lvlText w:val="(%1)"/>
      <w:lvlJc w:val="left"/>
      <w:pPr>
        <w:ind w:left="425" w:hanging="425"/>
      </w:pPr>
      <w:rPr>
        <w:rFonts w:hint="default"/>
      </w:rPr>
    </w:lvl>
  </w:abstractNum>
  <w:abstractNum w:abstractNumId="104">
    <w:nsid w:val="7E5C650A"/>
    <w:multiLevelType w:val="multilevel"/>
    <w:tmpl w:val="7E5C650A"/>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8"/>
  </w:num>
  <w:num w:numId="2">
    <w:abstractNumId w:val="41"/>
  </w:num>
  <w:num w:numId="3">
    <w:abstractNumId w:val="42"/>
  </w:num>
  <w:num w:numId="4">
    <w:abstractNumId w:val="66"/>
  </w:num>
  <w:num w:numId="5">
    <w:abstractNumId w:val="28"/>
  </w:num>
  <w:num w:numId="6">
    <w:abstractNumId w:val="56"/>
  </w:num>
  <w:num w:numId="7">
    <w:abstractNumId w:val="62"/>
  </w:num>
  <w:num w:numId="8">
    <w:abstractNumId w:val="23"/>
  </w:num>
  <w:num w:numId="9">
    <w:abstractNumId w:val="51"/>
  </w:num>
  <w:num w:numId="10">
    <w:abstractNumId w:val="9"/>
  </w:num>
  <w:num w:numId="11">
    <w:abstractNumId w:val="91"/>
  </w:num>
  <w:num w:numId="12">
    <w:abstractNumId w:val="15"/>
  </w:num>
  <w:num w:numId="13">
    <w:abstractNumId w:val="59"/>
  </w:num>
  <w:num w:numId="14">
    <w:abstractNumId w:val="50"/>
  </w:num>
  <w:num w:numId="15">
    <w:abstractNumId w:val="27"/>
  </w:num>
  <w:num w:numId="16">
    <w:abstractNumId w:val="47"/>
  </w:num>
  <w:num w:numId="17">
    <w:abstractNumId w:val="25"/>
  </w:num>
  <w:num w:numId="18">
    <w:abstractNumId w:val="79"/>
  </w:num>
  <w:num w:numId="19">
    <w:abstractNumId w:val="24"/>
  </w:num>
  <w:num w:numId="20">
    <w:abstractNumId w:val="35"/>
  </w:num>
  <w:num w:numId="21">
    <w:abstractNumId w:val="39"/>
  </w:num>
  <w:num w:numId="22">
    <w:abstractNumId w:val="58"/>
  </w:num>
  <w:num w:numId="23">
    <w:abstractNumId w:val="70"/>
  </w:num>
  <w:num w:numId="24">
    <w:abstractNumId w:val="73"/>
  </w:num>
  <w:num w:numId="25">
    <w:abstractNumId w:val="55"/>
  </w:num>
  <w:num w:numId="26">
    <w:abstractNumId w:val="44"/>
  </w:num>
  <w:num w:numId="27">
    <w:abstractNumId w:val="32"/>
  </w:num>
  <w:num w:numId="28">
    <w:abstractNumId w:val="88"/>
  </w:num>
  <w:num w:numId="29">
    <w:abstractNumId w:val="93"/>
  </w:num>
  <w:num w:numId="30">
    <w:abstractNumId w:val="45"/>
  </w:num>
  <w:num w:numId="31">
    <w:abstractNumId w:val="30"/>
  </w:num>
  <w:num w:numId="32">
    <w:abstractNumId w:val="76"/>
  </w:num>
  <w:num w:numId="33">
    <w:abstractNumId w:val="36"/>
  </w:num>
  <w:num w:numId="34">
    <w:abstractNumId w:val="60"/>
  </w:num>
  <w:num w:numId="35">
    <w:abstractNumId w:val="81"/>
  </w:num>
  <w:num w:numId="36">
    <w:abstractNumId w:val="12"/>
  </w:num>
  <w:num w:numId="37">
    <w:abstractNumId w:val="68"/>
  </w:num>
  <w:num w:numId="38">
    <w:abstractNumId w:val="14"/>
  </w:num>
  <w:num w:numId="39">
    <w:abstractNumId w:val="53"/>
  </w:num>
  <w:num w:numId="40">
    <w:abstractNumId w:val="84"/>
  </w:num>
  <w:num w:numId="41">
    <w:abstractNumId w:val="104"/>
  </w:num>
  <w:num w:numId="42">
    <w:abstractNumId w:val="67"/>
  </w:num>
  <w:num w:numId="43">
    <w:abstractNumId w:val="5"/>
  </w:num>
  <w:num w:numId="44">
    <w:abstractNumId w:val="75"/>
  </w:num>
  <w:num w:numId="45">
    <w:abstractNumId w:val="31"/>
  </w:num>
  <w:num w:numId="46">
    <w:abstractNumId w:val="85"/>
  </w:num>
  <w:num w:numId="47">
    <w:abstractNumId w:val="63"/>
  </w:num>
  <w:num w:numId="48">
    <w:abstractNumId w:val="96"/>
  </w:num>
  <w:num w:numId="49">
    <w:abstractNumId w:val="72"/>
  </w:num>
  <w:num w:numId="50">
    <w:abstractNumId w:val="2"/>
  </w:num>
  <w:num w:numId="51">
    <w:abstractNumId w:val="92"/>
  </w:num>
  <w:num w:numId="52">
    <w:abstractNumId w:val="86"/>
  </w:num>
  <w:num w:numId="53">
    <w:abstractNumId w:val="4"/>
  </w:num>
  <w:num w:numId="54">
    <w:abstractNumId w:val="90"/>
  </w:num>
  <w:num w:numId="55">
    <w:abstractNumId w:val="46"/>
  </w:num>
  <w:num w:numId="56">
    <w:abstractNumId w:val="74"/>
  </w:num>
  <w:num w:numId="57">
    <w:abstractNumId w:val="8"/>
  </w:num>
  <w:num w:numId="58">
    <w:abstractNumId w:val="26"/>
  </w:num>
  <w:num w:numId="59">
    <w:abstractNumId w:val="38"/>
  </w:num>
  <w:num w:numId="60">
    <w:abstractNumId w:val="16"/>
  </w:num>
  <w:num w:numId="61">
    <w:abstractNumId w:val="64"/>
  </w:num>
  <w:num w:numId="62">
    <w:abstractNumId w:val="20"/>
  </w:num>
  <w:num w:numId="63">
    <w:abstractNumId w:val="33"/>
  </w:num>
  <w:num w:numId="64">
    <w:abstractNumId w:val="19"/>
  </w:num>
  <w:num w:numId="65">
    <w:abstractNumId w:val="48"/>
  </w:num>
  <w:num w:numId="66">
    <w:abstractNumId w:val="17"/>
  </w:num>
  <w:num w:numId="67">
    <w:abstractNumId w:val="3"/>
  </w:num>
  <w:num w:numId="68">
    <w:abstractNumId w:val="37"/>
  </w:num>
  <w:num w:numId="69">
    <w:abstractNumId w:val="77"/>
  </w:num>
  <w:num w:numId="70">
    <w:abstractNumId w:val="7"/>
  </w:num>
  <w:num w:numId="71">
    <w:abstractNumId w:val="0"/>
  </w:num>
  <w:num w:numId="72">
    <w:abstractNumId w:val="11"/>
  </w:num>
  <w:num w:numId="73">
    <w:abstractNumId w:val="103"/>
  </w:num>
  <w:num w:numId="74">
    <w:abstractNumId w:val="102"/>
  </w:num>
  <w:num w:numId="75">
    <w:abstractNumId w:val="54"/>
  </w:num>
  <w:num w:numId="76">
    <w:abstractNumId w:val="95"/>
  </w:num>
  <w:num w:numId="77">
    <w:abstractNumId w:val="80"/>
  </w:num>
  <w:num w:numId="78">
    <w:abstractNumId w:val="29"/>
  </w:num>
  <w:num w:numId="79">
    <w:abstractNumId w:val="65"/>
  </w:num>
  <w:num w:numId="80">
    <w:abstractNumId w:val="89"/>
  </w:num>
  <w:num w:numId="81">
    <w:abstractNumId w:val="69"/>
  </w:num>
  <w:num w:numId="82">
    <w:abstractNumId w:val="34"/>
  </w:num>
  <w:num w:numId="83">
    <w:abstractNumId w:val="100"/>
  </w:num>
  <w:num w:numId="84">
    <w:abstractNumId w:val="71"/>
  </w:num>
  <w:num w:numId="85">
    <w:abstractNumId w:val="57"/>
  </w:num>
  <w:num w:numId="86">
    <w:abstractNumId w:val="49"/>
  </w:num>
  <w:num w:numId="87">
    <w:abstractNumId w:val="10"/>
  </w:num>
  <w:num w:numId="88">
    <w:abstractNumId w:val="82"/>
  </w:num>
  <w:num w:numId="89">
    <w:abstractNumId w:val="6"/>
  </w:num>
  <w:num w:numId="90">
    <w:abstractNumId w:val="22"/>
  </w:num>
  <w:num w:numId="91">
    <w:abstractNumId w:val="40"/>
  </w:num>
  <w:num w:numId="92">
    <w:abstractNumId w:val="18"/>
  </w:num>
  <w:num w:numId="93">
    <w:abstractNumId w:val="21"/>
  </w:num>
  <w:num w:numId="94">
    <w:abstractNumId w:val="1"/>
  </w:num>
  <w:num w:numId="95">
    <w:abstractNumId w:val="94"/>
  </w:num>
  <w:num w:numId="96">
    <w:abstractNumId w:val="99"/>
  </w:num>
  <w:num w:numId="97">
    <w:abstractNumId w:val="61"/>
  </w:num>
  <w:num w:numId="98">
    <w:abstractNumId w:val="52"/>
  </w:num>
  <w:num w:numId="99">
    <w:abstractNumId w:val="97"/>
  </w:num>
  <w:num w:numId="100">
    <w:abstractNumId w:val="78"/>
  </w:num>
  <w:num w:numId="101">
    <w:abstractNumId w:val="43"/>
  </w:num>
  <w:num w:numId="102">
    <w:abstractNumId w:val="83"/>
  </w:num>
  <w:num w:numId="103">
    <w:abstractNumId w:val="101"/>
  </w:num>
  <w:num w:numId="104">
    <w:abstractNumId w:val="87"/>
  </w:num>
  <w:num w:numId="1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3YzhlZWRkMTg2M2JmZTY5ZmY3N2JkOTQzYTVjNzgifQ=="/>
  </w:docVars>
  <w:rsids>
    <w:rsidRoot w:val="5A1C4E07"/>
    <w:rsid w:val="049E4069"/>
    <w:rsid w:val="0ED900F2"/>
    <w:rsid w:val="112E21B4"/>
    <w:rsid w:val="12D75D42"/>
    <w:rsid w:val="1BCE5EF6"/>
    <w:rsid w:val="1F7C71B6"/>
    <w:rsid w:val="215B115F"/>
    <w:rsid w:val="243E0F86"/>
    <w:rsid w:val="27266B8C"/>
    <w:rsid w:val="28AC3320"/>
    <w:rsid w:val="2BAB2FD6"/>
    <w:rsid w:val="2E1B7E94"/>
    <w:rsid w:val="2F3F5601"/>
    <w:rsid w:val="2FD25A98"/>
    <w:rsid w:val="31B86404"/>
    <w:rsid w:val="37B22CF8"/>
    <w:rsid w:val="405F7922"/>
    <w:rsid w:val="40C87CD4"/>
    <w:rsid w:val="41361C39"/>
    <w:rsid w:val="470B7CAA"/>
    <w:rsid w:val="550D751A"/>
    <w:rsid w:val="5A1C4E07"/>
    <w:rsid w:val="5A67144B"/>
    <w:rsid w:val="5DDF2862"/>
    <w:rsid w:val="5FEA7E9A"/>
    <w:rsid w:val="68941249"/>
    <w:rsid w:val="6E6D78E0"/>
    <w:rsid w:val="711C6CA4"/>
    <w:rsid w:val="73372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after="120" w:line="360" w:lineRule="auto"/>
      <w:outlineLvl w:val="0"/>
    </w:pPr>
    <w:rPr>
      <w:kern w:val="44"/>
      <w:sz w:val="28"/>
      <w:szCs w:val="28"/>
    </w:rPr>
  </w:style>
  <w:style w:type="paragraph" w:styleId="3">
    <w:name w:val="heading 2"/>
    <w:basedOn w:val="1"/>
    <w:next w:val="1"/>
    <w:qFormat/>
    <w:uiPriority w:val="9"/>
    <w:pPr>
      <w:keepNext/>
      <w:keepLines/>
      <w:spacing w:before="120" w:after="120" w:line="415" w:lineRule="auto"/>
      <w:jc w:val="center"/>
      <w:outlineLvl w:val="1"/>
    </w:pPr>
    <w:rPr>
      <w:rFonts w:ascii="宋体" w:hAnsi="宋体"/>
      <w:b/>
      <w:sz w:val="24"/>
      <w:szCs w:val="24"/>
    </w:rPr>
  </w:style>
  <w:style w:type="paragraph" w:styleId="4">
    <w:name w:val="heading 3"/>
    <w:basedOn w:val="1"/>
    <w:next w:val="1"/>
    <w:qFormat/>
    <w:uiPriority w:val="9"/>
    <w:pPr>
      <w:widowControl/>
      <w:spacing w:before="100" w:beforeAutospacing="1" w:after="100" w:afterAutospacing="1"/>
      <w:jc w:val="left"/>
      <w:outlineLvl w:val="2"/>
    </w:pPr>
    <w:rPr>
      <w:rFonts w:ascii="宋体" w:hAnsi="宋体"/>
      <w:kern w:val="0"/>
      <w:sz w:val="27"/>
      <w:szCs w:val="27"/>
    </w:rPr>
  </w:style>
  <w:style w:type="paragraph" w:styleId="5">
    <w:name w:val="heading 4"/>
    <w:basedOn w:val="4"/>
    <w:next w:val="6"/>
    <w:autoRedefine/>
    <w:qFormat/>
    <w:uiPriority w:val="9"/>
    <w:pPr>
      <w:keepNext/>
      <w:keepLines/>
      <w:widowControl w:val="0"/>
      <w:spacing w:before="156" w:beforeLines="50" w:beforeAutospacing="0" w:after="156" w:afterLines="50" w:afterAutospacing="0" w:line="360" w:lineRule="auto"/>
      <w:outlineLvl w:val="3"/>
    </w:pPr>
    <w:rPr>
      <w:rFonts w:ascii="Arial" w:hAnsi="Arial"/>
      <w:color w:val="000000"/>
      <w:kern w:val="2"/>
      <w:sz w:val="21"/>
      <w:szCs w:val="21"/>
    </w:rPr>
  </w:style>
  <w:style w:type="character" w:default="1" w:styleId="17">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pPr>
    <w:rPr>
      <w:rFonts w:ascii="Times New Roman" w:hAnsi="Times New Roman"/>
      <w:szCs w:val="20"/>
    </w:rPr>
  </w:style>
  <w:style w:type="paragraph" w:styleId="7">
    <w:name w:val="annotation text"/>
    <w:basedOn w:val="1"/>
    <w:autoRedefine/>
    <w:qFormat/>
    <w:uiPriority w:val="0"/>
    <w:pPr>
      <w:jc w:val="left"/>
    </w:pPr>
  </w:style>
  <w:style w:type="paragraph" w:styleId="8">
    <w:name w:val="Body Text"/>
    <w:basedOn w:val="1"/>
    <w:next w:val="1"/>
    <w:autoRedefine/>
    <w:qFormat/>
    <w:uiPriority w:val="0"/>
    <w:pPr>
      <w:spacing w:after="120"/>
    </w:pPr>
    <w:rPr>
      <w:rFonts w:ascii="Times New Roman" w:hAnsi="Times New Roman"/>
      <w:kern w:val="0"/>
      <w:sz w:val="20"/>
      <w:szCs w:val="20"/>
    </w:rPr>
  </w:style>
  <w:style w:type="paragraph" w:styleId="9">
    <w:name w:val="Body Text Indent 2"/>
    <w:basedOn w:val="1"/>
    <w:autoRedefine/>
    <w:qFormat/>
    <w:uiPriority w:val="0"/>
    <w:pPr>
      <w:spacing w:line="400" w:lineRule="exact"/>
      <w:ind w:left="425"/>
    </w:pPr>
    <w:rPr>
      <w:rFonts w:ascii="Times New Roman" w:hAnsi="Times New Roman"/>
      <w:color w:val="000000"/>
      <w:kern w:val="0"/>
      <w:sz w:val="24"/>
      <w:szCs w:val="20"/>
    </w:rPr>
  </w:style>
  <w:style w:type="paragraph" w:styleId="10">
    <w:name w:val="footer"/>
    <w:basedOn w:val="1"/>
    <w:autoRedefine/>
    <w:unhideWhenUsed/>
    <w:qFormat/>
    <w:uiPriority w:val="0"/>
    <w:pPr>
      <w:tabs>
        <w:tab w:val="center" w:pos="4153"/>
        <w:tab w:val="right" w:pos="8306"/>
      </w:tabs>
      <w:snapToGrid w:val="0"/>
      <w:jc w:val="left"/>
    </w:pPr>
    <w:rPr>
      <w:kern w:val="0"/>
      <w:sz w:val="18"/>
      <w:szCs w:val="18"/>
    </w:rPr>
  </w:style>
  <w:style w:type="paragraph" w:styleId="11">
    <w:name w:val="header"/>
    <w:basedOn w:val="1"/>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2">
    <w:name w:val="Subtitle"/>
    <w:basedOn w:val="1"/>
    <w:next w:val="1"/>
    <w:autoRedefine/>
    <w:qFormat/>
    <w:uiPriority w:val="0"/>
    <w:pPr>
      <w:spacing w:line="360" w:lineRule="auto"/>
      <w:jc w:val="left"/>
      <w:outlineLvl w:val="1"/>
    </w:pPr>
    <w:rPr>
      <w:rFonts w:ascii="Times New Roman" w:hAnsi="Times New Roman"/>
      <w:b/>
      <w:bCs/>
      <w:kern w:val="28"/>
      <w:sz w:val="30"/>
      <w:szCs w:val="32"/>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Title"/>
    <w:basedOn w:val="1"/>
    <w:qFormat/>
    <w:uiPriority w:val="0"/>
    <w:pPr>
      <w:spacing w:before="120" w:after="60"/>
      <w:jc w:val="center"/>
    </w:pPr>
    <w:rPr>
      <w:rFonts w:ascii="Arial" w:hAnsi="Arial"/>
      <w:b/>
      <w:kern w:val="0"/>
      <w:sz w:val="44"/>
      <w:szCs w:val="20"/>
    </w:rPr>
  </w:style>
  <w:style w:type="paragraph" w:styleId="15">
    <w:name w:val="Body Text First Indent"/>
    <w:basedOn w:val="8"/>
    <w:autoRedefine/>
    <w:qFormat/>
    <w:uiPriority w:val="0"/>
    <w:pPr>
      <w:ind w:firstLine="420"/>
    </w:pPr>
  </w:style>
  <w:style w:type="character" w:styleId="18">
    <w:name w:val="Strong"/>
    <w:basedOn w:val="17"/>
    <w:qFormat/>
    <w:uiPriority w:val="22"/>
    <w:rPr>
      <w:b/>
      <w:bCs/>
    </w:rPr>
  </w:style>
  <w:style w:type="paragraph" w:customStyle="1" w:styleId="19">
    <w:name w:val="paragraph"/>
    <w:basedOn w:val="1"/>
    <w:semiHidden/>
    <w:qFormat/>
    <w:uiPriority w:val="0"/>
    <w:pPr>
      <w:widowControl/>
      <w:spacing w:before="100" w:beforeAutospacing="1" w:after="100" w:afterAutospacing="1"/>
      <w:jc w:val="left"/>
    </w:pPr>
    <w:rPr>
      <w:rFonts w:ascii="等线" w:hAnsi="等线" w:eastAsia="等线"/>
      <w:kern w:val="0"/>
      <w:sz w:val="24"/>
      <w:szCs w:val="24"/>
    </w:rPr>
  </w:style>
  <w:style w:type="paragraph" w:styleId="20">
    <w:name w:val="List Paragraph"/>
    <w:basedOn w:val="1"/>
    <w:autoRedefine/>
    <w:qFormat/>
    <w:uiPriority w:val="34"/>
    <w:pPr>
      <w:ind w:firstLine="420" w:firstLineChars="200"/>
    </w:pPr>
    <w:rPr>
      <w:rFonts w:ascii="Times New Roman" w:hAnsi="Times New Roman"/>
      <w:szCs w:val="20"/>
    </w:rPr>
  </w:style>
  <w:style w:type="character" w:customStyle="1" w:styleId="21">
    <w:name w:val="标题 4 字符"/>
    <w:autoRedefine/>
    <w:qFormat/>
    <w:uiPriority w:val="9"/>
    <w:rPr>
      <w:rFonts w:ascii="等线 Light" w:hAnsi="等线 Light" w:eastAsia="等线 Light" w:cs="Times New Roman"/>
      <w:b/>
      <w:bCs/>
      <w:sz w:val="28"/>
      <w:szCs w:val="28"/>
    </w:rPr>
  </w:style>
  <w:style w:type="character" w:customStyle="1" w:styleId="22">
    <w:name w:val="标题 3 字符"/>
    <w:qFormat/>
    <w:uiPriority w:val="9"/>
    <w:rPr>
      <w:rFonts w:ascii="Calibri" w:hAnsi="Calibri" w:eastAsia="宋体" w:cs="Times New Roman"/>
      <w:b/>
      <w:bCs/>
      <w:sz w:val="32"/>
      <w:szCs w:val="32"/>
    </w:rPr>
  </w:style>
  <w:style w:type="paragraph" w:customStyle="1" w:styleId="23">
    <w:name w:val="WPSOffice手动目录 1"/>
    <w:autoRedefine/>
    <w:qFormat/>
    <w:uiPriority w:val="0"/>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2023-11-20T09:23:00Z</dcterms:created>
  <dc:creator>陈</dc:creator>
  <cp:lastModifiedBy>陈</cp:lastModifiedBy>
  <dcterms:modified xsi:type="dcterms:W3CDTF">2023-12-29T01:43:54Z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21BA9244F25E432DB4D2E6F80075BE7E_11</vt:lpwstr>
  </property>
</Properties>
</file>