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60" w:lineRule="auto"/>
        <w:jc w:val="center"/>
        <w:rPr>
          <w:rFonts w:hint="eastAsia" w:ascii="宋体" w:hAnsi="宋体" w:cs="宋体"/>
          <w:b/>
          <w:bCs/>
          <w:kern w:val="0"/>
          <w:sz w:val="32"/>
          <w:szCs w:val="32"/>
          <w:highlight w:val="none"/>
          <w:lang w:val="en-US" w:eastAsia="zh-CN"/>
        </w:rPr>
      </w:pPr>
      <w:r>
        <w:rPr>
          <w:rFonts w:hint="eastAsia" w:ascii="宋体" w:hAnsi="宋体" w:cs="宋体"/>
          <w:b/>
          <w:bCs/>
          <w:kern w:val="0"/>
          <w:sz w:val="32"/>
          <w:szCs w:val="32"/>
          <w:highlight w:val="none"/>
          <w:lang w:val="en-US" w:eastAsia="zh-CN"/>
        </w:rPr>
        <w:t>广州供电局220千伏磨碟洲至柳园线路工程（第一分册）</w:t>
      </w:r>
    </w:p>
    <w:p>
      <w:pPr>
        <w:keepNext w:val="0"/>
        <w:keepLines w:val="0"/>
        <w:pageBreakBefore w:val="0"/>
        <w:kinsoku/>
        <w:wordWrap/>
        <w:overflowPunct/>
        <w:topLinePunct w:val="0"/>
        <w:autoSpaceDE/>
        <w:autoSpaceDN/>
        <w:bidi w:val="0"/>
        <w:adjustRightInd/>
        <w:spacing w:line="360" w:lineRule="auto"/>
        <w:jc w:val="center"/>
        <w:rPr>
          <w:rFonts w:hint="eastAsia" w:ascii="宋体" w:hAnsi="宋体" w:cs="宋体"/>
          <w:b/>
          <w:bCs/>
          <w:kern w:val="0"/>
          <w:sz w:val="32"/>
          <w:szCs w:val="32"/>
          <w:highlight w:val="none"/>
          <w:lang w:val="en-US" w:eastAsia="zh-CN"/>
        </w:rPr>
      </w:pPr>
      <w:r>
        <w:rPr>
          <w:rFonts w:hint="eastAsia" w:ascii="宋体" w:hAnsi="宋体" w:cs="宋体"/>
          <w:b/>
          <w:bCs/>
          <w:kern w:val="0"/>
          <w:sz w:val="32"/>
          <w:szCs w:val="32"/>
          <w:highlight w:val="none"/>
          <w:lang w:val="en-US" w:eastAsia="zh-CN"/>
        </w:rPr>
        <w:t>隧道部分施工</w:t>
      </w:r>
    </w:p>
    <w:p>
      <w:pPr>
        <w:keepNext w:val="0"/>
        <w:keepLines w:val="0"/>
        <w:pageBreakBefore w:val="0"/>
        <w:kinsoku/>
        <w:wordWrap/>
        <w:overflowPunct/>
        <w:topLinePunct w:val="0"/>
        <w:autoSpaceDE/>
        <w:autoSpaceDN/>
        <w:bidi w:val="0"/>
        <w:adjustRightInd/>
        <w:spacing w:line="360" w:lineRule="auto"/>
        <w:jc w:val="center"/>
        <w:rPr>
          <w:rFonts w:hint="eastAsia" w:ascii="宋体" w:hAnsi="宋体" w:cs="宋体"/>
          <w:b/>
          <w:bCs/>
          <w:kern w:val="0"/>
          <w:sz w:val="32"/>
          <w:szCs w:val="32"/>
          <w:highlight w:val="none"/>
        </w:rPr>
      </w:pPr>
      <w:r>
        <w:rPr>
          <w:rFonts w:hint="eastAsia" w:ascii="宋体" w:hAnsi="宋体" w:cs="宋体"/>
          <w:b/>
          <w:bCs/>
          <w:kern w:val="0"/>
          <w:sz w:val="32"/>
          <w:szCs w:val="32"/>
          <w:highlight w:val="none"/>
        </w:rPr>
        <w:t>招标公告</w:t>
      </w:r>
    </w:p>
    <w:p>
      <w:pPr>
        <w:keepNext w:val="0"/>
        <w:keepLines w:val="0"/>
        <w:pageBreakBefore w:val="0"/>
        <w:kinsoku/>
        <w:wordWrap/>
        <w:overflowPunct/>
        <w:topLinePunct w:val="0"/>
        <w:autoSpaceDE/>
        <w:autoSpaceDN/>
        <w:bidi w:val="0"/>
        <w:adjustRightInd/>
        <w:spacing w:line="360" w:lineRule="auto"/>
        <w:rPr>
          <w:rFonts w:hint="eastAsia"/>
          <w:highlight w:val="none"/>
        </w:rPr>
      </w:pPr>
    </w:p>
    <w:p>
      <w:pPr>
        <w:keepNext w:val="0"/>
        <w:keepLines w:val="0"/>
        <w:pageBreakBefore w:val="0"/>
        <w:kinsoku/>
        <w:wordWrap/>
        <w:overflowPunct/>
        <w:topLinePunct w:val="0"/>
        <w:autoSpaceDE/>
        <w:autoSpaceDN/>
        <w:bidi w:val="0"/>
        <w:adjustRightInd/>
        <w:spacing w:line="360" w:lineRule="auto"/>
        <w:rPr>
          <w:rFonts w:hint="eastAsia" w:ascii="宋体" w:hAnsi="宋体" w:cs="宋体"/>
          <w:b/>
          <w:szCs w:val="21"/>
          <w:highlight w:val="none"/>
        </w:rPr>
      </w:pPr>
      <w:r>
        <w:rPr>
          <w:rFonts w:hint="eastAsia" w:ascii="宋体" w:hAnsi="宋体" w:cs="宋体"/>
          <w:b/>
          <w:szCs w:val="21"/>
          <w:highlight w:val="none"/>
        </w:rPr>
        <w:t>1. 招标条件</w:t>
      </w:r>
    </w:p>
    <w:p>
      <w:pPr>
        <w:keepNext w:val="0"/>
        <w:keepLines w:val="0"/>
        <w:pageBreakBefore w:val="0"/>
        <w:kinsoku/>
        <w:wordWrap/>
        <w:overflowPunct/>
        <w:topLinePunct w:val="0"/>
        <w:autoSpaceDE/>
        <w:autoSpaceDN/>
        <w:bidi w:val="0"/>
        <w:adjustRightInd/>
        <w:spacing w:line="360" w:lineRule="auto"/>
        <w:ind w:left="105" w:leftChars="50" w:firstLine="315" w:firstLineChars="150"/>
        <w:rPr>
          <w:rFonts w:hint="eastAsia" w:ascii="宋体" w:hAnsi="宋体" w:cs="宋体"/>
          <w:szCs w:val="21"/>
          <w:highlight w:val="none"/>
          <w:u w:val="none"/>
        </w:rPr>
      </w:pPr>
      <w:r>
        <w:rPr>
          <w:rFonts w:hint="eastAsia" w:ascii="宋体" w:hAnsi="宋体" w:cs="宋体"/>
          <w:szCs w:val="21"/>
          <w:highlight w:val="none"/>
          <w:u w:val="none"/>
        </w:rPr>
        <w:t>本招标项目广州供电局220千伏磨碟洲至柳园线路工程（第一分册）隧道部分施工</w:t>
      </w:r>
      <w:bookmarkStart w:id="10" w:name="_GoBack"/>
      <w:bookmarkEnd w:id="10"/>
      <w:r>
        <w:rPr>
          <w:rFonts w:hint="eastAsia" w:ascii="宋体" w:hAnsi="宋体" w:cs="宋体"/>
          <w:szCs w:val="21"/>
          <w:highlight w:val="none"/>
          <w:u w:val="none"/>
        </w:rPr>
        <w:t>已批准建设，项目建设单位为广东电网有限责任公司</w:t>
      </w:r>
      <w:r>
        <w:rPr>
          <w:rFonts w:hint="eastAsia" w:ascii="宋体" w:hAnsi="宋体" w:cs="宋体"/>
          <w:szCs w:val="21"/>
          <w:highlight w:val="none"/>
          <w:u w:val="none"/>
          <w:lang w:eastAsia="zh-CN"/>
        </w:rPr>
        <w:t>广州</w:t>
      </w:r>
      <w:r>
        <w:rPr>
          <w:rFonts w:hint="eastAsia" w:ascii="宋体" w:hAnsi="宋体" w:cs="宋体"/>
          <w:szCs w:val="21"/>
          <w:highlight w:val="none"/>
          <w:u w:val="none"/>
        </w:rPr>
        <w:t>供电局，建设资金为</w:t>
      </w:r>
      <w:r>
        <w:rPr>
          <w:rFonts w:hint="eastAsia" w:ascii="宋体" w:hAnsi="宋体" w:cs="宋体"/>
          <w:szCs w:val="21"/>
          <w:highlight w:val="none"/>
          <w:u w:val="none"/>
          <w:lang w:val="en-US" w:eastAsia="zh-CN"/>
        </w:rPr>
        <w:t>自有资金和银行贷款</w:t>
      </w:r>
      <w:r>
        <w:rPr>
          <w:rFonts w:hint="eastAsia" w:ascii="宋体" w:hAnsi="宋体" w:cs="宋体"/>
          <w:szCs w:val="21"/>
          <w:highlight w:val="none"/>
          <w:u w:val="none"/>
        </w:rPr>
        <w:t>，招标人为广东电网有限责任公司</w:t>
      </w:r>
      <w:r>
        <w:rPr>
          <w:rFonts w:hint="eastAsia" w:ascii="宋体" w:hAnsi="宋体" w:cs="宋体"/>
          <w:szCs w:val="21"/>
          <w:highlight w:val="none"/>
          <w:u w:val="none"/>
          <w:lang w:eastAsia="zh-CN"/>
        </w:rPr>
        <w:t>广州</w:t>
      </w:r>
      <w:r>
        <w:rPr>
          <w:rFonts w:hint="eastAsia" w:ascii="宋体" w:hAnsi="宋体" w:cs="宋体"/>
          <w:szCs w:val="21"/>
          <w:highlight w:val="none"/>
          <w:u w:val="none"/>
        </w:rPr>
        <w:t>供电局。项目已具备招标条件，现对该项目的施工进行公开招标。</w:t>
      </w:r>
    </w:p>
    <w:p>
      <w:pPr>
        <w:keepNext w:val="0"/>
        <w:keepLines w:val="0"/>
        <w:pageBreakBefore w:val="0"/>
        <w:kinsoku/>
        <w:wordWrap/>
        <w:overflowPunct/>
        <w:topLinePunct w:val="0"/>
        <w:autoSpaceDE/>
        <w:autoSpaceDN/>
        <w:bidi w:val="0"/>
        <w:adjustRightInd/>
        <w:spacing w:line="360" w:lineRule="auto"/>
        <w:rPr>
          <w:rFonts w:hint="eastAsia" w:ascii="宋体" w:hAnsi="宋体" w:cs="宋体"/>
          <w:b/>
          <w:szCs w:val="21"/>
          <w:highlight w:val="none"/>
        </w:rPr>
      </w:pPr>
      <w:bookmarkStart w:id="0" w:name="_Toc269138021"/>
      <w:bookmarkStart w:id="1" w:name="_Toc269133861"/>
      <w:r>
        <w:rPr>
          <w:rFonts w:hint="eastAsia" w:ascii="宋体" w:hAnsi="宋体" w:cs="宋体"/>
          <w:b/>
          <w:szCs w:val="21"/>
          <w:highlight w:val="none"/>
        </w:rPr>
        <w:t>2. 项目概况与招标范围</w:t>
      </w:r>
      <w:bookmarkEnd w:id="0"/>
      <w:bookmarkEnd w:id="1"/>
    </w:p>
    <w:p>
      <w:pPr>
        <w:pStyle w:val="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hAnsi="宋体" w:cs="宋体"/>
          <w:szCs w:val="21"/>
          <w:highlight w:val="none"/>
          <w:u w:val="single"/>
          <w:lang w:val="en-US"/>
        </w:rPr>
      </w:pPr>
      <w:r>
        <w:rPr>
          <w:rFonts w:hint="eastAsia" w:hAnsi="宋体" w:cs="宋体"/>
          <w:b/>
          <w:szCs w:val="21"/>
          <w:highlight w:val="none"/>
        </w:rPr>
        <w:t>2.1建设地点：</w:t>
      </w:r>
      <w:r>
        <w:rPr>
          <w:rFonts w:hint="eastAsia" w:ascii="宋体" w:hAnsi="宋体" w:cs="宋体"/>
          <w:szCs w:val="21"/>
          <w:highlight w:val="none"/>
          <w:u w:val="none"/>
          <w:lang w:val="en-US" w:eastAsia="zh-CN"/>
        </w:rPr>
        <w:t>广东省广州市</w:t>
      </w:r>
      <w:r>
        <w:rPr>
          <w:rFonts w:hint="eastAsia" w:hAnsi="宋体" w:cs="宋体"/>
          <w:szCs w:val="21"/>
          <w:highlight w:val="none"/>
          <w:u w:val="none"/>
          <w:lang w:val="en-US" w:eastAsia="zh-CN"/>
        </w:rPr>
        <w:t>海珠区</w:t>
      </w:r>
    </w:p>
    <w:p>
      <w:pPr>
        <w:pStyle w:val="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highlight w:val="none"/>
        </w:rPr>
      </w:pPr>
      <w:r>
        <w:rPr>
          <w:rFonts w:hint="eastAsia" w:ascii="宋体" w:hAnsi="宋体" w:eastAsia="宋体" w:cs="宋体"/>
          <w:b/>
          <w:kern w:val="2"/>
          <w:sz w:val="21"/>
          <w:szCs w:val="21"/>
          <w:highlight w:val="none"/>
          <w:lang w:val="en-US" w:eastAsia="zh-CN" w:bidi="ar-SA"/>
        </w:rPr>
        <w:t>2.2建设</w:t>
      </w:r>
      <w:r>
        <w:rPr>
          <w:rFonts w:hint="eastAsia" w:hAnsi="宋体" w:cs="宋体"/>
          <w:b/>
          <w:szCs w:val="21"/>
          <w:highlight w:val="none"/>
        </w:rPr>
        <w:t>规模：</w:t>
      </w:r>
      <w:r>
        <w:rPr>
          <w:rFonts w:hint="eastAsia" w:ascii="宋体" w:hAnsi="宋体" w:cs="宋体"/>
          <w:szCs w:val="21"/>
          <w:highlight w:val="none"/>
          <w:u w:val="single"/>
          <w:lang w:val="en-US" w:eastAsia="zh-CN"/>
        </w:rPr>
        <w:t>详见附件A-项目信息清单。</w:t>
      </w:r>
    </w:p>
    <w:p>
      <w:pPr>
        <w:pStyle w:val="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Cs w:val="21"/>
          <w:highlight w:val="none"/>
          <w:u w:val="none"/>
        </w:rPr>
      </w:pPr>
      <w:r>
        <w:rPr>
          <w:rFonts w:hint="eastAsia" w:ascii="宋体" w:hAnsi="宋体" w:cs="宋体"/>
          <w:b/>
          <w:szCs w:val="21"/>
          <w:highlight w:val="none"/>
        </w:rPr>
        <w:t>2.3计划工</w:t>
      </w:r>
      <w:r>
        <w:rPr>
          <w:rFonts w:hint="eastAsia" w:ascii="宋体" w:hAnsi="宋体" w:cs="宋体"/>
          <w:b/>
          <w:szCs w:val="21"/>
          <w:highlight w:val="none"/>
          <w:u w:val="none"/>
        </w:rPr>
        <w:t>期：</w:t>
      </w:r>
      <w:r>
        <w:rPr>
          <w:rFonts w:hint="eastAsia" w:hAnsi="宋体" w:cs="宋体"/>
          <w:b w:val="0"/>
          <w:bCs/>
          <w:szCs w:val="21"/>
          <w:highlight w:val="none"/>
          <w:u w:val="single"/>
          <w:lang w:eastAsia="zh-CN"/>
        </w:rPr>
        <w:t>详见</w:t>
      </w:r>
      <w:r>
        <w:rPr>
          <w:rFonts w:hint="eastAsia" w:ascii="宋体" w:hAnsi="宋体" w:cs="宋体"/>
          <w:szCs w:val="21"/>
          <w:highlight w:val="none"/>
          <w:u w:val="single"/>
        </w:rPr>
        <w:t>附件A-项目信息清单。（实际工期以开工报告、竣工报告为准）。</w:t>
      </w:r>
    </w:p>
    <w:p>
      <w:pPr>
        <w:pStyle w:val="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cs="宋体"/>
          <w:szCs w:val="21"/>
          <w:highlight w:val="none"/>
          <w:u w:val="single"/>
          <w:lang w:val="en-US"/>
        </w:rPr>
      </w:pPr>
      <w:r>
        <w:rPr>
          <w:rFonts w:hint="eastAsia" w:ascii="宋体" w:hAnsi="宋体" w:cs="宋体"/>
          <w:b/>
          <w:szCs w:val="21"/>
          <w:highlight w:val="none"/>
          <w:u w:val="none"/>
        </w:rPr>
        <w:t>2.4</w:t>
      </w:r>
      <w:r>
        <w:rPr>
          <w:rFonts w:hint="eastAsia" w:ascii="宋体" w:hAnsi="宋体" w:eastAsia="宋体" w:cs="宋体"/>
          <w:b/>
          <w:szCs w:val="21"/>
          <w:highlight w:val="none"/>
        </w:rPr>
        <w:t>招标</w:t>
      </w:r>
      <w:r>
        <w:rPr>
          <w:rFonts w:hint="eastAsia" w:ascii="宋体" w:hAnsi="宋体" w:cs="宋体"/>
          <w:b/>
          <w:szCs w:val="21"/>
          <w:highlight w:val="none"/>
          <w:u w:val="none"/>
        </w:rPr>
        <w:t>范围：</w:t>
      </w:r>
      <w:r>
        <w:rPr>
          <w:rFonts w:hint="eastAsia" w:ascii="宋体" w:hAnsi="宋体" w:cs="宋体"/>
          <w:szCs w:val="21"/>
          <w:highlight w:val="none"/>
          <w:u w:val="single"/>
          <w:lang w:val="en-US" w:eastAsia="zh-CN"/>
        </w:rPr>
        <w:t>详见附件A-项目信息清单。</w:t>
      </w:r>
    </w:p>
    <w:p>
      <w:pPr>
        <w:pStyle w:val="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Cs w:val="21"/>
          <w:highlight w:val="none"/>
        </w:rPr>
      </w:pPr>
      <w:r>
        <w:rPr>
          <w:rFonts w:hint="eastAsia" w:ascii="宋体" w:hAnsi="宋体" w:cs="宋体"/>
          <w:b/>
          <w:szCs w:val="21"/>
          <w:highlight w:val="none"/>
        </w:rPr>
        <w:t>2.5标段划分：</w:t>
      </w:r>
      <w:r>
        <w:rPr>
          <w:rFonts w:hint="eastAsia" w:ascii="宋体" w:hAnsi="宋体" w:cs="宋体"/>
          <w:szCs w:val="21"/>
          <w:highlight w:val="none"/>
        </w:rPr>
        <w:t>本次招标分为</w:t>
      </w:r>
      <w:r>
        <w:rPr>
          <w:rFonts w:hint="eastAsia" w:hAnsi="宋体" w:cs="宋体"/>
          <w:szCs w:val="21"/>
          <w:highlight w:val="none"/>
          <w:u w:val="single"/>
          <w:lang w:val="en-US" w:eastAsia="zh-CN"/>
        </w:rPr>
        <w:t>1</w:t>
      </w:r>
      <w:r>
        <w:rPr>
          <w:rFonts w:hint="eastAsia" w:ascii="宋体" w:hAnsi="宋体" w:cs="宋体"/>
          <w:szCs w:val="21"/>
          <w:highlight w:val="none"/>
        </w:rPr>
        <w:t>个标的，合计</w:t>
      </w:r>
      <w:r>
        <w:rPr>
          <w:rFonts w:hint="eastAsia" w:hAnsi="宋体" w:cs="宋体"/>
          <w:szCs w:val="21"/>
          <w:highlight w:val="none"/>
          <w:u w:val="single"/>
          <w:lang w:val="en-US" w:eastAsia="zh-CN"/>
        </w:rPr>
        <w:t>1</w:t>
      </w:r>
      <w:r>
        <w:rPr>
          <w:rFonts w:hint="eastAsia" w:ascii="宋体" w:hAnsi="宋体" w:cs="宋体"/>
          <w:szCs w:val="21"/>
          <w:highlight w:val="none"/>
        </w:rPr>
        <w:t>个标段。</w:t>
      </w:r>
    </w:p>
    <w:p>
      <w:pPr>
        <w:pStyle w:val="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2.6标的物清单：</w:t>
      </w:r>
    </w:p>
    <w:tbl>
      <w:tblPr>
        <w:tblStyle w:val="3"/>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94"/>
        <w:gridCol w:w="575"/>
        <w:gridCol w:w="2349"/>
        <w:gridCol w:w="1369"/>
        <w:gridCol w:w="1425"/>
        <w:gridCol w:w="1284"/>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555" w:type="dxa"/>
            <w:shd w:val="clear" w:color="auto" w:fill="FFFFFF"/>
            <w:vAlign w:val="center"/>
          </w:tcPr>
          <w:p>
            <w:pPr>
              <w:keepNext w:val="0"/>
              <w:keepLines w:val="0"/>
              <w:suppressLineNumbers w:val="0"/>
              <w:spacing w:before="0" w:beforeAutospacing="0" w:after="0" w:afterAutospacing="0"/>
              <w:ind w:left="0" w:right="0"/>
              <w:jc w:val="center"/>
              <w:rPr>
                <w:rFonts w:hint="default"/>
                <w:highlight w:val="none"/>
              </w:rPr>
            </w:pPr>
            <w:bookmarkStart w:id="2" w:name="PO_06F81ED28198461499292B37486F7B57"/>
            <w:bookmarkStart w:id="3" w:name="_Toc269138022"/>
            <w:bookmarkStart w:id="4" w:name="_Toc269133862"/>
            <w:r>
              <w:rPr>
                <w:rFonts w:hint="default"/>
                <w:b/>
                <w:highlight w:val="none"/>
              </w:rPr>
              <w:t>序号</w:t>
            </w:r>
          </w:p>
        </w:tc>
        <w:tc>
          <w:tcPr>
            <w:tcW w:w="794" w:type="dxa"/>
            <w:shd w:val="clear" w:color="auto" w:fill="FFFFFF"/>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b/>
                <w:highlight w:val="none"/>
              </w:rPr>
              <w:t>标段编码</w:t>
            </w:r>
          </w:p>
        </w:tc>
        <w:tc>
          <w:tcPr>
            <w:tcW w:w="575" w:type="dxa"/>
            <w:shd w:val="clear" w:color="auto" w:fill="FFFFFF"/>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b/>
                <w:highlight w:val="none"/>
              </w:rPr>
              <w:t>标段号</w:t>
            </w:r>
          </w:p>
        </w:tc>
        <w:tc>
          <w:tcPr>
            <w:tcW w:w="2349" w:type="dxa"/>
            <w:shd w:val="clear" w:color="auto" w:fill="FFFFFF"/>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b/>
                <w:highlight w:val="none"/>
              </w:rPr>
              <w:t>标段名称</w:t>
            </w:r>
          </w:p>
        </w:tc>
        <w:tc>
          <w:tcPr>
            <w:tcW w:w="1369" w:type="dxa"/>
            <w:shd w:val="clear" w:color="auto" w:fill="FFFFFF"/>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b/>
                <w:highlight w:val="none"/>
              </w:rPr>
              <w:t>最高限价（万元）</w:t>
            </w:r>
          </w:p>
        </w:tc>
        <w:tc>
          <w:tcPr>
            <w:tcW w:w="1425"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highlight w:val="none"/>
              </w:rPr>
            </w:pPr>
            <w:r>
              <w:rPr>
                <w:rFonts w:hint="default"/>
                <w:b/>
                <w:color w:val="auto"/>
                <w:highlight w:val="none"/>
              </w:rPr>
              <w:t>工期</w:t>
            </w:r>
          </w:p>
        </w:tc>
        <w:tc>
          <w:tcPr>
            <w:tcW w:w="1284" w:type="dxa"/>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highlight w:val="none"/>
              </w:rPr>
            </w:pPr>
            <w:r>
              <w:rPr>
                <w:rFonts w:hint="eastAsia" w:ascii="宋体" w:hAnsi="宋体" w:eastAsia="宋体" w:cs="宋体"/>
                <w:b/>
                <w:i w:val="0"/>
                <w:color w:val="auto"/>
                <w:kern w:val="0"/>
                <w:sz w:val="18"/>
                <w:szCs w:val="18"/>
                <w:highlight w:val="none"/>
                <w:u w:val="none"/>
                <w:lang w:val="en-US" w:eastAsia="zh-CN" w:bidi="ar"/>
              </w:rPr>
              <w:t>投标保证金（万元）</w:t>
            </w:r>
          </w:p>
        </w:tc>
        <w:tc>
          <w:tcPr>
            <w:tcW w:w="985" w:type="dxa"/>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highlight w:val="none"/>
              </w:rPr>
            </w:pPr>
            <w:r>
              <w:rPr>
                <w:rFonts w:hint="eastAsia" w:ascii="宋体" w:hAnsi="宋体" w:eastAsia="宋体" w:cs="宋体"/>
                <w:b/>
                <w:bCs w:val="0"/>
                <w:i w:val="0"/>
                <w:color w:val="auto"/>
                <w:kern w:val="0"/>
                <w:sz w:val="18"/>
                <w:szCs w:val="18"/>
                <w:highlight w:val="none"/>
                <w:u w:val="none"/>
                <w:lang w:val="en-US" w:eastAsia="zh-CN" w:bidi="ar"/>
              </w:rPr>
              <w:t>是否展开网络安全审查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555" w:type="dxa"/>
            <w:shd w:val="clear" w:color="auto" w:fill="FFFFFF"/>
            <w:vAlign w:val="center"/>
          </w:tcPr>
          <w:p>
            <w:pPr>
              <w:keepNext w:val="0"/>
              <w:keepLines w:val="0"/>
              <w:suppressLineNumbers w:val="0"/>
              <w:autoSpaceDE/>
              <w:autoSpaceDN/>
              <w:spacing w:before="0" w:beforeAutospacing="0" w:after="0" w:afterAutospacing="1"/>
              <w:ind w:left="0" w:right="0"/>
              <w:jc w:val="center"/>
              <w:rPr>
                <w:rFonts w:hint="default"/>
                <w:highlight w:val="none"/>
              </w:rPr>
            </w:pPr>
            <w:r>
              <w:rPr>
                <w:rFonts w:hint="default"/>
                <w:highlight w:val="none"/>
              </w:rPr>
              <w:t>1</w:t>
            </w:r>
          </w:p>
        </w:tc>
        <w:tc>
          <w:tcPr>
            <w:tcW w:w="794" w:type="dxa"/>
            <w:shd w:val="clear" w:color="auto" w:fill="FFFFFF"/>
            <w:vAlign w:val="center"/>
          </w:tcPr>
          <w:p>
            <w:pPr>
              <w:keepNext w:val="0"/>
              <w:keepLines w:val="0"/>
              <w:suppressLineNumbers w:val="0"/>
              <w:autoSpaceDE/>
              <w:autoSpaceDN/>
              <w:spacing w:before="0" w:beforeAutospacing="0" w:after="0" w:afterAutospacing="1"/>
              <w:ind w:left="0" w:right="0"/>
              <w:jc w:val="center"/>
              <w:rPr>
                <w:rFonts w:hint="default"/>
                <w:highlight w:val="none"/>
              </w:rPr>
            </w:pPr>
            <w:r>
              <w:rPr>
                <w:rFonts w:hint="default"/>
                <w:highlight w:val="none"/>
              </w:rPr>
              <w:t>CG2700022001628907001001</w:t>
            </w:r>
          </w:p>
        </w:tc>
        <w:tc>
          <w:tcPr>
            <w:tcW w:w="575" w:type="dxa"/>
            <w:shd w:val="clear" w:color="auto" w:fill="FFFFFF"/>
            <w:vAlign w:val="center"/>
          </w:tcPr>
          <w:p>
            <w:pPr>
              <w:keepNext w:val="0"/>
              <w:keepLines w:val="0"/>
              <w:suppressLineNumbers w:val="0"/>
              <w:autoSpaceDE/>
              <w:autoSpaceDN/>
              <w:spacing w:before="0" w:beforeAutospacing="0" w:after="0" w:afterAutospacing="1"/>
              <w:ind w:left="0" w:right="0"/>
              <w:jc w:val="center"/>
              <w:rPr>
                <w:rFonts w:hint="eastAsia" w:eastAsiaTheme="minorEastAsia"/>
                <w:highlight w:val="none"/>
                <w:lang w:eastAsia="zh-CN"/>
              </w:rPr>
            </w:pPr>
            <w:r>
              <w:rPr>
                <w:rFonts w:hint="eastAsia"/>
                <w:highlight w:val="none"/>
                <w:lang w:val="en-US" w:eastAsia="zh-CN"/>
              </w:rPr>
              <w:t>1</w:t>
            </w:r>
          </w:p>
        </w:tc>
        <w:tc>
          <w:tcPr>
            <w:tcW w:w="2349" w:type="dxa"/>
            <w:shd w:val="clear" w:color="auto" w:fill="FFFFFF"/>
            <w:vAlign w:val="center"/>
          </w:tcPr>
          <w:p>
            <w:pPr>
              <w:keepNext w:val="0"/>
              <w:keepLines w:val="0"/>
              <w:suppressLineNumbers w:val="0"/>
              <w:autoSpaceDE/>
              <w:autoSpaceDN/>
              <w:spacing w:before="0" w:beforeAutospacing="0" w:after="0" w:afterAutospacing="1"/>
              <w:ind w:left="0" w:right="0"/>
              <w:jc w:val="left"/>
              <w:rPr>
                <w:rFonts w:hint="default"/>
                <w:highlight w:val="none"/>
              </w:rPr>
            </w:pPr>
            <w:r>
              <w:rPr>
                <w:rFonts w:hint="default"/>
                <w:highlight w:val="none"/>
              </w:rPr>
              <w:t>广州供电局220千伏磨碟洲至柳园线路工程（第一分册）隧道部分施工</w:t>
            </w:r>
          </w:p>
        </w:tc>
        <w:tc>
          <w:tcPr>
            <w:tcW w:w="1369" w:type="dxa"/>
            <w:shd w:val="clear" w:color="auto" w:fill="FFFFFF"/>
            <w:vAlign w:val="center"/>
          </w:tcPr>
          <w:p>
            <w:pPr>
              <w:keepNext w:val="0"/>
              <w:keepLines w:val="0"/>
              <w:suppressLineNumbers w:val="0"/>
              <w:autoSpaceDE/>
              <w:autoSpaceDN/>
              <w:spacing w:before="0" w:beforeAutospacing="0" w:after="0" w:afterAutospacing="1"/>
              <w:ind w:left="0" w:right="0"/>
              <w:jc w:val="right"/>
              <w:rPr>
                <w:rFonts w:hint="default"/>
                <w:highlight w:val="none"/>
              </w:rPr>
            </w:pPr>
            <w:r>
              <w:rPr>
                <w:rFonts w:hint="default"/>
                <w:highlight w:val="none"/>
              </w:rPr>
              <w:t>5209.614178</w:t>
            </w:r>
          </w:p>
        </w:tc>
        <w:tc>
          <w:tcPr>
            <w:tcW w:w="1425" w:type="dxa"/>
            <w:shd w:val="clear" w:color="auto" w:fill="FFFFFF"/>
            <w:vAlign w:val="center"/>
          </w:tcPr>
          <w:p>
            <w:pPr>
              <w:keepNext w:val="0"/>
              <w:keepLines w:val="0"/>
              <w:suppressLineNumbers w:val="0"/>
              <w:autoSpaceDE/>
              <w:autoSpaceDN/>
              <w:spacing w:before="0" w:beforeAutospacing="0" w:after="0" w:afterAutospacing="1"/>
              <w:ind w:left="0" w:right="0"/>
              <w:jc w:val="left"/>
              <w:rPr>
                <w:rFonts w:hint="default"/>
                <w:highlight w:val="none"/>
              </w:rPr>
            </w:pPr>
            <w:r>
              <w:rPr>
                <w:rFonts w:hint="eastAsia"/>
                <w:highlight w:val="none"/>
                <w:lang w:val="en-US" w:eastAsia="zh-CN"/>
              </w:rPr>
              <w:t>合同签订之日起180日历天，实际工期以开工报告、竣工报告为准。</w:t>
            </w:r>
          </w:p>
        </w:tc>
        <w:tc>
          <w:tcPr>
            <w:tcW w:w="1284" w:type="dxa"/>
            <w:shd w:val="clear" w:color="auto" w:fill="FFFFFF"/>
            <w:vAlign w:val="center"/>
          </w:tcPr>
          <w:p>
            <w:pPr>
              <w:keepNext w:val="0"/>
              <w:keepLines w:val="0"/>
              <w:suppressLineNumbers w:val="0"/>
              <w:autoSpaceDE/>
              <w:autoSpaceDN/>
              <w:spacing w:before="0" w:beforeAutospacing="0" w:after="0" w:afterAutospacing="1"/>
              <w:ind w:left="0" w:right="0"/>
              <w:jc w:val="center"/>
              <w:rPr>
                <w:rFonts w:hint="eastAsia" w:eastAsiaTheme="minorEastAsia"/>
                <w:highlight w:val="none"/>
                <w:lang w:val="en-US" w:eastAsia="zh-CN"/>
              </w:rPr>
            </w:pPr>
            <w:r>
              <w:rPr>
                <w:rFonts w:hint="eastAsia"/>
                <w:highlight w:val="none"/>
                <w:lang w:val="en-US" w:eastAsia="zh-CN"/>
              </w:rPr>
              <w:t>80</w:t>
            </w:r>
          </w:p>
        </w:tc>
        <w:tc>
          <w:tcPr>
            <w:tcW w:w="985" w:type="dxa"/>
            <w:shd w:val="clear" w:color="auto" w:fill="FFFFFF"/>
            <w:vAlign w:val="center"/>
          </w:tcPr>
          <w:p>
            <w:pPr>
              <w:keepNext w:val="0"/>
              <w:keepLines w:val="0"/>
              <w:suppressLineNumbers w:val="0"/>
              <w:autoSpaceDE/>
              <w:autoSpaceDN/>
              <w:spacing w:before="0" w:beforeAutospacing="0" w:after="0" w:afterAutospacing="1"/>
              <w:ind w:left="0" w:right="0"/>
              <w:jc w:val="center"/>
              <w:rPr>
                <w:rFonts w:hint="eastAsia" w:eastAsiaTheme="minorEastAsia"/>
                <w:highlight w:val="none"/>
                <w:lang w:val="en-US" w:eastAsia="zh-CN"/>
              </w:rPr>
            </w:pPr>
            <w:r>
              <w:rPr>
                <w:rFonts w:hint="eastAsia"/>
                <w:highlight w:val="none"/>
                <w:lang w:val="en-US" w:eastAsia="zh-CN"/>
              </w:rPr>
              <w:t>/</w:t>
            </w:r>
          </w:p>
        </w:tc>
      </w:tr>
      <w:bookmarkEnd w:id="2"/>
    </w:tbl>
    <w:p>
      <w:pPr>
        <w:keepNext w:val="0"/>
        <w:keepLines w:val="0"/>
        <w:pageBreakBefore w:val="0"/>
        <w:kinsoku/>
        <w:wordWrap/>
        <w:overflowPunct/>
        <w:topLinePunct w:val="0"/>
        <w:autoSpaceDE/>
        <w:autoSpaceDN/>
        <w:bidi w:val="0"/>
        <w:adjustRightInd/>
        <w:spacing w:line="360" w:lineRule="auto"/>
        <w:rPr>
          <w:rFonts w:hint="eastAsia" w:ascii="宋体" w:hAnsi="宋体" w:cs="宋体"/>
          <w:b/>
          <w:szCs w:val="21"/>
          <w:highlight w:val="none"/>
        </w:rPr>
      </w:pPr>
    </w:p>
    <w:p>
      <w:pPr>
        <w:keepNext w:val="0"/>
        <w:keepLines w:val="0"/>
        <w:pageBreakBefore w:val="0"/>
        <w:kinsoku/>
        <w:wordWrap/>
        <w:overflowPunct/>
        <w:topLinePunct w:val="0"/>
        <w:autoSpaceDE/>
        <w:autoSpaceDN/>
        <w:bidi w:val="0"/>
        <w:adjustRightInd/>
        <w:spacing w:line="360" w:lineRule="auto"/>
        <w:rPr>
          <w:rFonts w:hint="eastAsia" w:ascii="宋体" w:hAnsi="宋体" w:cs="宋体"/>
          <w:b/>
          <w:szCs w:val="21"/>
          <w:highlight w:val="none"/>
        </w:rPr>
      </w:pPr>
    </w:p>
    <w:p>
      <w:pPr>
        <w:keepNext w:val="0"/>
        <w:keepLines w:val="0"/>
        <w:pageBreakBefore w:val="0"/>
        <w:kinsoku/>
        <w:wordWrap/>
        <w:overflowPunct/>
        <w:topLinePunct w:val="0"/>
        <w:autoSpaceDE/>
        <w:autoSpaceDN/>
        <w:bidi w:val="0"/>
        <w:adjustRightInd/>
        <w:spacing w:line="360" w:lineRule="auto"/>
        <w:rPr>
          <w:rFonts w:hint="eastAsia" w:ascii="宋体" w:hAnsi="宋体" w:cs="宋体"/>
          <w:b/>
          <w:szCs w:val="21"/>
          <w:highlight w:val="none"/>
        </w:rPr>
      </w:pPr>
      <w:r>
        <w:rPr>
          <w:rFonts w:hint="eastAsia" w:ascii="宋体" w:hAnsi="宋体" w:cs="宋体"/>
          <w:b/>
          <w:szCs w:val="21"/>
          <w:highlight w:val="none"/>
        </w:rPr>
        <w:t>3. 投标人资格要求</w:t>
      </w:r>
      <w:bookmarkEnd w:id="3"/>
      <w:bookmarkEnd w:id="4"/>
    </w:p>
    <w:tbl>
      <w:tblPr>
        <w:tblStyle w:val="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gridSpan w:val="2"/>
            <w:shd w:val="clear" w:color="auto" w:fill="FFFFFF"/>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rPr>
                <w:rFonts w:hint="default"/>
                <w:color w:val="auto"/>
                <w:highlight w:val="none"/>
              </w:rPr>
            </w:pPr>
            <w:bookmarkStart w:id="5" w:name="_Toc269133864"/>
            <w:bookmarkStart w:id="6" w:name="_Toc269138024"/>
            <w:r>
              <w:rPr>
                <w:rFonts w:hint="default"/>
                <w:b/>
                <w:color w:val="auto"/>
                <w:highlight w:val="none"/>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FFFFFF"/>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rPr>
                <w:rFonts w:hint="default"/>
                <w:color w:val="auto"/>
                <w:highlight w:val="none"/>
              </w:rPr>
            </w:pPr>
            <w:r>
              <w:rPr>
                <w:rFonts w:hint="default"/>
                <w:b/>
                <w:color w:val="auto"/>
                <w:highlight w:val="none"/>
              </w:rPr>
              <w:t>序号</w:t>
            </w:r>
          </w:p>
        </w:tc>
        <w:tc>
          <w:tcPr>
            <w:tcW w:w="8222" w:type="dxa"/>
            <w:shd w:val="clear" w:color="auto" w:fill="FFFFFF"/>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rPr>
                <w:rFonts w:hint="default"/>
                <w:color w:val="auto"/>
                <w:highlight w:val="none"/>
              </w:rPr>
            </w:pPr>
            <w:r>
              <w:rPr>
                <w:rFonts w:hint="default"/>
                <w:b/>
                <w:color w:val="auto"/>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FFFFFF"/>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rPr>
                <w:rFonts w:hint="default"/>
                <w:color w:val="auto"/>
                <w:highlight w:val="none"/>
              </w:rPr>
            </w:pPr>
            <w:r>
              <w:rPr>
                <w:rFonts w:hint="default"/>
                <w:color w:val="auto"/>
                <w:highlight w:val="none"/>
              </w:rPr>
              <w:t>1</w:t>
            </w:r>
          </w:p>
        </w:tc>
        <w:tc>
          <w:tcPr>
            <w:tcW w:w="8222" w:type="dxa"/>
            <w:shd w:val="clear" w:color="auto" w:fill="FFFFFF"/>
            <w:vAlign w:val="center"/>
          </w:tcPr>
          <w:p>
            <w:pPr>
              <w:keepNext w:val="0"/>
              <w:keepLines w:val="0"/>
              <w:suppressLineNumbers w:val="0"/>
              <w:spacing w:before="0" w:beforeAutospacing="0" w:after="0" w:afterAutospacing="0" w:line="360" w:lineRule="auto"/>
              <w:ind w:left="0" w:leftChars="0" w:right="0" w:rightChars="0"/>
              <w:jc w:val="left"/>
              <w:rPr>
                <w:rFonts w:hint="default"/>
                <w:color w:val="auto"/>
                <w:highlight w:val="none"/>
              </w:rPr>
            </w:pPr>
            <w:r>
              <w:rPr>
                <w:rFonts w:hint="default"/>
                <w:highlight w:val="none"/>
              </w:rPr>
              <w:t>具有独立法人资格，持有合法有效的企业法人营业执照。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FFFFFF"/>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rPr>
                <w:rFonts w:hint="default"/>
                <w:color w:val="auto"/>
                <w:highlight w:val="none"/>
              </w:rPr>
            </w:pPr>
            <w:r>
              <w:rPr>
                <w:rFonts w:hint="default"/>
                <w:color w:val="auto"/>
                <w:highlight w:val="none"/>
              </w:rPr>
              <w:t>2</w:t>
            </w:r>
          </w:p>
        </w:tc>
        <w:tc>
          <w:tcPr>
            <w:tcW w:w="8222" w:type="dxa"/>
            <w:shd w:val="clear" w:color="auto" w:fill="FFFFFF"/>
            <w:vAlign w:val="center"/>
          </w:tcPr>
          <w:p>
            <w:pPr>
              <w:keepNext w:val="0"/>
              <w:keepLines w:val="0"/>
              <w:suppressLineNumbers w:val="0"/>
              <w:spacing w:before="0" w:beforeAutospacing="0" w:after="0" w:afterAutospacing="0" w:line="360" w:lineRule="auto"/>
              <w:ind w:left="0" w:leftChars="0" w:right="0" w:rightChars="0"/>
              <w:jc w:val="left"/>
              <w:rPr>
                <w:rFonts w:hint="default"/>
                <w:color w:val="auto"/>
                <w:highlight w:val="none"/>
              </w:rPr>
            </w:pPr>
            <w:r>
              <w:rPr>
                <w:rFonts w:hint="default"/>
                <w:highlight w:val="none"/>
              </w:rPr>
              <w:t>投标人没有在中国南方电网有限责任公司暂停投标资格、取消投标资格、不接受投标、市场禁入，且未解除的。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FFFFFF"/>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rPr>
                <w:rFonts w:hint="default"/>
                <w:color w:val="auto"/>
                <w:highlight w:val="none"/>
              </w:rPr>
            </w:pPr>
            <w:r>
              <w:rPr>
                <w:rFonts w:hint="default"/>
                <w:color w:val="auto"/>
                <w:highlight w:val="none"/>
              </w:rPr>
              <w:t>3</w:t>
            </w:r>
          </w:p>
        </w:tc>
        <w:tc>
          <w:tcPr>
            <w:tcW w:w="8222" w:type="dxa"/>
            <w:shd w:val="clear" w:color="auto" w:fill="FFFFFF"/>
            <w:vAlign w:val="center"/>
          </w:tcPr>
          <w:p>
            <w:pPr>
              <w:keepNext w:val="0"/>
              <w:keepLines w:val="0"/>
              <w:suppressLineNumbers w:val="0"/>
              <w:spacing w:before="0" w:beforeAutospacing="0" w:after="0" w:afterAutospacing="0" w:line="360" w:lineRule="auto"/>
              <w:ind w:left="0" w:leftChars="0" w:right="0" w:rightChars="0"/>
              <w:jc w:val="left"/>
              <w:rPr>
                <w:rFonts w:hint="default"/>
                <w:color w:val="auto"/>
                <w:highlight w:val="none"/>
              </w:rPr>
            </w:pPr>
            <w:r>
              <w:rPr>
                <w:rFonts w:hint="default"/>
                <w:highlight w:val="none"/>
              </w:rPr>
              <w:t>投标人必须按照南方电网公司要求，在供应链统一服务平台（www.bidding.csg.cn）上完成供应商登记注册，并通过审核。</w:t>
            </w:r>
          </w:p>
        </w:tc>
      </w:tr>
    </w:tbl>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Cs/>
          <w:szCs w:val="21"/>
          <w:highlight w:val="none"/>
        </w:rPr>
      </w:pPr>
    </w:p>
    <w:tbl>
      <w:tblPr>
        <w:tblStyle w:val="3"/>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2"/>
        <w:gridCol w:w="3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6" w:type="dxa"/>
            <w:gridSpan w:val="3"/>
            <w:shd w:val="clear" w:color="auto" w:fill="FFFFFF"/>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rPr>
                <w:rFonts w:hint="default"/>
                <w:color w:val="auto"/>
                <w:highlight w:val="none"/>
              </w:rPr>
            </w:pPr>
            <w:r>
              <w:rPr>
                <w:rFonts w:hint="default"/>
                <w:b/>
                <w:color w:val="auto"/>
                <w:highlight w:val="none"/>
              </w:rPr>
              <w:t>专用资格要求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FFFFFF"/>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rPr>
                <w:rFonts w:hint="default"/>
                <w:color w:val="auto"/>
                <w:highlight w:val="none"/>
              </w:rPr>
            </w:pPr>
            <w:r>
              <w:rPr>
                <w:rFonts w:hint="default"/>
                <w:b/>
                <w:color w:val="auto"/>
                <w:highlight w:val="none"/>
              </w:rPr>
              <w:t>序号</w:t>
            </w:r>
          </w:p>
        </w:tc>
        <w:tc>
          <w:tcPr>
            <w:tcW w:w="4252" w:type="dxa"/>
            <w:shd w:val="clear" w:color="auto" w:fill="FFFFFF"/>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rPr>
                <w:rFonts w:hint="default"/>
                <w:color w:val="auto"/>
                <w:highlight w:val="none"/>
              </w:rPr>
            </w:pPr>
            <w:r>
              <w:rPr>
                <w:rFonts w:hint="default"/>
                <w:b/>
                <w:color w:val="auto"/>
                <w:highlight w:val="none"/>
              </w:rPr>
              <w:t>内容</w:t>
            </w:r>
          </w:p>
        </w:tc>
        <w:tc>
          <w:tcPr>
            <w:tcW w:w="3973" w:type="dxa"/>
            <w:shd w:val="clear" w:color="auto" w:fill="FFFFFF"/>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rPr>
                <w:rFonts w:hint="default"/>
                <w:color w:val="auto"/>
                <w:highlight w:val="none"/>
              </w:rPr>
            </w:pPr>
            <w:r>
              <w:rPr>
                <w:rFonts w:hint="default"/>
                <w:b/>
                <w:color w:val="auto"/>
                <w:highlight w:val="none"/>
              </w:rPr>
              <w:t>关联标的/标包/标段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color w:val="auto"/>
                <w:highlight w:val="none"/>
              </w:rPr>
            </w:pPr>
            <w:r>
              <w:rPr>
                <w:rFonts w:hint="default"/>
                <w:highlight w:val="none"/>
              </w:rPr>
              <w:t>1</w:t>
            </w:r>
          </w:p>
        </w:tc>
        <w:tc>
          <w:tcPr>
            <w:tcW w:w="4252" w:type="dxa"/>
            <w:shd w:val="clear" w:color="auto" w:fill="FFFFFF"/>
            <w:vAlign w:val="center"/>
          </w:tcPr>
          <w:p>
            <w:pPr>
              <w:keepNext w:val="0"/>
              <w:keepLines w:val="0"/>
              <w:suppressLineNumbers w:val="0"/>
              <w:spacing w:before="0" w:beforeAutospacing="0" w:after="0" w:afterAutospacing="0" w:line="360" w:lineRule="auto"/>
              <w:ind w:left="0" w:right="0"/>
              <w:jc w:val="left"/>
              <w:rPr>
                <w:rFonts w:hint="default"/>
                <w:highlight w:val="none"/>
              </w:rPr>
            </w:pPr>
            <w:r>
              <w:rPr>
                <w:rFonts w:hint="default"/>
                <w:highlight w:val="none"/>
              </w:rPr>
              <w:t>一、企业资质要求：1.具备有效的市政公用工程施工总承包二级及以上资质，或隧道工程专业承包三级及以上资质，或电力工程施工总承包二级及以上资质；2.具备有效的建设行政主管部门颁发的安全生产许可证。</w:t>
            </w:r>
          </w:p>
          <w:p>
            <w:pPr>
              <w:keepNext w:val="0"/>
              <w:keepLines w:val="0"/>
              <w:suppressLineNumbers w:val="0"/>
              <w:spacing w:before="0" w:beforeAutospacing="0" w:after="0" w:afterAutospacing="0" w:line="360" w:lineRule="auto"/>
              <w:ind w:left="0" w:right="0"/>
              <w:jc w:val="left"/>
              <w:rPr>
                <w:rFonts w:hint="default"/>
                <w:highlight w:val="none"/>
              </w:rPr>
            </w:pPr>
            <w:r>
              <w:rPr>
                <w:rFonts w:hint="default"/>
                <w:highlight w:val="none"/>
              </w:rPr>
              <w:t>二、人员资质要求：拟派驻的项目经理已取得一级及以上注册建造师执业证书（市政公用工程专业），同时持有项目经理安全生产考核合格证（B类）。</w:t>
            </w:r>
          </w:p>
          <w:p>
            <w:pPr>
              <w:keepNext w:val="0"/>
              <w:keepLines w:val="0"/>
              <w:suppressLineNumbers w:val="0"/>
              <w:spacing w:before="0" w:beforeAutospacing="0" w:after="0" w:afterAutospacing="0" w:line="360" w:lineRule="auto"/>
              <w:ind w:left="0" w:right="0"/>
              <w:jc w:val="left"/>
              <w:rPr>
                <w:rFonts w:hint="default"/>
                <w:highlight w:val="none"/>
              </w:rPr>
            </w:pPr>
            <w:r>
              <w:rPr>
                <w:rFonts w:hint="default"/>
                <w:highlight w:val="none"/>
              </w:rPr>
              <w:t>相关证书均在有效期内并在投标单位注册，且须提供在本单位投标截止日期前4个月内连续3个月的社保证明（例如，投标截止日期在8月份，则提供8月前4个月：4-7月内连续3个月的社保证明）。</w:t>
            </w:r>
          </w:p>
          <w:p>
            <w:pPr>
              <w:keepNext w:val="0"/>
              <w:keepLines w:val="0"/>
              <w:suppressLineNumbers w:val="0"/>
              <w:spacing w:before="0" w:beforeAutospacing="0" w:after="0" w:afterAutospacing="0" w:line="360" w:lineRule="auto"/>
              <w:ind w:left="0" w:right="0"/>
              <w:jc w:val="left"/>
              <w:rPr>
                <w:rFonts w:hint="default"/>
                <w:highlight w:val="none"/>
              </w:rPr>
            </w:pPr>
            <w:r>
              <w:rPr>
                <w:rFonts w:hint="default"/>
                <w:highlight w:val="none"/>
              </w:rPr>
              <w:t>注：建造师电子证书，应在个人签名处手写本人签名，未手写签名或与签名图像笔迹不一致的，该电子证书无效。证书未在“使用有效期”内，该电子证书无效。</w:t>
            </w:r>
          </w:p>
          <w:p>
            <w:pPr>
              <w:keepNext w:val="0"/>
              <w:keepLines w:val="0"/>
              <w:suppressLineNumbers w:val="0"/>
              <w:spacing w:before="0" w:beforeAutospacing="0" w:after="0" w:afterAutospacing="0" w:line="360" w:lineRule="auto"/>
              <w:ind w:left="0" w:right="0"/>
              <w:jc w:val="left"/>
              <w:rPr>
                <w:rFonts w:hint="default"/>
                <w:highlight w:val="none"/>
              </w:rPr>
            </w:pPr>
            <w:r>
              <w:rPr>
                <w:rFonts w:hint="default"/>
                <w:highlight w:val="none"/>
              </w:rPr>
              <w:t>三、不接受联合体。</w:t>
            </w:r>
          </w:p>
          <w:p>
            <w:pPr>
              <w:keepNext w:val="0"/>
              <w:keepLines w:val="0"/>
              <w:suppressLineNumbers w:val="0"/>
              <w:spacing w:before="0" w:beforeAutospacing="0" w:after="0" w:afterAutospacing="0" w:line="360" w:lineRule="auto"/>
              <w:ind w:left="0" w:right="0"/>
              <w:jc w:val="left"/>
              <w:rPr>
                <w:rFonts w:hint="default"/>
                <w:highlight w:val="none"/>
              </w:rPr>
            </w:pPr>
            <w:r>
              <w:rPr>
                <w:rFonts w:hint="default"/>
                <w:highlight w:val="none"/>
              </w:rPr>
              <w:t>四、其他：</w:t>
            </w:r>
          </w:p>
          <w:p>
            <w:pPr>
              <w:keepNext w:val="0"/>
              <w:keepLines w:val="0"/>
              <w:suppressLineNumbers w:val="0"/>
              <w:spacing w:before="0" w:beforeAutospacing="0" w:after="0" w:afterAutospacing="0" w:line="360" w:lineRule="auto"/>
              <w:ind w:left="0" w:right="0"/>
              <w:jc w:val="left"/>
              <w:rPr>
                <w:rFonts w:hint="default"/>
                <w:highlight w:val="none"/>
              </w:rPr>
            </w:pPr>
            <w:r>
              <w:rPr>
                <w:rFonts w:hint="default"/>
                <w:highlight w:val="none"/>
              </w:rPr>
              <w:t>①已在广州公共资源交易中心办理企业信息登记，且拟担任本工程项目经理（项目负责人）须是本企业在广州公共资源交易中心的企业信息登记在册人员。</w:t>
            </w:r>
          </w:p>
          <w:p>
            <w:pPr>
              <w:keepNext w:val="0"/>
              <w:keepLines w:val="0"/>
              <w:suppressLineNumbers w:val="0"/>
              <w:spacing w:before="0" w:beforeAutospacing="0" w:after="0" w:afterAutospacing="0" w:line="360" w:lineRule="auto"/>
              <w:ind w:left="0" w:right="0"/>
              <w:jc w:val="left"/>
              <w:rPr>
                <w:rFonts w:hint="default"/>
                <w:highlight w:val="none"/>
              </w:rPr>
            </w:pPr>
            <w:r>
              <w:rPr>
                <w:rFonts w:hint="default"/>
                <w:highlight w:val="none"/>
              </w:rPr>
              <w:t>②投标人必须按照中国南方电网有限责任公司要求，在南网供应链统一服务平台（www.bidding.csg.cn）上完成办理供应商登记（投标单位提供在南网供应链统一服务平台完成登记并已通过审批的流程截图）。</w:t>
            </w:r>
          </w:p>
          <w:p>
            <w:pPr>
              <w:keepNext w:val="0"/>
              <w:keepLines w:val="0"/>
              <w:suppressLineNumbers w:val="0"/>
              <w:spacing w:before="0" w:beforeAutospacing="0" w:after="0" w:afterAutospacing="0" w:line="360" w:lineRule="auto"/>
              <w:ind w:left="0" w:leftChars="0" w:right="0" w:rightChars="0"/>
              <w:jc w:val="left"/>
              <w:rPr>
                <w:rFonts w:hint="default"/>
                <w:color w:val="auto"/>
                <w:highlight w:val="none"/>
              </w:rPr>
            </w:pPr>
            <w:r>
              <w:rPr>
                <w:rFonts w:hint="default"/>
                <w:highlight w:val="none"/>
              </w:rPr>
              <w:t>③地方政府交易平台对投标人备案等有特殊规定的，从其规定。</w:t>
            </w:r>
          </w:p>
        </w:tc>
        <w:tc>
          <w:tcPr>
            <w:tcW w:w="3973" w:type="dxa"/>
            <w:shd w:val="clear" w:color="auto" w:fill="FFFFFF"/>
            <w:vAlign w:val="center"/>
          </w:tcPr>
          <w:p>
            <w:pPr>
              <w:keepNext w:val="0"/>
              <w:keepLines w:val="0"/>
              <w:suppressLineNumbers w:val="0"/>
              <w:spacing w:before="0" w:beforeAutospacing="0" w:after="0" w:afterAutospacing="0" w:line="360" w:lineRule="auto"/>
              <w:ind w:left="0" w:leftChars="0" w:right="0" w:rightChars="0"/>
              <w:jc w:val="center"/>
              <w:rPr>
                <w:rFonts w:hint="default"/>
                <w:color w:val="auto"/>
                <w:highlight w:val="none"/>
              </w:rPr>
            </w:pPr>
            <w:r>
              <w:rPr>
                <w:rFonts w:hint="default"/>
                <w:highlight w:val="none"/>
              </w:rPr>
              <w:t>[广州供电局220千伏磨碟洲至柳园线路工程（第一分册）隧道部分施工]</w:t>
            </w:r>
          </w:p>
        </w:tc>
      </w:tr>
    </w:tbl>
    <w:p>
      <w:pPr>
        <w:keepNext w:val="0"/>
        <w:keepLines w:val="0"/>
        <w:pageBreakBefore w:val="0"/>
        <w:kinsoku/>
        <w:wordWrap/>
        <w:overflowPunct/>
        <w:topLinePunct w:val="0"/>
        <w:autoSpaceDE/>
        <w:autoSpaceDN/>
        <w:bidi w:val="0"/>
        <w:adjustRightInd/>
        <w:spacing w:line="360" w:lineRule="auto"/>
        <w:ind w:firstLine="420" w:firstLineChars="200"/>
        <w:rPr>
          <w:rFonts w:hint="eastAsia"/>
          <w:highlight w:val="none"/>
        </w:rPr>
      </w:pPr>
      <w:r>
        <w:rPr>
          <w:rFonts w:hint="eastAsia"/>
          <w:highlight w:val="none"/>
        </w:rPr>
        <w:t>备注：</w:t>
      </w:r>
    </w:p>
    <w:p>
      <w:pPr>
        <w:keepNext w:val="0"/>
        <w:keepLines w:val="0"/>
        <w:pageBreakBefore w:val="0"/>
        <w:kinsoku/>
        <w:wordWrap/>
        <w:overflowPunct/>
        <w:topLinePunct w:val="0"/>
        <w:autoSpaceDE/>
        <w:autoSpaceDN/>
        <w:bidi w:val="0"/>
        <w:adjustRightInd/>
        <w:spacing w:line="360" w:lineRule="auto"/>
        <w:ind w:firstLine="420" w:firstLineChars="200"/>
        <w:rPr>
          <w:rFonts w:hint="eastAsia"/>
          <w:highlight w:val="none"/>
        </w:rPr>
      </w:pPr>
      <w:r>
        <w:rPr>
          <w:rFonts w:hint="eastAsia"/>
          <w:highlight w:val="none"/>
        </w:rPr>
        <w:t xml:space="preserve">1.已在广州公共资源交易中心办理企业信息登记，且拟担任本工程项目经理（项目负责人）须是本企业在广州公共资源交易中心的企业信息登记在册人员。 </w:t>
      </w:r>
    </w:p>
    <w:p>
      <w:pPr>
        <w:keepNext w:val="0"/>
        <w:keepLines w:val="0"/>
        <w:pageBreakBefore w:val="0"/>
        <w:kinsoku/>
        <w:wordWrap/>
        <w:overflowPunct/>
        <w:topLinePunct w:val="0"/>
        <w:autoSpaceDE/>
        <w:autoSpaceDN/>
        <w:bidi w:val="0"/>
        <w:adjustRightInd/>
        <w:spacing w:line="360" w:lineRule="auto"/>
        <w:ind w:firstLine="420" w:firstLineChars="200"/>
        <w:rPr>
          <w:rFonts w:hint="eastAsia"/>
          <w:highlight w:val="none"/>
        </w:rPr>
      </w:pPr>
      <w:r>
        <w:rPr>
          <w:rFonts w:hint="eastAsia"/>
          <w:highlight w:val="none"/>
        </w:rPr>
        <w:t>2.投标人必须按照中国南方电网有限责任公司要求，在南网供应链统一服务平台（www.bidding.csg.cn）上完成办理供应商登记。</w:t>
      </w:r>
      <w:r>
        <w:rPr>
          <w:rFonts w:hint="eastAsia"/>
          <w:color w:val="auto"/>
          <w:highlight w:val="none"/>
        </w:rPr>
        <w:t>投标</w:t>
      </w:r>
      <w:r>
        <w:rPr>
          <w:rFonts w:hint="eastAsia"/>
          <w:color w:val="auto"/>
          <w:highlight w:val="none"/>
          <w:lang w:val="en-US" w:eastAsia="zh-CN"/>
        </w:rPr>
        <w:t>人</w:t>
      </w:r>
      <w:r>
        <w:rPr>
          <w:rFonts w:hint="eastAsia"/>
          <w:color w:val="auto"/>
          <w:highlight w:val="none"/>
        </w:rPr>
        <w:t>需在南网供应链统一服务平台上完成办理供应商登记（登录网址：www.bidding.csg.cn）（具体见2016年3月1日网站发布的南方电网公司供应商登记公告），提交登记信息时请选择“广东电网有限责任公司”为审核单位。投标单位要为注册登记、审核预留足够的时间，由于自身原因无法及时参与投标工作的，后果由投标单位自行承担。</w:t>
      </w:r>
    </w:p>
    <w:p>
      <w:pPr>
        <w:keepNext w:val="0"/>
        <w:keepLines w:val="0"/>
        <w:pageBreakBefore w:val="0"/>
        <w:kinsoku/>
        <w:wordWrap/>
        <w:overflowPunct/>
        <w:topLinePunct w:val="0"/>
        <w:autoSpaceDE/>
        <w:autoSpaceDN/>
        <w:bidi w:val="0"/>
        <w:adjustRightInd/>
        <w:spacing w:line="360" w:lineRule="auto"/>
        <w:ind w:firstLine="420" w:firstLineChars="200"/>
        <w:rPr>
          <w:rFonts w:hint="eastAsia"/>
          <w:highlight w:val="none"/>
        </w:rPr>
      </w:pPr>
      <w:r>
        <w:rPr>
          <w:rFonts w:hint="eastAsia"/>
          <w:highlight w:val="none"/>
        </w:rPr>
        <w:t>3.各投标单位在投标文件中提交的资质证书（或全国建筑市场监管公共服务平台资质查询截图）应在有效期范围内。如资质证书（或全国建筑市场监管公共服务平台资质查询截图）显示资质有效期已届满但未办理延续的，应同时在投标文件中提交本单位企业资质的核发单位（如：住房和城乡建设部或各省级住房和城乡建设主管部门）确定资质延续有关政策的网页发布截图，否则视为</w:t>
      </w:r>
      <w:r>
        <w:rPr>
          <w:rFonts w:hint="eastAsia"/>
          <w:b/>
          <w:bCs/>
          <w:highlight w:val="none"/>
        </w:rPr>
        <w:t>资质证书不在有效期内</w:t>
      </w:r>
      <w:r>
        <w:rPr>
          <w:rFonts w:hint="eastAsia"/>
          <w:highlight w:val="none"/>
        </w:rPr>
        <w:t>，作否决投标处理。</w:t>
      </w:r>
    </w:p>
    <w:p>
      <w:pPr>
        <w:keepNext w:val="0"/>
        <w:keepLines w:val="0"/>
        <w:pageBreakBefore w:val="0"/>
        <w:kinsoku/>
        <w:wordWrap/>
        <w:overflowPunct/>
        <w:topLinePunct w:val="0"/>
        <w:autoSpaceDE/>
        <w:autoSpaceDN/>
        <w:bidi w:val="0"/>
        <w:adjustRightInd/>
        <w:spacing w:line="360" w:lineRule="auto"/>
        <w:ind w:firstLine="420" w:firstLineChars="200"/>
        <w:rPr>
          <w:rFonts w:hint="eastAsia"/>
          <w:highlight w:val="none"/>
        </w:rPr>
      </w:pPr>
      <w:r>
        <w:rPr>
          <w:rFonts w:hint="eastAsia"/>
          <w:highlight w:val="none"/>
        </w:rPr>
        <w:t>属于政策上支持可延续资质证书有效期的单位：</w:t>
      </w:r>
    </w:p>
    <w:p>
      <w:pPr>
        <w:keepNext w:val="0"/>
        <w:keepLines w:val="0"/>
        <w:pageBreakBefore w:val="0"/>
        <w:kinsoku/>
        <w:wordWrap/>
        <w:overflowPunct/>
        <w:topLinePunct w:val="0"/>
        <w:autoSpaceDE/>
        <w:autoSpaceDN/>
        <w:bidi w:val="0"/>
        <w:adjustRightInd/>
        <w:spacing w:line="360" w:lineRule="auto"/>
        <w:ind w:firstLine="420" w:firstLineChars="200"/>
        <w:rPr>
          <w:rFonts w:hint="eastAsia"/>
          <w:highlight w:val="none"/>
        </w:rPr>
      </w:pPr>
      <w:r>
        <w:rPr>
          <w:rFonts w:hint="eastAsia"/>
          <w:highlight w:val="none"/>
        </w:rPr>
        <w:t>（1）在国发〔2021〕7号文件决定取消的建设工程企业资质范围内的，执行国发〔2021〕7号文规定“自2021年7月1日至新的建设工程企业资质标准实施之日止，国发〔2021〕7号文件附件所列资质证书继续有效，有效期届满的，统一延期至新的建设工程企业资质标准实施之日。”</w:t>
      </w:r>
    </w:p>
    <w:p>
      <w:pPr>
        <w:keepNext w:val="0"/>
        <w:keepLines w:val="0"/>
        <w:pageBreakBefore w:val="0"/>
        <w:kinsoku/>
        <w:wordWrap/>
        <w:overflowPunct/>
        <w:topLinePunct w:val="0"/>
        <w:autoSpaceDE/>
        <w:autoSpaceDN/>
        <w:bidi w:val="0"/>
        <w:adjustRightInd/>
        <w:spacing w:line="360" w:lineRule="auto"/>
        <w:ind w:firstLine="420" w:firstLineChars="200"/>
        <w:rPr>
          <w:rFonts w:hint="eastAsia"/>
          <w:highlight w:val="none"/>
        </w:rPr>
      </w:pPr>
      <w:r>
        <w:rPr>
          <w:rFonts w:hint="eastAsia"/>
          <w:highlight w:val="none"/>
        </w:rPr>
        <w:t>（2）不在国发〔2021〕7号文件决定取消的建设工程企业资质范围内的，由住房和城乡建设部核发的工程勘察、工程设计、建筑业企业、工程监理企业资质，执行住房和城乡建设部确定资质延续的有关政策；由地方各级住房和城乡建设主管部门核发的工程勘察、工程设计、建筑业企业、工程监理企业资质，执行各省级住房和城乡建设主管部门确定资质延续的有关政策。</w:t>
      </w:r>
    </w:p>
    <w:p>
      <w:pPr>
        <w:keepNext w:val="0"/>
        <w:keepLines w:val="0"/>
        <w:pageBreakBefore w:val="0"/>
        <w:kinsoku/>
        <w:wordWrap/>
        <w:overflowPunct/>
        <w:topLinePunct w:val="0"/>
        <w:autoSpaceDE/>
        <w:autoSpaceDN/>
        <w:bidi w:val="0"/>
        <w:adjustRightInd/>
        <w:spacing w:line="360" w:lineRule="auto"/>
        <w:ind w:firstLine="420" w:firstLineChars="200"/>
        <w:rPr>
          <w:rFonts w:hint="eastAsia"/>
          <w:highlight w:val="none"/>
        </w:rPr>
      </w:pPr>
      <w:r>
        <w:rPr>
          <w:rFonts w:hint="eastAsia"/>
          <w:highlight w:val="none"/>
        </w:rPr>
        <w:t>4、关于注册建造师的要求：</w:t>
      </w:r>
    </w:p>
    <w:p>
      <w:pPr>
        <w:keepNext w:val="0"/>
        <w:keepLines w:val="0"/>
        <w:pageBreakBefore w:val="0"/>
        <w:kinsoku/>
        <w:wordWrap/>
        <w:overflowPunct/>
        <w:topLinePunct w:val="0"/>
        <w:autoSpaceDE/>
        <w:autoSpaceDN/>
        <w:bidi w:val="0"/>
        <w:adjustRightInd/>
        <w:spacing w:line="360" w:lineRule="auto"/>
        <w:ind w:firstLine="420" w:firstLineChars="200"/>
        <w:rPr>
          <w:rFonts w:hint="eastAsia"/>
          <w:highlight w:val="none"/>
        </w:rPr>
      </w:pPr>
      <w:r>
        <w:rPr>
          <w:rFonts w:hint="eastAsia"/>
          <w:highlight w:val="none"/>
        </w:rPr>
        <w:t>（1）一级建造师：根据《住房和城乡建设部办公厅关于全面实行一级建造师电子注册证书的通知》（建办市〔2021〕40号）自2022年1月1日起，一级注册建造师统一使用电子注册证书，并使用电子注册证书上的注册编号，纸质注册证书作废；</w:t>
      </w:r>
    </w:p>
    <w:p>
      <w:pPr>
        <w:keepNext w:val="0"/>
        <w:keepLines w:val="0"/>
        <w:pageBreakBefore w:val="0"/>
        <w:kinsoku/>
        <w:wordWrap/>
        <w:overflowPunct/>
        <w:topLinePunct w:val="0"/>
        <w:autoSpaceDE/>
        <w:autoSpaceDN/>
        <w:bidi w:val="0"/>
        <w:adjustRightInd/>
        <w:spacing w:line="360" w:lineRule="auto"/>
        <w:ind w:firstLine="420" w:firstLineChars="200"/>
        <w:rPr>
          <w:rFonts w:hint="eastAsia"/>
          <w:highlight w:val="none"/>
        </w:rPr>
      </w:pPr>
      <w:r>
        <w:rPr>
          <w:rFonts w:hint="eastAsia"/>
          <w:highlight w:val="none"/>
        </w:rPr>
        <w:t>（2）凡提供一级或二级建造师电子注册证书的，打印电子证书后，应在个人签名处手写本人签名，未手写签名或与签名图像笔迹不一致的，该电子证书无效。</w:t>
      </w:r>
    </w:p>
    <w:p>
      <w:pPr>
        <w:keepNext w:val="0"/>
        <w:keepLines w:val="0"/>
        <w:pageBreakBefore w:val="0"/>
        <w:kinsoku/>
        <w:wordWrap/>
        <w:overflowPunct/>
        <w:topLinePunct w:val="0"/>
        <w:autoSpaceDE/>
        <w:autoSpaceDN/>
        <w:bidi w:val="0"/>
        <w:adjustRightInd/>
        <w:spacing w:line="360" w:lineRule="auto"/>
        <w:rPr>
          <w:rFonts w:hint="eastAsia" w:ascii="宋体" w:hAnsi="宋体" w:cs="宋体"/>
          <w:b/>
          <w:szCs w:val="21"/>
          <w:highlight w:val="none"/>
        </w:rPr>
      </w:pPr>
      <w:r>
        <w:rPr>
          <w:rFonts w:hint="eastAsia" w:ascii="宋体" w:hAnsi="宋体" w:cs="宋体"/>
          <w:b/>
          <w:szCs w:val="21"/>
          <w:highlight w:val="none"/>
        </w:rPr>
        <w:t>4. 招标文件的获取</w:t>
      </w:r>
    </w:p>
    <w:p>
      <w:pPr>
        <w:keepNext w:val="0"/>
        <w:keepLines w:val="0"/>
        <w:pageBreakBefore w:val="0"/>
        <w:tabs>
          <w:tab w:val="left" w:pos="360"/>
        </w:tabs>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4.1</w:t>
      </w:r>
      <w:r>
        <w:rPr>
          <w:rFonts w:hint="eastAsia" w:ascii="宋体" w:hAnsi="宋体" w:cs="宋体"/>
          <w:szCs w:val="21"/>
          <w:highlight w:val="none"/>
        </w:rPr>
        <w:t>凡有意参加投标者，请于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lang w:val="en-US" w:eastAsia="zh-CN"/>
        </w:rPr>
        <w:t>11</w:t>
      </w:r>
      <w:r>
        <w:rPr>
          <w:rFonts w:hint="eastAsia" w:ascii="宋体" w:hAnsi="宋体" w:cs="宋体"/>
          <w:szCs w:val="21"/>
          <w:highlight w:val="none"/>
        </w:rPr>
        <w:t>月</w:t>
      </w:r>
      <w:r>
        <w:rPr>
          <w:rFonts w:hint="eastAsia" w:ascii="宋体" w:hAnsi="宋体" w:cs="宋体"/>
          <w:szCs w:val="21"/>
          <w:highlight w:val="none"/>
          <w:u w:val="single"/>
          <w:lang w:val="en-US" w:eastAsia="zh-CN"/>
        </w:rPr>
        <w:t>15</w:t>
      </w:r>
      <w:r>
        <w:rPr>
          <w:rFonts w:hint="eastAsia" w:ascii="宋体" w:hAnsi="宋体" w:cs="宋体"/>
          <w:szCs w:val="21"/>
          <w:highlight w:val="none"/>
        </w:rPr>
        <w:t>日</w:t>
      </w:r>
      <w:r>
        <w:rPr>
          <w:rFonts w:hint="eastAsia" w:ascii="宋体" w:hAnsi="宋体"/>
          <w:szCs w:val="21"/>
          <w:highlight w:val="none"/>
          <w:u w:val="single"/>
          <w:lang w:val="en-US" w:eastAsia="zh-CN"/>
        </w:rPr>
        <w:t>18</w:t>
      </w:r>
      <w:r>
        <w:rPr>
          <w:rFonts w:ascii="宋体" w:hAnsi="宋体"/>
          <w:szCs w:val="21"/>
          <w:highlight w:val="none"/>
        </w:rPr>
        <w:t>时</w:t>
      </w:r>
      <w:r>
        <w:rPr>
          <w:rFonts w:hint="eastAsia" w:ascii="宋体" w:hAnsi="宋体"/>
          <w:szCs w:val="21"/>
          <w:highlight w:val="none"/>
          <w:u w:val="single"/>
          <w:lang w:val="en-US" w:eastAsia="zh-CN"/>
        </w:rPr>
        <w:t>00</w:t>
      </w:r>
      <w:r>
        <w:rPr>
          <w:rFonts w:ascii="宋体" w:hAnsi="宋体"/>
          <w:szCs w:val="21"/>
          <w:highlight w:val="none"/>
        </w:rPr>
        <w:t>分</w:t>
      </w:r>
      <w:r>
        <w:rPr>
          <w:rFonts w:hint="eastAsia" w:ascii="宋体" w:hAnsi="宋体" w:cs="宋体"/>
          <w:szCs w:val="21"/>
          <w:highlight w:val="none"/>
        </w:rPr>
        <w:t>至</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lang w:val="en-US" w:eastAsia="zh-CN"/>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12</w:t>
      </w:r>
      <w:r>
        <w:rPr>
          <w:rFonts w:hint="eastAsia" w:ascii="宋体" w:hAnsi="宋体" w:cs="宋体"/>
          <w:szCs w:val="21"/>
          <w:highlight w:val="none"/>
        </w:rPr>
        <w:t>日</w:t>
      </w:r>
      <w:r>
        <w:rPr>
          <w:rFonts w:hint="eastAsia" w:ascii="宋体" w:hAnsi="宋体" w:cs="宋体"/>
          <w:szCs w:val="21"/>
          <w:highlight w:val="none"/>
          <w:u w:val="single"/>
          <w:lang w:val="en-US" w:eastAsia="zh-CN"/>
        </w:rPr>
        <w:t>09</w:t>
      </w:r>
      <w:r>
        <w:rPr>
          <w:rFonts w:hint="eastAsia" w:ascii="宋体" w:hAnsi="宋体" w:cs="宋体"/>
          <w:szCs w:val="21"/>
          <w:highlight w:val="none"/>
        </w:rPr>
        <w:t>时</w:t>
      </w:r>
      <w:r>
        <w:rPr>
          <w:rFonts w:hint="eastAsia" w:ascii="宋体" w:hAnsi="宋体" w:cs="宋体"/>
          <w:szCs w:val="21"/>
          <w:highlight w:val="none"/>
          <w:u w:val="single"/>
          <w:lang w:val="en-US" w:eastAsia="zh-CN"/>
        </w:rPr>
        <w:t>00</w:t>
      </w:r>
      <w:r>
        <w:rPr>
          <w:rFonts w:hint="eastAsia" w:ascii="宋体" w:hAnsi="宋体" w:cs="宋体"/>
          <w:szCs w:val="21"/>
          <w:highlight w:val="none"/>
        </w:rPr>
        <w:t>分（北京时间），登录广州交易集团有限公司（广州公共资源交易中心）网站（</w:t>
      </w:r>
      <w:r>
        <w:rPr>
          <w:rFonts w:ascii="宋体" w:hAnsi="宋体" w:cs="宋体"/>
          <w:szCs w:val="21"/>
          <w:highlight w:val="none"/>
        </w:rPr>
        <w:t>http://www.gzggzy.cn</w:t>
      </w:r>
      <w:r>
        <w:rPr>
          <w:rFonts w:hint="eastAsia" w:ascii="宋体" w:hAnsi="宋体" w:cs="宋体"/>
          <w:szCs w:val="21"/>
          <w:highlight w:val="none"/>
        </w:rPr>
        <w:t>），进行网上投标申请登记。</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highlight w:val="none"/>
        </w:rPr>
      </w:pPr>
      <w:r>
        <w:rPr>
          <w:rFonts w:hint="eastAsia" w:ascii="宋体" w:hAnsi="宋体"/>
          <w:szCs w:val="21"/>
          <w:highlight w:val="none"/>
        </w:rPr>
        <w:t>4.2</w:t>
      </w:r>
      <w:r>
        <w:rPr>
          <w:rFonts w:hint="eastAsia" w:ascii="宋体" w:hAnsi="宋体" w:cs="宋体"/>
          <w:bCs/>
          <w:szCs w:val="21"/>
          <w:highlight w:val="none"/>
        </w:rPr>
        <w:t>本次电子招标文件与招标公告一起发布，投标人请自行下载</w:t>
      </w:r>
      <w:r>
        <w:rPr>
          <w:rFonts w:hint="eastAsia" w:ascii="宋体" w:hAnsi="宋体"/>
          <w:highlight w:val="none"/>
        </w:rPr>
        <w:t>。</w:t>
      </w:r>
    </w:p>
    <w:bookmarkEnd w:id="5"/>
    <w:bookmarkEnd w:id="6"/>
    <w:p>
      <w:pPr>
        <w:keepNext w:val="0"/>
        <w:keepLines w:val="0"/>
        <w:pageBreakBefore w:val="0"/>
        <w:kinsoku/>
        <w:wordWrap/>
        <w:overflowPunct/>
        <w:topLinePunct w:val="0"/>
        <w:autoSpaceDE/>
        <w:autoSpaceDN/>
        <w:bidi w:val="0"/>
        <w:adjustRightInd/>
        <w:spacing w:line="360" w:lineRule="auto"/>
        <w:rPr>
          <w:rFonts w:ascii="宋体" w:hAnsi="宋体"/>
          <w:b/>
          <w:szCs w:val="21"/>
          <w:highlight w:val="none"/>
        </w:rPr>
      </w:pPr>
      <w:r>
        <w:rPr>
          <w:rFonts w:ascii="宋体" w:hAnsi="宋体"/>
          <w:b/>
          <w:szCs w:val="21"/>
          <w:highlight w:val="none"/>
        </w:rPr>
        <w:t>5. 投标文件的递交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zCs w:val="21"/>
          <w:highlight w:val="none"/>
        </w:rPr>
      </w:pPr>
      <w:r>
        <w:rPr>
          <w:rFonts w:hint="eastAsia" w:ascii="宋体" w:hAnsi="宋体"/>
          <w:szCs w:val="21"/>
          <w:highlight w:val="none"/>
        </w:rPr>
        <w:t>5.1投标文件递交开始时间：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lang w:val="en-US" w:eastAsia="zh-CN"/>
        </w:rPr>
        <w:t>11</w:t>
      </w:r>
      <w:r>
        <w:rPr>
          <w:rFonts w:hint="eastAsia" w:ascii="宋体" w:hAnsi="宋体" w:cs="宋体"/>
          <w:szCs w:val="21"/>
          <w:highlight w:val="none"/>
        </w:rPr>
        <w:t>月</w:t>
      </w:r>
      <w:r>
        <w:rPr>
          <w:rFonts w:hint="eastAsia" w:ascii="宋体" w:hAnsi="宋体" w:cs="宋体"/>
          <w:szCs w:val="21"/>
          <w:highlight w:val="none"/>
          <w:u w:val="single"/>
          <w:lang w:val="en-US" w:eastAsia="zh-CN"/>
        </w:rPr>
        <w:t>15</w:t>
      </w:r>
      <w:r>
        <w:rPr>
          <w:rFonts w:hint="eastAsia" w:ascii="宋体" w:hAnsi="宋体" w:cs="宋体"/>
          <w:szCs w:val="21"/>
          <w:highlight w:val="none"/>
        </w:rPr>
        <w:t>日</w:t>
      </w:r>
      <w:r>
        <w:rPr>
          <w:rFonts w:hint="eastAsia" w:ascii="宋体" w:hAnsi="宋体"/>
          <w:szCs w:val="21"/>
          <w:highlight w:val="none"/>
          <w:u w:val="single"/>
          <w:lang w:val="en-US" w:eastAsia="zh-CN"/>
        </w:rPr>
        <w:t>18</w:t>
      </w:r>
      <w:r>
        <w:rPr>
          <w:rFonts w:ascii="宋体" w:hAnsi="宋体"/>
          <w:szCs w:val="21"/>
          <w:highlight w:val="none"/>
        </w:rPr>
        <w:t>时</w:t>
      </w:r>
      <w:r>
        <w:rPr>
          <w:rFonts w:hint="eastAsia" w:ascii="宋体" w:hAnsi="宋体"/>
          <w:szCs w:val="21"/>
          <w:highlight w:val="none"/>
          <w:u w:val="single"/>
          <w:lang w:val="en-US" w:eastAsia="zh-CN"/>
        </w:rPr>
        <w:t>00</w:t>
      </w:r>
      <w:r>
        <w:rPr>
          <w:rFonts w:ascii="宋体" w:hAnsi="宋体"/>
          <w:szCs w:val="21"/>
          <w:highlight w:val="none"/>
        </w:rPr>
        <w:t>分</w:t>
      </w:r>
      <w:r>
        <w:rPr>
          <w:rFonts w:hint="eastAsia" w:ascii="宋体" w:hAnsi="宋体"/>
          <w:szCs w:val="21"/>
          <w:highlight w:val="none"/>
        </w:rPr>
        <w:t>，</w:t>
      </w:r>
      <w:r>
        <w:rPr>
          <w:rFonts w:ascii="宋体" w:hAnsi="宋体"/>
          <w:szCs w:val="21"/>
          <w:highlight w:val="none"/>
        </w:rPr>
        <w:t>截止时间为</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lang w:val="en-US" w:eastAsia="zh-CN"/>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12</w:t>
      </w:r>
      <w:r>
        <w:rPr>
          <w:rFonts w:hint="eastAsia" w:ascii="宋体" w:hAnsi="宋体" w:cs="宋体"/>
          <w:szCs w:val="21"/>
          <w:highlight w:val="none"/>
        </w:rPr>
        <w:t>日</w:t>
      </w:r>
      <w:r>
        <w:rPr>
          <w:rFonts w:hint="eastAsia" w:ascii="宋体" w:hAnsi="宋体" w:cs="宋体"/>
          <w:szCs w:val="21"/>
          <w:highlight w:val="none"/>
          <w:u w:val="single"/>
          <w:lang w:val="en-US" w:eastAsia="zh-CN"/>
        </w:rPr>
        <w:t>09</w:t>
      </w:r>
      <w:r>
        <w:rPr>
          <w:rFonts w:hint="eastAsia" w:ascii="宋体" w:hAnsi="宋体" w:cs="宋体"/>
          <w:szCs w:val="21"/>
          <w:highlight w:val="none"/>
        </w:rPr>
        <w:t>时</w:t>
      </w:r>
      <w:r>
        <w:rPr>
          <w:rFonts w:hint="eastAsia" w:ascii="宋体" w:hAnsi="宋体" w:cs="宋体"/>
          <w:szCs w:val="21"/>
          <w:highlight w:val="none"/>
          <w:u w:val="single"/>
          <w:lang w:val="en-US" w:eastAsia="zh-CN"/>
        </w:rPr>
        <w:t>00</w:t>
      </w:r>
      <w:r>
        <w:rPr>
          <w:rFonts w:hint="eastAsia" w:ascii="宋体" w:hAnsi="宋体" w:cs="宋体"/>
          <w:szCs w:val="21"/>
          <w:highlight w:val="none"/>
        </w:rPr>
        <w:t>分（北京时间）</w:t>
      </w:r>
      <w:r>
        <w:rPr>
          <w:rFonts w:ascii="宋体" w:hAnsi="宋体"/>
          <w:szCs w:val="21"/>
          <w:highlight w:val="none"/>
        </w:rPr>
        <w:t>。</w:t>
      </w:r>
      <w:r>
        <w:rPr>
          <w:rFonts w:hint="eastAsia" w:ascii="宋体" w:hAnsi="宋体"/>
          <w:szCs w:val="21"/>
          <w:highlight w:val="none"/>
        </w:rPr>
        <w:t>本</w:t>
      </w:r>
      <w:r>
        <w:rPr>
          <w:rFonts w:hint="eastAsia" w:ascii="宋体" w:hAnsi="宋体" w:eastAsia="宋体" w:cs="Times New Roman"/>
          <w:szCs w:val="21"/>
          <w:highlight w:val="none"/>
        </w:rPr>
        <w:t>项目</w:t>
      </w:r>
      <w:r>
        <w:rPr>
          <w:rFonts w:hint="eastAsia" w:ascii="宋体" w:hAnsi="宋体"/>
          <w:szCs w:val="21"/>
          <w:highlight w:val="none"/>
        </w:rPr>
        <w:t>为全电子化招投标，一律不接受纸质投标文件。投标人通过广州公共资源交易中心网站（http：//www.gzggzy.cn）数字交易平台递交电子投标文件，按照交易平台关于【通用版】新电子招投标系统通用版操作指引（适用于建设工程不使用范本的各类电子标项目）的相关指南进行操作。详见：广州公共资源交易中心网站首页-服务指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2</w:t>
      </w:r>
      <w:r>
        <w:rPr>
          <w:rFonts w:hint="eastAsia" w:ascii="宋体" w:hAnsi="宋体"/>
          <w:szCs w:val="21"/>
          <w:highlight w:val="none"/>
        </w:rPr>
        <w:t xml:space="preserve"> 未在招标公告</w:t>
      </w:r>
      <w:r>
        <w:rPr>
          <w:rFonts w:ascii="宋体" w:hAnsi="宋体"/>
          <w:szCs w:val="21"/>
          <w:highlight w:val="none"/>
        </w:rPr>
        <w:t>规定的时间</w:t>
      </w:r>
      <w:r>
        <w:rPr>
          <w:rFonts w:hint="eastAsia" w:ascii="宋体" w:hAnsi="宋体"/>
          <w:szCs w:val="21"/>
          <w:highlight w:val="none"/>
        </w:rPr>
        <w:t>内进行投标登记的潜在投标人将不得参与投标。</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3</w:t>
      </w:r>
      <w:r>
        <w:rPr>
          <w:rFonts w:hint="eastAsia" w:ascii="宋体" w:hAnsi="宋体"/>
          <w:szCs w:val="21"/>
          <w:highlight w:val="none"/>
        </w:rPr>
        <w:t xml:space="preserve"> 逾期送达的投标文件，电子招标投标交易平台将予以拒收。逾期未上传成功的电子投标文件，招标人拒绝接收。</w:t>
      </w:r>
    </w:p>
    <w:p>
      <w:pPr>
        <w:keepNext w:val="0"/>
        <w:keepLines w:val="0"/>
        <w:pageBreakBefore w:val="0"/>
        <w:kinsoku/>
        <w:wordWrap/>
        <w:overflowPunct/>
        <w:topLinePunct w:val="0"/>
        <w:autoSpaceDE/>
        <w:autoSpaceDN/>
        <w:bidi w:val="0"/>
        <w:adjustRightInd/>
        <w:spacing w:line="360" w:lineRule="auto"/>
        <w:rPr>
          <w:rFonts w:hint="eastAsia" w:ascii="宋体" w:hAnsi="宋体"/>
          <w:b/>
          <w:szCs w:val="21"/>
          <w:highlight w:val="none"/>
        </w:rPr>
      </w:pPr>
      <w:bookmarkStart w:id="7" w:name="_Toc269133865"/>
      <w:bookmarkStart w:id="8" w:name="_Toc269138025"/>
      <w:r>
        <w:rPr>
          <w:rFonts w:hint="eastAsia" w:ascii="宋体" w:hAnsi="宋体"/>
          <w:b/>
          <w:szCs w:val="21"/>
          <w:highlight w:val="none"/>
        </w:rPr>
        <w:t>6. 发布公告的媒介</w:t>
      </w:r>
      <w:bookmarkEnd w:id="7"/>
      <w:bookmarkEnd w:id="8"/>
    </w:p>
    <w:p>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color w:val="auto"/>
          <w:szCs w:val="21"/>
          <w:highlight w:val="none"/>
        </w:rPr>
      </w:pPr>
      <w:r>
        <w:rPr>
          <w:rFonts w:hint="eastAsia" w:ascii="宋体" w:hAnsi="宋体"/>
          <w:szCs w:val="21"/>
          <w:highlight w:val="none"/>
        </w:rPr>
        <w:t>招标公告在中国招标投标公共服务平台（www.cebpubservice.com）、广州交易集团有限公司（广州公共资源交易中心）网站（www.gzggzy.cn）、广东省招标投标监管网（zbtb.gd.gov.cn）</w:t>
      </w:r>
      <w:r>
        <w:rPr>
          <w:rFonts w:hint="eastAsia" w:ascii="宋体" w:hAnsi="宋体"/>
          <w:szCs w:val="21"/>
          <w:highlight w:val="none"/>
          <w:lang w:eastAsia="zh-CN"/>
        </w:rPr>
        <w:t>、中国南方电网有限责任公司供应链统一服务平台（www.bidding.csg.cn）</w:t>
      </w:r>
      <w:r>
        <w:rPr>
          <w:rFonts w:hint="eastAsia" w:ascii="宋体" w:hAnsi="宋体"/>
          <w:szCs w:val="21"/>
          <w:highlight w:val="none"/>
        </w:rPr>
        <w:t>等媒体上发布。</w:t>
      </w:r>
    </w:p>
    <w:p>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注：发出招标公告、招标文件、截标、开标、评标、中标候选人公示等</w:t>
      </w:r>
      <w:r>
        <w:rPr>
          <w:rFonts w:hint="eastAsia" w:ascii="宋体" w:hAnsi="宋体"/>
          <w:color w:val="auto"/>
          <w:szCs w:val="21"/>
          <w:highlight w:val="none"/>
          <w:lang w:eastAsia="zh-CN"/>
        </w:rPr>
        <w:t>，</w:t>
      </w:r>
      <w:r>
        <w:rPr>
          <w:rFonts w:hint="eastAsia" w:ascii="宋体" w:hAnsi="宋体"/>
          <w:color w:val="auto"/>
          <w:szCs w:val="21"/>
          <w:highlight w:val="none"/>
        </w:rPr>
        <w:t>具体时间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地点</w:t>
      </w:r>
      <w:r>
        <w:rPr>
          <w:rFonts w:hint="eastAsia" w:ascii="宋体" w:hAnsi="宋体"/>
          <w:color w:val="auto"/>
          <w:szCs w:val="21"/>
          <w:highlight w:val="none"/>
        </w:rPr>
        <w:t>可能会因广州交易集团有限公司（广州公共资源交易中心）场地的安排有所调整，发布内容在其他法定媒体发布的文本如有不同之处，最终安排以广州交易集团有限公司（广州公共资源交易中心）（www.gzggzy.cn）公布的为准。</w:t>
      </w:r>
    </w:p>
    <w:p>
      <w:pPr>
        <w:keepNext w:val="0"/>
        <w:keepLines w:val="0"/>
        <w:pageBreakBefore w:val="0"/>
        <w:kinsoku/>
        <w:wordWrap/>
        <w:overflowPunct/>
        <w:topLinePunct w:val="0"/>
        <w:autoSpaceDE/>
        <w:autoSpaceDN/>
        <w:bidi w:val="0"/>
        <w:adjustRightInd/>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7. 联系方式</w:t>
      </w:r>
    </w:p>
    <w:tbl>
      <w:tblPr>
        <w:tblStyle w:val="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1"/>
        <w:gridCol w:w="5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3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招标人：广东电网有限责任公司广州供电局</w:t>
            </w:r>
          </w:p>
        </w:tc>
        <w:tc>
          <w:tcPr>
            <w:tcW w:w="50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招标代理机构：</w:t>
            </w:r>
            <w:r>
              <w:rPr>
                <w:rFonts w:hint="eastAsia" w:ascii="宋体" w:hAnsi="宋体" w:eastAsia="宋体" w:cs="宋体"/>
                <w:sz w:val="21"/>
                <w:szCs w:val="21"/>
                <w:highlight w:val="none"/>
                <w:lang w:eastAsia="zh-CN"/>
              </w:rPr>
              <w:t>南方电网供应链集团有限公司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3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地址：广州市天河区天河南二路 2 号</w:t>
            </w:r>
          </w:p>
        </w:tc>
        <w:tc>
          <w:tcPr>
            <w:tcW w:w="50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ascii="宋体" w:hAnsi="宋体" w:eastAsia="宋体" w:cs="宋体"/>
                <w:sz w:val="21"/>
                <w:szCs w:val="21"/>
                <w:highlight w:val="none"/>
              </w:rPr>
            </w:pPr>
            <w:r>
              <w:rPr>
                <w:rFonts w:hint="eastAsia" w:ascii="宋体" w:hAnsi="宋体" w:eastAsia="宋体" w:cs="宋体"/>
                <w:sz w:val="21"/>
                <w:szCs w:val="21"/>
                <w:highlight w:val="none"/>
              </w:rPr>
              <w:t>地址：广州市天河区天河路 178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3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邮编：</w:t>
            </w:r>
            <w:r>
              <w:rPr>
                <w:rFonts w:hint="eastAsia" w:ascii="宋体" w:hAnsi="宋体" w:eastAsia="宋体" w:cs="宋体"/>
                <w:sz w:val="21"/>
                <w:szCs w:val="21"/>
                <w:highlight w:val="none"/>
              </w:rPr>
              <w:t>510630</w:t>
            </w:r>
          </w:p>
        </w:tc>
        <w:tc>
          <w:tcPr>
            <w:tcW w:w="50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ascii="宋体" w:hAnsi="宋体" w:eastAsia="宋体" w:cs="宋体"/>
                <w:sz w:val="21"/>
                <w:szCs w:val="21"/>
                <w:highlight w:val="none"/>
              </w:rPr>
            </w:pPr>
            <w:r>
              <w:rPr>
                <w:rFonts w:hint="eastAsia" w:ascii="宋体" w:hAnsi="宋体" w:eastAsia="宋体" w:cs="宋体"/>
                <w:sz w:val="21"/>
                <w:szCs w:val="21"/>
                <w:highlight w:val="none"/>
              </w:rPr>
              <w:t>邮编：510630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3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宋体" w:hAnsi="宋体" w:eastAsia="宋体" w:cs="宋体"/>
                <w:color w:val="auto"/>
                <w:sz w:val="21"/>
                <w:szCs w:val="21"/>
                <w:highlight w:val="none"/>
                <w:lang w:val="en-US"/>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何</w:t>
            </w:r>
            <w:r>
              <w:rPr>
                <w:rFonts w:hint="eastAsia" w:ascii="宋体" w:hAnsi="宋体" w:eastAsia="宋体" w:cs="宋体"/>
                <w:color w:val="auto"/>
                <w:szCs w:val="21"/>
                <w:highlight w:val="none"/>
                <w:lang w:val="en-US" w:eastAsia="zh-CN"/>
              </w:rPr>
              <w:t>工</w:t>
            </w:r>
          </w:p>
        </w:tc>
        <w:tc>
          <w:tcPr>
            <w:tcW w:w="50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cs="宋体"/>
                <w:szCs w:val="21"/>
                <w:highlight w:val="none"/>
              </w:rPr>
              <w:t>联系人：</w:t>
            </w:r>
            <w:r>
              <w:rPr>
                <w:rFonts w:hint="eastAsia" w:ascii="宋体" w:hAnsi="宋体" w:cs="宋体"/>
                <w:szCs w:val="21"/>
                <w:highlight w:val="none"/>
                <w:lang w:eastAsia="zh-CN"/>
              </w:rPr>
              <w:t>杨</w:t>
            </w:r>
            <w:r>
              <w:rPr>
                <w:rFonts w:hint="eastAsia" w:ascii="宋体" w:hAnsi="宋体" w:cs="宋体"/>
                <w:szCs w:val="21"/>
                <w:highlight w:val="none"/>
                <w:u w:val="none"/>
              </w:rPr>
              <w:t xml:space="preserve">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3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val="en-US" w:eastAsia="zh-CN"/>
              </w:rPr>
              <w:t>020-87120431</w:t>
            </w:r>
          </w:p>
        </w:tc>
        <w:tc>
          <w:tcPr>
            <w:tcW w:w="50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Cs w:val="21"/>
                <w:highlight w:val="none"/>
              </w:rPr>
              <w:t>电  话：4008100100-2-0</w:t>
            </w:r>
          </w:p>
        </w:tc>
      </w:tr>
    </w:tbl>
    <w:p>
      <w:pPr>
        <w:keepNext w:val="0"/>
        <w:keepLines w:val="0"/>
        <w:pageBreakBefore w:val="0"/>
        <w:kinsoku/>
        <w:wordWrap/>
        <w:overflowPunct/>
        <w:topLinePunct w:val="0"/>
        <w:autoSpaceDE/>
        <w:autoSpaceDN/>
        <w:bidi w:val="0"/>
        <w:adjustRightInd/>
        <w:spacing w:line="360" w:lineRule="auto"/>
        <w:rPr>
          <w:rFonts w:hint="eastAsia"/>
          <w:highlight w:val="none"/>
        </w:rPr>
      </w:pPr>
    </w:p>
    <w:p>
      <w:pPr>
        <w:keepNext w:val="0"/>
        <w:keepLines w:val="0"/>
        <w:pageBreakBefore w:val="0"/>
        <w:kinsoku/>
        <w:wordWrap/>
        <w:overflowPunct/>
        <w:topLinePunct w:val="0"/>
        <w:autoSpaceDE/>
        <w:autoSpaceDN/>
        <w:bidi w:val="0"/>
        <w:adjustRightInd/>
        <w:spacing w:line="360" w:lineRule="auto"/>
        <w:rPr>
          <w:rFonts w:hint="eastAsia" w:ascii="宋体" w:hAnsi="宋体"/>
          <w:b/>
          <w:szCs w:val="21"/>
          <w:highlight w:val="none"/>
        </w:rPr>
      </w:pPr>
      <w:r>
        <w:rPr>
          <w:rFonts w:hint="eastAsia" w:ascii="宋体" w:hAnsi="宋体"/>
          <w:b/>
          <w:szCs w:val="21"/>
          <w:highlight w:val="none"/>
        </w:rPr>
        <w:t>8.异议</w:t>
      </w:r>
    </w:p>
    <w:p>
      <w:pPr>
        <w:keepNext w:val="0"/>
        <w:keepLines w:val="0"/>
        <w:pageBreakBefore w:val="0"/>
        <w:kinsoku/>
        <w:wordWrap/>
        <w:overflowPunct/>
        <w:topLinePunct w:val="0"/>
        <w:autoSpaceDE/>
        <w:autoSpaceDN/>
        <w:bidi w:val="0"/>
        <w:adjustRightInd/>
        <w:spacing w:line="360" w:lineRule="auto"/>
        <w:ind w:firstLine="422" w:firstLineChars="200"/>
        <w:rPr>
          <w:rFonts w:hint="eastAsia" w:ascii="宋体" w:hAnsi="宋体"/>
          <w:b/>
          <w:szCs w:val="21"/>
          <w:highlight w:val="none"/>
        </w:rPr>
      </w:pPr>
      <w:r>
        <w:rPr>
          <w:rFonts w:hint="eastAsia" w:ascii="宋体" w:hAnsi="宋体"/>
          <w:b/>
          <w:szCs w:val="21"/>
          <w:highlight w:val="none"/>
        </w:rPr>
        <w:t>8.1 异议的受理机构及联系方式</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eastAsia="宋体" w:cs="Calibri"/>
          <w:kern w:val="0"/>
          <w:szCs w:val="21"/>
          <w:highlight w:val="none"/>
          <w:lang w:eastAsia="zh-CN"/>
        </w:rPr>
      </w:pPr>
      <w:r>
        <w:rPr>
          <w:rFonts w:hint="eastAsia" w:ascii="宋体" w:hAnsi="宋体" w:cs="宋体"/>
          <w:kern w:val="0"/>
          <w:szCs w:val="21"/>
          <w:highlight w:val="none"/>
          <w:lang w:bidi="ar"/>
        </w:rPr>
        <w:t>受理机构：</w:t>
      </w:r>
      <w:r>
        <w:rPr>
          <w:rFonts w:hint="eastAsia" w:ascii="宋体" w:hAnsi="宋体" w:cs="宋体"/>
          <w:kern w:val="0"/>
          <w:szCs w:val="21"/>
          <w:highlight w:val="none"/>
          <w:lang w:eastAsia="zh-CN" w:bidi="ar"/>
        </w:rPr>
        <w:t>南方</w:t>
      </w:r>
      <w:r>
        <w:rPr>
          <w:rFonts w:hint="eastAsia" w:ascii="宋体" w:hAnsi="宋体" w:eastAsia="宋体" w:cs="Calibri"/>
          <w:kern w:val="0"/>
          <w:szCs w:val="21"/>
          <w:highlight w:val="none"/>
          <w:lang w:val="en-US" w:eastAsia="zh-CN"/>
        </w:rPr>
        <w:t>电网</w:t>
      </w:r>
      <w:r>
        <w:rPr>
          <w:rFonts w:hint="eastAsia" w:ascii="宋体" w:hAnsi="宋体" w:cs="宋体"/>
          <w:kern w:val="0"/>
          <w:szCs w:val="21"/>
          <w:highlight w:val="none"/>
          <w:lang w:eastAsia="zh-CN" w:bidi="ar"/>
        </w:rPr>
        <w:t>供应链集团有限公司</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Calibri"/>
          <w:kern w:val="0"/>
          <w:szCs w:val="21"/>
          <w:highlight w:val="none"/>
        </w:rPr>
      </w:pPr>
      <w:r>
        <w:rPr>
          <w:rFonts w:hint="eastAsia" w:ascii="宋体" w:hAnsi="宋体" w:cs="宋体"/>
          <w:kern w:val="0"/>
          <w:szCs w:val="21"/>
          <w:highlight w:val="none"/>
          <w:lang w:bidi="ar"/>
        </w:rPr>
        <w:t>地址：</w:t>
      </w:r>
      <w:r>
        <w:rPr>
          <w:rFonts w:hint="eastAsia" w:ascii="宋体" w:hAnsi="宋体" w:eastAsia="宋体" w:cs="宋体"/>
          <w:sz w:val="21"/>
          <w:szCs w:val="21"/>
          <w:highlight w:val="none"/>
        </w:rPr>
        <w:t>广州市天河区天河路 178 号</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Calibri"/>
          <w:kern w:val="0"/>
          <w:szCs w:val="21"/>
          <w:highlight w:val="none"/>
        </w:rPr>
      </w:pPr>
      <w:r>
        <w:rPr>
          <w:rFonts w:hint="eastAsia" w:ascii="宋体" w:hAnsi="宋体" w:cs="宋体"/>
          <w:kern w:val="0"/>
          <w:szCs w:val="21"/>
          <w:highlight w:val="none"/>
          <w:lang w:bidi="ar"/>
        </w:rPr>
        <w:t>邮编：</w:t>
      </w:r>
      <w:r>
        <w:rPr>
          <w:rFonts w:hint="eastAsia" w:ascii="宋体" w:hAnsi="宋体" w:cs="Calibri"/>
          <w:kern w:val="0"/>
          <w:szCs w:val="21"/>
          <w:highlight w:val="none"/>
          <w:lang w:bidi="ar"/>
        </w:rPr>
        <w:t>510630</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Calibri"/>
          <w:kern w:val="0"/>
          <w:szCs w:val="21"/>
          <w:highlight w:val="none"/>
        </w:rPr>
      </w:pPr>
      <w:r>
        <w:rPr>
          <w:rFonts w:hint="eastAsia" w:ascii="宋体" w:hAnsi="宋体" w:cs="宋体"/>
          <w:kern w:val="0"/>
          <w:szCs w:val="21"/>
          <w:highlight w:val="none"/>
          <w:lang w:bidi="ar"/>
        </w:rPr>
        <w:t>受理邮箱</w:t>
      </w:r>
      <w:r>
        <w:rPr>
          <w:rFonts w:hint="eastAsia" w:ascii="宋体" w:hAnsi="宋体" w:cs="宋体"/>
          <w:color w:val="auto"/>
          <w:kern w:val="0"/>
          <w:szCs w:val="21"/>
          <w:highlight w:val="none"/>
          <w:lang w:bidi="ar"/>
        </w:rPr>
        <w:t>：</w:t>
      </w:r>
      <w:r>
        <w:rPr>
          <w:rFonts w:hint="eastAsia" w:ascii="宋体" w:hAnsi="宋体" w:cs="Calibri"/>
          <w:color w:val="auto"/>
          <w:kern w:val="0"/>
          <w:szCs w:val="21"/>
          <w:highlight w:val="none"/>
          <w:lang w:bidi="ar"/>
        </w:rPr>
        <w:fldChar w:fldCharType="begin"/>
      </w:r>
      <w:r>
        <w:rPr>
          <w:rFonts w:hint="eastAsia" w:ascii="宋体" w:hAnsi="宋体" w:cs="Calibri"/>
          <w:color w:val="auto"/>
          <w:kern w:val="0"/>
          <w:szCs w:val="21"/>
          <w:highlight w:val="none"/>
          <w:lang w:bidi="ar"/>
        </w:rPr>
        <w:instrText xml:space="preserve"> HYPERLINK "mailto:nwwzeb1@csg.cn" </w:instrText>
      </w:r>
      <w:r>
        <w:rPr>
          <w:rFonts w:hint="eastAsia" w:ascii="宋体" w:hAnsi="宋体" w:cs="Calibri"/>
          <w:color w:val="auto"/>
          <w:kern w:val="0"/>
          <w:szCs w:val="21"/>
          <w:highlight w:val="none"/>
          <w:lang w:bidi="ar"/>
        </w:rPr>
        <w:fldChar w:fldCharType="separate"/>
      </w:r>
      <w:r>
        <w:rPr>
          <w:rStyle w:val="5"/>
          <w:rFonts w:hint="eastAsia" w:ascii="宋体" w:hAnsi="宋体" w:cs="Calibri"/>
          <w:color w:val="auto"/>
          <w:kern w:val="0"/>
          <w:szCs w:val="21"/>
          <w:highlight w:val="none"/>
          <w:lang w:bidi="ar"/>
        </w:rPr>
        <w:t>nwwzeb1@csg.cn</w:t>
      </w:r>
      <w:r>
        <w:rPr>
          <w:rFonts w:hint="eastAsia" w:ascii="宋体" w:hAnsi="宋体" w:cs="Calibri"/>
          <w:color w:val="auto"/>
          <w:kern w:val="0"/>
          <w:szCs w:val="21"/>
          <w:highlight w:val="none"/>
          <w:lang w:bidi="ar"/>
        </w:rPr>
        <w:fldChar w:fldCharType="end"/>
      </w:r>
    </w:p>
    <w:p>
      <w:pPr>
        <w:keepNext w:val="0"/>
        <w:keepLines w:val="0"/>
        <w:pageBreakBefore w:val="0"/>
        <w:kinsoku/>
        <w:wordWrap/>
        <w:overflowPunct/>
        <w:topLinePunct w:val="0"/>
        <w:autoSpaceDE/>
        <w:autoSpaceDN/>
        <w:bidi w:val="0"/>
        <w:adjustRightInd/>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8.2 异议书的格式及要求</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（1）异议书中应包含异议提出人名称、联系人及联系方式、异议对象、异议事项的基本事实、相关请求及主张、有效线索和相关证明材料等信息。</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（2）异议书必须由其法定代表人及授权代表签字并加盖单位公章；由其他利害关系人提出的异议，还需出示异议提出人与本次投标存在利害关系的证明文件，并附有效身份证明复印件。 </w:t>
      </w:r>
    </w:p>
    <w:p>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bCs/>
          <w:szCs w:val="21"/>
          <w:highlight w:val="none"/>
        </w:rPr>
      </w:pPr>
      <w:r>
        <w:rPr>
          <w:rFonts w:hint="eastAsia" w:ascii="宋体" w:hAnsi="宋体" w:cs="宋体"/>
          <w:kern w:val="0"/>
          <w:szCs w:val="21"/>
          <w:highlight w:val="none"/>
          <w:lang w:bidi="ar"/>
        </w:rPr>
        <w:t>（3）各投标人或其他利害关系人对投标文件等存有异议的，可以将异议书签字盖章后，连同其他附件资料以现场递交或电子邮件的方式在规定时间内提出。</w:t>
      </w:r>
    </w:p>
    <w:p>
      <w:pPr>
        <w:keepNext w:val="0"/>
        <w:keepLines w:val="0"/>
        <w:pageBreakBefore w:val="0"/>
        <w:kinsoku/>
        <w:wordWrap/>
        <w:overflowPunct/>
        <w:topLinePunct w:val="0"/>
        <w:autoSpaceDE/>
        <w:autoSpaceDN/>
        <w:bidi w:val="0"/>
        <w:adjustRightInd/>
        <w:spacing w:line="360" w:lineRule="auto"/>
        <w:ind w:firstLine="422" w:firstLineChars="200"/>
        <w:rPr>
          <w:rFonts w:hint="eastAsia" w:ascii="宋体" w:hAnsi="宋体"/>
          <w:b/>
          <w:szCs w:val="21"/>
          <w:highlight w:val="none"/>
        </w:rPr>
      </w:pPr>
      <w:r>
        <w:rPr>
          <w:rFonts w:hint="eastAsia" w:ascii="宋体" w:hAnsi="宋体"/>
          <w:b/>
          <w:szCs w:val="21"/>
          <w:highlight w:val="none"/>
        </w:rPr>
        <w:t>8.3 异议提出的时限</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（1）</w:t>
      </w:r>
      <w:r>
        <w:rPr>
          <w:rFonts w:hint="eastAsia" w:ascii="宋体" w:hAnsi="宋体" w:cs="宋体"/>
          <w:szCs w:val="21"/>
          <w:highlight w:val="none"/>
        </w:rPr>
        <w:t>对资格预审文件的内容有异议的，应当在提交资格预审文件截止时间两天前提出</w:t>
      </w:r>
      <w:r>
        <w:rPr>
          <w:rFonts w:hint="eastAsia" w:ascii="宋体" w:hAnsi="宋体" w:cs="宋体"/>
          <w:kern w:val="0"/>
          <w:szCs w:val="21"/>
          <w:highlight w:val="none"/>
          <w:lang w:bidi="ar"/>
        </w:rPr>
        <w:t>；</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（2）</w:t>
      </w:r>
      <w:r>
        <w:rPr>
          <w:rFonts w:hint="eastAsia" w:ascii="宋体" w:hAnsi="宋体" w:cs="宋体"/>
          <w:szCs w:val="21"/>
          <w:highlight w:val="none"/>
        </w:rPr>
        <w:t>对招标文件的内容有异议的，应当在投标截止时间十天前提出</w:t>
      </w:r>
      <w:r>
        <w:rPr>
          <w:rFonts w:hint="eastAsia" w:ascii="宋体" w:hAnsi="宋体" w:cs="宋体"/>
          <w:kern w:val="0"/>
          <w:szCs w:val="21"/>
          <w:highlight w:val="none"/>
          <w:lang w:bidi="ar"/>
        </w:rPr>
        <w:t>；</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（3）</w:t>
      </w:r>
      <w:r>
        <w:rPr>
          <w:rFonts w:hint="eastAsia" w:ascii="宋体" w:hAnsi="宋体" w:cs="宋体"/>
          <w:szCs w:val="21"/>
          <w:highlight w:val="none"/>
        </w:rPr>
        <w:t>对开标有异议的，应当在开标时限内在现场或通过系统质疑环节提出；</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bCs/>
          <w:szCs w:val="21"/>
          <w:highlight w:val="none"/>
        </w:rPr>
      </w:pPr>
      <w:r>
        <w:rPr>
          <w:rFonts w:hint="eastAsia" w:ascii="宋体" w:hAnsi="宋体" w:cs="宋体"/>
          <w:kern w:val="0"/>
          <w:szCs w:val="21"/>
          <w:highlight w:val="none"/>
          <w:lang w:bidi="ar"/>
        </w:rPr>
        <w:t>（4）</w:t>
      </w:r>
      <w:r>
        <w:rPr>
          <w:rFonts w:hint="eastAsia" w:ascii="宋体" w:hAnsi="宋体" w:cs="宋体"/>
          <w:szCs w:val="21"/>
          <w:highlight w:val="none"/>
        </w:rPr>
        <w:t>对评标结果有异议的，应当在中标候选人公示期内提出。</w:t>
      </w:r>
    </w:p>
    <w:p>
      <w:pPr>
        <w:keepNext w:val="0"/>
        <w:keepLines w:val="0"/>
        <w:pageBreakBefore w:val="0"/>
        <w:kinsoku/>
        <w:wordWrap/>
        <w:overflowPunct/>
        <w:topLinePunct w:val="0"/>
        <w:autoSpaceDE/>
        <w:autoSpaceDN/>
        <w:bidi w:val="0"/>
        <w:adjustRightInd/>
        <w:spacing w:line="360" w:lineRule="auto"/>
        <w:ind w:firstLine="422" w:firstLineChars="200"/>
        <w:rPr>
          <w:rFonts w:hint="eastAsia" w:ascii="宋体" w:hAnsi="宋体"/>
          <w:b/>
          <w:szCs w:val="21"/>
          <w:highlight w:val="none"/>
        </w:rPr>
      </w:pPr>
      <w:r>
        <w:rPr>
          <w:rFonts w:hint="eastAsia" w:ascii="宋体" w:hAnsi="宋体"/>
          <w:b/>
          <w:szCs w:val="21"/>
          <w:highlight w:val="none"/>
        </w:rPr>
        <w:t>8.4 异议不予受理的情形</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（1）异议提出人不是投标人，或未能提供与本次投标存在利害关系证明文件的其他利害关系人；</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（2）涉及的事项不具体，且未提供有效线索，难以查证的；</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（3）提供的资料未提供异议提出人的真实名称、有效联系方式、法定代表人签字和加盖单位公章的；</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（4）超过异议提出时效的（以收到异议书日期为准；采用邮寄方式的，以邮戳日期为准）；</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（5）已经作出处理决定，并且异议提出人没有提出新的证据的；</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（6）涉及招标评标过程具体细节、其他投标人的商业秘密或其他投标人的投标文件具体内容但未能说明内容真实性和来源合法性的；</w:t>
      </w:r>
    </w:p>
    <w:p>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bCs/>
          <w:szCs w:val="21"/>
          <w:highlight w:val="none"/>
        </w:rPr>
      </w:pPr>
      <w:r>
        <w:rPr>
          <w:rFonts w:hint="eastAsia" w:ascii="宋体" w:hAnsi="宋体" w:cs="宋体"/>
          <w:kern w:val="0"/>
          <w:szCs w:val="21"/>
          <w:highlight w:val="none"/>
          <w:lang w:bidi="ar"/>
        </w:rPr>
        <w:t>（7）缺乏事实根据或者法律依据的，或者投诉人捏造事实、伪造材料或者以非法手段取得证明材料的。</w:t>
      </w:r>
    </w:p>
    <w:p>
      <w:pPr>
        <w:keepNext w:val="0"/>
        <w:keepLines w:val="0"/>
        <w:pageBreakBefore w:val="0"/>
        <w:kinsoku/>
        <w:wordWrap/>
        <w:overflowPunct/>
        <w:topLinePunct w:val="0"/>
        <w:autoSpaceDE/>
        <w:autoSpaceDN/>
        <w:bidi w:val="0"/>
        <w:adjustRightInd/>
        <w:spacing w:line="360" w:lineRule="auto"/>
        <w:ind w:firstLine="422" w:firstLineChars="200"/>
        <w:rPr>
          <w:rFonts w:hint="eastAsia" w:ascii="宋体" w:hAnsi="宋体"/>
          <w:b/>
          <w:szCs w:val="21"/>
          <w:highlight w:val="none"/>
        </w:rPr>
      </w:pPr>
      <w:r>
        <w:rPr>
          <w:rFonts w:hint="eastAsia" w:ascii="宋体" w:hAnsi="宋体"/>
          <w:b/>
          <w:szCs w:val="21"/>
          <w:highlight w:val="none"/>
        </w:rPr>
        <w:t>8.5 恶意行为的处罚</w:t>
      </w:r>
    </w:p>
    <w:p>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bCs/>
          <w:szCs w:val="21"/>
          <w:highlight w:val="none"/>
        </w:rPr>
      </w:pPr>
      <w:r>
        <w:rPr>
          <w:rFonts w:hint="eastAsia" w:ascii="宋体" w:hAnsi="宋体"/>
          <w:bCs/>
          <w:szCs w:val="21"/>
          <w:highlight w:val="none"/>
        </w:rPr>
        <w:t>异议</w:t>
      </w:r>
      <w:r>
        <w:rPr>
          <w:rFonts w:hint="eastAsia" w:ascii="宋体" w:hAnsi="宋体" w:eastAsia="宋体" w:cs="宋体"/>
          <w:kern w:val="0"/>
          <w:szCs w:val="21"/>
          <w:highlight w:val="none"/>
          <w:lang w:bidi="ar"/>
        </w:rPr>
        <w:t>提出</w:t>
      </w:r>
      <w:r>
        <w:rPr>
          <w:rFonts w:hint="eastAsia" w:ascii="宋体" w:hAnsi="宋体"/>
          <w:bCs/>
          <w:szCs w:val="21"/>
          <w:highlight w:val="none"/>
        </w:rPr>
        <w:t>人不得以投诉为名排挤竞争对手，不得进行虚假、恶意投诉，阻碍招标投标活动的正常进行。经核查发现所提出的异议或投诉存在诬告、故意扰乱招投标秩序等恶意行为，将按照《中国南方电网有限责任公司供</w:t>
      </w:r>
      <w:r>
        <w:rPr>
          <w:rFonts w:hint="eastAsia" w:ascii="宋体" w:hAnsi="宋体"/>
          <w:bCs/>
          <w:szCs w:val="21"/>
          <w:highlight w:val="none"/>
          <w:lang w:eastAsia="zh-CN"/>
        </w:rPr>
        <w:t>应</w:t>
      </w:r>
      <w:r>
        <w:rPr>
          <w:rFonts w:hint="eastAsia" w:ascii="宋体" w:hAnsi="宋体"/>
          <w:bCs/>
          <w:szCs w:val="21"/>
          <w:highlight w:val="none"/>
        </w:rPr>
        <w:t>商失信扣分管理细则》进作扣分处理并上报网公司。</w:t>
      </w:r>
    </w:p>
    <w:p>
      <w:pPr>
        <w:keepNext w:val="0"/>
        <w:keepLines w:val="0"/>
        <w:pageBreakBefore w:val="0"/>
        <w:kinsoku/>
        <w:wordWrap/>
        <w:overflowPunct/>
        <w:topLinePunct w:val="0"/>
        <w:autoSpaceDE/>
        <w:autoSpaceDN/>
        <w:bidi w:val="0"/>
        <w:adjustRightInd/>
        <w:spacing w:line="360" w:lineRule="auto"/>
        <w:rPr>
          <w:rFonts w:hint="eastAsia" w:ascii="宋体" w:hAnsi="宋体"/>
          <w:b/>
          <w:szCs w:val="21"/>
          <w:highlight w:val="none"/>
        </w:rPr>
      </w:pPr>
      <w:r>
        <w:rPr>
          <w:rFonts w:hint="eastAsia" w:ascii="宋体" w:hAnsi="宋体"/>
          <w:b/>
          <w:szCs w:val="21"/>
          <w:highlight w:val="none"/>
        </w:rPr>
        <w:t>9.监督投诉机构</w:t>
      </w:r>
    </w:p>
    <w:p>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b w:val="0"/>
          <w:bCs/>
          <w:kern w:val="0"/>
          <w:szCs w:val="21"/>
          <w:highlight w:val="none"/>
          <w:lang w:val="en-US" w:eastAsia="zh-CN" w:bidi="ar"/>
        </w:rPr>
      </w:pPr>
      <w:r>
        <w:rPr>
          <w:rFonts w:hint="eastAsia" w:ascii="宋体" w:hAnsi="宋体" w:cs="宋体"/>
          <w:b w:val="0"/>
          <w:bCs/>
          <w:szCs w:val="21"/>
          <w:highlight w:val="none"/>
        </w:rPr>
        <w:t>监督投诉机构为</w:t>
      </w:r>
      <w:r>
        <w:rPr>
          <w:rFonts w:hint="eastAsia" w:ascii="宋体" w:hAnsi="宋体" w:cs="宋体"/>
          <w:b w:val="0"/>
          <w:bCs/>
          <w:szCs w:val="21"/>
          <w:highlight w:val="none"/>
          <w:u w:val="single"/>
          <w:lang w:val="en-US" w:eastAsia="zh-CN"/>
        </w:rPr>
        <w:t>广东电网有限责任公司广州供电局资产管理部</w:t>
      </w:r>
      <w:r>
        <w:rPr>
          <w:rFonts w:hint="eastAsia" w:ascii="宋体" w:hAnsi="宋体" w:cs="宋体"/>
          <w:b w:val="0"/>
          <w:bCs/>
          <w:szCs w:val="21"/>
          <w:highlight w:val="none"/>
        </w:rPr>
        <w:t>，若投标人和其他利害关系人认为本次招标活动违反法律、法规和规章规定的，应书面（签字或盖章）提出，向</w:t>
      </w:r>
      <w:r>
        <w:rPr>
          <w:rFonts w:hint="eastAsia" w:ascii="宋体" w:hAnsi="宋体" w:cs="宋体"/>
          <w:b w:val="0"/>
          <w:bCs/>
          <w:szCs w:val="21"/>
          <w:highlight w:val="none"/>
          <w:u w:val="single"/>
          <w:lang w:val="en-US" w:eastAsia="zh-CN"/>
        </w:rPr>
        <w:t>广东电网有限责任公司广州供电局资产管理部</w:t>
      </w:r>
      <w:r>
        <w:rPr>
          <w:rFonts w:hint="eastAsia" w:ascii="宋体" w:hAnsi="宋体" w:cs="宋体"/>
          <w:b w:val="0"/>
          <w:bCs/>
          <w:szCs w:val="21"/>
          <w:highlight w:val="none"/>
          <w:u w:val="none"/>
        </w:rPr>
        <w:t>举报，举报地址：广州市天河区天河南二路 2 号，举报电话：</w:t>
      </w:r>
      <w:r>
        <w:rPr>
          <w:rFonts w:hint="eastAsia" w:ascii="宋体" w:hAnsi="宋体" w:cs="宋体"/>
          <w:b w:val="0"/>
          <w:bCs/>
          <w:szCs w:val="21"/>
          <w:highlight w:val="none"/>
          <w:u w:val="single"/>
          <w:lang w:val="en-US" w:eastAsia="zh-CN"/>
        </w:rPr>
        <w:t>020-87120056</w:t>
      </w:r>
      <w:r>
        <w:rPr>
          <w:rFonts w:hint="eastAsia" w:ascii="宋体" w:hAnsi="宋体" w:cs="宋体"/>
          <w:b w:val="0"/>
          <w:bCs/>
          <w:szCs w:val="21"/>
          <w:highlight w:val="none"/>
          <w:u w:val="none"/>
          <w:lang w:val="en-US" w:eastAsia="zh-CN"/>
        </w:rPr>
        <w:t>，电子邮箱：</w:t>
      </w:r>
      <w:r>
        <w:rPr>
          <w:rFonts w:hint="eastAsia" w:ascii="宋体" w:hAnsi="宋体" w:cs="宋体"/>
          <w:b w:val="0"/>
          <w:bCs/>
          <w:szCs w:val="21"/>
          <w:highlight w:val="none"/>
          <w:u w:val="single"/>
          <w:lang w:val="en-US" w:eastAsia="zh-CN"/>
        </w:rPr>
        <w:t>gyljdts@guangzhou.csg.cn</w:t>
      </w:r>
      <w:r>
        <w:rPr>
          <w:rFonts w:hint="eastAsia" w:ascii="宋体" w:hAnsi="宋体" w:cs="宋体"/>
          <w:b w:val="0"/>
          <w:bCs/>
          <w:szCs w:val="21"/>
          <w:highlight w:val="none"/>
          <w:u w:val="none"/>
        </w:rPr>
        <w:t>。</w:t>
      </w:r>
    </w:p>
    <w:p>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eastAsia="宋体" w:cs="Times New Roman"/>
          <w:bCs/>
          <w:szCs w:val="21"/>
          <w:highlight w:val="none"/>
        </w:rPr>
      </w:pPr>
    </w:p>
    <w:p>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附件</w:t>
      </w:r>
      <w:r>
        <w:rPr>
          <w:rFonts w:hint="eastAsia" w:ascii="宋体" w:hAnsi="宋体" w:eastAsia="宋体" w:cs="Times New Roman"/>
          <w:bCs/>
          <w:szCs w:val="21"/>
          <w:highlight w:val="none"/>
          <w:lang w:val="en-US" w:eastAsia="zh-CN"/>
        </w:rPr>
        <w:t>1</w:t>
      </w:r>
      <w:r>
        <w:rPr>
          <w:rFonts w:hint="eastAsia" w:ascii="宋体" w:hAnsi="宋体" w:eastAsia="宋体" w:cs="Times New Roman"/>
          <w:bCs/>
          <w:szCs w:val="21"/>
          <w:highlight w:val="none"/>
        </w:rPr>
        <w:t>：附件A-项目信息清单</w:t>
      </w:r>
    </w:p>
    <w:p>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eastAsia="宋体" w:cs="Times New Roman"/>
          <w:bCs/>
          <w:szCs w:val="21"/>
          <w:highlight w:val="none"/>
        </w:rPr>
      </w:pPr>
    </w:p>
    <w:p>
      <w:pPr>
        <w:keepNext w:val="0"/>
        <w:keepLines w:val="0"/>
        <w:pageBreakBefore w:val="0"/>
        <w:widowControl/>
        <w:kinsoku/>
        <w:wordWrap/>
        <w:overflowPunct/>
        <w:topLinePunct w:val="0"/>
        <w:autoSpaceDE/>
        <w:autoSpaceDN/>
        <w:bidi w:val="0"/>
        <w:adjustRightInd/>
        <w:spacing w:line="360" w:lineRule="auto"/>
        <w:rPr>
          <w:rFonts w:hint="eastAsia" w:ascii="宋体" w:hAnsi="宋体" w:cs="宋体"/>
          <w:b/>
          <w:szCs w:val="21"/>
          <w:highlight w:val="none"/>
        </w:rPr>
      </w:pPr>
    </w:p>
    <w:p>
      <w:pPr>
        <w:keepNext w:val="0"/>
        <w:keepLines w:val="0"/>
        <w:pageBreakBefore w:val="0"/>
        <w:kinsoku/>
        <w:wordWrap/>
        <w:overflowPunct/>
        <w:topLinePunct w:val="0"/>
        <w:autoSpaceDE/>
        <w:autoSpaceDN/>
        <w:bidi w:val="0"/>
        <w:adjustRightInd/>
        <w:spacing w:line="360" w:lineRule="auto"/>
        <w:jc w:val="right"/>
        <w:rPr>
          <w:rFonts w:hint="eastAsia" w:ascii="宋体" w:hAnsi="宋体" w:eastAsia="宋体" w:cs="宋体"/>
          <w:szCs w:val="21"/>
          <w:highlight w:val="none"/>
          <w:lang w:val="en-US" w:eastAsia="zh-CN"/>
        </w:rPr>
      </w:pPr>
      <w:r>
        <w:rPr>
          <w:rFonts w:hint="eastAsia" w:ascii="宋体" w:hAnsi="宋体" w:cs="宋体"/>
          <w:szCs w:val="21"/>
          <w:highlight w:val="none"/>
        </w:rPr>
        <w:t>招标人：</w:t>
      </w:r>
      <w:r>
        <w:rPr>
          <w:rFonts w:hint="eastAsia" w:ascii="宋体" w:hAnsi="宋体" w:eastAsia="宋体" w:cs="宋体"/>
          <w:szCs w:val="21"/>
          <w:highlight w:val="none"/>
          <w:lang w:val="en-US" w:eastAsia="zh-CN"/>
        </w:rPr>
        <w:t>广东电网有限责任公司广州供电局</w:t>
      </w:r>
    </w:p>
    <w:p>
      <w:pPr>
        <w:keepNext w:val="0"/>
        <w:keepLines w:val="0"/>
        <w:pageBreakBefore w:val="0"/>
        <w:kinsoku/>
        <w:wordWrap/>
        <w:overflowPunct/>
        <w:topLinePunct w:val="0"/>
        <w:autoSpaceDE/>
        <w:autoSpaceDN/>
        <w:bidi w:val="0"/>
        <w:adjustRightInd/>
        <w:spacing w:line="360" w:lineRule="auto"/>
        <w:jc w:val="righ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招标代理机构：南方电网供应链集团有限公司</w:t>
      </w:r>
    </w:p>
    <w:p>
      <w:pPr>
        <w:jc w:val="right"/>
      </w:pPr>
      <w:bookmarkStart w:id="9" w:name="_Toc12425"/>
      <w:r>
        <w:rPr>
          <w:rFonts w:hint="eastAsia" w:ascii="宋体" w:hAnsi="宋体" w:eastAsia="宋体" w:cs="宋体"/>
          <w:bCs w:val="0"/>
          <w:kern w:val="2"/>
          <w:sz w:val="21"/>
          <w:szCs w:val="21"/>
          <w:highlight w:val="none"/>
          <w:lang w:val="en-US" w:eastAsia="zh-CN" w:bidi="ar-SA"/>
        </w:rPr>
        <w:t>2023 年11月15日</w:t>
      </w:r>
      <w:bookmarkEnd w:id="9"/>
      <w:r>
        <w:rPr>
          <w:rFonts w:hint="eastAsia" w:ascii="宋体" w:hAnsi="宋体" w:eastAsia="宋体" w:cs="宋体"/>
          <w:bCs w:val="0"/>
          <w:kern w:val="2"/>
          <w:sz w:val="21"/>
          <w:szCs w:val="21"/>
          <w:highlight w:val="none"/>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4205A"/>
    <w:rsid w:val="0BE94157"/>
    <w:rsid w:val="10A62F1A"/>
    <w:rsid w:val="30D13CD7"/>
    <w:rsid w:val="372851CC"/>
    <w:rsid w:val="39291FD4"/>
    <w:rsid w:val="512F59BA"/>
    <w:rsid w:val="5CC8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rPr>
  </w:style>
  <w:style w:type="character" w:styleId="5">
    <w:name w:val="Hyperlink"/>
    <w:basedOn w:val="4"/>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2023-10-27T05:08:00Z</dcterms:created>
  <dc:creator>yangli11</dc:creator>
  <cp:lastModifiedBy>杨莉</cp:lastModifiedBy>
  <dcterms:modified xsi:type="dcterms:W3CDTF">2023-11-15T06:45:20Z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7D6BB76150E74B9D8FAC96AA9877D3D1</vt:lpwstr>
  </property>
</Properties>
</file>