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ind w:left="359" w:leftChars="171"/>
        <w:jc w:val="center"/>
        <w:rPr>
          <w:rFonts w:ascii="宋体" w:hAnsi="宋体" w:cs="宋体"/>
          <w:color w:val="auto"/>
          <w:sz w:val="52"/>
          <w:szCs w:val="52"/>
          <w:highlight w:val="none"/>
        </w:rPr>
      </w:pPr>
      <w:bookmarkStart w:id="56" w:name="_GoBack"/>
      <w:bookmarkEnd w:id="56"/>
    </w:p>
    <w:p>
      <w:pPr>
        <w:spacing w:line="360" w:lineRule="auto"/>
        <w:ind w:left="359" w:leftChars="171"/>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新新公路交通完善项目</w:t>
      </w:r>
      <w:r>
        <w:rPr>
          <w:rFonts w:hint="eastAsia" w:ascii="宋体" w:hAnsi="宋体" w:cs="宋体"/>
          <w:color w:val="auto"/>
          <w:sz w:val="52"/>
          <w:szCs w:val="52"/>
          <w:highlight w:val="none"/>
        </w:rPr>
        <w:t>施工总承包</w:t>
      </w:r>
    </w:p>
    <w:p>
      <w:pPr>
        <w:spacing w:line="360" w:lineRule="auto"/>
        <w:ind w:left="359" w:leftChars="171"/>
        <w:jc w:val="center"/>
        <w:rPr>
          <w:rFonts w:ascii="宋体" w:hAnsi="宋体" w:cs="宋体"/>
          <w:color w:val="auto"/>
          <w:sz w:val="52"/>
          <w:szCs w:val="52"/>
          <w:highlight w:val="none"/>
        </w:rPr>
      </w:pPr>
    </w:p>
    <w:p>
      <w:pPr>
        <w:pStyle w:val="7"/>
        <w:rPr>
          <w:rFonts w:ascii="宋体" w:hAnsi="宋体" w:cs="宋体"/>
          <w:color w:val="auto"/>
          <w:sz w:val="52"/>
          <w:szCs w:val="52"/>
          <w:highlight w:val="none"/>
        </w:rPr>
      </w:pPr>
    </w:p>
    <w:p>
      <w:pPr>
        <w:pStyle w:val="7"/>
        <w:rPr>
          <w:color w:val="auto"/>
          <w:highlight w:val="none"/>
        </w:rPr>
      </w:pPr>
    </w:p>
    <w:p>
      <w:pPr>
        <w:rPr>
          <w:color w:val="auto"/>
          <w:highlight w:val="none"/>
        </w:rPr>
      </w:pPr>
    </w:p>
    <w:p>
      <w:pPr>
        <w:rPr>
          <w:color w:val="auto"/>
          <w:highlight w:val="non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pStyle w:val="7"/>
        <w:rPr>
          <w:color w:val="auto"/>
          <w:highlight w:val="none"/>
        </w:rPr>
      </w:pPr>
    </w:p>
    <w:p>
      <w:pPr>
        <w:rPr>
          <w:color w:val="auto"/>
          <w:highlight w:val="none"/>
        </w:rPr>
      </w:pPr>
    </w:p>
    <w:p>
      <w:pPr>
        <w:pStyle w:val="6"/>
        <w:rPr>
          <w:color w:val="auto"/>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ascii="宋体" w:hAnsi="宋体" w:cs="宋体"/>
          <w:color w:val="auto"/>
          <w:sz w:val="30"/>
          <w:szCs w:val="30"/>
          <w:highlight w:val="none"/>
        </w:rPr>
        <w:t>广州市增城区人民政府永宁街道办事处</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ascii="宋体" w:hAnsi="宋体" w:cs="宋体"/>
          <w:color w:val="auto"/>
          <w:sz w:val="30"/>
          <w:szCs w:val="30"/>
          <w:highlight w:val="none"/>
        </w:rPr>
        <w:t>广州建筑工程监理有限公司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2023</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u w:val="single"/>
          <w:lang w:val="en-US" w:eastAsia="zh-CN"/>
        </w:rPr>
        <w:t>11</w:t>
      </w:r>
      <w:r>
        <w:rPr>
          <w:rFonts w:hint="eastAsia"/>
          <w:color w:val="auto"/>
          <w:sz w:val="32"/>
          <w:highlight w:val="none"/>
          <w:u w:val="single"/>
        </w:rPr>
        <w:t xml:space="preserve"> </w:t>
      </w:r>
      <w:r>
        <w:rPr>
          <w:rFonts w:hint="eastAsia"/>
          <w:color w:val="auto"/>
          <w:sz w:val="32"/>
          <w:highlight w:val="none"/>
        </w:rPr>
        <w:t>月</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3"/>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3"/>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3"/>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3"/>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3"/>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3"/>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3"/>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3"/>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3"/>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3"/>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3"/>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3"/>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3"/>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3"/>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3"/>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3"/>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3"/>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3"/>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3"/>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pStyle w:val="5"/>
        <w:rPr>
          <w:color w:val="auto"/>
          <w:highlight w:val="none"/>
        </w:rPr>
      </w:pPr>
    </w:p>
    <w:p>
      <w:pPr>
        <w:pStyle w:val="5"/>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7"/>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广州市增城区人民政府永宁街道办事处</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s="宋体"/>
                <w:color w:val="auto"/>
                <w:szCs w:val="21"/>
                <w:highlight w:val="none"/>
                <w:u w:val="single"/>
              </w:rPr>
              <w:t>广州建筑工程监理有限公司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广州市市政工程设计研究总院有限公司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新新公路交通完善项目施工总承包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项目位于永宁街，南起广园快速 路，北至叶岭村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eastAsia="宋体" w:cs="宋体"/>
                <w:color w:val="auto"/>
                <w:szCs w:val="21"/>
                <w:highlight w:val="none"/>
                <w:u w:val="single"/>
                <w:lang w:eastAsia="zh-CN"/>
              </w:rPr>
              <w:t>项目位于永宁街，南起广园快速路，北至叶岭村，改造面积约为38112平方米，实施拆迁房屋遗留空地及周边环境改造工程，设置停车场和口袋公园，完善交通设施和整理退缩带究竟，主要建设内容包括园林、交通、给排水、照明等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2023年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日计划开工，施工总期：</w:t>
            </w:r>
            <w:r>
              <w:rPr>
                <w:rFonts w:hint="eastAsia" w:ascii="宋体" w:hAnsi="宋体"/>
                <w:color w:val="auto"/>
                <w:szCs w:val="21"/>
                <w:highlight w:val="none"/>
                <w:u w:val="single"/>
                <w:lang w:val="en-US" w:eastAsia="zh-CN"/>
              </w:rPr>
              <w:t>240</w:t>
            </w:r>
            <w:r>
              <w:rPr>
                <w:rFonts w:hint="eastAsia" w:ascii="宋体" w:hAnsi="宋体"/>
                <w:color w:val="auto"/>
                <w:szCs w:val="21"/>
                <w:highlight w:val="none"/>
                <w:u w:val="single"/>
              </w:rPr>
              <w:t>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eastAsia="宋体"/>
                <w:color w:val="auto"/>
                <w:szCs w:val="21"/>
                <w:highlight w:val="none"/>
                <w:u w:val="single"/>
              </w:rPr>
              <w:t>项目所需建设资金优先在新白北城轨项目资金中列支，不足部分由区财政资金安排解决</w:t>
            </w:r>
            <w:r>
              <w:rPr>
                <w:rFonts w:hint="eastAsia" w:ascii="宋体" w:hAnsi="宋体" w:eastAsia="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4" w:name="EBdfd7e3fe86a241738f1c1d356c309534"/>
            <w:r>
              <w:rPr>
                <w:rFonts w:hint="eastAsia" w:ascii="宋体" w:hAnsi="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5" w:name="EB638049d390fa45cfa3556d92c0ccd421"/>
            <w:r>
              <w:rPr>
                <w:rFonts w:hint="eastAsia" w:ascii="宋体" w:hAnsi="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pStyle w:val="18"/>
              <w:rPr>
                <w:rFonts w:hint="eastAsia" w:eastAsia="宋体"/>
                <w:color w:val="auto"/>
                <w:kern w:val="1"/>
                <w:sz w:val="21"/>
                <w:szCs w:val="21"/>
                <w:highlight w:val="none"/>
                <w:u w:val="none"/>
              </w:rPr>
            </w:pPr>
            <w:r>
              <w:rPr>
                <w:rFonts w:hint="eastAsia" w:eastAsia="宋体"/>
                <w:color w:val="auto"/>
                <w:kern w:val="1"/>
                <w:sz w:val="21"/>
                <w:szCs w:val="21"/>
                <w:highlight w:val="none"/>
                <w:u w:val="none"/>
              </w:rPr>
              <w:t>是否要求投标人递交投标保证金：</w:t>
            </w:r>
          </w:p>
          <w:p>
            <w:pPr>
              <w:pStyle w:val="18"/>
              <w:rPr>
                <w:rFonts w:hint="eastAsia" w:eastAsia="宋体"/>
                <w:color w:val="auto"/>
                <w:kern w:val="1"/>
                <w:sz w:val="21"/>
                <w:szCs w:val="21"/>
                <w:highlight w:val="none"/>
                <w:u w:val="none"/>
              </w:rPr>
            </w:pPr>
            <w:r>
              <w:rPr>
                <w:rFonts w:hint="eastAsia" w:eastAsia="宋体"/>
                <w:color w:val="auto"/>
                <w:kern w:val="1"/>
                <w:sz w:val="21"/>
                <w:szCs w:val="21"/>
                <w:highlight w:val="none"/>
                <w:u w:val="none"/>
              </w:rPr>
              <w:t>■不要求</w:t>
            </w:r>
          </w:p>
          <w:p>
            <w:pPr>
              <w:rPr>
                <w:color w:val="auto"/>
                <w:highlight w:val="none"/>
              </w:rPr>
            </w:pPr>
            <w:r>
              <w:rPr>
                <w:rFonts w:hint="eastAsia" w:eastAsia="宋体"/>
                <w:color w:val="auto"/>
                <w:kern w:val="1"/>
                <w:sz w:val="21"/>
                <w:szCs w:val="21"/>
                <w:highlight w:val="none"/>
                <w:u w:val="none"/>
              </w:rPr>
              <w:t>□要求。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时间：自发布招标公告之日起具备现场踏勘条件；</w:t>
            </w:r>
          </w:p>
          <w:p>
            <w:pPr>
              <w:rPr>
                <w:rFonts w:ascii="宋体" w:hAnsi="宋体"/>
                <w:color w:val="auto"/>
                <w:szCs w:val="21"/>
                <w:highlight w:val="none"/>
              </w:rPr>
            </w:pPr>
            <w:r>
              <w:rPr>
                <w:rFonts w:hint="eastAsia" w:ascii="宋体" w:hAnsi="宋体" w:cs="宋体"/>
                <w:color w:val="auto"/>
                <w:szCs w:val="21"/>
                <w:highlight w:val="none"/>
                <w:u w:val="single"/>
              </w:rPr>
              <w:t>方式：招标人不集中组织，由投标人自行踏勘；</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s="宋体"/>
                <w:color w:val="auto"/>
                <w:szCs w:val="21"/>
                <w:highlight w:val="none"/>
                <w:u w:val="single"/>
              </w:rPr>
              <w:t>现场详细地点：详见招标公告</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ascii="仿宋" w:hAnsi="仿宋" w:eastAsia="仿宋" w:cs="宋体"/>
                <w:bCs/>
                <w:color w:val="auto"/>
                <w:kern w:val="0"/>
                <w:sz w:val="22"/>
                <w:highlight w:val="non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增城交易部开标  室</w:t>
            </w:r>
            <w:r>
              <w:rPr>
                <w:rFonts w:hint="eastAsia" w:ascii="宋体" w:hAnsi="宋体" w:cs="宋体"/>
                <w:color w:val="auto"/>
                <w:szCs w:val="21"/>
                <w:highlight w:val="none"/>
              </w:rPr>
              <w:t xml:space="preserve"> 。</w:t>
            </w:r>
            <w:r>
              <w:rPr>
                <w:rFonts w:hint="eastAsia" w:ascii="仿宋" w:hAnsi="仿宋" w:eastAsia="仿宋" w:cs="宋体"/>
                <w:b/>
                <w:bCs/>
                <w:color w:val="auto"/>
                <w:kern w:val="0"/>
                <w:sz w:val="22"/>
                <w:highlight w:val="none"/>
              </w:rPr>
              <w:t>投标人也可选择参加在线开标，具体按照交易平台相关指南进行操作。详见：</w:t>
            </w:r>
            <w:r>
              <w:rPr>
                <w:rFonts w:hint="eastAsia" w:ascii="仿宋" w:hAnsi="仿宋" w:eastAsia="仿宋" w:cs="宋体"/>
                <w:b/>
                <w:bCs/>
                <w:color w:val="auto"/>
                <w:kern w:val="0"/>
                <w:sz w:val="22"/>
                <w:highlight w:val="none"/>
                <w:u w:val="single"/>
              </w:rPr>
              <w:t xml:space="preserve">        </w:t>
            </w:r>
            <w:r>
              <w:rPr>
                <w:rFonts w:hint="eastAsia" w:ascii="仿宋" w:hAnsi="仿宋" w:eastAsia="仿宋" w:cs="宋体"/>
                <w:b/>
                <w:bCs/>
                <w:color w:val="auto"/>
                <w:kern w:val="0"/>
                <w:sz w:val="22"/>
                <w:highlight w:val="none"/>
              </w:rPr>
              <w:t>。</w:t>
            </w:r>
          </w:p>
          <w:p>
            <w:pPr>
              <w:rPr>
                <w:rFonts w:ascii="宋体" w:hAnsi="宋体" w:cs="宋体"/>
                <w:color w:val="auto"/>
                <w:szCs w:val="21"/>
                <w:highlight w:val="none"/>
                <w:u w:val="singl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s="宋体"/>
                <w:color w:val="auto"/>
                <w:szCs w:val="21"/>
                <w:highlight w:val="none"/>
                <w:u w:val="single"/>
              </w:rPr>
              <w:t>增城交易部开标</w:t>
            </w:r>
          </w:p>
          <w:p>
            <w:pPr>
              <w:rPr>
                <w:rFonts w:ascii="宋体" w:hAnsi="宋体"/>
                <w:color w:val="auto"/>
                <w:highlight w:val="none"/>
              </w:rPr>
            </w:pPr>
            <w:r>
              <w:rPr>
                <w:rFonts w:hint="eastAsia" w:ascii="宋体" w:hAnsi="宋体" w:cs="宋体"/>
                <w:color w:val="auto"/>
                <w:szCs w:val="21"/>
                <w:highlight w:val="none"/>
                <w:u w:val="single"/>
              </w:rPr>
              <w:t xml:space="preserve">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color w:val="auto"/>
                <w:szCs w:val="21"/>
                <w:highlight w:val="none"/>
                <w:u w:val="singl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办法七（适合综合评分法四，技术标与经济标同时开启）</w:t>
            </w:r>
          </w:p>
          <w:p>
            <w:pPr>
              <w:pStyle w:val="5"/>
              <w:ind w:firstLine="0"/>
              <w:rPr>
                <w:rFonts w:ascii="宋体" w:hAnsi="宋体" w:cs="宋体"/>
                <w:b/>
                <w:bCs/>
                <w:color w:val="auto"/>
                <w:szCs w:val="21"/>
                <w:highlight w:val="none"/>
                <w:u w:val="single"/>
              </w:rPr>
            </w:pPr>
            <w:r>
              <w:rPr>
                <w:rFonts w:hint="eastAsia" w:ascii="宋体" w:hAnsi="宋体" w:cs="宋体"/>
                <w:b/>
                <w:bCs/>
                <w:color w:val="auto"/>
                <w:szCs w:val="21"/>
                <w:highlight w:val="none"/>
                <w:u w:val="single"/>
              </w:rPr>
              <w:t>投标人总得分=技术得分（</w:t>
            </w:r>
            <w:r>
              <w:rPr>
                <w:rFonts w:hint="eastAsia" w:ascii="宋体" w:hAnsi="宋体" w:cs="宋体"/>
                <w:b/>
                <w:bCs/>
                <w:color w:val="auto"/>
                <w:szCs w:val="21"/>
                <w:highlight w:val="none"/>
                <w:u w:val="single"/>
                <w:lang w:val="en-US" w:eastAsia="zh-CN"/>
              </w:rPr>
              <w:t>20</w:t>
            </w:r>
            <w:r>
              <w:rPr>
                <w:rFonts w:hint="eastAsia" w:ascii="宋体" w:hAnsi="宋体" w:cs="宋体"/>
                <w:b/>
                <w:bCs/>
                <w:color w:val="auto"/>
                <w:szCs w:val="21"/>
                <w:highlight w:val="none"/>
                <w:u w:val="single"/>
              </w:rPr>
              <w:t>分）＋经济得分（满分100分）×经济得分权重（</w:t>
            </w:r>
            <w:r>
              <w:rPr>
                <w:rFonts w:hint="eastAsia" w:ascii="宋体" w:hAnsi="宋体" w:cs="宋体"/>
                <w:b/>
                <w:bCs/>
                <w:color w:val="auto"/>
                <w:szCs w:val="21"/>
                <w:highlight w:val="none"/>
                <w:u w:val="single"/>
                <w:lang w:val="en-US" w:eastAsia="zh-CN"/>
              </w:rPr>
              <w:t>80</w:t>
            </w:r>
            <w:r>
              <w:rPr>
                <w:rFonts w:hint="eastAsia" w:ascii="宋体" w:hAnsi="宋体" w:cs="宋体"/>
                <w:b/>
                <w:bCs/>
                <w:color w:val="auto"/>
                <w:szCs w:val="21"/>
                <w:highlight w:val="none"/>
                <w:u w:val="single"/>
              </w:rPr>
              <w:t>%）。</w:t>
            </w:r>
          </w:p>
          <w:p>
            <w:pPr>
              <w:pStyle w:val="5"/>
              <w:ind w:firstLine="0"/>
              <w:rPr>
                <w:rFonts w:ascii="宋体" w:hAnsi="宋体"/>
                <w:color w:val="auto"/>
                <w:szCs w:val="21"/>
                <w:highlight w:val="none"/>
              </w:rPr>
            </w:pPr>
            <w:r>
              <w:rPr>
                <w:rFonts w:hint="eastAsia" w:ascii="宋体" w:hAnsi="宋体" w:cs="宋体"/>
                <w:color w:val="auto"/>
                <w:szCs w:val="21"/>
                <w:highlight w:val="none"/>
              </w:rPr>
              <w:t>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r>
              <w:rPr>
                <w:rFonts w:hint="eastAsia" w:ascii="宋体" w:hAnsi="宋体" w:cs="宋体"/>
                <w:color w:val="auto"/>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本项目最高投标限价人民币</w:t>
            </w:r>
            <w:r>
              <w:rPr>
                <w:rFonts w:hint="eastAsia" w:ascii="宋体" w:hAnsi="宋体"/>
                <w:color w:val="auto"/>
                <w:szCs w:val="21"/>
                <w:highlight w:val="none"/>
                <w:u w:val="single"/>
              </w:rPr>
              <w:t>18687471.85</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843937.38</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360000.00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b/>
                <w:bCs/>
                <w:color w:val="auto"/>
                <w:szCs w:val="21"/>
                <w:highlight w:val="none"/>
              </w:rPr>
              <w:t>工程成本警戒价为</w:t>
            </w:r>
            <w:r>
              <w:rPr>
                <w:rFonts w:hint="eastAsia" w:ascii="宋体" w:hAnsi="宋体"/>
                <w:b/>
                <w:bCs/>
                <w:color w:val="auto"/>
                <w:szCs w:val="21"/>
                <w:highlight w:val="none"/>
                <w:u w:val="single"/>
                <w:lang w:val="en-US" w:eastAsia="zh-CN"/>
              </w:rPr>
              <w:t>15884351.07</w:t>
            </w:r>
            <w:r>
              <w:rPr>
                <w:rFonts w:hint="eastAsia" w:ascii="宋体" w:hAnsi="宋体"/>
                <w:b/>
                <w:bCs/>
                <w:color w:val="auto"/>
                <w:szCs w:val="21"/>
                <w:highlight w:val="none"/>
              </w:rPr>
              <w:t>元</w:t>
            </w:r>
            <w:r>
              <w:rPr>
                <w:rFonts w:hint="eastAsia" w:ascii="宋体" w:hAnsi="宋体" w:cs="宋体"/>
                <w:b/>
                <w:bCs/>
                <w:color w:val="auto"/>
                <w:szCs w:val="21"/>
                <w:highlight w:val="none"/>
                <w:u w:val="single"/>
              </w:rPr>
              <w:t>(最高投标限价的95%设置为工程成本警戒价)</w:t>
            </w:r>
            <w:r>
              <w:rPr>
                <w:rFonts w:hint="eastAsia" w:ascii="宋体" w:hAnsi="宋体"/>
                <w:b/>
                <w:bCs/>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s="宋体"/>
                <w:bCs/>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A3"/>
            </w: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lang w:val="zh-CN"/>
              </w:rPr>
              <w:t>广州交易集团有限公司（广州公共资源交易中心）网站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b/>
                <w:color w:val="auto"/>
                <w:szCs w:val="21"/>
                <w:highlight w:val="none"/>
                <w:u w:val="single"/>
              </w:rPr>
              <w:t>交易服务费：根据广州市政府相关文件的规定，向广州交易集团有限公司（广州公共资源交易中心）交纳交易服务费。</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bookmarkStart w:id="6" w:name="_Toc2272547"/>
      <w:bookmarkStart w:id="7" w:name="_Toc21525491"/>
    </w:p>
    <w:p>
      <w:pPr>
        <w:rPr>
          <w:color w:val="auto"/>
          <w:highlight w:val="none"/>
        </w:rPr>
      </w:pPr>
    </w:p>
    <w:p>
      <w:pPr>
        <w:pStyle w:val="7"/>
        <w:rPr>
          <w:color w:val="auto"/>
          <w:highlight w:val="none"/>
        </w:rPr>
      </w:pPr>
      <w:r>
        <w:rPr>
          <w:rFonts w:hint="eastAsia"/>
          <w:color w:val="auto"/>
          <w:highlight w:val="none"/>
        </w:rPr>
        <w:t>二、投标须知修改表</w:t>
      </w:r>
      <w:bookmarkEnd w:id="6"/>
      <w:bookmarkEnd w:id="7"/>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2.5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bCs/>
          <w:color w:val="auto"/>
          <w:szCs w:val="21"/>
          <w:highlight w:val="none"/>
        </w:rPr>
        <w:t>现文：</w:t>
      </w:r>
      <w:r>
        <w:rPr>
          <w:rFonts w:hint="eastAsia" w:ascii="宋体" w:hAnsi="宋体" w:cs="宋体"/>
          <w:bCs/>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 w:val="24"/>
          <w:highlight w:val="none"/>
          <w:u w:val="single"/>
        </w:rPr>
      </w:pPr>
      <w:r>
        <w:rPr>
          <w:rFonts w:hint="eastAsia"/>
          <w:b/>
          <w:color w:val="auto"/>
          <w:szCs w:val="21"/>
          <w:highlight w:val="none"/>
        </w:rPr>
        <w:t>原文：</w:t>
      </w:r>
      <w:r>
        <w:rPr>
          <w:rFonts w:hint="eastAsia" w:ascii="宋体" w:hAnsi="宋体" w:cs="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投标须知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开标、评标及定标办法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技术条件（工程建设标准）（另册）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5"/>
        <w:spacing w:after="0"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5"/>
        <w:spacing w:after="0"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5"/>
        <w:spacing w:after="0"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single" w:color="auto" w:sz="6" w:space="1"/>
        </w:pBdr>
        <w:spacing w:line="360" w:lineRule="auto"/>
        <w:ind w:firstLine="442" w:firstLineChars="200"/>
        <w:rPr>
          <w:color w:val="auto"/>
          <w:highlight w:val="none"/>
        </w:rPr>
      </w:pPr>
      <w:r>
        <w:rPr>
          <w:rFonts w:hint="eastAsia" w:ascii="仿宋" w:hAnsi="仿宋" w:eastAsia="仿宋" w:cs="宋体"/>
          <w:b/>
          <w:bCs/>
          <w:color w:val="auto"/>
          <w:kern w:val="0"/>
          <w:sz w:val="22"/>
          <w:highlight w:val="none"/>
        </w:rPr>
        <w:t>注</w:t>
      </w:r>
      <w:r>
        <w:rPr>
          <w:rFonts w:ascii="仿宋" w:hAnsi="仿宋" w:eastAsia="仿宋" w:cs="宋体"/>
          <w:b/>
          <w:bCs/>
          <w:color w:val="auto"/>
          <w:kern w:val="0"/>
          <w:sz w:val="22"/>
          <w:highlight w:val="none"/>
        </w:rPr>
        <w:t>：招标人应在</w:t>
      </w:r>
      <w:r>
        <w:rPr>
          <w:rFonts w:hint="eastAsia" w:ascii="仿宋" w:hAnsi="仿宋" w:eastAsia="仿宋" w:cs="宋体"/>
          <w:b/>
          <w:bCs/>
          <w:color w:val="auto"/>
          <w:kern w:val="0"/>
          <w:sz w:val="22"/>
          <w:highlight w:val="none"/>
        </w:rPr>
        <w:t>技术条件（工程建设标准）中</w:t>
      </w:r>
      <w:r>
        <w:rPr>
          <w:rFonts w:ascii="仿宋" w:hAnsi="仿宋" w:eastAsia="仿宋" w:cs="宋体"/>
          <w:b/>
          <w:bCs/>
          <w:color w:val="auto"/>
          <w:kern w:val="0"/>
          <w:sz w:val="22"/>
          <w:highlight w:val="none"/>
        </w:rPr>
        <w:t>明确</w:t>
      </w:r>
      <w:r>
        <w:rPr>
          <w:rFonts w:hint="eastAsia" w:ascii="仿宋" w:hAnsi="仿宋" w:eastAsia="仿宋" w:cs="宋体"/>
          <w:b/>
          <w:bCs/>
          <w:color w:val="auto"/>
          <w:kern w:val="0"/>
          <w:sz w:val="22"/>
          <w:highlight w:val="none"/>
        </w:rPr>
        <w:t>施工现场建筑垃圾源头减量的具体要求和建筑垃圾综合利用产品的使用要求。</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发布时间作为送达时间。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在广州交易集团有限公司（广州公共资源交易中心）网站“项目答疑纪要”专区公开发布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最后发布的内容为准。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Cs/>
          <w:color w:val="auto"/>
          <w:szCs w:val="21"/>
          <w:highlight w:val="none"/>
        </w:rPr>
        <w:t>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11.2投标文件技术标部分主要包括下列内容: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r>
        <w:rPr>
          <w:rFonts w:hint="eastAsia" w:ascii="仿宋" w:hAnsi="仿宋" w:eastAsia="仿宋" w:cs="宋体"/>
          <w:bCs/>
          <w:color w:val="auto"/>
          <w:kern w:val="0"/>
          <w:sz w:val="22"/>
          <w:highlight w:val="none"/>
        </w:rPr>
        <w:t>（</w:t>
      </w:r>
      <w:r>
        <w:rPr>
          <w:rFonts w:hint="eastAsia" w:ascii="仿宋" w:hAnsi="仿宋" w:eastAsia="仿宋" w:cs="宋体"/>
          <w:b/>
          <w:bCs/>
          <w:color w:val="auto"/>
          <w:kern w:val="0"/>
          <w:sz w:val="22"/>
          <w:highlight w:val="none"/>
        </w:rPr>
        <w:t>投标人在编制</w:t>
      </w:r>
      <w:r>
        <w:rPr>
          <w:rFonts w:ascii="仿宋" w:hAnsi="仿宋" w:eastAsia="仿宋" w:cs="宋体"/>
          <w:b/>
          <w:bCs/>
          <w:color w:val="auto"/>
          <w:kern w:val="0"/>
          <w:sz w:val="22"/>
          <w:highlight w:val="none"/>
        </w:rPr>
        <w:t>施工组织设计或施工方案</w:t>
      </w:r>
      <w:r>
        <w:rPr>
          <w:rFonts w:hint="eastAsia" w:ascii="仿宋" w:hAnsi="仿宋" w:eastAsia="仿宋" w:cs="宋体"/>
          <w:b/>
          <w:bCs/>
          <w:color w:val="auto"/>
          <w:kern w:val="0"/>
          <w:sz w:val="22"/>
          <w:highlight w:val="none"/>
        </w:rPr>
        <w:t>时应按照招标人提出的施工现场建筑垃圾源头减量的具体要求以及建筑垃圾综合利用产品的使用要求提供相应措施。</w:t>
      </w:r>
      <w:r>
        <w:rPr>
          <w:rFonts w:hint="eastAsia" w:ascii="仿宋" w:hAnsi="仿宋" w:eastAsia="仿宋" w:cs="宋体"/>
          <w:bCs/>
          <w:color w:val="auto"/>
          <w:kern w:val="0"/>
          <w:sz w:val="22"/>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技术标投标书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（须按本工程招标公告附件一格式）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职称证书；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建造师注册证书</w:t>
      </w:r>
      <w:r>
        <w:rPr>
          <w:rFonts w:hint="eastAsia" w:ascii="宋体" w:hAnsi="宋体" w:cs="宋体"/>
          <w:bCs/>
          <w:color w:val="auto"/>
          <w:szCs w:val="21"/>
          <w:highlight w:val="none"/>
        </w:rPr>
        <w:t>（</w:t>
      </w:r>
      <w:r>
        <w:rPr>
          <w:rFonts w:hint="eastAsia" w:ascii="宋体" w:hAnsi="宋体" w:cs="宋体"/>
          <w:bCs/>
          <w:color w:val="auto"/>
          <w:szCs w:val="21"/>
          <w:highlight w:val="none"/>
        </w:rPr>
        <w:t xml:space="preserve">提供证书扫描件）；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项目负责人安全生产考核合格证（B类）或建筑施工企业项目负责人安全生产考核合格证扫描件</w:t>
      </w:r>
      <w:r>
        <w:rPr>
          <w:rFonts w:hint="eastAsia" w:ascii="宋体" w:hAnsi="宋体" w:eastAsia="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w:t>
      </w:r>
      <w:r>
        <w:rPr>
          <w:rFonts w:hint="eastAsia" w:ascii="宋体" w:hAnsi="宋体" w:cs="宋体"/>
          <w:bCs/>
          <w:color w:val="auto"/>
          <w:szCs w:val="21"/>
          <w:highlight w:val="none"/>
        </w:rPr>
        <w:t>C类）或建筑施工企业专职安全生产管理人员安全生产考核合格证书（C3）（提供证书扫描件）；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11.2.3《施工</w:t>
      </w:r>
      <w:r>
        <w:rPr>
          <w:rFonts w:hint="eastAsia" w:ascii="宋体" w:hAnsi="宋体" w:cs="宋体"/>
          <w:bCs/>
          <w:color w:val="auto"/>
          <w:szCs w:val="21"/>
          <w:highlight w:val="none"/>
          <w:u w:val="single"/>
          <w:lang w:val="zh-CN"/>
        </w:rPr>
        <w:t>项目管理团队人员信息表</w:t>
      </w:r>
      <w:r>
        <w:rPr>
          <w:rFonts w:hint="eastAsia" w:ascii="宋体" w:hAnsi="宋体" w:cs="宋体"/>
          <w:bCs/>
          <w:color w:val="auto"/>
          <w:szCs w:val="21"/>
          <w:highlight w:val="none"/>
          <w:u w:val="single"/>
        </w:rPr>
        <w:t>》（格式见第四章）</w:t>
      </w:r>
      <w:r>
        <w:rPr>
          <w:rFonts w:hint="eastAsia" w:ascii="宋体" w:hAnsi="宋体" w:cs="宋体"/>
          <w:bCs/>
          <w:color w:val="auto"/>
          <w:szCs w:val="21"/>
          <w:highlight w:val="none"/>
          <w:u w:val="single"/>
          <w:lang w:val="zh-CN"/>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11.2.5按照招标文件要求填写的《参与编制技术标投标文件人员名单》（格式见第四章）。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lang w:val="zh-CN"/>
        </w:rPr>
      </w:pPr>
      <w:r>
        <w:rPr>
          <w:rFonts w:hint="eastAsia" w:ascii="宋体" w:hAnsi="宋体" w:cs="宋体"/>
          <w:bCs/>
          <w:color w:val="auto"/>
          <w:szCs w:val="21"/>
          <w:highlight w:val="none"/>
          <w:u w:val="single"/>
          <w:lang w:val="zh-CN"/>
        </w:rPr>
        <w:t>11.2.</w:t>
      </w:r>
      <w:r>
        <w:rPr>
          <w:rFonts w:hint="eastAsia" w:ascii="宋体" w:hAnsi="宋体" w:cs="宋体"/>
          <w:bCs/>
          <w:color w:val="auto"/>
          <w:szCs w:val="21"/>
          <w:highlight w:val="none"/>
          <w:u w:val="single"/>
        </w:rPr>
        <w:t>6</w:t>
      </w:r>
      <w:r>
        <w:rPr>
          <w:rFonts w:hint="eastAsia" w:ascii="宋体" w:hAnsi="宋体" w:cs="宋体"/>
          <w:bCs/>
          <w:color w:val="auto"/>
          <w:szCs w:val="21"/>
          <w:highlight w:val="none"/>
          <w:u w:val="single"/>
          <w:lang w:val="zh-CN"/>
        </w:rPr>
        <w:t>响应招标文件所附施工组织设计要点承诺书（格式见第四章）。</w:t>
      </w:r>
    </w:p>
    <w:p>
      <w:pPr>
        <w:pBdr>
          <w:bottom w:val="single" w:color="auto" w:sz="6" w:space="1"/>
        </w:pBdr>
        <w:spacing w:line="360" w:lineRule="auto"/>
        <w:ind w:firstLine="420" w:firstLineChars="200"/>
        <w:rPr>
          <w:rFonts w:ascii="宋体" w:hAnsi="宋体" w:cs="宋体"/>
          <w:bCs/>
          <w:color w:val="auto"/>
          <w:szCs w:val="21"/>
          <w:highlight w:val="none"/>
          <w:u w:val="single"/>
          <w:lang w:val="zh-CN"/>
        </w:rPr>
      </w:pPr>
      <w:r>
        <w:rPr>
          <w:rFonts w:hint="eastAsia" w:ascii="宋体" w:hAnsi="宋体" w:cs="宋体"/>
          <w:bCs/>
          <w:color w:val="auto"/>
          <w:szCs w:val="21"/>
          <w:highlight w:val="none"/>
          <w:u w:val="single"/>
          <w:lang w:val="zh-CN"/>
        </w:rPr>
        <w:t>11.2.</w:t>
      </w:r>
      <w:r>
        <w:rPr>
          <w:rFonts w:hint="eastAsia" w:ascii="宋体" w:hAnsi="宋体" w:cs="宋体"/>
          <w:bCs/>
          <w:color w:val="auto"/>
          <w:szCs w:val="21"/>
          <w:highlight w:val="none"/>
          <w:u w:val="single"/>
        </w:rPr>
        <w:t>7</w:t>
      </w:r>
      <w:r>
        <w:rPr>
          <w:rFonts w:hint="eastAsia" w:ascii="宋体" w:hAnsi="宋体" w:cs="宋体"/>
          <w:bCs/>
          <w:color w:val="auto"/>
          <w:szCs w:val="21"/>
          <w:highlight w:val="none"/>
          <w:u w:val="single"/>
          <w:lang w:val="zh-CN"/>
        </w:rPr>
        <w:t>危险性较大的分部分项工程清单及超过一定规模的危险性较大的分部分项工程清单（格式见第四章）。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hint="eastAsia" w:ascii="宋体" w:hAnsi="宋体" w:eastAsia="宋体" w:cs="宋体"/>
          <w:bCs/>
          <w:color w:val="auto"/>
          <w:szCs w:val="21"/>
          <w:highlight w:val="none"/>
          <w:u w:val="single"/>
        </w:rPr>
        <w:t>.8</w:t>
      </w:r>
      <w:r>
        <w:rPr>
          <w:rFonts w:hint="eastAsia" w:ascii="宋体" w:hAnsi="宋体" w:cs="宋体"/>
          <w:bCs/>
          <w:color w:val="auto"/>
          <w:szCs w:val="21"/>
          <w:highlight w:val="none"/>
          <w:u w:val="single"/>
        </w:rPr>
        <w:t>投标人认为应提供的其他资料。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11.3.1 经济投标文件(按招标文件的要求填写)。</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经济标投标书</w:t>
      </w:r>
      <w:r>
        <w:rPr>
          <w:rFonts w:hint="eastAsia" w:ascii="宋体" w:hAnsi="宋体" w:cs="宋体"/>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rPr>
        <w:t>的要求填写)。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highlight w:val="none"/>
        </w:rPr>
        <w:t>11.3.2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11.3.2</w:t>
      </w:r>
      <w:r>
        <w:rPr>
          <w:rFonts w:hint="eastAsia" w:ascii="宋体" w:hAnsi="宋体" w:cs="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rPr>
          <w:color w:val="auto"/>
          <w:highlight w:val="none"/>
        </w:rPr>
      </w:pPr>
      <w:r>
        <w:rPr>
          <w:rFonts w:hint="eastAsia" w:ascii="宋体" w:hAnsi="宋体" w:cs="宋体"/>
          <w:color w:val="auto"/>
          <w:szCs w:val="21"/>
          <w:highlight w:val="none"/>
          <w:u w:val="single"/>
        </w:rPr>
        <w:t>（3）</w:t>
      </w:r>
      <w:r>
        <w:rPr>
          <w:color w:val="auto"/>
          <w:highlight w:val="none"/>
          <w:u w:val="single"/>
        </w:rPr>
        <w:t>工程量</w:t>
      </w:r>
      <w:r>
        <w:rPr>
          <w:rFonts w:hint="eastAsia" w:ascii="宋体" w:hAnsi="宋体"/>
          <w:color w:val="auto"/>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color w:val="auto"/>
          <w:szCs w:val="21"/>
          <w:highlight w:val="none"/>
          <w:u w:val="singl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ascii="宋体" w:hAnsi="宋体" w:cs="宋体"/>
          <w:color w:val="auto"/>
          <w:szCs w:val="21"/>
          <w:highlight w:val="none"/>
        </w:rPr>
        <w:t>11.3.5</w:t>
      </w:r>
      <w:r>
        <w:rPr>
          <w:rFonts w:hint="eastAsia" w:ascii="宋体" w:hAnsi="宋体" w:cs="宋体"/>
          <w:color w:val="auto"/>
          <w:szCs w:val="21"/>
          <w:highlight w:val="none"/>
          <w:u w:val="single"/>
        </w:rPr>
        <w:t>《对投标文件编制的承诺》及《投标文件编制情况》（格式见第四章）。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kern w:val="0"/>
          <w:szCs w:val="21"/>
          <w:highlight w:val="none"/>
        </w:rPr>
        <w:t>12.2、12.3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b/>
          <w:color w:val="auto"/>
          <w:szCs w:val="21"/>
          <w:highlight w:val="non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b/>
          <w:color w:val="auto"/>
          <w:szCs w:val="21"/>
          <w:highlight w:val="none"/>
        </w:rPr>
        <w:t xml:space="preserve">。    </w:t>
      </w:r>
    </w:p>
    <w:p>
      <w:pPr>
        <w:pStyle w:val="5"/>
        <w:spacing w:after="0" w:line="360" w:lineRule="auto"/>
        <w:ind w:firstLine="422" w:firstLineChars="200"/>
        <w:jc w:val="left"/>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详见：广州交易集团有限公司（广州公共资源交易中心）网站。</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 xml:space="preserve">13.4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13.5.1中标的投标文件工程量清单中已有相同项目的适用综合单价，则沿用</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w:t>
      </w:r>
      <w:r>
        <w:rPr>
          <w:rFonts w:hint="eastAsia" w:ascii="宋体" w:hAnsi="宋体" w:eastAsia="宋体" w:cs="宋体"/>
          <w:b/>
          <w:color w:val="auto"/>
          <w:szCs w:val="21"/>
          <w:highlight w:val="none"/>
        </w:rPr>
        <w:t xml:space="preserve">号：15.2 </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color w:val="auto"/>
          <w:szCs w:val="21"/>
          <w:highlight w:val="none"/>
          <w:lang w:eastAsia="zh-CN"/>
        </w:rPr>
        <w:t>。</w:t>
      </w:r>
    </w:p>
    <w:p>
      <w:pPr>
        <w:pBdr>
          <w:bottom w:val="single" w:color="auto" w:sz="6" w:space="1"/>
        </w:pBdr>
        <w:spacing w:line="360" w:lineRule="auto"/>
        <w:ind w:firstLine="527" w:firstLineChars="25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15.2 在特殊情况下，招标人在原定投标有效期内，可以根据需要以书面形式向投标人提出延长投标有效期的要求，对此要求投标人须以书面形式予以答复</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投标人可以拒绝招标人这种要求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同意延长投标有效期的投标人既不能要求也不允许修改其投标文件</w:t>
      </w:r>
      <w:r>
        <w:rPr>
          <w:rFonts w:hint="eastAsia" w:ascii="宋体" w:hAnsi="宋体" w:cs="宋体"/>
          <w:color w:val="auto"/>
          <w:szCs w:val="21"/>
          <w:highlight w:val="none"/>
          <w:lang w:eastAsia="zh-CN"/>
        </w:rPr>
        <w:t>。</w:t>
      </w:r>
    </w:p>
    <w:p>
      <w:pPr>
        <w:spacing w:line="48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条款号：16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eastAsia="zh-CN"/>
        </w:rPr>
        <w:t>删除</w:t>
      </w:r>
    </w:p>
    <w:p>
      <w:pPr>
        <w:pBdr>
          <w:bottom w:val="single" w:color="auto" w:sz="6" w:space="1"/>
        </w:pBdr>
        <w:spacing w:line="360" w:lineRule="auto"/>
        <w:ind w:firstLine="527" w:firstLineChars="250"/>
        <w:rPr>
          <w:rFonts w:hint="eastAsia" w:ascii="宋体" w:hAnsi="宋体" w:cs="宋体"/>
          <w:b w:val="0"/>
          <w:bCs/>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16．投标保证金</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16.1.1 采用现金或者支票形式提交的，投标保证金须从投标人的银行基本账户转出。</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16.1.3 采用电子形式的保函、担保或保证保险提交投标保证金的，应在招标文件中明确电子递交途径。</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16.3投标保证金应依据法律法规的相关规定退还。</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16.4.1因投标人原因造成投标文件未解密的；</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16.4.2投标人在投标有效期内撤销投标文件；</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16.4.3中标人未能在规定期限内按要求提交履约担保；</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16.4.4中标人未能在规定期限内签署合同协议。</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16.5投标人如存在下列情况之一的，将被拒绝在半年内参与招标人后续工程投标（注：拒绝投标时限由招标人视严重程度确定，最低三个月起，自招标人发出通知之日起计）：</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525" w:firstLineChars="250"/>
        <w:rPr>
          <w:rFonts w:hint="eastAsia" w:ascii="宋体" w:hAnsi="宋体" w:cs="宋体"/>
          <w:b w:val="0"/>
          <w:bCs/>
          <w:color w:val="auto"/>
          <w:szCs w:val="21"/>
          <w:highlight w:val="none"/>
        </w:rPr>
      </w:pPr>
      <w:r>
        <w:rPr>
          <w:rFonts w:hint="eastAsia" w:ascii="宋体" w:hAnsi="宋体" w:cs="宋体"/>
          <w:b w:val="0"/>
          <w:bCs/>
          <w:color w:val="auto"/>
          <w:szCs w:val="21"/>
          <w:highlight w:val="none"/>
        </w:rPr>
        <w:t>16.5.3按招标文件要求免于提供投标保证金的投标人存在16.4条款所列情形的。</w:t>
      </w:r>
    </w:p>
    <w:p>
      <w:pPr>
        <w:pBdr>
          <w:bottom w:val="single" w:color="auto" w:sz="6" w:space="1"/>
        </w:pBdr>
        <w:spacing w:line="360" w:lineRule="auto"/>
        <w:ind w:firstLine="525" w:firstLineChars="250"/>
        <w:rPr>
          <w:rFonts w:ascii="宋体" w:hAnsi="宋体" w:cs="宋体"/>
          <w:b w:val="0"/>
          <w:bCs/>
          <w:color w:val="auto"/>
          <w:szCs w:val="21"/>
          <w:highlight w:val="none"/>
        </w:rPr>
      </w:pPr>
      <w:r>
        <w:rPr>
          <w:rFonts w:hint="eastAsia" w:ascii="宋体" w:hAnsi="宋体" w:cs="宋体"/>
          <w:b w:val="0"/>
          <w:bCs/>
          <w:color w:val="auto"/>
          <w:szCs w:val="21"/>
          <w:highlight w:val="none"/>
        </w:rPr>
        <w:t>注：16.5.3款由招标人二选一，需在招标文件中明确。</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18、19</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hint="eastAsia" w:ascii="宋体" w:hAnsi="宋体" w:cs="宋体"/>
          <w:b/>
          <w:color w:val="auto"/>
          <w:szCs w:val="21"/>
          <w:highlight w:val="none"/>
        </w:rPr>
        <w:t>18．投标文件的密封和标记</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18.2 未按要求加密的投标文件，</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pStyle w:val="5"/>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color w:val="auto"/>
          <w:sz w:val="24"/>
          <w:szCs w:val="24"/>
          <w:highlight w:val="none"/>
          <w:u w:val="single"/>
        </w:rPr>
        <w:t xml:space="preserve">        </w:t>
      </w:r>
      <w:r>
        <w:rPr>
          <w:rFonts w:hint="eastAsia" w:ascii="宋体" w:hAnsi="宋体" w:cs="宋体"/>
          <w:bCs/>
          <w:color w:val="auto"/>
          <w:szCs w:val="21"/>
          <w:highlight w:val="none"/>
        </w:rPr>
        <w:t>交易平台递交电子投标文件。</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19.2投标人完成电子投标文件上传后，</w:t>
      </w:r>
      <w:r>
        <w:rPr>
          <w:color w:val="auto"/>
          <w:sz w:val="24"/>
          <w:szCs w:val="24"/>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r>
        <w:rPr>
          <w:rFonts w:hint="eastAsia" w:ascii="宋体" w:hAnsi="宋体"/>
          <w:color w:val="auto"/>
          <w:sz w:val="24"/>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bCs/>
          <w:color w:val="auto"/>
          <w:sz w:val="24"/>
          <w:highlight w:val="none"/>
        </w:rPr>
        <w:t>，</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spacing w:line="360" w:lineRule="auto"/>
        <w:ind w:firstLine="420" w:firstLineChars="200"/>
        <w:rPr>
          <w:rFonts w:ascii="宋体"/>
          <w:color w:val="auto"/>
          <w:sz w:val="24"/>
          <w:highlight w:val="none"/>
        </w:rPr>
      </w:pPr>
      <w:r>
        <w:rPr>
          <w:rFonts w:hint="eastAsia" w:ascii="宋体" w:hAnsi="宋体" w:cs="宋体"/>
          <w:bCs/>
          <w:color w:val="auto"/>
          <w:szCs w:val="21"/>
          <w:highlight w:val="none"/>
        </w:rPr>
        <w:t>19.4 投标截止前，招标人拒绝接收符合条件的投标文件，投标人可向招标投标监督机构投诉</w:t>
      </w:r>
      <w:r>
        <w:rPr>
          <w:rFonts w:hint="eastAsia"/>
          <w:color w:val="auto"/>
          <w:sz w:val="24"/>
          <w:szCs w:val="24"/>
          <w:highlight w:val="none"/>
        </w:rPr>
        <w:t>。</w:t>
      </w:r>
    </w:p>
    <w:p>
      <w:pPr>
        <w:spacing w:line="360" w:lineRule="auto"/>
        <w:ind w:firstLine="420" w:firstLineChars="200"/>
        <w:rPr>
          <w:rFonts w:ascii="宋体" w:hAnsi="宋体"/>
          <w:color w:val="auto"/>
          <w:sz w:val="24"/>
          <w:highlight w:val="none"/>
        </w:rPr>
      </w:pPr>
      <w:r>
        <w:rPr>
          <w:rFonts w:hint="eastAsia" w:ascii="宋体" w:hAnsi="宋体" w:cs="宋体"/>
          <w:bCs/>
          <w:color w:val="auto"/>
          <w:szCs w:val="21"/>
          <w:highlight w:val="none"/>
        </w:rPr>
        <w:t>19.5如技术标和经济标先后分别开启，</w:t>
      </w:r>
      <w:r>
        <w:rPr>
          <w:color w:val="auto"/>
          <w:sz w:val="24"/>
          <w:szCs w:val="24"/>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pPr>
        <w:pStyle w:val="5"/>
        <w:spacing w:after="0"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交易平台将予以拒收。</w:t>
      </w:r>
    </w:p>
    <w:p>
      <w:pPr>
        <w:pBdr>
          <w:bottom w:val="single" w:color="auto" w:sz="6" w:space="1"/>
        </w:pBdr>
        <w:spacing w:line="360" w:lineRule="auto"/>
        <w:ind w:firstLine="415" w:firstLineChars="198"/>
        <w:rPr>
          <w:color w:val="auto"/>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21.1 本须知前附表第17项规定的投标截止时间后送达的电子投标文件，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360" w:lineRule="auto"/>
        <w:ind w:firstLine="422" w:firstLineChars="200"/>
        <w:rPr>
          <w:rFonts w:hint="eastAsia" w:ascii="宋体" w:hAnsi="宋体" w:eastAsia="宋体"/>
          <w:b/>
          <w:bCs/>
          <w:color w:val="auto"/>
          <w:szCs w:val="21"/>
          <w:highlight w:val="none"/>
          <w:u w:val="single"/>
          <w:lang w:val="en-US" w:eastAsia="zh-CN"/>
        </w:rPr>
      </w:pPr>
      <w:r>
        <w:rPr>
          <w:rFonts w:hint="eastAsia"/>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r>
        <w:rPr>
          <w:rFonts w:hint="eastAsia" w:ascii="宋体" w:hAnsi="宋体"/>
          <w:b/>
          <w:bCs/>
          <w:color w:val="auto"/>
          <w:szCs w:val="21"/>
          <w:highlight w:val="none"/>
          <w:u w:val="single"/>
        </w:rPr>
        <w:t>注：投标人或其他利害关系人对评标结果有异议的，应当在中标候选人公示期间提出，人可以通过线下书面或线上的形式提出异议。选择线上异议方式的，应通过广交易建设工程电子交易系统进行，招标人也应通过广交易建设工程电子交易系统答复线上提交的异议。作出答复前，应当暂停招标投标活动。具体操作详见“广州交易集团有限公司《广州公共资源交易中心)门户网站首页-&gt;服务指南-&gt;系统帮助-操作手册-&gt;发起及受理异议操作指引”</w:t>
      </w:r>
      <w:r>
        <w:rPr>
          <w:rFonts w:hint="eastAsia" w:ascii="宋体" w:hAnsi="宋体"/>
          <w:b/>
          <w:bCs/>
          <w:color w:val="auto"/>
          <w:szCs w:val="21"/>
          <w:highlight w:val="none"/>
          <w:u w:val="single"/>
          <w:lang w:eastAsia="zh-CN"/>
        </w:rPr>
        <w:t>。</w:t>
      </w:r>
    </w:p>
    <w:p>
      <w:pPr>
        <w:pBdr>
          <w:bottom w:val="single" w:color="auto" w:sz="6" w:space="1"/>
        </w:pBdr>
        <w:spacing w:line="360" w:lineRule="auto"/>
        <w:ind w:firstLine="420" w:firstLineChars="200"/>
        <w:rPr>
          <w:color w:val="auto"/>
          <w:highlight w:val="none"/>
        </w:rPr>
      </w:pP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s="宋体"/>
          <w:color w:val="auto"/>
          <w:szCs w:val="21"/>
          <w:highlight w:val="none"/>
        </w:rPr>
        <w:t>交易平台。</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29.1 在申请支付预付款前，中标人应按本须知前附表第20项的规定向招标人提交履约担保。</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在申请支付预付款前，中标人未按上款的规定提交履约担保，招标人将不予支付预付款</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30.1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30.1</w:t>
      </w:r>
      <w:r>
        <w:rPr>
          <w:b/>
          <w:color w:val="auto"/>
          <w:szCs w:val="21"/>
          <w:highlight w:val="none"/>
        </w:rPr>
        <w:t xml:space="preserve"> </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31.1根据广州市政府相关文件的规定，向广州交易集团有限公司（广州公共资源交易中心）交纳交易服务费。</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32.3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33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272548"/>
      <w:bookmarkStart w:id="9" w:name="_Toc21525492"/>
      <w:r>
        <w:rPr>
          <w:rFonts w:hint="eastAsia"/>
          <w:color w:val="auto"/>
          <w:highlight w:val="none"/>
        </w:rPr>
        <w:t>三、投标须知通用条款</w:t>
      </w:r>
      <w:bookmarkEnd w:id="8"/>
      <w:bookmarkEnd w:id="9"/>
    </w:p>
    <w:p>
      <w:pPr>
        <w:pStyle w:val="8"/>
        <w:spacing w:before="156" w:after="156"/>
        <w:rPr>
          <w:color w:val="auto"/>
          <w:highlight w:val="none"/>
        </w:rPr>
      </w:pPr>
      <w:bookmarkStart w:id="10" w:name="_Toc21525493"/>
      <w:bookmarkStart w:id="11" w:name="_Toc2272549"/>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2" w:name="_Toc2272550"/>
      <w:bookmarkStart w:id="13" w:name="_Toc21525494"/>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5"/>
        <w:spacing w:after="0" w:line="360" w:lineRule="auto"/>
        <w:ind w:left="-2"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s="宋体"/>
          <w:color w:val="auto"/>
          <w:szCs w:val="21"/>
          <w:highlight w:val="none"/>
        </w:rPr>
      </w:pPr>
      <w:r>
        <w:rPr>
          <w:rFonts w:hint="eastAsia" w:ascii="宋体"/>
          <w:color w:val="auto"/>
          <w:sz w:val="24"/>
          <w:highlight w:val="none"/>
          <w:u w:val="single"/>
        </w:rPr>
        <w:t>8.4若招标答疑纪要与招标文件有矛盾时，以广州交易集团有限公司（广州公共资源交易中心）交易平台最后发布的答疑纪要为准。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4" w:name="_Toc21525495"/>
      <w:bookmarkStart w:id="15" w:name="_Toc2272551"/>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11.2投标文件技术标部分主要包括下列内容:</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11.2.1 技术标投标书(按招标文件第四章附件一的要求填写)；</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11.2.2 资格审查文件：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（1）投标人声明（须按本工程招标公告附件一格式）；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（2）法定代表人证明书、法定代表人签字或盖章的本投标文件授权委托证明书；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（3）企业营业执照（提供证书扫描件）；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（4）企业资质证书（提供证书扫描件）；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（5）建筑施工企业安全生产许可证（提供证书扫描件）；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（6）项目负责人（按网上投标登记时选择拟投标的项目负责人）；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（7）专职安全员（按网上</w:t>
      </w:r>
      <w:r>
        <w:rPr>
          <w:rFonts w:hint="eastAsia" w:ascii="宋体" w:hAnsi="宋体" w:cs="宋体"/>
          <w:color w:val="auto"/>
          <w:sz w:val="24"/>
          <w:szCs w:val="24"/>
          <w:highlight w:val="none"/>
          <w:u w:val="single"/>
        </w:rPr>
        <w:t>投标登记时选择拟投标的专职安全员）；</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（8）拟委托技术负责人的职称证书；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（9）拟委派项目负责人的建造师注册证书（提供证书扫描件）；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u w:val="single"/>
          <w:lang w:val="en-US" w:eastAsia="zh-CN"/>
        </w:rPr>
        <w:t>项目负责人安全生产考核合格证（B类）或建筑施工企业项目负责人安全生产考核合格证扫描件</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（11）专职安全员须具有在有效期内的安全生产考核合格证（C类）或建筑施工企业专职安全生产管理人员安全生产考核合格证书（C3）（提供证书扫描件）；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（12）投标登记前，投标人</w:t>
      </w:r>
      <w:r>
        <w:rPr>
          <w:rFonts w:hint="eastAsia" w:ascii="宋体" w:hAnsi="宋体" w:cs="宋体"/>
          <w:color w:val="auto"/>
          <w:sz w:val="24"/>
          <w:szCs w:val="24"/>
          <w:highlight w:val="none"/>
          <w:u w:val="single"/>
        </w:rPr>
        <w:t>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11.2.3《施工</w:t>
      </w:r>
      <w:r>
        <w:rPr>
          <w:rFonts w:hint="eastAsia" w:ascii="宋体" w:hAnsi="宋体" w:cs="宋体"/>
          <w:color w:val="auto"/>
          <w:sz w:val="24"/>
          <w:szCs w:val="24"/>
          <w:highlight w:val="none"/>
          <w:u w:val="single"/>
          <w:lang w:val="zh-CN"/>
        </w:rPr>
        <w:t>项目管理团队人员信息表</w:t>
      </w:r>
      <w:r>
        <w:rPr>
          <w:rFonts w:hint="eastAsia" w:ascii="宋体" w:hAnsi="宋体" w:cs="宋体"/>
          <w:color w:val="auto"/>
          <w:sz w:val="24"/>
          <w:szCs w:val="24"/>
          <w:highlight w:val="none"/>
          <w:u w:val="single"/>
        </w:rPr>
        <w:t>》（格式见第四章）</w:t>
      </w:r>
      <w:r>
        <w:rPr>
          <w:rFonts w:hint="eastAsia" w:ascii="宋体" w:hAnsi="宋体" w:cs="宋体"/>
          <w:color w:val="auto"/>
          <w:sz w:val="24"/>
          <w:szCs w:val="24"/>
          <w:highlight w:val="none"/>
          <w:u w:val="single"/>
          <w:lang w:val="zh-CN"/>
        </w:rPr>
        <w:t>。</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11.2.4企业技术标得分证明材料（按《技术标详细审查评分表》要求提交，格式见第四章，无规定格式要求的，格式自拟）。</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u w:val="single"/>
          <w:lang w:val="zh-CN"/>
        </w:rPr>
        <w:t>按照招标文件要求填写的《参与编制技术标投标文件人员名单》（格式见第四章）。</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w:t>
      </w:r>
      <w:r>
        <w:rPr>
          <w:rFonts w:hint="eastAsia" w:ascii="宋体" w:hAnsi="宋体" w:cs="宋体"/>
          <w:color w:val="auto"/>
          <w:sz w:val="24"/>
          <w:szCs w:val="24"/>
          <w:highlight w:val="none"/>
          <w:u w:val="single"/>
        </w:rPr>
        <w:t>6</w:t>
      </w:r>
      <w:r>
        <w:rPr>
          <w:rFonts w:hint="eastAsia" w:ascii="宋体" w:hAnsi="宋体" w:cs="宋体"/>
          <w:color w:val="auto"/>
          <w:sz w:val="24"/>
          <w:szCs w:val="24"/>
          <w:highlight w:val="none"/>
          <w:u w:val="single"/>
          <w:lang w:val="zh-CN"/>
        </w:rPr>
        <w:t>响应招标文件所附施工组织设计要点承诺书（格式见第四章）。</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u w:val="single"/>
          <w:lang w:val="zh-CN"/>
        </w:rPr>
        <w:t>危险性较大的分部分项工程清单及超过一定规模的危险性较大的分部分项工程清单（格式见第四章）。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11.2.8投标人认为应提供的其他资料。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经济标投标书</w:t>
      </w:r>
      <w:r>
        <w:rPr>
          <w:rFonts w:hint="eastAsia" w:ascii="宋体" w:hAnsi="宋体" w:cs="宋体"/>
          <w:color w:val="auto"/>
          <w:sz w:val="24"/>
          <w:szCs w:val="24"/>
          <w:highlight w:val="none"/>
        </w:rPr>
        <w:t>(按招标文件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rPr>
        <w:t>的要求填写)。</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（1）投标总价封面、扉页；</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（2）总说明</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5"/>
        <w:ind w:left="0" w:leftChars="0" w:firstLine="480"/>
        <w:rPr>
          <w:color w:val="auto"/>
          <w:highlight w:val="none"/>
          <w:u w:val="single"/>
        </w:rPr>
      </w:pPr>
      <w:r>
        <w:rPr>
          <w:rFonts w:hint="eastAsia" w:ascii="宋体" w:hAnsi="宋体"/>
          <w:color w:val="auto"/>
          <w:sz w:val="24"/>
          <w:szCs w:val="22"/>
          <w:highlight w:val="none"/>
          <w:u w:val="single"/>
        </w:rPr>
        <w:t>11.3.5</w:t>
      </w:r>
      <w:r>
        <w:rPr>
          <w:rFonts w:hint="eastAsia" w:ascii="宋体" w:hAnsi="宋体" w:cs="宋体"/>
          <w:color w:val="auto"/>
          <w:sz w:val="24"/>
          <w:highlight w:val="none"/>
          <w:u w:val="single"/>
        </w:rPr>
        <w:t>《对投标文件编制的承诺》及《投标文件编制情况》（格式见第四章）</w:t>
      </w:r>
      <w:r>
        <w:rPr>
          <w:rFonts w:hint="eastAsia" w:ascii="宋体" w:hAnsi="宋体" w:cs="宋体"/>
          <w:color w:val="auto"/>
          <w:szCs w:val="21"/>
          <w:highlight w:val="none"/>
          <w:u w:val="singl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 xml:space="preserve">。 </w:t>
      </w:r>
      <w:r>
        <w:rPr>
          <w:rFonts w:hint="eastAsia"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13.1本工程的投标报价采用投标须知前附表第12项所规定的方式。投标报价（含单价及总价）精确到“分”。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color w:val="auto"/>
          <w:sz w:val="24"/>
          <w:highlight w:val="none"/>
          <w:lang w:eastAsia="zh-CN"/>
        </w:rPr>
        <w:t>，</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color w:val="auto"/>
          <w:sz w:val="24"/>
          <w:highlight w:val="none"/>
          <w:lang w:eastAsia="zh-CN"/>
        </w:rPr>
        <w:t>。</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p>
    <w:p>
      <w:pPr>
        <w:pStyle w:val="5"/>
        <w:spacing w:after="0" w:line="360" w:lineRule="auto"/>
        <w:ind w:firstLine="482" w:firstLineChars="200"/>
        <w:rPr>
          <w:rFonts w:ascii="宋体"/>
          <w:b/>
          <w:bCs/>
          <w:strike/>
          <w:dstrike w:val="0"/>
          <w:color w:val="auto"/>
          <w:sz w:val="24"/>
          <w:highlight w:val="none"/>
        </w:rPr>
      </w:pPr>
      <w:r>
        <w:rPr>
          <w:rFonts w:ascii="宋体" w:hAnsi="宋体"/>
          <w:b/>
          <w:bCs/>
          <w:strike/>
          <w:dstrike w:val="0"/>
          <w:color w:val="auto"/>
          <w:sz w:val="24"/>
          <w:highlight w:val="none"/>
        </w:rPr>
        <w:t>16</w:t>
      </w:r>
      <w:r>
        <w:rPr>
          <w:rFonts w:hint="eastAsia" w:ascii="宋体" w:hAnsi="宋体"/>
          <w:b/>
          <w:bCs/>
          <w:strike/>
          <w:dstrike w:val="0"/>
          <w:color w:val="auto"/>
          <w:sz w:val="24"/>
          <w:highlight w:val="none"/>
        </w:rPr>
        <w:t>．投标保证金</w:t>
      </w:r>
    </w:p>
    <w:p>
      <w:pPr>
        <w:spacing w:line="360" w:lineRule="auto"/>
        <w:ind w:firstLine="480" w:firstLineChars="200"/>
        <w:rPr>
          <w:rFonts w:ascii="宋体" w:hAnsi="宋体"/>
          <w:strike/>
          <w:dstrike w:val="0"/>
          <w:color w:val="auto"/>
          <w:sz w:val="24"/>
          <w:highlight w:val="none"/>
        </w:rPr>
      </w:pPr>
      <w:r>
        <w:rPr>
          <w:rFonts w:ascii="宋体" w:hAnsi="宋体"/>
          <w:strike/>
          <w:dstrike w:val="0"/>
          <w:color w:val="auto"/>
          <w:sz w:val="24"/>
          <w:highlight w:val="none"/>
        </w:rPr>
        <w:t>16.1</w:t>
      </w:r>
      <w:r>
        <w:rPr>
          <w:rFonts w:hint="eastAsia" w:ascii="宋体" w:hAnsi="宋体"/>
          <w:strike/>
          <w:dstrike w:val="0"/>
          <w:color w:val="auto"/>
          <w:sz w:val="24"/>
          <w:highlight w:val="none"/>
        </w:rPr>
        <w:t>投标人应按投标须知前附表第</w:t>
      </w:r>
      <w:r>
        <w:rPr>
          <w:rFonts w:ascii="宋体" w:hAnsi="宋体"/>
          <w:strike/>
          <w:dstrike w:val="0"/>
          <w:color w:val="auto"/>
          <w:sz w:val="24"/>
          <w:highlight w:val="none"/>
        </w:rPr>
        <w:t>14</w:t>
      </w:r>
      <w:r>
        <w:rPr>
          <w:rFonts w:hint="eastAsia" w:ascii="宋体" w:hAnsi="宋体"/>
          <w:strike/>
          <w:dstrike w:val="0"/>
          <w:color w:val="auto"/>
          <w:sz w:val="24"/>
          <w:highlight w:val="none"/>
        </w:rPr>
        <w:t>项所述金额和时间递交</w:t>
      </w:r>
      <w:r>
        <w:rPr>
          <w:rFonts w:hint="eastAsia" w:ascii="宋体" w:hAnsi="宋体"/>
          <w:bCs/>
          <w:strike/>
          <w:dstrike w:val="0"/>
          <w:color w:val="auto"/>
          <w:sz w:val="24"/>
          <w:highlight w:val="none"/>
        </w:rPr>
        <w:t>投标保证金</w:t>
      </w:r>
      <w:r>
        <w:rPr>
          <w:rFonts w:hint="eastAsia" w:ascii="宋体" w:hAnsi="宋体"/>
          <w:strike/>
          <w:dstrike w:val="0"/>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16.3投标保证金应依据法律法规的相关规定退还。</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16.4.1因投标人原因造成投标文件未解密的；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16.4.2投标人在投标有效期内撤销投标文件；</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16.4.3中标人未能在规定期限内按要求提交履约担保；</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16.4.4中标人未能在规定期限内签署合同协议。</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16.5投标人如存在下列情况之一的，将被拒绝在半年内参与招标人后续工程投标</w:t>
      </w:r>
      <w:r>
        <w:rPr>
          <w:rFonts w:hint="eastAsia" w:ascii="宋体" w:hAnsi="宋体" w:cs="宋体"/>
          <w:strike/>
          <w:dstrike w:val="0"/>
          <w:color w:val="auto"/>
          <w:sz w:val="24"/>
          <w:highlight w:val="none"/>
        </w:rPr>
        <w:t>（</w:t>
      </w:r>
      <w:r>
        <w:rPr>
          <w:rFonts w:hint="eastAsia" w:ascii="宋体" w:hAnsi="宋体" w:cs="宋体"/>
          <w:strike/>
          <w:dstrike w:val="0"/>
          <w:color w:val="auto"/>
          <w:sz w:val="24"/>
          <w:highlight w:val="none"/>
          <w:u w:val="single"/>
        </w:rPr>
        <w:t>注：拒绝投标时限由招标人视严重程度确定，最低三个月起，自招标人发出通知之日起计</w:t>
      </w:r>
      <w:r>
        <w:rPr>
          <w:rFonts w:hint="eastAsia" w:ascii="宋体" w:hAnsi="宋体" w:cs="宋体"/>
          <w:strike/>
          <w:dstrike w:val="0"/>
          <w:color w:val="auto"/>
          <w:sz w:val="24"/>
          <w:highlight w:val="none"/>
        </w:rPr>
        <w:t>）</w:t>
      </w:r>
      <w:r>
        <w:rPr>
          <w:rFonts w:hint="eastAsia" w:ascii="宋体" w:hAnsi="宋体"/>
          <w:strike/>
          <w:dstrike w:val="0"/>
          <w:color w:val="auto"/>
          <w:sz w:val="24"/>
          <w:highlight w:val="none"/>
        </w:rPr>
        <w:t>：</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16.5.3按招标文件要求免于提供投标保证金的投标人存在16.4条款所列情形的。</w:t>
      </w:r>
    </w:p>
    <w:p>
      <w:pPr>
        <w:spacing w:line="360" w:lineRule="auto"/>
        <w:ind w:firstLine="480" w:firstLineChars="200"/>
        <w:rPr>
          <w:rFonts w:ascii="宋体"/>
          <w:strike/>
          <w:dstrike w:val="0"/>
          <w:color w:val="auto"/>
          <w:sz w:val="24"/>
          <w:highlight w:val="none"/>
        </w:rPr>
      </w:pPr>
      <w:r>
        <w:rPr>
          <w:rFonts w:hint="eastAsia" w:ascii="宋体" w:hAnsi="宋体"/>
          <w:strike/>
          <w:dstrike w:val="0"/>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olor w:val="auto"/>
          <w:sz w:val="24"/>
          <w:highlight w:val="none"/>
        </w:rPr>
        <w:t>。</w:t>
      </w:r>
    </w:p>
    <w:p>
      <w:pPr>
        <w:pStyle w:val="8"/>
        <w:spacing w:before="156" w:after="156"/>
        <w:rPr>
          <w:color w:val="auto"/>
          <w:highlight w:val="none"/>
        </w:rPr>
      </w:pPr>
      <w:bookmarkStart w:id="16" w:name="_Toc21525496"/>
      <w:bookmarkStart w:id="17" w:name="_Toc2272552"/>
      <w:r>
        <w:rPr>
          <w:rFonts w:hint="eastAsia"/>
          <w:color w:val="auto"/>
          <w:highlight w:val="none"/>
        </w:rPr>
        <w:t>（四）投标文件的提交</w:t>
      </w:r>
      <w:bookmarkEnd w:id="16"/>
      <w:bookmarkEnd w:id="17"/>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18.1递交的电子投标文件（不含备用光盘）必须进行加密。按照交易平台关于全流程电子化项目的相关指南进行操作。详见：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18.2 未按要求加密的投标文件，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交易平台递交电子投标文件。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19.2投标人完成电子投标文件上传后</w:t>
      </w:r>
      <w:r>
        <w:rPr>
          <w:rFonts w:hint="eastAsia" w:ascii="宋体" w:hAnsi="宋体" w:cs="宋体"/>
          <w:bCs/>
          <w:color w:val="auto"/>
          <w:szCs w:val="21"/>
          <w:highlight w:val="none"/>
        </w:rPr>
        <w:t>，</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s="宋体"/>
          <w:bCs/>
          <w:color w:val="auto"/>
          <w:szCs w:val="21"/>
          <w:highlight w:val="none"/>
        </w:rPr>
        <w:t>，</w:t>
      </w:r>
      <w:r>
        <w:rPr>
          <w:rFonts w:hint="eastAsia" w:ascii="宋体" w:hAnsi="宋体"/>
          <w:color w:val="auto"/>
          <w:sz w:val="24"/>
          <w:highlight w:val="none"/>
          <w:u w:val="single"/>
        </w:rPr>
        <w:t xml:space="preserve">广州交易集团有限公司（广州公共资源交易中心） </w:t>
      </w:r>
      <w:r>
        <w:rPr>
          <w:rFonts w:hint="eastAsia" w:ascii="宋体" w:hAnsi="宋体"/>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8" w:name="_Toc2272553"/>
      <w:bookmarkStart w:id="19" w:name="_Toc21525497"/>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u w:val="single"/>
        </w:rPr>
        <w:t>27.1招标人将在广州交易集团有限公司（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color w:val="auto"/>
          <w:szCs w:val="21"/>
          <w:highlight w:val="none"/>
          <w:u w:val="single"/>
        </w:rPr>
        <w:t>注：投标人或其他利害关系人对评标结果有异议的，应当在中标候选人公示期间提出，人可以通过线下书面或线上的形式提出异议。选择线上异议方式的，应通过广交易建设工程电子交易系统进行，招标人也应通过广交易建设工程电子交易系统答复线上提交的异议。作出答复前，应当暂停招标投标活动。具体操作详见“广州交易集团有限公司《广州公共资源交易中心)门户网站首页-&gt;服务指南-&gt;系统帮助-操作手册-&gt;发起及受理异议操作指引”</w:t>
      </w:r>
      <w:r>
        <w:rPr>
          <w:rFonts w:hint="eastAsia" w:ascii="宋体" w:hAnsi="宋体"/>
          <w:b/>
          <w:bCs/>
          <w:color w:val="auto"/>
          <w:szCs w:val="21"/>
          <w:highlight w:val="none"/>
          <w:u w:val="single"/>
          <w:lang w:eastAsia="zh-CN"/>
        </w:rPr>
        <w:t>。</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27.4在产生中标候选人后，招标人将中标候选人的投标文件商务部分文件的所有内容（包括人员、业绩、奖项等资料）在广州交易集团有限公司（广州公共资源交易中心）交易平台。</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w:t>
      </w:r>
      <w:r>
        <w:rPr>
          <w:rFonts w:hint="eastAsia" w:ascii="宋体" w:hAnsi="宋体"/>
          <w:strike/>
          <w:dstrike w:val="0"/>
          <w:color w:val="auto"/>
          <w:sz w:val="24"/>
          <w:highlight w:val="none"/>
        </w:rPr>
        <w:t>原中标人给招标人造成的损失超过投标保证金数额的，还应当对超过部分予以赔偿。</w:t>
      </w:r>
      <w:r>
        <w:rPr>
          <w:rFonts w:hint="eastAsia" w:ascii="宋体" w:hAnsi="宋体"/>
          <w:color w:val="auto"/>
          <w:sz w:val="24"/>
          <w:highlight w:val="none"/>
        </w:rPr>
        <w:t>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30.1</w:t>
      </w:r>
      <w:r>
        <w:rPr>
          <w:rFonts w:hint="eastAsia" w:ascii="宋体" w:hAnsi="宋体"/>
          <w:color w:val="auto"/>
          <w:sz w:val="24"/>
          <w:highlight w:val="none"/>
          <w:u w:val="single"/>
        </w:rPr>
        <w:t>合同自发包人、承包人双方法定代表人或委托代理人签字并加盖公章之日起生效。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31.1根据广州市政府相关文件的规定，向广州交易集团有限公司（广州公共资源交易中心）交纳交易服务费。</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rPr>
          <w:color w:val="auto"/>
          <w:highlight w:val="none"/>
        </w:rPr>
      </w:pPr>
      <w:bookmarkStart w:id="20" w:name="_Toc2272554"/>
      <w:bookmarkStart w:id="21" w:name="_Toc21525498"/>
    </w:p>
    <w:p>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0"/>
      <w:bookmarkEnd w:id="21"/>
    </w:p>
    <w:p>
      <w:pPr>
        <w:pStyle w:val="7"/>
        <w:rPr>
          <w:color w:val="auto"/>
          <w:highlight w:val="none"/>
        </w:rPr>
      </w:pPr>
      <w:bookmarkStart w:id="22" w:name="_Toc2272555"/>
      <w:bookmarkStart w:id="23" w:name="_Toc21525499"/>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szCs w:val="21"/>
          <w:highlight w:val="none"/>
        </w:rPr>
        <w:t>http://zfcj.gz.gov.cn/</w:t>
      </w:r>
      <w:r>
        <w:rPr>
          <w:rFonts w:hint="eastAsia"/>
          <w:b/>
          <w:color w:val="auto"/>
          <w:szCs w:val="21"/>
          <w:highlight w:val="none"/>
        </w:rPr>
        <w:t>）下载GZZB2018-3范本查阅。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ascii="宋体" w:hAnsi="宋体" w:cs="宋体"/>
          <w:color w:val="auto"/>
          <w:szCs w:val="21"/>
          <w:highlight w:val="none"/>
        </w:rPr>
        <w:t>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36.5.1在投标截止时间后一小时内，投标人通过交易平台对已递交的电子投标文件进行解密。投标人完成解密后，再由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39.3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rFonts w:ascii="宋体" w:hAnsi="宋体"/>
          <w:color w:val="auto"/>
          <w:sz w:val="24"/>
          <w:szCs w:val="24"/>
          <w:highlight w:val="none"/>
        </w:rPr>
      </w:pPr>
      <w:r>
        <w:rPr>
          <w:rFonts w:hint="eastAsia"/>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szCs w:val="21"/>
          <w:highlight w:val="none"/>
          <w:u w:val="singl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或经核查发现委派的项目负责人已在其他在建项目中任职的，</w:t>
      </w:r>
      <w:r>
        <w:rPr>
          <w:rFonts w:hint="eastAsia"/>
          <w:bCs/>
          <w:color w:val="auto"/>
          <w:szCs w:val="21"/>
          <w:highlight w:val="none"/>
          <w:u w:val="single"/>
        </w:rPr>
        <w:t>招标人可以确定排名第二的中标候选人为中标人。</w:t>
      </w:r>
    </w:p>
    <w:p>
      <w:pPr>
        <w:pStyle w:val="5"/>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3"/>
          <w:rFonts w:ascii="宋体" w:hAnsi="宋体" w:cs="宋体"/>
          <w:color w:val="auto"/>
          <w:highlight w:val="none"/>
        </w:rPr>
      </w:pPr>
      <w:r>
        <w:rPr>
          <w:rFonts w:hint="eastAsia" w:ascii="宋体" w:hAnsi="宋体" w:cs="宋体"/>
          <w:b/>
          <w:color w:val="auto"/>
          <w:szCs w:val="21"/>
          <w:highlight w:val="none"/>
        </w:rPr>
        <w:t>原文：</w:t>
      </w: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一（适合</w:t>
      </w:r>
      <w:r>
        <w:rPr>
          <w:rStyle w:val="43"/>
          <w:rFonts w:hint="eastAsia" w:ascii="宋体" w:hAnsi="宋体" w:cs="宋体"/>
          <w:color w:val="auto"/>
          <w:kern w:val="0"/>
          <w:highlight w:val="none"/>
        </w:rPr>
        <w:t>综合评分法一</w:t>
      </w:r>
      <w:r>
        <w:rPr>
          <w:rStyle w:val="43"/>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3"/>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41.2.1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48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Cs w:val="21"/>
          <w:highlight w:val="none"/>
        </w:rPr>
        <w:t>4</w:t>
      </w:r>
      <w:r>
        <w:rPr>
          <w:rFonts w:hint="eastAsia" w:ascii="宋体" w:hAnsi="宋体" w:cs="宋体"/>
          <w:color w:val="auto"/>
          <w:szCs w:val="21"/>
          <w:highlight w:val="none"/>
        </w:rPr>
        <w:t>1.2.2开标前，首先由招标人随机抽取确定该工程计算评标参考价的等分点值X。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b/>
          <w:bCs/>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w:t>
      </w:r>
    </w:p>
    <w:p>
      <w:pPr>
        <w:numPr>
          <w:ilvl w:val="0"/>
          <w:numId w:val="0"/>
        </w:numPr>
        <w:pBdr>
          <w:bottom w:val="single" w:color="auto" w:sz="6" w:space="1"/>
        </w:pBdr>
        <w:spacing w:line="480" w:lineRule="auto"/>
        <w:ind w:firstLine="470" w:firstLineChars="224"/>
        <w:rPr>
          <w:rFonts w:hint="eastAsia" w:ascii="宋体" w:hAnsi="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u w:val="single"/>
        </w:rPr>
        <w:t>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u w:val="single"/>
        </w:rPr>
        <w:t>41.2.4.1</w:t>
      </w:r>
      <w:r>
        <w:rPr>
          <w:rFonts w:hint="eastAsia" w:ascii="宋体" w:hAnsi="宋体" w:cs="宋体"/>
          <w:b/>
          <w:color w:val="auto"/>
          <w:szCs w:val="21"/>
          <w:highlight w:val="none"/>
        </w:rPr>
        <w:t xml:space="preserve">            修改类型：修改</w:t>
      </w:r>
    </w:p>
    <w:p>
      <w:pPr>
        <w:numPr>
          <w:ilvl w:val="0"/>
          <w:numId w:val="0"/>
        </w:numPr>
        <w:pBdr>
          <w:bottom w:val="single" w:color="auto" w:sz="6" w:space="1"/>
        </w:pBdr>
        <w:spacing w:line="48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pPr>
        <w:numPr>
          <w:ilvl w:val="0"/>
          <w:numId w:val="0"/>
        </w:numPr>
        <w:pBdr>
          <w:bottom w:val="single" w:color="auto" w:sz="6" w:space="1"/>
        </w:pBdr>
        <w:spacing w:line="48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80" w:lineRule="auto"/>
        <w:ind w:firstLine="470" w:firstLineChars="224"/>
        <w:rPr>
          <w:color w:val="auto"/>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44.1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jc w:val="left"/>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color w:val="auto"/>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若所有通过技术标有效性审查的投标人的投标价均大于等于最高投标限价*D%（D的取值为100）的（具体金额为：18687471.85元），则本项目招标失败，由招标人依法重新招标。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45.2  </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hAns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 xml:space="preserve"> </w:t>
      </w:r>
      <w:r>
        <w:rPr>
          <w:rFonts w:hint="eastAsia" w:ascii="宋体" w:hAnsi="宋体" w:cs="宋体"/>
          <w:color w:val="auto"/>
          <w:szCs w:val="21"/>
          <w:highlight w:val="none"/>
        </w:rPr>
        <w:t>45.2按方法    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u w:val="single"/>
        </w:rPr>
        <w:t>通过技术标有效性审查且经济报价在[工程成本警戒价, 招标控制价]区间的投标人的技术标得分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名（N＝5；当N不足5名时，取满足前述条件的投标人个数）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45.3</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45.3当标价等于评</w:t>
      </w:r>
      <w:r>
        <w:rPr>
          <w:rFonts w:hint="eastAsia" w:ascii="宋体" w:hAnsi="宋体" w:cs="宋体"/>
          <w:color w:val="auto"/>
          <w:szCs w:val="21"/>
          <w:highlight w:val="none"/>
        </w:rPr>
        <w:t>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w:t>
      </w:r>
      <w:r>
        <w:rPr>
          <w:rFonts w:hint="eastAsia" w:ascii="宋体" w:hAnsi="宋体" w:cs="宋体"/>
          <w:color w:val="auto"/>
          <w:highlight w:val="none"/>
          <w:u w:val="single"/>
        </w:rPr>
        <w:t>5.4计算通过技术标有效性审查的投标人总得分。投标人总得分=技术得分（</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0分）×＋经济得分（满分100分）×经济得分权重（</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0%）。技术、经济得分权重按投标须知前附表</w:t>
      </w:r>
      <w:r>
        <w:rPr>
          <w:rFonts w:hint="eastAsia" w:ascii="宋体" w:hAnsi="宋体" w:cs="宋体"/>
          <w:color w:val="auto"/>
          <w:szCs w:val="21"/>
          <w:highlight w:val="none"/>
        </w:rPr>
        <w:t>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条款号：46.1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w:t>
      </w:r>
      <w:r>
        <w:rPr>
          <w:rFonts w:hint="eastAsia" w:ascii="宋体" w:hAnsi="宋体" w:eastAsia="宋体" w:cs="宋体"/>
          <w:b/>
          <w:color w:val="auto"/>
          <w:szCs w:val="21"/>
          <w:highlight w:val="none"/>
        </w:rPr>
        <w:t xml:space="preserve">号：46.2.8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color w:val="auto"/>
          <w:szCs w:val="21"/>
          <w:highlight w:val="none"/>
          <w:u w:val="none"/>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u w:val="single"/>
        </w:rPr>
        <w:t>46.2.8按上述修正错误的原则及方法调整或修正投标文件的投标报价，调整后的投标报价对投标人起约束作用。如果投标人不接受修正后的报价，则取消其投标资格。</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附表一：《资格审查表》   附表二：《技术标有效性审查表》  附表三：《经济标有效性审查表》  附表四：《技术标详细审查评分表》  附表五《经济标评分表》</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24" w:name="_Toc21525500"/>
      <w:bookmarkStart w:id="25" w:name="_Toc2272556"/>
      <w:r>
        <w:rPr>
          <w:rFonts w:hint="eastAsia"/>
          <w:color w:val="auto"/>
          <w:highlight w:val="none"/>
        </w:rPr>
        <w:t>二、开标、评标及定标办法</w:t>
      </w:r>
      <w:r>
        <w:rPr>
          <w:rFonts w:hint="eastAsia"/>
          <w:color w:val="auto"/>
          <w:szCs w:val="30"/>
          <w:highlight w:val="none"/>
        </w:rPr>
        <w:t>通用条款</w:t>
      </w:r>
      <w:bookmarkEnd w:id="24"/>
      <w:bookmarkEnd w:id="25"/>
    </w:p>
    <w:p>
      <w:pPr>
        <w:pStyle w:val="8"/>
        <w:spacing w:before="156" w:after="156"/>
        <w:ind w:firstLine="540" w:firstLineChars="200"/>
        <w:rPr>
          <w:color w:val="auto"/>
          <w:highlight w:val="none"/>
        </w:rPr>
      </w:pPr>
      <w:bookmarkStart w:id="26" w:name="_Toc21525501"/>
      <w:bookmarkStart w:id="27" w:name="_Toc2272557"/>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36.</w:t>
      </w:r>
      <w:r>
        <w:rPr>
          <w:rFonts w:hint="eastAsia" w:ascii="宋体" w:hAnsi="宋体"/>
          <w:color w:val="auto"/>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36.5.1在投标截止时间后半小时内，投标人通过交易平台对已递交的电子投标文件进行解密。投标人完成解密后，再由招标人或招标代理机构进行解密。解密完成后，公布招标项目名称、投标人名称、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28" w:name="_Toc2272558"/>
      <w:bookmarkStart w:id="29" w:name="_Toc21525502"/>
      <w:r>
        <w:rPr>
          <w:rFonts w:hint="eastAsia"/>
          <w:color w:val="auto"/>
          <w:highlight w:val="none"/>
        </w:rPr>
        <w:t>（二）开标评标办法程序和细则</w:t>
      </w:r>
      <w:bookmarkEnd w:id="28"/>
      <w:bookmarkEnd w:id="2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8"/>
        <w:spacing w:before="156" w:after="156"/>
        <w:ind w:firstLine="540" w:firstLineChars="200"/>
        <w:rPr>
          <w:color w:val="auto"/>
          <w:highlight w:val="none"/>
        </w:rPr>
      </w:pPr>
      <w:bookmarkStart w:id="30" w:name="_Toc21525509"/>
      <w:bookmarkStart w:id="31" w:name="_Toc2272564"/>
      <w:r>
        <w:rPr>
          <w:rFonts w:hint="eastAsia"/>
          <w:color w:val="auto"/>
          <w:highlight w:val="none"/>
        </w:rPr>
        <w:t>可选办法七（适合综合评分法四，技术标与经济标同时开启）</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41.1开标由招标人或招标代理主持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val="0"/>
          <w:dstrike w:val="0"/>
          <w:color w:val="auto"/>
          <w:sz w:val="24"/>
          <w:szCs w:val="24"/>
          <w:highlight w:val="none"/>
        </w:rPr>
        <w:t>d、</w:t>
      </w:r>
      <w:r>
        <w:rPr>
          <w:rFonts w:hint="eastAsia" w:ascii="宋体"/>
          <w:color w:val="auto"/>
          <w:sz w:val="24"/>
          <w:szCs w:val="24"/>
          <w:highlight w:val="none"/>
        </w:rPr>
        <w:t>项目经理（负责人）名称；e、法定代表人证明及授权委托等主要内容及开标记录表中的其他必要内容。投标报价以数字和文字两种方式表述的，应公布文字表述的投标报价。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对开标过程进行记录，并存档备查，投标人在</w:t>
      </w:r>
      <w:r>
        <w:rPr>
          <w:rFonts w:hint="eastAsia" w:ascii="宋体"/>
          <w:color w:val="auto"/>
          <w:sz w:val="24"/>
          <w:szCs w:val="24"/>
          <w:highlight w:val="none"/>
          <w:u w:val="single"/>
        </w:rPr>
        <w:t>开标记录上</w:t>
      </w:r>
      <w:r>
        <w:rPr>
          <w:rFonts w:hint="eastAsia" w:ascii="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w:t>
      </w:r>
      <w:r>
        <w:rPr>
          <w:rFonts w:hint="eastAsia" w:ascii="宋体"/>
          <w:color w:val="auto"/>
          <w:sz w:val="24"/>
          <w:szCs w:val="24"/>
          <w:highlight w:val="none"/>
        </w:rPr>
        <w:t>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45.1若所有通过技术标有效性审查的投标人的投标价均大于等于最高投标限价*D%（D的取值为100）的（具体金额为：18687471.85元），则本项目招标失败，由招标人依法重新招标。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u w:val="singl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u w:val="single"/>
        </w:rPr>
        <w:t>计算评标参考价：</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评标参考价=Σ（投标人的投标报价*报价权重）。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其中：报价权重的计算方法为：将N名投标人按技术分由高至低进行排序，第一名投标人的权重为（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），第二名投标人的权重为（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），以此类推，最后一名投标人的权重为（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45.4计算通过技术标有效性审查的投标人总得分。投标人总得分=技术得分（</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u w:val="single"/>
        </w:rPr>
        <w:t>0分）＋经济得分（满分100分）×经济得分权重（</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rPr>
        <w:t>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w:t>
      </w:r>
      <w:r>
        <w:rPr>
          <w:rFonts w:hint="eastAsia" w:ascii="宋体" w:hAnsi="宋体" w:cs="宋体"/>
          <w:color w:val="auto"/>
          <w:kern w:val="0"/>
          <w:sz w:val="24"/>
          <w:szCs w:val="24"/>
          <w:highlight w:val="none"/>
          <w:u w:val="single"/>
        </w:rPr>
        <w:t>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w:t>
      </w:r>
      <w:r>
        <w:rPr>
          <w:rFonts w:hint="eastAsia" w:ascii="宋体" w:hAnsi="宋体"/>
          <w:color w:val="auto"/>
          <w:sz w:val="24"/>
          <w:szCs w:val="24"/>
          <w:highlight w:val="none"/>
          <w:u w:val="single"/>
        </w:rPr>
        <w:t>投标人排序</w:t>
      </w:r>
      <w:r>
        <w:rPr>
          <w:rFonts w:hint="eastAsia" w:ascii="宋体" w:hAnsi="宋体"/>
          <w:color w:val="auto"/>
          <w:sz w:val="24"/>
          <w:szCs w:val="24"/>
          <w:highlight w:val="none"/>
        </w:rPr>
        <w:t>，推荐前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6"/>
        <w:rPr>
          <w:color w:val="auto"/>
          <w:highlight w:val="none"/>
        </w:rPr>
      </w:pPr>
    </w:p>
    <w:p>
      <w:pPr>
        <w:rPr>
          <w:rFonts w:ascii="宋体" w:hAnsi="宋体"/>
          <w:color w:val="auto"/>
          <w:szCs w:val="21"/>
          <w:highlight w:val="none"/>
        </w:rPr>
      </w:pPr>
    </w:p>
    <w:p>
      <w:pPr>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w:t>
            </w:r>
            <w:r>
              <w:rPr>
                <w:rFonts w:hint="eastAsia" w:ascii="宋体" w:hAnsi="宋体"/>
                <w:color w:val="auto"/>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资质证书及安全生产许可证</w:t>
            </w:r>
            <w:r>
              <w:rPr>
                <w:rFonts w:hint="eastAsia" w:ascii="宋体" w:hAnsi="宋体"/>
                <w:color w:val="auto"/>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处于有效期内的注册建造师注册证书扫描件。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拟委托技术负责人的</w:t>
            </w:r>
            <w:r>
              <w:rPr>
                <w:rStyle w:val="117"/>
                <w:rFonts w:hint="eastAsia"/>
                <w:color w:val="auto"/>
                <w:sz w:val="21"/>
                <w:szCs w:val="21"/>
                <w:highlight w:val="none"/>
                <w:lang w:val="en-US"/>
              </w:rPr>
              <w:t>市政类专业</w:t>
            </w:r>
            <w:r>
              <w:rPr>
                <w:rFonts w:hint="eastAsia" w:ascii="宋体" w:hAnsi="宋体" w:cs="宋体"/>
                <w:color w:val="auto"/>
                <w:szCs w:val="21"/>
                <w:highlight w:val="none"/>
              </w:rPr>
              <w:t>工程师或以上职称证书扫描件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投标登记前，投标人须在广州交易集团有限公司（广州公共资源交易中心）办理企业信息登记及拟担任本工程项目负责人、专职安全员须是本企业信息登记信息中的在册人员。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w:t>
            </w:r>
            <w:r>
              <w:rPr>
                <w:rFonts w:hint="eastAsia"/>
                <w:color w:val="auto"/>
                <w:highlight w:val="none"/>
                <w:u w:val="single"/>
              </w:rPr>
              <w:t>广州交易集团有限公司（广州公共资源交易中心）企业</w:t>
            </w:r>
            <w:r>
              <w:rPr>
                <w:rFonts w:hint="eastAsia" w:ascii="宋体" w:hAnsi="宋体"/>
                <w:color w:val="auto"/>
                <w:szCs w:val="21"/>
                <w:highlight w:val="none"/>
              </w:rPr>
              <w:t>库内</w:t>
            </w:r>
            <w:r>
              <w:rPr>
                <w:rFonts w:hint="eastAsia" w:ascii="宋体" w:hAnsi="宋体"/>
                <w:color w:val="auto"/>
                <w:szCs w:val="21"/>
                <w:highlight w:val="none"/>
                <w:u w:val="single"/>
              </w:rPr>
              <w:t>信息</w:t>
            </w:r>
            <w:r>
              <w:rPr>
                <w:rFonts w:hint="eastAsia"/>
                <w:color w:val="auto"/>
                <w:highlight w:val="none"/>
                <w:u w:val="single"/>
              </w:rPr>
              <w:t>登记</w:t>
            </w:r>
            <w:r>
              <w:rPr>
                <w:rFonts w:hint="eastAsia" w:ascii="宋体" w:hAnsi="宋体"/>
                <w:color w:val="auto"/>
                <w:szCs w:val="21"/>
                <w:highlight w:val="none"/>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olor w:val="auto"/>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w:t>
      </w:r>
      <w:r>
        <w:rPr>
          <w:rFonts w:hint="eastAsia" w:ascii="宋体" w:hAnsi="宋体"/>
          <w:color w:val="auto"/>
          <w:szCs w:val="21"/>
          <w:highlight w:val="none"/>
        </w:rPr>
        <w:t>资格审查文件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后再判定投标人是否通过资格审查</w:t>
      </w:r>
      <w:r>
        <w:rPr>
          <w:rFonts w:ascii="宋体" w:hAnsi="宋体"/>
          <w:color w:val="auto"/>
          <w:szCs w:val="21"/>
          <w:highlight w:val="none"/>
        </w:rPr>
        <w:t>，不得直接</w:t>
      </w:r>
      <w:r>
        <w:rPr>
          <w:rFonts w:hint="eastAsia" w:ascii="宋体" w:hAnsi="宋体"/>
          <w:color w:val="auto"/>
          <w:szCs w:val="21"/>
          <w:highlight w:val="none"/>
        </w:rPr>
        <w:t>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color w:val="auto"/>
          <w:sz w:val="36"/>
          <w:szCs w:val="36"/>
          <w:highlight w:val="none"/>
        </w:rPr>
      </w:pPr>
      <w:r>
        <w:rPr>
          <w:rFonts w:hint="eastAsia"/>
          <w:color w:val="auto"/>
          <w:szCs w:val="21"/>
          <w:highlight w:val="none"/>
        </w:rPr>
        <w:t>附表二</w:t>
      </w:r>
      <w:r>
        <w:rPr>
          <w:rFonts w:hint="eastAsia"/>
          <w:b/>
          <w:color w:val="auto"/>
          <w:sz w:val="36"/>
          <w:szCs w:val="36"/>
          <w:highlight w:val="none"/>
        </w:rPr>
        <w:t xml:space="preserve">                             技术标有效性审查表</w:t>
      </w:r>
    </w:p>
    <w:p>
      <w:pPr>
        <w:rPr>
          <w:color w:val="auto"/>
          <w:szCs w:val="21"/>
          <w:highlight w:val="none"/>
        </w:rPr>
      </w:pPr>
      <w:r>
        <w:rPr>
          <w:rFonts w:hint="eastAsia"/>
          <w:color w:val="auto"/>
          <w:szCs w:val="21"/>
          <w:highlight w:val="none"/>
        </w:rPr>
        <w:t>工程名称：</w:t>
      </w:r>
    </w:p>
    <w:tbl>
      <w:tblPr>
        <w:tblStyle w:val="36"/>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s="宋体"/>
                <w:color w:val="auto"/>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pStyle w:val="5"/>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pStyle w:val="5"/>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pStyle w:val="5"/>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tabs>
          <w:tab w:val="center" w:pos="7288"/>
          <w:tab w:val="left" w:pos="9931"/>
        </w:tabs>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p>
      <w:pPr>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6"/>
        <w:tblW w:w="4992"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509"/>
        <w:gridCol w:w="774"/>
        <w:gridCol w:w="110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446" w:type="pct"/>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评分项目</w:t>
            </w:r>
          </w:p>
        </w:tc>
        <w:tc>
          <w:tcPr>
            <w:tcW w:w="515"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评分内容</w:t>
            </w:r>
          </w:p>
        </w:tc>
        <w:tc>
          <w:tcPr>
            <w:tcW w:w="264"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分值</w:t>
            </w:r>
          </w:p>
        </w:tc>
        <w:tc>
          <w:tcPr>
            <w:tcW w:w="3774"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6" w:type="pct"/>
            <w:vMerge w:val="restart"/>
            <w:tcBorders>
              <w:top w:val="single" w:color="auto" w:sz="4" w:space="0"/>
              <w:left w:val="single" w:color="auto" w:sz="8" w:space="0"/>
              <w:bottom w:val="single" w:color="auto" w:sz="4" w:space="0"/>
              <w:right w:val="single" w:color="auto" w:sz="4" w:space="0"/>
            </w:tcBorders>
            <w:vAlign w:val="center"/>
          </w:tcPr>
          <w:p>
            <w:pPr>
              <w:pStyle w:val="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一、</w:t>
            </w:r>
            <w:r>
              <w:rPr>
                <w:rFonts w:hint="eastAsia" w:ascii="宋体" w:hAnsi="宋体" w:eastAsia="宋体" w:cs="宋体"/>
                <w:color w:val="auto"/>
                <w:szCs w:val="21"/>
                <w:highlight w:val="none"/>
              </w:rPr>
              <w:t>项目管理机构能力（</w:t>
            </w:r>
            <w:r>
              <w:rPr>
                <w:rFonts w:hint="eastAsia" w:ascii="宋体" w:hAnsi="宋体" w:eastAsia="宋体" w:cs="宋体"/>
                <w:color w:val="auto"/>
                <w:kern w:val="0"/>
                <w:szCs w:val="21"/>
                <w:highlight w:val="none"/>
              </w:rPr>
              <w:t>14</w:t>
            </w:r>
            <w:r>
              <w:rPr>
                <w:rFonts w:hint="eastAsia" w:ascii="宋体" w:hAnsi="宋体" w:eastAsia="宋体" w:cs="宋体"/>
                <w:color w:val="auto"/>
                <w:szCs w:val="21"/>
                <w:highlight w:val="none"/>
              </w:rPr>
              <w:t>分）</w:t>
            </w:r>
          </w:p>
          <w:p>
            <w:pPr>
              <w:tabs>
                <w:tab w:val="left" w:pos="360"/>
              </w:tabs>
              <w:snapToGrid w:val="0"/>
              <w:jc w:val="center"/>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项目技术负责人</w:t>
            </w:r>
          </w:p>
        </w:tc>
        <w:tc>
          <w:tcPr>
            <w:tcW w:w="264"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4</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（1）拟委派的项目技术负责人具备市政或路桥高级工程师</w:t>
            </w:r>
            <w:r>
              <w:rPr>
                <w:rFonts w:hint="eastAsia" w:ascii="宋体" w:hAnsi="宋体" w:eastAsia="宋体" w:cs="宋体"/>
                <w:color w:val="auto"/>
                <w:kern w:val="2"/>
                <w:sz w:val="21"/>
                <w:szCs w:val="21"/>
                <w:highlight w:val="none"/>
                <w:lang w:eastAsia="zh-CN"/>
              </w:rPr>
              <w:t>（或以上）</w:t>
            </w:r>
            <w:r>
              <w:rPr>
                <w:rFonts w:hint="eastAsia" w:ascii="宋体" w:hAnsi="宋体" w:eastAsia="宋体" w:cs="宋体"/>
                <w:color w:val="auto"/>
                <w:kern w:val="2"/>
                <w:sz w:val="21"/>
                <w:szCs w:val="21"/>
                <w:highlight w:val="none"/>
              </w:rPr>
              <w:t>职称得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pPr>
              <w:pStyle w:val="11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（2）拟委派的项目技术负责人具备市政工程专业注册建造师证得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安全负责人</w:t>
            </w: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（1）拟委派的安全负责人具备注册安全工程师证且具备安全工程高级工程师（或以上）职称得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分；拟委派的安全负责人具备注册安全工程师证且具备安全工程中级工程师职称得1分。</w:t>
            </w:r>
          </w:p>
          <w:p>
            <w:pPr>
              <w:pStyle w:val="11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（2）拟委派的安全负责人具备市政工程专业注册建造师证得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质量负责人</w:t>
            </w:r>
          </w:p>
        </w:tc>
        <w:tc>
          <w:tcPr>
            <w:tcW w:w="264"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（1）拟委派的质量负责人具备高级工程师（或以上）职称得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分；拟委派的质量负责人具备中级工程师职称得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pPr>
              <w:pStyle w:val="11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（2）拟委派的质量负责人具备市政工程专业注册建造师证得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造价负责人</w:t>
            </w: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3</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（1）拟委派的造价负责人具备</w:t>
            </w:r>
            <w:r>
              <w:rPr>
                <w:rFonts w:hint="eastAsia" w:ascii="宋体" w:hAnsi="宋体" w:eastAsia="宋体" w:cs="宋体"/>
                <w:color w:val="auto"/>
                <w:kern w:val="2"/>
                <w:sz w:val="21"/>
                <w:szCs w:val="21"/>
                <w:highlight w:val="none"/>
                <w:lang w:eastAsia="zh-CN"/>
              </w:rPr>
              <w:t>一级造价工程师注册证书或</w:t>
            </w:r>
            <w:r>
              <w:rPr>
                <w:rFonts w:hint="eastAsia" w:ascii="宋体" w:hAnsi="宋体" w:eastAsia="宋体" w:cs="宋体"/>
                <w:color w:val="auto"/>
                <w:kern w:val="2"/>
                <w:sz w:val="21"/>
                <w:szCs w:val="21"/>
                <w:highlight w:val="none"/>
              </w:rPr>
              <w:t>造价</w:t>
            </w:r>
            <w:r>
              <w:rPr>
                <w:rFonts w:hint="eastAsia" w:ascii="宋体" w:hAnsi="宋体" w:eastAsia="宋体" w:cs="宋体"/>
                <w:color w:val="auto"/>
                <w:kern w:val="2"/>
                <w:sz w:val="21"/>
                <w:szCs w:val="21"/>
                <w:highlight w:val="none"/>
                <w:lang w:eastAsia="zh-CN"/>
              </w:rPr>
              <w:t>工程</w:t>
            </w:r>
            <w:r>
              <w:rPr>
                <w:rFonts w:hint="eastAsia" w:ascii="宋体" w:hAnsi="宋体" w:eastAsia="宋体" w:cs="宋体"/>
                <w:color w:val="auto"/>
                <w:kern w:val="2"/>
                <w:sz w:val="21"/>
                <w:szCs w:val="21"/>
                <w:highlight w:val="none"/>
              </w:rPr>
              <w:t>师注册</w:t>
            </w:r>
            <w:r>
              <w:rPr>
                <w:rFonts w:hint="eastAsia" w:ascii="宋体" w:hAnsi="宋体" w:eastAsia="宋体" w:cs="宋体"/>
                <w:color w:val="auto"/>
                <w:kern w:val="2"/>
                <w:sz w:val="21"/>
                <w:szCs w:val="21"/>
                <w:highlight w:val="none"/>
                <w:lang w:eastAsia="zh-CN"/>
              </w:rPr>
              <w:t>证书</w:t>
            </w:r>
            <w:r>
              <w:rPr>
                <w:rFonts w:hint="eastAsia" w:ascii="宋体" w:hAnsi="宋体" w:eastAsia="宋体" w:cs="宋体"/>
                <w:color w:val="auto"/>
                <w:kern w:val="2"/>
                <w:sz w:val="21"/>
                <w:szCs w:val="21"/>
                <w:highlight w:val="none"/>
              </w:rPr>
              <w:t>，得3分。</w:t>
            </w:r>
          </w:p>
          <w:p>
            <w:pPr>
              <w:pStyle w:val="11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（2）拟委派的造价负责人具备二级造价工程师注册证书，得1分。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446" w:type="pct"/>
            <w:vMerge w:val="restart"/>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二、企业资信（6分）</w:t>
            </w:r>
          </w:p>
        </w:tc>
        <w:tc>
          <w:tcPr>
            <w:tcW w:w="515"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264"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投标人2019年1月1日至今完成过质量合格的类似工程业绩每项得0.25分，本项最高得0.5分。无类似业绩不得分。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工程奖项</w:t>
            </w:r>
          </w:p>
        </w:tc>
        <w:tc>
          <w:tcPr>
            <w:tcW w:w="264"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2019 年 1 月 1 日至今，投标人承建或参建完成项目获得过国家级质量奖项的，每项得 0.5分，获得过省级优质工程奖的每项0.2分，其余不得分。本项最高得2.5分。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企业工程研发能力</w:t>
            </w:r>
          </w:p>
        </w:tc>
        <w:tc>
          <w:tcPr>
            <w:tcW w:w="264"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1、投标人自2019年1月1日至今参与编制过目前仍在使用的工程类国家或行业标准（或规范或规程）的，每项得0.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分，本</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项最高得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2、投标人自2019年1月1日至投标截止时间止，获得过“工程类”软件著作权登记证书：</w:t>
            </w:r>
          </w:p>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（1）、获得35（不含）项以上的，得</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分；</w:t>
            </w:r>
          </w:p>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（2）、获得20（不含）-35（含）项的，得0.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（3）、获得5（不含）-20（含）项的，得0.2分；</w:t>
            </w:r>
          </w:p>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264" w:type="pct"/>
            <w:tcBorders>
              <w:top w:val="single" w:color="auto" w:sz="4" w:space="0"/>
              <w:left w:val="single" w:color="auto" w:sz="4" w:space="0"/>
              <w:bottom w:val="single" w:color="auto" w:sz="4" w:space="0"/>
              <w:right w:val="single" w:color="auto" w:sz="4" w:space="0"/>
            </w:tcBorders>
            <w:vAlign w:val="center"/>
          </w:tcPr>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774" w:type="pct"/>
            <w:tcBorders>
              <w:top w:val="single" w:color="auto" w:sz="4" w:space="0"/>
              <w:left w:val="single" w:color="auto" w:sz="4" w:space="0"/>
              <w:bottom w:val="single" w:color="auto" w:sz="4" w:space="0"/>
              <w:right w:val="single" w:color="auto" w:sz="4" w:space="0"/>
            </w:tcBorders>
            <w:vAlign w:val="center"/>
          </w:tcPr>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1、投标人（联合体主办方）自2019年1月1日（时间以证书签发时间为准）至今同一年度获得 “市场质量信用A等用户满意企业”证书及“市场质量信用A等用户满意工程”证书的，公示等级为AAA或以上的得0.9分，公示等级为AA级的得0.5分，公示等级为A级的得0.2分，不符合上述条件的不得分，本</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项最高得0.9分。</w:t>
            </w:r>
          </w:p>
          <w:p>
            <w:pPr>
              <w:pStyle w:val="1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在有效期内（1）职业健康安全管理体系认证、（2）质量管理体系认证、（3）环境管理体系认证证书、（4）工程绿色施工企业体系认证证书、（5）工程总承包服务规范体系认证证书、（6）合规管理体系认证证书、（7）企业诚信管理体系认证证书、（8）商业信誉评价体系认证证书、（9）社会责任管理体系认证证书、（10）市政工程施工安全规范体系认证证书、（11）诚信服务体系认证证书、（12）信息安全管理体系认证证书、（13）工程施工现场环境与卫生控制规范认证证书的得 0.3分；缺少一项扣0.1分，扣完为止，本</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项最高得 0.3 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61" w:type="pct"/>
            <w:gridSpan w:val="2"/>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合计（一+二）</w:t>
            </w:r>
          </w:p>
        </w:tc>
        <w:tc>
          <w:tcPr>
            <w:tcW w:w="2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37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color w:val="auto"/>
                <w:szCs w:val="21"/>
                <w:highlight w:val="none"/>
              </w:rPr>
            </w:pPr>
          </w:p>
        </w:tc>
      </w:tr>
    </w:tbl>
    <w:p>
      <w:pPr>
        <w:spacing w:line="460" w:lineRule="exact"/>
        <w:rPr>
          <w:rFonts w:ascii="宋体" w:hAnsi="宋体"/>
          <w:color w:val="auto"/>
          <w:szCs w:val="21"/>
          <w:highlight w:val="none"/>
        </w:rPr>
      </w:pPr>
      <w:r>
        <w:rPr>
          <w:rFonts w:hint="eastAsia" w:ascii="宋体" w:hAnsi="宋体"/>
          <w:color w:val="auto"/>
          <w:szCs w:val="21"/>
          <w:highlight w:val="none"/>
        </w:rPr>
        <w:t>备注：</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2.类似工程业绩</w:t>
      </w:r>
    </w:p>
    <w:p>
      <w:pPr>
        <w:keepNext w:val="0"/>
        <w:keepLines w:val="0"/>
        <w:pageBreakBefore w:val="0"/>
        <w:widowControl w:val="0"/>
        <w:kinsoku/>
        <w:wordWrap/>
        <w:overflowPunct/>
        <w:topLinePunct w:val="0"/>
        <w:autoSpaceDE/>
        <w:autoSpaceDN/>
        <w:bidi w:val="0"/>
        <w:spacing w:line="440" w:lineRule="exact"/>
        <w:ind w:firstLine="42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类似工程业绩是指单项工程中标价大于或等于</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00万元的市政工程施工总承包业绩。投标人需提供以下资料：</w:t>
      </w:r>
    </w:p>
    <w:p>
      <w:pPr>
        <w:keepNext w:val="0"/>
        <w:keepLines w:val="0"/>
        <w:pageBreakBefore w:val="0"/>
        <w:widowControl w:val="0"/>
        <w:kinsoku/>
        <w:wordWrap/>
        <w:overflowPunct/>
        <w:topLinePunct w:val="0"/>
        <w:autoSpaceDE/>
        <w:autoSpaceDN/>
        <w:bidi w:val="0"/>
        <w:adjustRightInd w:val="0"/>
        <w:snapToGrid w:val="0"/>
        <w:spacing w:line="440" w:lineRule="exact"/>
        <w:ind w:left="42" w:leftChars="20" w:right="42" w:rightChars="20"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提供业绩的中标通知书（或免招标证明）、施工合同（仅需附协议书部分）、单位工程验收鉴定证书或合同工程完工验收鉴定书或工程竣工验收报告及其他补充（如需要）反映工程信息的相关证明材料扫描件。</w:t>
      </w:r>
    </w:p>
    <w:p>
      <w:pPr>
        <w:keepNext w:val="0"/>
        <w:keepLines w:val="0"/>
        <w:pageBreakBefore w:val="0"/>
        <w:widowControl w:val="0"/>
        <w:kinsoku/>
        <w:wordWrap/>
        <w:overflowPunct/>
        <w:topLinePunct w:val="0"/>
        <w:autoSpaceDE/>
        <w:autoSpaceDN/>
        <w:bidi w:val="0"/>
        <w:adjustRightInd w:val="0"/>
        <w:snapToGrid w:val="0"/>
        <w:spacing w:line="440" w:lineRule="exact"/>
        <w:ind w:left="42" w:leftChars="20" w:right="42" w:rightChars="20"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2）业绩金额以中标通知书为准，中标通知书上没有金额的，以施工合同（不含补充合同）为准，时间以单位工程验收鉴定证书或合同工程完工验收鉴定书或工程竣工验收报告等材料的日期为准。如为设计施工总承包项目（EPC项目）</w:t>
      </w:r>
      <w:r>
        <w:rPr>
          <w:rFonts w:hint="eastAsia" w:ascii="宋体" w:hAnsi="宋体" w:eastAsia="宋体" w:cs="宋体"/>
          <w:color w:val="auto"/>
          <w:kern w:val="0"/>
          <w:szCs w:val="21"/>
          <w:highlight w:val="none"/>
        </w:rPr>
        <w:t>的，则投标人须为本项目的唯一施工单位。</w:t>
      </w:r>
    </w:p>
    <w:p>
      <w:pPr>
        <w:keepNext w:val="0"/>
        <w:keepLines w:val="0"/>
        <w:pageBreakBefore w:val="0"/>
        <w:widowControl w:val="0"/>
        <w:kinsoku/>
        <w:wordWrap/>
        <w:overflowPunct/>
        <w:topLinePunct w:val="0"/>
        <w:autoSpaceDE/>
        <w:autoSpaceDN/>
        <w:bidi w:val="0"/>
        <w:adjustRightInd w:val="0"/>
        <w:snapToGrid w:val="0"/>
        <w:spacing w:line="440" w:lineRule="exact"/>
        <w:ind w:left="42" w:leftChars="20" w:right="42" w:rightChars="2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3）提供的材料不符合上述条件或未提供上述资料的，该业绩不予认定。</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企业工程项目获奖情况：</w:t>
      </w:r>
    </w:p>
    <w:p>
      <w:pPr>
        <w:keepNext w:val="0"/>
        <w:keepLines w:val="0"/>
        <w:pageBreakBefore w:val="0"/>
        <w:widowControl w:val="0"/>
        <w:kinsoku/>
        <w:wordWrap/>
        <w:overflowPunct/>
        <w:topLinePunct w:val="0"/>
        <w:autoSpaceDE/>
        <w:autoSpaceDN/>
        <w:bidi w:val="0"/>
        <w:adjustRightInd w:val="0"/>
        <w:snapToGrid w:val="0"/>
        <w:spacing w:line="440" w:lineRule="exact"/>
        <w:ind w:left="42" w:leftChars="20" w:right="42" w:rightChars="2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需提供获奖证书扫描件，时间以发证时间为准。</w:t>
      </w:r>
      <w:r>
        <w:rPr>
          <w:rFonts w:hint="eastAsia" w:ascii="宋体" w:hAnsi="宋体" w:eastAsia="宋体" w:cs="宋体"/>
          <w:color w:val="auto"/>
          <w:kern w:val="0"/>
          <w:szCs w:val="21"/>
          <w:highlight w:val="none"/>
        </w:rPr>
        <w:t>国家级质量奖项是指鲁班奖、詹天佑奖、国家优质工程金质奖、国家优质工程奖、大禹奖；省级质量奖项指省级工程优质奖或优良样板工程奖等各类工程实体奖项，不含技术类奖项。同一项目获得多个奖项的，该项目获奖只按其中一个奖项所在最高级别计算一次分数，不得重复计算，</w:t>
      </w:r>
      <w:r>
        <w:rPr>
          <w:rFonts w:hint="eastAsia" w:ascii="宋体" w:hAnsi="宋体" w:eastAsia="宋体" w:cs="宋体"/>
          <w:color w:val="auto"/>
          <w:szCs w:val="21"/>
          <w:highlight w:val="none"/>
        </w:rPr>
        <w:t>最多可计5项</w:t>
      </w:r>
      <w:r>
        <w:rPr>
          <w:rFonts w:hint="eastAsia" w:ascii="宋体" w:hAnsi="宋体" w:eastAsia="宋体" w:cs="宋体"/>
          <w:color w:val="auto"/>
          <w:kern w:val="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企业工程研发能力：</w:t>
      </w:r>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参与编制过目前仍在使用的工程类国家或行业标准（或规范或规程）须提供已出版的标准（或规范或规程）的封面和显示投标人信息的页面扫描件，时间以实施时间为准。</w:t>
      </w:r>
      <w:r>
        <w:rPr>
          <w:rFonts w:hint="eastAsia" w:ascii="宋体" w:hAnsi="宋体" w:eastAsia="宋体" w:cs="宋体"/>
          <w:b/>
          <w:bCs/>
          <w:color w:val="auto"/>
          <w:szCs w:val="21"/>
          <w:highlight w:val="none"/>
        </w:rPr>
        <w:t>注：国家、地方或行业标准（或规范或规程）：须提供已出版的标准（或规范或规程）的封面和显示投标人信息的页面，以及在国家标准全文公开系统（网址：openstd.samr.gov.cn）或全国标准信息公共服务平台（网址：hbba.sacinfo.org.cn）查询信息网页截图，否则不得分。标准（或规范或规程）在用情况以国家标准全文公开系统或全国标准信息公共服务平台查询信息为准。</w:t>
      </w:r>
    </w:p>
    <w:p>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“工程类”软件著作权登记证书，</w:t>
      </w:r>
      <w:r>
        <w:rPr>
          <w:rFonts w:hint="eastAsia" w:ascii="宋体" w:hAnsi="宋体" w:eastAsia="宋体" w:cs="宋体"/>
          <w:color w:val="auto"/>
          <w:szCs w:val="21"/>
          <w:highlight w:val="none"/>
        </w:rPr>
        <w:t>时间以证书中载明的颁发时间为准。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第三方评价：</w:t>
      </w:r>
    </w:p>
    <w:p>
      <w:pPr>
        <w:pStyle w:val="6"/>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“市场质量信用A等用户满意企业”证书及“市场质量信用A等用户满意工程”证书</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质量协会</w:t>
      </w:r>
      <w:r>
        <w:rPr>
          <w:rFonts w:hint="eastAsia" w:ascii="宋体" w:hAnsi="宋体" w:cs="宋体"/>
          <w:color w:val="auto"/>
          <w:szCs w:val="21"/>
          <w:highlight w:val="none"/>
          <w:lang w:eastAsia="zh-CN"/>
        </w:rPr>
        <w:t>或其</w:t>
      </w:r>
      <w:r>
        <w:rPr>
          <w:rFonts w:hint="eastAsia" w:ascii="宋体" w:hAnsi="宋体" w:eastAsia="宋体" w:cs="宋体"/>
          <w:color w:val="auto"/>
          <w:szCs w:val="21"/>
          <w:highlight w:val="none"/>
        </w:rPr>
        <w:t>联合其他部门</w:t>
      </w:r>
      <w:r>
        <w:rPr>
          <w:rFonts w:hint="eastAsia" w:ascii="宋体" w:hAnsi="宋体" w:cs="宋体"/>
          <w:color w:val="auto"/>
          <w:szCs w:val="21"/>
          <w:highlight w:val="none"/>
          <w:lang w:eastAsia="zh-CN"/>
        </w:rPr>
        <w:t>共同</w:t>
      </w:r>
      <w:r>
        <w:rPr>
          <w:rFonts w:hint="eastAsia" w:ascii="宋体" w:hAnsi="宋体" w:eastAsia="宋体" w:cs="宋体"/>
          <w:color w:val="auto"/>
          <w:szCs w:val="21"/>
          <w:highlight w:val="none"/>
        </w:rPr>
        <w:t>颁发的为准</w:t>
      </w:r>
      <w:r>
        <w:rPr>
          <w:rFonts w:hint="eastAsia" w:ascii="宋体" w:hAnsi="宋体" w:cs="宋体"/>
          <w:color w:val="auto"/>
          <w:szCs w:val="21"/>
          <w:highlight w:val="none"/>
          <w:lang w:eastAsia="zh-CN"/>
        </w:rPr>
        <w:t>（质量协会应提供</w:t>
      </w:r>
      <w:r>
        <w:rPr>
          <w:rFonts w:hint="eastAsia" w:ascii="宋体" w:hAnsi="宋体" w:eastAsia="宋体" w:cs="宋体"/>
          <w:color w:val="auto"/>
          <w:szCs w:val="21"/>
          <w:highlight w:val="none"/>
        </w:rPr>
        <w:t>中国社会组织政务服务平台网页中的全国社会组织信用信息公示平台查询截图），等级以证书载明的等级为准；否则不予计分。</w:t>
      </w:r>
    </w:p>
    <w:p>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体系认证证书”须提供管理体系认证证书扫描件及网页查询信息页并加盖投标人单位公章，无提供资料不得分，相同内容的管理体系认证重复增加不计分。网页查询信息页以中国国家认证认可监督管理委员会官网（http://www.cnca.cn/）查询截图为准。</w:t>
      </w:r>
    </w:p>
    <w:p>
      <w:pPr>
        <w:pStyle w:val="6"/>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Cs/>
          <w:color w:val="auto"/>
          <w:kern w:val="0"/>
          <w:szCs w:val="21"/>
          <w:highlight w:val="none"/>
        </w:rPr>
        <w:t>6.</w:t>
      </w:r>
      <w:r>
        <w:rPr>
          <w:rFonts w:hint="eastAsia" w:ascii="宋体" w:hAnsi="宋体" w:eastAsia="宋体" w:cs="宋体"/>
          <w:color w:val="auto"/>
          <w:szCs w:val="21"/>
          <w:highlight w:val="none"/>
          <w:lang w:val="zh-CN"/>
        </w:rPr>
        <w:t>组织机构及主要管理人员：</w:t>
      </w:r>
      <w:r>
        <w:rPr>
          <w:rFonts w:hint="eastAsia" w:ascii="宋体" w:hAnsi="宋体" w:eastAsia="宋体" w:cs="宋体"/>
          <w:color w:val="auto"/>
          <w:szCs w:val="21"/>
          <w:highlight w:val="none"/>
        </w:rPr>
        <w:t>投标人需提供相关人员的职称证、注册资格证书、身份证及以及截止投标前近1个月（即2023年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月）在本单位或其分公司（不含子公司）的社保缴纳证明材料</w:t>
      </w:r>
      <w:r>
        <w:rPr>
          <w:rFonts w:hint="eastAsia" w:ascii="宋体" w:hAnsi="宋体" w:cs="宋体"/>
          <w:color w:val="auto"/>
          <w:szCs w:val="21"/>
          <w:highlight w:val="none"/>
          <w:lang w:eastAsia="zh-CN"/>
        </w:rPr>
        <w:t>扫描件。</w:t>
      </w:r>
    </w:p>
    <w:p>
      <w:pPr>
        <w:keepNext w:val="0"/>
        <w:keepLines w:val="0"/>
        <w:pageBreakBefore w:val="0"/>
        <w:widowControl w:val="0"/>
        <w:tabs>
          <w:tab w:val="left" w:pos="360"/>
        </w:tabs>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7.以上资料未提供或</w:t>
      </w:r>
      <w:r>
        <w:rPr>
          <w:rFonts w:hint="eastAsia" w:ascii="宋体" w:hAnsi="宋体" w:eastAsia="宋体" w:cs="宋体"/>
          <w:color w:val="auto"/>
          <w:szCs w:val="21"/>
          <w:highlight w:val="none"/>
        </w:rPr>
        <w:t>未加盖投标人公章的不得分。</w:t>
      </w:r>
    </w:p>
    <w:p>
      <w:pPr>
        <w:keepNext w:val="0"/>
        <w:keepLines w:val="0"/>
        <w:pageBreakBefore w:val="0"/>
        <w:widowControl w:val="0"/>
        <w:tabs>
          <w:tab w:val="left" w:pos="360"/>
        </w:tabs>
        <w:kinsoku/>
        <w:wordWrap/>
        <w:overflowPunct/>
        <w:topLinePunct w:val="0"/>
        <w:autoSpaceDE/>
        <w:autoSpaceDN/>
        <w:bidi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bCs/>
          <w:color w:val="auto"/>
          <w:szCs w:val="21"/>
          <w:highlight w:val="none"/>
        </w:rPr>
        <w:t xml:space="preserve">8. </w:t>
      </w:r>
      <w:r>
        <w:rPr>
          <w:rFonts w:hint="eastAsia" w:ascii="宋体" w:hAnsi="宋体" w:eastAsia="宋体" w:cs="宋体"/>
          <w:color w:val="auto"/>
          <w:szCs w:val="21"/>
          <w:highlight w:val="none"/>
        </w:rPr>
        <w:t>本表</w:t>
      </w:r>
      <w:r>
        <w:rPr>
          <w:rFonts w:hint="eastAsia" w:ascii="宋体" w:hAnsi="宋体" w:eastAsia="宋体" w:cs="宋体"/>
          <w:color w:val="auto"/>
          <w:highlight w:val="none"/>
        </w:rPr>
        <w:t>按百分制评分，所有评委每个分项的分数汇总后去掉一个最高分和</w:t>
      </w:r>
      <w:r>
        <w:rPr>
          <w:rFonts w:hint="eastAsia" w:hAnsi="宋体"/>
          <w:color w:val="auto"/>
          <w:highlight w:val="none"/>
        </w:rPr>
        <w:t>一个最低分的算术平均值为投标人的最终得分。分数出现小数点，保留小数点</w:t>
      </w:r>
      <w:r>
        <w:rPr>
          <w:rFonts w:hint="eastAsia" w:ascii="宋体" w:hAnsi="宋体" w:cs="宋体"/>
          <w:color w:val="auto"/>
          <w:szCs w:val="21"/>
          <w:highlight w:val="none"/>
        </w:rPr>
        <w:t>后二位小数，第三位小数四舍五入,若投标人满足多个档次的，按最高档计分。</w:t>
      </w:r>
    </w:p>
    <w:p>
      <w:pPr>
        <w:spacing w:line="460" w:lineRule="exact"/>
        <w:rPr>
          <w:color w:val="auto"/>
          <w:highlight w:val="none"/>
        </w:rPr>
      </w:pPr>
      <w:r>
        <w:rPr>
          <w:rFonts w:hint="eastAsia" w:ascii="宋体" w:hAnsi="宋体" w:cs="宋体"/>
          <w:color w:val="auto"/>
          <w:kern w:val="0"/>
          <w:szCs w:val="21"/>
          <w:highlight w:val="none"/>
          <w:lang w:val="zh-TW" w:eastAsia="zh-TW"/>
        </w:rPr>
        <w:t xml:space="preserve">评委签名：                                                                             </w:t>
      </w:r>
      <w:r>
        <w:rPr>
          <w:rFonts w:hint="eastAsia" w:ascii="宋体" w:hAnsi="宋体" w:cs="宋体"/>
          <w:color w:val="auto"/>
          <w:kern w:val="0"/>
          <w:szCs w:val="21"/>
          <w:highlight w:val="none"/>
        </w:rPr>
        <w:t xml:space="preserve">      日期：     年   月   日</w:t>
      </w:r>
    </w:p>
    <w:p>
      <w:pPr>
        <w:rPr>
          <w:color w:val="auto"/>
          <w:highlight w:val="none"/>
        </w:rPr>
      </w:pP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highlight w:val="none"/>
        </w:rPr>
      </w:pPr>
      <w:r>
        <w:rPr>
          <w:rFonts w:hint="eastAsia"/>
          <w:color w:val="auto"/>
          <w:szCs w:val="21"/>
          <w:highlight w:val="none"/>
        </w:rPr>
        <w:t>评委签名：</w:t>
      </w:r>
      <w:r>
        <w:rPr>
          <w:b/>
          <w:color w:val="auto"/>
          <w:sz w:val="36"/>
          <w:szCs w:val="36"/>
          <w:highlight w:val="none"/>
        </w:rPr>
        <w:br w:type="page"/>
      </w: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color w:val="auto"/>
          <w:highlight w:val="none"/>
        </w:rPr>
      </w:pPr>
      <w:bookmarkStart w:id="32" w:name="_Toc21525511"/>
      <w:bookmarkStart w:id="33"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2"/>
      <w:bookmarkEnd w:id="33"/>
    </w:p>
    <w:p>
      <w:pPr>
        <w:jc w:val="center"/>
        <w:rPr>
          <w:rFonts w:ascii="宋体"/>
          <w:b/>
          <w:color w:val="auto"/>
          <w:sz w:val="32"/>
          <w:szCs w:val="32"/>
          <w:highlight w:val="none"/>
        </w:rPr>
      </w:pPr>
      <w:r>
        <w:rPr>
          <w:rFonts w:hint="eastAsia" w:ascii="宋体" w:hAnsi="宋体" w:cs="宋体"/>
          <w:color w:val="auto"/>
          <w:sz w:val="32"/>
          <w:szCs w:val="32"/>
          <w:highlight w:val="none"/>
          <w:u w:val="single"/>
        </w:rPr>
        <w:t>另册</w:t>
      </w:r>
      <w:r>
        <w:rPr>
          <w:rFonts w:hint="eastAsia" w:ascii="宋体" w:hAnsi="宋体"/>
          <w:color w:val="auto"/>
          <w:sz w:val="32"/>
          <w:szCs w:val="32"/>
          <w:highlight w:val="none"/>
        </w:rPr>
        <w:t>。</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4" w:name="_Toc21525512"/>
      <w:bookmarkStart w:id="35"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bookmarkEnd w:id="35"/>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13"/>
                <w:rFonts w:hint="default" w:ascii="宋体" w:hAnsi="宋体" w:eastAsia="宋体" w:cs="宋体"/>
                <w:color w:val="auto"/>
                <w:sz w:val="21"/>
                <w:szCs w:val="21"/>
                <w:highlight w:val="none"/>
                <w:lang w:bidi="ar"/>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lang w:bidi="ar"/>
              </w:rPr>
            </w:pPr>
            <w:r>
              <w:rPr>
                <w:rStyle w:val="113"/>
                <w:rFonts w:hint="default" w:ascii="宋体" w:hAnsi="宋体" w:eastAsia="宋体" w:cs="宋体"/>
                <w:color w:val="auto"/>
                <w:sz w:val="21"/>
                <w:szCs w:val="21"/>
                <w:highlight w:val="none"/>
                <w:lang w:bidi="ar"/>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lang w:bidi="ar"/>
              </w:rPr>
            </w:pPr>
            <w:r>
              <w:rPr>
                <w:rStyle w:val="113"/>
                <w:rFonts w:hint="default" w:ascii="宋体" w:hAnsi="宋体" w:eastAsia="宋体" w:cs="宋体"/>
                <w:color w:val="auto"/>
                <w:sz w:val="21"/>
                <w:szCs w:val="21"/>
                <w:highlight w:val="none"/>
                <w:lang w:bidi="ar"/>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lang w:bidi="ar"/>
              </w:rPr>
            </w:pPr>
            <w:r>
              <w:rPr>
                <w:rStyle w:val="113"/>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Fonts w:ascii="宋体" w:hAnsi="宋体" w:cs="宋体"/>
          <w:b/>
          <w:color w:val="auto"/>
          <w:szCs w:val="21"/>
          <w:highlight w:val="none"/>
        </w:rPr>
      </w:pPr>
      <w:r>
        <w:rPr>
          <w:rStyle w:val="113"/>
          <w:rFonts w:hint="default" w:ascii="宋体" w:hAnsi="宋体" w:eastAsia="宋体" w:cs="宋体"/>
          <w:color w:val="auto"/>
          <w:sz w:val="21"/>
          <w:szCs w:val="21"/>
          <w:highlight w:val="none"/>
          <w:lang w:bidi="ar"/>
        </w:rPr>
        <w:t>备注：</w:t>
      </w:r>
      <w:r>
        <w:rPr>
          <w:rStyle w:val="113"/>
          <w:rFonts w:hint="default" w:ascii="宋体" w:hAnsi="宋体" w:eastAsia="宋体" w:cs="宋体"/>
          <w:color w:val="auto"/>
          <w:sz w:val="21"/>
          <w:szCs w:val="21"/>
          <w:highlight w:val="none"/>
          <w:lang w:bidi="ar"/>
        </w:rPr>
        <w:br w:type="textWrapping"/>
      </w:r>
      <w:r>
        <w:rPr>
          <w:rStyle w:val="113"/>
          <w:rFonts w:hint="default" w:ascii="宋体" w:hAnsi="宋体" w:eastAsia="宋体" w:cs="宋体"/>
          <w:color w:val="auto"/>
          <w:sz w:val="21"/>
          <w:szCs w:val="21"/>
          <w:highlight w:val="none"/>
          <w:lang w:bidi="ar"/>
        </w:rPr>
        <w:t>1、“岗位”要求（除项目负责人、专职安全员外）由投标人根据项目管理需要结合自身实力在本表中明确。以上项目管理团队人员信息将由交易系统提取后供各相关单位在履约时比对、查核。</w:t>
      </w:r>
      <w:r>
        <w:rPr>
          <w:rStyle w:val="113"/>
          <w:rFonts w:hint="default" w:ascii="宋体" w:hAnsi="宋体" w:eastAsia="宋体" w:cs="宋体"/>
          <w:color w:val="auto"/>
          <w:sz w:val="21"/>
          <w:szCs w:val="21"/>
          <w:highlight w:val="none"/>
          <w:lang w:bidi="ar"/>
        </w:rPr>
        <w:br w:type="textWrapping"/>
      </w:r>
      <w:r>
        <w:rPr>
          <w:rStyle w:val="113"/>
          <w:rFonts w:hint="default" w:ascii="宋体" w:hAnsi="宋体" w:eastAsia="宋体" w:cs="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3"/>
          <w:rFonts w:hint="default" w:ascii="宋体" w:hAnsi="宋体" w:eastAsia="宋体" w:cs="宋体"/>
          <w:color w:val="auto"/>
          <w:sz w:val="21"/>
          <w:szCs w:val="21"/>
          <w:highlight w:val="none"/>
          <w:lang w:bidi="ar"/>
        </w:rPr>
        <w:br w:type="textWrapping"/>
      </w:r>
      <w:r>
        <w:rPr>
          <w:rStyle w:val="113"/>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Style w:val="113"/>
          <w:rFonts w:hint="default" w:ascii="宋体" w:hAnsi="宋体" w:eastAsia="宋体" w:cs="宋体"/>
          <w:color w:val="auto"/>
          <w:sz w:val="21"/>
          <w:szCs w:val="21"/>
          <w:highlight w:val="none"/>
          <w:lang w:bidi="ar"/>
        </w:rPr>
      </w:pPr>
      <w:r>
        <w:rPr>
          <w:color w:val="auto"/>
          <w:sz w:val="24"/>
          <w:szCs w:val="24"/>
          <w:highlight w:val="none"/>
        </w:rPr>
        <w:br w:type="page"/>
      </w:r>
      <w:bookmarkStart w:id="36" w:name="_Toc15122"/>
      <w:bookmarkStart w:id="37" w:name="_Toc1198"/>
      <w:bookmarkStart w:id="38" w:name="_Toc21525513"/>
      <w:bookmarkStart w:id="39" w:name="_Toc2272568"/>
      <w:r>
        <w:rPr>
          <w:rFonts w:hint="eastAsia"/>
          <w:color w:val="auto"/>
          <w:highlight w:val="none"/>
        </w:rPr>
        <w:t>附件五：</w:t>
      </w:r>
    </w:p>
    <w:p>
      <w:pPr>
        <w:autoSpaceDE w:val="0"/>
        <w:autoSpaceDN w:val="0"/>
        <w:adjustRightInd w:val="0"/>
        <w:jc w:val="center"/>
        <w:outlineLvl w:val="1"/>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widowControl/>
        <w:jc w:val="left"/>
        <w:rPr>
          <w:rStyle w:val="113"/>
          <w:rFonts w:hint="default" w:ascii="宋体" w:hAnsi="宋体" w:eastAsia="宋体" w:cs="宋体"/>
          <w:color w:val="auto"/>
          <w:sz w:val="21"/>
          <w:szCs w:val="21"/>
          <w:highlight w:val="none"/>
          <w:lang w:bidi="ar"/>
        </w:rPr>
      </w:pPr>
    </w:p>
    <w:p>
      <w:pPr>
        <w:widowControl/>
        <w:jc w:val="left"/>
        <w:rPr>
          <w:rStyle w:val="113"/>
          <w:rFonts w:hint="default" w:ascii="宋体" w:hAnsi="宋体" w:eastAsia="宋体" w:cs="宋体"/>
          <w:color w:val="auto"/>
          <w:sz w:val="21"/>
          <w:szCs w:val="21"/>
          <w:highlight w:val="none"/>
          <w:lang w:bidi="ar"/>
        </w:rPr>
      </w:pPr>
    </w:p>
    <w:p>
      <w:pPr>
        <w:widowControl/>
        <w:jc w:val="left"/>
        <w:rPr>
          <w:rStyle w:val="113"/>
          <w:rFonts w:hint="default" w:ascii="宋体" w:hAnsi="宋体" w:eastAsia="宋体" w:cs="宋体"/>
          <w:color w:val="auto"/>
          <w:sz w:val="21"/>
          <w:szCs w:val="21"/>
          <w:highlight w:val="none"/>
          <w:lang w:bidi="ar"/>
        </w:rPr>
      </w:pPr>
    </w:p>
    <w:p>
      <w:pPr>
        <w:rPr>
          <w:rFonts w:ascii="宋体" w:hAnsi="宋体"/>
          <w:color w:val="auto"/>
          <w:highlight w:val="none"/>
        </w:rPr>
      </w:pPr>
      <w:r>
        <w:rPr>
          <w:rFonts w:hint="eastAsia" w:ascii="宋体" w:hAnsi="宋体"/>
          <w:color w:val="auto"/>
          <w:highlight w:val="none"/>
        </w:rPr>
        <w:br w:type="page"/>
      </w:r>
    </w:p>
    <w:p>
      <w:pPr>
        <w:pStyle w:val="122"/>
        <w:autoSpaceDE w:val="0"/>
        <w:autoSpaceDN w:val="0"/>
        <w:ind w:right="496" w:firstLine="0" w:firstLineChars="0"/>
        <w:jc w:val="left"/>
        <w:outlineLvl w:val="2"/>
        <w:rPr>
          <w:b/>
          <w:color w:val="auto"/>
          <w:highlight w:val="none"/>
        </w:rPr>
      </w:pPr>
      <w:r>
        <w:rPr>
          <w:rFonts w:hint="eastAsia" w:ascii="宋体" w:hAnsi="宋体"/>
          <w:color w:val="auto"/>
          <w:highlight w:val="none"/>
        </w:rPr>
        <w:t xml:space="preserve">附件六 </w:t>
      </w:r>
      <w:bookmarkEnd w:id="36"/>
      <w:bookmarkEnd w:id="37"/>
    </w:p>
    <w:p>
      <w:pPr>
        <w:pStyle w:val="123"/>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危险性较大的分部分项工程清单及</w:t>
      </w:r>
    </w:p>
    <w:p>
      <w:pPr>
        <w:pStyle w:val="123"/>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超过一定规模的危险性较大的分部分项工程清单</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0"/>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pStyle w:val="110"/>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pStyle w:val="110"/>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投标单位应当在投标时根据招标人提供的下述第5点清单，在投标施工组织中编制专项施工方案。</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6"/>
        <w:gridCol w:w="1200"/>
        <w:gridCol w:w="1106"/>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vAlign w:val="center"/>
          </w:tcPr>
          <w:p>
            <w:pPr>
              <w:spacing w:line="276"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投标单位</w:t>
            </w:r>
          </w:p>
        </w:tc>
        <w:tc>
          <w:tcPr>
            <w:tcW w:w="659"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vAlign w:val="center"/>
          </w:tcPr>
          <w:p>
            <w:pPr>
              <w:widowControl/>
              <w:spacing w:line="276" w:lineRule="auto"/>
              <w:rPr>
                <w:rFonts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200" w:type="dxa"/>
            <w:vAlign w:val="center"/>
          </w:tcPr>
          <w:p>
            <w:pPr>
              <w:spacing w:line="276" w:lineRule="auto"/>
              <w:jc w:val="center"/>
              <w:rPr>
                <w:rFonts w:ascii="Times New Roman" w:hAnsi="Times New Roman"/>
                <w:color w:val="auto"/>
                <w:szCs w:val="21"/>
                <w:highlight w:val="none"/>
              </w:rPr>
            </w:pPr>
          </w:p>
        </w:tc>
        <w:tc>
          <w:tcPr>
            <w:tcW w:w="1106" w:type="dxa"/>
            <w:vAlign w:val="center"/>
          </w:tcPr>
          <w:p>
            <w:pPr>
              <w:spacing w:line="276" w:lineRule="auto"/>
              <w:jc w:val="center"/>
              <w:rPr>
                <w:rFonts w:ascii="Times New Roman" w:hAnsi="Times New Roman"/>
                <w:color w:val="auto"/>
                <w:szCs w:val="21"/>
                <w:highlight w:val="none"/>
              </w:rPr>
            </w:pP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bl>
    <w:p>
      <w:pPr>
        <w:pStyle w:val="122"/>
        <w:ind w:firstLine="496"/>
        <w:rPr>
          <w:color w:val="auto"/>
          <w:highlight w:val="none"/>
        </w:rPr>
      </w:pPr>
    </w:p>
    <w:p>
      <w:pPr>
        <w:spacing w:line="360" w:lineRule="auto"/>
        <w:ind w:firstLine="5520"/>
        <w:jc w:val="right"/>
        <w:rPr>
          <w:rFonts w:cs="宋体"/>
          <w:color w:val="auto"/>
          <w:sz w:val="24"/>
          <w:szCs w:val="20"/>
          <w:highlight w:val="none"/>
        </w:rPr>
      </w:pPr>
      <w:r>
        <w:rPr>
          <w:rFonts w:hint="eastAsia" w:cs="宋体"/>
          <w:color w:val="auto"/>
          <w:sz w:val="24"/>
          <w:szCs w:val="20"/>
          <w:highlight w:val="none"/>
        </w:rPr>
        <w:t>投标人名称（盖法人公章）：</w:t>
      </w:r>
    </w:p>
    <w:p>
      <w:pPr>
        <w:spacing w:line="360" w:lineRule="auto"/>
        <w:ind w:right="26"/>
        <w:jc w:val="right"/>
        <w:rPr>
          <w:rFonts w:cs="宋体"/>
          <w:color w:val="auto"/>
          <w:sz w:val="24"/>
          <w:szCs w:val="20"/>
          <w:highlight w:val="none"/>
        </w:rPr>
      </w:pPr>
      <w:r>
        <w:rPr>
          <w:rFonts w:hint="eastAsia" w:cs="宋体"/>
          <w:color w:val="auto"/>
          <w:sz w:val="24"/>
          <w:szCs w:val="20"/>
          <w:highlight w:val="none"/>
        </w:rPr>
        <w:t>法定代表人或被授权人（签字或盖章）：</w:t>
      </w:r>
    </w:p>
    <w:p>
      <w:pPr>
        <w:widowControl/>
        <w:topLinePunct/>
        <w:adjustRightInd w:val="0"/>
        <w:snapToGrid w:val="0"/>
        <w:spacing w:after="200"/>
        <w:jc w:val="right"/>
        <w:outlineLvl w:val="2"/>
        <w:rPr>
          <w:rStyle w:val="60"/>
          <w:color w:val="auto"/>
          <w:highlight w:val="none"/>
        </w:rPr>
      </w:pPr>
      <w:bookmarkStart w:id="40" w:name="_Toc13721"/>
      <w:bookmarkStart w:id="41" w:name="_Toc15638"/>
      <w:r>
        <w:rPr>
          <w:rFonts w:hint="eastAsia" w:cs="宋体"/>
          <w:color w:val="auto"/>
          <w:sz w:val="24"/>
          <w:szCs w:val="20"/>
          <w:highlight w:val="none"/>
        </w:rPr>
        <w:t>日期：   年  月  日</w:t>
      </w:r>
      <w:bookmarkEnd w:id="40"/>
      <w:bookmarkEnd w:id="41"/>
      <w:r>
        <w:rPr>
          <w:rStyle w:val="60"/>
          <w:rFonts w:hint="eastAsia"/>
          <w:color w:val="auto"/>
          <w:highlight w:val="none"/>
        </w:rPr>
        <w:br w:type="page"/>
      </w:r>
    </w:p>
    <w:p>
      <w:pPr>
        <w:tabs>
          <w:tab w:val="left" w:pos="720"/>
        </w:tabs>
        <w:snapToGrid w:val="0"/>
        <w:spacing w:line="360" w:lineRule="auto"/>
        <w:jc w:val="center"/>
        <w:rPr>
          <w:rStyle w:val="60"/>
          <w:color w:val="auto"/>
          <w:highlight w:val="none"/>
        </w:rPr>
      </w:pPr>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38"/>
      <w:bookmarkEnd w:id="39"/>
    </w:p>
    <w:p>
      <w:pPr>
        <w:rPr>
          <w:rFonts w:ascii="宋体" w:hAnsi="宋体" w:cs="宋体"/>
          <w:b/>
          <w:color w:val="auto"/>
          <w:sz w:val="24"/>
          <w:szCs w:val="24"/>
          <w:highlight w:val="none"/>
        </w:rPr>
      </w:pPr>
      <w:bookmarkStart w:id="42" w:name="_Toc2272569"/>
      <w:bookmarkStart w:id="43" w:name="_Toc21525514"/>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44" w:name="_Hlt531956504"/>
      <w:r>
        <w:rPr>
          <w:rFonts w:hint="eastAsia" w:ascii="宋体" w:hAnsi="宋体" w:cs="宋体"/>
          <w:color w:val="auto"/>
          <w:sz w:val="24"/>
          <w:szCs w:val="24"/>
          <w:highlight w:val="none"/>
        </w:rPr>
        <w:t>安全生产目标：杜绝本项目施工人员重大伤亡事故。</w:t>
      </w:r>
      <w:bookmarkEnd w:id="44"/>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rPr>
          <w:rFonts w:ascii="宋体" w:hAnsi="宋体" w:cs="宋体"/>
          <w:color w:val="auto"/>
          <w:sz w:val="24"/>
          <w:szCs w:val="24"/>
          <w:highlight w:val="none"/>
        </w:rPr>
      </w:pPr>
      <w:bookmarkStart w:id="45" w:name="_Toc3345"/>
      <w:r>
        <w:rPr>
          <w:rFonts w:hint="eastAsia" w:ascii="宋体" w:hAnsi="宋体" w:cs="宋体"/>
          <w:color w:val="auto"/>
          <w:sz w:val="24"/>
          <w:szCs w:val="24"/>
          <w:highlight w:val="none"/>
        </w:rPr>
        <w:t>（十）施工现场建筑垃圾源头减量的具体要求和建筑垃圾综合利用产品的使用要求</w:t>
      </w:r>
      <w:bookmarkEnd w:id="45"/>
    </w:p>
    <w:p>
      <w:pPr>
        <w:rPr>
          <w:rFonts w:ascii="宋体" w:hAnsi="宋体" w:cs="宋体"/>
          <w:color w:val="auto"/>
          <w:sz w:val="24"/>
          <w:szCs w:val="24"/>
          <w:highlight w:val="none"/>
        </w:rPr>
      </w:pPr>
      <w:bookmarkStart w:id="46" w:name="_Toc18804"/>
      <w:r>
        <w:rPr>
          <w:rFonts w:hint="eastAsia" w:ascii="宋体" w:hAnsi="宋体" w:cs="宋体"/>
          <w:color w:val="auto"/>
          <w:sz w:val="24"/>
          <w:szCs w:val="24"/>
          <w:highlight w:val="none"/>
        </w:rPr>
        <w:t>10.1投标人应当建立建筑垃圾管理台账，分类收集、贮存和及时清运施工过程中产生的建筑垃圾，采取有效措施防止混合已分类的建筑垃圾；</w:t>
      </w:r>
      <w:bookmarkEnd w:id="46"/>
    </w:p>
    <w:p>
      <w:pPr>
        <w:rPr>
          <w:rFonts w:ascii="宋体" w:hAnsi="宋体" w:cs="宋体"/>
          <w:color w:val="auto"/>
          <w:sz w:val="24"/>
          <w:szCs w:val="24"/>
          <w:highlight w:val="none"/>
        </w:rPr>
      </w:pPr>
      <w:bookmarkStart w:id="47" w:name="_Toc2137"/>
      <w:r>
        <w:rPr>
          <w:rFonts w:hint="eastAsia" w:ascii="宋体" w:hAnsi="宋体" w:cs="宋体"/>
          <w:color w:val="auto"/>
          <w:sz w:val="24"/>
          <w:szCs w:val="24"/>
          <w:highlight w:val="none"/>
        </w:rPr>
        <w:t>10.2投标人应优化施工组织设计，实现精准下料、精细管理，降低建筑材料损耗率；</w:t>
      </w:r>
      <w:bookmarkEnd w:id="47"/>
    </w:p>
    <w:p>
      <w:pPr>
        <w:rPr>
          <w:rFonts w:ascii="宋体" w:hAnsi="宋体" w:cs="宋体"/>
          <w:color w:val="auto"/>
          <w:sz w:val="24"/>
          <w:szCs w:val="24"/>
          <w:highlight w:val="none"/>
        </w:rPr>
      </w:pPr>
      <w:bookmarkStart w:id="48" w:name="_Toc31533"/>
      <w:r>
        <w:rPr>
          <w:rFonts w:hint="eastAsia" w:ascii="宋体" w:hAnsi="宋体" w:cs="宋体"/>
          <w:color w:val="auto"/>
          <w:sz w:val="24"/>
          <w:szCs w:val="24"/>
          <w:highlight w:val="none"/>
        </w:rPr>
        <w:t>10.3投标人应严格按要求控制进场材料和设备的质量，减少因质量问题导致的返工或修补。加强对已完工工程的成品保护，避免二次损坏；</w:t>
      </w:r>
      <w:bookmarkEnd w:id="48"/>
    </w:p>
    <w:p>
      <w:pPr>
        <w:rPr>
          <w:rFonts w:ascii="宋体" w:hAnsi="宋体" w:cs="宋体"/>
          <w:color w:val="auto"/>
          <w:sz w:val="24"/>
          <w:szCs w:val="24"/>
          <w:highlight w:val="none"/>
        </w:rPr>
      </w:pPr>
      <w:bookmarkStart w:id="49" w:name="_Toc12568"/>
      <w:r>
        <w:rPr>
          <w:rFonts w:hint="eastAsia" w:ascii="宋体" w:hAnsi="宋体" w:cs="宋体"/>
          <w:color w:val="auto"/>
          <w:sz w:val="24"/>
          <w:szCs w:val="24"/>
          <w:highlight w:val="none"/>
        </w:rPr>
        <w:t>10.4投标人应实时统计并监控建筑垃圾产生量，及时采取针对性措施降低建筑垃圾排放量；</w:t>
      </w:r>
      <w:bookmarkEnd w:id="49"/>
    </w:p>
    <w:p>
      <w:pPr>
        <w:rPr>
          <w:rFonts w:ascii="宋体" w:hAnsi="宋体" w:cs="宋体"/>
          <w:color w:val="auto"/>
          <w:sz w:val="24"/>
          <w:szCs w:val="24"/>
          <w:highlight w:val="none"/>
        </w:rPr>
      </w:pPr>
      <w:bookmarkStart w:id="50" w:name="_Toc19790"/>
      <w:r>
        <w:rPr>
          <w:rFonts w:hint="eastAsia" w:ascii="宋体" w:hAnsi="宋体" w:cs="宋体"/>
          <w:color w:val="auto"/>
          <w:sz w:val="24"/>
          <w:szCs w:val="24"/>
          <w:highlight w:val="none"/>
        </w:rPr>
        <w:t>10.5鼓励投标人选择技术指标符合设计要求及满足使用功能的建筑垃圾综合利用产品；</w:t>
      </w:r>
      <w:bookmarkEnd w:id="50"/>
    </w:p>
    <w:p>
      <w:pPr>
        <w:rPr>
          <w:rFonts w:ascii="宋体" w:hAnsi="宋体" w:cs="宋体"/>
          <w:color w:val="auto"/>
          <w:sz w:val="24"/>
          <w:szCs w:val="24"/>
          <w:highlight w:val="none"/>
        </w:rPr>
      </w:pPr>
      <w:bookmarkStart w:id="51" w:name="_Toc17210"/>
      <w:r>
        <w:rPr>
          <w:rFonts w:hint="eastAsia" w:ascii="宋体" w:hAnsi="宋体" w:cs="宋体"/>
          <w:color w:val="auto"/>
          <w:sz w:val="24"/>
          <w:szCs w:val="24"/>
          <w:highlight w:val="none"/>
        </w:rPr>
        <w:t>10.6其他要求详见《广东省建筑垃圾管理条例》相关规定。</w:t>
      </w:r>
      <w:bookmarkEnd w:id="51"/>
    </w:p>
    <w:p>
      <w:pPr>
        <w:rPr>
          <w:rFonts w:ascii="宋体" w:hAnsi="宋体" w:cs="宋体"/>
          <w:color w:val="auto"/>
          <w:sz w:val="24"/>
          <w:szCs w:val="24"/>
          <w:highlight w:val="none"/>
        </w:rPr>
        <w:sectPr>
          <w:headerReference r:id="rId15" w:type="default"/>
          <w:footerReference r:id="rId16" w:type="default"/>
          <w:pgSz w:w="11907" w:h="16839"/>
          <w:pgMar w:top="1440" w:right="1083" w:bottom="1440" w:left="1083" w:header="0" w:footer="1476" w:gutter="0"/>
          <w:cols w:space="720" w:num="1"/>
        </w:sectPr>
      </w:pPr>
    </w:p>
    <w:p>
      <w:pPr>
        <w:pStyle w:val="3"/>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42"/>
      <w:bookmarkEnd w:id="43"/>
    </w:p>
    <w:p>
      <w:pPr>
        <w:jc w:val="center"/>
        <w:rPr>
          <w:rFonts w:ascii="宋体"/>
          <w:b/>
          <w:color w:val="auto"/>
          <w:sz w:val="24"/>
          <w:szCs w:val="24"/>
          <w:highlight w:val="none"/>
        </w:rPr>
      </w:pPr>
      <w:r>
        <w:rPr>
          <w:rFonts w:hint="eastAsia" w:ascii="宋体" w:hAnsi="宋体"/>
          <w:color w:val="auto"/>
          <w:sz w:val="24"/>
          <w:szCs w:val="24"/>
          <w:highlight w:val="none"/>
        </w:rPr>
        <w:t>注：另册。</w:t>
      </w:r>
    </w:p>
    <w:p>
      <w:pPr>
        <w:pStyle w:val="3"/>
        <w:rPr>
          <w:color w:val="auto"/>
          <w:highlight w:val="none"/>
        </w:rPr>
      </w:pPr>
      <w:r>
        <w:rPr>
          <w:color w:val="auto"/>
          <w:sz w:val="24"/>
          <w:szCs w:val="24"/>
          <w:highlight w:val="none"/>
        </w:rPr>
        <w:br w:type="page"/>
      </w:r>
      <w:bookmarkStart w:id="52" w:name="_Toc21525515"/>
      <w:bookmarkStart w:id="53"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52"/>
      <w:bookmarkEnd w:id="53"/>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54" w:name="_Toc21525516"/>
      <w:bookmarkStart w:id="55"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54"/>
      <w:bookmarkEnd w:id="55"/>
    </w:p>
    <w:p>
      <w:pPr>
        <w:spacing w:line="360" w:lineRule="auto"/>
        <w:ind w:firstLine="480"/>
        <w:rPr>
          <w:rFonts w:ascii="宋体" w:hAnsi="宋体" w:cs="宋体"/>
          <w:color w:val="auto"/>
          <w:sz w:val="24"/>
          <w:szCs w:val="24"/>
          <w:highlight w:val="none"/>
          <w:lang w:bidi="ar"/>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s="宋体"/>
          <w:color w:val="auto"/>
          <w:sz w:val="24"/>
          <w:szCs w:val="24"/>
          <w:highlight w:val="none"/>
          <w:lang w:bidi="ar"/>
        </w:rPr>
        <w:t>具体详见本项目公告附件最高投标限价公布函。</w:t>
      </w:r>
    </w:p>
    <w:p>
      <w:pPr>
        <w:spacing w:line="600" w:lineRule="exact"/>
        <w:jc w:val="center"/>
        <w:rPr>
          <w:rFonts w:ascii="宋体" w:hAnsi="宋体"/>
          <w:color w:val="auto"/>
          <w:szCs w:val="21"/>
          <w:highlight w:val="none"/>
        </w:rPr>
      </w:pPr>
      <w:r>
        <w:rPr>
          <w:rFonts w:hint="eastAsia" w:ascii="宋体" w:hAnsi="宋体"/>
          <w:b/>
          <w:color w:val="auto"/>
          <w:spacing w:val="60"/>
          <w:sz w:val="44"/>
          <w:szCs w:val="44"/>
          <w:highlight w:val="none"/>
        </w:rPr>
        <w:t>最高投标限价公布函</w:t>
      </w:r>
    </w:p>
    <w:p>
      <w:pPr>
        <w:pStyle w:val="2"/>
        <w:rPr>
          <w:color w:val="auto"/>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工程名称：</w:t>
      </w:r>
      <w:r>
        <w:rPr>
          <w:rFonts w:hint="eastAsia" w:ascii="宋体" w:hAnsi="宋体"/>
          <w:color w:val="auto"/>
          <w:sz w:val="24"/>
          <w:szCs w:val="24"/>
          <w:highlight w:val="none"/>
          <w:u w:val="single"/>
        </w:rPr>
        <w:t>新新公路交通完善项目施工总承包</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最高投标限价（元）：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18687471.85</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分部分项工程费（元）：</w:t>
      </w:r>
      <w:r>
        <w:rPr>
          <w:rFonts w:hint="eastAsia" w:ascii="宋体" w:hAnsi="宋体"/>
          <w:color w:val="auto"/>
          <w:sz w:val="24"/>
          <w:szCs w:val="24"/>
          <w:highlight w:val="none"/>
          <w:u w:val="single"/>
        </w:rPr>
        <w:t xml:space="preserve">15639925.32                                 </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措施项目费（元）：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887974.39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960" w:firstLineChars="400"/>
        <w:rPr>
          <w:rFonts w:hint="eastAsia" w:ascii="宋体" w:hAnsi="宋体"/>
          <w:color w:val="auto"/>
          <w:sz w:val="24"/>
          <w:szCs w:val="24"/>
          <w:highlight w:val="none"/>
          <w:u w:val="single"/>
        </w:rPr>
      </w:pPr>
      <w:r>
        <w:rPr>
          <w:rFonts w:hint="eastAsia" w:ascii="宋体" w:hAnsi="宋体"/>
          <w:color w:val="auto"/>
          <w:sz w:val="24"/>
          <w:szCs w:val="24"/>
          <w:highlight w:val="none"/>
        </w:rPr>
        <w:t>其中绿色施工安全防护措施费（元）：</w:t>
      </w:r>
      <w:r>
        <w:rPr>
          <w:rFonts w:hint="eastAsia" w:ascii="宋体" w:hAnsi="宋体"/>
          <w:color w:val="auto"/>
          <w:sz w:val="24"/>
          <w:szCs w:val="24"/>
          <w:highlight w:val="none"/>
          <w:u w:val="single"/>
        </w:rPr>
        <w:t xml:space="preserve">843937.38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pStyle w:val="2"/>
        <w:ind w:firstLine="960" w:firstLineChars="400"/>
        <w:rPr>
          <w:rFonts w:hint="default" w:hAnsi="宋体"/>
          <w:color w:val="auto"/>
          <w:sz w:val="24"/>
          <w:szCs w:val="24"/>
          <w:highlight w:val="none"/>
          <w:u w:val="single"/>
          <w:lang w:val="en-US" w:eastAsia="zh-CN"/>
        </w:rPr>
      </w:pPr>
      <w:r>
        <w:rPr>
          <w:rFonts w:hint="eastAsia" w:hAnsi="宋体"/>
          <w:color w:val="auto"/>
          <w:sz w:val="24"/>
          <w:szCs w:val="24"/>
          <w:highlight w:val="none"/>
          <w:u w:val="none"/>
          <w:lang w:val="en-US" w:eastAsia="zh-CN"/>
        </w:rPr>
        <w:t>1</w:t>
      </w:r>
      <w:r>
        <w:rPr>
          <w:rFonts w:hint="eastAsia" w:ascii="宋体" w:hAnsi="宋体"/>
          <w:color w:val="auto"/>
          <w:sz w:val="24"/>
          <w:szCs w:val="24"/>
          <w:highlight w:val="none"/>
          <w:u w:val="none"/>
        </w:rPr>
        <w:t>园建工程</w:t>
      </w:r>
      <w:r>
        <w:rPr>
          <w:rFonts w:hint="eastAsia" w:ascii="宋体" w:hAnsi="宋体"/>
          <w:color w:val="auto"/>
          <w:sz w:val="24"/>
          <w:szCs w:val="24"/>
          <w:highlight w:val="none"/>
        </w:rPr>
        <w:t>（元）：</w:t>
      </w:r>
      <w:r>
        <w:rPr>
          <w:rFonts w:hint="eastAsia" w:ascii="宋体" w:hAnsi="宋体"/>
          <w:color w:val="auto"/>
          <w:sz w:val="24"/>
          <w:szCs w:val="24"/>
          <w:highlight w:val="none"/>
          <w:u w:val="single"/>
        </w:rPr>
        <w:t>212624.84</w:t>
      </w:r>
    </w:p>
    <w:p>
      <w:pPr>
        <w:pStyle w:val="2"/>
        <w:ind w:firstLine="960" w:firstLineChars="400"/>
        <w:rPr>
          <w:rFonts w:hint="eastAsia" w:ascii="宋体" w:hAnsi="宋体"/>
          <w:color w:val="auto"/>
          <w:sz w:val="24"/>
          <w:szCs w:val="24"/>
          <w:highlight w:val="none"/>
          <w:u w:val="none"/>
        </w:rPr>
      </w:pPr>
      <w:r>
        <w:rPr>
          <w:rFonts w:hint="eastAsia" w:hAnsi="宋体"/>
          <w:color w:val="auto"/>
          <w:sz w:val="24"/>
          <w:szCs w:val="24"/>
          <w:highlight w:val="none"/>
          <w:u w:val="none"/>
          <w:lang w:val="en-US" w:eastAsia="zh-CN"/>
        </w:rPr>
        <w:t>2</w:t>
      </w:r>
      <w:r>
        <w:rPr>
          <w:rFonts w:hint="eastAsia" w:ascii="宋体" w:hAnsi="宋体"/>
          <w:color w:val="auto"/>
          <w:sz w:val="24"/>
          <w:szCs w:val="24"/>
          <w:highlight w:val="none"/>
          <w:u w:val="none"/>
        </w:rPr>
        <w:t>绿化工程（含树木保护）</w:t>
      </w:r>
      <w:r>
        <w:rPr>
          <w:rFonts w:hint="eastAsia" w:ascii="宋体" w:hAnsi="宋体"/>
          <w:color w:val="auto"/>
          <w:sz w:val="24"/>
          <w:szCs w:val="24"/>
          <w:highlight w:val="none"/>
        </w:rPr>
        <w:t>（元）：</w:t>
      </w:r>
      <w:r>
        <w:rPr>
          <w:rFonts w:hint="eastAsia" w:ascii="宋体" w:hAnsi="宋体"/>
          <w:color w:val="auto"/>
          <w:sz w:val="24"/>
          <w:szCs w:val="24"/>
          <w:highlight w:val="none"/>
          <w:u w:val="single"/>
        </w:rPr>
        <w:t>113398.44</w:t>
      </w:r>
    </w:p>
    <w:p>
      <w:pPr>
        <w:pStyle w:val="2"/>
        <w:rPr>
          <w:rFonts w:hint="eastAsia" w:ascii="宋体" w:hAnsi="宋体"/>
          <w:color w:val="auto"/>
          <w:sz w:val="24"/>
          <w:szCs w:val="24"/>
          <w:highlight w:val="none"/>
          <w:u w:val="none"/>
        </w:rPr>
      </w:pPr>
      <w:r>
        <w:rPr>
          <w:rFonts w:hint="eastAsia" w:hAnsi="宋体"/>
          <w:color w:val="auto"/>
          <w:sz w:val="24"/>
          <w:szCs w:val="24"/>
          <w:highlight w:val="none"/>
          <w:u w:val="none"/>
          <w:lang w:val="en-US" w:eastAsia="zh-CN"/>
        </w:rPr>
        <w:t xml:space="preserve">        3</w:t>
      </w:r>
      <w:r>
        <w:rPr>
          <w:rFonts w:hint="eastAsia" w:ascii="宋体" w:hAnsi="宋体"/>
          <w:color w:val="auto"/>
          <w:sz w:val="24"/>
          <w:szCs w:val="24"/>
          <w:highlight w:val="none"/>
          <w:u w:val="none"/>
        </w:rPr>
        <w:t>电气工程</w:t>
      </w:r>
      <w:r>
        <w:rPr>
          <w:rFonts w:hint="eastAsia" w:ascii="宋体" w:hAnsi="宋体"/>
          <w:color w:val="auto"/>
          <w:sz w:val="24"/>
          <w:szCs w:val="24"/>
          <w:highlight w:val="none"/>
        </w:rPr>
        <w:t>（元）：</w:t>
      </w:r>
      <w:r>
        <w:rPr>
          <w:rFonts w:hint="eastAsia" w:ascii="宋体" w:hAnsi="宋体"/>
          <w:color w:val="auto"/>
          <w:sz w:val="24"/>
          <w:szCs w:val="24"/>
          <w:highlight w:val="none"/>
          <w:u w:val="single"/>
        </w:rPr>
        <w:t>314888.26</w:t>
      </w:r>
    </w:p>
    <w:p>
      <w:pPr>
        <w:pStyle w:val="2"/>
        <w:rPr>
          <w:rFonts w:hint="eastAsia" w:ascii="宋体" w:hAnsi="宋体"/>
          <w:color w:val="auto"/>
          <w:sz w:val="24"/>
          <w:szCs w:val="24"/>
          <w:highlight w:val="none"/>
          <w:u w:val="none"/>
        </w:rPr>
      </w:pPr>
      <w:r>
        <w:rPr>
          <w:rFonts w:hint="eastAsia" w:hAnsi="宋体"/>
          <w:color w:val="auto"/>
          <w:sz w:val="24"/>
          <w:szCs w:val="24"/>
          <w:highlight w:val="none"/>
          <w:u w:val="none"/>
          <w:lang w:val="en-US" w:eastAsia="zh-CN"/>
        </w:rPr>
        <w:t xml:space="preserve">        4</w:t>
      </w:r>
      <w:r>
        <w:rPr>
          <w:rFonts w:hint="eastAsia" w:ascii="宋体" w:hAnsi="宋体"/>
          <w:color w:val="auto"/>
          <w:sz w:val="24"/>
          <w:szCs w:val="24"/>
          <w:highlight w:val="none"/>
          <w:u w:val="none"/>
        </w:rPr>
        <w:t>交通工程</w:t>
      </w:r>
      <w:r>
        <w:rPr>
          <w:rFonts w:hint="eastAsia" w:ascii="宋体" w:hAnsi="宋体"/>
          <w:color w:val="auto"/>
          <w:sz w:val="24"/>
          <w:szCs w:val="24"/>
          <w:highlight w:val="none"/>
        </w:rPr>
        <w:t>（元）：</w:t>
      </w:r>
      <w:r>
        <w:rPr>
          <w:rFonts w:hint="eastAsia" w:ascii="宋体" w:hAnsi="宋体"/>
          <w:color w:val="auto"/>
          <w:sz w:val="24"/>
          <w:szCs w:val="24"/>
          <w:highlight w:val="none"/>
          <w:u w:val="single"/>
        </w:rPr>
        <w:t>36740.23</w:t>
      </w:r>
    </w:p>
    <w:p>
      <w:pPr>
        <w:pStyle w:val="2"/>
        <w:rPr>
          <w:rFonts w:hint="eastAsia" w:ascii="宋体" w:hAnsi="宋体" w:eastAsia="宋体"/>
          <w:color w:val="auto"/>
          <w:sz w:val="24"/>
          <w:szCs w:val="24"/>
          <w:highlight w:val="none"/>
          <w:u w:val="none"/>
          <w:lang w:val="en-US" w:eastAsia="zh-CN"/>
        </w:rPr>
      </w:pPr>
      <w:r>
        <w:rPr>
          <w:rFonts w:hint="eastAsia" w:hAnsi="宋体"/>
          <w:color w:val="auto"/>
          <w:sz w:val="24"/>
          <w:szCs w:val="24"/>
          <w:highlight w:val="none"/>
          <w:u w:val="none"/>
          <w:lang w:val="en-US" w:eastAsia="zh-CN"/>
        </w:rPr>
        <w:t xml:space="preserve">        5</w:t>
      </w:r>
      <w:r>
        <w:rPr>
          <w:rFonts w:hint="eastAsia" w:ascii="宋体" w:hAnsi="宋体"/>
          <w:color w:val="auto"/>
          <w:sz w:val="24"/>
          <w:szCs w:val="24"/>
          <w:highlight w:val="none"/>
          <w:u w:val="none"/>
        </w:rPr>
        <w:t>排水工程</w:t>
      </w:r>
      <w:r>
        <w:rPr>
          <w:rFonts w:hint="eastAsia" w:ascii="宋体" w:hAnsi="宋体"/>
          <w:color w:val="auto"/>
          <w:sz w:val="24"/>
          <w:szCs w:val="24"/>
          <w:highlight w:val="none"/>
        </w:rPr>
        <w:t>（元）：</w:t>
      </w:r>
      <w:r>
        <w:rPr>
          <w:rFonts w:hint="eastAsia" w:ascii="宋体" w:hAnsi="宋体"/>
          <w:color w:val="auto"/>
          <w:sz w:val="24"/>
          <w:szCs w:val="24"/>
          <w:highlight w:val="none"/>
          <w:u w:val="single"/>
        </w:rPr>
        <w:t>166285.61</w:t>
      </w:r>
    </w:p>
    <w:p>
      <w:pPr>
        <w:pStyle w:val="2"/>
        <w:rPr>
          <w:rFonts w:hint="eastAsia" w:ascii="宋体" w:hAnsi="宋体"/>
          <w:color w:val="auto"/>
          <w:sz w:val="24"/>
          <w:szCs w:val="24"/>
          <w:highlight w:val="none"/>
          <w:u w:val="none"/>
        </w:rPr>
      </w:pPr>
      <w:r>
        <w:rPr>
          <w:rFonts w:hint="eastAsia" w:hAnsi="宋体"/>
          <w:color w:val="auto"/>
          <w:sz w:val="24"/>
          <w:szCs w:val="24"/>
          <w:highlight w:val="none"/>
          <w:u w:val="none"/>
          <w:lang w:val="en-US" w:eastAsia="zh-CN"/>
        </w:rPr>
        <w:t xml:space="preserve">        </w:t>
      </w:r>
    </w:p>
    <w:p>
      <w:pPr>
        <w:spacing w:line="360" w:lineRule="auto"/>
        <w:ind w:firstLine="480" w:firstLineChars="200"/>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其他项目费（元）：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616569.89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pPr>
        <w:spacing w:line="360" w:lineRule="auto"/>
        <w:ind w:firstLine="960" w:firstLineChars="400"/>
        <w:rPr>
          <w:rFonts w:hint="eastAsia" w:ascii="宋体" w:hAnsi="宋体"/>
          <w:color w:val="auto"/>
          <w:sz w:val="24"/>
          <w:szCs w:val="24"/>
          <w:highlight w:val="none"/>
          <w:u w:val="single"/>
        </w:rPr>
      </w:pPr>
      <w:r>
        <w:rPr>
          <w:rFonts w:hint="eastAsia" w:ascii="宋体" w:hAnsi="宋体"/>
          <w:color w:val="auto"/>
          <w:sz w:val="24"/>
          <w:szCs w:val="24"/>
          <w:highlight w:val="none"/>
        </w:rPr>
        <w:t>其中</w:t>
      </w:r>
      <w:r>
        <w:rPr>
          <w:rFonts w:hint="eastAsia" w:ascii="宋体" w:hAnsi="宋体"/>
          <w:color w:val="auto"/>
          <w:sz w:val="24"/>
          <w:szCs w:val="24"/>
          <w:highlight w:val="none"/>
          <w:u w:val="none"/>
        </w:rPr>
        <w:t>园建工程</w:t>
      </w:r>
      <w:r>
        <w:rPr>
          <w:rFonts w:hint="eastAsia" w:hAnsi="宋体"/>
          <w:color w:val="auto"/>
          <w:sz w:val="24"/>
          <w:szCs w:val="24"/>
          <w:highlight w:val="none"/>
          <w:u w:val="none"/>
          <w:lang w:eastAsia="zh-CN"/>
        </w:rPr>
        <w:t>专业工程暂估价</w:t>
      </w:r>
      <w:r>
        <w:rPr>
          <w:rFonts w:hint="eastAsia" w:ascii="宋体" w:hAnsi="宋体"/>
          <w:color w:val="auto"/>
          <w:sz w:val="24"/>
          <w:szCs w:val="24"/>
          <w:highlight w:val="none"/>
        </w:rPr>
        <w:t>（元）：</w:t>
      </w:r>
      <w:r>
        <w:rPr>
          <w:rFonts w:hint="eastAsia" w:ascii="宋体" w:hAnsi="宋体"/>
          <w:color w:val="auto"/>
          <w:sz w:val="24"/>
          <w:szCs w:val="24"/>
          <w:highlight w:val="none"/>
          <w:u w:val="single"/>
          <w:lang w:val="en-US" w:eastAsia="zh-CN"/>
        </w:rPr>
        <w:t>360000.00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single"/>
        </w:rPr>
        <w:t xml:space="preserve">      </w:t>
      </w:r>
    </w:p>
    <w:p>
      <w:pPr>
        <w:pStyle w:val="2"/>
        <w:ind w:firstLine="960" w:firstLineChars="400"/>
        <w:rPr>
          <w:rFonts w:hint="eastAsia" w:ascii="宋体" w:hAnsi="宋体"/>
          <w:color w:val="auto"/>
          <w:sz w:val="24"/>
          <w:szCs w:val="24"/>
          <w:highlight w:val="none"/>
          <w:u w:val="single"/>
        </w:rPr>
      </w:pPr>
      <w:r>
        <w:rPr>
          <w:rFonts w:hint="eastAsia" w:hAnsi="宋体"/>
          <w:color w:val="auto"/>
          <w:sz w:val="24"/>
          <w:szCs w:val="24"/>
          <w:highlight w:val="none"/>
          <w:u w:val="none"/>
          <w:lang w:val="en-US" w:eastAsia="zh-CN"/>
        </w:rPr>
        <w:t xml:space="preserve">   </w:t>
      </w:r>
    </w:p>
    <w:p>
      <w:pPr>
        <w:pStyle w:val="2"/>
        <w:ind w:firstLine="960" w:firstLineChars="400"/>
        <w:rPr>
          <w:rFonts w:hint="default" w:ascii="宋体" w:hAnsi="宋体" w:eastAsia="宋体"/>
          <w:color w:val="auto"/>
          <w:sz w:val="24"/>
          <w:szCs w:val="24"/>
          <w:highlight w:val="none"/>
          <w:u w:val="single"/>
          <w:lang w:val="en-US" w:eastAsia="zh-CN"/>
        </w:rPr>
      </w:pP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规费（元）：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0.00</w:t>
      </w:r>
      <w:r>
        <w:rPr>
          <w:rFonts w:hint="eastAsia" w:ascii="宋体" w:hAnsi="宋体"/>
          <w:color w:val="auto"/>
          <w:sz w:val="24"/>
          <w:szCs w:val="24"/>
          <w:highlight w:val="none"/>
          <w:u w:val="single"/>
        </w:rPr>
        <w:t xml:space="preserve">                                                     </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税金（元）：</w:t>
      </w:r>
      <w:r>
        <w:rPr>
          <w:rFonts w:hint="eastAsia" w:ascii="宋体" w:hAnsi="宋体"/>
          <w:color w:val="auto"/>
          <w:sz w:val="24"/>
          <w:szCs w:val="24"/>
          <w:highlight w:val="none"/>
          <w:u w:val="single"/>
        </w:rPr>
        <w:t xml:space="preserve">1543002.25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u w:val="none"/>
          <w:lang w:val="en-US" w:eastAsia="zh-CN"/>
        </w:rPr>
        <w:t xml:space="preserve">   </w:t>
      </w:r>
    </w:p>
    <w:p>
      <w:pPr>
        <w:widowControl/>
        <w:spacing w:before="75" w:after="75"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对公开招标工程，</w:t>
      </w:r>
      <w:r>
        <w:rPr>
          <w:rFonts w:hint="eastAsia" w:ascii="宋体" w:hAnsi="宋体"/>
          <w:color w:val="auto"/>
          <w:sz w:val="24"/>
          <w:szCs w:val="24"/>
          <w:highlight w:val="none"/>
        </w:rPr>
        <w:t>投标人须按照公布的绿色施工安全防护措施费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暂估价</w:t>
      </w:r>
      <w:r>
        <w:rPr>
          <w:rFonts w:hint="eastAsia" w:ascii="宋体" w:hAnsi="宋体" w:cs="宋体"/>
          <w:color w:val="auto"/>
          <w:kern w:val="0"/>
          <w:sz w:val="24"/>
          <w:szCs w:val="24"/>
          <w:highlight w:val="none"/>
        </w:rPr>
        <w:t>报价。</w:t>
      </w:r>
    </w:p>
    <w:p>
      <w:pPr>
        <w:widowControl/>
        <w:spacing w:before="75" w:after="75" w:line="360" w:lineRule="auto"/>
        <w:ind w:firstLine="5640" w:firstLineChars="2350"/>
        <w:jc w:val="left"/>
        <w:rPr>
          <w:rFonts w:hint="eastAsia" w:ascii="宋体" w:hAnsi="宋体"/>
          <w:color w:val="auto"/>
          <w:sz w:val="24"/>
          <w:szCs w:val="24"/>
          <w:highlight w:val="none"/>
        </w:rPr>
      </w:pPr>
    </w:p>
    <w:p>
      <w:pPr>
        <w:widowControl/>
        <w:spacing w:before="75" w:after="75" w:line="360" w:lineRule="auto"/>
        <w:ind w:firstLine="5640" w:firstLineChars="2350"/>
        <w:jc w:val="left"/>
        <w:rPr>
          <w:rFonts w:hint="eastAsia" w:ascii="宋体" w:hAnsi="宋体"/>
          <w:color w:val="auto"/>
          <w:sz w:val="24"/>
          <w:szCs w:val="24"/>
          <w:highlight w:val="none"/>
        </w:rPr>
      </w:pPr>
      <w:r>
        <w:rPr>
          <w:rFonts w:hint="eastAsia" w:ascii="宋体" w:hAnsi="宋体"/>
          <w:color w:val="auto"/>
          <w:sz w:val="24"/>
          <w:szCs w:val="24"/>
          <w:highlight w:val="none"/>
        </w:rPr>
        <w:t xml:space="preserve">招标单位（盖章）              </w:t>
      </w:r>
    </w:p>
    <w:p>
      <w:pPr>
        <w:widowControl/>
        <w:spacing w:before="75" w:after="75" w:line="360" w:lineRule="auto"/>
        <w:ind w:firstLine="5640" w:firstLineChars="2350"/>
        <w:jc w:val="left"/>
        <w:rPr>
          <w:color w:val="auto"/>
          <w:highlight w:val="none"/>
        </w:r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日</w:t>
      </w:r>
    </w:p>
    <w:sectPr>
      <w:headerReference r:id="rId17" w:type="default"/>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Century Schoolbook">
    <w:altName w:val="Century"/>
    <w:panose1 w:val="02040604050505020304"/>
    <w:charset w:val="00"/>
    <w:family w:val="roman"/>
    <w:pitch w:val="default"/>
    <w:sig w:usb0="00000000"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54</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Style w:val="41"/>
      </w:rPr>
      <w:fldChar w:fldCharType="begin"/>
    </w:r>
    <w:r>
      <w:rPr>
        <w:rStyle w:val="41"/>
      </w:rPr>
      <w:instrText xml:space="preserve"> PAGE </w:instrText>
    </w:r>
    <w:r>
      <w:rPr>
        <w:rStyle w:val="41"/>
      </w:rPr>
      <w:fldChar w:fldCharType="separate"/>
    </w:r>
    <w:r>
      <w:rPr>
        <w:rStyle w:val="41"/>
      </w:rPr>
      <w:t>51</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58</w:t>
    </w:r>
    <w: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83"/>
      <w:rPr>
        <w:rFonts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68</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ZDg4NzIzNTAyMjFkOGEyMjA2YTMwMDE0OGVmZjAifQ=="/>
  </w:docVars>
  <w:rsids>
    <w:rsidRoot w:val="007B41BE"/>
    <w:rsid w:val="000200EE"/>
    <w:rsid w:val="000477D7"/>
    <w:rsid w:val="000575F8"/>
    <w:rsid w:val="000C1007"/>
    <w:rsid w:val="000C11E0"/>
    <w:rsid w:val="000C2710"/>
    <w:rsid w:val="000D396E"/>
    <w:rsid w:val="00113A58"/>
    <w:rsid w:val="00181CAA"/>
    <w:rsid w:val="002B7895"/>
    <w:rsid w:val="00336AA3"/>
    <w:rsid w:val="004370EC"/>
    <w:rsid w:val="004424B8"/>
    <w:rsid w:val="004B295D"/>
    <w:rsid w:val="005539A0"/>
    <w:rsid w:val="005866FB"/>
    <w:rsid w:val="005C212B"/>
    <w:rsid w:val="006036EF"/>
    <w:rsid w:val="00673B83"/>
    <w:rsid w:val="00680BFD"/>
    <w:rsid w:val="006B6B0D"/>
    <w:rsid w:val="006F3576"/>
    <w:rsid w:val="0073229B"/>
    <w:rsid w:val="00780EC8"/>
    <w:rsid w:val="007B1B56"/>
    <w:rsid w:val="007B41BE"/>
    <w:rsid w:val="007D6D06"/>
    <w:rsid w:val="00835C9E"/>
    <w:rsid w:val="008919F1"/>
    <w:rsid w:val="008D2515"/>
    <w:rsid w:val="008E4AD1"/>
    <w:rsid w:val="009179DE"/>
    <w:rsid w:val="00920E49"/>
    <w:rsid w:val="009747E9"/>
    <w:rsid w:val="00991949"/>
    <w:rsid w:val="009A0469"/>
    <w:rsid w:val="009A704D"/>
    <w:rsid w:val="00A0387A"/>
    <w:rsid w:val="00A0619D"/>
    <w:rsid w:val="00A20AF3"/>
    <w:rsid w:val="00A2579D"/>
    <w:rsid w:val="00A50D34"/>
    <w:rsid w:val="00A64E29"/>
    <w:rsid w:val="00AD3DEE"/>
    <w:rsid w:val="00AD6716"/>
    <w:rsid w:val="00BC7B91"/>
    <w:rsid w:val="00BE1732"/>
    <w:rsid w:val="00BE216D"/>
    <w:rsid w:val="00BF4229"/>
    <w:rsid w:val="00C267C0"/>
    <w:rsid w:val="00C32C1E"/>
    <w:rsid w:val="00C35453"/>
    <w:rsid w:val="00C408D3"/>
    <w:rsid w:val="00C5365F"/>
    <w:rsid w:val="00C66B7B"/>
    <w:rsid w:val="00C814C1"/>
    <w:rsid w:val="00C81F53"/>
    <w:rsid w:val="00C82C8A"/>
    <w:rsid w:val="00CD156B"/>
    <w:rsid w:val="00CE6D2E"/>
    <w:rsid w:val="00D75B45"/>
    <w:rsid w:val="00D84E64"/>
    <w:rsid w:val="00E22EAB"/>
    <w:rsid w:val="00E457F6"/>
    <w:rsid w:val="00E638F3"/>
    <w:rsid w:val="00E77CE9"/>
    <w:rsid w:val="00EB6530"/>
    <w:rsid w:val="00EC014E"/>
    <w:rsid w:val="00F40301"/>
    <w:rsid w:val="00FA5926"/>
    <w:rsid w:val="00FC5596"/>
    <w:rsid w:val="00FD780F"/>
    <w:rsid w:val="01695867"/>
    <w:rsid w:val="01A324E9"/>
    <w:rsid w:val="01C53F3E"/>
    <w:rsid w:val="01D152A8"/>
    <w:rsid w:val="025A529E"/>
    <w:rsid w:val="02FE2D03"/>
    <w:rsid w:val="03124864"/>
    <w:rsid w:val="03184F30"/>
    <w:rsid w:val="036F4693"/>
    <w:rsid w:val="04262463"/>
    <w:rsid w:val="045066FF"/>
    <w:rsid w:val="04B56FD0"/>
    <w:rsid w:val="05935ABA"/>
    <w:rsid w:val="06181B12"/>
    <w:rsid w:val="06327B5B"/>
    <w:rsid w:val="06391F63"/>
    <w:rsid w:val="0694453D"/>
    <w:rsid w:val="06A05249"/>
    <w:rsid w:val="072F44E3"/>
    <w:rsid w:val="073B1CC1"/>
    <w:rsid w:val="07B30216"/>
    <w:rsid w:val="07CC4C61"/>
    <w:rsid w:val="07F63A6D"/>
    <w:rsid w:val="08777DF5"/>
    <w:rsid w:val="08EF0C8C"/>
    <w:rsid w:val="090B5543"/>
    <w:rsid w:val="09AD5B81"/>
    <w:rsid w:val="09F33618"/>
    <w:rsid w:val="0A5615D2"/>
    <w:rsid w:val="0A825391"/>
    <w:rsid w:val="0B194835"/>
    <w:rsid w:val="0BA555DC"/>
    <w:rsid w:val="0C163FA6"/>
    <w:rsid w:val="0D407BD1"/>
    <w:rsid w:val="0D5E54A5"/>
    <w:rsid w:val="0E3B2321"/>
    <w:rsid w:val="0E576B35"/>
    <w:rsid w:val="0E7D7B68"/>
    <w:rsid w:val="0F511424"/>
    <w:rsid w:val="0F7E4AB5"/>
    <w:rsid w:val="0F8D2A2E"/>
    <w:rsid w:val="0FAC68BB"/>
    <w:rsid w:val="0FEF45D8"/>
    <w:rsid w:val="104135F9"/>
    <w:rsid w:val="10930611"/>
    <w:rsid w:val="10990EC7"/>
    <w:rsid w:val="10AA09E6"/>
    <w:rsid w:val="112C24FB"/>
    <w:rsid w:val="114C494B"/>
    <w:rsid w:val="11E8746F"/>
    <w:rsid w:val="11F31941"/>
    <w:rsid w:val="12CB0A5B"/>
    <w:rsid w:val="13375D52"/>
    <w:rsid w:val="13D45305"/>
    <w:rsid w:val="13E72709"/>
    <w:rsid w:val="14D34591"/>
    <w:rsid w:val="154D4C74"/>
    <w:rsid w:val="15A47E68"/>
    <w:rsid w:val="16861D19"/>
    <w:rsid w:val="16DC22CD"/>
    <w:rsid w:val="173F18BE"/>
    <w:rsid w:val="175C6F6A"/>
    <w:rsid w:val="18151F96"/>
    <w:rsid w:val="181C07FE"/>
    <w:rsid w:val="187354C1"/>
    <w:rsid w:val="189237DC"/>
    <w:rsid w:val="18A254CF"/>
    <w:rsid w:val="190621F2"/>
    <w:rsid w:val="1A025B97"/>
    <w:rsid w:val="1A2F4635"/>
    <w:rsid w:val="1A531F7F"/>
    <w:rsid w:val="1A98475D"/>
    <w:rsid w:val="1AD03189"/>
    <w:rsid w:val="1AFC3630"/>
    <w:rsid w:val="1B257D65"/>
    <w:rsid w:val="1B862A01"/>
    <w:rsid w:val="1B9F38C9"/>
    <w:rsid w:val="1C817B9F"/>
    <w:rsid w:val="1CBD471C"/>
    <w:rsid w:val="1D946687"/>
    <w:rsid w:val="1E203761"/>
    <w:rsid w:val="1E486D96"/>
    <w:rsid w:val="1EA91761"/>
    <w:rsid w:val="1EBA5A37"/>
    <w:rsid w:val="1F647BA2"/>
    <w:rsid w:val="1FF540F7"/>
    <w:rsid w:val="1FF92163"/>
    <w:rsid w:val="20216DCB"/>
    <w:rsid w:val="202C50C6"/>
    <w:rsid w:val="20BB73F7"/>
    <w:rsid w:val="20EA0012"/>
    <w:rsid w:val="20EB0C9B"/>
    <w:rsid w:val="20EB1AE8"/>
    <w:rsid w:val="20F461FB"/>
    <w:rsid w:val="212A1126"/>
    <w:rsid w:val="228D3CB5"/>
    <w:rsid w:val="22AD0709"/>
    <w:rsid w:val="23141450"/>
    <w:rsid w:val="238E2519"/>
    <w:rsid w:val="24A972CC"/>
    <w:rsid w:val="24C31EA3"/>
    <w:rsid w:val="27616AF6"/>
    <w:rsid w:val="27AC1B6A"/>
    <w:rsid w:val="27C522AB"/>
    <w:rsid w:val="28530A3B"/>
    <w:rsid w:val="28790229"/>
    <w:rsid w:val="289F315B"/>
    <w:rsid w:val="29466BCF"/>
    <w:rsid w:val="2A880A7B"/>
    <w:rsid w:val="2ABB54F4"/>
    <w:rsid w:val="2AE676B4"/>
    <w:rsid w:val="2B82123D"/>
    <w:rsid w:val="2C0D164C"/>
    <w:rsid w:val="2C1A0526"/>
    <w:rsid w:val="2CB07C40"/>
    <w:rsid w:val="2DC4660F"/>
    <w:rsid w:val="2F203E69"/>
    <w:rsid w:val="2F754C15"/>
    <w:rsid w:val="30997F39"/>
    <w:rsid w:val="30AC62B5"/>
    <w:rsid w:val="30CB388B"/>
    <w:rsid w:val="310A17BD"/>
    <w:rsid w:val="31682B17"/>
    <w:rsid w:val="31A81DEF"/>
    <w:rsid w:val="32184F44"/>
    <w:rsid w:val="323F1C36"/>
    <w:rsid w:val="32BF3509"/>
    <w:rsid w:val="339B6959"/>
    <w:rsid w:val="33BA702B"/>
    <w:rsid w:val="33CB137D"/>
    <w:rsid w:val="33F5184C"/>
    <w:rsid w:val="342310E4"/>
    <w:rsid w:val="3457257C"/>
    <w:rsid w:val="35BB7673"/>
    <w:rsid w:val="361600A4"/>
    <w:rsid w:val="36C24BE4"/>
    <w:rsid w:val="36FA484C"/>
    <w:rsid w:val="370A6416"/>
    <w:rsid w:val="37465954"/>
    <w:rsid w:val="37546F97"/>
    <w:rsid w:val="375D203C"/>
    <w:rsid w:val="37FA01D4"/>
    <w:rsid w:val="38026A6F"/>
    <w:rsid w:val="38660B51"/>
    <w:rsid w:val="386C44C8"/>
    <w:rsid w:val="38FB5AD3"/>
    <w:rsid w:val="390239BE"/>
    <w:rsid w:val="39AF79F5"/>
    <w:rsid w:val="39C15447"/>
    <w:rsid w:val="39DD0E2F"/>
    <w:rsid w:val="39F308E8"/>
    <w:rsid w:val="39FF6BA3"/>
    <w:rsid w:val="3A4B56FC"/>
    <w:rsid w:val="3A566F31"/>
    <w:rsid w:val="3A8B1EF5"/>
    <w:rsid w:val="3A8D1903"/>
    <w:rsid w:val="3B0B1AD8"/>
    <w:rsid w:val="3B817F46"/>
    <w:rsid w:val="3BA90120"/>
    <w:rsid w:val="3C0435A9"/>
    <w:rsid w:val="3C6D13A1"/>
    <w:rsid w:val="3C6E7851"/>
    <w:rsid w:val="3CB17B91"/>
    <w:rsid w:val="3D60411F"/>
    <w:rsid w:val="3E473359"/>
    <w:rsid w:val="3EBE2135"/>
    <w:rsid w:val="3F6C2C90"/>
    <w:rsid w:val="402B4D0F"/>
    <w:rsid w:val="41CF635B"/>
    <w:rsid w:val="41E657FF"/>
    <w:rsid w:val="42A21DA3"/>
    <w:rsid w:val="42BB330B"/>
    <w:rsid w:val="431731AA"/>
    <w:rsid w:val="433E7706"/>
    <w:rsid w:val="43CC4A3F"/>
    <w:rsid w:val="43FD4CE8"/>
    <w:rsid w:val="43FE7235"/>
    <w:rsid w:val="447C0411"/>
    <w:rsid w:val="450D5A45"/>
    <w:rsid w:val="45675EB9"/>
    <w:rsid w:val="45C65BB7"/>
    <w:rsid w:val="46B567EC"/>
    <w:rsid w:val="4789207B"/>
    <w:rsid w:val="47ED366A"/>
    <w:rsid w:val="481A7151"/>
    <w:rsid w:val="48523C0A"/>
    <w:rsid w:val="493058B4"/>
    <w:rsid w:val="49351245"/>
    <w:rsid w:val="49927DC7"/>
    <w:rsid w:val="49DE18DD"/>
    <w:rsid w:val="4A5A5C3F"/>
    <w:rsid w:val="4B294DDA"/>
    <w:rsid w:val="4B3F6B82"/>
    <w:rsid w:val="4B6B7860"/>
    <w:rsid w:val="4BFE3359"/>
    <w:rsid w:val="4C066B29"/>
    <w:rsid w:val="4C3719B2"/>
    <w:rsid w:val="4C902A8D"/>
    <w:rsid w:val="4C96649F"/>
    <w:rsid w:val="4CC414CF"/>
    <w:rsid w:val="4CC87B94"/>
    <w:rsid w:val="4CCC0113"/>
    <w:rsid w:val="4D2866B7"/>
    <w:rsid w:val="4DBC0187"/>
    <w:rsid w:val="4DFE42FC"/>
    <w:rsid w:val="4E6C325B"/>
    <w:rsid w:val="4E8F6564"/>
    <w:rsid w:val="4ED65279"/>
    <w:rsid w:val="4FA5088A"/>
    <w:rsid w:val="502244A5"/>
    <w:rsid w:val="50760543"/>
    <w:rsid w:val="510942D7"/>
    <w:rsid w:val="51BB4DAA"/>
    <w:rsid w:val="5265216E"/>
    <w:rsid w:val="53672172"/>
    <w:rsid w:val="53C11B84"/>
    <w:rsid w:val="53F92C98"/>
    <w:rsid w:val="542942D5"/>
    <w:rsid w:val="548C6339"/>
    <w:rsid w:val="54AE09CE"/>
    <w:rsid w:val="54B40BE7"/>
    <w:rsid w:val="55995214"/>
    <w:rsid w:val="56AE4214"/>
    <w:rsid w:val="573354B6"/>
    <w:rsid w:val="57452F9B"/>
    <w:rsid w:val="5791308D"/>
    <w:rsid w:val="57920D10"/>
    <w:rsid w:val="57E02CC4"/>
    <w:rsid w:val="58223237"/>
    <w:rsid w:val="5864233E"/>
    <w:rsid w:val="58F51A81"/>
    <w:rsid w:val="590D059C"/>
    <w:rsid w:val="592B15DF"/>
    <w:rsid w:val="593E6324"/>
    <w:rsid w:val="59C9560C"/>
    <w:rsid w:val="59E2645B"/>
    <w:rsid w:val="5A755E33"/>
    <w:rsid w:val="5AE07983"/>
    <w:rsid w:val="5B215ACE"/>
    <w:rsid w:val="5BA66C84"/>
    <w:rsid w:val="5BC04CA0"/>
    <w:rsid w:val="5C193C6F"/>
    <w:rsid w:val="5C6914DA"/>
    <w:rsid w:val="5CDF456F"/>
    <w:rsid w:val="5D572C78"/>
    <w:rsid w:val="5D6476E6"/>
    <w:rsid w:val="5D9278DD"/>
    <w:rsid w:val="5DD714A4"/>
    <w:rsid w:val="5E6D347A"/>
    <w:rsid w:val="5ECB5FF5"/>
    <w:rsid w:val="5EDE4A8A"/>
    <w:rsid w:val="5F0F299B"/>
    <w:rsid w:val="5F4B72E8"/>
    <w:rsid w:val="5FEF5F56"/>
    <w:rsid w:val="600F37E7"/>
    <w:rsid w:val="607D63EF"/>
    <w:rsid w:val="61856700"/>
    <w:rsid w:val="618E445E"/>
    <w:rsid w:val="61CD42B9"/>
    <w:rsid w:val="620F7EF6"/>
    <w:rsid w:val="627666FF"/>
    <w:rsid w:val="62832486"/>
    <w:rsid w:val="628D019F"/>
    <w:rsid w:val="635602DE"/>
    <w:rsid w:val="638A67B2"/>
    <w:rsid w:val="638B442C"/>
    <w:rsid w:val="63C01BA2"/>
    <w:rsid w:val="63C10880"/>
    <w:rsid w:val="64357EF4"/>
    <w:rsid w:val="644C1739"/>
    <w:rsid w:val="644F5459"/>
    <w:rsid w:val="64FB758F"/>
    <w:rsid w:val="64FD03AC"/>
    <w:rsid w:val="653505E7"/>
    <w:rsid w:val="65890C8C"/>
    <w:rsid w:val="65E77799"/>
    <w:rsid w:val="677772D0"/>
    <w:rsid w:val="68403A64"/>
    <w:rsid w:val="68E029FD"/>
    <w:rsid w:val="69147527"/>
    <w:rsid w:val="69630509"/>
    <w:rsid w:val="699A2DE5"/>
    <w:rsid w:val="69AC0C58"/>
    <w:rsid w:val="69B411FD"/>
    <w:rsid w:val="69B813AB"/>
    <w:rsid w:val="69FA40E3"/>
    <w:rsid w:val="6A1E234A"/>
    <w:rsid w:val="6B036428"/>
    <w:rsid w:val="6B040620"/>
    <w:rsid w:val="6B407C0E"/>
    <w:rsid w:val="6B447BA8"/>
    <w:rsid w:val="6B804DE4"/>
    <w:rsid w:val="6BC46986"/>
    <w:rsid w:val="6C7621DF"/>
    <w:rsid w:val="6C787452"/>
    <w:rsid w:val="6C7D39C9"/>
    <w:rsid w:val="6CEF4F0F"/>
    <w:rsid w:val="6D5736CD"/>
    <w:rsid w:val="6D824924"/>
    <w:rsid w:val="6DAB59DE"/>
    <w:rsid w:val="6E7D76F4"/>
    <w:rsid w:val="6EAF3BF9"/>
    <w:rsid w:val="6F3D48CD"/>
    <w:rsid w:val="6F9220A7"/>
    <w:rsid w:val="6F9D106B"/>
    <w:rsid w:val="6F9F1217"/>
    <w:rsid w:val="6FD146E6"/>
    <w:rsid w:val="702751BC"/>
    <w:rsid w:val="70803C45"/>
    <w:rsid w:val="708A2F7E"/>
    <w:rsid w:val="70AF7646"/>
    <w:rsid w:val="70E06CE3"/>
    <w:rsid w:val="71533DB0"/>
    <w:rsid w:val="71CC34BB"/>
    <w:rsid w:val="723F4C97"/>
    <w:rsid w:val="739909A9"/>
    <w:rsid w:val="73BC4877"/>
    <w:rsid w:val="73CC483B"/>
    <w:rsid w:val="74550B7F"/>
    <w:rsid w:val="74660147"/>
    <w:rsid w:val="747857C5"/>
    <w:rsid w:val="749F4F46"/>
    <w:rsid w:val="74BC2D43"/>
    <w:rsid w:val="74D57DC3"/>
    <w:rsid w:val="75091C36"/>
    <w:rsid w:val="754D4AAC"/>
    <w:rsid w:val="754E44BD"/>
    <w:rsid w:val="7568637B"/>
    <w:rsid w:val="75866B39"/>
    <w:rsid w:val="76117735"/>
    <w:rsid w:val="761F5CF5"/>
    <w:rsid w:val="762A5C33"/>
    <w:rsid w:val="76305A01"/>
    <w:rsid w:val="766C1C80"/>
    <w:rsid w:val="769748A4"/>
    <w:rsid w:val="76F579B0"/>
    <w:rsid w:val="77206207"/>
    <w:rsid w:val="77302EC9"/>
    <w:rsid w:val="780E4FF0"/>
    <w:rsid w:val="783B609A"/>
    <w:rsid w:val="790C3366"/>
    <w:rsid w:val="79761382"/>
    <w:rsid w:val="7A9554CF"/>
    <w:rsid w:val="7ADC31A8"/>
    <w:rsid w:val="7AF33058"/>
    <w:rsid w:val="7B012F78"/>
    <w:rsid w:val="7BFC5316"/>
    <w:rsid w:val="7CAA0B92"/>
    <w:rsid w:val="7CBD6A8F"/>
    <w:rsid w:val="7CC47394"/>
    <w:rsid w:val="7CFF4621"/>
    <w:rsid w:val="7D5F768E"/>
    <w:rsid w:val="7E97060A"/>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3"/>
    <w:basedOn w:val="1"/>
    <w:qFormat/>
    <w:uiPriority w:val="0"/>
    <w:rPr>
      <w:rFonts w:ascii="宋体" w:hAnsi="宋体" w:cs="宋体"/>
      <w:sz w:val="24"/>
      <w:szCs w:val="20"/>
    </w:rPr>
  </w:style>
  <w:style w:type="paragraph" w:styleId="19">
    <w:name w:val="Body Text Indent"/>
    <w:basedOn w:val="1"/>
    <w:link w:val="77"/>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pPr>
      <w:spacing w:before="100" w:beforeAutospacing="1" w:after="100"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9"/>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1">
    <w:name w:val="PlainText"/>
    <w:basedOn w:val="1"/>
    <w:qFormat/>
    <w:uiPriority w:val="0"/>
    <w:rPr>
      <w:rFonts w:ascii="宋体" w:hAnsi="Courier New"/>
      <w:kern w:val="0"/>
      <w:sz w:val="20"/>
      <w:szCs w:val="20"/>
    </w:rPr>
  </w:style>
  <w:style w:type="paragraph" w:customStyle="1" w:styleId="122">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23">
    <w:name w:val="正题"/>
    <w:basedOn w:val="1"/>
    <w:next w:val="122"/>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24">
    <w:name w:val="样式 宋体 行距: 1.5 倍行距"/>
    <w:basedOn w:val="1"/>
    <w:qFormat/>
    <w:uiPriority w:val="0"/>
    <w:pPr>
      <w:jc w:val="center"/>
    </w:pPr>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8492</Words>
  <Characters>48411</Characters>
  <Lines>403</Lines>
  <Paragraphs>113</Paragraphs>
  <TotalTime>0</TotalTime>
  <ScaleCrop>false</ScaleCrop>
  <LinksUpToDate>false</LinksUpToDate>
  <CharactersWithSpaces>56790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2023-08-11T07:23:00Z</dcterms:created>
  <dc:creator>管理员</dc:creator>
  <cp:lastModifiedBy>迪迪</cp:lastModifiedBy>
  <cp:lastPrinted>2023-08-29T05:21:00Z</cp:lastPrinted>
  <dcterms:modified xsi:type="dcterms:W3CDTF">2023-11-14T09:18:02Z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BCE97912499A43988D7D73E07128D563_13</vt:lpwstr>
  </property>
</Properties>
</file>