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汕昆高速公路揭阳新亨至梅州畲江段及梅汕高速公路梅州程江至畲江段改扩建工程交通安全设施工程施工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21.0"/>
          <w:szCs w:val="21.0"/>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汕昆高速公路揭阳新亨至梅州畲江段及梅汕高速公路梅州程江至畲江段改扩建工程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粤发改核准【2022】33号  </w:t>
      </w:r>
      <w:r>
        <w:rPr>
          <w:rFonts w:ascii="标宋" w:eastAsia="标宋" w:hint="eastAsia"/>
          <w:sz w:val="21.0"/>
          <w:szCs w:val="21.0"/>
          <w:color w:val="000000"/>
        </w:rPr>
        <w:t xml:space="preserve">批准建设,施工图设计已由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粤交基〔2023〕391号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广东省路桥建设发展有限公司路达分公司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企业自筹及银行贷款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企业自筹25%，银行贷款75%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广东省路桥建设发展有限公司路达分公司  </w:t>
      </w:r>
      <w:r>
        <w:rPr>
          <w:rFonts w:ascii="标宋" w:eastAsia="标宋" w:hint="eastAsia"/>
          <w:sz w:val="21.0"/>
          <w:szCs w:val="21.0"/>
          <w:color w:val="000000"/>
        </w:rPr>
        <w:t xml:space="preserve">。项目已具备招标条件，现对该项目的施工采用资格后审方式进行公开招标。</w:t>
      </w:r>
    </w:p>
    <w:p>
      <w:pPr>
        <w:spacing w:line="280" w:lineRule="auto"/>
      </w:pPr>
    </w:p>
    <w:p>
      <w:pPr>
        <w:spacing w:line="280" w:lineRule="auto"/>
        <w:outlineLvl w:val="3"/>
      </w:pPr>
      <w:r>
        <w:rPr>
          <w:rFonts w:ascii="" w:eastAsia="" w:hint="eastAsia"/>
          <w:sz w:val="21.0"/>
          <w:szCs w:val="21.0"/>
          <w:color w:val="000000"/>
        </w:rPr>
        <w:t xml:space="preserve">2.项目概况与招标范围</w:t>
      </w:r>
    </w:p>
    <w:p>
      <w:pPr/>
      <w:r>
        <w:rPr>
          <w:rFonts w:ascii="" w:eastAsia="" w:hint="eastAsia"/>
          <w:sz w:val="21.0"/>
          <w:szCs w:val="21.0"/>
          <w:color w:val="000000"/>
        </w:rPr>
        <w:t xml:space="preserve">2.1项目概况及招标范围</w:t>
      </w:r>
    </w:p>
    <w:p>
      <w:pPr/>
      <w:r>
        <w:rPr>
          <w:rFonts w:ascii="" w:eastAsia="" w:hint="eastAsia"/>
          <w:sz w:val="21.0"/>
          <w:szCs w:val="21.0"/>
          <w:color w:val="000000"/>
        </w:rPr>
        <w:t xml:space="preserve">    汕昆高速公路揭阳新亨至梅州畲江段及梅汕高速公路梅州程江至畲江段改扩建工程（下文简称“项目”）是《广东省高速公路网规划（2020-2035年）》中“纵二线”的组成部分，项目改扩建起于与S17揭普惠高速交叉的揭阳枢纽互通，途经揭阳市揭东区，梅州市丰顺县、梅县区，终于与G25长深高速、S12梅龙高速交叉的程江枢纽互通。其中，揭阳新亨至梅州畲江段59.851km（G78汕昆高速），梅州程江至畲江段27.706km（S19梅汕高速），总里程约87.557km。</w:t>
      </w:r>
    </w:p>
    <w:p>
      <w:pPr/>
      <w:r>
        <w:rPr>
          <w:rFonts w:ascii="" w:eastAsia="" w:hint="eastAsia"/>
          <w:sz w:val="21.0"/>
          <w:szCs w:val="21.0"/>
          <w:color w:val="000000"/>
        </w:rPr>
        <w:t xml:space="preserve">    项目采用双向八车道高速公路进行改扩建，设计速度采用100公里/小时（利用原有隧道设计速度维持80公里/小时），整体式路基宽度为42米，新建桥涵设计汽车荷载等级为公路-I级。</w:t>
      </w:r>
    </w:p>
    <w:p>
      <w:pPr/>
      <w:r>
        <w:rPr>
          <w:rFonts w:ascii="" w:eastAsia="" w:hint="eastAsia"/>
          <w:sz w:val="21.0"/>
          <w:szCs w:val="21.0"/>
          <w:color w:val="000000"/>
        </w:rPr>
        <w:t xml:space="preserve">    依照初步设计推荐方案工程规模，本项目线共设主线桥梁15955.55m/111座（特大桥1775m/1座，大桥12570.04m/63座，中桥1261.7/21座，小桥348.8m/26座）,涵洞（通道）225道，车（人）行天桥6座,新建隧道（双洞）5064m/4座（其中新建莲花山特长隧道3200m/1座），利用既有隧道（双洞）6234.3m/6座，互通立交10处，服务区3处（其中1处半幅新建、半幅扩建，2处新建），房屋总建筑面积约为39630m2，估算总投资为 142.34亿元。</w:t>
      </w:r>
    </w:p>
    <w:p>
      <w:pPr/>
      <w:r>
        <w:rPr>
          <w:rFonts w:ascii="" w:eastAsia="" w:hint="eastAsia"/>
          <w:sz w:val="21.0"/>
          <w:szCs w:val="21.0"/>
          <w:color w:val="000000"/>
        </w:rPr>
        <w:t xml:space="preserve">     项目建设管理机构为广东省路桥建设发展有限公司路达分公司汕梅高速改扩建项目管理处，工程地点位于广东省梅州市、揭阳市。</w:t>
      </w:r>
    </w:p>
    <w:p>
      <w:pPr/>
      <w:r>
        <w:rPr>
          <w:rFonts w:ascii="" w:eastAsia="" w:hint="eastAsia"/>
          <w:sz w:val="21.0"/>
          <w:szCs w:val="21.0"/>
          <w:color w:val="000000"/>
        </w:rPr>
        <w:t xml:space="preserve"> 本次招标范围为本项目G78K54+130～K113+992及S19段K0+822～K28+527路段（87.557km）范围内的交通安全设施和声屏障工程的施工。</w:t>
      </w:r>
    </w:p>
    <w:p>
      <w:pPr/>
      <w:r>
        <w:rPr>
          <w:rFonts w:ascii="" w:eastAsia="" w:hint="eastAsia"/>
          <w:sz w:val="21.0"/>
          <w:szCs w:val="21.0"/>
          <w:color w:val="000000"/>
        </w:rPr>
        <w:t xml:space="preserve">    JA1、JA2、JA3标合同计划工期32个月，计划开工日期：2023年10月30日，计划交工日期：2026年6月30日，具体施工开工日期以监理人签发的开工令为准。</w:t>
      </w:r>
    </w:p>
    <w:p>
      <w:pPr/>
      <w:r>
        <w:rPr>
          <w:rFonts w:ascii="" w:eastAsia="" w:hint="eastAsia"/>
          <w:sz w:val="21.0"/>
          <w:szCs w:val="21.0"/>
          <w:color w:val="000000"/>
        </w:rPr>
        <w:t xml:space="preserve">     2.2标段划分</w:t>
      </w:r>
    </w:p>
    <w:p>
      <w:pPr>
        <w:spacing w:line="280" w:lineRule="auto"/>
      </w:pP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3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H类交通安全设施工程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JA1</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G78段K54+130~K94+300 </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40.159</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G78段K54+130~K94+300 (40.159km）里程范围内交通标志、交通标线、护栏、隔离栅、视线诱导设施、防眩网设施、桥梁防抛网、里程牌、百米标等交通安全设施和声屏障施工、施工方案、设备材料制造（或供货）、运输、检测试验、抽样送检、仓储保管、交付、安装、施工及竣工文件等的施工准备期、施工期及24个月缺陷责任期全套服务。</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具备住房和城乡建设部核发的公路交通工程（公路安全设施分项）专业承包一级资质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H类交通安全设施工程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JA2</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G78段K94+300~K112+550</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18.25</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G78段K94+300~K112+550 (18.25km）里程范围内交通标志、交通标线、护栏、隔离栅、视线诱导设施、防眩网设施、桥梁防抛网、里程牌、百米标等交通安全设施和声屏障施工、施工方案、设备材料制造（或供货）、运输、检测试验、抽样送检、仓储保管、交付、安装、施工及竣工文件等的施工准备期、施工期及24个月缺陷责任期全套服务。</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具备住房和城乡建设部核发的公路交通工程（公路安全设施分项）专业承包一级资质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H类交通安全设施工程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JA3</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S19段K0+822～K28+527及G78段K112+550～K113+992(29.148km）</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29.148</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S19段K0+822～K28+527及G78段K112+550～K113+992(29.148km）范围内交通标志、交通标线、护栏、隔离栅、视线诱导设施、防眩网设施、桥梁防抛网、里程牌、百米标等交通安全设施和声屏障施工、施工方案、设备材料制造（或供货）、运输、检测试验、抽样送检、仓储保管、交付、安装、施工及竣工文件等的施工准备期、施工期及24个月缺陷责任期全套服务。</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具备住房和城乡建设部核发的公路交通工程（公路安全设施分项）专业承包一级资质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
            </w:r>
          </w:p>
        </w:tc>
      </w:tr>
    </w:tbl>
    <w:p>
      <w:pPr>
        <w:spacing w:line="280" w:lineRule="auto"/>
      </w:pPr>
      <w:r>
        <w:rPr>
          <w:rFonts w:ascii="标宋" w:eastAsia="标宋" w:hint="eastAsia"/>
          <w:sz w:val="21.0"/>
          <w:szCs w:val="21.0"/>
          <w:u w:val="single"/>
          <w:color w:val="000000"/>
        </w:rPr>
        <w:t xml:space="preserve">  注：1、具体工程数量以招标文件工程量清单为准。  </w:t>
      </w:r>
    </w:p>
    <w:p>
      <w:pPr>
        <w:spacing w:line="280" w:lineRule="auto"/>
      </w:pPr>
    </w:p>
    <w:p>
      <w:pPr>
        <w:spacing w:line="280" w:lineRule="auto"/>
        <w:outlineLvl w:val="3"/>
      </w:pPr>
      <w:r>
        <w:rPr>
          <w:rFonts w:ascii="" w:eastAsia="" w:hint="eastAsia"/>
          <w:sz w:val="21.0"/>
          <w:szCs w:val="21.0"/>
          <w:color w:val="000000"/>
        </w:rPr>
        <w:t xml:space="preserve">3.投标人资格条件</w:t>
      </w:r>
    </w:p>
    <w:p>
      <w:pPr/>
      <w:r>
        <w:rPr>
          <w:rFonts w:ascii="" w:eastAsia="" w:hint="eastAsia"/>
          <w:sz w:val="21.0"/>
          <w:szCs w:val="21.0"/>
          <w:color w:val="000000"/>
        </w:rPr>
        <w:t xml:space="preserve">3.1本次招标要求投标人须具备上述第2.2款表中所列相应资质、业绩，并在人员、设备、资金等方面具有相应的施工能力。</w:t>
      </w:r>
    </w:p>
    <w:p>
      <w:pPr/>
      <w:r>
        <w:rPr>
          <w:rFonts w:ascii="" w:eastAsia="" w:hint="eastAsia"/>
          <w:sz w:val="21.0"/>
          <w:szCs w:val="21.0"/>
          <w:color w:val="000000"/>
        </w:rPr>
        <w:t xml:space="preserve">投标人应进入交通运输部“全国公路建设市场信用信息管理系统（ https:l/glxy.mot.gov.cn)”中的公路工程施工资质企业名录，且投标人名称和资质与该名录中的相应企业名称和资质完全一致。</w:t>
      </w:r>
    </w:p>
    <w:p>
      <w:pPr/>
      <w:r>
        <w:rPr>
          <w:rFonts w:ascii="" w:eastAsia="" w:hint="eastAsia"/>
          <w:sz w:val="21.0"/>
          <w:szCs w:val="21.0"/>
          <w:color w:val="000000"/>
        </w:rPr>
        <w:t xml:space="preserve">3.2本次招标不接受联合体投标。</w:t>
      </w:r>
    </w:p>
    <w:p>
      <w:pPr/>
      <w:r>
        <w:rPr>
          <w:rFonts w:ascii="" w:eastAsia="" w:hint="eastAsia"/>
          <w:sz w:val="21.0"/>
          <w:szCs w:val="21.0"/>
          <w:color w:val="000000"/>
        </w:rPr>
        <w:t xml:space="preserve">3.3在本次招标中，每个投标人最多可对3个标段投标;但只允许中1个标。</w:t>
      </w:r>
    </w:p>
    <w:p>
      <w:pPr/>
      <w:r>
        <w:rPr>
          <w:rFonts w:ascii="" w:eastAsia="" w:hint="eastAsia"/>
          <w:sz w:val="21.0"/>
          <w:szCs w:val="21.0"/>
          <w:color w:val="000000"/>
        </w:rPr>
        <w:t xml:space="preserve">3.4与招标人存在利害关系可能影响招标公正性的法人，不得参加投标;若单位负责人[单位负责人是指单位的法定代表人或者法律、行政法规规定代表单位行使职权的主要负责人。]为同一人、或者存在控股[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管理关系[管理关系是指不具有出资持股关系的其它单位之间存在的管理与被管理关系。]的不同单位，不得参加同一标段投标或者未划分标段的同一招标项目投标，否则按否决其投标处理。</w:t>
      </w:r>
    </w:p>
    <w:p>
      <w:pPr/>
      <w:r>
        <w:rPr>
          <w:rFonts w:ascii="" w:eastAsia="" w:hint="eastAsia"/>
          <w:sz w:val="21.0"/>
          <w:szCs w:val="21.0"/>
          <w:color w:val="000000"/>
        </w:rPr>
        <w:t xml:space="preserve">3.5在“信用中国”网站( https://creditchina.gov.cn)中被列入失信被执行人名单的投标人，在“国家企业信用信息公示系统”( https://gsxt.,gov.cn)中被列入严重违法失信企业名单的投标人均按否决投标处理。</w:t>
      </w:r>
    </w:p>
    <w:p>
      <w:pPr>
        <w:spacing w:line="280" w:lineRule="auto"/>
      </w:pPr>
    </w:p>
    <w:p>
      <w:pPr>
        <w:spacing w:line="280" w:lineRule="auto"/>
        <w:outlineLvl w:val="3"/>
      </w:pPr>
      <w:r>
        <w:rPr>
          <w:rFonts w:ascii="标宋" w:eastAsia="标宋" w:hint="eastAsia"/>
          <w:sz w:val="21.0"/>
          <w:szCs w:val="21.0"/>
          <w:color w:val="000000"/>
        </w:rPr>
        <w:t xml:space="preserve">4.招标文件的获取</w:t>
      </w:r>
    </w:p>
    <w:p>
      <w:pPr>
        <w:spacing w:line="280" w:lineRule="auto"/>
      </w:pPr>
      <w:r>
        <w:rPr>
          <w:rFonts w:ascii="标宋" w:eastAsia="标宋" w:hint="eastAsia"/>
          <w:sz w:val="21.0"/>
          <w:szCs w:val="21.0"/>
          <w:color w:val="000000"/>
        </w:rPr>
        <w:t xml:space="preserve">    4.1  凡有意参加投标者，请于</w:t>
      </w:r>
      <w:r>
        <w:rPr>
          <w:rFonts w:ascii="标宋" w:eastAsia="标宋" w:hint="eastAsia"/>
          <w:sz w:val="21.0"/>
          <w:szCs w:val="21.0"/>
          <w:u w:val="single"/>
          <w:color w:val="000000"/>
        </w:rPr>
        <w:t xml:space="preserve">  2023年11月15日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2023年11月21日  </w:t>
      </w:r>
      <w:r>
        <w:rPr>
          <w:rFonts w:ascii="标宋" w:eastAsia="标宋" w:hint="eastAsia"/>
          <w:sz w:val="21.0"/>
          <w:szCs w:val="21.0"/>
          <w:color w:val="000000"/>
        </w:rPr>
        <w:t xml:space="preserve">（法定公休日、法定节假日除外），登录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选择对应标段进行投标登记，并在广东省公路水运工程建设项目电子招投标交易平台（http://jtcbs.gdcd.gov.cn:30887/tenderlogin） 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4.2 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21.0"/>
          <w:szCs w:val="21.0"/>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2023年12月13日10时00分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__2023_年_11__月_15__日00时00分至_2023__年__12_月__13_日__10_时__00_分将电子文件完整上传。递交投标文件纸质文件截止时间为__2023_年_12__月_13__日__10_时_00__分，投标人应于_2023__年_12__月__13_日_8__时_30__分至_2023__年__12_月__13_日__10_时_00__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5.3逾期送达的、未送达指定地点的或不按照招标文件要求密封的投标文件，招标人将予以拒收。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21.0"/>
          <w:szCs w:val="21.0"/>
          <w:color w:val="000000"/>
        </w:rPr>
        <w:t xml:space="preserve">6.发布公告的媒介</w:t>
      </w:r>
    </w:p>
    <w:p>
      <w:pPr>
        <w:spacing w:line="280" w:lineRule="auto"/>
      </w:pPr>
      <w:r>
        <w:rPr>
          <w:rFonts w:ascii="" w:eastAsia="" w:hint="eastAsia"/>
          <w:sz w:val="21.0"/>
          <w:szCs w:val="21.0"/>
          <w:color w:val="000000"/>
        </w:rPr>
        <w:t xml:space="preserve">本次招标公告同时在广东省招标投标监管网、广州公共资源交易中心网站上发布。如公告详细内容不一致者，以广东省招标投标监管网公告为准。</w:t>
      </w:r>
    </w:p>
    <w:p>
      <w:pPr>
        <w:spacing w:line="280" w:lineRule="auto"/>
      </w:pPr>
      <w:r>
        <w:rPr>
          <w:rFonts w:ascii="" w:eastAsia="" w:hint="eastAsia"/>
          <w:sz w:val="21.0"/>
          <w:szCs w:val="21.0"/>
          <w:color w:val="000000"/>
        </w:rPr>
        <w:t xml:space="preserve">7.在规定的投标登记期间，如某个标段投标登记并购买招标文件的投标人不足3家时，招标人有权选择以下任一方式：（1）在广东省招标投标监管网及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spacing w:line="280" w:lineRule="auto"/>
        <w:jc w:val="center"/>
      </w:pPr>
    </w:p>
    <w:p>
      <w:pPr>
        <w:spacing w:line="280" w:lineRule="auto"/>
        <w:outlineLvl w:val="3"/>
      </w:pPr>
      <w:r>
        <w:rPr>
          <w:rFonts w:ascii="标宋" w:eastAsia="标宋" w:hint="eastAsia"/>
          <w:sz w:val="21.0"/>
          <w:szCs w:val="21.0"/>
          <w:color w:val="000000"/>
        </w:rPr>
        <w:t xml:space="preserve">8.联系方式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广东省路桥建设发展有限公司路达分公司</w:t>
            </w:r>
          </w:p>
          <w:p>
            <w:pPr/>
            <w:r>
              <w:rPr>
                <w:rFonts w:ascii="标宋" w:eastAsia="标宋" w:hint="eastAsia"/>
                <w:sz w:val="21.0"/>
                <w:szCs w:val="21.0"/>
                <w:color w:val="000000"/>
              </w:rPr>
              <w:t xml:space="preserve">地址：  梅州市梅县区畲江镇汕梅高速公路管理中心</w:t>
            </w:r>
          </w:p>
          <w:p>
            <w:pPr/>
            <w:r>
              <w:rPr>
                <w:rFonts w:ascii="标宋" w:eastAsia="标宋" w:hint="eastAsia"/>
                <w:sz w:val="21.0"/>
                <w:szCs w:val="21.0"/>
                <w:color w:val="000000"/>
              </w:rPr>
              <w:t xml:space="preserve">邮政编码：  514700</w:t>
            </w:r>
          </w:p>
          <w:p>
            <w:pPr/>
            <w:r>
              <w:rPr>
                <w:rFonts w:ascii="标宋" w:eastAsia="标宋" w:hint="eastAsia"/>
                <w:sz w:val="21.0"/>
                <w:szCs w:val="21.0"/>
                <w:color w:val="000000"/>
              </w:rPr>
              <w:t xml:space="preserve">联系人：  蔡工</w:t>
            </w:r>
          </w:p>
          <w:p>
            <w:pPr/>
            <w:r>
              <w:rPr>
                <w:rFonts w:ascii="标宋" w:eastAsia="标宋" w:hint="eastAsia"/>
                <w:sz w:val="21.0"/>
                <w:szCs w:val="21.0"/>
                <w:color w:val="000000"/>
              </w:rPr>
              <w:t xml:space="preserve">电 话：  15292085853</w:t>
            </w:r>
          </w:p>
          <w:p>
            <w:pPr/>
            <w:r>
              <w:rPr>
                <w:rFonts w:ascii="标宋" w:eastAsia="标宋" w:hint="eastAsia"/>
                <w:sz w:val="21.0"/>
                <w:szCs w:val="21.0"/>
                <w:color w:val="000000"/>
              </w:rPr>
              <w:t xml:space="preserve">传 真：  0753-5182935</w:t>
            </w:r>
          </w:p>
          <w:p>
            <w:pPr/>
            <w:r>
              <w:rPr>
                <w:rFonts w:ascii="标宋" w:eastAsia="标宋" w:hint="eastAsia"/>
                <w:sz w:val="21.0"/>
                <w:szCs w:val="21.0"/>
                <w:color w:val="000000"/>
              </w:rPr>
              <w:t xml:space="preserve">电子邮件：  smgkj2021@163.com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2023年11月14日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