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color w:val="000000"/>
          <w:szCs w:val="21"/>
          <w:highlight w:val="none"/>
        </w:rPr>
      </w:pPr>
      <w:bookmarkStart w:id="24" w:name="_GoBack"/>
      <w:bookmarkEnd w:id="24"/>
    </w:p>
    <w:p>
      <w:pPr>
        <w:rPr>
          <w:rFonts w:hint="eastAsia"/>
          <w:color w:val="000000"/>
          <w:highlight w:val="none"/>
        </w:rPr>
      </w:pPr>
    </w:p>
    <w:p>
      <w:pPr>
        <w:jc w:val="center"/>
        <w:rPr>
          <w:rFonts w:ascii="华文中宋" w:hAnsi="华文中宋" w:eastAsia="华文中宋"/>
          <w:b/>
          <w:bCs/>
          <w:color w:val="000000"/>
          <w:sz w:val="52"/>
          <w:szCs w:val="52"/>
          <w:highlight w:val="none"/>
        </w:rPr>
      </w:pPr>
      <w:r>
        <w:rPr>
          <w:rFonts w:hint="eastAsia" w:ascii="宋体" w:hAnsi="宋体"/>
          <w:b/>
          <w:color w:val="000000"/>
          <w:sz w:val="30"/>
          <w:szCs w:val="30"/>
          <w:highlight w:val="none"/>
        </w:rPr>
        <w:t xml:space="preserve">              合同编号：    </w:t>
      </w:r>
      <w:r>
        <w:rPr>
          <w:rFonts w:hint="eastAsia" w:ascii="宋体" w:hAnsi="宋体"/>
          <w:b/>
          <w:color w:val="000000"/>
          <w:sz w:val="30"/>
          <w:szCs w:val="30"/>
          <w:highlight w:val="none"/>
          <w:lang w:val="en-US" w:eastAsia="zh-CN"/>
        </w:rPr>
        <w:t xml:space="preserve"> </w:t>
      </w:r>
    </w:p>
    <w:p>
      <w:pPr>
        <w:jc w:val="center"/>
        <w:rPr>
          <w:rFonts w:hint="eastAsia" w:ascii="华文中宋" w:hAnsi="华文中宋" w:eastAsia="华文中宋"/>
          <w:b/>
          <w:bCs/>
          <w:color w:val="000000"/>
          <w:sz w:val="52"/>
          <w:szCs w:val="52"/>
          <w:highlight w:val="none"/>
        </w:rPr>
      </w:pPr>
    </w:p>
    <w:p>
      <w:pPr>
        <w:jc w:val="center"/>
        <w:rPr>
          <w:rFonts w:hint="eastAsia" w:ascii="华文中宋" w:hAnsi="华文中宋" w:eastAsia="华文中宋"/>
          <w:b/>
          <w:bCs/>
          <w:color w:val="000000"/>
          <w:sz w:val="52"/>
          <w:szCs w:val="52"/>
          <w:highlight w:val="none"/>
        </w:rPr>
      </w:pPr>
    </w:p>
    <w:p>
      <w:pPr>
        <w:jc w:val="center"/>
        <w:rPr>
          <w:rFonts w:hint="eastAsia" w:ascii="华文中宋" w:hAnsi="华文中宋" w:eastAsia="华文中宋"/>
          <w:b/>
          <w:bCs/>
          <w:color w:val="000000"/>
          <w:sz w:val="52"/>
          <w:szCs w:val="52"/>
          <w:highlight w:val="none"/>
        </w:rPr>
      </w:pPr>
    </w:p>
    <w:p>
      <w:pPr>
        <w:jc w:val="center"/>
        <w:rPr>
          <w:rFonts w:hint="eastAsia" w:ascii="华文中宋" w:hAnsi="华文中宋" w:eastAsia="华文中宋"/>
          <w:b/>
          <w:bCs/>
          <w:color w:val="000000"/>
          <w:sz w:val="52"/>
          <w:szCs w:val="52"/>
          <w:highlight w:val="none"/>
        </w:rPr>
      </w:pPr>
    </w:p>
    <w:p>
      <w:pPr>
        <w:jc w:val="center"/>
        <w:rPr>
          <w:rFonts w:ascii="华文中宋" w:hAnsi="华文中宋" w:eastAsia="华文中宋"/>
          <w:b/>
          <w:bCs/>
          <w:color w:val="000000"/>
          <w:sz w:val="52"/>
          <w:szCs w:val="52"/>
          <w:highlight w:val="none"/>
        </w:rPr>
      </w:pPr>
    </w:p>
    <w:p>
      <w:pPr>
        <w:jc w:val="center"/>
        <w:rPr>
          <w:rFonts w:hint="eastAsia" w:ascii="华文中宋" w:hAnsi="华文中宋" w:eastAsia="华文中宋"/>
          <w:b/>
          <w:bCs/>
          <w:color w:val="000000"/>
          <w:sz w:val="52"/>
          <w:szCs w:val="52"/>
          <w:highlight w:val="none"/>
          <w:lang w:eastAsia="zh-CN"/>
        </w:rPr>
      </w:pPr>
      <w:r>
        <w:rPr>
          <w:rFonts w:hint="eastAsia" w:ascii="华文中宋" w:hAnsi="华文中宋" w:eastAsia="华文中宋"/>
          <w:b/>
          <w:bCs/>
          <w:color w:val="000000"/>
          <w:sz w:val="52"/>
          <w:szCs w:val="52"/>
          <w:highlight w:val="none"/>
          <w:lang w:eastAsia="zh-CN"/>
        </w:rPr>
        <w:t>电建大楼项目</w:t>
      </w:r>
    </w:p>
    <w:p>
      <w:pPr>
        <w:jc w:val="center"/>
        <w:rPr>
          <w:rFonts w:ascii="宋体" w:hAnsi="宋体"/>
          <w:b/>
          <w:color w:val="000000"/>
          <w:sz w:val="30"/>
          <w:szCs w:val="30"/>
          <w:highlight w:val="none"/>
        </w:rPr>
      </w:pPr>
      <w:r>
        <w:rPr>
          <w:rFonts w:hint="eastAsia" w:ascii="华文中宋" w:hAnsi="华文中宋" w:eastAsia="华文中宋"/>
          <w:b/>
          <w:bCs/>
          <w:color w:val="000000"/>
          <w:sz w:val="52"/>
          <w:szCs w:val="52"/>
          <w:highlight w:val="none"/>
        </w:rPr>
        <w:t>工程监理合同</w:t>
      </w:r>
    </w:p>
    <w:p>
      <w:pPr>
        <w:jc w:val="center"/>
        <w:rPr>
          <w:rFonts w:ascii="宋体" w:hAnsi="宋体"/>
          <w:b/>
          <w:color w:val="000000"/>
          <w:sz w:val="30"/>
          <w:szCs w:val="30"/>
          <w:highlight w:val="none"/>
        </w:rPr>
      </w:pPr>
    </w:p>
    <w:p>
      <w:pPr>
        <w:jc w:val="center"/>
        <w:rPr>
          <w:rFonts w:ascii="宋体" w:hAnsi="宋体"/>
          <w:b/>
          <w:color w:val="000000"/>
          <w:sz w:val="30"/>
          <w:szCs w:val="30"/>
          <w:highlight w:val="none"/>
        </w:rPr>
      </w:pPr>
    </w:p>
    <w:p>
      <w:pPr>
        <w:jc w:val="center"/>
        <w:rPr>
          <w:rFonts w:ascii="宋体" w:hAnsi="宋体"/>
          <w:b/>
          <w:color w:val="000000"/>
          <w:sz w:val="30"/>
          <w:szCs w:val="30"/>
          <w:highlight w:val="none"/>
        </w:rPr>
      </w:pPr>
    </w:p>
    <w:p>
      <w:pPr>
        <w:jc w:val="center"/>
        <w:rPr>
          <w:rFonts w:ascii="宋体" w:hAnsi="宋体"/>
          <w:b/>
          <w:color w:val="000000"/>
          <w:sz w:val="30"/>
          <w:szCs w:val="30"/>
          <w:highlight w:val="none"/>
        </w:rPr>
      </w:pPr>
    </w:p>
    <w:p>
      <w:pPr>
        <w:jc w:val="center"/>
        <w:rPr>
          <w:rFonts w:ascii="宋体" w:hAnsi="宋体"/>
          <w:b/>
          <w:color w:val="000000"/>
          <w:sz w:val="30"/>
          <w:szCs w:val="30"/>
          <w:highlight w:val="none"/>
        </w:rPr>
      </w:pPr>
    </w:p>
    <w:p>
      <w:pPr>
        <w:jc w:val="center"/>
        <w:rPr>
          <w:rFonts w:ascii="宋体" w:hAnsi="宋体"/>
          <w:b/>
          <w:color w:val="000000"/>
          <w:sz w:val="30"/>
          <w:szCs w:val="30"/>
          <w:highlight w:val="none"/>
        </w:rPr>
      </w:pPr>
    </w:p>
    <w:p>
      <w:pPr>
        <w:jc w:val="center"/>
        <w:rPr>
          <w:rFonts w:ascii="宋体" w:hAnsi="宋体"/>
          <w:b/>
          <w:color w:val="000000"/>
          <w:sz w:val="30"/>
          <w:szCs w:val="30"/>
          <w:highlight w:val="none"/>
        </w:rPr>
      </w:pPr>
    </w:p>
    <w:p>
      <w:pPr>
        <w:spacing w:line="300" w:lineRule="auto"/>
        <w:rPr>
          <w:rFonts w:hint="eastAsia" w:ascii="宋体" w:hAnsi="宋体" w:eastAsia="宋体"/>
          <w:b/>
          <w:bCs/>
          <w:color w:val="000000"/>
          <w:spacing w:val="6"/>
          <w:sz w:val="36"/>
          <w:szCs w:val="36"/>
          <w:highlight w:val="none"/>
          <w:lang w:eastAsia="zh-CN"/>
        </w:rPr>
      </w:pPr>
      <w:r>
        <w:rPr>
          <w:rFonts w:hint="eastAsia" w:ascii="宋体" w:hAnsi="宋体"/>
          <w:b/>
          <w:bCs/>
          <w:color w:val="000000"/>
          <w:sz w:val="36"/>
          <w:szCs w:val="36"/>
          <w:highlight w:val="none"/>
        </w:rPr>
        <w:t xml:space="preserve">    </w:t>
      </w:r>
      <w:r>
        <w:rPr>
          <w:rFonts w:hint="eastAsia" w:ascii="宋体" w:hAnsi="宋体"/>
          <w:b/>
          <w:bCs/>
          <w:color w:val="000000"/>
          <w:sz w:val="36"/>
          <w:szCs w:val="36"/>
          <w:highlight w:val="none"/>
          <w:lang w:eastAsia="zh-CN"/>
        </w:rPr>
        <w:t>发包人</w:t>
      </w:r>
      <w:r>
        <w:rPr>
          <w:rFonts w:hint="eastAsia" w:ascii="宋体" w:hAnsi="宋体"/>
          <w:b/>
          <w:bCs/>
          <w:color w:val="000000"/>
          <w:sz w:val="36"/>
          <w:szCs w:val="36"/>
          <w:highlight w:val="none"/>
        </w:rPr>
        <w:t>：</w:t>
      </w:r>
      <w:r>
        <w:rPr>
          <w:rFonts w:hint="eastAsia" w:ascii="宋体" w:hAnsi="宋体"/>
          <w:b/>
          <w:bCs/>
          <w:color w:val="000000"/>
          <w:sz w:val="36"/>
          <w:szCs w:val="36"/>
          <w:highlight w:val="none"/>
          <w:lang w:val="en-US" w:eastAsia="zh-CN"/>
        </w:rPr>
        <w:t xml:space="preserve"> </w:t>
      </w:r>
    </w:p>
    <w:p>
      <w:pPr>
        <w:spacing w:line="300" w:lineRule="auto"/>
        <w:rPr>
          <w:rFonts w:hint="eastAsia" w:ascii="宋体" w:hAnsi="宋体"/>
          <w:b/>
          <w:bCs/>
          <w:color w:val="000000"/>
          <w:sz w:val="36"/>
          <w:szCs w:val="36"/>
          <w:highlight w:val="none"/>
        </w:rPr>
      </w:pPr>
      <w:r>
        <w:rPr>
          <w:rFonts w:hint="eastAsia" w:ascii="宋体" w:hAnsi="宋体"/>
          <w:b/>
          <w:bCs/>
          <w:color w:val="000000"/>
          <w:sz w:val="36"/>
          <w:szCs w:val="36"/>
          <w:highlight w:val="none"/>
        </w:rPr>
        <w:t xml:space="preserve">    </w:t>
      </w:r>
    </w:p>
    <w:p>
      <w:pPr>
        <w:spacing w:line="300" w:lineRule="auto"/>
        <w:ind w:firstLine="723" w:firstLineChars="200"/>
        <w:rPr>
          <w:rFonts w:hint="eastAsia" w:ascii="宋体" w:hAnsi="宋体" w:eastAsia="宋体"/>
          <w:color w:val="000000"/>
          <w:sz w:val="36"/>
          <w:szCs w:val="36"/>
          <w:highlight w:val="none"/>
          <w:lang w:eastAsia="zh-CN"/>
        </w:rPr>
      </w:pPr>
      <w:r>
        <w:rPr>
          <w:rFonts w:hint="eastAsia" w:ascii="宋体" w:hAnsi="宋体"/>
          <w:b/>
          <w:bCs/>
          <w:color w:val="000000"/>
          <w:sz w:val="36"/>
          <w:szCs w:val="36"/>
          <w:highlight w:val="none"/>
          <w:lang w:eastAsia="zh-CN"/>
        </w:rPr>
        <w:t>承包人</w:t>
      </w:r>
      <w:r>
        <w:rPr>
          <w:rFonts w:hint="eastAsia" w:ascii="宋体" w:hAnsi="宋体"/>
          <w:b/>
          <w:bCs/>
          <w:color w:val="000000"/>
          <w:sz w:val="36"/>
          <w:szCs w:val="36"/>
          <w:highlight w:val="none"/>
        </w:rPr>
        <w:t>：</w:t>
      </w:r>
      <w:r>
        <w:rPr>
          <w:rFonts w:hint="eastAsia" w:ascii="宋体" w:hAnsi="宋体"/>
          <w:b/>
          <w:bCs/>
          <w:color w:val="000000"/>
          <w:sz w:val="36"/>
          <w:szCs w:val="36"/>
          <w:highlight w:val="none"/>
          <w:lang w:val="en-US" w:eastAsia="zh-CN"/>
        </w:rPr>
        <w:t xml:space="preserve"> </w:t>
      </w:r>
    </w:p>
    <w:p>
      <w:pPr>
        <w:spacing w:before="120" w:beforeLines="50" w:after="120" w:afterLines="50" w:line="300" w:lineRule="auto"/>
        <w:rPr>
          <w:rFonts w:hint="eastAsia" w:ascii="宋体" w:hAnsi="宋体"/>
          <w:b/>
          <w:bCs/>
          <w:color w:val="000000"/>
          <w:sz w:val="36"/>
          <w:szCs w:val="36"/>
          <w:highlight w:val="none"/>
        </w:rPr>
      </w:pPr>
      <w:r>
        <w:rPr>
          <w:rFonts w:hint="eastAsia" w:ascii="宋体" w:hAnsi="宋体"/>
          <w:b/>
          <w:bCs/>
          <w:color w:val="000000"/>
          <w:sz w:val="36"/>
          <w:szCs w:val="36"/>
          <w:highlight w:val="none"/>
        </w:rPr>
        <w:t xml:space="preserve">    </w:t>
      </w:r>
    </w:p>
    <w:p>
      <w:pPr>
        <w:spacing w:before="120" w:beforeLines="50" w:after="120" w:afterLines="50" w:line="300" w:lineRule="auto"/>
        <w:ind w:firstLine="723" w:firstLineChars="200"/>
        <w:rPr>
          <w:rFonts w:ascii="宋体" w:hAnsi="宋体"/>
          <w:b/>
          <w:bCs/>
          <w:color w:val="000000"/>
          <w:sz w:val="36"/>
          <w:szCs w:val="36"/>
          <w:highlight w:val="none"/>
        </w:rPr>
      </w:pPr>
      <w:r>
        <w:rPr>
          <w:rFonts w:hint="eastAsia" w:ascii="宋体" w:hAnsi="宋体"/>
          <w:b/>
          <w:bCs/>
          <w:color w:val="000000"/>
          <w:sz w:val="36"/>
          <w:szCs w:val="36"/>
          <w:highlight w:val="none"/>
        </w:rPr>
        <w:t>合同签订地：广州市</w:t>
      </w:r>
      <w:r>
        <w:rPr>
          <w:rFonts w:hint="eastAsia" w:ascii="宋体" w:hAnsi="宋体"/>
          <w:b/>
          <w:bCs/>
          <w:color w:val="000000"/>
          <w:sz w:val="36"/>
          <w:szCs w:val="36"/>
          <w:highlight w:val="none"/>
          <w:lang w:eastAsia="zh-CN"/>
        </w:rPr>
        <w:t>黄埔</w:t>
      </w:r>
      <w:r>
        <w:rPr>
          <w:rFonts w:hint="eastAsia" w:ascii="宋体" w:hAnsi="宋体"/>
          <w:b/>
          <w:bCs/>
          <w:color w:val="000000"/>
          <w:sz w:val="36"/>
          <w:szCs w:val="36"/>
          <w:highlight w:val="none"/>
        </w:rPr>
        <w:t>区</w:t>
      </w:r>
    </w:p>
    <w:p>
      <w:pPr>
        <w:jc w:val="center"/>
        <w:rPr>
          <w:rFonts w:ascii="宋体" w:hAnsi="宋体"/>
          <w:b/>
          <w:color w:val="000000"/>
          <w:sz w:val="30"/>
          <w:szCs w:val="30"/>
          <w:highlight w:val="none"/>
        </w:rPr>
      </w:pPr>
    </w:p>
    <w:p>
      <w:pPr>
        <w:jc w:val="center"/>
        <w:rPr>
          <w:rFonts w:ascii="宋体" w:hAnsi="宋体"/>
          <w:b/>
          <w:color w:val="000000"/>
          <w:sz w:val="30"/>
          <w:szCs w:val="30"/>
          <w:highlight w:val="none"/>
        </w:rPr>
      </w:pPr>
    </w:p>
    <w:p>
      <w:pPr>
        <w:jc w:val="center"/>
        <w:rPr>
          <w:rFonts w:ascii="宋体" w:hAnsi="宋体"/>
          <w:b/>
          <w:color w:val="000000"/>
          <w:sz w:val="30"/>
          <w:szCs w:val="30"/>
          <w:highlight w:val="none"/>
        </w:rPr>
      </w:pPr>
    </w:p>
    <w:p>
      <w:pPr>
        <w:jc w:val="center"/>
        <w:rPr>
          <w:rFonts w:hint="eastAsia" w:ascii="华文中宋" w:hAnsi="华文中宋" w:eastAsia="华文中宋"/>
          <w:b/>
          <w:bCs/>
          <w:color w:val="000000"/>
          <w:sz w:val="52"/>
          <w:szCs w:val="52"/>
          <w:highlight w:val="none"/>
        </w:rPr>
      </w:pPr>
    </w:p>
    <w:p>
      <w:pPr>
        <w:tabs>
          <w:tab w:val="left" w:pos="3120"/>
        </w:tabs>
        <w:ind w:firstLine="2650" w:firstLineChars="600"/>
        <w:rPr>
          <w:rFonts w:ascii="华文中宋" w:hAnsi="华文中宋" w:eastAsia="华文中宋"/>
          <w:b/>
          <w:bCs/>
          <w:color w:val="000000"/>
          <w:sz w:val="44"/>
          <w:szCs w:val="44"/>
          <w:highlight w:val="none"/>
        </w:rPr>
      </w:pPr>
      <w:r>
        <w:rPr>
          <w:rFonts w:hint="eastAsia" w:ascii="华文中宋" w:hAnsi="华文中宋" w:eastAsia="华文中宋"/>
          <w:b/>
          <w:bCs/>
          <w:color w:val="000000"/>
          <w:sz w:val="44"/>
          <w:szCs w:val="44"/>
          <w:highlight w:val="none"/>
        </w:rPr>
        <w:t>第一部分  协议书</w:t>
      </w:r>
    </w:p>
    <w:p>
      <w:pPr>
        <w:adjustRightInd w:val="0"/>
        <w:snapToGrid w:val="0"/>
        <w:ind w:firstLine="326" w:firstLineChars="250"/>
        <w:rPr>
          <w:rFonts w:ascii="仿宋_GB2312" w:hAnsi="宋体" w:eastAsia="仿宋_GB2312"/>
          <w:b/>
          <w:color w:val="000000"/>
          <w:sz w:val="13"/>
          <w:szCs w:val="13"/>
          <w:highlight w:val="none"/>
        </w:rPr>
      </w:pPr>
    </w:p>
    <w:p>
      <w:pPr>
        <w:adjustRightInd w:val="0"/>
        <w:snapToGrid w:val="0"/>
        <w:spacing w:line="360" w:lineRule="auto"/>
        <w:ind w:firstLine="482" w:firstLineChars="200"/>
        <w:rPr>
          <w:rFonts w:ascii="宋体" w:hAnsi="宋体"/>
          <w:b/>
          <w:bCs/>
          <w:color w:val="000000"/>
          <w:sz w:val="24"/>
          <w:szCs w:val="24"/>
          <w:highlight w:val="none"/>
        </w:rPr>
      </w:pPr>
      <w:r>
        <w:rPr>
          <w:rFonts w:hint="eastAsia" w:ascii="宋体" w:hAnsi="宋体" w:cs="宋体"/>
          <w:b/>
          <w:color w:val="000000"/>
          <w:sz w:val="24"/>
          <w:szCs w:val="24"/>
          <w:highlight w:val="none"/>
          <w:lang w:val="en-US" w:eastAsia="zh-CN"/>
        </w:rPr>
        <w:t>发包人</w:t>
      </w:r>
      <w:r>
        <w:rPr>
          <w:rFonts w:hint="eastAsia" w:ascii="宋体" w:hAnsi="宋体" w:cs="宋体"/>
          <w:b/>
          <w:color w:val="000000"/>
          <w:sz w:val="24"/>
          <w:szCs w:val="24"/>
          <w:highlight w:val="none"/>
        </w:rPr>
        <w:t>：</w:t>
      </w:r>
    </w:p>
    <w:p>
      <w:pPr>
        <w:adjustRightInd w:val="0"/>
        <w:snapToGrid w:val="0"/>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lang w:val="en-US" w:eastAsia="zh-CN"/>
        </w:rPr>
        <w:t>承包人（监理人）</w:t>
      </w:r>
      <w:r>
        <w:rPr>
          <w:rFonts w:hint="eastAsia" w:ascii="宋体" w:hAnsi="宋体" w:cs="宋体"/>
          <w:b/>
          <w:color w:val="000000"/>
          <w:sz w:val="24"/>
          <w:szCs w:val="24"/>
          <w:highlight w:val="none"/>
        </w:rPr>
        <w:t>：</w:t>
      </w:r>
      <w:r>
        <w:rPr>
          <w:rFonts w:hint="eastAsia" w:ascii="宋体" w:hAnsi="宋体"/>
          <w:b/>
          <w:bCs/>
          <w:color w:val="000000"/>
          <w:sz w:val="24"/>
          <w:szCs w:val="24"/>
          <w:highlight w:val="none"/>
          <w:lang w:val="en-US" w:eastAsia="zh-CN"/>
        </w:rPr>
        <w:t xml:space="preserve"> </w:t>
      </w:r>
      <w:r>
        <w:rPr>
          <w:rFonts w:hint="eastAsia" w:ascii="宋体" w:hAnsi="宋体"/>
          <w:b/>
          <w:bCs/>
          <w:color w:val="000000"/>
          <w:sz w:val="24"/>
          <w:szCs w:val="24"/>
          <w:highlight w:val="none"/>
        </w:rPr>
        <w:t xml:space="preserve">   </w:t>
      </w:r>
    </w:p>
    <w:p>
      <w:pPr>
        <w:adjustRightInd w:val="0"/>
        <w:snapToGrid w:val="0"/>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根据《中华人民共和国合同法》、《中华人民共和国建筑法》及其他有关法律、法规，遵循平等、自愿、公平和诚信的原则，双方就下述工程委托监理与相关服务事项协商一致，订立本合同。</w:t>
      </w:r>
    </w:p>
    <w:p>
      <w:pPr>
        <w:adjustRightInd w:val="0"/>
        <w:snapToGrid w:val="0"/>
        <w:spacing w:line="360" w:lineRule="auto"/>
        <w:ind w:firstLine="475" w:firstLineChars="198"/>
        <w:rPr>
          <w:rFonts w:ascii="宋体" w:hAnsi="宋体" w:cs="宋体"/>
          <w:color w:val="000000"/>
          <w:sz w:val="24"/>
          <w:szCs w:val="24"/>
          <w:highlight w:val="none"/>
        </w:rPr>
      </w:pPr>
      <w:bookmarkStart w:id="0" w:name="_Toc375664908"/>
      <w:r>
        <w:rPr>
          <w:rFonts w:hint="eastAsia" w:ascii="宋体" w:hAnsi="宋体" w:cs="宋体"/>
          <w:color w:val="000000"/>
          <w:sz w:val="24"/>
          <w:szCs w:val="24"/>
          <w:highlight w:val="none"/>
        </w:rPr>
        <w:t>一、工程概况</w:t>
      </w:r>
      <w:bookmarkEnd w:id="0"/>
    </w:p>
    <w:p>
      <w:pPr>
        <w:adjustRightInd w:val="0"/>
        <w:snapToGrid w:val="0"/>
        <w:spacing w:line="360" w:lineRule="auto"/>
        <w:ind w:firstLine="475" w:firstLineChars="198"/>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1. 工程名称：</w:t>
      </w:r>
      <w:r>
        <w:rPr>
          <w:rFonts w:hint="eastAsia" w:ascii="宋体" w:hAnsi="宋体" w:cs="宋体"/>
          <w:color w:val="000000"/>
          <w:sz w:val="24"/>
          <w:szCs w:val="24"/>
          <w:highlight w:val="none"/>
          <w:lang w:val="en-US" w:eastAsia="zh-CN"/>
        </w:rPr>
        <w:t>电建大楼项目</w:t>
      </w:r>
      <w:r>
        <w:rPr>
          <w:rFonts w:hint="eastAsia" w:ascii="宋体" w:hAnsi="宋体" w:cs="宋体"/>
          <w:color w:val="000000"/>
          <w:sz w:val="24"/>
          <w:szCs w:val="24"/>
          <w:highlight w:val="none"/>
          <w:u w:val="single"/>
          <w:lang w:val="en-US" w:eastAsia="zh-CN"/>
        </w:rPr>
        <w:t xml:space="preserve"> </w:t>
      </w:r>
    </w:p>
    <w:p>
      <w:pPr>
        <w:adjustRightInd w:val="0"/>
        <w:snapToGrid w:val="0"/>
        <w:spacing w:line="360" w:lineRule="auto"/>
        <w:ind w:firstLine="475" w:firstLineChars="198"/>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rPr>
        <w:t>2. 工程地点：</w:t>
      </w:r>
      <w:r>
        <w:rPr>
          <w:rFonts w:hint="eastAsia" w:ascii="宋体" w:hAnsi="宋体" w:eastAsia="宋体" w:cs="宋体"/>
          <w:color w:val="auto"/>
          <w:sz w:val="24"/>
          <w:szCs w:val="24"/>
          <w:highlight w:val="none"/>
          <w:u w:val="single"/>
          <w:lang w:val="en-US" w:eastAsia="zh-CN"/>
        </w:rPr>
        <w:t>广州市黄埔区氢能产业园园区二路以南、开达路南延线以西</w:t>
      </w:r>
    </w:p>
    <w:p>
      <w:pPr>
        <w:adjustRightInd w:val="0"/>
        <w:snapToGrid w:val="0"/>
        <w:spacing w:line="360" w:lineRule="auto"/>
        <w:ind w:left="833" w:leftChars="225" w:hanging="360" w:hangingChars="150"/>
        <w:rPr>
          <w:rFonts w:hint="eastAsia" w:ascii="宋体" w:hAnsi="宋体" w:cs="宋体"/>
          <w:color w:val="000000"/>
          <w:kern w:val="0"/>
          <w:szCs w:val="21"/>
          <w:highlight w:val="none"/>
          <w:u w:val="single"/>
          <w:lang w:val="zh-TW"/>
        </w:rPr>
      </w:pPr>
      <w:r>
        <w:rPr>
          <w:rFonts w:hint="eastAsia" w:ascii="宋体" w:hAnsi="宋体" w:eastAsia="宋体" w:cs="宋体"/>
          <w:color w:val="000000"/>
          <w:sz w:val="24"/>
          <w:szCs w:val="24"/>
          <w:highlight w:val="none"/>
        </w:rPr>
        <w:t>3. 工程规模</w:t>
      </w:r>
      <w:r>
        <w:rPr>
          <w:rFonts w:hint="eastAsia" w:ascii="宋体" w:hAnsi="宋体" w:eastAsia="宋体" w:cs="宋体"/>
          <w:color w:val="000000"/>
          <w:kern w:val="0"/>
          <w:szCs w:val="21"/>
          <w:highlight w:val="none"/>
          <w:u w:val="none"/>
          <w:lang w:val="zh-TW"/>
        </w:rPr>
        <w:t>：</w:t>
      </w:r>
      <w:r>
        <w:rPr>
          <w:rFonts w:hint="eastAsia" w:ascii="宋体" w:hAnsi="宋体" w:eastAsia="宋体" w:cs="宋体"/>
          <w:color w:val="auto"/>
          <w:sz w:val="24"/>
          <w:szCs w:val="24"/>
          <w:highlight w:val="none"/>
          <w:u w:val="single"/>
          <w:lang w:val="en-US" w:eastAsia="zh-CN"/>
        </w:rPr>
        <w:t>电建大楼项目包括一栋13层生产厂房及5层生产附楼，总计容建筑面积为 20383 ㎡。其中高层生产厂房主楼为 13 层，计容建筑面积约为 15383 ㎡；生产副楼裙楼为 5 层，计容建筑面积约为 5000 ㎡。项目拟建 3 层地下室，主要为地下停车库，兼做人防及设备用房等，不计容建筑面积共约 12300 ㎡（最终以建设工程规划许可证载数据为准）。</w:t>
      </w:r>
    </w:p>
    <w:p>
      <w:pPr>
        <w:adjustRightInd w:val="0"/>
        <w:snapToGrid w:val="0"/>
        <w:spacing w:line="360" w:lineRule="auto"/>
        <w:ind w:left="788" w:leftChars="225" w:hanging="315" w:hangingChars="150"/>
        <w:rPr>
          <w:rFonts w:hint="eastAsia" w:ascii="宋体" w:hAnsi="宋体" w:cs="宋体"/>
          <w:color w:val="000000"/>
          <w:kern w:val="0"/>
          <w:szCs w:val="21"/>
          <w:highlight w:val="none"/>
          <w:u w:val="single"/>
        </w:rPr>
      </w:pPr>
      <w:r>
        <w:rPr>
          <w:rFonts w:hint="eastAsia" w:ascii="宋体" w:hAnsi="宋体" w:cs="宋体"/>
          <w:color w:val="000000"/>
          <w:kern w:val="0"/>
          <w:szCs w:val="21"/>
          <w:highlight w:val="none"/>
          <w:u w:val="single"/>
        </w:rPr>
        <w:t>4.</w:t>
      </w:r>
      <w:r>
        <w:rPr>
          <w:rFonts w:hint="eastAsia" w:ascii="宋体" w:hAnsi="宋体" w:cs="宋体"/>
          <w:color w:val="000000"/>
          <w:sz w:val="24"/>
          <w:szCs w:val="24"/>
          <w:highlight w:val="none"/>
        </w:rPr>
        <w:t>监理范围包括：</w:t>
      </w:r>
      <w:r>
        <w:rPr>
          <w:rFonts w:hint="eastAsia" w:ascii="宋体" w:hAnsi="宋体" w:cs="宋体"/>
          <w:color w:val="000000"/>
          <w:sz w:val="24"/>
          <w:szCs w:val="24"/>
          <w:highlight w:val="none"/>
          <w:u w:val="single"/>
        </w:rPr>
        <w:t>完成项目</w:t>
      </w:r>
      <w:r>
        <w:rPr>
          <w:rFonts w:hint="eastAsia" w:ascii="宋体" w:hAnsi="宋体" w:cs="宋体"/>
          <w:color w:val="000000"/>
          <w:kern w:val="2"/>
          <w:sz w:val="24"/>
          <w:szCs w:val="24"/>
          <w:highlight w:val="none"/>
          <w:u w:val="single"/>
          <w:lang w:eastAsia="zh-CN"/>
        </w:rPr>
        <w:t>地质勘察</w:t>
      </w:r>
      <w:r>
        <w:rPr>
          <w:rFonts w:hint="eastAsia" w:ascii="宋体" w:hAnsi="宋体" w:cs="宋体"/>
          <w:color w:val="000000"/>
          <w:kern w:val="2"/>
          <w:sz w:val="24"/>
          <w:szCs w:val="24"/>
          <w:highlight w:val="none"/>
          <w:u w:val="single"/>
        </w:rPr>
        <w:t>、基坑支护、土方开挖、地基基础工程、主体结构工程、装饰装修工程、给排水工程、电气工程、消防工程、通风空调工程、永久供电工程、弱电工程、智能化工程、白蚁防治、小区园林绿市政工程、发电机组及配套环保工程、永久供水工程、地坪漆与车位划线</w:t>
      </w:r>
      <w:r>
        <w:rPr>
          <w:rFonts w:hint="eastAsia" w:ascii="宋体" w:hAnsi="宋体" w:cs="宋体"/>
          <w:color w:val="000000"/>
          <w:kern w:val="2"/>
          <w:sz w:val="24"/>
          <w:szCs w:val="24"/>
          <w:highlight w:val="none"/>
          <w:u w:val="single"/>
          <w:lang w:eastAsia="zh-CN"/>
        </w:rPr>
        <w:t>工程、</w:t>
      </w:r>
      <w:r>
        <w:rPr>
          <w:rFonts w:hint="eastAsia" w:ascii="宋体" w:hAnsi="宋体" w:cs="宋体"/>
          <w:color w:val="000000"/>
          <w:kern w:val="2"/>
          <w:sz w:val="24"/>
          <w:szCs w:val="24"/>
          <w:highlight w:val="none"/>
          <w:u w:val="single"/>
          <w:lang w:val="en-US" w:eastAsia="zh-CN"/>
        </w:rPr>
        <w:t>室内公区及办公区装修工程</w:t>
      </w:r>
      <w:r>
        <w:rPr>
          <w:rFonts w:hint="eastAsia" w:ascii="宋体" w:hAnsi="宋体" w:cs="宋体"/>
          <w:color w:val="000000"/>
          <w:kern w:val="2"/>
          <w:sz w:val="24"/>
          <w:szCs w:val="24"/>
          <w:highlight w:val="none"/>
          <w:u w:val="single"/>
        </w:rPr>
        <w:t>等相关配套工程及采购工程(无论上述这些工程的承包人是总承包人、独立承包人、独立供应商、专业分包人、专项供应商还是其他承包人)、其它与上述项目密切相关之工程等的工程正式开工前的配合阶段、施工准备阶段、施工阶段、</w:t>
      </w:r>
      <w:r>
        <w:rPr>
          <w:rFonts w:hint="eastAsia" w:ascii="宋体" w:hAnsi="宋体" w:cs="宋体"/>
          <w:color w:val="000000"/>
          <w:kern w:val="2"/>
          <w:sz w:val="24"/>
          <w:szCs w:val="24"/>
          <w:highlight w:val="none"/>
          <w:u w:val="single"/>
          <w:lang w:eastAsia="zh-CN"/>
        </w:rPr>
        <w:t>工程收尾阶段、</w:t>
      </w:r>
      <w:r>
        <w:rPr>
          <w:rFonts w:hint="eastAsia" w:ascii="宋体" w:hAnsi="宋体" w:cs="宋体"/>
          <w:color w:val="000000"/>
          <w:kern w:val="2"/>
          <w:sz w:val="24"/>
          <w:szCs w:val="24"/>
          <w:highlight w:val="none"/>
          <w:u w:val="single"/>
        </w:rPr>
        <w:t>工程质量保修阶段的质量控制、投资控制、进度控制、组织协调、合同管理、信息与工程资料管理、安全文明的施工、竣工验收及备案、对工程建设相关方的关系进行协调等服务活动</w:t>
      </w:r>
      <w:r>
        <w:rPr>
          <w:rFonts w:hint="eastAsia" w:ascii="宋体" w:hAnsi="宋体" w:cs="宋体"/>
          <w:color w:val="000000"/>
          <w:kern w:val="2"/>
          <w:sz w:val="24"/>
          <w:szCs w:val="24"/>
          <w:highlight w:val="none"/>
          <w:u w:val="single"/>
          <w:lang w:eastAsia="zh-CN"/>
        </w:rPr>
        <w:t>、</w:t>
      </w:r>
      <w:r>
        <w:rPr>
          <w:rFonts w:hint="eastAsia" w:ascii="宋体" w:hAnsi="宋体" w:cs="宋体"/>
          <w:color w:val="000000"/>
          <w:kern w:val="2"/>
          <w:sz w:val="24"/>
          <w:szCs w:val="24"/>
          <w:highlight w:val="none"/>
          <w:u w:val="single"/>
        </w:rPr>
        <w:t>直至交付使用完成监理工作</w:t>
      </w:r>
      <w:r>
        <w:rPr>
          <w:rFonts w:hint="eastAsia" w:ascii="宋体" w:hAnsi="宋体" w:cs="宋体"/>
          <w:color w:val="000000"/>
          <w:kern w:val="2"/>
          <w:sz w:val="24"/>
          <w:szCs w:val="24"/>
          <w:highlight w:val="none"/>
          <w:u w:val="single"/>
          <w:lang w:val="en-US" w:eastAsia="zh-CN"/>
        </w:rPr>
        <w:t>及竣工结算资料审核工作</w:t>
      </w:r>
      <w:r>
        <w:rPr>
          <w:rFonts w:hint="eastAsia" w:ascii="宋体" w:hAnsi="宋体" w:cs="宋体"/>
          <w:color w:val="000000"/>
          <w:kern w:val="2"/>
          <w:sz w:val="24"/>
          <w:szCs w:val="24"/>
          <w:highlight w:val="none"/>
          <w:u w:val="single"/>
        </w:rPr>
        <w:t>。</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二、词语限定</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协议书中相关词语的含义与通用条件中的定义与解释相同。</w:t>
      </w:r>
    </w:p>
    <w:p>
      <w:pPr>
        <w:spacing w:line="360" w:lineRule="auto"/>
        <w:ind w:firstLine="477" w:firstLineChars="198"/>
        <w:outlineLvl w:val="0"/>
        <w:rPr>
          <w:rFonts w:ascii="宋体" w:hAnsi="宋体" w:cs="宋体"/>
          <w:b/>
          <w:color w:val="000000"/>
          <w:sz w:val="24"/>
          <w:szCs w:val="24"/>
          <w:highlight w:val="none"/>
        </w:rPr>
      </w:pPr>
      <w:bookmarkStart w:id="1" w:name="_Toc375664909"/>
      <w:r>
        <w:rPr>
          <w:rFonts w:hint="eastAsia" w:ascii="宋体" w:hAnsi="宋体" w:cs="宋体"/>
          <w:b/>
          <w:color w:val="000000"/>
          <w:sz w:val="24"/>
          <w:szCs w:val="24"/>
          <w:highlight w:val="none"/>
        </w:rPr>
        <w:t>三、组成本合同的文件</w:t>
      </w:r>
      <w:bookmarkEnd w:id="1"/>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1. 协议书；</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2. 中标通知书（适用于招标工程）；</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3. 投标文件（适用于招标工程）；</w:t>
      </w:r>
    </w:p>
    <w:p>
      <w:pPr>
        <w:adjustRightInd w:val="0"/>
        <w:snapToGri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4. 专用条件；</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5. 通用条件；</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6. 附录，即：</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附录A 《</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派遣的人员和提供的</w:t>
      </w:r>
      <w:r>
        <w:rPr>
          <w:rFonts w:hint="eastAsia" w:ascii="宋体" w:hAnsi="宋体" w:cs="宋体"/>
          <w:bCs/>
          <w:color w:val="000000"/>
          <w:sz w:val="24"/>
          <w:szCs w:val="24"/>
          <w:highlight w:val="none"/>
        </w:rPr>
        <w:t>房屋、资料</w:t>
      </w:r>
      <w:r>
        <w:rPr>
          <w:rFonts w:hint="eastAsia" w:ascii="宋体" w:hAnsi="宋体" w:cs="宋体"/>
          <w:color w:val="000000"/>
          <w:sz w:val="24"/>
          <w:szCs w:val="24"/>
          <w:highlight w:val="none"/>
        </w:rPr>
        <w:t>、设备》</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附录B 《监理管理制度》</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本合同签订后，双方依法签订的补充协议也是本合同文件的组成部分。</w:t>
      </w:r>
    </w:p>
    <w:p>
      <w:pPr>
        <w:spacing w:line="360" w:lineRule="auto"/>
        <w:ind w:firstLine="477" w:firstLineChars="198"/>
        <w:outlineLvl w:val="0"/>
        <w:rPr>
          <w:rFonts w:ascii="宋体" w:hAnsi="宋体" w:cs="宋体"/>
          <w:b/>
          <w:color w:val="000000"/>
          <w:sz w:val="24"/>
          <w:szCs w:val="24"/>
          <w:highlight w:val="none"/>
        </w:rPr>
      </w:pPr>
      <w:bookmarkStart w:id="2" w:name="_Toc375664910"/>
      <w:r>
        <w:rPr>
          <w:rFonts w:hint="eastAsia" w:ascii="宋体" w:hAnsi="宋体" w:cs="宋体"/>
          <w:b/>
          <w:color w:val="000000"/>
          <w:sz w:val="24"/>
          <w:szCs w:val="24"/>
          <w:highlight w:val="none"/>
        </w:rPr>
        <w:t>四、总监理工程师</w:t>
      </w:r>
      <w:bookmarkEnd w:id="2"/>
    </w:p>
    <w:p>
      <w:pPr>
        <w:adjustRightInd w:val="0"/>
        <w:snapToGrid w:val="0"/>
        <w:spacing w:line="360" w:lineRule="auto"/>
        <w:ind w:firstLine="475" w:firstLineChars="198"/>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总监理工程师姓名：</w:t>
      </w:r>
      <w:r>
        <w:rPr>
          <w:rFonts w:hint="eastAsia" w:ascii="宋体" w:hAnsi="宋体" w:cs="宋体"/>
          <w:color w:val="000000"/>
          <w:kern w:val="0"/>
          <w:sz w:val="24"/>
          <w:szCs w:val="24"/>
          <w:highlight w:val="none"/>
          <w:u w:val="single"/>
          <w:lang w:val="en-US" w:eastAsia="zh-CN"/>
        </w:rPr>
        <w:t xml:space="preserve">  </w:t>
      </w:r>
      <w:r>
        <w:rPr>
          <w:rFonts w:hint="eastAsia" w:ascii="仿宋_GB2312" w:hAnsi="宋体" w:eastAsia="仿宋_GB2312"/>
          <w:color w:val="000000"/>
          <w:sz w:val="24"/>
          <w:szCs w:val="24"/>
          <w:highlight w:val="none"/>
          <w:u w:val="single"/>
        </w:rPr>
        <w:t xml:space="preserve"> </w:t>
      </w:r>
      <w:r>
        <w:rPr>
          <w:rFonts w:hint="eastAsia" w:ascii="宋体" w:hAnsi="宋体" w:cs="宋体"/>
          <w:color w:val="000000"/>
          <w:kern w:val="0"/>
          <w:sz w:val="24"/>
          <w:szCs w:val="24"/>
          <w:highlight w:val="none"/>
        </w:rPr>
        <w:t>，身份证号码：</w:t>
      </w: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lang w:val="zh-CN"/>
        </w:rPr>
        <w:t xml:space="preserve"> </w:t>
      </w:r>
      <w:r>
        <w:rPr>
          <w:rFonts w:hint="eastAsia" w:ascii="宋体" w:hAnsi="宋体" w:cs="宋体"/>
          <w:color w:val="000000"/>
          <w:kern w:val="0"/>
          <w:sz w:val="24"/>
          <w:szCs w:val="24"/>
          <w:highlight w:val="none"/>
        </w:rPr>
        <w:t>，注册号：</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rPr>
        <w:t xml:space="preserve"> 。</w:t>
      </w:r>
    </w:p>
    <w:p>
      <w:pPr>
        <w:spacing w:line="360" w:lineRule="auto"/>
        <w:ind w:firstLine="477" w:firstLineChars="198"/>
        <w:outlineLvl w:val="0"/>
        <w:rPr>
          <w:rFonts w:ascii="宋体" w:hAnsi="宋体" w:cs="宋体"/>
          <w:b/>
          <w:color w:val="000000"/>
          <w:sz w:val="24"/>
          <w:szCs w:val="24"/>
          <w:highlight w:val="none"/>
        </w:rPr>
      </w:pPr>
      <w:bookmarkStart w:id="3" w:name="_Toc375664911"/>
      <w:r>
        <w:rPr>
          <w:rFonts w:hint="eastAsia" w:ascii="宋体" w:hAnsi="宋体" w:cs="宋体"/>
          <w:b/>
          <w:color w:val="000000"/>
          <w:sz w:val="24"/>
          <w:szCs w:val="24"/>
          <w:highlight w:val="none"/>
        </w:rPr>
        <w:t>五、签约酬金</w:t>
      </w:r>
      <w:bookmarkEnd w:id="3"/>
    </w:p>
    <w:p>
      <w:pPr>
        <w:adjustRightInd w:val="0"/>
        <w:snapToGrid w:val="0"/>
        <w:spacing w:line="360" w:lineRule="auto"/>
        <w:ind w:firstLine="475" w:firstLineChars="198"/>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本项目正常监理工作酬金暂定</w:t>
      </w: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元（大写</w:t>
      </w:r>
      <w:r>
        <w:rPr>
          <w:rFonts w:hint="eastAsia" w:ascii="宋体" w:hAnsi="宋体" w:cs="宋体"/>
          <w:color w:val="000000"/>
          <w:kern w:val="0"/>
          <w:sz w:val="24"/>
          <w:szCs w:val="24"/>
          <w:highlight w:val="none"/>
          <w:u w:val="single"/>
        </w:rPr>
        <w:t>：</w:t>
      </w: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元），酬金构成详附件一合同清单，</w:t>
      </w:r>
      <w:r>
        <w:rPr>
          <w:rFonts w:hint="eastAsia" w:ascii="宋体" w:hAnsi="宋体" w:cs="宋体"/>
          <w:color w:val="000000"/>
          <w:sz w:val="24"/>
          <w:szCs w:val="22"/>
          <w:highlight w:val="none"/>
        </w:rPr>
        <w:t>正常监理工作酬金为乙方在本协议约定的监理服务期限内从事本工程监理工作所发生</w:t>
      </w:r>
      <w:r>
        <w:rPr>
          <w:rFonts w:hint="eastAsia" w:ascii="宋体" w:hAnsi="宋体" w:cs="宋体"/>
          <w:color w:val="000000"/>
          <w:sz w:val="24"/>
          <w:highlight w:val="none"/>
        </w:rPr>
        <w:t>的全部费用及所有风险、责任，包括但不限于人工费、加班费（含节假日加班费）、现场监理设备费、交通费、管理费、利润、税金等。</w:t>
      </w:r>
      <w:r>
        <w:rPr>
          <w:rFonts w:hint="eastAsia" w:ascii="宋体" w:hAnsi="宋体" w:cs="宋体"/>
          <w:color w:val="000000"/>
          <w:kern w:val="0"/>
          <w:sz w:val="24"/>
          <w:szCs w:val="24"/>
          <w:highlight w:val="none"/>
        </w:rPr>
        <w:t>正常监理工作酬金按建筑面积综合单价包干，合同清单中建筑面积为暂定，实际按经批准的规划许可证相应部分建筑面积结算。所有室外工程（包括但不限于园林、市政等）均属于监理服务范围，但该部分不单独计算监理酬金，在所投标综合单价内综合考虑。</w:t>
      </w:r>
    </w:p>
    <w:p>
      <w:pPr>
        <w:pStyle w:val="5"/>
        <w:spacing w:after="0" w:line="360" w:lineRule="auto"/>
        <w:ind w:left="-1" w:firstLine="480" w:firstLineChars="200"/>
        <w:rPr>
          <w:rFonts w:ascii="宋体" w:hAnsi="宋体"/>
          <w:color w:val="000000"/>
          <w:sz w:val="24"/>
          <w:szCs w:val="24"/>
          <w:highlight w:val="none"/>
        </w:rPr>
      </w:pPr>
      <w:r>
        <w:rPr>
          <w:rFonts w:hint="eastAsia" w:ascii="宋体" w:hAnsi="宋体" w:cs="宋体"/>
          <w:color w:val="000000"/>
          <w:sz w:val="24"/>
          <w:highlight w:val="none"/>
        </w:rPr>
        <w:t>如监理服务期延期超过</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个月则按合同专用条款5.2.2计算附加酬金，</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个月内的则不予计算。</w:t>
      </w:r>
    </w:p>
    <w:p>
      <w:pPr>
        <w:spacing w:line="360" w:lineRule="auto"/>
        <w:ind w:firstLine="477" w:firstLineChars="198"/>
        <w:outlineLvl w:val="0"/>
        <w:rPr>
          <w:rFonts w:ascii="宋体" w:hAnsi="宋体" w:cs="宋体"/>
          <w:b/>
          <w:color w:val="000000"/>
          <w:sz w:val="24"/>
          <w:szCs w:val="24"/>
          <w:highlight w:val="none"/>
        </w:rPr>
      </w:pPr>
      <w:bookmarkStart w:id="4" w:name="_Toc375664912"/>
      <w:r>
        <w:rPr>
          <w:rFonts w:hint="eastAsia" w:ascii="宋体" w:hAnsi="宋体" w:cs="宋体"/>
          <w:b/>
          <w:color w:val="000000"/>
          <w:sz w:val="24"/>
          <w:szCs w:val="24"/>
          <w:highlight w:val="none"/>
        </w:rPr>
        <w:t>六、期限</w:t>
      </w:r>
      <w:bookmarkEnd w:id="4"/>
    </w:p>
    <w:p>
      <w:pPr>
        <w:adjustRightInd w:val="0"/>
        <w:snapToGrid w:val="0"/>
        <w:spacing w:line="360" w:lineRule="auto"/>
        <w:ind w:firstLine="600" w:firstLineChars="25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 xml:space="preserve">1. </w:t>
      </w:r>
      <w:r>
        <w:rPr>
          <w:rFonts w:hint="eastAsia" w:ascii="宋体" w:hAnsi="宋体" w:cs="宋体"/>
          <w:color w:val="000000"/>
          <w:sz w:val="24"/>
          <w:szCs w:val="24"/>
          <w:highlight w:val="none"/>
        </w:rPr>
        <w:t>监理期限：</w:t>
      </w:r>
    </w:p>
    <w:p>
      <w:pPr>
        <w:adjustRightInd w:val="0"/>
        <w:snapToGrid w:val="0"/>
        <w:spacing w:line="360" w:lineRule="auto"/>
        <w:ind w:firstLine="600" w:firstLineChars="250"/>
        <w:jc w:val="left"/>
        <w:rPr>
          <w:rFonts w:hint="eastAsia" w:ascii="宋体" w:hAnsi="宋体" w:eastAsia="宋体" w:cs="宋体"/>
          <w:color w:val="000000"/>
          <w:sz w:val="24"/>
          <w:szCs w:val="24"/>
          <w:highlight w:val="none"/>
          <w:lang w:val="en-GB" w:eastAsia="zh-CN"/>
        </w:rPr>
      </w:pPr>
      <w:r>
        <w:rPr>
          <w:rFonts w:hint="eastAsia" w:ascii="宋体" w:hAnsi="宋体" w:cs="宋体"/>
          <w:color w:val="000000"/>
          <w:kern w:val="0"/>
          <w:sz w:val="24"/>
          <w:szCs w:val="24"/>
          <w:highlight w:val="none"/>
        </w:rPr>
        <w:t>施工监理周期</w:t>
      </w: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rPr>
        <w:t>个月</w:t>
      </w:r>
      <w:r>
        <w:rPr>
          <w:rFonts w:hint="eastAsia" w:ascii="宋体" w:hAnsi="宋体" w:cs="宋体"/>
          <w:color w:val="000000"/>
          <w:kern w:val="0"/>
          <w:sz w:val="24"/>
          <w:szCs w:val="24"/>
          <w:highlight w:val="none"/>
        </w:rPr>
        <w:t>。暂定自</w:t>
      </w: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rPr>
        <w:t>年</w:t>
      </w: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rPr>
        <w:t>月</w:t>
      </w: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rPr>
        <w:t>日始，至</w:t>
      </w: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rPr>
        <w:t>年</w:t>
      </w: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rPr>
        <w:t>月</w:t>
      </w: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日止。监理开始日期以</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下达开工令之日起开始计算，在此时间之前监理单位需要配合相关工作。监理完成日期以在满足监理周期下竣工验收合格,工程竣工后收尾。监理服务期应满足工程施工前配合阶段、施工前准备阶段、工程施工阶段、工程竣工后收尾阶段、保修阶段、竣工结算期监理工作要求，直至工程竣工验收备案、</w:t>
      </w:r>
      <w:r>
        <w:rPr>
          <w:rFonts w:hint="eastAsia" w:ascii="宋体" w:hAnsi="宋体" w:cs="宋体"/>
          <w:color w:val="000000"/>
          <w:kern w:val="0"/>
          <w:sz w:val="24"/>
          <w:szCs w:val="24"/>
          <w:highlight w:val="none"/>
          <w:lang w:val="en-US" w:eastAsia="zh-CN"/>
        </w:rPr>
        <w:t>及室内装修完成</w:t>
      </w:r>
      <w:r>
        <w:rPr>
          <w:rFonts w:hint="eastAsia" w:ascii="宋体" w:hAnsi="宋体" w:cs="宋体"/>
          <w:color w:val="000000"/>
          <w:kern w:val="0"/>
          <w:sz w:val="24"/>
          <w:szCs w:val="24"/>
          <w:highlight w:val="none"/>
          <w:lang w:eastAsia="zh-CN"/>
        </w:rPr>
        <w:t>验收</w:t>
      </w:r>
      <w:r>
        <w:rPr>
          <w:rFonts w:hint="eastAsia" w:ascii="宋体" w:hAnsi="宋体" w:cs="宋体"/>
          <w:color w:val="000000"/>
          <w:kern w:val="0"/>
          <w:sz w:val="24"/>
          <w:szCs w:val="24"/>
          <w:highlight w:val="none"/>
          <w:lang w:val="en-US" w:eastAsia="zh-CN"/>
        </w:rPr>
        <w:t>移交</w:t>
      </w:r>
      <w:r>
        <w:rPr>
          <w:rFonts w:hint="eastAsia" w:ascii="宋体" w:hAnsi="宋体" w:cs="宋体"/>
          <w:color w:val="000000"/>
          <w:kern w:val="0"/>
          <w:sz w:val="24"/>
          <w:szCs w:val="24"/>
          <w:highlight w:val="none"/>
          <w:lang w:val="en-GB" w:eastAsia="zh-CN"/>
        </w:rPr>
        <w:t>。</w:t>
      </w:r>
    </w:p>
    <w:p>
      <w:pPr>
        <w:spacing w:line="360" w:lineRule="auto"/>
        <w:ind w:firstLine="477" w:firstLineChars="198"/>
        <w:outlineLvl w:val="0"/>
        <w:rPr>
          <w:rFonts w:ascii="宋体" w:hAnsi="宋体" w:cs="宋体"/>
          <w:b/>
          <w:color w:val="000000"/>
          <w:sz w:val="24"/>
          <w:szCs w:val="24"/>
          <w:highlight w:val="none"/>
        </w:rPr>
      </w:pPr>
      <w:bookmarkStart w:id="5" w:name="_Toc375664913"/>
      <w:r>
        <w:rPr>
          <w:rFonts w:hint="eastAsia" w:ascii="宋体" w:hAnsi="宋体" w:cs="宋体"/>
          <w:b/>
          <w:color w:val="000000"/>
          <w:sz w:val="24"/>
          <w:szCs w:val="24"/>
          <w:highlight w:val="none"/>
        </w:rPr>
        <w:t>七、双方承诺</w:t>
      </w:r>
      <w:bookmarkEnd w:id="5"/>
    </w:p>
    <w:p>
      <w:pPr>
        <w:spacing w:line="360" w:lineRule="auto"/>
        <w:ind w:firstLine="475" w:firstLineChars="198"/>
        <w:outlineLvl w:val="0"/>
        <w:rPr>
          <w:rFonts w:ascii="宋体" w:hAnsi="宋体" w:cs="宋体"/>
          <w:b/>
          <w:color w:val="000000"/>
          <w:sz w:val="24"/>
          <w:szCs w:val="24"/>
          <w:highlight w:val="none"/>
        </w:rPr>
      </w:pPr>
      <w:bookmarkStart w:id="6" w:name="_Toc375664914"/>
      <w:r>
        <w:rPr>
          <w:rFonts w:hint="eastAsia" w:ascii="宋体" w:hAnsi="宋体" w:cs="宋体"/>
          <w:color w:val="000000"/>
          <w:sz w:val="24"/>
          <w:szCs w:val="24"/>
          <w:highlight w:val="none"/>
        </w:rPr>
        <w:t xml:space="preserve">1. </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向</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承诺，按照本合同约定</w:t>
      </w:r>
      <w:r>
        <w:rPr>
          <w:rFonts w:hint="eastAsia" w:ascii="宋体" w:hAnsi="宋体" w:cs="宋体"/>
          <w:color w:val="000000"/>
          <w:kern w:val="0"/>
          <w:sz w:val="24"/>
          <w:szCs w:val="24"/>
          <w:highlight w:val="none"/>
        </w:rPr>
        <w:t>提供</w:t>
      </w:r>
      <w:r>
        <w:rPr>
          <w:rFonts w:hint="eastAsia" w:ascii="宋体" w:hAnsi="宋体" w:cs="宋体"/>
          <w:color w:val="000000"/>
          <w:sz w:val="24"/>
          <w:szCs w:val="24"/>
          <w:highlight w:val="none"/>
        </w:rPr>
        <w:t>监理与相关服务。</w:t>
      </w:r>
      <w:bookmarkEnd w:id="6"/>
    </w:p>
    <w:p>
      <w:pPr>
        <w:spacing w:line="360" w:lineRule="auto"/>
        <w:ind w:firstLine="475" w:firstLineChars="198"/>
        <w:outlineLvl w:val="0"/>
        <w:rPr>
          <w:rFonts w:ascii="宋体" w:hAnsi="宋体" w:cs="宋体"/>
          <w:color w:val="000000"/>
          <w:sz w:val="24"/>
          <w:szCs w:val="24"/>
          <w:highlight w:val="none"/>
        </w:rPr>
      </w:pPr>
      <w:bookmarkStart w:id="7" w:name="_Toc375664915"/>
      <w:r>
        <w:rPr>
          <w:rFonts w:hint="eastAsia" w:ascii="宋体" w:hAnsi="宋体" w:cs="宋体"/>
          <w:color w:val="000000"/>
          <w:sz w:val="24"/>
          <w:szCs w:val="24"/>
          <w:highlight w:val="none"/>
        </w:rPr>
        <w:t xml:space="preserve">2. </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向</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承诺，按照本合同约定派遣相应的人员，提供</w:t>
      </w:r>
      <w:r>
        <w:rPr>
          <w:rFonts w:hint="eastAsia" w:ascii="宋体" w:hAnsi="宋体" w:cs="宋体"/>
          <w:color w:val="000000"/>
          <w:sz w:val="24"/>
          <w:szCs w:val="24"/>
          <w:highlight w:val="none"/>
          <w:lang w:val="en-US" w:eastAsia="zh-CN"/>
        </w:rPr>
        <w:t>办公场地</w:t>
      </w:r>
      <w:r>
        <w:rPr>
          <w:rFonts w:hint="eastAsia" w:ascii="宋体" w:hAnsi="宋体" w:cs="宋体"/>
          <w:bCs/>
          <w:color w:val="000000"/>
          <w:sz w:val="24"/>
          <w:szCs w:val="24"/>
          <w:highlight w:val="none"/>
        </w:rPr>
        <w:t>、资料</w:t>
      </w:r>
      <w:r>
        <w:rPr>
          <w:rFonts w:hint="eastAsia" w:ascii="宋体" w:hAnsi="宋体" w:cs="宋体"/>
          <w:color w:val="000000"/>
          <w:sz w:val="24"/>
          <w:szCs w:val="24"/>
          <w:highlight w:val="none"/>
        </w:rPr>
        <w:t>并按本合同约定支付酬金。</w:t>
      </w:r>
      <w:bookmarkEnd w:id="7"/>
    </w:p>
    <w:p>
      <w:pPr>
        <w:spacing w:line="360" w:lineRule="auto"/>
        <w:ind w:firstLine="477" w:firstLineChars="198"/>
        <w:outlineLvl w:val="0"/>
        <w:rPr>
          <w:rFonts w:ascii="宋体" w:hAnsi="宋体" w:cs="宋体"/>
          <w:b/>
          <w:color w:val="000000"/>
          <w:sz w:val="24"/>
          <w:szCs w:val="24"/>
          <w:highlight w:val="none"/>
        </w:rPr>
      </w:pPr>
      <w:bookmarkStart w:id="8" w:name="_Toc375664916"/>
      <w:r>
        <w:rPr>
          <w:rFonts w:hint="eastAsia" w:ascii="宋体" w:hAnsi="宋体" w:cs="宋体"/>
          <w:b/>
          <w:color w:val="000000"/>
          <w:sz w:val="24"/>
          <w:szCs w:val="24"/>
          <w:highlight w:val="none"/>
        </w:rPr>
        <w:t>八、合同订立</w:t>
      </w:r>
      <w:bookmarkEnd w:id="8"/>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1. 订立时间：</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2. 本合同一式</w:t>
      </w:r>
      <w:r>
        <w:rPr>
          <w:rFonts w:hint="eastAsia" w:ascii="宋体" w:hAnsi="宋体" w:cs="宋体"/>
          <w:color w:val="000000"/>
          <w:sz w:val="24"/>
          <w:szCs w:val="24"/>
          <w:highlight w:val="none"/>
          <w:lang w:eastAsia="zh-CN"/>
        </w:rPr>
        <w:t>陆</w:t>
      </w:r>
      <w:r>
        <w:rPr>
          <w:rFonts w:hint="eastAsia" w:ascii="宋体" w:hAnsi="宋体" w:cs="宋体"/>
          <w:color w:val="000000"/>
          <w:sz w:val="24"/>
          <w:szCs w:val="24"/>
          <w:highlight w:val="none"/>
        </w:rPr>
        <w:t>份，具有同等法律效力，双方各执</w:t>
      </w:r>
      <w:r>
        <w:rPr>
          <w:rFonts w:hint="eastAsia" w:ascii="宋体" w:hAnsi="宋体" w:cs="宋体"/>
          <w:color w:val="000000"/>
          <w:sz w:val="24"/>
          <w:szCs w:val="24"/>
          <w:highlight w:val="none"/>
          <w:lang w:eastAsia="zh-CN"/>
        </w:rPr>
        <w:t>叁</w:t>
      </w:r>
      <w:r>
        <w:rPr>
          <w:rFonts w:hint="eastAsia" w:ascii="宋体" w:hAnsi="宋体" w:cs="宋体"/>
          <w:color w:val="000000"/>
          <w:sz w:val="24"/>
          <w:szCs w:val="24"/>
          <w:highlight w:val="none"/>
        </w:rPr>
        <w:t>份。</w:t>
      </w:r>
    </w:p>
    <w:p>
      <w:pPr>
        <w:widowControl/>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w:t>
      </w:r>
    </w:p>
    <w:p>
      <w:pPr>
        <w:widowControl/>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w:t>
      </w:r>
    </w:p>
    <w:p>
      <w:pPr>
        <w:adjustRightInd w:val="0"/>
        <w:snapToGrid w:val="0"/>
        <w:spacing w:line="360" w:lineRule="auto"/>
        <w:ind w:firstLine="475" w:firstLineChars="198"/>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住所：</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住所： </w:t>
      </w:r>
      <w:r>
        <w:rPr>
          <w:rFonts w:hint="eastAsia" w:ascii="宋体" w:hAnsi="宋体" w:cs="宋体"/>
          <w:color w:val="000000"/>
          <w:sz w:val="24"/>
          <w:szCs w:val="24"/>
          <w:highlight w:val="none"/>
          <w:lang w:val="en-US" w:eastAsia="zh-CN"/>
        </w:rPr>
        <w:t xml:space="preserve"> </w:t>
      </w:r>
    </w:p>
    <w:p>
      <w:pPr>
        <w:adjustRightInd w:val="0"/>
        <w:snapToGrid w:val="0"/>
        <w:spacing w:line="360" w:lineRule="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邮政编码：</w:t>
      </w:r>
      <w:r>
        <w:rPr>
          <w:rFonts w:hint="eastAsia" w:ascii="宋体" w:hAnsi="宋体" w:cs="宋体"/>
          <w:color w:val="000000"/>
          <w:sz w:val="24"/>
          <w:szCs w:val="24"/>
          <w:highlight w:val="none"/>
          <w:lang w:val="en-US" w:eastAsia="zh-CN"/>
        </w:rPr>
        <w:t xml:space="preserve"> </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法定代表人或其授权              法定代表人或其授权</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 xml:space="preserve">的代理人：                      的代理人：                </w:t>
      </w:r>
    </w:p>
    <w:p>
      <w:pPr>
        <w:adjustRightInd w:val="0"/>
        <w:snapToGrid w:val="0"/>
        <w:spacing w:line="360" w:lineRule="auto"/>
        <w:ind w:firstLine="475" w:firstLineChars="198"/>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 xml:space="preserve">                                开户银行：</w:t>
      </w:r>
    </w:p>
    <w:p>
      <w:pPr>
        <w:adjustRightInd w:val="0"/>
        <w:snapToGrid w:val="0"/>
        <w:spacing w:line="360" w:lineRule="auto"/>
        <w:ind w:firstLine="475" w:firstLineChars="198"/>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 xml:space="preserve">                                账号：</w:t>
      </w:r>
      <w:r>
        <w:rPr>
          <w:rFonts w:hint="eastAsia" w:ascii="宋体" w:hAnsi="宋体" w:cs="宋体"/>
          <w:color w:val="000000"/>
          <w:sz w:val="24"/>
          <w:szCs w:val="24"/>
          <w:highlight w:val="none"/>
          <w:lang w:val="en-US" w:eastAsia="zh-CN"/>
        </w:rPr>
        <w:t xml:space="preserve"> </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 xml:space="preserve">                                电话：</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w:t>
      </w:r>
    </w:p>
    <w:p>
      <w:pPr>
        <w:adjustRightInd w:val="0"/>
        <w:snapToGrid w:val="0"/>
        <w:spacing w:line="360" w:lineRule="auto"/>
        <w:ind w:firstLine="475" w:firstLineChars="198"/>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 xml:space="preserve">                                传真：</w:t>
      </w:r>
      <w:r>
        <w:rPr>
          <w:rFonts w:hint="eastAsia" w:ascii="宋体" w:hAnsi="宋体" w:cs="宋体"/>
          <w:color w:val="000000"/>
          <w:sz w:val="24"/>
          <w:szCs w:val="24"/>
          <w:highlight w:val="none"/>
          <w:lang w:val="en-US" w:eastAsia="zh-CN"/>
        </w:rPr>
        <w:t xml:space="preserve"> </w:t>
      </w:r>
    </w:p>
    <w:p>
      <w:pPr>
        <w:pageBreakBefore/>
        <w:spacing w:line="360" w:lineRule="auto"/>
        <w:jc w:val="center"/>
        <w:rPr>
          <w:rFonts w:ascii="宋体" w:hAnsi="宋体" w:cs="宋体"/>
          <w:b/>
          <w:color w:val="000000"/>
          <w:sz w:val="24"/>
          <w:szCs w:val="24"/>
          <w:highlight w:val="none"/>
        </w:rPr>
      </w:pPr>
      <w:r>
        <w:rPr>
          <w:rFonts w:hint="eastAsia" w:ascii="宋体" w:hAnsi="宋体" w:cs="宋体"/>
          <w:b/>
          <w:color w:val="000000"/>
          <w:sz w:val="24"/>
          <w:szCs w:val="24"/>
          <w:highlight w:val="none"/>
        </w:rPr>
        <w:t>第二部分  通用条件</w:t>
      </w:r>
    </w:p>
    <w:p>
      <w:pPr>
        <w:spacing w:line="360" w:lineRule="auto"/>
        <w:jc w:val="center"/>
        <w:rPr>
          <w:rFonts w:ascii="宋体" w:hAnsi="宋体" w:cs="宋体"/>
          <w:b/>
          <w:color w:val="000000"/>
          <w:sz w:val="24"/>
          <w:szCs w:val="24"/>
          <w:highlight w:val="none"/>
        </w:rPr>
      </w:pPr>
    </w:p>
    <w:p>
      <w:pPr>
        <w:spacing w:line="360" w:lineRule="auto"/>
        <w:rPr>
          <w:rFonts w:ascii="宋体" w:hAnsi="宋体" w:cs="宋体"/>
          <w:b/>
          <w:color w:val="000000"/>
          <w:sz w:val="24"/>
          <w:szCs w:val="24"/>
          <w:highlight w:val="none"/>
        </w:rPr>
      </w:pPr>
      <w:r>
        <w:rPr>
          <w:rFonts w:hint="eastAsia" w:ascii="宋体" w:hAnsi="宋体" w:cs="宋体"/>
          <w:b/>
          <w:color w:val="000000"/>
          <w:sz w:val="24"/>
          <w:szCs w:val="24"/>
          <w:highlight w:val="none"/>
        </w:rPr>
        <w:t>1. 定义与解释</w:t>
      </w:r>
    </w:p>
    <w:p>
      <w:pPr>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 xml:space="preserve">1.1 </w:t>
      </w:r>
      <w:r>
        <w:rPr>
          <w:rFonts w:hint="eastAsia" w:ascii="宋体" w:hAnsi="宋体" w:cs="宋体"/>
          <w:bCs/>
          <w:color w:val="000000"/>
          <w:sz w:val="24"/>
          <w:szCs w:val="24"/>
          <w:highlight w:val="none"/>
        </w:rPr>
        <w:t>定义</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除根据上下文另有其意义外，组成本合同的全部文件中的下列名词和用语应具有本款所赋予的含义：</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 “工程”是指按照本合同约定实施监理与相关服务的建设工程。</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 “</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”是指本合同中委托监理与相关服务的一方，及其合法的继承人或受让人。</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 “</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”是指本合同中提供监理与相关服务的一方，及其合法的继承人。</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1.1.4 “承包人”是指在工程范围内与</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签订勘察、设计、施工等有关合同的当事人，及其合法的继承人。</w:t>
      </w:r>
    </w:p>
    <w:p>
      <w:pPr>
        <w:pStyle w:val="20"/>
        <w:spacing w:line="360" w:lineRule="auto"/>
        <w:ind w:firstLine="570"/>
        <w:rPr>
          <w:rFonts w:hAnsi="宋体" w:cs="宋体"/>
          <w:color w:val="000000"/>
          <w:sz w:val="24"/>
          <w:szCs w:val="24"/>
          <w:highlight w:val="none"/>
        </w:rPr>
      </w:pPr>
      <w:r>
        <w:rPr>
          <w:rFonts w:hint="eastAsia" w:hAnsi="宋体" w:cs="宋体"/>
          <w:color w:val="000000"/>
          <w:sz w:val="24"/>
          <w:szCs w:val="24"/>
          <w:highlight w:val="none"/>
        </w:rPr>
        <w:t>1.1.5 “监理”是指</w:t>
      </w:r>
      <w:r>
        <w:rPr>
          <w:rFonts w:hint="eastAsia" w:hAnsi="宋体" w:cs="宋体"/>
          <w:color w:val="000000"/>
          <w:sz w:val="24"/>
          <w:szCs w:val="24"/>
          <w:highlight w:val="none"/>
          <w:lang w:eastAsia="zh-CN"/>
        </w:rPr>
        <w:t>承包人</w:t>
      </w:r>
      <w:r>
        <w:rPr>
          <w:rFonts w:hint="eastAsia" w:hAnsi="宋体" w:cs="宋体"/>
          <w:color w:val="000000"/>
          <w:sz w:val="24"/>
          <w:szCs w:val="24"/>
          <w:highlight w:val="none"/>
        </w:rPr>
        <w:t>受</w:t>
      </w:r>
      <w:r>
        <w:rPr>
          <w:rFonts w:hint="eastAsia" w:hAnsi="宋体" w:cs="宋体"/>
          <w:color w:val="000000"/>
          <w:sz w:val="24"/>
          <w:szCs w:val="24"/>
          <w:highlight w:val="none"/>
          <w:lang w:eastAsia="zh-CN"/>
        </w:rPr>
        <w:t>发包人</w:t>
      </w:r>
      <w:r>
        <w:rPr>
          <w:rFonts w:hint="eastAsia" w:hAnsi="宋体" w:cs="宋体"/>
          <w:color w:val="000000"/>
          <w:sz w:val="24"/>
          <w:szCs w:val="24"/>
          <w:highlight w:val="none"/>
        </w:rPr>
        <w:t>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1.1.6 “相关服务”是指</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受</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的委托 ，按照本合同约定，在勘察、设计、保修等阶段提供的服务活动。</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1.1.7 “正常工作”指本合同订立时通用条件和专用条件中约定的</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的工作。</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1.1.8 “附加工作”是指本合同约定的正常工作以外</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的工作。</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1.1.9 “项目监理机构”是指</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派驻工程负责履行本合同的组织机构。</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1.1.10 “总监理工程师”是指由</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的法定代表人书面授权，全面负责履行本合同、主持项目监理机构工作的注册监理工程师。</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1.1.11 “酬金”是指</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履行本合同义务，</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按照本合同约定给付</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的金额。</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1.1.12 “正常工作</w:t>
      </w:r>
      <w:r>
        <w:rPr>
          <w:rFonts w:hint="eastAsia" w:ascii="宋体" w:hAnsi="宋体" w:cs="宋体"/>
          <w:color w:val="000000"/>
          <w:kern w:val="0"/>
          <w:sz w:val="24"/>
          <w:szCs w:val="24"/>
          <w:highlight w:val="none"/>
        </w:rPr>
        <w:t>酬金”</w:t>
      </w:r>
      <w:r>
        <w:rPr>
          <w:rFonts w:hint="eastAsia" w:ascii="宋体" w:hAnsi="宋体" w:cs="宋体"/>
          <w:color w:val="000000"/>
          <w:sz w:val="24"/>
          <w:szCs w:val="24"/>
          <w:highlight w:val="none"/>
        </w:rPr>
        <w:t>是指</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完成正常工作，</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应给付</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并在协议书中载明的签约</w:t>
      </w:r>
      <w:r>
        <w:rPr>
          <w:rFonts w:hint="eastAsia" w:ascii="宋体" w:hAnsi="宋体" w:cs="宋体"/>
          <w:color w:val="000000"/>
          <w:kern w:val="0"/>
          <w:sz w:val="24"/>
          <w:szCs w:val="24"/>
          <w:highlight w:val="none"/>
        </w:rPr>
        <w:t>酬金额</w:t>
      </w:r>
      <w:r>
        <w:rPr>
          <w:rFonts w:hint="eastAsia" w:ascii="宋体" w:hAnsi="宋体" w:cs="宋体"/>
          <w:color w:val="000000"/>
          <w:sz w:val="24"/>
          <w:szCs w:val="24"/>
          <w:highlight w:val="none"/>
        </w:rPr>
        <w:t>。</w:t>
      </w:r>
    </w:p>
    <w:p>
      <w:pPr>
        <w:adjustRightInd w:val="0"/>
        <w:snapToGrid w:val="0"/>
        <w:spacing w:line="360" w:lineRule="auto"/>
        <w:ind w:firstLine="475" w:firstLineChars="198"/>
        <w:rPr>
          <w:rFonts w:ascii="宋体" w:hAnsi="宋体" w:cs="宋体"/>
          <w:color w:val="000000"/>
          <w:sz w:val="24"/>
          <w:szCs w:val="24"/>
          <w:highlight w:val="none"/>
        </w:rPr>
      </w:pPr>
      <w:r>
        <w:rPr>
          <w:rFonts w:hint="eastAsia" w:ascii="宋体" w:hAnsi="宋体" w:cs="宋体"/>
          <w:color w:val="000000"/>
          <w:sz w:val="24"/>
          <w:szCs w:val="24"/>
          <w:highlight w:val="none"/>
        </w:rPr>
        <w:t>1.1.13 “附加工作酬金”是指</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完成附加工作，</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应给付</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的金额。</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1.1.14 “一方”是指</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或</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；“双方”是指</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和</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；“第三方”是指除</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和</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以外的有关方。</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1.1.15 “书面形式”是指合同书、信件和数据电文（包括电报、电传、传真、电子数据交换和电子邮件）等可以有形地表现所载内容的形式。</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1.1.16 “天”是指第一天零时至第二天零时的时间。</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1.1.17“月”是指按公历从一个月中任何一天开始的一个公历月时间。</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1.1.18 “不可抗力”是指</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和</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10" w:leftChars="100"/>
        <w:rPr>
          <w:rFonts w:ascii="宋体" w:hAnsi="宋体" w:cs="宋体"/>
          <w:color w:val="000000"/>
          <w:sz w:val="24"/>
          <w:szCs w:val="24"/>
          <w:highlight w:val="none"/>
        </w:rPr>
      </w:pPr>
      <w:r>
        <w:rPr>
          <w:rFonts w:hint="eastAsia" w:ascii="宋体" w:hAnsi="宋体" w:cs="宋体"/>
          <w:bCs/>
          <w:color w:val="000000"/>
          <w:sz w:val="24"/>
          <w:szCs w:val="24"/>
          <w:highlight w:val="none"/>
        </w:rPr>
        <w:t xml:space="preserve">1.2 </w:t>
      </w:r>
      <w:r>
        <w:rPr>
          <w:rFonts w:hint="eastAsia" w:ascii="宋体" w:hAnsi="宋体" w:cs="宋体"/>
          <w:color w:val="000000"/>
          <w:sz w:val="24"/>
          <w:szCs w:val="24"/>
          <w:highlight w:val="none"/>
        </w:rPr>
        <w:t>解释</w:t>
      </w:r>
    </w:p>
    <w:p>
      <w:pPr>
        <w:tabs>
          <w:tab w:val="left" w:pos="6140"/>
        </w:tabs>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1.2.1本合同使用中文书写、解释和说明。如专用条件约定使用两种及以上语言文字时，应以中文为准。</w:t>
      </w:r>
    </w:p>
    <w:p>
      <w:pPr>
        <w:tabs>
          <w:tab w:val="left" w:pos="6140"/>
        </w:tabs>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1.2.2 组成本合同的下列文件彼此应能相互解释、互为说明。除专用条件另有约定外，本合同文件的解释顺序如下：</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（1）协议书；</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（2）中标通知书（适用于招标工程）或委托书（适用于非招标工程）；</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（3）专用条件及附录A、附录B；</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（4）通用条件；</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（5）投标文件（适用于招标工程）或监理与相关服务建议书（适用于非招标工程）。</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双方签订的补充协议与其他文件发生矛盾或歧义时，属于同一类内容的文件，应以最新签署的为准。</w:t>
      </w:r>
    </w:p>
    <w:p>
      <w:pPr>
        <w:spacing w:line="360" w:lineRule="auto"/>
        <w:rPr>
          <w:rFonts w:ascii="宋体" w:hAnsi="宋体" w:cs="宋体"/>
          <w:b/>
          <w:color w:val="000000"/>
          <w:sz w:val="24"/>
          <w:szCs w:val="24"/>
          <w:highlight w:val="none"/>
        </w:rPr>
      </w:pPr>
      <w:r>
        <w:rPr>
          <w:rFonts w:hint="eastAsia" w:ascii="宋体" w:hAnsi="宋体" w:cs="宋体"/>
          <w:b/>
          <w:color w:val="000000"/>
          <w:sz w:val="24"/>
          <w:szCs w:val="24"/>
          <w:highlight w:val="none"/>
        </w:rPr>
        <w:t xml:space="preserve">2. </w:t>
      </w:r>
      <w:r>
        <w:rPr>
          <w:rFonts w:hint="eastAsia" w:ascii="宋体" w:hAnsi="宋体" w:cs="宋体"/>
          <w:b/>
          <w:color w:val="000000"/>
          <w:sz w:val="24"/>
          <w:szCs w:val="24"/>
          <w:highlight w:val="none"/>
          <w:lang w:eastAsia="zh-CN"/>
        </w:rPr>
        <w:t>承包人</w:t>
      </w:r>
      <w:r>
        <w:rPr>
          <w:rFonts w:hint="eastAsia" w:ascii="宋体" w:hAnsi="宋体" w:cs="宋体"/>
          <w:b/>
          <w:color w:val="000000"/>
          <w:sz w:val="24"/>
          <w:szCs w:val="24"/>
          <w:highlight w:val="none"/>
        </w:rPr>
        <w:t>的义务</w:t>
      </w:r>
    </w:p>
    <w:p>
      <w:pPr>
        <w:adjustRightInd w:val="0"/>
        <w:snapToGrid w:val="0"/>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2.1 监理的范围和工作内容</w:t>
      </w:r>
    </w:p>
    <w:p>
      <w:pPr>
        <w:adjustRightInd w:val="0"/>
        <w:snapToGrid w:val="0"/>
        <w:spacing w:line="360" w:lineRule="auto"/>
        <w:ind w:left="420" w:leftChars="200"/>
        <w:rPr>
          <w:rFonts w:ascii="宋体" w:hAnsi="宋体" w:cs="宋体"/>
          <w:color w:val="000000"/>
          <w:sz w:val="24"/>
          <w:szCs w:val="24"/>
          <w:highlight w:val="none"/>
        </w:rPr>
      </w:pPr>
      <w:r>
        <w:rPr>
          <w:rFonts w:hint="eastAsia" w:ascii="宋体" w:hAnsi="宋体" w:cs="宋体"/>
          <w:color w:val="000000"/>
          <w:sz w:val="24"/>
          <w:szCs w:val="24"/>
          <w:highlight w:val="none"/>
        </w:rPr>
        <w:t>2.1.1 监理范围在专用条件中约定。</w:t>
      </w:r>
    </w:p>
    <w:p>
      <w:pPr>
        <w:adjustRightInd w:val="0"/>
        <w:snapToGrid w:val="0"/>
        <w:spacing w:line="360" w:lineRule="auto"/>
        <w:ind w:left="420" w:leftChars="200"/>
        <w:rPr>
          <w:rFonts w:ascii="宋体" w:hAnsi="宋体" w:cs="宋体"/>
          <w:color w:val="000000"/>
          <w:sz w:val="24"/>
          <w:szCs w:val="24"/>
          <w:highlight w:val="none"/>
        </w:rPr>
      </w:pPr>
      <w:r>
        <w:rPr>
          <w:rFonts w:hint="eastAsia" w:ascii="宋体" w:hAnsi="宋体" w:cs="宋体"/>
          <w:color w:val="000000"/>
          <w:sz w:val="24"/>
          <w:szCs w:val="24"/>
          <w:highlight w:val="none"/>
        </w:rPr>
        <w:t>2.1.2 除专用条件另有约定外，监理工作内容包括但不仅限于以下工作：</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（1）收到工程设计文件后编制监理规划，并在第一次工地会议7天前报</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。根据有关规定和监理工作需要，编制监理实施细则；</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（2）熟悉工程设计文件，并参加由</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主持的图纸会审和设计交底会议；</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（3）参加由</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主持的第一次工地会议；主持监理例会并根据工程需要主持或参加专题会议；</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（4）审查施工承包人提交的施工组织设计，重点审查其中的质量安全技术措施、专项施工方案与工程建设强制性标准的符合性；</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（5）检查施工承包人工程质量、安全生产管理制度及组织机构和人员资格； </w:t>
      </w:r>
    </w:p>
    <w:p>
      <w:pPr>
        <w:adjustRightInd w:val="0"/>
        <w:snapToGri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（6）检查施工承包人专职安全生产管理人员的配备情况；</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（7）审查施工承包人提交的施工进度计划，核查承包人对施工进度计划的调整；</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（8）检查施工承包人的试验室；</w:t>
      </w:r>
    </w:p>
    <w:p>
      <w:pPr>
        <w:adjustRightInd w:val="0"/>
        <w:snapToGri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（9）审核施工分包人资质条件；</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（10）查验施工承包人的施工测量放线成果；</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（11）审查工程开工条件，对条件具备的签发开工令；</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（13）审核施工承包人提交的工程款支付申请，签发或出具工程款支付证书，并报</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审核、批准；</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（14）在巡视、旁站和检验过程中，发现工程质量、施工安全存在事故隐患的，要求施工承包人整改并报</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（15）经</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同意，签发工程暂停令和复工令；</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（16）审查施工承包人提交的采用新材料、新工艺、新技术、新设备的论证材料及相关验收标准；</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（17）验收隐蔽工程、分部分项工程；</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（18）审查施工承包人提交的工程变更申请，协调处理施工进度调整、费用索赔、合同争议等事项；</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（19）监理单位应按甲方要求组织有关施工单位在工程竣工前二个月开始分户检查，发现问题及时督促整改，并做好每一户的检查及整改销项记录。</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（20）参加工程竣工验收，签署竣工验收意见；</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（21）审查施工承包人提交的竣工结算申请并报</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（22）编制、整理工程监理归档文件并报</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w:t>
      </w:r>
    </w:p>
    <w:p>
      <w:pPr>
        <w:spacing w:line="360" w:lineRule="auto"/>
        <w:ind w:left="420" w:leftChars="200"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t>2.1.3 相关服务的范围和内容在附录A中约定。</w:t>
      </w:r>
    </w:p>
    <w:p>
      <w:pPr>
        <w:spacing w:line="360" w:lineRule="auto"/>
        <w:ind w:firstLine="240" w:firstLineChars="100"/>
        <w:rPr>
          <w:rFonts w:ascii="宋体" w:hAnsi="宋体" w:cs="宋体"/>
          <w:bCs/>
          <w:color w:val="000000"/>
          <w:sz w:val="24"/>
          <w:szCs w:val="24"/>
          <w:highlight w:val="none"/>
        </w:rPr>
      </w:pPr>
      <w:r>
        <w:rPr>
          <w:rFonts w:hint="eastAsia" w:ascii="宋体" w:hAnsi="宋体" w:cs="宋体"/>
          <w:color w:val="000000"/>
          <w:sz w:val="24"/>
          <w:szCs w:val="24"/>
          <w:highlight w:val="none"/>
        </w:rPr>
        <w:t xml:space="preserve">2.2 </w:t>
      </w:r>
      <w:r>
        <w:rPr>
          <w:rFonts w:hint="eastAsia" w:ascii="宋体" w:hAnsi="宋体" w:cs="宋体"/>
          <w:bCs/>
          <w:color w:val="000000"/>
          <w:sz w:val="24"/>
          <w:szCs w:val="24"/>
          <w:highlight w:val="none"/>
        </w:rPr>
        <w:t>监理与相关服务依据</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2.2.1 监理依据包括：</w:t>
      </w:r>
    </w:p>
    <w:p>
      <w:pPr>
        <w:adjustRightInd w:val="0"/>
        <w:snapToGrid w:val="0"/>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（1）适用的法律、行政法规及部门规章；</w:t>
      </w:r>
    </w:p>
    <w:p>
      <w:pPr>
        <w:adjustRightInd w:val="0"/>
        <w:snapToGrid w:val="0"/>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（2）与工程有关的标准；</w:t>
      </w:r>
    </w:p>
    <w:p>
      <w:pPr>
        <w:adjustRightInd w:val="0"/>
        <w:snapToGrid w:val="0"/>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（3）工程设计及有关文件；</w:t>
      </w:r>
    </w:p>
    <w:p>
      <w:pPr>
        <w:adjustRightInd w:val="0"/>
        <w:snapToGrid w:val="0"/>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（4）本合同及</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与第三方签订的与实施工程有关的其他合同。</w:t>
      </w:r>
    </w:p>
    <w:p>
      <w:pPr>
        <w:spacing w:line="360" w:lineRule="auto"/>
        <w:ind w:left="210" w:leftChars="100"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双方根据工程的行业和地域特点，在专用条件中具体约定监理依据。</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2.2.2 相关服务依据在专用条件中约定。</w:t>
      </w:r>
    </w:p>
    <w:p>
      <w:pPr>
        <w:spacing w:line="360" w:lineRule="auto"/>
        <w:ind w:firstLine="240" w:firstLine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2.3 项目监理机构和人员</w:t>
      </w:r>
    </w:p>
    <w:p>
      <w:pPr>
        <w:adjustRightInd w:val="0"/>
        <w:snapToGrid w:val="0"/>
        <w:spacing w:line="360" w:lineRule="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2.3.1 </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应组建满足工作需要的项目监理机构，配备必要的检测设备。项目监理机构的主要人员应具有相应的资格条件。</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2.3.2本合同履行过程中，总监理工程师及重要岗位</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员应保持相对稳定，以保证监理工作正常进行。</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2.3.3</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可根据工程进展和工作需要调整项目监理机构人员。</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更换总监理工程师时，应提前7天向</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书面报告，经</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同意后方可更换；</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更换项目监理机构其他</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员，应以相当资格与能力的人员替换，并通知</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2.3.4 </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应及时更换有下列情形之一的</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员：</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（1）严重过失行为的；</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（2）有违法行为不能履行职责的；</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（3）涉嫌犯罪的；</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（4）不能胜任岗位职责的；</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（5）严重违反职业道德的；</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（6）专用条件约定的其他情形。</w:t>
      </w:r>
    </w:p>
    <w:p>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2.3.5 </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可要求</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更换不能胜任本职工作的项目监理机构人员。</w:t>
      </w:r>
    </w:p>
    <w:p>
      <w:pPr>
        <w:spacing w:line="360" w:lineRule="auto"/>
        <w:ind w:left="210" w:left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2.4 履行职责</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应遵循职业道德准则和行为规范，严格按照法律法规、工程建设有关标准及本合同履行职责。</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2.4.1 在监理与相关服务范围内，</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和承包人提出的意见和要求，</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应及时提出处置意见。当</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与承包人之间发生合同争议时，</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应协助</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、承包人协商解决。</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2.4.2 当</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与承包人之间的合同争议提交仲裁机构仲裁或人民法院审理时，</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应提供必要的证明资料。</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2.4.3 </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应在专用条件约定的授权范围内，处理</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与承包人所签订合同的变更事宜。如果变更超过授权范围，应以书面形式报</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批准。</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在紧急情况下，为了保护财产和人身安全，</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所发出的指令未能事先报</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批准时，应在发出指令后的24小时内以书面形式报</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w:t>
      </w:r>
    </w:p>
    <w:p>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2.4.4 除专用条件另有约定外，</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发现承包人的人员不能胜任本职工作的，有权要求承包人予以调换。</w:t>
      </w:r>
    </w:p>
    <w:p>
      <w:pPr>
        <w:spacing w:line="360" w:lineRule="auto"/>
        <w:ind w:left="210" w:left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2.5 提交报告</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应按专用条件约定的种类、时间和份数向</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提交监理与相关服务的报告。</w:t>
      </w:r>
    </w:p>
    <w:p>
      <w:pPr>
        <w:spacing w:line="360" w:lineRule="auto"/>
        <w:ind w:left="210" w:left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2.6 文件资料</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在本合同履行期内，</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应在现场保留工作所用的图纸、报告及记录监理工</w:t>
      </w:r>
      <w:r>
        <w:rPr>
          <w:rFonts w:hint="eastAsia" w:ascii="宋体" w:hAnsi="宋体" w:cs="宋体"/>
          <w:color w:val="000000"/>
          <w:sz w:val="24"/>
          <w:szCs w:val="24"/>
          <w:highlight w:val="none"/>
        </w:rPr>
        <w:t>作的相关文件。工程竣工后，应当按照档案管理规定将监理有关文件归档。</w:t>
      </w:r>
    </w:p>
    <w:p>
      <w:pPr>
        <w:spacing w:line="360" w:lineRule="auto"/>
        <w:ind w:left="210" w:left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2.7 使用</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的财产</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无偿使用附录B中由</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派遣的人员和提供的</w:t>
      </w:r>
      <w:r>
        <w:rPr>
          <w:rFonts w:hint="eastAsia" w:ascii="宋体" w:hAnsi="宋体" w:cs="宋体"/>
          <w:color w:val="000000"/>
          <w:sz w:val="24"/>
          <w:szCs w:val="24"/>
          <w:highlight w:val="none"/>
          <w:lang w:val="en-US" w:eastAsia="zh-CN"/>
        </w:rPr>
        <w:t>办公场地</w:t>
      </w:r>
      <w:r>
        <w:rPr>
          <w:rFonts w:hint="eastAsia" w:ascii="宋体" w:hAnsi="宋体" w:cs="宋体"/>
          <w:color w:val="000000"/>
          <w:sz w:val="24"/>
          <w:szCs w:val="24"/>
          <w:highlight w:val="none"/>
        </w:rPr>
        <w:t>、资料。除专用条件另有约定外，</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提供的</w:t>
      </w:r>
      <w:r>
        <w:rPr>
          <w:rFonts w:hint="eastAsia" w:ascii="宋体" w:hAnsi="宋体" w:cs="宋体"/>
          <w:color w:val="000000"/>
          <w:sz w:val="24"/>
          <w:szCs w:val="24"/>
          <w:highlight w:val="none"/>
          <w:lang w:val="en-US" w:eastAsia="zh-CN"/>
        </w:rPr>
        <w:t>办公场地</w:t>
      </w:r>
      <w:r>
        <w:rPr>
          <w:rFonts w:hint="eastAsia" w:ascii="宋体" w:hAnsi="宋体" w:cs="宋体"/>
          <w:color w:val="000000"/>
          <w:sz w:val="24"/>
          <w:szCs w:val="24"/>
          <w:highlight w:val="none"/>
        </w:rPr>
        <w:t>属于</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的财产，</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应妥善使用和保管，在本合同终止时将这些</w:t>
      </w:r>
      <w:r>
        <w:rPr>
          <w:rFonts w:hint="eastAsia" w:ascii="宋体" w:hAnsi="宋体" w:cs="宋体"/>
          <w:color w:val="000000"/>
          <w:sz w:val="24"/>
          <w:szCs w:val="24"/>
          <w:highlight w:val="none"/>
          <w:lang w:val="en-US" w:eastAsia="zh-CN"/>
        </w:rPr>
        <w:t>办公场地</w:t>
      </w:r>
      <w:r>
        <w:rPr>
          <w:rFonts w:hint="eastAsia" w:ascii="宋体" w:hAnsi="宋体" w:cs="宋体"/>
          <w:color w:val="000000"/>
          <w:sz w:val="24"/>
          <w:szCs w:val="24"/>
          <w:highlight w:val="none"/>
        </w:rPr>
        <w:t>的清单提交</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，并按专用条件约定的时间和方式移交。</w:t>
      </w:r>
    </w:p>
    <w:p>
      <w:pPr>
        <w:spacing w:line="360" w:lineRule="auto"/>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3．</w:t>
      </w:r>
      <w:r>
        <w:rPr>
          <w:rFonts w:hint="eastAsia" w:ascii="宋体" w:hAnsi="宋体" w:cs="宋体"/>
          <w:b/>
          <w:color w:val="000000"/>
          <w:kern w:val="0"/>
          <w:sz w:val="24"/>
          <w:szCs w:val="24"/>
          <w:highlight w:val="none"/>
          <w:lang w:eastAsia="zh-CN"/>
        </w:rPr>
        <w:t>发包人</w:t>
      </w:r>
      <w:r>
        <w:rPr>
          <w:rFonts w:hint="eastAsia" w:ascii="宋体" w:hAnsi="宋体" w:cs="宋体"/>
          <w:b/>
          <w:color w:val="000000"/>
          <w:kern w:val="0"/>
          <w:sz w:val="24"/>
          <w:szCs w:val="24"/>
          <w:highlight w:val="none"/>
        </w:rPr>
        <w:t>的义务</w:t>
      </w:r>
    </w:p>
    <w:p>
      <w:pPr>
        <w:spacing w:line="360" w:lineRule="auto"/>
        <w:ind w:left="210" w:left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3.1 告知</w:t>
      </w:r>
    </w:p>
    <w:p>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应在</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与承包人签订的合同中明确</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、总监理工程师和授予项目监理机构的权限。如有变更，应及时通知承包人。</w:t>
      </w:r>
    </w:p>
    <w:p>
      <w:pPr>
        <w:spacing w:line="360" w:lineRule="auto"/>
        <w:ind w:left="210" w:left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 提供资料</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应按照附录B约定，无偿向</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提供工程有关的资料。</w:t>
      </w:r>
      <w:r>
        <w:rPr>
          <w:rFonts w:hint="eastAsia" w:ascii="宋体" w:hAnsi="宋体" w:cs="宋体"/>
          <w:color w:val="000000"/>
          <w:sz w:val="24"/>
          <w:szCs w:val="24"/>
          <w:highlight w:val="none"/>
        </w:rPr>
        <w:t>在本合同履行过程中，</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应及时向</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提供最新的与工程有关的资料。</w:t>
      </w:r>
    </w:p>
    <w:p>
      <w:pPr>
        <w:spacing w:line="360" w:lineRule="auto"/>
        <w:ind w:left="210" w:left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 提供工作条件</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应为</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完成监理与相关服务提供必要的条件。</w:t>
      </w:r>
    </w:p>
    <w:p>
      <w:pPr>
        <w:adjustRightInd w:val="0"/>
        <w:snapToGrid w:val="0"/>
        <w:spacing w:line="360" w:lineRule="auto"/>
        <w:ind w:firstLine="480" w:firstLineChars="200"/>
        <w:rPr>
          <w:rFonts w:ascii="宋体" w:hAnsi="宋体" w:cs="宋体"/>
          <w:color w:val="0000FF"/>
          <w:sz w:val="24"/>
          <w:szCs w:val="24"/>
          <w:highlight w:val="none"/>
        </w:rPr>
      </w:pPr>
      <w:r>
        <w:rPr>
          <w:rFonts w:hint="eastAsia" w:ascii="宋体" w:hAnsi="宋体" w:cs="宋体"/>
          <w:color w:val="0000FF"/>
          <w:kern w:val="0"/>
          <w:sz w:val="24"/>
          <w:szCs w:val="24"/>
          <w:highlight w:val="none"/>
        </w:rPr>
        <w:t xml:space="preserve">3.3.1 </w:t>
      </w:r>
      <w:r>
        <w:rPr>
          <w:rFonts w:hint="eastAsia" w:ascii="宋体" w:hAnsi="宋体" w:cs="宋体"/>
          <w:color w:val="0000FF"/>
          <w:sz w:val="24"/>
          <w:szCs w:val="24"/>
          <w:highlight w:val="none"/>
          <w:lang w:eastAsia="zh-CN"/>
        </w:rPr>
        <w:t>发包人</w:t>
      </w:r>
      <w:r>
        <w:rPr>
          <w:rFonts w:hint="eastAsia" w:ascii="宋体" w:hAnsi="宋体" w:cs="宋体"/>
          <w:color w:val="0000FF"/>
          <w:sz w:val="24"/>
          <w:szCs w:val="24"/>
          <w:highlight w:val="none"/>
        </w:rPr>
        <w:t>应按照附录B约定，提供</w:t>
      </w:r>
      <w:r>
        <w:rPr>
          <w:rFonts w:hint="eastAsia" w:ascii="宋体" w:hAnsi="宋体" w:cs="宋体"/>
          <w:color w:val="0000FF"/>
          <w:sz w:val="24"/>
          <w:szCs w:val="24"/>
          <w:highlight w:val="none"/>
          <w:lang w:val="en-US" w:eastAsia="zh-CN"/>
        </w:rPr>
        <w:t>办公场地</w:t>
      </w:r>
      <w:r>
        <w:rPr>
          <w:rFonts w:hint="eastAsia" w:ascii="宋体" w:hAnsi="宋体" w:cs="宋体"/>
          <w:color w:val="0000FF"/>
          <w:sz w:val="24"/>
          <w:szCs w:val="24"/>
          <w:highlight w:val="none"/>
        </w:rPr>
        <w:t>，供</w:t>
      </w:r>
      <w:r>
        <w:rPr>
          <w:rFonts w:hint="eastAsia" w:ascii="宋体" w:hAnsi="宋体" w:cs="宋体"/>
          <w:color w:val="0000FF"/>
          <w:sz w:val="24"/>
          <w:szCs w:val="24"/>
          <w:highlight w:val="none"/>
          <w:lang w:eastAsia="zh-CN"/>
        </w:rPr>
        <w:t>承包人</w:t>
      </w:r>
      <w:r>
        <w:rPr>
          <w:rFonts w:hint="eastAsia" w:ascii="宋体" w:hAnsi="宋体" w:cs="宋体"/>
          <w:color w:val="0000FF"/>
          <w:kern w:val="0"/>
          <w:sz w:val="24"/>
          <w:szCs w:val="24"/>
          <w:highlight w:val="none"/>
        </w:rPr>
        <w:t>无偿</w:t>
      </w:r>
      <w:r>
        <w:rPr>
          <w:rFonts w:hint="eastAsia" w:ascii="宋体" w:hAnsi="宋体" w:cs="宋体"/>
          <w:color w:val="0000FF"/>
          <w:sz w:val="24"/>
          <w:szCs w:val="24"/>
          <w:highlight w:val="none"/>
        </w:rPr>
        <w:t>使用。</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 xml:space="preserve">3.3.2 </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应负责协调工程建设中所有外部关系，为</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履行本合同提供必要的外部条件。</w:t>
      </w:r>
    </w:p>
    <w:p>
      <w:pPr>
        <w:snapToGrid w:val="0"/>
        <w:spacing w:line="360" w:lineRule="auto"/>
        <w:ind w:left="210" w:left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3.4 </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代表</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应授权一名熟悉工程情况的代表，负责与</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联系。</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应在双方签订本合同后7天内，将</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代表的姓名和职责书面告知</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。当</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更换</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代表时，应提前7天通知</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w:t>
      </w:r>
    </w:p>
    <w:p>
      <w:pPr>
        <w:snapToGrid w:val="0"/>
        <w:spacing w:line="360" w:lineRule="auto"/>
        <w:ind w:left="210" w:left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3.5 </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意见或要求</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在本合同约定的监理与相关服务工作范围内，</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对承包人的任何意见或要求应通知</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，由</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向承包人发出相应指令。</w:t>
      </w:r>
    </w:p>
    <w:p>
      <w:pPr>
        <w:snapToGrid w:val="0"/>
        <w:spacing w:line="360" w:lineRule="auto"/>
        <w:ind w:left="210" w:left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3.6 答复</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应在专用条件约定的时间内，对</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以书面形式提交并要求作出决定的事宜，给予书面答复。逾期未答复的，视为</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认可。</w:t>
      </w:r>
    </w:p>
    <w:p>
      <w:pPr>
        <w:snapToGrid w:val="0"/>
        <w:spacing w:line="360" w:lineRule="auto"/>
        <w:ind w:left="210" w:left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3.7 支付</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应按本合同约定，向</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支付酬金。</w:t>
      </w:r>
    </w:p>
    <w:p>
      <w:pPr>
        <w:snapToGrid w:val="0"/>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4. 违约责任</w:t>
      </w:r>
    </w:p>
    <w:p>
      <w:pPr>
        <w:spacing w:line="360" w:lineRule="auto"/>
        <w:ind w:left="210" w:left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4.1 </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的违约责任</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未履行本合同义务的，应承担相应的责任。</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4.1.1 因</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违反本合同约定</w:t>
      </w:r>
      <w:r>
        <w:rPr>
          <w:rFonts w:hint="eastAsia" w:ascii="宋体" w:hAnsi="宋体" w:cs="宋体"/>
          <w:color w:val="000000"/>
          <w:sz w:val="24"/>
          <w:szCs w:val="24"/>
          <w:highlight w:val="none"/>
        </w:rPr>
        <w:t>给</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造成损失的，</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应当赔偿</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损失</w:t>
      </w:r>
      <w:r>
        <w:rPr>
          <w:rFonts w:hint="eastAsia" w:ascii="宋体" w:hAnsi="宋体" w:cs="宋体"/>
          <w:color w:val="000000"/>
          <w:kern w:val="0"/>
          <w:sz w:val="24"/>
          <w:szCs w:val="24"/>
          <w:highlight w:val="none"/>
        </w:rPr>
        <w:t>。赔偿金额的确定方法在专用条件中约定。</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承担部分赔偿责任的，其承担赔偿金额由双方协商确定。</w:t>
      </w:r>
    </w:p>
    <w:p>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4.1.2 </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向</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的索赔不成立时，</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应赔偿</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由此发生的费用。</w:t>
      </w:r>
    </w:p>
    <w:p>
      <w:pPr>
        <w:snapToGrid w:val="0"/>
        <w:spacing w:line="360" w:lineRule="auto"/>
        <w:ind w:firstLine="240" w:firstLine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4.2 </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的违约责任</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未履行本合同义务的，应承担相应的责任。</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4.2.1 </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违反本合同约定造成</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损失的，</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应予以赔偿。</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4.2.2 </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向</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的索赔不成立时，应赔偿</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由此引起的费用。</w:t>
      </w:r>
    </w:p>
    <w:p>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sz w:val="24"/>
          <w:szCs w:val="24"/>
          <w:highlight w:val="none"/>
        </w:rPr>
        <w:t xml:space="preserve">4.2.3 </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未能按期支付</w:t>
      </w:r>
      <w:r>
        <w:rPr>
          <w:rFonts w:hint="eastAsia" w:ascii="宋体" w:hAnsi="宋体" w:cs="宋体"/>
          <w:color w:val="000000"/>
          <w:sz w:val="24"/>
          <w:szCs w:val="24"/>
          <w:highlight w:val="none"/>
        </w:rPr>
        <w:t>酬金</w:t>
      </w:r>
      <w:r>
        <w:rPr>
          <w:rFonts w:hint="eastAsia" w:ascii="宋体" w:hAnsi="宋体" w:cs="宋体"/>
          <w:color w:val="000000"/>
          <w:kern w:val="0"/>
          <w:sz w:val="24"/>
          <w:szCs w:val="24"/>
          <w:highlight w:val="none"/>
        </w:rPr>
        <w:t>超过28天，应按专用条件约定支付逾期付款利息。</w:t>
      </w:r>
    </w:p>
    <w:p>
      <w:pPr>
        <w:spacing w:line="360" w:lineRule="auto"/>
        <w:ind w:firstLine="240" w:firstLine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4.3 除外责任</w:t>
      </w:r>
    </w:p>
    <w:p>
      <w:pPr>
        <w:adjustRightInd w:val="0"/>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因非</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的原因，且</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无过错，发生工程质量事故、安全事故、工期延误等造成的损失，</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不承担赔偿责任。</w:t>
      </w:r>
    </w:p>
    <w:p>
      <w:pPr>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因不可抗力导致本合同全部或部分不能履行时，双方各自承担其因此而造成的损失、损害。</w:t>
      </w:r>
    </w:p>
    <w:p>
      <w:pPr>
        <w:snapToGrid w:val="0"/>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5. 支付</w:t>
      </w:r>
    </w:p>
    <w:p>
      <w:pPr>
        <w:snapToGrid w:val="0"/>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 xml:space="preserve">5.1 </w:t>
      </w:r>
      <w:r>
        <w:rPr>
          <w:rFonts w:hint="eastAsia" w:ascii="宋体" w:hAnsi="宋体" w:cs="宋体"/>
          <w:bCs/>
          <w:color w:val="000000"/>
          <w:sz w:val="24"/>
          <w:szCs w:val="24"/>
          <w:highlight w:val="none"/>
        </w:rPr>
        <w:t>支付货币</w:t>
      </w:r>
    </w:p>
    <w:p>
      <w:pPr>
        <w:snapToGrid w:val="0"/>
        <w:spacing w:line="360" w:lineRule="auto"/>
        <w:ind w:firstLine="480" w:firstLineChars="200"/>
        <w:rPr>
          <w:rFonts w:ascii="宋体" w:hAnsi="宋体" w:cs="宋体"/>
          <w:bCs/>
          <w:color w:val="000000"/>
          <w:sz w:val="24"/>
          <w:szCs w:val="24"/>
          <w:highlight w:val="none"/>
        </w:rPr>
      </w:pPr>
      <w:r>
        <w:rPr>
          <w:rFonts w:hint="eastAsia" w:ascii="宋体" w:hAnsi="宋体" w:cs="宋体"/>
          <w:color w:val="000000"/>
          <w:sz w:val="24"/>
          <w:szCs w:val="24"/>
          <w:highlight w:val="none"/>
        </w:rPr>
        <w:t>除专用条件另有约定外，酬金均以人民币支付。涉及外币支付的，所采用的货币种类、比例和汇率在专用条件中约定。</w:t>
      </w:r>
    </w:p>
    <w:p>
      <w:pPr>
        <w:snapToGrid w:val="0"/>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5.2 支付申请</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应在本合同约定的每次应付款时间的7天前，向</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提交支付申请书。支付申请书应当说明当期应付款总额，并列出当期应支付的款项及其金额。</w:t>
      </w:r>
    </w:p>
    <w:p>
      <w:pPr>
        <w:snapToGri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5.3 支付酬金</w:t>
      </w:r>
    </w:p>
    <w:p>
      <w:pPr>
        <w:snapToGrid w:val="0"/>
        <w:spacing w:line="360" w:lineRule="auto"/>
        <w:ind w:firstLine="480"/>
        <w:rPr>
          <w:rFonts w:ascii="宋体" w:hAnsi="宋体" w:cs="宋体"/>
          <w:color w:val="000000"/>
          <w:sz w:val="24"/>
          <w:szCs w:val="24"/>
          <w:highlight w:val="none"/>
        </w:rPr>
      </w:pPr>
      <w:r>
        <w:rPr>
          <w:rFonts w:hint="eastAsia" w:ascii="宋体" w:hAnsi="宋体" w:cs="宋体"/>
          <w:color w:val="000000"/>
          <w:sz w:val="24"/>
          <w:szCs w:val="24"/>
          <w:highlight w:val="none"/>
        </w:rPr>
        <w:t>支付的酬金包括正常工作酬金、附加工作酬金、合理化建议奖励金额及费用。</w:t>
      </w:r>
    </w:p>
    <w:p>
      <w:pPr>
        <w:snapToGrid w:val="0"/>
        <w:spacing w:line="360" w:lineRule="auto"/>
        <w:rPr>
          <w:rFonts w:ascii="宋体" w:hAnsi="宋体" w:cs="宋体"/>
          <w:bCs/>
          <w:color w:val="000000"/>
          <w:sz w:val="24"/>
          <w:szCs w:val="24"/>
          <w:highlight w:val="none"/>
        </w:rPr>
      </w:pPr>
      <w:r>
        <w:rPr>
          <w:rFonts w:hint="eastAsia" w:ascii="宋体" w:hAnsi="宋体" w:cs="宋体"/>
          <w:color w:val="000000"/>
          <w:sz w:val="24"/>
          <w:szCs w:val="24"/>
          <w:highlight w:val="none"/>
        </w:rPr>
        <w:t xml:space="preserve"> 5.4 </w:t>
      </w:r>
      <w:r>
        <w:rPr>
          <w:rFonts w:hint="eastAsia" w:ascii="宋体" w:hAnsi="宋体" w:cs="宋体"/>
          <w:bCs/>
          <w:color w:val="000000"/>
          <w:sz w:val="24"/>
          <w:szCs w:val="24"/>
          <w:highlight w:val="none"/>
        </w:rPr>
        <w:t>有争议部分的付款</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对</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提交的支付申请书有异议时，应当在收到</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提交的支付申请书后7天内，以书面形式向</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发出异议通知。无异议部分的款项应按期支付，有异议部分的款项按第7条约定办理。</w:t>
      </w:r>
    </w:p>
    <w:p>
      <w:pPr>
        <w:snapToGrid w:val="0"/>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6. 合同生效、变更、暂停、解除与终止</w:t>
      </w:r>
    </w:p>
    <w:p>
      <w:pPr>
        <w:spacing w:line="360" w:lineRule="auto"/>
        <w:ind w:left="210" w:leftChars="100"/>
        <w:rPr>
          <w:rFonts w:ascii="宋体" w:hAnsi="宋体" w:cs="宋体"/>
          <w:color w:val="000000"/>
          <w:sz w:val="24"/>
          <w:szCs w:val="24"/>
          <w:highlight w:val="none"/>
        </w:rPr>
      </w:pPr>
      <w:r>
        <w:rPr>
          <w:rFonts w:hint="eastAsia" w:ascii="宋体" w:hAnsi="宋体" w:cs="宋体"/>
          <w:color w:val="000000"/>
          <w:sz w:val="24"/>
          <w:szCs w:val="24"/>
          <w:highlight w:val="none"/>
        </w:rPr>
        <w:t>6.1生效</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除法律另有规定或者专用条件另有约定外，</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和</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的法定代表人或其授权代理人在协议书上签字并盖单位章后本合同生效。</w:t>
      </w:r>
    </w:p>
    <w:p>
      <w:pPr>
        <w:snapToGrid w:val="0"/>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6.2</w:t>
      </w:r>
      <w:r>
        <w:rPr>
          <w:rFonts w:hint="eastAsia" w:ascii="宋体" w:hAnsi="宋体" w:cs="宋体"/>
          <w:bCs/>
          <w:color w:val="000000"/>
          <w:sz w:val="24"/>
          <w:szCs w:val="24"/>
          <w:highlight w:val="none"/>
        </w:rPr>
        <w:t>变更</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6.2.1 任何一方提出变更请求时，双方经协商一致后可进行变更。</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6.2.2除不可抗力外，因非</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原因导致</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履行合同期限延长、内容增加时，</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应当将此情况与可能产生的影响及时通知</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。增加的监理工作时间、工作内容应视为附加工作。附加工作酬金的确定方法在专用条件中约定。</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6.2.3合同生效后，如果实际情况发生变化使得</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不能完成全部或部分工作时，</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应立即通知</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。除不可抗力外，其善后工作以及恢复服务的准备工作应为附加工作，附加工作酬金的确定方法在专用条件中约定。</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用于恢复服务的准备时间不应超过28天。</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6.2.4合同签订后，遇有与工程相关的法律法规、标准颁布或修订的，双方应遵照执行。由此引起监理与相关服务的范围、时间、酬金变化的，双方应通过协商进行相应调整。</w:t>
      </w:r>
    </w:p>
    <w:p>
      <w:pPr>
        <w:snapToGrid w:val="0"/>
        <w:spacing w:line="360" w:lineRule="auto"/>
        <w:rPr>
          <w:rFonts w:ascii="宋体" w:hAnsi="宋体" w:cs="宋体"/>
          <w:bCs/>
          <w:color w:val="000000"/>
          <w:sz w:val="24"/>
          <w:szCs w:val="24"/>
          <w:highlight w:val="none"/>
        </w:rPr>
      </w:pPr>
      <w:r>
        <w:rPr>
          <w:rFonts w:hint="eastAsia" w:ascii="宋体" w:hAnsi="宋体" w:cs="宋体"/>
          <w:color w:val="000000"/>
          <w:sz w:val="24"/>
          <w:szCs w:val="24"/>
          <w:highlight w:val="none"/>
        </w:rPr>
        <w:t xml:space="preserve">  6.3 暂停与</w:t>
      </w:r>
      <w:r>
        <w:rPr>
          <w:rFonts w:hint="eastAsia" w:ascii="宋体" w:hAnsi="宋体" w:cs="宋体"/>
          <w:bCs/>
          <w:color w:val="000000"/>
          <w:sz w:val="24"/>
          <w:szCs w:val="24"/>
          <w:highlight w:val="none"/>
        </w:rPr>
        <w:t>解除</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6.3.1 在本合同有效期内，由于双方无法预见和控制的原因导致本合同全部或部分无法继续履行或继续履行已无意义，经双方协商一致，可以解除本合同或</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的部分义务。在解除之前，</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应作出合理安排，使开支减至最小。</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因解除本合同或解除</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的部分义务导致</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遭受的损失，除依法可以免除责任的情况外，应由</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予以补偿，补偿金额由双方协商确定。</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解除本合同的协议必须采取书面形式，协议未达成之前，本合同仍然有效。</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6.3.2 在本合同有效期内，因非</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的原因导致工程施工全部或部分暂停，</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可通知</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要求暂停全部或部分工作。</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应立即安排停止工作，并将开支减至最小。除不可抗力外，由此导致</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遭受的损失应由</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予以补偿。</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6.3.3 当</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无正当理由未履行本合同约定的义务时，</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应通知</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限期改正。若</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在</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接到通知后的7天内未收到</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书面形式的合理解释，则可在7天内发出解除本合同的通知，自通知到达</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时本合同解除。</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应将监理与相关服务</w:t>
      </w:r>
      <w:r>
        <w:rPr>
          <w:rFonts w:hint="eastAsia" w:ascii="宋体" w:hAnsi="宋体" w:cs="宋体"/>
          <w:color w:val="000000"/>
          <w:kern w:val="0"/>
          <w:sz w:val="24"/>
          <w:szCs w:val="24"/>
          <w:highlight w:val="none"/>
        </w:rPr>
        <w:t>的</w:t>
      </w:r>
      <w:r>
        <w:rPr>
          <w:rFonts w:hint="eastAsia" w:ascii="宋体" w:hAnsi="宋体" w:cs="宋体"/>
          <w:color w:val="000000"/>
          <w:sz w:val="24"/>
          <w:szCs w:val="24"/>
          <w:highlight w:val="none"/>
        </w:rPr>
        <w:t>酬金支付至</w:t>
      </w:r>
      <w:r>
        <w:rPr>
          <w:rFonts w:hint="eastAsia" w:ascii="宋体" w:hAnsi="宋体" w:cs="宋体"/>
          <w:color w:val="000000"/>
          <w:kern w:val="0"/>
          <w:sz w:val="24"/>
          <w:szCs w:val="24"/>
          <w:highlight w:val="none"/>
        </w:rPr>
        <w:t>限期改正通知到达</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之日</w:t>
      </w:r>
      <w:r>
        <w:rPr>
          <w:rFonts w:hint="eastAsia" w:ascii="宋体" w:hAnsi="宋体" w:cs="宋体"/>
          <w:color w:val="000000"/>
          <w:sz w:val="24"/>
          <w:szCs w:val="24"/>
          <w:highlight w:val="none"/>
        </w:rPr>
        <w:t>，但</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应承担第4.1款约定的责任。</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6.3.4 </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在专用条件5.3中约定的支付之日起28天后仍未收到</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按本合同约定应付的款项，可向</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发出催付通知。</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接到通知14天后仍未支付或未提出</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可以接受的延期支付安排，</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可向</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发出暂停工作的通知并可自行暂停全部或部分工作。暂停工作后14天内</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仍未获得</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应付酬金或</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的合理答复，</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可向</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发出解除本合同的通知，自通知到达</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时本合同解除。</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应承担第4.2.3款约定的责任。</w:t>
      </w:r>
    </w:p>
    <w:p>
      <w:pPr>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sz w:val="24"/>
          <w:szCs w:val="24"/>
          <w:highlight w:val="none"/>
        </w:rPr>
        <w:t>6.3.5 因不可抗力致使本合同部分或全部不能履行时，一方应立即通知另一方，可暂停或解除本合同。</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6.3.6 本合同解除后，本合同约定的有关结算、清理、争议解决方式的条件仍然有效。</w:t>
      </w:r>
    </w:p>
    <w:p>
      <w:pPr>
        <w:snapToGrid w:val="0"/>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 xml:space="preserve">6.4 </w:t>
      </w:r>
      <w:r>
        <w:rPr>
          <w:rFonts w:hint="eastAsia" w:ascii="宋体" w:hAnsi="宋体" w:cs="宋体"/>
          <w:bCs/>
          <w:color w:val="000000"/>
          <w:sz w:val="24"/>
          <w:szCs w:val="24"/>
          <w:highlight w:val="none"/>
        </w:rPr>
        <w:t>终止</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以下条件全部满足时，本合同即告终止：</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完成本合同约定的全部工作；</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与</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结清并支付全部酬金。</w:t>
      </w:r>
    </w:p>
    <w:p>
      <w:pPr>
        <w:snapToGrid w:val="0"/>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7. 争议解决</w:t>
      </w:r>
    </w:p>
    <w:p>
      <w:pPr>
        <w:snapToGrid w:val="0"/>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7.1</w:t>
      </w:r>
      <w:r>
        <w:rPr>
          <w:rFonts w:hint="eastAsia" w:ascii="宋体" w:hAnsi="宋体" w:cs="宋体"/>
          <w:bCs/>
          <w:color w:val="000000"/>
          <w:sz w:val="24"/>
          <w:szCs w:val="24"/>
          <w:highlight w:val="none"/>
        </w:rPr>
        <w:t>协商</w:t>
      </w:r>
    </w:p>
    <w:p>
      <w:pPr>
        <w:snapToGrid w:val="0"/>
        <w:spacing w:line="360" w:lineRule="auto"/>
        <w:ind w:firstLine="480" w:firstLineChars="200"/>
        <w:rPr>
          <w:rFonts w:ascii="宋体" w:hAnsi="宋体" w:cs="宋体"/>
          <w:bCs/>
          <w:color w:val="000000"/>
          <w:sz w:val="24"/>
          <w:szCs w:val="24"/>
          <w:highlight w:val="none"/>
        </w:rPr>
      </w:pPr>
      <w:r>
        <w:rPr>
          <w:rFonts w:hint="eastAsia" w:ascii="宋体" w:hAnsi="宋体" w:cs="宋体"/>
          <w:color w:val="000000"/>
          <w:sz w:val="24"/>
          <w:szCs w:val="24"/>
          <w:highlight w:val="none"/>
        </w:rPr>
        <w:t>双方应本着诚信原则协商解决彼此间的争议。</w:t>
      </w:r>
    </w:p>
    <w:p>
      <w:pPr>
        <w:snapToGrid w:val="0"/>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7.2</w:t>
      </w:r>
      <w:r>
        <w:rPr>
          <w:rFonts w:hint="eastAsia" w:ascii="宋体" w:hAnsi="宋体" w:cs="宋体"/>
          <w:bCs/>
          <w:color w:val="000000"/>
          <w:sz w:val="24"/>
          <w:szCs w:val="24"/>
          <w:highlight w:val="none"/>
        </w:rPr>
        <w:t>调解</w:t>
      </w:r>
    </w:p>
    <w:p>
      <w:pPr>
        <w:snapToGrid w:val="0"/>
        <w:spacing w:line="360" w:lineRule="auto"/>
        <w:ind w:firstLine="480" w:firstLineChars="200"/>
        <w:rPr>
          <w:rFonts w:ascii="宋体" w:hAnsi="宋体" w:cs="宋体"/>
          <w:bCs/>
          <w:color w:val="000000"/>
          <w:sz w:val="24"/>
          <w:szCs w:val="24"/>
          <w:highlight w:val="none"/>
        </w:rPr>
      </w:pPr>
      <w:r>
        <w:rPr>
          <w:rFonts w:hint="eastAsia" w:ascii="宋体" w:hAnsi="宋体" w:cs="宋体"/>
          <w:color w:val="000000"/>
          <w:sz w:val="24"/>
          <w:szCs w:val="24"/>
          <w:highlight w:val="none"/>
        </w:rPr>
        <w:t>如果双方不能在14天内或双方商定的其他时间内解决本合同争议，可以将其提交给专用条件约定的或事后达成协议的调解人进行调解。</w:t>
      </w:r>
    </w:p>
    <w:p>
      <w:pPr>
        <w:snapToGrid w:val="0"/>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7.3</w:t>
      </w:r>
      <w:r>
        <w:rPr>
          <w:rFonts w:hint="eastAsia" w:ascii="宋体" w:hAnsi="宋体" w:cs="宋体"/>
          <w:bCs/>
          <w:color w:val="000000"/>
          <w:sz w:val="24"/>
          <w:szCs w:val="24"/>
          <w:highlight w:val="none"/>
        </w:rPr>
        <w:t>仲裁或诉讼</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双方均有权不经调解直接向专用条件约定的仲裁机构申请仲裁或向有管辖权的人民法院提起诉讼。</w:t>
      </w:r>
    </w:p>
    <w:p>
      <w:pPr>
        <w:snapToGrid w:val="0"/>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8. 其他</w:t>
      </w:r>
    </w:p>
    <w:p>
      <w:pPr>
        <w:snapToGrid w:val="0"/>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 xml:space="preserve"> </w:t>
      </w:r>
      <w:r>
        <w:rPr>
          <w:rFonts w:hint="eastAsia" w:ascii="宋体" w:hAnsi="宋体" w:cs="宋体"/>
          <w:bCs/>
          <w:color w:val="000000"/>
          <w:sz w:val="24"/>
          <w:szCs w:val="24"/>
          <w:highlight w:val="none"/>
        </w:rPr>
        <w:t>检测费用</w:t>
      </w:r>
    </w:p>
    <w:p>
      <w:pPr>
        <w:snapToGrid w:val="0"/>
        <w:spacing w:line="360" w:lineRule="auto"/>
        <w:ind w:firstLine="480" w:firstLineChars="200"/>
        <w:rPr>
          <w:rFonts w:ascii="宋体" w:hAnsi="宋体" w:cs="宋体"/>
          <w:bCs/>
          <w:color w:val="000000"/>
          <w:sz w:val="24"/>
          <w:szCs w:val="24"/>
          <w:highlight w:val="none"/>
        </w:rPr>
      </w:pP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要求</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进行的材料和设备检测所发生的费用，由</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支付，支付时间在专用条件中约定。</w:t>
      </w:r>
    </w:p>
    <w:p>
      <w:pPr>
        <w:snapToGrid w:val="0"/>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w:t>
      </w:r>
      <w:r>
        <w:rPr>
          <w:rFonts w:hint="eastAsia" w:ascii="宋体" w:hAnsi="宋体" w:cs="宋体"/>
          <w:bCs/>
          <w:color w:val="000000"/>
          <w:sz w:val="24"/>
          <w:szCs w:val="24"/>
          <w:highlight w:val="none"/>
        </w:rPr>
        <w:t>咨询费用</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经</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同意，根据工程需要由</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组织的相关咨询论证会以及聘请相关专家等发生的费用由</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支付，支付时间在专用条件中约定。</w:t>
      </w:r>
    </w:p>
    <w:p>
      <w:pPr>
        <w:snapToGrid w:val="0"/>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3</w:t>
      </w:r>
      <w:r>
        <w:rPr>
          <w:rFonts w:hint="eastAsia" w:ascii="宋体" w:hAnsi="宋体" w:cs="宋体"/>
          <w:bCs/>
          <w:color w:val="000000"/>
          <w:sz w:val="24"/>
          <w:szCs w:val="24"/>
          <w:highlight w:val="none"/>
        </w:rPr>
        <w:t>守法诚信</w:t>
      </w:r>
    </w:p>
    <w:p>
      <w:pPr>
        <w:snapToGrid w:val="0"/>
        <w:spacing w:line="360" w:lineRule="auto"/>
        <w:ind w:firstLine="480" w:firstLineChars="200"/>
        <w:rPr>
          <w:rFonts w:ascii="宋体" w:hAnsi="宋体" w:cs="宋体"/>
          <w:bCs/>
          <w:color w:val="000000"/>
          <w:sz w:val="24"/>
          <w:szCs w:val="24"/>
          <w:highlight w:val="none"/>
        </w:rPr>
      </w:pP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及其工作人员不得从与实施工程有关的第三方处获得任何经济利益。</w:t>
      </w:r>
    </w:p>
    <w:p>
      <w:pPr>
        <w:snapToGrid w:val="0"/>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4</w:t>
      </w:r>
      <w:r>
        <w:rPr>
          <w:rFonts w:hint="eastAsia" w:ascii="宋体" w:hAnsi="宋体" w:cs="宋体"/>
          <w:bCs/>
          <w:color w:val="000000"/>
          <w:sz w:val="24"/>
          <w:szCs w:val="24"/>
          <w:highlight w:val="none"/>
        </w:rPr>
        <w:t>保密</w:t>
      </w:r>
    </w:p>
    <w:p>
      <w:pPr>
        <w:snapToGrid w:val="0"/>
        <w:spacing w:line="360" w:lineRule="auto"/>
        <w:ind w:firstLine="480" w:firstLineChars="200"/>
        <w:rPr>
          <w:rFonts w:ascii="宋体" w:hAnsi="宋体" w:cs="宋体"/>
          <w:bCs/>
          <w:color w:val="000000"/>
          <w:sz w:val="24"/>
          <w:szCs w:val="24"/>
          <w:highlight w:val="none"/>
        </w:rPr>
      </w:pPr>
      <w:r>
        <w:rPr>
          <w:rFonts w:hint="eastAsia" w:ascii="宋体" w:hAnsi="宋体" w:cs="宋体"/>
          <w:color w:val="000000"/>
          <w:sz w:val="24"/>
          <w:szCs w:val="24"/>
          <w:highlight w:val="none"/>
        </w:rPr>
        <w:t>双方不得泄露对方申明的保密资料，亦不得泄露与实施工程有关的第三方所提供的保密资料，保密事项在专用条件中约定。</w:t>
      </w:r>
    </w:p>
    <w:p>
      <w:pPr>
        <w:snapToGrid w:val="0"/>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 xml:space="preserve"> </w:t>
      </w:r>
      <w:r>
        <w:rPr>
          <w:rFonts w:hint="eastAsia" w:ascii="宋体" w:hAnsi="宋体" w:cs="宋体"/>
          <w:bCs/>
          <w:color w:val="000000"/>
          <w:sz w:val="24"/>
          <w:szCs w:val="24"/>
          <w:highlight w:val="none"/>
        </w:rPr>
        <w:t>通知</w:t>
      </w:r>
    </w:p>
    <w:p>
      <w:pPr>
        <w:snapToGrid w:val="0"/>
        <w:spacing w:line="360" w:lineRule="auto"/>
        <w:ind w:firstLine="480" w:firstLineChars="200"/>
        <w:rPr>
          <w:rFonts w:ascii="宋体" w:hAnsi="宋体" w:cs="宋体"/>
          <w:bCs/>
          <w:color w:val="000000"/>
          <w:sz w:val="24"/>
          <w:szCs w:val="24"/>
          <w:highlight w:val="none"/>
        </w:rPr>
      </w:pPr>
      <w:r>
        <w:rPr>
          <w:rFonts w:hint="eastAsia" w:ascii="宋体" w:hAnsi="宋体" w:cs="宋体"/>
          <w:color w:val="000000"/>
          <w:sz w:val="24"/>
          <w:szCs w:val="24"/>
          <w:highlight w:val="none"/>
        </w:rPr>
        <w:t>本合同涉及的通知均应当采用书面形式，并在送达对方时生效，收件人应书面签收。</w:t>
      </w:r>
    </w:p>
    <w:p>
      <w:pPr>
        <w:snapToGrid w:val="0"/>
        <w:spacing w:line="360" w:lineRule="auto"/>
        <w:ind w:left="210" w:leftChars="100"/>
        <w:rPr>
          <w:rFonts w:ascii="宋体" w:hAnsi="宋体" w:cs="宋体"/>
          <w:bCs/>
          <w:color w:val="00000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 xml:space="preserve"> </w:t>
      </w:r>
      <w:r>
        <w:rPr>
          <w:rFonts w:hint="eastAsia" w:ascii="宋体" w:hAnsi="宋体" w:cs="宋体"/>
          <w:bCs/>
          <w:color w:val="000000"/>
          <w:sz w:val="24"/>
          <w:szCs w:val="24"/>
          <w:highlight w:val="none"/>
        </w:rPr>
        <w:t>著作权</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对其编制的文件拥有著作权。</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可单独或与他人联合出版有关监理与相关服务的资料。除专用条件另有约定外，如果</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在本合同履行期间及本合同终止后两年内出版涉及本工程的有关监理与相关服务的资料，应当征得</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的同意。</w:t>
      </w:r>
    </w:p>
    <w:p>
      <w:pPr>
        <w:pageBreakBefore/>
        <w:spacing w:line="360" w:lineRule="auto"/>
        <w:jc w:val="center"/>
        <w:rPr>
          <w:rFonts w:ascii="宋体" w:hAnsi="宋体" w:cs="宋体"/>
          <w:b/>
          <w:color w:val="000000"/>
          <w:sz w:val="24"/>
          <w:szCs w:val="24"/>
          <w:highlight w:val="none"/>
        </w:rPr>
      </w:pPr>
      <w:r>
        <w:rPr>
          <w:rFonts w:hint="eastAsia" w:ascii="宋体" w:hAnsi="宋体" w:cs="宋体"/>
          <w:b/>
          <w:color w:val="000000"/>
          <w:sz w:val="24"/>
          <w:szCs w:val="24"/>
          <w:highlight w:val="none"/>
        </w:rPr>
        <w:t>第三部分  专用条件</w:t>
      </w:r>
    </w:p>
    <w:p>
      <w:pPr>
        <w:spacing w:line="360" w:lineRule="auto"/>
        <w:jc w:val="center"/>
        <w:rPr>
          <w:rFonts w:ascii="宋体" w:hAnsi="宋体" w:cs="宋体"/>
          <w:b/>
          <w:color w:val="000000"/>
          <w:sz w:val="24"/>
          <w:szCs w:val="24"/>
          <w:highlight w:val="none"/>
        </w:rPr>
      </w:pPr>
    </w:p>
    <w:p>
      <w:pPr>
        <w:adjustRightInd w:val="0"/>
        <w:snapToGrid w:val="0"/>
        <w:spacing w:line="360" w:lineRule="auto"/>
        <w:rPr>
          <w:rFonts w:ascii="宋体" w:hAnsi="宋体" w:cs="宋体"/>
          <w:b/>
          <w:color w:val="000000"/>
          <w:sz w:val="24"/>
          <w:szCs w:val="24"/>
          <w:highlight w:val="none"/>
        </w:rPr>
      </w:pPr>
      <w:r>
        <w:rPr>
          <w:rFonts w:hint="eastAsia" w:ascii="宋体" w:hAnsi="宋体" w:cs="宋体"/>
          <w:b/>
          <w:color w:val="000000"/>
          <w:sz w:val="24"/>
          <w:szCs w:val="24"/>
          <w:highlight w:val="none"/>
        </w:rPr>
        <w:t>1. 定义与解释</w:t>
      </w:r>
    </w:p>
    <w:p>
      <w:pPr>
        <w:adjustRightInd w:val="0"/>
        <w:snapToGri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1.2  解释</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1.2.1 本合同文件除使用中文外，还可用</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pPr>
        <w:adjustRightInd w:val="0"/>
        <w:snapToGrid w:val="0"/>
        <w:spacing w:line="360" w:lineRule="auto"/>
        <w:ind w:firstLine="480" w:firstLineChars="200"/>
        <w:rPr>
          <w:rFonts w:ascii="宋体" w:hAnsi="宋体" w:cs="宋体"/>
          <w:bCs/>
          <w:color w:val="000000"/>
          <w:sz w:val="24"/>
          <w:szCs w:val="24"/>
          <w:highlight w:val="none"/>
          <w:u w:val="single"/>
        </w:rPr>
      </w:pPr>
      <w:r>
        <w:rPr>
          <w:rFonts w:hint="eastAsia" w:ascii="宋体" w:hAnsi="宋体" w:cs="宋体"/>
          <w:color w:val="000000"/>
          <w:sz w:val="24"/>
          <w:szCs w:val="24"/>
          <w:highlight w:val="none"/>
        </w:rPr>
        <w:t>1.2.2 约定本合同文件的解释顺序为：</w:t>
      </w:r>
      <w:r>
        <w:rPr>
          <w:rFonts w:hint="eastAsia" w:ascii="宋体" w:hAnsi="宋体" w:cs="宋体"/>
          <w:bCs/>
          <w:color w:val="000000"/>
          <w:sz w:val="24"/>
          <w:szCs w:val="24"/>
          <w:highlight w:val="none"/>
          <w:u w:val="single"/>
        </w:rPr>
        <w:t>双方共同签署的补充协议与修正文件、本合同协议书、本合同附录、本合同专用条件、本合同通用条件。</w:t>
      </w:r>
    </w:p>
    <w:p>
      <w:pPr>
        <w:adjustRightInd w:val="0"/>
        <w:snapToGrid w:val="0"/>
        <w:spacing w:line="360" w:lineRule="auto"/>
        <w:ind w:firstLine="480" w:firstLineChars="200"/>
        <w:rPr>
          <w:rFonts w:ascii="宋体" w:hAnsi="宋体" w:cs="宋体"/>
          <w:bCs/>
          <w:color w:val="000000"/>
          <w:sz w:val="24"/>
          <w:szCs w:val="24"/>
          <w:highlight w:val="none"/>
          <w:u w:val="single"/>
        </w:rPr>
      </w:pPr>
      <w:r>
        <w:rPr>
          <w:rFonts w:hint="eastAsia" w:ascii="宋体" w:hAnsi="宋体" w:cs="宋体"/>
          <w:bCs/>
          <w:color w:val="000000"/>
          <w:sz w:val="24"/>
          <w:szCs w:val="24"/>
          <w:highlight w:val="none"/>
          <w:u w:val="single"/>
        </w:rPr>
        <w:t xml:space="preserve">上述合同文件应当互相解释，如果上述合同文件内容出现矛盾时，以解释顺序高的，即优先等级高的为准。同种类型文件中后形成文件的解释效力高于先形成的文件。 </w:t>
      </w:r>
    </w:p>
    <w:p>
      <w:pPr>
        <w:adjustRightInd w:val="0"/>
        <w:snapToGrid w:val="0"/>
        <w:spacing w:line="360" w:lineRule="auto"/>
        <w:rPr>
          <w:rFonts w:ascii="宋体" w:hAnsi="宋体" w:cs="宋体"/>
          <w:b/>
          <w:bCs/>
          <w:color w:val="000000"/>
          <w:sz w:val="24"/>
          <w:szCs w:val="24"/>
          <w:highlight w:val="none"/>
          <w:u w:val="single"/>
        </w:rPr>
      </w:pPr>
      <w:r>
        <w:rPr>
          <w:rFonts w:hint="eastAsia" w:ascii="宋体" w:hAnsi="宋体" w:cs="宋体"/>
          <w:b/>
          <w:color w:val="000000"/>
          <w:sz w:val="24"/>
          <w:szCs w:val="24"/>
          <w:highlight w:val="none"/>
        </w:rPr>
        <w:t xml:space="preserve">2. </w:t>
      </w:r>
      <w:r>
        <w:rPr>
          <w:rFonts w:hint="eastAsia" w:ascii="宋体" w:hAnsi="宋体" w:cs="宋体"/>
          <w:b/>
          <w:color w:val="000000"/>
          <w:sz w:val="24"/>
          <w:szCs w:val="24"/>
          <w:highlight w:val="none"/>
          <w:lang w:eastAsia="zh-CN"/>
        </w:rPr>
        <w:t>承包人</w:t>
      </w:r>
      <w:r>
        <w:rPr>
          <w:rFonts w:hint="eastAsia" w:ascii="宋体" w:hAnsi="宋体" w:cs="宋体"/>
          <w:b/>
          <w:color w:val="000000"/>
          <w:sz w:val="24"/>
          <w:szCs w:val="24"/>
          <w:highlight w:val="none"/>
        </w:rPr>
        <w:t>义务</w:t>
      </w:r>
    </w:p>
    <w:p>
      <w:pPr>
        <w:adjustRightInd w:val="0"/>
        <w:snapToGrid w:val="0"/>
        <w:spacing w:line="360" w:lineRule="auto"/>
        <w:ind w:firstLine="235" w:firstLineChars="98"/>
        <w:rPr>
          <w:rFonts w:ascii="宋体" w:hAnsi="宋体" w:cs="宋体"/>
          <w:color w:val="000000"/>
          <w:sz w:val="24"/>
          <w:szCs w:val="24"/>
          <w:highlight w:val="none"/>
        </w:rPr>
      </w:pPr>
      <w:r>
        <w:rPr>
          <w:rFonts w:hint="eastAsia" w:ascii="宋体" w:hAnsi="宋体" w:cs="宋体"/>
          <w:color w:val="000000"/>
          <w:sz w:val="24"/>
          <w:szCs w:val="24"/>
          <w:highlight w:val="none"/>
        </w:rPr>
        <w:t>2.1 监理的范围和</w:t>
      </w:r>
      <w:r>
        <w:rPr>
          <w:rFonts w:hint="eastAsia" w:ascii="宋体" w:hAnsi="宋体" w:cs="宋体"/>
          <w:bCs/>
          <w:color w:val="000000"/>
          <w:sz w:val="24"/>
          <w:szCs w:val="24"/>
          <w:highlight w:val="none"/>
        </w:rPr>
        <w:t>内容</w:t>
      </w:r>
    </w:p>
    <w:p>
      <w:pPr>
        <w:widowControl/>
        <w:spacing w:line="360" w:lineRule="auto"/>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2.1.1 监理范围包括：</w:t>
      </w:r>
      <w:r>
        <w:rPr>
          <w:rFonts w:hint="eastAsia" w:ascii="宋体" w:hAnsi="宋体" w:cs="宋体"/>
          <w:color w:val="000000"/>
          <w:sz w:val="24"/>
          <w:szCs w:val="24"/>
          <w:highlight w:val="none"/>
          <w:u w:val="single"/>
        </w:rPr>
        <w:t>完成项目</w:t>
      </w:r>
      <w:r>
        <w:rPr>
          <w:rFonts w:hint="eastAsia" w:ascii="宋体" w:hAnsi="宋体" w:cs="宋体"/>
          <w:color w:val="000000"/>
          <w:kern w:val="2"/>
          <w:sz w:val="24"/>
          <w:szCs w:val="24"/>
          <w:highlight w:val="none"/>
          <w:u w:val="single"/>
          <w:lang w:eastAsia="zh-CN"/>
        </w:rPr>
        <w:t>地质勘察</w:t>
      </w:r>
      <w:r>
        <w:rPr>
          <w:rFonts w:hint="eastAsia" w:ascii="宋体" w:hAnsi="宋体" w:cs="宋体"/>
          <w:color w:val="000000"/>
          <w:kern w:val="2"/>
          <w:sz w:val="24"/>
          <w:szCs w:val="24"/>
          <w:highlight w:val="none"/>
          <w:u w:val="single"/>
        </w:rPr>
        <w:t>、基坑支护、土方开挖、地基基础工程、主体结构工程、装饰装修工程、给排水工程、电气工程、消防工程、通风空调工程、永久供电工程、弱电工程、智能化工程、白蚁防治、小区园林绿市政工程、发电机组及配套环保工程、永久供水工程、地坪漆与车位划线</w:t>
      </w:r>
      <w:r>
        <w:rPr>
          <w:rFonts w:hint="eastAsia" w:ascii="宋体" w:hAnsi="宋体" w:cs="宋体"/>
          <w:color w:val="000000"/>
          <w:kern w:val="2"/>
          <w:sz w:val="24"/>
          <w:szCs w:val="24"/>
          <w:highlight w:val="none"/>
          <w:u w:val="single"/>
          <w:lang w:eastAsia="zh-CN"/>
        </w:rPr>
        <w:t>工程、</w:t>
      </w:r>
      <w:r>
        <w:rPr>
          <w:rFonts w:hint="eastAsia" w:ascii="宋体" w:hAnsi="宋体" w:cs="宋体"/>
          <w:color w:val="000000"/>
          <w:kern w:val="2"/>
          <w:sz w:val="24"/>
          <w:szCs w:val="24"/>
          <w:highlight w:val="none"/>
          <w:u w:val="single"/>
          <w:lang w:val="en-US" w:eastAsia="zh-CN"/>
        </w:rPr>
        <w:t>室内公区及办公区装修工程</w:t>
      </w:r>
      <w:r>
        <w:rPr>
          <w:rFonts w:hint="eastAsia" w:ascii="宋体" w:hAnsi="宋体" w:cs="宋体"/>
          <w:color w:val="000000"/>
          <w:kern w:val="2"/>
          <w:sz w:val="24"/>
          <w:szCs w:val="24"/>
          <w:highlight w:val="none"/>
          <w:u w:val="single"/>
        </w:rPr>
        <w:t>等相关配套工程及采购工程(无论上述这些工程的承包人是总承包人、独立承包人、独立供应商、专业分包人、专项供应商还是其他承包人)、其它与上述项目密切相关之工程等的工程正式开工前的配合阶段、施工准备阶段、施工阶段、</w:t>
      </w:r>
      <w:r>
        <w:rPr>
          <w:rFonts w:hint="eastAsia" w:ascii="宋体" w:hAnsi="宋体" w:cs="宋体"/>
          <w:color w:val="000000"/>
          <w:kern w:val="2"/>
          <w:sz w:val="24"/>
          <w:szCs w:val="24"/>
          <w:highlight w:val="none"/>
          <w:u w:val="single"/>
          <w:lang w:eastAsia="zh-CN"/>
        </w:rPr>
        <w:t>工程收尾阶段、</w:t>
      </w:r>
      <w:r>
        <w:rPr>
          <w:rFonts w:hint="eastAsia" w:ascii="宋体" w:hAnsi="宋体" w:cs="宋体"/>
          <w:color w:val="000000"/>
          <w:kern w:val="2"/>
          <w:sz w:val="24"/>
          <w:szCs w:val="24"/>
          <w:highlight w:val="none"/>
          <w:u w:val="single"/>
        </w:rPr>
        <w:t>工程质量保修阶段的质量控制、投资控制、进度控制、组织协调、合同管理、信息与工程资料管理、安全文明的施工、竣工验收及备案、对工程建设相关方的关系进行协调等服务活动</w:t>
      </w:r>
      <w:r>
        <w:rPr>
          <w:rFonts w:hint="eastAsia" w:ascii="宋体" w:hAnsi="宋体" w:cs="宋体"/>
          <w:color w:val="000000"/>
          <w:kern w:val="2"/>
          <w:sz w:val="24"/>
          <w:szCs w:val="24"/>
          <w:highlight w:val="none"/>
          <w:u w:val="single"/>
          <w:lang w:eastAsia="zh-CN"/>
        </w:rPr>
        <w:t>、</w:t>
      </w:r>
      <w:r>
        <w:rPr>
          <w:rFonts w:hint="eastAsia" w:ascii="宋体" w:hAnsi="宋体" w:cs="宋体"/>
          <w:color w:val="000000"/>
          <w:kern w:val="2"/>
          <w:sz w:val="24"/>
          <w:szCs w:val="24"/>
          <w:highlight w:val="none"/>
          <w:u w:val="single"/>
        </w:rPr>
        <w:t>直至交付使用完成监理工作</w:t>
      </w:r>
      <w:r>
        <w:rPr>
          <w:rFonts w:hint="eastAsia" w:ascii="宋体" w:hAnsi="宋体" w:cs="宋体"/>
          <w:color w:val="000000"/>
          <w:kern w:val="2"/>
          <w:sz w:val="24"/>
          <w:szCs w:val="24"/>
          <w:highlight w:val="none"/>
          <w:u w:val="single"/>
          <w:lang w:val="en-US" w:eastAsia="zh-CN"/>
        </w:rPr>
        <w:t>及竣工结算资料审核工作</w:t>
      </w:r>
      <w:r>
        <w:rPr>
          <w:rFonts w:hint="eastAsia" w:ascii="宋体" w:hAnsi="宋体" w:cs="宋体"/>
          <w:color w:val="000000"/>
          <w:kern w:val="2"/>
          <w:sz w:val="24"/>
          <w:szCs w:val="24"/>
          <w:highlight w:val="none"/>
          <w:u w:val="single"/>
        </w:rPr>
        <w:t>。</w:t>
      </w:r>
    </w:p>
    <w:p>
      <w:pPr>
        <w:spacing w:line="360" w:lineRule="auto"/>
        <w:ind w:firstLine="240" w:firstLineChars="1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  2.1.2 监理工作内容包括：</w:t>
      </w:r>
      <w:r>
        <w:rPr>
          <w:rFonts w:hint="eastAsia" w:ascii="宋体" w:hAnsi="宋体" w:cs="宋体"/>
          <w:color w:val="000000"/>
          <w:sz w:val="24"/>
          <w:szCs w:val="24"/>
          <w:highlight w:val="none"/>
          <w:u w:val="single"/>
        </w:rPr>
        <w:t>质量监督、进度控制、信息管理、组织协调、档案资料的管理、安全生产和文明施工的监督以及在</w:t>
      </w:r>
      <w:r>
        <w:rPr>
          <w:rFonts w:hint="eastAsia" w:ascii="宋体" w:hAnsi="宋体" w:cs="宋体"/>
          <w:color w:val="000000"/>
          <w:sz w:val="24"/>
          <w:szCs w:val="24"/>
          <w:highlight w:val="none"/>
          <w:u w:val="single"/>
          <w:lang w:eastAsia="zh-CN"/>
        </w:rPr>
        <w:t>发包人</w:t>
      </w:r>
      <w:r>
        <w:rPr>
          <w:rFonts w:hint="eastAsia" w:ascii="宋体" w:hAnsi="宋体" w:cs="宋体"/>
          <w:color w:val="000000"/>
          <w:sz w:val="24"/>
          <w:szCs w:val="24"/>
          <w:highlight w:val="none"/>
          <w:u w:val="single"/>
        </w:rPr>
        <w:t>授权范围内的投资控制等工作。</w:t>
      </w:r>
    </w:p>
    <w:p>
      <w:pPr>
        <w:snapToGrid w:val="0"/>
        <w:spacing w:line="440" w:lineRule="exact"/>
        <w:ind w:firstLine="480" w:firstLineChars="200"/>
        <w:jc w:val="left"/>
        <w:rPr>
          <w:rFonts w:ascii="宋体" w:hAnsi="宋体"/>
          <w:color w:val="000000"/>
          <w:sz w:val="24"/>
          <w:highlight w:val="none"/>
        </w:rPr>
      </w:pPr>
      <w:r>
        <w:rPr>
          <w:rFonts w:hint="eastAsia" w:ascii="宋体" w:hAnsi="宋体"/>
          <w:color w:val="000000"/>
          <w:sz w:val="24"/>
          <w:highlight w:val="none"/>
        </w:rPr>
        <w:t>2.1.3</w:t>
      </w:r>
      <w:r>
        <w:rPr>
          <w:rFonts w:hint="eastAsia" w:ascii="宋体" w:hAnsi="宋体"/>
          <w:color w:val="000000"/>
          <w:sz w:val="24"/>
          <w:highlight w:val="none"/>
          <w:lang w:eastAsia="zh-CN"/>
        </w:rPr>
        <w:t>承包人</w:t>
      </w:r>
      <w:r>
        <w:rPr>
          <w:rFonts w:hint="eastAsia" w:ascii="宋体" w:hAnsi="宋体"/>
          <w:color w:val="000000"/>
          <w:sz w:val="24"/>
          <w:highlight w:val="none"/>
        </w:rPr>
        <w:t>除完成上述条件中约定的职责外，还应完成以下工作：</w:t>
      </w:r>
    </w:p>
    <w:p>
      <w:pPr>
        <w:snapToGrid w:val="0"/>
        <w:spacing w:line="440" w:lineRule="exact"/>
        <w:ind w:firstLine="480" w:firstLineChars="200"/>
        <w:rPr>
          <w:rFonts w:ascii="宋体" w:hAnsi="宋体"/>
          <w:color w:val="000000"/>
          <w:sz w:val="24"/>
          <w:highlight w:val="none"/>
        </w:rPr>
      </w:pPr>
      <w:r>
        <w:rPr>
          <w:rFonts w:hint="eastAsia" w:ascii="宋体" w:hAnsi="宋体"/>
          <w:color w:val="000000"/>
          <w:sz w:val="24"/>
          <w:szCs w:val="21"/>
          <w:highlight w:val="none"/>
        </w:rPr>
        <w:t>（</w:t>
      </w:r>
      <w:r>
        <w:rPr>
          <w:rFonts w:ascii="宋体" w:hAnsi="宋体"/>
          <w:color w:val="000000"/>
          <w:sz w:val="24"/>
          <w:szCs w:val="21"/>
          <w:highlight w:val="none"/>
        </w:rPr>
        <w:t>1）复核建筑物控制轴线及控制标高与周边建筑物、市政道路和市政设施的关系，抽查、复核建筑物的施工轴线及沉降。</w:t>
      </w:r>
    </w:p>
    <w:p>
      <w:pPr>
        <w:snapToGrid w:val="0"/>
        <w:spacing w:line="440" w:lineRule="exact"/>
        <w:ind w:firstLine="480" w:firstLineChars="200"/>
        <w:rPr>
          <w:rFonts w:ascii="宋体" w:hAnsi="宋体"/>
          <w:color w:val="000000"/>
          <w:sz w:val="24"/>
          <w:highlight w:val="none"/>
        </w:rPr>
      </w:pPr>
      <w:r>
        <w:rPr>
          <w:rFonts w:hint="eastAsia" w:ascii="宋体" w:hAnsi="宋体"/>
          <w:color w:val="000000"/>
          <w:sz w:val="24"/>
          <w:szCs w:val="21"/>
          <w:highlight w:val="none"/>
        </w:rPr>
        <w:t>（</w:t>
      </w:r>
      <w:r>
        <w:rPr>
          <w:rFonts w:ascii="宋体" w:hAnsi="宋体"/>
          <w:color w:val="000000"/>
          <w:sz w:val="24"/>
          <w:szCs w:val="21"/>
          <w:highlight w:val="none"/>
        </w:rPr>
        <w:t>2）根据广州市安监站《建设工程安全监督交底书》对项目监理机构的要求，督促、检查施工单位的文明施工、安全生产及安全防护措施；</w:t>
      </w:r>
    </w:p>
    <w:p>
      <w:pPr>
        <w:snapToGrid w:val="0"/>
        <w:spacing w:line="440" w:lineRule="exact"/>
        <w:ind w:firstLine="480" w:firstLineChars="200"/>
        <w:rPr>
          <w:rFonts w:ascii="宋体" w:hAnsi="宋体"/>
          <w:color w:val="000000"/>
          <w:sz w:val="24"/>
          <w:highlight w:val="none"/>
        </w:rPr>
      </w:pPr>
      <w:r>
        <w:rPr>
          <w:rFonts w:hint="eastAsia" w:ascii="宋体" w:hAnsi="宋体"/>
          <w:color w:val="000000"/>
          <w:sz w:val="24"/>
          <w:szCs w:val="21"/>
          <w:highlight w:val="none"/>
        </w:rPr>
        <w:t>（</w:t>
      </w:r>
      <w:r>
        <w:rPr>
          <w:rFonts w:ascii="宋体" w:hAnsi="宋体"/>
          <w:color w:val="000000"/>
          <w:sz w:val="24"/>
          <w:szCs w:val="21"/>
          <w:highlight w:val="none"/>
        </w:rPr>
        <w:t>3）审查竣工验收资料</w:t>
      </w:r>
      <w:r>
        <w:rPr>
          <w:rFonts w:hint="eastAsia" w:ascii="宋体" w:hAnsi="宋体"/>
          <w:color w:val="000000"/>
          <w:sz w:val="24"/>
          <w:szCs w:val="21"/>
          <w:highlight w:val="none"/>
        </w:rPr>
        <w:t>；</w:t>
      </w:r>
    </w:p>
    <w:p>
      <w:pPr>
        <w:snapToGrid w:val="0"/>
        <w:spacing w:line="440" w:lineRule="exact"/>
        <w:ind w:firstLine="480" w:firstLineChars="200"/>
        <w:rPr>
          <w:rFonts w:ascii="宋体" w:hAnsi="宋体"/>
          <w:color w:val="000000"/>
          <w:sz w:val="24"/>
          <w:highlight w:val="none"/>
        </w:rPr>
      </w:pPr>
      <w:r>
        <w:rPr>
          <w:rFonts w:hint="eastAsia" w:ascii="宋体" w:hAnsi="宋体"/>
          <w:color w:val="000000"/>
          <w:sz w:val="24"/>
          <w:szCs w:val="21"/>
          <w:highlight w:val="none"/>
        </w:rPr>
        <w:t>（</w:t>
      </w:r>
      <w:r>
        <w:rPr>
          <w:rFonts w:ascii="宋体" w:hAnsi="宋体"/>
          <w:color w:val="000000"/>
          <w:sz w:val="24"/>
          <w:szCs w:val="21"/>
          <w:highlight w:val="none"/>
        </w:rPr>
        <w:t>4）监理方接到验收通知后应及时到场验收，对于影响关键节点</w:t>
      </w:r>
      <w:r>
        <w:rPr>
          <w:rFonts w:hint="eastAsia" w:ascii="宋体" w:hAnsi="宋体"/>
          <w:color w:val="000000"/>
          <w:sz w:val="24"/>
          <w:szCs w:val="21"/>
          <w:highlight w:val="none"/>
          <w:lang w:eastAsia="zh-CN"/>
        </w:rPr>
        <w:t>的</w:t>
      </w:r>
      <w:r>
        <w:rPr>
          <w:rFonts w:ascii="宋体" w:hAnsi="宋体"/>
          <w:color w:val="000000"/>
          <w:sz w:val="24"/>
          <w:szCs w:val="21"/>
          <w:highlight w:val="none"/>
        </w:rPr>
        <w:t>工序应在施工单位报验后两小时内到场验收，否则将支付1000元/次的违约金。</w:t>
      </w:r>
    </w:p>
    <w:p>
      <w:pPr>
        <w:spacing w:line="360" w:lineRule="auto"/>
        <w:ind w:firstLine="240" w:firstLineChars="100"/>
        <w:rPr>
          <w:rFonts w:hint="eastAsia" w:ascii="宋体" w:hAnsi="宋体" w:cs="宋体"/>
          <w:color w:val="000000"/>
          <w:sz w:val="24"/>
          <w:szCs w:val="24"/>
          <w:highlight w:val="none"/>
          <w:u w:val="single"/>
        </w:rPr>
      </w:pPr>
      <w:r>
        <w:rPr>
          <w:rFonts w:ascii="宋体" w:hAnsi="宋体"/>
          <w:color w:val="000000"/>
          <w:sz w:val="24"/>
          <w:highlight w:val="none"/>
        </w:rPr>
        <w:t>(5)</w:t>
      </w:r>
      <w:r>
        <w:rPr>
          <w:rFonts w:hint="eastAsia" w:ascii="宋体" w:hAnsi="宋体"/>
          <w:color w:val="000000"/>
          <w:sz w:val="24"/>
          <w:highlight w:val="none"/>
        </w:rPr>
        <w:t>遵守</w:t>
      </w:r>
      <w:r>
        <w:rPr>
          <w:rFonts w:hint="eastAsia" w:ascii="宋体" w:hAnsi="宋体"/>
          <w:color w:val="000000"/>
          <w:sz w:val="24"/>
          <w:highlight w:val="none"/>
          <w:lang w:eastAsia="zh-CN"/>
        </w:rPr>
        <w:t>发包人</w:t>
      </w:r>
      <w:r>
        <w:rPr>
          <w:rFonts w:hint="eastAsia" w:ascii="宋体" w:hAnsi="宋体"/>
          <w:color w:val="000000"/>
          <w:sz w:val="24"/>
          <w:highlight w:val="none"/>
        </w:rPr>
        <w:t>《工程管理制度》、《监理工作管理要求》和《监理工作检查方法》等要求，做好监理工作。</w:t>
      </w:r>
    </w:p>
    <w:p>
      <w:pPr>
        <w:spacing w:line="360" w:lineRule="auto"/>
        <w:ind w:firstLine="235" w:firstLineChars="98"/>
        <w:rPr>
          <w:rFonts w:ascii="宋体" w:hAnsi="宋体" w:cs="宋体"/>
          <w:color w:val="000000"/>
          <w:sz w:val="24"/>
          <w:szCs w:val="24"/>
          <w:highlight w:val="none"/>
        </w:rPr>
      </w:pPr>
      <w:r>
        <w:rPr>
          <w:rFonts w:hint="eastAsia" w:ascii="宋体" w:hAnsi="宋体" w:cs="宋体"/>
          <w:color w:val="000000"/>
          <w:sz w:val="24"/>
          <w:szCs w:val="24"/>
          <w:highlight w:val="none"/>
        </w:rPr>
        <w:t>2.2 监理与相关服务依据</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2.2.1 监理依据包括：</w:t>
      </w:r>
      <w:r>
        <w:rPr>
          <w:rFonts w:hint="eastAsia" w:ascii="宋体" w:hAnsi="宋体" w:cs="宋体"/>
          <w:color w:val="000000"/>
          <w:sz w:val="24"/>
          <w:szCs w:val="24"/>
          <w:highlight w:val="none"/>
          <w:u w:val="single"/>
        </w:rPr>
        <w:t xml:space="preserve"> 国家、地方现行法律法规，本监理合同及</w:t>
      </w:r>
      <w:r>
        <w:rPr>
          <w:rFonts w:hint="eastAsia" w:ascii="宋体" w:hAnsi="宋体" w:cs="宋体"/>
          <w:color w:val="000000"/>
          <w:sz w:val="24"/>
          <w:szCs w:val="24"/>
          <w:highlight w:val="none"/>
          <w:u w:val="single"/>
          <w:lang w:eastAsia="zh-CN"/>
        </w:rPr>
        <w:t>发包人</w:t>
      </w:r>
      <w:r>
        <w:rPr>
          <w:rFonts w:hint="eastAsia" w:ascii="宋体" w:hAnsi="宋体" w:cs="宋体"/>
          <w:color w:val="000000"/>
          <w:sz w:val="24"/>
          <w:szCs w:val="24"/>
          <w:highlight w:val="none"/>
          <w:u w:val="single"/>
        </w:rPr>
        <w:t>与第三方签订的承包合同，设计文件，工程设计及施工规范标准，</w:t>
      </w:r>
      <w:r>
        <w:rPr>
          <w:rFonts w:hint="eastAsia" w:ascii="宋体" w:hAnsi="宋体" w:cs="宋体"/>
          <w:color w:val="000000"/>
          <w:sz w:val="24"/>
          <w:szCs w:val="24"/>
          <w:highlight w:val="none"/>
          <w:u w:val="single"/>
          <w:lang w:eastAsia="zh-CN"/>
        </w:rPr>
        <w:t>发包人</w:t>
      </w:r>
      <w:r>
        <w:rPr>
          <w:rFonts w:hint="eastAsia" w:ascii="宋体" w:hAnsi="宋体" w:cs="宋体"/>
          <w:color w:val="000000"/>
          <w:sz w:val="24"/>
          <w:szCs w:val="24"/>
          <w:highlight w:val="none"/>
          <w:u w:val="single"/>
        </w:rPr>
        <w:t xml:space="preserve">工程管理制度等 </w:t>
      </w:r>
      <w:r>
        <w:rPr>
          <w:rFonts w:hint="eastAsia" w:ascii="宋体" w:hAnsi="宋体" w:cs="宋体"/>
          <w:color w:val="000000"/>
          <w:sz w:val="24"/>
          <w:szCs w:val="24"/>
          <w:highlight w:val="none"/>
        </w:rPr>
        <w:t>。</w:t>
      </w:r>
    </w:p>
    <w:p>
      <w:pPr>
        <w:adjustRightInd w:val="0"/>
        <w:snapToGrid w:val="0"/>
        <w:spacing w:line="360" w:lineRule="auto"/>
        <w:ind w:firstLine="480" w:firstLineChars="200"/>
        <w:rPr>
          <w:rFonts w:ascii="宋体" w:hAnsi="宋体" w:cs="宋体"/>
          <w:dstrike/>
          <w:color w:val="000000"/>
          <w:sz w:val="24"/>
          <w:szCs w:val="24"/>
          <w:highlight w:val="none"/>
        </w:rPr>
      </w:pPr>
      <w:r>
        <w:rPr>
          <w:rFonts w:hint="eastAsia" w:ascii="宋体" w:hAnsi="宋体" w:cs="宋体"/>
          <w:color w:val="000000"/>
          <w:sz w:val="24"/>
          <w:szCs w:val="24"/>
          <w:highlight w:val="none"/>
        </w:rPr>
        <w:t>2.2.2 相关服务依据包括：</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2.3</w:t>
      </w:r>
      <w:r>
        <w:rPr>
          <w:rFonts w:hint="eastAsia" w:ascii="宋体" w:hAnsi="宋体" w:cs="宋体"/>
          <w:color w:val="000000"/>
          <w:kern w:val="0"/>
          <w:sz w:val="24"/>
          <w:szCs w:val="24"/>
          <w:highlight w:val="none"/>
        </w:rPr>
        <w:t>项目监理机构和人员</w:t>
      </w:r>
    </w:p>
    <w:p>
      <w:pPr>
        <w:adjustRightInd w:val="0"/>
        <w:snapToGrid w:val="0"/>
        <w:spacing w:line="360" w:lineRule="auto"/>
        <w:ind w:firstLine="524"/>
        <w:rPr>
          <w:rFonts w:ascii="宋体" w:hAnsi="宋体"/>
          <w:color w:val="FF0000"/>
          <w:sz w:val="24"/>
          <w:highlight w:val="none"/>
        </w:rPr>
      </w:pPr>
      <w:r>
        <w:rPr>
          <w:rFonts w:hint="eastAsia" w:ascii="宋体" w:hAnsi="宋体" w:cs="宋体"/>
          <w:color w:val="000000"/>
          <w:sz w:val="24"/>
          <w:szCs w:val="24"/>
          <w:highlight w:val="none"/>
        </w:rPr>
        <w:t>2.3.1</w:t>
      </w:r>
      <w:r>
        <w:rPr>
          <w:rFonts w:hint="eastAsia" w:ascii="宋体" w:hAnsi="宋体" w:cs="宋体"/>
          <w:color w:val="000000"/>
          <w:sz w:val="24"/>
          <w:highlight w:val="none"/>
        </w:rPr>
        <w:t>乙方应当为本合同项下的工程组成专门的监理项目组。</w:t>
      </w:r>
      <w:r>
        <w:rPr>
          <w:rFonts w:hint="eastAsia" w:ascii="宋体" w:hAnsi="宋体"/>
          <w:color w:val="000000"/>
          <w:sz w:val="24"/>
          <w:highlight w:val="none"/>
        </w:rPr>
        <w:t>监理单位任命本项目总监理工程师，除非本人要求辞职或者自己申请调离，监理单位不得擅自更换总监理工程师，且需常驻工地现场。</w:t>
      </w:r>
      <w:r>
        <w:rPr>
          <w:rFonts w:hint="eastAsia" w:ascii="宋体" w:hAnsi="宋体"/>
          <w:color w:val="FF0000"/>
          <w:sz w:val="24"/>
          <w:highlight w:val="none"/>
        </w:rPr>
        <w:t>高峰期人员配置不</w:t>
      </w:r>
      <w:r>
        <w:rPr>
          <w:rFonts w:hint="eastAsia" w:ascii="宋体" w:hAnsi="宋体"/>
          <w:color w:val="FF0000"/>
          <w:sz w:val="24"/>
          <w:highlight w:val="none"/>
          <w:lang w:eastAsia="zh-CN"/>
        </w:rPr>
        <w:t>高</w:t>
      </w:r>
      <w:r>
        <w:rPr>
          <w:rFonts w:hint="eastAsia" w:ascii="宋体" w:hAnsi="宋体"/>
          <w:color w:val="FF0000"/>
          <w:sz w:val="24"/>
          <w:highlight w:val="none"/>
        </w:rPr>
        <w:t>于</w:t>
      </w:r>
      <w:r>
        <w:rPr>
          <w:rFonts w:hint="eastAsia" w:ascii="宋体" w:hAnsi="宋体"/>
          <w:color w:val="FF0000"/>
          <w:sz w:val="24"/>
          <w:highlight w:val="none"/>
          <w:u w:val="single"/>
          <w:lang w:val="en-US" w:eastAsia="zh-CN"/>
        </w:rPr>
        <w:t>6</w:t>
      </w:r>
      <w:r>
        <w:rPr>
          <w:rFonts w:hint="eastAsia" w:ascii="宋体" w:hAnsi="宋体"/>
          <w:color w:val="FF0000"/>
          <w:sz w:val="24"/>
          <w:highlight w:val="none"/>
        </w:rPr>
        <w:t>人，监理各阶段人员配置要求（详见</w:t>
      </w:r>
      <w:r>
        <w:rPr>
          <w:rFonts w:hint="eastAsia" w:ascii="宋体" w:hAnsi="宋体"/>
          <w:color w:val="FF0000"/>
          <w:sz w:val="24"/>
          <w:highlight w:val="none"/>
          <w:lang w:val="en-US" w:eastAsia="zh-CN"/>
        </w:rPr>
        <w:t>附录B的</w:t>
      </w:r>
      <w:r>
        <w:rPr>
          <w:rFonts w:hint="eastAsia" w:ascii="宋体" w:hAnsi="宋体"/>
          <w:color w:val="FF0000"/>
          <w:sz w:val="24"/>
          <w:highlight w:val="none"/>
        </w:rPr>
        <w:t>附件</w:t>
      </w:r>
      <w:r>
        <w:rPr>
          <w:rFonts w:hint="eastAsia" w:ascii="宋体" w:hAnsi="宋体"/>
          <w:color w:val="FF0000"/>
          <w:sz w:val="24"/>
          <w:highlight w:val="none"/>
          <w:lang w:val="en-US" w:eastAsia="zh-CN"/>
        </w:rPr>
        <w:t>5</w:t>
      </w:r>
      <w:r>
        <w:rPr>
          <w:rFonts w:hint="eastAsia" w:ascii="宋体" w:hAnsi="宋体"/>
          <w:color w:val="FF0000"/>
          <w:sz w:val="24"/>
          <w:highlight w:val="none"/>
        </w:rPr>
        <w:t>）</w:t>
      </w:r>
      <w:r>
        <w:rPr>
          <w:rFonts w:hint="eastAsia" w:ascii="宋体" w:hAnsi="宋体"/>
          <w:color w:val="FF0000"/>
          <w:sz w:val="24"/>
          <w:highlight w:val="none"/>
          <w:lang w:eastAsia="zh-CN"/>
        </w:rPr>
        <w:t>发包人</w:t>
      </w:r>
      <w:r>
        <w:rPr>
          <w:rFonts w:hint="eastAsia" w:ascii="宋体" w:hAnsi="宋体"/>
          <w:color w:val="FF0000"/>
          <w:sz w:val="24"/>
          <w:highlight w:val="none"/>
        </w:rPr>
        <w:t>可根据实际情况调整。</w:t>
      </w:r>
      <w:r>
        <w:rPr>
          <w:rFonts w:hint="eastAsia" w:ascii="宋体" w:hAnsi="宋体"/>
          <w:color w:val="FF0000"/>
          <w:sz w:val="24"/>
          <w:highlight w:val="none"/>
          <w:lang w:eastAsia="zh-CN"/>
        </w:rPr>
        <w:t>承包人</w:t>
      </w:r>
      <w:r>
        <w:rPr>
          <w:rFonts w:hint="eastAsia" w:ascii="宋体" w:hAnsi="宋体"/>
          <w:color w:val="FF0000"/>
          <w:sz w:val="24"/>
          <w:highlight w:val="none"/>
        </w:rPr>
        <w:t>员配备情况具体如下：</w:t>
      </w:r>
    </w:p>
    <w:p>
      <w:pPr>
        <w:adjustRightInd w:val="0"/>
        <w:snapToGrid w:val="0"/>
        <w:spacing w:line="360" w:lineRule="auto"/>
        <w:ind w:firstLine="524"/>
        <w:rPr>
          <w:rStyle w:val="62"/>
          <w:color w:val="000000"/>
          <w:highlight w:val="none"/>
        </w:rPr>
      </w:pPr>
      <w:r>
        <w:rPr>
          <w:rStyle w:val="62"/>
          <w:color w:val="FF0000"/>
          <w:highlight w:val="none"/>
        </w:rPr>
        <w:t>1、</w:t>
      </w:r>
      <w:r>
        <w:rPr>
          <w:rStyle w:val="62"/>
          <w:color w:val="FF0000"/>
          <w:szCs w:val="22"/>
          <w:highlight w:val="none"/>
        </w:rPr>
        <w:t>总监1 名、</w:t>
      </w:r>
      <w:r>
        <w:rPr>
          <w:rStyle w:val="62"/>
          <w:rFonts w:hint="eastAsia" w:eastAsia="宋体"/>
          <w:color w:val="FF0000"/>
          <w:szCs w:val="22"/>
          <w:highlight w:val="none"/>
          <w:lang w:val="en-US" w:eastAsia="zh-CN"/>
        </w:rPr>
        <w:t>总监代表1名、</w:t>
      </w:r>
      <w:r>
        <w:rPr>
          <w:rStyle w:val="62"/>
          <w:color w:val="FF0000"/>
          <w:szCs w:val="22"/>
          <w:highlight w:val="none"/>
        </w:rPr>
        <w:t>土建监理工程师</w:t>
      </w:r>
      <w:r>
        <w:rPr>
          <w:rStyle w:val="62"/>
          <w:rFonts w:hint="eastAsia" w:eastAsia="宋体"/>
          <w:color w:val="FF0000"/>
          <w:szCs w:val="22"/>
          <w:highlight w:val="none"/>
          <w:lang w:eastAsia="zh-CN"/>
        </w:rPr>
        <w:t>（</w:t>
      </w:r>
      <w:r>
        <w:rPr>
          <w:rStyle w:val="62"/>
          <w:rFonts w:hint="eastAsia" w:eastAsia="宋体"/>
          <w:color w:val="FF0000"/>
          <w:szCs w:val="22"/>
          <w:highlight w:val="none"/>
          <w:lang w:val="en-US" w:eastAsia="zh-CN"/>
        </w:rPr>
        <w:t>兼安全</w:t>
      </w:r>
      <w:r>
        <w:rPr>
          <w:rStyle w:val="62"/>
          <w:rFonts w:hint="eastAsia" w:eastAsia="宋体"/>
          <w:color w:val="FF0000"/>
          <w:szCs w:val="22"/>
          <w:highlight w:val="none"/>
          <w:lang w:eastAsia="zh-CN"/>
        </w:rPr>
        <w:t>）</w:t>
      </w:r>
      <w:r>
        <w:rPr>
          <w:rStyle w:val="62"/>
          <w:color w:val="FF0000"/>
          <w:szCs w:val="22"/>
          <w:highlight w:val="none"/>
        </w:rPr>
        <w:t xml:space="preserve"> </w:t>
      </w:r>
      <w:r>
        <w:rPr>
          <w:rStyle w:val="62"/>
          <w:rFonts w:hint="eastAsia" w:eastAsia="宋体"/>
          <w:color w:val="FF0000"/>
          <w:szCs w:val="22"/>
          <w:highlight w:val="none"/>
          <w:lang w:val="en-US" w:eastAsia="zh-CN"/>
        </w:rPr>
        <w:t>1-2</w:t>
      </w:r>
      <w:r>
        <w:rPr>
          <w:rStyle w:val="62"/>
          <w:color w:val="FF0000"/>
          <w:szCs w:val="22"/>
          <w:highlight w:val="none"/>
        </w:rPr>
        <w:t xml:space="preserve"> 名、</w:t>
      </w:r>
      <w:r>
        <w:rPr>
          <w:rStyle w:val="62"/>
          <w:rFonts w:hint="eastAsia" w:eastAsia="宋体"/>
          <w:color w:val="FF0000"/>
          <w:szCs w:val="22"/>
          <w:highlight w:val="none"/>
          <w:lang w:val="en-US" w:eastAsia="zh-CN"/>
        </w:rPr>
        <w:t>机电监理工程师1名、</w:t>
      </w:r>
      <w:r>
        <w:rPr>
          <w:rStyle w:val="62"/>
          <w:color w:val="FF0000"/>
          <w:szCs w:val="22"/>
          <w:highlight w:val="none"/>
        </w:rPr>
        <w:t>资料员1名</w:t>
      </w:r>
      <w:r>
        <w:rPr>
          <w:rStyle w:val="62"/>
          <w:rFonts w:hint="eastAsia"/>
          <w:color w:val="FF0000"/>
          <w:szCs w:val="22"/>
          <w:highlight w:val="none"/>
          <w:lang w:eastAsia="zh-CN"/>
        </w:rPr>
        <w:t>、</w:t>
      </w:r>
      <w:r>
        <w:rPr>
          <w:rStyle w:val="62"/>
          <w:rFonts w:hint="eastAsia"/>
          <w:color w:val="FF0000"/>
          <w:szCs w:val="22"/>
          <w:highlight w:val="none"/>
          <w:lang w:val="en-US" w:eastAsia="zh-CN"/>
        </w:rPr>
        <w:t>造价师1名</w:t>
      </w:r>
      <w:r>
        <w:rPr>
          <w:rStyle w:val="62"/>
          <w:rFonts w:hint="eastAsia"/>
          <w:color w:val="FF0000"/>
          <w:szCs w:val="22"/>
          <w:highlight w:val="none"/>
        </w:rPr>
        <w:t>。</w:t>
      </w:r>
      <w:r>
        <w:rPr>
          <w:rStyle w:val="62"/>
          <w:rFonts w:hint="eastAsia"/>
          <w:color w:val="FF0000"/>
          <w:highlight w:val="none"/>
        </w:rPr>
        <w:t>若人力不能满足要求，</w:t>
      </w:r>
      <w:r>
        <w:rPr>
          <w:rStyle w:val="62"/>
          <w:rFonts w:hint="eastAsia"/>
          <w:color w:val="FF0000"/>
          <w:highlight w:val="none"/>
          <w:lang w:eastAsia="zh-CN"/>
        </w:rPr>
        <w:t>发包人</w:t>
      </w:r>
      <w:r>
        <w:rPr>
          <w:rStyle w:val="62"/>
          <w:rFonts w:hint="eastAsia"/>
          <w:color w:val="FF0000"/>
          <w:highlight w:val="none"/>
        </w:rPr>
        <w:t>有权要求增加监理工程师人员；</w:t>
      </w:r>
      <w:r>
        <w:rPr>
          <w:rStyle w:val="62"/>
          <w:rFonts w:hint="eastAsia"/>
          <w:color w:val="FF0000"/>
          <w:highlight w:val="none"/>
          <w:lang w:eastAsia="zh-CN"/>
        </w:rPr>
        <w:t>发包人</w:t>
      </w:r>
      <w:r>
        <w:rPr>
          <w:rStyle w:val="62"/>
          <w:rFonts w:hint="eastAsia"/>
          <w:color w:val="FF0000"/>
          <w:highlight w:val="none"/>
        </w:rPr>
        <w:t>有权更换</w:t>
      </w:r>
      <w:r>
        <w:rPr>
          <w:rStyle w:val="62"/>
          <w:rFonts w:hint="eastAsia"/>
          <w:color w:val="FF0000"/>
          <w:highlight w:val="none"/>
          <w:lang w:eastAsia="zh-CN"/>
        </w:rPr>
        <w:t>发包人</w:t>
      </w:r>
      <w:r>
        <w:rPr>
          <w:rStyle w:val="62"/>
          <w:rFonts w:hint="eastAsia"/>
          <w:color w:val="FF0000"/>
          <w:highlight w:val="none"/>
        </w:rPr>
        <w:t>认为不合格的监理工程师。</w:t>
      </w:r>
    </w:p>
    <w:p>
      <w:pPr>
        <w:adjustRightInd w:val="0"/>
        <w:snapToGrid w:val="0"/>
        <w:spacing w:line="360" w:lineRule="auto"/>
        <w:ind w:firstLine="524"/>
        <w:rPr>
          <w:rFonts w:ascii="宋体" w:hAnsi="宋体" w:cs="宋体"/>
          <w:color w:val="000000"/>
          <w:sz w:val="24"/>
          <w:highlight w:val="none"/>
        </w:rPr>
      </w:pPr>
      <w:r>
        <w:rPr>
          <w:rFonts w:hint="eastAsia" w:ascii="宋体" w:hAnsi="宋体" w:cs="宋体"/>
          <w:color w:val="000000"/>
          <w:sz w:val="24"/>
          <w:highlight w:val="none"/>
        </w:rPr>
        <w:t>该项目组的总监理工程师、</w:t>
      </w:r>
      <w:r>
        <w:rPr>
          <w:rFonts w:hint="eastAsia" w:ascii="宋体" w:hAnsi="宋体" w:cs="宋体"/>
          <w:color w:val="000000"/>
          <w:sz w:val="24"/>
          <w:highlight w:val="none"/>
          <w:lang w:val="en-US" w:eastAsia="zh-CN"/>
        </w:rPr>
        <w:t>总监代表、</w:t>
      </w:r>
      <w:r>
        <w:rPr>
          <w:rFonts w:hint="eastAsia" w:ascii="宋体" w:hAnsi="宋体" w:cs="宋体"/>
          <w:color w:val="000000"/>
          <w:sz w:val="24"/>
          <w:highlight w:val="none"/>
        </w:rPr>
        <w:t>监理工程师及其它监理成员、现场</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员的名单及其职责、相应的资质证书等级证书复印件、简历、监理各阶段派驻现场的</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员配备表等，乙方应当在本补充协议签订之日起10日内，向甲方提交书面报告一份，供甲方审查。</w:t>
      </w:r>
    </w:p>
    <w:p>
      <w:pPr>
        <w:adjustRightInd w:val="0"/>
        <w:snapToGrid w:val="0"/>
        <w:spacing w:line="360" w:lineRule="auto"/>
        <w:ind w:firstLine="524"/>
        <w:rPr>
          <w:rFonts w:ascii="宋体" w:hAnsi="宋体" w:cs="宋体"/>
          <w:color w:val="000000"/>
          <w:sz w:val="24"/>
          <w:highlight w:val="none"/>
        </w:rPr>
      </w:pPr>
      <w:r>
        <w:rPr>
          <w:rFonts w:hint="eastAsia" w:ascii="宋体" w:hAnsi="宋体" w:cs="宋体"/>
          <w:color w:val="000000"/>
          <w:sz w:val="24"/>
          <w:highlight w:val="none"/>
        </w:rPr>
        <w:t>甲方对报告内容的异议，乙方应当作出合理解释，如甲方对乙方的解释不认可或乙方未解释的，乙方应当在甲方通知之时起5日内提交新人员名单供甲方确认。</w:t>
      </w:r>
    </w:p>
    <w:p>
      <w:pPr>
        <w:adjustRightInd w:val="0"/>
        <w:snapToGrid w:val="0"/>
        <w:spacing w:line="360" w:lineRule="auto"/>
        <w:ind w:firstLine="524"/>
        <w:rPr>
          <w:rFonts w:ascii="宋体" w:hAnsi="宋体" w:cs="宋体"/>
          <w:color w:val="000000"/>
          <w:sz w:val="24"/>
          <w:highlight w:val="none"/>
        </w:rPr>
      </w:pPr>
      <w:r>
        <w:rPr>
          <w:rFonts w:hint="eastAsia" w:ascii="宋体" w:hAnsi="宋体" w:cs="宋体"/>
          <w:color w:val="000000"/>
          <w:sz w:val="24"/>
          <w:highlight w:val="none"/>
        </w:rPr>
        <w:t>甲方的审查、确认并不视为该等人员的能力或配备由甲方负责，仍由乙方负责。</w:t>
      </w:r>
    </w:p>
    <w:p>
      <w:pPr>
        <w:adjustRightInd w:val="0"/>
        <w:snapToGrid w:val="0"/>
        <w:spacing w:line="360" w:lineRule="auto"/>
        <w:ind w:firstLine="524"/>
        <w:rPr>
          <w:rFonts w:ascii="宋体" w:hAnsi="宋体" w:cs="宋体"/>
          <w:color w:val="000000"/>
          <w:sz w:val="24"/>
          <w:highlight w:val="none"/>
        </w:rPr>
      </w:pPr>
      <w:r>
        <w:rPr>
          <w:rFonts w:hint="eastAsia" w:ascii="宋体" w:hAnsi="宋体" w:cs="宋体"/>
          <w:color w:val="000000"/>
          <w:sz w:val="24"/>
          <w:szCs w:val="24"/>
          <w:highlight w:val="none"/>
        </w:rPr>
        <w:t>2.3.2</w:t>
      </w:r>
      <w:r>
        <w:rPr>
          <w:rFonts w:hint="eastAsia" w:ascii="宋体" w:hAnsi="宋体" w:cs="宋体"/>
          <w:color w:val="000000"/>
          <w:sz w:val="24"/>
          <w:highlight w:val="none"/>
        </w:rPr>
        <w:t>乙方</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员的要求</w:t>
      </w:r>
    </w:p>
    <w:p>
      <w:pPr>
        <w:adjustRightInd w:val="0"/>
        <w:snapToGrid w:val="0"/>
        <w:spacing w:line="360" w:lineRule="auto"/>
        <w:ind w:firstLine="524"/>
        <w:rPr>
          <w:rFonts w:ascii="宋体" w:hAnsi="宋体" w:cs="宋体"/>
          <w:color w:val="000000"/>
          <w:sz w:val="24"/>
          <w:highlight w:val="none"/>
        </w:rPr>
      </w:pPr>
      <w:r>
        <w:rPr>
          <w:rFonts w:hint="eastAsia" w:ascii="宋体" w:hAnsi="宋体" w:cs="宋体"/>
          <w:color w:val="000000"/>
          <w:sz w:val="24"/>
          <w:highlight w:val="none"/>
        </w:rPr>
        <w:t>(1)乙方派驻甲方工地现场监理机构的人员必须配备充足且满足项目部现场管理要求、专业搭配得当，具有良好的职业道德，较高施工管理监控能力、经验和与本工程相应的技术能力，并经甲方确认。</w:t>
      </w:r>
    </w:p>
    <w:p>
      <w:pPr>
        <w:adjustRightInd w:val="0"/>
        <w:snapToGrid w:val="0"/>
        <w:spacing w:line="360" w:lineRule="auto"/>
        <w:ind w:firstLine="524"/>
        <w:rPr>
          <w:rFonts w:hint="eastAsia" w:ascii="宋体" w:hAnsi="宋体" w:cs="宋体"/>
          <w:color w:val="000000"/>
          <w:sz w:val="24"/>
          <w:highlight w:val="none"/>
        </w:rPr>
      </w:pPr>
      <w:r>
        <w:rPr>
          <w:rFonts w:hint="eastAsia" w:ascii="宋体" w:hAnsi="宋体" w:cs="宋体"/>
          <w:color w:val="000000"/>
          <w:sz w:val="24"/>
          <w:highlight w:val="none"/>
        </w:rPr>
        <w:t>(2)所有现场</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员应当具备在与本工程性质、规模相当的工程关键岗位三年以上从业经验，总监、</w:t>
      </w:r>
      <w:r>
        <w:rPr>
          <w:rFonts w:hint="eastAsia" w:ascii="宋体" w:hAnsi="宋体" w:cs="宋体"/>
          <w:color w:val="000000"/>
          <w:sz w:val="24"/>
          <w:highlight w:val="none"/>
          <w:lang w:val="en-US" w:eastAsia="zh-CN"/>
        </w:rPr>
        <w:t>总监代表、</w:t>
      </w:r>
      <w:r>
        <w:rPr>
          <w:rFonts w:hint="eastAsia" w:ascii="宋体" w:hAnsi="宋体" w:cs="宋体"/>
          <w:color w:val="000000"/>
          <w:sz w:val="24"/>
          <w:highlight w:val="none"/>
        </w:rPr>
        <w:t>专业监理工程师须经甲方面试确认，未经甲方同意不得更换已确认的工程师，其中：</w:t>
      </w:r>
    </w:p>
    <w:p>
      <w:pPr>
        <w:adjustRightInd w:val="0"/>
        <w:snapToGrid w:val="0"/>
        <w:spacing w:line="360" w:lineRule="auto"/>
        <w:ind w:firstLine="524"/>
        <w:rPr>
          <w:rFonts w:ascii="宋体" w:hAnsi="宋体" w:cs="宋体"/>
          <w:color w:val="000000"/>
          <w:sz w:val="24"/>
          <w:highlight w:val="none"/>
        </w:rPr>
      </w:pPr>
      <w:r>
        <w:rPr>
          <w:rFonts w:hint="eastAsia" w:ascii="宋体" w:hAnsi="宋体" w:cs="宋体"/>
          <w:color w:val="000000"/>
          <w:sz w:val="24"/>
          <w:highlight w:val="none"/>
        </w:rPr>
        <w:t>项目总监理工程师必须具备大专以上学历，从事过</w:t>
      </w:r>
      <w:r>
        <w:rPr>
          <w:rFonts w:ascii="宋体" w:hAnsi="宋体" w:cs="宋体"/>
          <w:color w:val="000000"/>
          <w:sz w:val="24"/>
          <w:highlight w:val="none"/>
        </w:rPr>
        <w:t>10</w:t>
      </w:r>
      <w:r>
        <w:rPr>
          <w:rFonts w:hint="eastAsia" w:ascii="宋体" w:hAnsi="宋体" w:cs="宋体"/>
          <w:color w:val="000000"/>
          <w:sz w:val="24"/>
          <w:highlight w:val="none"/>
        </w:rPr>
        <w:t>年以上类似工程的工作经验，近三年内作为主要负责人负责过面积超</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万平方米以上的</w:t>
      </w:r>
      <w:r>
        <w:rPr>
          <w:rFonts w:hint="eastAsia" w:ascii="宋体" w:hAnsi="宋体" w:cs="宋体"/>
          <w:color w:val="000000"/>
          <w:sz w:val="24"/>
          <w:highlight w:val="none"/>
          <w:lang w:val="en-US" w:eastAsia="zh-CN"/>
        </w:rPr>
        <w:t>办公楼</w:t>
      </w:r>
      <w:r>
        <w:rPr>
          <w:rFonts w:hint="eastAsia" w:ascii="宋体" w:hAnsi="宋体" w:cs="宋体"/>
          <w:color w:val="000000"/>
          <w:sz w:val="24"/>
          <w:highlight w:val="none"/>
        </w:rPr>
        <w:t>工程，并须具有与项目性质相关的注册监理工程师执业证书及相关中级职称；监理总监代表、土建专业、水电专业监理工程师必须具备大专以上学历，从事过</w:t>
      </w:r>
      <w:r>
        <w:rPr>
          <w:rFonts w:ascii="宋体" w:hAnsi="宋体" w:cs="宋体"/>
          <w:color w:val="000000"/>
          <w:sz w:val="24"/>
          <w:highlight w:val="none"/>
        </w:rPr>
        <w:t>7</w:t>
      </w:r>
      <w:r>
        <w:rPr>
          <w:rFonts w:hint="eastAsia" w:ascii="宋体" w:hAnsi="宋体" w:cs="宋体"/>
          <w:color w:val="000000"/>
          <w:sz w:val="24"/>
          <w:highlight w:val="none"/>
        </w:rPr>
        <w:t>年以上类似工程的工作经验，近三年内作为主要</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员监理过类似工程，并须具有与项目性质相关的中级工程师以上职称。</w:t>
      </w:r>
    </w:p>
    <w:p>
      <w:pPr>
        <w:adjustRightInd w:val="0"/>
        <w:snapToGrid w:val="0"/>
        <w:spacing w:line="360" w:lineRule="auto"/>
        <w:ind w:firstLine="524"/>
        <w:rPr>
          <w:rFonts w:ascii="宋体" w:hAnsi="宋体" w:cs="宋体"/>
          <w:color w:val="000000"/>
          <w:sz w:val="24"/>
          <w:highlight w:val="none"/>
        </w:rPr>
      </w:pPr>
      <w:r>
        <w:rPr>
          <w:rFonts w:hint="eastAsia" w:ascii="宋体" w:hAnsi="宋体" w:cs="宋体"/>
          <w:color w:val="000000"/>
          <w:sz w:val="24"/>
          <w:highlight w:val="none"/>
        </w:rPr>
        <w:t xml:space="preserve"> (3)现场</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员每天工作不得少于8小时，且根据工程需要进行连续跟踪检查。</w:t>
      </w:r>
    </w:p>
    <w:p>
      <w:pPr>
        <w:adjustRightInd w:val="0"/>
        <w:snapToGrid w:val="0"/>
        <w:spacing w:line="360" w:lineRule="auto"/>
        <w:ind w:firstLine="524"/>
        <w:rPr>
          <w:rFonts w:ascii="宋体" w:hAnsi="宋体" w:cs="宋体"/>
          <w:color w:val="000000"/>
          <w:sz w:val="24"/>
          <w:highlight w:val="none"/>
        </w:rPr>
      </w:pPr>
      <w:r>
        <w:rPr>
          <w:rFonts w:hint="eastAsia" w:ascii="宋体" w:hAnsi="宋体" w:cs="宋体"/>
          <w:color w:val="000000"/>
          <w:sz w:val="24"/>
          <w:highlight w:val="none"/>
        </w:rPr>
        <w:t>(4)乙方调换总监理工程师</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总监代表</w:t>
      </w:r>
      <w:r>
        <w:rPr>
          <w:rFonts w:hint="eastAsia" w:ascii="宋体" w:hAnsi="宋体" w:cs="宋体"/>
          <w:color w:val="000000"/>
          <w:sz w:val="24"/>
          <w:highlight w:val="none"/>
        </w:rPr>
        <w:t>必须提前十个工作日书面通知甲方（调换总监理工程师视为严重违约，需向</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支付违约金3万元/次），经甲方同意后方可更换，否则，甲方有权解除合同或扣减监理费的10%。</w:t>
      </w:r>
    </w:p>
    <w:p>
      <w:pPr>
        <w:tabs>
          <w:tab w:val="left" w:pos="3780"/>
        </w:tabs>
        <w:adjustRightInd w:val="0"/>
        <w:snapToGrid w:val="0"/>
        <w:spacing w:line="360" w:lineRule="auto"/>
        <w:ind w:firstLine="524"/>
        <w:rPr>
          <w:rFonts w:ascii="宋体" w:hAnsi="宋体" w:cs="宋体"/>
          <w:color w:val="000000"/>
          <w:sz w:val="24"/>
          <w:highlight w:val="none"/>
        </w:rPr>
      </w:pPr>
      <w:r>
        <w:rPr>
          <w:rFonts w:hint="eastAsia" w:ascii="宋体" w:hAnsi="宋体" w:cs="宋体"/>
          <w:color w:val="000000"/>
          <w:sz w:val="24"/>
          <w:highlight w:val="none"/>
        </w:rPr>
        <w:t>(5)监理过程中，监理工程师、</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员在专业技术技能、职业道德、关键工序工作等方面</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不满意的，</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有权提出更换，</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应当在1周内委派能够胜任监理岗位要求并</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满意的人员，且换人次数每个岗位不得超过2次（调换关键岗位（监理技术总工、土建专业监理工程师、电气专业监理工程师）人员视为严重违约，需向</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支付违约金1万元/次,其它岗位</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员每次调换需向</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支付3000元/次），否则视为</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不具备监理能力，</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有权解除合同。</w:t>
      </w:r>
    </w:p>
    <w:p>
      <w:pPr>
        <w:adjustRightInd w:val="0"/>
        <w:snapToGrid w:val="0"/>
        <w:spacing w:line="360" w:lineRule="auto"/>
        <w:ind w:firstLine="524"/>
        <w:rPr>
          <w:rFonts w:ascii="宋体" w:hAnsi="宋体" w:cs="宋体"/>
          <w:color w:val="000000"/>
          <w:sz w:val="24"/>
          <w:highlight w:val="none"/>
        </w:rPr>
      </w:pPr>
      <w:r>
        <w:rPr>
          <w:rFonts w:hint="eastAsia" w:ascii="宋体" w:hAnsi="宋体" w:cs="宋体"/>
          <w:color w:val="000000"/>
          <w:sz w:val="24"/>
          <w:szCs w:val="24"/>
          <w:highlight w:val="none"/>
        </w:rPr>
        <w:t>2.3.3</w:t>
      </w:r>
      <w:r>
        <w:rPr>
          <w:rFonts w:hint="eastAsia" w:ascii="宋体" w:hAnsi="宋体" w:cs="宋体"/>
          <w:color w:val="000000"/>
          <w:sz w:val="24"/>
          <w:highlight w:val="none"/>
        </w:rPr>
        <w:t>经甲方确认的</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员应当作好随时进驻现场的准备，按甲方要求期限进驻现场。乙方不得以</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员身体健康等问题逾期进驻现场。</w:t>
      </w:r>
    </w:p>
    <w:p>
      <w:pPr>
        <w:adjustRightInd w:val="0"/>
        <w:snapToGrid w:val="0"/>
        <w:spacing w:line="360" w:lineRule="auto"/>
        <w:ind w:firstLine="524"/>
        <w:rPr>
          <w:rFonts w:ascii="宋体" w:hAnsi="宋体" w:cs="宋体"/>
          <w:color w:val="000000"/>
          <w:sz w:val="24"/>
          <w:highlight w:val="none"/>
        </w:rPr>
      </w:pPr>
      <w:r>
        <w:rPr>
          <w:rFonts w:hint="eastAsia" w:ascii="宋体" w:hAnsi="宋体" w:cs="宋体"/>
          <w:color w:val="000000"/>
          <w:sz w:val="24"/>
          <w:szCs w:val="24"/>
          <w:highlight w:val="none"/>
        </w:rPr>
        <w:t>2.3.4</w:t>
      </w:r>
      <w:r>
        <w:rPr>
          <w:rFonts w:hint="eastAsia" w:ascii="宋体" w:hAnsi="宋体" w:cs="宋体"/>
          <w:color w:val="000000"/>
          <w:sz w:val="24"/>
          <w:highlight w:val="none"/>
        </w:rPr>
        <w:t>乙方现场人员应当遵守施工现场的各种管理制度。</w:t>
      </w:r>
    </w:p>
    <w:p>
      <w:pPr>
        <w:adjustRightInd w:val="0"/>
        <w:snapToGrid w:val="0"/>
        <w:spacing w:line="360" w:lineRule="auto"/>
        <w:ind w:firstLine="524"/>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2.3.5 </w:t>
      </w:r>
      <w:r>
        <w:rPr>
          <w:rFonts w:hint="eastAsia" w:ascii="宋体" w:hAnsi="宋体" w:cs="宋体"/>
          <w:color w:val="000000"/>
          <w:kern w:val="0"/>
          <w:sz w:val="24"/>
          <w:szCs w:val="24"/>
          <w:highlight w:val="none"/>
        </w:rPr>
        <w:t>更换</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员的其他情形：</w:t>
      </w:r>
      <w:r>
        <w:rPr>
          <w:rFonts w:hint="eastAsia" w:ascii="宋体" w:hAnsi="宋体" w:cs="宋体"/>
          <w:color w:val="000000"/>
          <w:sz w:val="24"/>
          <w:szCs w:val="24"/>
          <w:highlight w:val="none"/>
          <w:u w:val="single"/>
        </w:rPr>
        <w:t>见附录B《监理管理制度》。</w:t>
      </w:r>
    </w:p>
    <w:p>
      <w:pPr>
        <w:spacing w:line="360" w:lineRule="auto"/>
        <w:ind w:firstLine="235" w:firstLineChars="98"/>
        <w:rPr>
          <w:rFonts w:ascii="宋体" w:hAnsi="宋体" w:cs="宋体"/>
          <w:color w:val="000000"/>
          <w:kern w:val="0"/>
          <w:sz w:val="24"/>
          <w:szCs w:val="24"/>
          <w:highlight w:val="none"/>
        </w:rPr>
      </w:pPr>
      <w:r>
        <w:rPr>
          <w:rFonts w:hint="eastAsia" w:ascii="宋体" w:hAnsi="宋体" w:cs="宋体"/>
          <w:color w:val="000000"/>
          <w:sz w:val="24"/>
          <w:szCs w:val="24"/>
          <w:highlight w:val="none"/>
        </w:rPr>
        <w:t xml:space="preserve">2.4 </w:t>
      </w:r>
      <w:r>
        <w:rPr>
          <w:rFonts w:hint="eastAsia" w:ascii="宋体" w:hAnsi="宋体" w:cs="宋体"/>
          <w:color w:val="000000"/>
          <w:kern w:val="0"/>
          <w:sz w:val="24"/>
          <w:szCs w:val="24"/>
          <w:highlight w:val="none"/>
        </w:rPr>
        <w:t>履行职责</w:t>
      </w:r>
    </w:p>
    <w:p>
      <w:pPr>
        <w:spacing w:line="360" w:lineRule="auto"/>
        <w:ind w:firstLine="235" w:firstLineChars="98"/>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2.4.1</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应尽的义务</w:t>
      </w:r>
    </w:p>
    <w:p>
      <w:pPr>
        <w:adjustRightInd w:val="0"/>
        <w:snapToGrid w:val="0"/>
        <w:spacing w:line="360" w:lineRule="auto"/>
        <w:ind w:firstLine="568" w:firstLineChars="237"/>
        <w:rPr>
          <w:rFonts w:ascii="宋体" w:hAnsi="宋体" w:cs="宋体"/>
          <w:color w:val="000000"/>
          <w:sz w:val="24"/>
          <w:highlight w:val="none"/>
        </w:rPr>
      </w:pPr>
      <w:r>
        <w:rPr>
          <w:rFonts w:hint="eastAsia" w:ascii="宋体" w:hAnsi="宋体" w:eastAsia="宋体" w:cs="宋体"/>
          <w:color w:val="000000"/>
          <w:sz w:val="24"/>
          <w:highlight w:val="none"/>
        </w:rPr>
        <w:t>⑴</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除履行合同约定义务外，还要履行监理规范的监理义务。</w:t>
      </w:r>
    </w:p>
    <w:p>
      <w:pPr>
        <w:adjustRightInd w:val="0"/>
        <w:snapToGrid w:val="0"/>
        <w:spacing w:line="360" w:lineRule="auto"/>
        <w:ind w:firstLine="568" w:firstLineChars="237"/>
        <w:rPr>
          <w:rFonts w:ascii="宋体" w:hAnsi="宋体" w:cs="宋体"/>
          <w:color w:val="000000"/>
          <w:sz w:val="24"/>
          <w:highlight w:val="none"/>
        </w:rPr>
      </w:pPr>
      <w:r>
        <w:rPr>
          <w:rFonts w:hint="eastAsia" w:ascii="宋体" w:hAnsi="宋体" w:eastAsia="宋体" w:cs="宋体"/>
          <w:color w:val="000000"/>
          <w:sz w:val="24"/>
          <w:highlight w:val="none"/>
        </w:rPr>
        <w:t>⑵</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须按照本合同、本合同附件及</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要求进行工作，不得未经</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同意更改进度计划、质量标准、管理要求等，确保</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要求的落实。</w:t>
      </w:r>
    </w:p>
    <w:p>
      <w:pPr>
        <w:adjustRightInd w:val="0"/>
        <w:snapToGrid w:val="0"/>
        <w:spacing w:line="360" w:lineRule="auto"/>
        <w:ind w:firstLine="568" w:firstLineChars="237"/>
        <w:rPr>
          <w:rFonts w:ascii="宋体" w:hAnsi="宋体" w:cs="宋体"/>
          <w:color w:val="000000"/>
          <w:sz w:val="24"/>
          <w:highlight w:val="none"/>
        </w:rPr>
      </w:pPr>
      <w:r>
        <w:rPr>
          <w:rFonts w:hint="eastAsia" w:ascii="宋体" w:hAnsi="宋体" w:eastAsia="宋体" w:cs="宋体"/>
          <w:color w:val="000000"/>
          <w:sz w:val="24"/>
          <w:highlight w:val="none"/>
        </w:rPr>
        <w:t>⑶</w:t>
      </w:r>
      <w:r>
        <w:rPr>
          <w:rFonts w:hint="eastAsia" w:ascii="宋体" w:hAnsi="宋体" w:cs="宋体"/>
          <w:color w:val="000000"/>
          <w:sz w:val="24"/>
          <w:highlight w:val="none"/>
        </w:rPr>
        <w:t>与承包方有关的原材料、构配件、设备等资料由</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直接向承包方索取。</w:t>
      </w:r>
    </w:p>
    <w:p>
      <w:pPr>
        <w:adjustRightInd w:val="0"/>
        <w:snapToGrid w:val="0"/>
        <w:spacing w:line="360" w:lineRule="auto"/>
        <w:ind w:firstLine="568" w:firstLineChars="237"/>
        <w:rPr>
          <w:rFonts w:ascii="宋体" w:hAnsi="宋体" w:cs="宋体"/>
          <w:color w:val="000000"/>
          <w:sz w:val="24"/>
          <w:highlight w:val="none"/>
        </w:rPr>
      </w:pPr>
      <w:r>
        <w:rPr>
          <w:rFonts w:hint="eastAsia" w:ascii="宋体" w:hAnsi="宋体" w:eastAsia="宋体" w:cs="宋体"/>
          <w:color w:val="000000"/>
          <w:sz w:val="24"/>
          <w:highlight w:val="none"/>
        </w:rPr>
        <w:t>⑷</w:t>
      </w:r>
      <w:r>
        <w:rPr>
          <w:rFonts w:hint="eastAsia" w:ascii="宋体" w:hAnsi="宋体" w:cs="宋体"/>
          <w:color w:val="000000"/>
          <w:sz w:val="24"/>
          <w:highlight w:val="none"/>
        </w:rPr>
        <w:t>如工程质量、安全文明施工等达不到合格标准，</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应承担相应监理责任。</w:t>
      </w:r>
    </w:p>
    <w:p>
      <w:pPr>
        <w:adjustRightInd w:val="0"/>
        <w:snapToGrid w:val="0"/>
        <w:spacing w:line="360" w:lineRule="auto"/>
        <w:ind w:firstLine="568" w:firstLineChars="237"/>
        <w:rPr>
          <w:rFonts w:ascii="宋体" w:hAnsi="宋体" w:cs="宋体"/>
          <w:color w:val="000000"/>
          <w:sz w:val="24"/>
          <w:highlight w:val="none"/>
        </w:rPr>
      </w:pPr>
      <w:r>
        <w:rPr>
          <w:rFonts w:hint="eastAsia" w:ascii="宋体" w:hAnsi="宋体" w:eastAsia="宋体" w:cs="宋体"/>
          <w:color w:val="000000"/>
          <w:sz w:val="24"/>
          <w:highlight w:val="none"/>
        </w:rPr>
        <w:t>⑸</w:t>
      </w:r>
      <w:r>
        <w:rPr>
          <w:rFonts w:hint="eastAsia" w:ascii="宋体" w:hAnsi="宋体" w:cs="宋体"/>
          <w:color w:val="000000"/>
          <w:sz w:val="24"/>
          <w:highlight w:val="none"/>
        </w:rPr>
        <w:t>在施工现场配备足够监理工程师，对于工程的关键部位、关键工序、隐蔽工程、中间验收等，不能脱岗，进行全过程现场跟班，旁站监理，与施工同期工作。</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节假日及夜间应当安排人员值班，并自行解决由此引起的一切费用。</w:t>
      </w:r>
    </w:p>
    <w:p>
      <w:pPr>
        <w:adjustRightInd w:val="0"/>
        <w:snapToGrid w:val="0"/>
        <w:spacing w:line="360" w:lineRule="auto"/>
        <w:ind w:firstLine="568" w:firstLineChars="237"/>
        <w:rPr>
          <w:rFonts w:ascii="宋体" w:hAnsi="宋体" w:cs="宋体"/>
          <w:color w:val="000000"/>
          <w:sz w:val="24"/>
          <w:highlight w:val="none"/>
        </w:rPr>
      </w:pPr>
      <w:r>
        <w:rPr>
          <w:rFonts w:hint="eastAsia" w:ascii="宋体" w:hAnsi="宋体" w:eastAsia="宋体" w:cs="宋体"/>
          <w:color w:val="000000"/>
          <w:sz w:val="24"/>
          <w:highlight w:val="none"/>
        </w:rPr>
        <w:t>⑹</w:t>
      </w:r>
      <w:r>
        <w:rPr>
          <w:rFonts w:hint="eastAsia" w:ascii="宋体" w:hAnsi="宋体" w:cs="宋体"/>
          <w:color w:val="000000"/>
          <w:sz w:val="24"/>
          <w:highlight w:val="none"/>
        </w:rPr>
        <w:t>在合同期及延长的合同期内，</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的施工现场白天有施工单位施工时无论是平时还是节假日，</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员必须现场值班，夜间施工需要旁站监理的必须有</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员旁站监理，且保证不因</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员的迟延到场影响分部、分项、主体、竣工工程的施工、验收，否则每迟延一次</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承担违约金10000元人民币，并两倍顺延耽误的监理期间，不增加任何监理费用。</w:t>
      </w:r>
    </w:p>
    <w:p>
      <w:pPr>
        <w:adjustRightInd w:val="0"/>
        <w:snapToGrid w:val="0"/>
        <w:spacing w:line="360" w:lineRule="auto"/>
        <w:ind w:firstLine="568" w:firstLineChars="237"/>
        <w:rPr>
          <w:rFonts w:ascii="宋体" w:hAnsi="宋体" w:cs="宋体"/>
          <w:color w:val="000000"/>
          <w:sz w:val="24"/>
          <w:highlight w:val="none"/>
        </w:rPr>
      </w:pPr>
      <w:r>
        <w:rPr>
          <w:rFonts w:hint="eastAsia" w:ascii="宋体" w:hAnsi="宋体" w:eastAsia="宋体" w:cs="宋体"/>
          <w:color w:val="000000"/>
          <w:sz w:val="24"/>
          <w:highlight w:val="none"/>
        </w:rPr>
        <w:t>⑺</w:t>
      </w:r>
      <w:r>
        <w:rPr>
          <w:rFonts w:hint="eastAsia" w:ascii="宋体" w:hAnsi="宋体" w:cs="宋体"/>
          <w:color w:val="000000"/>
          <w:sz w:val="24"/>
          <w:highlight w:val="none"/>
        </w:rPr>
        <w:t>凡涉及工期延长、工程质量确认或工程款的确认及支付等事项须经</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加盖公章后方为有效。</w:t>
      </w:r>
    </w:p>
    <w:p>
      <w:pPr>
        <w:adjustRightInd w:val="0"/>
        <w:snapToGrid w:val="0"/>
        <w:spacing w:line="360" w:lineRule="auto"/>
        <w:ind w:firstLine="568" w:firstLineChars="237"/>
        <w:rPr>
          <w:rFonts w:hint="eastAsia" w:ascii="宋体" w:hAnsi="宋体" w:cs="宋体"/>
          <w:color w:val="000000"/>
          <w:sz w:val="24"/>
          <w:highlight w:val="none"/>
        </w:rPr>
      </w:pPr>
      <w:r>
        <w:rPr>
          <w:rFonts w:hint="eastAsia" w:ascii="宋体" w:hAnsi="宋体" w:eastAsia="宋体" w:cs="宋体"/>
          <w:color w:val="000000"/>
          <w:sz w:val="24"/>
          <w:highlight w:val="none"/>
        </w:rPr>
        <w:t>⑻</w:t>
      </w:r>
      <w:r>
        <w:rPr>
          <w:rFonts w:hint="eastAsia" w:ascii="宋体" w:hAnsi="宋体" w:cs="宋体"/>
          <w:color w:val="000000"/>
          <w:sz w:val="24"/>
          <w:highlight w:val="none"/>
        </w:rPr>
        <w:t>督促和指导各施工单位按照广州城建档案馆的档案管理要求及时整理各项资料，确保档案验收顺利完成，按时移交给甲方或甲方指定的接受单位。</w:t>
      </w:r>
    </w:p>
    <w:p>
      <w:pPr>
        <w:adjustRightInd w:val="0"/>
        <w:snapToGrid w:val="0"/>
        <w:spacing w:line="360" w:lineRule="auto"/>
        <w:ind w:firstLine="568" w:firstLineChars="237"/>
        <w:rPr>
          <w:rFonts w:ascii="宋体" w:hAnsi="宋体" w:cs="宋体"/>
          <w:color w:val="000000"/>
          <w:sz w:val="24"/>
          <w:highlight w:val="none"/>
        </w:rPr>
      </w:pPr>
      <w:r>
        <w:rPr>
          <w:rFonts w:hint="eastAsia" w:ascii="宋体" w:hAnsi="宋体" w:eastAsia="宋体" w:cs="宋体"/>
          <w:color w:val="000000"/>
          <w:sz w:val="24"/>
          <w:highlight w:val="none"/>
        </w:rPr>
        <w:t>⑼</w:t>
      </w:r>
      <w:r>
        <w:rPr>
          <w:rFonts w:hint="eastAsia" w:ascii="宋体" w:hAnsi="宋体" w:cs="宋体"/>
          <w:color w:val="000000"/>
          <w:sz w:val="24"/>
          <w:highlight w:val="none"/>
        </w:rPr>
        <w:t>按甲方要求开展实测实量工作，监理项目部配备仪器、设备的配备：水准仪、激光垂准仪、激光测距仪、接地电阻表、绝缘电阻表、万用表、电脑、打印机、数码相机、游标卡尺、5米钢卷尺、靠尺、30米皮卷尺等。</w:t>
      </w:r>
    </w:p>
    <w:p>
      <w:pPr>
        <w:pStyle w:val="71"/>
        <w:numPr>
          <w:ilvl w:val="2"/>
          <w:numId w:val="1"/>
        </w:numPr>
        <w:adjustRightInd w:val="0"/>
        <w:snapToGrid w:val="0"/>
        <w:spacing w:line="360" w:lineRule="auto"/>
        <w:ind w:firstLineChars="0"/>
        <w:rPr>
          <w:rFonts w:ascii="宋体" w:hAnsi="宋体" w:cs="宋体"/>
          <w:color w:val="000000"/>
          <w:sz w:val="24"/>
          <w:szCs w:val="24"/>
          <w:highlight w:val="none"/>
        </w:rPr>
      </w:pPr>
      <w:r>
        <w:rPr>
          <w:rFonts w:hint="eastAsia" w:ascii="宋体" w:hAnsi="宋体" w:cs="宋体"/>
          <w:color w:val="000000"/>
          <w:sz w:val="24"/>
          <w:szCs w:val="24"/>
          <w:highlight w:val="none"/>
        </w:rPr>
        <w:t>对</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的授权范围：</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eastAsia="宋体" w:cs="宋体"/>
          <w:color w:val="000000"/>
          <w:sz w:val="24"/>
          <w:szCs w:val="24"/>
          <w:highlight w:val="none"/>
        </w:rPr>
        <w:t>⑴</w:t>
      </w:r>
      <w:r>
        <w:rPr>
          <w:rFonts w:hint="eastAsia" w:ascii="宋体" w:hAnsi="宋体" w:cs="宋体"/>
          <w:color w:val="000000"/>
          <w:sz w:val="24"/>
          <w:szCs w:val="24"/>
          <w:highlight w:val="none"/>
        </w:rPr>
        <w:t>对总包选择工程分包人的认可权。</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eastAsia="宋体" w:cs="宋体"/>
          <w:color w:val="000000"/>
          <w:sz w:val="24"/>
          <w:szCs w:val="24"/>
          <w:highlight w:val="none"/>
        </w:rPr>
        <w:t>⑵</w:t>
      </w:r>
      <w:r>
        <w:rPr>
          <w:rFonts w:hint="eastAsia" w:ascii="宋体" w:hAnsi="宋体" w:cs="宋体"/>
          <w:color w:val="000000"/>
          <w:sz w:val="24"/>
          <w:szCs w:val="24"/>
          <w:highlight w:val="none"/>
        </w:rPr>
        <w:t>对工程设计中的技术问题，按照安全和优化的原则，向设计人提出建议，如果拟提出的问题可能会提高工程造价或延长工期，应当事先征的</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同意。当发现工程设计不符合国家颁布的建设工程质量标准、设计合同约定的质量标准时，</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应当书面报告</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并要求设计单位更正。</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eastAsia="宋体" w:cs="宋体"/>
          <w:color w:val="000000"/>
          <w:sz w:val="24"/>
          <w:szCs w:val="24"/>
          <w:highlight w:val="none"/>
        </w:rPr>
        <w:t>⑶</w:t>
      </w:r>
      <w:r>
        <w:rPr>
          <w:rFonts w:hint="eastAsia" w:ascii="宋体" w:hAnsi="宋体" w:cs="宋体"/>
          <w:color w:val="000000"/>
          <w:sz w:val="24"/>
          <w:szCs w:val="24"/>
          <w:highlight w:val="none"/>
        </w:rPr>
        <w:t>审批工程施工组织设计和技术方案，按照保质量、保工期、降低成本的原则，向承包人提出建议，并向</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提出书面报告。</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eastAsia="宋体" w:cs="宋体"/>
          <w:color w:val="000000"/>
          <w:sz w:val="24"/>
          <w:szCs w:val="24"/>
          <w:highlight w:val="none"/>
        </w:rPr>
        <w:t>⑷</w:t>
      </w:r>
      <w:r>
        <w:rPr>
          <w:rFonts w:hint="eastAsia" w:ascii="宋体" w:hAnsi="宋体" w:cs="宋体"/>
          <w:color w:val="000000"/>
          <w:sz w:val="24"/>
          <w:szCs w:val="24"/>
          <w:highlight w:val="none"/>
        </w:rPr>
        <w:t>主持工程建设有关协作单位的组织协调，重要协调事项应当事先向</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报告。</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eastAsia="宋体" w:cs="宋体"/>
          <w:color w:val="000000"/>
          <w:sz w:val="24"/>
          <w:szCs w:val="24"/>
          <w:highlight w:val="none"/>
        </w:rPr>
        <w:t>⑸</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在针得</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同意后有权发布开工令、停工令、复工令。</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eastAsia="宋体" w:cs="宋体"/>
          <w:color w:val="000000"/>
          <w:sz w:val="24"/>
          <w:szCs w:val="24"/>
          <w:highlight w:val="none"/>
        </w:rPr>
        <w:t>⑹</w:t>
      </w:r>
      <w:r>
        <w:rPr>
          <w:rFonts w:hint="eastAsia" w:ascii="宋体" w:hAnsi="宋体" w:cs="宋体"/>
          <w:color w:val="000000"/>
          <w:sz w:val="24"/>
          <w:szCs w:val="24"/>
          <w:highlight w:val="none"/>
        </w:rPr>
        <w:t>工程上使用的材料、施工机械和施工质量的检验权。对于不符合设计要求和合同约定及国家质量标准的材料、构配件、设备，有权通知承包人停止使用；对不符合规范和质量标准的工序、分部、分项、检验批和不安全施工作业，有权通知承包人停工整改、返工。承包人得到监理机构复工令后才能复工。</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eastAsia="宋体" w:cs="宋体"/>
          <w:color w:val="000000"/>
          <w:sz w:val="24"/>
          <w:szCs w:val="24"/>
          <w:highlight w:val="none"/>
        </w:rPr>
        <w:t>⑺</w:t>
      </w:r>
      <w:r>
        <w:rPr>
          <w:rFonts w:hint="eastAsia" w:ascii="宋体" w:hAnsi="宋体" w:cs="宋体"/>
          <w:color w:val="000000"/>
          <w:sz w:val="24"/>
          <w:szCs w:val="24"/>
          <w:highlight w:val="none"/>
        </w:rPr>
        <w:t>工程施工进度的检查、监督权，以及工程实际竣工日期提前或超过施工合同规定的竣工期限的签认权。</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eastAsia="宋体" w:cs="宋体"/>
          <w:color w:val="000000"/>
          <w:sz w:val="24"/>
          <w:szCs w:val="24"/>
          <w:highlight w:val="none"/>
        </w:rPr>
        <w:t>⑻</w:t>
      </w:r>
      <w:r>
        <w:rPr>
          <w:rFonts w:hint="eastAsia" w:ascii="宋体" w:hAnsi="宋体" w:cs="宋体"/>
          <w:color w:val="000000"/>
          <w:sz w:val="24"/>
          <w:szCs w:val="24"/>
          <w:highlight w:val="none"/>
        </w:rPr>
        <w:t>在委托的工作范围内，</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或承包人对对方的任何意见和要求（包括索赔要求），均必须首先向监理机构提出，由监理机构研究处理意见，</w:t>
      </w:r>
      <w:r>
        <w:rPr>
          <w:rFonts w:hint="eastAsia" w:ascii="宋体" w:hAnsi="宋体" w:cs="宋体"/>
          <w:color w:val="000000"/>
          <w:sz w:val="24"/>
          <w:szCs w:val="24"/>
          <w:highlight w:val="none"/>
          <w:lang w:val="en-US" w:eastAsia="zh-CN"/>
        </w:rPr>
        <w:t>再</w:t>
      </w:r>
      <w:r>
        <w:rPr>
          <w:rFonts w:hint="eastAsia" w:ascii="宋体" w:hAnsi="宋体" w:cs="宋体"/>
          <w:color w:val="000000"/>
          <w:sz w:val="24"/>
          <w:szCs w:val="24"/>
          <w:highlight w:val="none"/>
        </w:rPr>
        <w:t>同双方协商确定。当</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和承包人发生争议时，监理机构应根据自己的职能，以独立的身份判断，公正的进行调解。当双方的争议由政府建设行政主管部门调解或仲裁机构仲裁时，应当提供作证的事实材料。</w:t>
      </w:r>
    </w:p>
    <w:p>
      <w:pPr>
        <w:adjustRightInd w:val="0"/>
        <w:snapToGrid w:val="0"/>
        <w:spacing w:line="360" w:lineRule="auto"/>
        <w:ind w:firstLine="480" w:firstLineChars="200"/>
        <w:outlineLvl w:val="0"/>
        <w:rPr>
          <w:rFonts w:ascii="宋体" w:hAnsi="宋体" w:cs="宋体"/>
          <w:color w:val="000000"/>
          <w:sz w:val="24"/>
          <w:szCs w:val="24"/>
          <w:highlight w:val="none"/>
        </w:rPr>
      </w:pPr>
      <w:bookmarkStart w:id="9" w:name="_Toc375664917"/>
      <w:r>
        <w:rPr>
          <w:rFonts w:hint="eastAsia" w:ascii="宋体" w:hAnsi="宋体" w:cs="宋体"/>
          <w:color w:val="000000"/>
          <w:kern w:val="0"/>
          <w:sz w:val="24"/>
          <w:szCs w:val="24"/>
          <w:highlight w:val="none"/>
        </w:rPr>
        <w:t>在</w:t>
      </w:r>
      <w:r>
        <w:rPr>
          <w:rFonts w:hint="eastAsia" w:ascii="宋体" w:hAnsi="宋体" w:cs="宋体"/>
          <w:color w:val="000000"/>
          <w:sz w:val="24"/>
          <w:szCs w:val="24"/>
          <w:highlight w:val="none"/>
        </w:rPr>
        <w:t>涉及工程延期</w:t>
      </w:r>
      <w:r>
        <w:rPr>
          <w:rFonts w:hint="eastAsia" w:ascii="宋体" w:hAnsi="宋体" w:cs="宋体"/>
          <w:color w:val="000000"/>
          <w:sz w:val="24"/>
          <w:szCs w:val="24"/>
          <w:highlight w:val="none"/>
          <w:u w:val="single"/>
        </w:rPr>
        <w:t xml:space="preserve">  /  天</w:t>
      </w:r>
      <w:r>
        <w:rPr>
          <w:rFonts w:hint="eastAsia" w:ascii="宋体" w:hAnsi="宋体" w:cs="宋体"/>
          <w:color w:val="000000"/>
          <w:sz w:val="24"/>
          <w:szCs w:val="24"/>
          <w:highlight w:val="none"/>
        </w:rPr>
        <w:t>内和（或）金额</w:t>
      </w:r>
      <w:r>
        <w:rPr>
          <w:rFonts w:hint="eastAsia" w:ascii="宋体" w:hAnsi="宋体" w:cs="宋体"/>
          <w:color w:val="000000"/>
          <w:sz w:val="24"/>
          <w:szCs w:val="24"/>
          <w:highlight w:val="none"/>
          <w:u w:val="single"/>
        </w:rPr>
        <w:t xml:space="preserve">   / 万</w:t>
      </w:r>
      <w:r>
        <w:rPr>
          <w:rFonts w:hint="eastAsia" w:ascii="宋体" w:hAnsi="宋体" w:cs="宋体"/>
          <w:color w:val="000000"/>
          <w:sz w:val="24"/>
          <w:szCs w:val="24"/>
          <w:highlight w:val="none"/>
        </w:rPr>
        <w:t>元内的变更，</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不需请示</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即可向承包人发布变更通知。</w:t>
      </w:r>
      <w:bookmarkEnd w:id="9"/>
    </w:p>
    <w:p>
      <w:pPr>
        <w:adjustRightInd w:val="0"/>
        <w:snapToGrid w:val="0"/>
        <w:spacing w:line="360" w:lineRule="auto"/>
        <w:ind w:left="319" w:leftChars="152" w:firstLine="120" w:firstLineChars="50"/>
        <w:rPr>
          <w:rFonts w:ascii="宋体" w:hAnsi="宋体" w:cs="宋体"/>
          <w:color w:val="000000"/>
          <w:sz w:val="24"/>
          <w:szCs w:val="24"/>
          <w:highlight w:val="none"/>
        </w:rPr>
      </w:pPr>
      <w:r>
        <w:rPr>
          <w:rFonts w:hint="eastAsia" w:ascii="宋体" w:hAnsi="宋体" w:cs="宋体"/>
          <w:color w:val="000000"/>
          <w:kern w:val="0"/>
          <w:sz w:val="24"/>
          <w:szCs w:val="24"/>
          <w:highlight w:val="none"/>
        </w:rPr>
        <w:t xml:space="preserve">2.4.3 </w:t>
      </w:r>
      <w:r>
        <w:rPr>
          <w:rFonts w:hint="eastAsia" w:ascii="宋体" w:hAnsi="宋体" w:cs="宋体"/>
          <w:color w:val="000000"/>
          <w:kern w:val="0"/>
          <w:sz w:val="24"/>
          <w:szCs w:val="24"/>
          <w:highlight w:val="none"/>
          <w:lang w:eastAsia="zh-CN"/>
        </w:rPr>
        <w:t>承包人</w:t>
      </w:r>
      <w:r>
        <w:rPr>
          <w:rFonts w:hint="eastAsia" w:ascii="宋体" w:hAnsi="宋体" w:cs="宋体"/>
          <w:color w:val="000000"/>
          <w:kern w:val="0"/>
          <w:sz w:val="24"/>
          <w:szCs w:val="24"/>
          <w:highlight w:val="none"/>
        </w:rPr>
        <w:t>有权要求承包人调换其人员</w:t>
      </w:r>
      <w:r>
        <w:rPr>
          <w:rFonts w:hint="eastAsia" w:ascii="宋体" w:hAnsi="宋体" w:cs="宋体"/>
          <w:color w:val="000000"/>
          <w:sz w:val="24"/>
          <w:szCs w:val="24"/>
          <w:highlight w:val="none"/>
        </w:rPr>
        <w:t>的限制条件：</w:t>
      </w:r>
      <w:r>
        <w:rPr>
          <w:rFonts w:hint="eastAsia" w:ascii="宋体" w:hAnsi="宋体" w:cs="宋体"/>
          <w:color w:val="000000"/>
          <w:sz w:val="24"/>
          <w:szCs w:val="24"/>
          <w:highlight w:val="none"/>
          <w:u w:val="single"/>
        </w:rPr>
        <w:t>调换项目经理及项目技术负责人建议权。</w:t>
      </w:r>
    </w:p>
    <w:p>
      <w:pPr>
        <w:adjustRightInd w:val="0"/>
        <w:snapToGrid w:val="0"/>
        <w:spacing w:line="360" w:lineRule="auto"/>
        <w:ind w:left="319" w:leftChars="152" w:firstLine="120" w:firstLineChars="50"/>
        <w:rPr>
          <w:rFonts w:ascii="宋体" w:hAnsi="宋体" w:cs="宋体"/>
          <w:color w:val="000000"/>
          <w:sz w:val="24"/>
          <w:szCs w:val="24"/>
          <w:highlight w:val="none"/>
        </w:rPr>
      </w:pPr>
      <w:r>
        <w:rPr>
          <w:rFonts w:hint="eastAsia" w:ascii="宋体" w:hAnsi="宋体" w:cs="宋体"/>
          <w:color w:val="000000"/>
          <w:kern w:val="0"/>
          <w:sz w:val="24"/>
          <w:szCs w:val="24"/>
          <w:highlight w:val="none"/>
        </w:rPr>
        <w:t xml:space="preserve">2.5 </w:t>
      </w:r>
      <w:r>
        <w:rPr>
          <w:rFonts w:hint="eastAsia" w:ascii="宋体" w:hAnsi="宋体" w:cs="宋体"/>
          <w:color w:val="000000"/>
          <w:sz w:val="24"/>
          <w:szCs w:val="24"/>
          <w:highlight w:val="none"/>
        </w:rPr>
        <w:t>提交</w:t>
      </w:r>
      <w:r>
        <w:rPr>
          <w:rFonts w:hint="eastAsia" w:ascii="宋体" w:hAnsi="宋体" w:cs="宋体"/>
          <w:color w:val="000000"/>
          <w:kern w:val="0"/>
          <w:sz w:val="24"/>
          <w:szCs w:val="24"/>
          <w:highlight w:val="none"/>
        </w:rPr>
        <w:t>报告</w:t>
      </w:r>
    </w:p>
    <w:p>
      <w:pPr>
        <w:adjustRightInd w:val="0"/>
        <w:snapToGrid w:val="0"/>
        <w:spacing w:line="360" w:lineRule="auto"/>
        <w:ind w:firstLine="525"/>
        <w:rPr>
          <w:rFonts w:ascii="宋体" w:hAnsi="宋体" w:cs="宋体"/>
          <w:color w:val="000000"/>
          <w:kern w:val="0"/>
          <w:sz w:val="24"/>
          <w:szCs w:val="24"/>
          <w:highlight w:val="none"/>
        </w:rPr>
      </w:pP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应提交报告种类(</w:t>
      </w:r>
      <w:r>
        <w:rPr>
          <w:rFonts w:hint="eastAsia" w:ascii="宋体" w:hAnsi="宋体" w:cs="宋体"/>
          <w:color w:val="000000"/>
          <w:kern w:val="0"/>
          <w:sz w:val="24"/>
          <w:szCs w:val="24"/>
          <w:highlight w:val="none"/>
        </w:rPr>
        <w:t>包括监理规划、监理月报及约定的专项报告)</w:t>
      </w:r>
      <w:r>
        <w:rPr>
          <w:rFonts w:hint="eastAsia" w:ascii="宋体" w:hAnsi="宋体" w:cs="宋体"/>
          <w:color w:val="000000"/>
          <w:sz w:val="24"/>
          <w:szCs w:val="24"/>
          <w:highlight w:val="none"/>
        </w:rPr>
        <w:t>、时间和份数</w:t>
      </w:r>
      <w:r>
        <w:rPr>
          <w:rFonts w:hint="eastAsia" w:ascii="宋体" w:hAnsi="宋体" w:cs="宋体"/>
          <w:color w:val="000000"/>
          <w:kern w:val="0"/>
          <w:sz w:val="24"/>
          <w:szCs w:val="24"/>
          <w:highlight w:val="none"/>
        </w:rPr>
        <w:t>：</w:t>
      </w:r>
    </w:p>
    <w:p>
      <w:pPr>
        <w:numPr>
          <w:ilvl w:val="0"/>
          <w:numId w:val="2"/>
        </w:numPr>
        <w:adjustRightInd w:val="0"/>
        <w:snapToGrid w:val="0"/>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监理规划一式三份在工程开工前15天提交</w:t>
      </w:r>
      <w:r>
        <w:rPr>
          <w:rFonts w:hint="eastAsia" w:ascii="宋体" w:hAnsi="宋体" w:cs="宋体"/>
          <w:color w:val="000000"/>
          <w:sz w:val="24"/>
          <w:szCs w:val="24"/>
          <w:highlight w:val="none"/>
          <w:u w:val="single"/>
          <w:lang w:eastAsia="zh-CN"/>
        </w:rPr>
        <w:t>发包人</w:t>
      </w:r>
      <w:r>
        <w:rPr>
          <w:rFonts w:hint="eastAsia" w:ascii="宋体" w:hAnsi="宋体" w:cs="宋体"/>
          <w:color w:val="000000"/>
          <w:sz w:val="24"/>
          <w:szCs w:val="24"/>
          <w:highlight w:val="none"/>
          <w:u w:val="single"/>
        </w:rPr>
        <w:t>。</w:t>
      </w:r>
    </w:p>
    <w:p>
      <w:pPr>
        <w:numPr>
          <w:ilvl w:val="0"/>
          <w:numId w:val="2"/>
        </w:numPr>
        <w:adjustRightInd w:val="0"/>
        <w:snapToGrid w:val="0"/>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监理细则一式三份在该分项工程开工前7天提交</w:t>
      </w:r>
      <w:r>
        <w:rPr>
          <w:rFonts w:hint="eastAsia" w:ascii="宋体" w:hAnsi="宋体" w:cs="宋体"/>
          <w:color w:val="000000"/>
          <w:sz w:val="24"/>
          <w:szCs w:val="24"/>
          <w:highlight w:val="none"/>
          <w:u w:val="single"/>
          <w:lang w:eastAsia="zh-CN"/>
        </w:rPr>
        <w:t>发包人</w:t>
      </w:r>
      <w:r>
        <w:rPr>
          <w:rFonts w:hint="eastAsia" w:ascii="宋体" w:hAnsi="宋体" w:cs="宋体"/>
          <w:color w:val="000000"/>
          <w:sz w:val="24"/>
          <w:szCs w:val="24"/>
          <w:highlight w:val="none"/>
          <w:u w:val="single"/>
        </w:rPr>
        <w:t>。</w:t>
      </w:r>
    </w:p>
    <w:p>
      <w:pPr>
        <w:numPr>
          <w:ilvl w:val="0"/>
          <w:numId w:val="2"/>
        </w:numPr>
        <w:adjustRightInd w:val="0"/>
        <w:snapToGrid w:val="0"/>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旁站监理方案一式三份在需旁站工程开工前7天提交</w:t>
      </w:r>
      <w:r>
        <w:rPr>
          <w:rFonts w:hint="eastAsia" w:ascii="宋体" w:hAnsi="宋体" w:cs="宋体"/>
          <w:color w:val="000000"/>
          <w:sz w:val="24"/>
          <w:szCs w:val="24"/>
          <w:highlight w:val="none"/>
          <w:u w:val="single"/>
          <w:lang w:eastAsia="zh-CN"/>
        </w:rPr>
        <w:t>发包人</w:t>
      </w:r>
      <w:r>
        <w:rPr>
          <w:rFonts w:hint="eastAsia" w:ascii="宋体" w:hAnsi="宋体" w:cs="宋体"/>
          <w:color w:val="000000"/>
          <w:sz w:val="24"/>
          <w:szCs w:val="24"/>
          <w:highlight w:val="none"/>
          <w:u w:val="single"/>
        </w:rPr>
        <w:t>。</w:t>
      </w:r>
    </w:p>
    <w:p>
      <w:pPr>
        <w:numPr>
          <w:ilvl w:val="0"/>
          <w:numId w:val="2"/>
        </w:numPr>
        <w:adjustRightInd w:val="0"/>
        <w:snapToGrid w:val="0"/>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监理月报一式三份在每月25日前提交</w:t>
      </w:r>
      <w:r>
        <w:rPr>
          <w:rFonts w:hint="eastAsia" w:ascii="宋体" w:hAnsi="宋体" w:cs="宋体"/>
          <w:color w:val="000000"/>
          <w:sz w:val="24"/>
          <w:szCs w:val="24"/>
          <w:highlight w:val="none"/>
          <w:u w:val="single"/>
          <w:lang w:eastAsia="zh-CN"/>
        </w:rPr>
        <w:t>发包人</w:t>
      </w:r>
      <w:r>
        <w:rPr>
          <w:rFonts w:hint="eastAsia" w:ascii="宋体" w:hAnsi="宋体" w:cs="宋体"/>
          <w:color w:val="000000"/>
          <w:sz w:val="24"/>
          <w:szCs w:val="24"/>
          <w:highlight w:val="none"/>
          <w:u w:val="single"/>
        </w:rPr>
        <w:t>。</w:t>
      </w:r>
    </w:p>
    <w:p>
      <w:pPr>
        <w:numPr>
          <w:ilvl w:val="0"/>
          <w:numId w:val="2"/>
        </w:numPr>
        <w:adjustRightInd w:val="0"/>
        <w:snapToGrid w:val="0"/>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监理工作总结一式三份在工程竣工验收前7天提交</w:t>
      </w:r>
      <w:r>
        <w:rPr>
          <w:rFonts w:hint="eastAsia" w:ascii="宋体" w:hAnsi="宋体" w:cs="宋体"/>
          <w:color w:val="000000"/>
          <w:sz w:val="24"/>
          <w:szCs w:val="24"/>
          <w:highlight w:val="none"/>
          <w:u w:val="single"/>
          <w:lang w:eastAsia="zh-CN"/>
        </w:rPr>
        <w:t>发包人</w:t>
      </w:r>
      <w:r>
        <w:rPr>
          <w:rFonts w:hint="eastAsia" w:ascii="宋体" w:hAnsi="宋体" w:cs="宋体"/>
          <w:color w:val="000000"/>
          <w:sz w:val="24"/>
          <w:szCs w:val="24"/>
          <w:highlight w:val="none"/>
          <w:u w:val="single"/>
        </w:rPr>
        <w:t>。</w:t>
      </w:r>
    </w:p>
    <w:p>
      <w:pPr>
        <w:spacing w:line="360" w:lineRule="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2.6 使用</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的财产</w:t>
      </w:r>
    </w:p>
    <w:p>
      <w:pPr>
        <w:spacing w:line="360" w:lineRule="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w:t>
      </w:r>
      <w:r>
        <w:rPr>
          <w:rFonts w:hint="eastAsia" w:ascii="宋体" w:hAnsi="宋体" w:cs="宋体"/>
          <w:color w:val="000000"/>
          <w:sz w:val="24"/>
          <w:szCs w:val="24"/>
          <w:highlight w:val="none"/>
        </w:rPr>
        <w:t>附录A中由</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无偿提供的</w:t>
      </w:r>
      <w:r>
        <w:rPr>
          <w:rFonts w:hint="eastAsia" w:ascii="宋体" w:hAnsi="宋体" w:cs="宋体"/>
          <w:color w:val="000000"/>
          <w:sz w:val="24"/>
          <w:szCs w:val="24"/>
          <w:highlight w:val="none"/>
          <w:lang w:val="en-US" w:eastAsia="zh-CN"/>
        </w:rPr>
        <w:t>办公场地</w:t>
      </w:r>
      <w:r>
        <w:rPr>
          <w:rFonts w:hint="eastAsia" w:ascii="宋体" w:hAnsi="宋体" w:cs="宋体"/>
          <w:color w:val="000000"/>
          <w:sz w:val="24"/>
          <w:szCs w:val="24"/>
          <w:highlight w:val="none"/>
        </w:rPr>
        <w:t>的所有权属于</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w:t>
      </w:r>
    </w:p>
    <w:p>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应在本合同终止后7天内移交</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无偿提供的</w:t>
      </w:r>
      <w:r>
        <w:rPr>
          <w:rFonts w:hint="eastAsia" w:ascii="宋体" w:hAnsi="宋体" w:cs="宋体"/>
          <w:color w:val="000000"/>
          <w:sz w:val="24"/>
          <w:szCs w:val="24"/>
          <w:highlight w:val="none"/>
          <w:lang w:val="en-US" w:eastAsia="zh-CN"/>
        </w:rPr>
        <w:t>办公场地</w:t>
      </w:r>
      <w:r>
        <w:rPr>
          <w:rFonts w:hint="eastAsia" w:ascii="宋体" w:hAnsi="宋体" w:cs="宋体"/>
          <w:color w:val="000000"/>
          <w:sz w:val="24"/>
          <w:szCs w:val="24"/>
          <w:highlight w:val="none"/>
        </w:rPr>
        <w:t>，移交的时间和方式为：现场清点移交。</w:t>
      </w:r>
    </w:p>
    <w:p>
      <w:pPr>
        <w:adjustRightInd w:val="0"/>
        <w:snapToGrid w:val="0"/>
        <w:spacing w:line="360" w:lineRule="auto"/>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 xml:space="preserve">3. </w:t>
      </w:r>
      <w:r>
        <w:rPr>
          <w:rFonts w:hint="eastAsia" w:ascii="宋体" w:hAnsi="宋体" w:cs="宋体"/>
          <w:b/>
          <w:color w:val="000000"/>
          <w:kern w:val="0"/>
          <w:sz w:val="24"/>
          <w:szCs w:val="24"/>
          <w:highlight w:val="none"/>
          <w:lang w:eastAsia="zh-CN"/>
        </w:rPr>
        <w:t>发包人</w:t>
      </w:r>
      <w:r>
        <w:rPr>
          <w:rFonts w:hint="eastAsia" w:ascii="宋体" w:hAnsi="宋体" w:cs="宋体"/>
          <w:b/>
          <w:color w:val="000000"/>
          <w:kern w:val="0"/>
          <w:sz w:val="24"/>
          <w:szCs w:val="24"/>
          <w:highlight w:val="none"/>
        </w:rPr>
        <w:t xml:space="preserve">义务  </w:t>
      </w:r>
    </w:p>
    <w:p>
      <w:pPr>
        <w:adjustRightInd w:val="0"/>
        <w:snapToGrid w:val="0"/>
        <w:spacing w:line="360" w:lineRule="auto"/>
        <w:rPr>
          <w:rFonts w:ascii="宋体" w:hAnsi="宋体" w:cs="宋体"/>
          <w:color w:val="000000"/>
          <w:sz w:val="24"/>
          <w:szCs w:val="24"/>
          <w:highlight w:val="none"/>
        </w:rPr>
      </w:pPr>
      <w:r>
        <w:rPr>
          <w:rFonts w:hint="eastAsia" w:ascii="宋体" w:hAnsi="宋体" w:cs="宋体"/>
          <w:b/>
          <w:color w:val="000000"/>
          <w:kern w:val="0"/>
          <w:sz w:val="24"/>
          <w:szCs w:val="24"/>
          <w:highlight w:val="none"/>
        </w:rPr>
        <w:t xml:space="preserve">  </w:t>
      </w:r>
      <w:r>
        <w:rPr>
          <w:rFonts w:hint="eastAsia" w:ascii="宋体" w:hAnsi="宋体" w:cs="宋体"/>
          <w:color w:val="000000"/>
          <w:kern w:val="0"/>
          <w:sz w:val="24"/>
          <w:szCs w:val="24"/>
          <w:highlight w:val="none"/>
        </w:rPr>
        <w:t>3.1 参照本合同通用条件第3条。</w:t>
      </w:r>
    </w:p>
    <w:p>
      <w:pPr>
        <w:snapToGri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kern w:val="0"/>
          <w:sz w:val="24"/>
          <w:szCs w:val="24"/>
          <w:highlight w:val="none"/>
        </w:rPr>
        <w:t xml:space="preserve">3.2 </w:t>
      </w:r>
      <w:r>
        <w:rPr>
          <w:rFonts w:hint="eastAsia" w:ascii="宋体" w:hAnsi="宋体" w:cs="宋体"/>
          <w:color w:val="000000"/>
          <w:kern w:val="0"/>
          <w:sz w:val="24"/>
          <w:szCs w:val="24"/>
          <w:highlight w:val="none"/>
          <w:lang w:eastAsia="zh-CN"/>
        </w:rPr>
        <w:t>发包人</w:t>
      </w:r>
      <w:r>
        <w:rPr>
          <w:rFonts w:hint="eastAsia" w:ascii="宋体" w:hAnsi="宋体" w:cs="宋体"/>
          <w:color w:val="000000"/>
          <w:kern w:val="0"/>
          <w:sz w:val="24"/>
          <w:szCs w:val="24"/>
          <w:highlight w:val="none"/>
        </w:rPr>
        <w:t>代表</w:t>
      </w:r>
    </w:p>
    <w:p>
      <w:pPr>
        <w:adjustRightInd w:val="0"/>
        <w:snapToGrid w:val="0"/>
        <w:spacing w:line="360" w:lineRule="auto"/>
        <w:ind w:firstLine="480" w:firstLineChars="200"/>
        <w:rPr>
          <w:rFonts w:ascii="宋体" w:hAnsi="宋体" w:cs="宋体"/>
          <w:color w:val="FF0000"/>
          <w:sz w:val="24"/>
          <w:szCs w:val="24"/>
          <w:highlight w:val="none"/>
          <w:u w:val="single"/>
        </w:rPr>
      </w:pPr>
      <w:r>
        <w:rPr>
          <w:rFonts w:hint="eastAsia" w:ascii="宋体" w:hAnsi="宋体" w:cs="宋体"/>
          <w:color w:val="FF0000"/>
          <w:sz w:val="24"/>
          <w:szCs w:val="24"/>
          <w:highlight w:val="none"/>
          <w:lang w:eastAsia="zh-CN"/>
        </w:rPr>
        <w:t>发包人</w:t>
      </w:r>
      <w:r>
        <w:rPr>
          <w:rFonts w:hint="eastAsia" w:ascii="宋体" w:hAnsi="宋体" w:cs="宋体"/>
          <w:color w:val="FF0000"/>
          <w:sz w:val="24"/>
          <w:szCs w:val="24"/>
          <w:highlight w:val="none"/>
        </w:rPr>
        <w:t>代表为：</w:t>
      </w:r>
      <w:r>
        <w:rPr>
          <w:rFonts w:hint="eastAsia" w:ascii="宋体" w:hAnsi="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rPr>
        <w:t>。</w:t>
      </w:r>
    </w:p>
    <w:p>
      <w:pPr>
        <w:adjustRightInd w:val="0"/>
        <w:snapToGrid w:val="0"/>
        <w:spacing w:line="360" w:lineRule="auto"/>
        <w:ind w:firstLine="235" w:firstLineChars="98"/>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 答复</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同意在</w:t>
      </w:r>
      <w:r>
        <w:rPr>
          <w:rFonts w:hint="eastAsia" w:ascii="宋体" w:hAnsi="宋体" w:cs="宋体"/>
          <w:color w:val="000000"/>
          <w:sz w:val="24"/>
          <w:szCs w:val="24"/>
          <w:highlight w:val="none"/>
          <w:u w:val="single"/>
        </w:rPr>
        <w:t xml:space="preserve">  7 </w:t>
      </w:r>
      <w:r>
        <w:rPr>
          <w:rFonts w:hint="eastAsia" w:ascii="宋体" w:hAnsi="宋体" w:cs="宋体"/>
          <w:color w:val="000000"/>
          <w:sz w:val="24"/>
          <w:szCs w:val="24"/>
          <w:highlight w:val="none"/>
        </w:rPr>
        <w:t>天内，对</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书面提交并要求做出决定的事宜给予书面答复。</w:t>
      </w:r>
    </w:p>
    <w:p>
      <w:pPr>
        <w:snapToGrid w:val="0"/>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4. 违约责任</w:t>
      </w:r>
    </w:p>
    <w:p>
      <w:pPr>
        <w:adjustRightInd w:val="0"/>
        <w:snapToGrid w:val="0"/>
        <w:spacing w:line="360" w:lineRule="auto"/>
        <w:ind w:firstLine="448" w:firstLineChars="187"/>
        <w:rPr>
          <w:rFonts w:ascii="宋体" w:hAnsi="宋体" w:cs="宋体"/>
          <w:color w:val="000000"/>
          <w:sz w:val="24"/>
          <w:highlight w:val="none"/>
        </w:rPr>
      </w:pPr>
      <w:r>
        <w:rPr>
          <w:rFonts w:hint="eastAsia" w:ascii="宋体" w:hAnsi="宋体" w:cs="宋体"/>
          <w:color w:val="000000"/>
          <w:kern w:val="0"/>
          <w:sz w:val="24"/>
          <w:szCs w:val="24"/>
          <w:highlight w:val="none"/>
        </w:rPr>
        <w:t>4.1</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未按本</w:t>
      </w:r>
      <w:r>
        <w:rPr>
          <w:rFonts w:hint="eastAsia" w:ascii="宋体" w:hAnsi="宋体" w:cs="宋体"/>
          <w:color w:val="000000"/>
          <w:sz w:val="24"/>
          <w:highlight w:val="none"/>
          <w:lang w:val="en-US" w:eastAsia="zh-CN"/>
        </w:rPr>
        <w:t>合同</w:t>
      </w:r>
      <w:r>
        <w:rPr>
          <w:rFonts w:hint="eastAsia" w:ascii="宋体" w:hAnsi="宋体" w:cs="宋体"/>
          <w:color w:val="000000"/>
          <w:sz w:val="24"/>
          <w:highlight w:val="none"/>
        </w:rPr>
        <w:t>约定支付监理费的，应当按同期中国人民银行贷款基准利率计算逾期付款利息。</w:t>
      </w:r>
    </w:p>
    <w:p>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kern w:val="0"/>
          <w:sz w:val="24"/>
          <w:szCs w:val="24"/>
          <w:highlight w:val="none"/>
        </w:rPr>
        <w:t>4.2</w:t>
      </w:r>
      <w:r>
        <w:rPr>
          <w:rFonts w:hint="eastAsia" w:ascii="宋体" w:hAnsi="宋体" w:cs="宋体"/>
          <w:color w:val="000000"/>
          <w:sz w:val="24"/>
          <w:highlight w:val="none"/>
        </w:rPr>
        <w:t>因</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责任影响，导致工程出现下列问题，每次按下列方式支付违约金：</w:t>
      </w:r>
    </w:p>
    <w:p>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造成经济损失</w:t>
      </w:r>
      <w:r>
        <w:rPr>
          <w:rFonts w:hint="eastAsia" w:ascii="宋体" w:hAnsi="宋体" w:cs="宋体"/>
          <w:color w:val="000000"/>
          <w:sz w:val="24"/>
          <w:highlight w:val="none"/>
          <w:lang w:val="en-US" w:eastAsia="zh-CN"/>
        </w:rPr>
        <w:t>或同时</w:t>
      </w:r>
      <w:r>
        <w:rPr>
          <w:rFonts w:hint="eastAsia" w:ascii="宋体" w:hAnsi="宋体" w:cs="宋体"/>
          <w:color w:val="000000"/>
          <w:sz w:val="24"/>
          <w:highlight w:val="none"/>
        </w:rPr>
        <w:t>延误工期的，</w:t>
      </w:r>
      <w:r>
        <w:rPr>
          <w:rFonts w:hint="eastAsia" w:ascii="宋体" w:hAnsi="宋体" w:cs="宋体"/>
          <w:color w:val="000000"/>
          <w:sz w:val="24"/>
          <w:highlight w:val="none"/>
          <w:lang w:val="en-US" w:eastAsia="zh-CN"/>
        </w:rPr>
        <w:t>按</w:t>
      </w:r>
      <w:r>
        <w:rPr>
          <w:rFonts w:ascii="宋体" w:hAnsi="宋体" w:eastAsia="宋体" w:cs="宋体"/>
          <w:sz w:val="24"/>
          <w:szCs w:val="24"/>
        </w:rPr>
        <w:t>：</w:t>
      </w:r>
      <w:r>
        <w:rPr>
          <w:rFonts w:hint="eastAsia" w:ascii="宋体" w:hAnsi="宋体" w:eastAsia="宋体" w:cs="宋体"/>
          <w:sz w:val="24"/>
          <w:szCs w:val="24"/>
          <w:lang w:eastAsia="zh-CN"/>
        </w:rPr>
        <w:t>（</w:t>
      </w:r>
      <w:r>
        <w:rPr>
          <w:rFonts w:ascii="宋体" w:hAnsi="宋体" w:eastAsia="宋体" w:cs="宋体"/>
          <w:sz w:val="24"/>
          <w:szCs w:val="24"/>
        </w:rPr>
        <w:t>损失金额/施工图预算总金额*监理暂定合同价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1+延误工期天数/总工期</w:t>
      </w:r>
      <w:r>
        <w:rPr>
          <w:rFonts w:hint="eastAsia" w:ascii="宋体" w:hAnsi="宋体" w:cs="宋体"/>
          <w:color w:val="000000"/>
          <w:sz w:val="24"/>
          <w:highlight w:val="none"/>
          <w:lang w:eastAsia="zh-CN"/>
        </w:rPr>
        <w:t>）</w:t>
      </w:r>
      <w:r>
        <w:rPr>
          <w:rFonts w:hint="eastAsia" w:ascii="宋体" w:hAnsi="宋体" w:cs="宋体"/>
          <w:color w:val="000000"/>
          <w:sz w:val="24"/>
          <w:highlight w:val="none"/>
        </w:rPr>
        <w:t>向甲方支付违约金外，还应赔偿实际损失，且总额不以监理报酬暂定价为限（</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有权从监理费中直接扣除）。</w:t>
      </w:r>
    </w:p>
    <w:p>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4.3</w:t>
      </w:r>
      <w:r>
        <w:rPr>
          <w:rFonts w:hint="eastAsia" w:ascii="宋体" w:hAnsi="宋体" w:cs="宋体"/>
          <w:color w:val="000000"/>
          <w:sz w:val="24"/>
          <w:szCs w:val="24"/>
          <w:highlight w:val="none"/>
          <w:lang w:eastAsia="zh-CN"/>
        </w:rPr>
        <w:t>承包人</w:t>
      </w:r>
      <w:r>
        <w:rPr>
          <w:rFonts w:hint="eastAsia" w:ascii="宋体" w:hAnsi="宋体" w:cs="宋体"/>
          <w:color w:val="000000"/>
          <w:sz w:val="24"/>
          <w:highlight w:val="none"/>
        </w:rPr>
        <w:t>未全部完成</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要求的监理工作，应减收相关部分的监理费。造成损失或工程延期的，还应赔偿实际损失，总额不以本协议监理报酬暂定价为限；</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抽查发现</w:t>
      </w:r>
      <w:r>
        <w:rPr>
          <w:rFonts w:hint="eastAsia" w:ascii="宋体" w:hAnsi="宋体" w:cs="宋体"/>
          <w:color w:val="000000"/>
          <w:sz w:val="24"/>
          <w:szCs w:val="24"/>
          <w:highlight w:val="none"/>
          <w:lang w:eastAsia="zh-CN"/>
        </w:rPr>
        <w:t>承包人</w:t>
      </w:r>
      <w:r>
        <w:rPr>
          <w:rFonts w:hint="eastAsia" w:ascii="宋体" w:hAnsi="宋体" w:cs="宋体"/>
          <w:color w:val="000000"/>
          <w:sz w:val="24"/>
          <w:highlight w:val="none"/>
        </w:rPr>
        <w:t>未尽责的质量缺陷或违反操作程序、规范，两次以上可给予</w:t>
      </w:r>
      <w:r>
        <w:rPr>
          <w:rFonts w:hint="eastAsia" w:ascii="宋体" w:hAnsi="宋体" w:cs="宋体"/>
          <w:color w:val="000000"/>
          <w:sz w:val="24"/>
          <w:szCs w:val="24"/>
          <w:highlight w:val="none"/>
          <w:lang w:eastAsia="zh-CN"/>
        </w:rPr>
        <w:t>承包人</w:t>
      </w:r>
      <w:r>
        <w:rPr>
          <w:rFonts w:hint="eastAsia" w:ascii="宋体" w:hAnsi="宋体" w:cs="宋体"/>
          <w:color w:val="000000"/>
          <w:sz w:val="24"/>
          <w:highlight w:val="none"/>
        </w:rPr>
        <w:t>2000～5000元/次的罚款。</w:t>
      </w:r>
    </w:p>
    <w:p>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kern w:val="0"/>
          <w:sz w:val="24"/>
          <w:szCs w:val="24"/>
          <w:highlight w:val="none"/>
        </w:rPr>
        <w:t>4.4</w:t>
      </w:r>
      <w:r>
        <w:rPr>
          <w:rFonts w:hint="eastAsia" w:ascii="宋体" w:hAnsi="宋体" w:cs="宋体"/>
          <w:color w:val="000000"/>
          <w:sz w:val="24"/>
          <w:szCs w:val="24"/>
          <w:highlight w:val="none"/>
          <w:lang w:eastAsia="zh-CN"/>
        </w:rPr>
        <w:t>承包人</w:t>
      </w:r>
      <w:r>
        <w:rPr>
          <w:rFonts w:hint="eastAsia" w:ascii="宋体" w:hAnsi="宋体" w:cs="宋体"/>
          <w:color w:val="000000"/>
          <w:sz w:val="24"/>
          <w:highlight w:val="none"/>
        </w:rPr>
        <w:t>工作人员与工程承包方、分包方、材料设备生产（供应）方串通，损害</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利益的，按实际损失的双倍向甲方支付违约金（违约金总额不以本协议监理报酬暂定价为限），并依法追究法律责任。</w:t>
      </w:r>
    </w:p>
    <w:p>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kern w:val="0"/>
          <w:sz w:val="24"/>
          <w:szCs w:val="24"/>
          <w:highlight w:val="none"/>
        </w:rPr>
        <w:t>4.5</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必须按照经</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认可并作为本协议附件的《监理工作人员登记表》组建本项目监理班子并对</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员的资质及经历的真实性负责；如登记表中的</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员未到岗或未经</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同意擅自更换或名单中</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员的资质、经历存在弄虚作假的情况, 每发现一次按本协议监理报酬暂定价的2%向</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支付违约金。</w:t>
      </w:r>
    </w:p>
    <w:p>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kern w:val="0"/>
          <w:sz w:val="24"/>
          <w:szCs w:val="24"/>
          <w:highlight w:val="none"/>
        </w:rPr>
        <w:t>4.6</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常驻</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员不得随意迟到、早退、旷工。无故旷工按1000元/人/次，无故迟到早退500元/人/次向</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支付违约金。</w:t>
      </w:r>
    </w:p>
    <w:p>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kern w:val="0"/>
          <w:sz w:val="24"/>
          <w:szCs w:val="24"/>
          <w:highlight w:val="none"/>
        </w:rPr>
        <w:t>4.7</w:t>
      </w:r>
      <w:r>
        <w:rPr>
          <w:rFonts w:hint="eastAsia" w:ascii="宋体" w:hAnsi="宋体" w:cs="宋体"/>
          <w:color w:val="000000"/>
          <w:sz w:val="24"/>
          <w:highlight w:val="none"/>
        </w:rPr>
        <w:t>工程交付使用后缺陷修复期内出现质量问题，</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无法提供其已在施工过程中进行检查并向施工方、</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提出意见等有效工作的证明，</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应当每处承担赔偿金5000元。该质量问题如因</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原因直接造成的，需要</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对他方进行赔偿或补偿的，</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除需承担其全部赔偿补偿额外，还需按该赔偿(补偿)额20%向</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支付赔偿金。</w:t>
      </w:r>
    </w:p>
    <w:p>
      <w:pPr>
        <w:adjustRightInd w:val="0"/>
        <w:snapToGrid w:val="0"/>
        <w:spacing w:line="360" w:lineRule="auto"/>
        <w:ind w:firstLine="448" w:firstLineChars="187"/>
        <w:rPr>
          <w:rFonts w:ascii="宋体" w:hAnsi="宋体" w:cs="宋体"/>
          <w:color w:val="000000"/>
          <w:sz w:val="24"/>
          <w:highlight w:val="none"/>
        </w:rPr>
      </w:pPr>
      <w:r>
        <w:rPr>
          <w:rFonts w:hint="eastAsia" w:ascii="宋体" w:hAnsi="宋体" w:cs="宋体"/>
          <w:color w:val="000000"/>
          <w:kern w:val="0"/>
          <w:sz w:val="24"/>
          <w:szCs w:val="24"/>
          <w:highlight w:val="none"/>
        </w:rPr>
        <w:t>4.8</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未尽到材料等的检查验收义务的，</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每次应承担本合同监理报酬暂定价20%的赔偿金。</w:t>
      </w:r>
    </w:p>
    <w:p>
      <w:pPr>
        <w:adjustRightInd w:val="0"/>
        <w:snapToGrid w:val="0"/>
        <w:spacing w:line="360" w:lineRule="auto"/>
        <w:ind w:firstLine="448" w:firstLineChars="187"/>
        <w:rPr>
          <w:rFonts w:ascii="宋体" w:hAnsi="宋体" w:cs="宋体"/>
          <w:color w:val="000000"/>
          <w:sz w:val="24"/>
          <w:highlight w:val="none"/>
        </w:rPr>
      </w:pPr>
      <w:r>
        <w:rPr>
          <w:rFonts w:hint="eastAsia" w:ascii="宋体" w:hAnsi="宋体" w:cs="宋体"/>
          <w:color w:val="000000"/>
          <w:kern w:val="0"/>
          <w:sz w:val="24"/>
          <w:szCs w:val="24"/>
          <w:highlight w:val="none"/>
        </w:rPr>
        <w:t>4.9</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违反本合同其他任何一项义务的，经</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通知其限期改正，期满后仍未改正或经改正仍不能达到约定标准及</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要求的，</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有权立即解除合同，</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应在</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书面要求的时间内无条件退场，</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并应承担相当于本合同监理报酬暂定价30%的赔偿金。</w:t>
      </w:r>
    </w:p>
    <w:p>
      <w:pPr>
        <w:adjustRightInd w:val="0"/>
        <w:snapToGrid w:val="0"/>
        <w:spacing w:line="360" w:lineRule="auto"/>
        <w:ind w:firstLine="448" w:firstLineChars="187"/>
        <w:rPr>
          <w:rFonts w:ascii="宋体" w:hAnsi="宋体" w:cs="宋体"/>
          <w:color w:val="000000"/>
          <w:sz w:val="24"/>
          <w:highlight w:val="none"/>
        </w:rPr>
      </w:pPr>
      <w:r>
        <w:rPr>
          <w:rFonts w:hint="eastAsia" w:ascii="宋体" w:hAnsi="宋体" w:cs="宋体"/>
          <w:color w:val="000000"/>
          <w:kern w:val="0"/>
          <w:sz w:val="24"/>
          <w:szCs w:val="24"/>
          <w:highlight w:val="none"/>
        </w:rPr>
        <w:t>4.10</w:t>
      </w:r>
      <w:r>
        <w:rPr>
          <w:rFonts w:hint="eastAsia" w:ascii="宋体" w:hAnsi="宋体" w:cs="宋体"/>
          <w:color w:val="000000"/>
          <w:sz w:val="24"/>
          <w:highlight w:val="none"/>
        </w:rPr>
        <w:t>因</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原因导致本协议解除的，</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只赔偿造成</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的直接损失，不赔偿预期可得利益。</w:t>
      </w:r>
    </w:p>
    <w:p>
      <w:pPr>
        <w:adjustRightInd w:val="0"/>
        <w:snapToGrid w:val="0"/>
        <w:spacing w:line="360" w:lineRule="auto"/>
        <w:ind w:firstLine="448" w:firstLineChars="187"/>
        <w:rPr>
          <w:rFonts w:hint="eastAsia"/>
          <w:color w:val="000000"/>
          <w:sz w:val="24"/>
          <w:highlight w:val="none"/>
        </w:rPr>
      </w:pPr>
      <w:r>
        <w:rPr>
          <w:rFonts w:hint="eastAsia" w:ascii="宋体" w:hAnsi="宋体" w:cs="宋体"/>
          <w:color w:val="000000"/>
          <w:kern w:val="0"/>
          <w:sz w:val="24"/>
          <w:szCs w:val="24"/>
          <w:highlight w:val="none"/>
        </w:rPr>
        <w:t>4.11</w:t>
      </w:r>
      <w:r>
        <w:rPr>
          <w:rFonts w:hint="eastAsia"/>
          <w:color w:val="000000"/>
          <w:sz w:val="24"/>
          <w:highlight w:val="none"/>
        </w:rPr>
        <w:t>在监理服务期限内，因</w:t>
      </w:r>
      <w:r>
        <w:rPr>
          <w:rFonts w:hint="eastAsia"/>
          <w:color w:val="000000"/>
          <w:sz w:val="24"/>
          <w:highlight w:val="none"/>
          <w:lang w:eastAsia="zh-CN"/>
        </w:rPr>
        <w:t>承包人</w:t>
      </w:r>
      <w:r>
        <w:rPr>
          <w:rFonts w:hint="eastAsia"/>
          <w:color w:val="000000"/>
          <w:sz w:val="24"/>
          <w:highlight w:val="none"/>
        </w:rPr>
        <w:t>与第三方就财物和人员损失或其他事宜形成争议，对工程进度、质量和社会形象产生负面影响时，</w:t>
      </w:r>
      <w:r>
        <w:rPr>
          <w:rFonts w:hint="eastAsia"/>
          <w:color w:val="000000"/>
          <w:sz w:val="24"/>
          <w:highlight w:val="none"/>
          <w:lang w:eastAsia="zh-CN"/>
        </w:rPr>
        <w:t>承包人</w:t>
      </w:r>
      <w:r>
        <w:rPr>
          <w:rFonts w:hint="eastAsia"/>
          <w:color w:val="000000"/>
          <w:sz w:val="24"/>
          <w:highlight w:val="none"/>
        </w:rPr>
        <w:t>应当在事件发生之日或</w:t>
      </w:r>
      <w:r>
        <w:rPr>
          <w:rFonts w:hint="eastAsia"/>
          <w:color w:val="000000"/>
          <w:sz w:val="24"/>
          <w:highlight w:val="none"/>
          <w:lang w:eastAsia="zh-CN"/>
        </w:rPr>
        <w:t>发包人</w:t>
      </w:r>
      <w:r>
        <w:rPr>
          <w:rFonts w:hint="eastAsia"/>
          <w:color w:val="000000"/>
          <w:sz w:val="24"/>
          <w:highlight w:val="none"/>
        </w:rPr>
        <w:t>通知要求的时限内解决争议，消除对本项目的负面影响。若</w:t>
      </w:r>
      <w:r>
        <w:rPr>
          <w:rFonts w:hint="eastAsia"/>
          <w:color w:val="000000"/>
          <w:sz w:val="24"/>
          <w:highlight w:val="none"/>
          <w:lang w:eastAsia="zh-CN"/>
        </w:rPr>
        <w:t>承包人</w:t>
      </w:r>
      <w:r>
        <w:rPr>
          <w:rFonts w:hint="eastAsia"/>
          <w:color w:val="000000"/>
          <w:sz w:val="24"/>
          <w:highlight w:val="none"/>
        </w:rPr>
        <w:t>未能解决，</w:t>
      </w:r>
      <w:r>
        <w:rPr>
          <w:rFonts w:hint="eastAsia"/>
          <w:color w:val="000000"/>
          <w:sz w:val="24"/>
          <w:highlight w:val="none"/>
          <w:lang w:eastAsia="zh-CN"/>
        </w:rPr>
        <w:t>发包人</w:t>
      </w:r>
      <w:r>
        <w:rPr>
          <w:rFonts w:hint="eastAsia"/>
          <w:color w:val="000000"/>
          <w:sz w:val="24"/>
          <w:highlight w:val="none"/>
        </w:rPr>
        <w:t>有权代表</w:t>
      </w:r>
      <w:r>
        <w:rPr>
          <w:rFonts w:hint="eastAsia"/>
          <w:color w:val="000000"/>
          <w:sz w:val="24"/>
          <w:highlight w:val="none"/>
          <w:lang w:eastAsia="zh-CN"/>
        </w:rPr>
        <w:t>承包人</w:t>
      </w:r>
      <w:r>
        <w:rPr>
          <w:rFonts w:hint="eastAsia"/>
          <w:color w:val="000000"/>
          <w:sz w:val="24"/>
          <w:highlight w:val="none"/>
        </w:rPr>
        <w:t>与第三人进行磋商以解决争议，</w:t>
      </w:r>
      <w:r>
        <w:rPr>
          <w:rFonts w:hint="eastAsia"/>
          <w:color w:val="000000"/>
          <w:sz w:val="24"/>
          <w:highlight w:val="none"/>
          <w:lang w:eastAsia="zh-CN"/>
        </w:rPr>
        <w:t>承包人</w:t>
      </w:r>
      <w:r>
        <w:rPr>
          <w:rFonts w:hint="eastAsia"/>
          <w:color w:val="000000"/>
          <w:sz w:val="24"/>
          <w:highlight w:val="none"/>
        </w:rPr>
        <w:t xml:space="preserve">应当无条件接受处理结果，并承担与之相关的一切费用。 </w:t>
      </w:r>
    </w:p>
    <w:p>
      <w:pPr>
        <w:tabs>
          <w:tab w:val="left" w:pos="1442"/>
        </w:tabs>
        <w:spacing w:line="360" w:lineRule="auto"/>
        <w:rPr>
          <w:rFonts w:ascii="宋体" w:hAnsi="宋体" w:cs="宋体"/>
          <w:b/>
          <w:color w:val="000000"/>
          <w:spacing w:val="4"/>
          <w:sz w:val="24"/>
          <w:szCs w:val="24"/>
          <w:highlight w:val="none"/>
        </w:rPr>
      </w:pPr>
      <w:r>
        <w:rPr>
          <w:rFonts w:ascii="宋体" w:hAnsi="宋体" w:cs="宋体"/>
          <w:b/>
          <w:color w:val="000000"/>
          <w:spacing w:val="4"/>
          <w:sz w:val="24"/>
          <w:szCs w:val="24"/>
          <w:highlight w:val="none"/>
        </w:rPr>
        <w:t>4.12  在本合同监理过程中，监理单位不履行或不适当履行监理合同约定的义务，监理单位同意按下述方式向</w:t>
      </w:r>
      <w:r>
        <w:rPr>
          <w:rFonts w:hint="eastAsia" w:ascii="宋体" w:hAnsi="宋体" w:cs="宋体"/>
          <w:b/>
          <w:color w:val="000000"/>
          <w:spacing w:val="4"/>
          <w:sz w:val="24"/>
          <w:szCs w:val="24"/>
          <w:highlight w:val="none"/>
        </w:rPr>
        <w:t>委托方支付违约金：</w:t>
      </w:r>
    </w:p>
    <w:p>
      <w:pPr>
        <w:pStyle w:val="70"/>
        <w:snapToGrid w:val="0"/>
        <w:spacing w:line="440" w:lineRule="exact"/>
        <w:ind w:left="420" w:leftChars="200"/>
        <w:rPr>
          <w:rFonts w:ascii="宋体" w:hAnsi="宋体" w:cs="宋体"/>
          <w:color w:val="000000"/>
          <w:highlight w:val="none"/>
        </w:rPr>
      </w:pPr>
      <w:r>
        <w:rPr>
          <w:rFonts w:ascii="宋体" w:hAnsi="宋体" w:cs="宋体"/>
          <w:color w:val="000000"/>
          <w:highlight w:val="none"/>
        </w:rPr>
        <w:t>4.12.1监理单位未履行“阅读、深化、审查施工图纸，在收到图纸之日起5</w:t>
      </w:r>
      <w:r>
        <w:rPr>
          <w:rFonts w:hint="eastAsia" w:ascii="宋体" w:hAnsi="宋体" w:cs="宋体"/>
          <w:color w:val="000000"/>
          <w:highlight w:val="none"/>
        </w:rPr>
        <w:t>天内提出图纸审查意见”的职责，导致返工、开凿及变更，增加了工程费用，监理单位应承担连带责任，每发生一处监理单位向</w:t>
      </w:r>
      <w:r>
        <w:rPr>
          <w:rFonts w:hint="eastAsia" w:ascii="宋体" w:hAnsi="宋体" w:cs="宋体"/>
          <w:color w:val="000000"/>
          <w:highlight w:val="none"/>
          <w:lang w:eastAsia="zh-CN"/>
        </w:rPr>
        <w:t>发包人</w:t>
      </w:r>
      <w:r>
        <w:rPr>
          <w:rFonts w:hint="eastAsia" w:ascii="宋体" w:hAnsi="宋体" w:cs="宋体"/>
          <w:color w:val="000000"/>
          <w:highlight w:val="none"/>
        </w:rPr>
        <w:t>支付违约金</w:t>
      </w:r>
      <w:r>
        <w:rPr>
          <w:rStyle w:val="62"/>
          <w:rFonts w:ascii="宋体" w:hAnsi="宋体" w:cs="宋体"/>
          <w:color w:val="000000"/>
          <w:highlight w:val="none"/>
        </w:rPr>
        <w:t>0.1</w:t>
      </w:r>
      <w:r>
        <w:rPr>
          <w:rFonts w:hint="eastAsia" w:ascii="宋体" w:hAnsi="宋体" w:cs="宋体"/>
          <w:color w:val="000000"/>
          <w:highlight w:val="none"/>
        </w:rPr>
        <w:t>万元。</w:t>
      </w:r>
    </w:p>
    <w:p>
      <w:pPr>
        <w:pStyle w:val="70"/>
        <w:tabs>
          <w:tab w:val="left" w:pos="1134"/>
        </w:tabs>
        <w:snapToGrid w:val="0"/>
        <w:spacing w:line="440" w:lineRule="exact"/>
        <w:ind w:left="420" w:leftChars="200"/>
        <w:rPr>
          <w:rFonts w:ascii="宋体" w:hAnsi="宋体" w:cs="宋体"/>
          <w:color w:val="000000"/>
          <w:highlight w:val="none"/>
        </w:rPr>
      </w:pPr>
      <w:r>
        <w:rPr>
          <w:rFonts w:ascii="宋体" w:hAnsi="宋体" w:cs="宋体"/>
          <w:color w:val="000000"/>
          <w:highlight w:val="none"/>
        </w:rPr>
        <w:t>4.12.2因监理单位对施工承包方的安全文明施工检查督促不力，发生重大安全责任事故，每发生一次，监理单位向</w:t>
      </w:r>
      <w:r>
        <w:rPr>
          <w:rFonts w:hint="eastAsia" w:ascii="宋体" w:hAnsi="宋体" w:cs="宋体"/>
          <w:color w:val="000000"/>
          <w:highlight w:val="none"/>
          <w:lang w:eastAsia="zh-CN"/>
        </w:rPr>
        <w:t>发包人</w:t>
      </w:r>
      <w:r>
        <w:rPr>
          <w:rFonts w:hint="eastAsia" w:ascii="宋体" w:hAnsi="宋体" w:cs="宋体"/>
          <w:color w:val="000000"/>
          <w:highlight w:val="none"/>
        </w:rPr>
        <w:t>支付违约金</w:t>
      </w:r>
      <w:r>
        <w:rPr>
          <w:rStyle w:val="62"/>
          <w:rFonts w:ascii="宋体" w:hAnsi="宋体" w:cs="宋体"/>
          <w:color w:val="000000"/>
          <w:highlight w:val="none"/>
        </w:rPr>
        <w:t>1</w:t>
      </w:r>
      <w:r>
        <w:rPr>
          <w:rStyle w:val="62"/>
          <w:rFonts w:hint="eastAsia" w:ascii="宋体" w:hAnsi="宋体" w:cs="宋体"/>
          <w:color w:val="000000"/>
          <w:highlight w:val="none"/>
        </w:rPr>
        <w:t>万</w:t>
      </w:r>
      <w:r>
        <w:rPr>
          <w:rFonts w:hint="eastAsia" w:ascii="宋体" w:hAnsi="宋体" w:cs="宋体"/>
          <w:color w:val="000000"/>
          <w:highlight w:val="none"/>
        </w:rPr>
        <w:t>元。</w:t>
      </w:r>
    </w:p>
    <w:p>
      <w:pPr>
        <w:pStyle w:val="94"/>
        <w:tabs>
          <w:tab w:val="left" w:pos="1134"/>
        </w:tabs>
        <w:snapToGrid w:val="0"/>
        <w:spacing w:line="440" w:lineRule="exact"/>
        <w:ind w:left="420" w:leftChars="200" w:firstLine="0" w:firstLineChars="0"/>
        <w:jc w:val="left"/>
        <w:rPr>
          <w:rFonts w:ascii="宋体" w:hAnsi="宋体" w:cs="宋体"/>
          <w:color w:val="000000"/>
          <w:sz w:val="24"/>
          <w:szCs w:val="24"/>
          <w:highlight w:val="none"/>
        </w:rPr>
      </w:pPr>
      <w:r>
        <w:rPr>
          <w:rFonts w:ascii="宋体" w:hAnsi="宋体" w:cs="宋体"/>
          <w:color w:val="000000"/>
          <w:sz w:val="24"/>
          <w:szCs w:val="24"/>
          <w:highlight w:val="none"/>
        </w:rPr>
        <w:t>4.12.3监理单位对</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提前告知的工程目标未积极响应，因未尽到本合同约定义务而影响项目月计划、关键节点落实的，监理单位需承担</w:t>
      </w:r>
      <w:r>
        <w:rPr>
          <w:rStyle w:val="62"/>
          <w:rFonts w:ascii="宋体" w:hAnsi="宋体" w:cs="宋体"/>
          <w:color w:val="000000"/>
          <w:szCs w:val="24"/>
          <w:highlight w:val="none"/>
        </w:rPr>
        <w:t>5000</w:t>
      </w:r>
      <w:r>
        <w:rPr>
          <w:rFonts w:hint="eastAsia" w:ascii="宋体" w:hAnsi="宋体" w:cs="宋体"/>
          <w:color w:val="000000"/>
          <w:sz w:val="24"/>
          <w:szCs w:val="24"/>
          <w:highlight w:val="none"/>
        </w:rPr>
        <w:t>元的违约金。</w:t>
      </w:r>
    </w:p>
    <w:p>
      <w:pPr>
        <w:pStyle w:val="94"/>
        <w:tabs>
          <w:tab w:val="left" w:pos="1134"/>
        </w:tabs>
        <w:snapToGrid w:val="0"/>
        <w:spacing w:line="440" w:lineRule="exact"/>
        <w:ind w:left="420" w:leftChars="200" w:firstLine="0" w:firstLineChars="0"/>
        <w:jc w:val="left"/>
        <w:rPr>
          <w:rFonts w:ascii="宋体" w:hAnsi="宋体" w:cs="宋体"/>
          <w:color w:val="000000"/>
          <w:sz w:val="24"/>
          <w:szCs w:val="24"/>
          <w:highlight w:val="none"/>
        </w:rPr>
      </w:pPr>
      <w:r>
        <w:rPr>
          <w:rFonts w:ascii="宋体" w:hAnsi="宋体" w:cs="宋体"/>
          <w:color w:val="000000"/>
          <w:sz w:val="24"/>
          <w:szCs w:val="24"/>
          <w:highlight w:val="none"/>
        </w:rPr>
        <w:t>4.12.4因监理单位原因，单位工程竣工验收时未一次性达到施工合同约定的质量标准或未能达到</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的各项控制目标（品质、进度、安全、投资、环保等），监理单位向</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支付监理费结算价</w:t>
      </w:r>
      <w:r>
        <w:rPr>
          <w:rStyle w:val="62"/>
          <w:rFonts w:ascii="宋体" w:hAnsi="宋体" w:cs="宋体"/>
          <w:color w:val="000000"/>
          <w:szCs w:val="24"/>
          <w:highlight w:val="none"/>
        </w:rPr>
        <w:t>1</w:t>
      </w:r>
      <w:r>
        <w:rPr>
          <w:rFonts w:ascii="宋体" w:hAnsi="宋体" w:cs="宋体"/>
          <w:color w:val="000000"/>
          <w:sz w:val="24"/>
          <w:szCs w:val="24"/>
          <w:highlight w:val="none"/>
          <w:u w:val="single"/>
        </w:rPr>
        <w:t>%</w:t>
      </w:r>
      <w:r>
        <w:rPr>
          <w:rFonts w:hint="eastAsia" w:ascii="宋体" w:hAnsi="宋体" w:cs="宋体"/>
          <w:color w:val="000000"/>
          <w:sz w:val="24"/>
          <w:szCs w:val="24"/>
          <w:highlight w:val="none"/>
        </w:rPr>
        <w:t>的违约金</w:t>
      </w:r>
      <w:r>
        <w:rPr>
          <w:rFonts w:ascii="宋体" w:hAnsi="宋体" w:cs="宋体"/>
          <w:color w:val="000000"/>
          <w:sz w:val="24"/>
          <w:szCs w:val="24"/>
          <w:highlight w:val="none"/>
        </w:rPr>
        <w:t>/次。</w:t>
      </w:r>
    </w:p>
    <w:p>
      <w:pPr>
        <w:pStyle w:val="94"/>
        <w:tabs>
          <w:tab w:val="left" w:pos="1134"/>
        </w:tabs>
        <w:snapToGrid w:val="0"/>
        <w:spacing w:line="440" w:lineRule="exact"/>
        <w:ind w:left="420" w:leftChars="200" w:firstLine="0" w:firstLineChars="0"/>
        <w:jc w:val="left"/>
        <w:rPr>
          <w:rFonts w:ascii="宋体" w:hAnsi="宋体" w:cs="宋体"/>
          <w:color w:val="000000"/>
          <w:sz w:val="24"/>
          <w:szCs w:val="24"/>
          <w:highlight w:val="none"/>
        </w:rPr>
      </w:pPr>
      <w:r>
        <w:rPr>
          <w:rFonts w:ascii="宋体" w:hAnsi="宋体" w:cs="宋体"/>
          <w:color w:val="000000"/>
          <w:sz w:val="24"/>
          <w:szCs w:val="24"/>
          <w:highlight w:val="none"/>
        </w:rPr>
        <w:t>4.12.5涉及</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商业私密或未经公开的决策意见，监理单位应在知情后予以保密，如经查实为监理单位人员泄露，</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有权要求监理单位向</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支付每次</w:t>
      </w:r>
      <w:r>
        <w:rPr>
          <w:rStyle w:val="62"/>
          <w:rFonts w:ascii="宋体" w:hAnsi="宋体" w:cs="宋体"/>
          <w:color w:val="000000"/>
          <w:szCs w:val="24"/>
          <w:highlight w:val="none"/>
        </w:rPr>
        <w:t>10000</w:t>
      </w:r>
      <w:r>
        <w:rPr>
          <w:rFonts w:hint="eastAsia" w:ascii="宋体" w:hAnsi="宋体" w:cs="宋体"/>
          <w:color w:val="000000"/>
          <w:sz w:val="24"/>
          <w:szCs w:val="24"/>
          <w:highlight w:val="none"/>
        </w:rPr>
        <w:t>元的违约金，同时监理单位应承担相应的法律责任。</w:t>
      </w:r>
    </w:p>
    <w:p>
      <w:pPr>
        <w:pStyle w:val="94"/>
        <w:tabs>
          <w:tab w:val="left" w:pos="1134"/>
        </w:tabs>
        <w:adjustRightInd w:val="0"/>
        <w:snapToGrid w:val="0"/>
        <w:spacing w:line="440" w:lineRule="exact"/>
        <w:ind w:firstLine="360" w:firstLineChars="150"/>
        <w:jc w:val="left"/>
        <w:rPr>
          <w:rFonts w:hint="eastAsia"/>
          <w:color w:val="000000"/>
          <w:sz w:val="24"/>
          <w:highlight w:val="none"/>
        </w:rPr>
      </w:pPr>
      <w:r>
        <w:rPr>
          <w:rFonts w:ascii="宋体" w:hAnsi="宋体" w:cs="宋体"/>
          <w:color w:val="000000"/>
          <w:sz w:val="24"/>
          <w:szCs w:val="24"/>
          <w:highlight w:val="none"/>
          <w:u w:val="single"/>
        </w:rPr>
        <w:t>4.12.6</w:t>
      </w:r>
      <w:r>
        <w:rPr>
          <w:rFonts w:hint="eastAsia" w:ascii="宋体" w:hAnsi="宋体" w:cs="宋体"/>
          <w:color w:val="000000"/>
          <w:sz w:val="24"/>
          <w:szCs w:val="24"/>
          <w:highlight w:val="none"/>
          <w:u w:val="single"/>
        </w:rPr>
        <w:t>监理项目部应成立不小于</w:t>
      </w:r>
      <w:r>
        <w:rPr>
          <w:rFonts w:ascii="宋体" w:hAnsi="宋体" w:cs="宋体"/>
          <w:color w:val="000000"/>
          <w:sz w:val="24"/>
          <w:szCs w:val="24"/>
          <w:highlight w:val="none"/>
          <w:u w:val="single"/>
        </w:rPr>
        <w:t>3</w:t>
      </w:r>
      <w:r>
        <w:rPr>
          <w:rFonts w:hint="eastAsia" w:ascii="宋体" w:hAnsi="宋体" w:cs="宋体"/>
          <w:color w:val="000000"/>
          <w:sz w:val="24"/>
          <w:szCs w:val="24"/>
          <w:highlight w:val="none"/>
          <w:u w:val="single"/>
        </w:rPr>
        <w:t>人的实测实量组，监理单位应根据工程进度监督施工单位进行所有测区的实测实量，并且进行</w:t>
      </w:r>
      <w:r>
        <w:rPr>
          <w:rFonts w:ascii="宋体" w:hAnsi="宋体" w:cs="宋体"/>
          <w:color w:val="000000"/>
          <w:sz w:val="24"/>
          <w:szCs w:val="24"/>
          <w:highlight w:val="none"/>
          <w:u w:val="single"/>
        </w:rPr>
        <w:t>50%</w:t>
      </w:r>
      <w:r>
        <w:rPr>
          <w:rFonts w:hint="eastAsia" w:ascii="宋体" w:hAnsi="宋体" w:cs="宋体"/>
          <w:color w:val="000000"/>
          <w:sz w:val="24"/>
          <w:szCs w:val="24"/>
          <w:highlight w:val="none"/>
          <w:u w:val="single"/>
        </w:rPr>
        <w:t>测区的复查，每周提交实测实量报告。所测数据应客观真实，如发现存在弄虚作假，将收取</w:t>
      </w:r>
      <w:r>
        <w:rPr>
          <w:rFonts w:ascii="宋体" w:hAnsi="宋体" w:cs="宋体"/>
          <w:color w:val="000000"/>
          <w:sz w:val="24"/>
          <w:szCs w:val="24"/>
          <w:highlight w:val="none"/>
          <w:u w:val="single"/>
        </w:rPr>
        <w:t>1000-3000</w:t>
      </w:r>
      <w:r>
        <w:rPr>
          <w:rFonts w:hint="eastAsia" w:ascii="宋体" w:hAnsi="宋体" w:cs="宋体"/>
          <w:color w:val="000000"/>
          <w:sz w:val="24"/>
          <w:szCs w:val="24"/>
          <w:highlight w:val="none"/>
          <w:u w:val="single"/>
        </w:rPr>
        <w:t>元次的违约金。</w:t>
      </w:r>
    </w:p>
    <w:p>
      <w:pPr>
        <w:adjustRightInd w:val="0"/>
        <w:snapToGrid w:val="0"/>
        <w:spacing w:line="360" w:lineRule="auto"/>
        <w:ind w:firstLine="448" w:firstLineChars="187"/>
        <w:rPr>
          <w:rFonts w:ascii="宋体" w:hAnsi="宋体" w:cs="宋体"/>
          <w:color w:val="000000"/>
          <w:sz w:val="24"/>
          <w:highlight w:val="none"/>
        </w:rPr>
      </w:pPr>
      <w:r>
        <w:rPr>
          <w:rFonts w:hint="eastAsia" w:ascii="宋体" w:hAnsi="宋体" w:cs="宋体"/>
          <w:color w:val="000000"/>
          <w:kern w:val="0"/>
          <w:sz w:val="24"/>
          <w:szCs w:val="24"/>
          <w:highlight w:val="none"/>
        </w:rPr>
        <w:t>4.13</w:t>
      </w:r>
      <w:r>
        <w:rPr>
          <w:rFonts w:hint="eastAsia" w:ascii="宋体" w:hAnsi="宋体" w:cs="宋体"/>
          <w:color w:val="000000"/>
          <w:sz w:val="24"/>
          <w:highlight w:val="none"/>
        </w:rPr>
        <w:t>凡在本协议约定的</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应承担的违约金，</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有权直接从</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存于</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的监理报酬，或其他任何利益中直接扣除，且</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对未能扣除的部分有进一步追偿的权利。</w:t>
      </w:r>
    </w:p>
    <w:p>
      <w:pPr>
        <w:snapToGrid w:val="0"/>
        <w:spacing w:line="360" w:lineRule="auto"/>
        <w:rPr>
          <w:rFonts w:ascii="宋体" w:hAnsi="宋体" w:cs="宋体"/>
          <w:b/>
          <w:color w:val="000000"/>
          <w:sz w:val="24"/>
          <w:szCs w:val="24"/>
          <w:highlight w:val="none"/>
        </w:rPr>
      </w:pPr>
      <w:r>
        <w:rPr>
          <w:rFonts w:hint="eastAsia" w:ascii="宋体" w:hAnsi="宋体" w:cs="宋体"/>
          <w:b/>
          <w:bCs/>
          <w:color w:val="000000"/>
          <w:sz w:val="24"/>
          <w:szCs w:val="24"/>
          <w:highlight w:val="none"/>
        </w:rPr>
        <w:t>5. 支付及奖罚条款</w:t>
      </w:r>
    </w:p>
    <w:p>
      <w:pPr>
        <w:snapToGrid w:val="0"/>
        <w:spacing w:line="360" w:lineRule="auto"/>
        <w:rPr>
          <w:rFonts w:ascii="宋体" w:hAnsi="宋体" w:cs="宋体"/>
          <w:bCs/>
          <w:color w:val="000000"/>
          <w:sz w:val="24"/>
          <w:szCs w:val="24"/>
          <w:highlight w:val="none"/>
        </w:rPr>
      </w:pPr>
      <w:r>
        <w:rPr>
          <w:rFonts w:hint="eastAsia" w:ascii="宋体" w:hAnsi="宋体" w:cs="宋体"/>
          <w:color w:val="000000"/>
          <w:sz w:val="24"/>
          <w:szCs w:val="24"/>
          <w:highlight w:val="none"/>
        </w:rPr>
        <w:t xml:space="preserve">  5.1 </w:t>
      </w:r>
      <w:r>
        <w:rPr>
          <w:rFonts w:hint="eastAsia" w:ascii="宋体" w:hAnsi="宋体" w:cs="宋体"/>
          <w:bCs/>
          <w:color w:val="000000"/>
          <w:sz w:val="24"/>
          <w:szCs w:val="24"/>
          <w:highlight w:val="none"/>
        </w:rPr>
        <w:t>支付货币</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币种为：</w:t>
      </w:r>
      <w:r>
        <w:rPr>
          <w:rFonts w:hint="eastAsia" w:ascii="宋体" w:hAnsi="宋体" w:cs="宋体"/>
          <w:color w:val="000000"/>
          <w:sz w:val="24"/>
          <w:szCs w:val="24"/>
          <w:highlight w:val="none"/>
          <w:u w:val="single"/>
        </w:rPr>
        <w:t xml:space="preserve"> 人民币    </w:t>
      </w:r>
      <w:r>
        <w:rPr>
          <w:rFonts w:hint="eastAsia" w:ascii="宋体" w:hAnsi="宋体" w:cs="宋体"/>
          <w:color w:val="000000"/>
          <w:sz w:val="24"/>
          <w:szCs w:val="24"/>
          <w:highlight w:val="none"/>
        </w:rPr>
        <w:t xml:space="preserve">。 </w:t>
      </w:r>
    </w:p>
    <w:p>
      <w:pPr>
        <w:snapToGrid w:val="0"/>
        <w:spacing w:line="360" w:lineRule="auto"/>
        <w:ind w:firstLine="240" w:firstLine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5.2 支付酬金</w:t>
      </w:r>
    </w:p>
    <w:p>
      <w:pPr>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5.2.1正常工作</w:t>
      </w:r>
      <w:r>
        <w:rPr>
          <w:rFonts w:hint="eastAsia" w:ascii="宋体" w:hAnsi="宋体" w:cs="宋体"/>
          <w:color w:val="000000"/>
          <w:sz w:val="24"/>
          <w:szCs w:val="24"/>
          <w:highlight w:val="none"/>
        </w:rPr>
        <w:t>酬金的</w:t>
      </w:r>
      <w:r>
        <w:rPr>
          <w:rFonts w:hint="eastAsia" w:ascii="宋体" w:hAnsi="宋体" w:cs="宋体"/>
          <w:color w:val="000000"/>
          <w:kern w:val="0"/>
          <w:sz w:val="24"/>
          <w:szCs w:val="24"/>
          <w:highlight w:val="none"/>
        </w:rPr>
        <w:t>支付</w:t>
      </w:r>
      <w:r>
        <w:rPr>
          <w:rFonts w:hint="eastAsia" w:ascii="宋体" w:hAnsi="宋体" w:cs="宋体"/>
          <w:color w:val="000000"/>
          <w:sz w:val="24"/>
          <w:szCs w:val="24"/>
          <w:highlight w:val="none"/>
        </w:rPr>
        <w:t>：</w:t>
      </w:r>
    </w:p>
    <w:tbl>
      <w:tblPr>
        <w:tblStyle w:val="32"/>
        <w:tblW w:w="9498"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4485"/>
        <w:gridCol w:w="121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dxa"/>
            <w:noWrap w:val="0"/>
            <w:vAlign w:val="center"/>
          </w:tcPr>
          <w:p>
            <w:pPr>
              <w:spacing w:line="360" w:lineRule="auto"/>
              <w:jc w:val="center"/>
              <w:rPr>
                <w:rFonts w:ascii="宋体" w:hAnsi="宋体" w:cs="宋体"/>
                <w:color w:val="FF0000"/>
                <w:sz w:val="24"/>
                <w:szCs w:val="24"/>
                <w:highlight w:val="none"/>
              </w:rPr>
            </w:pPr>
            <w:r>
              <w:rPr>
                <w:rFonts w:hint="eastAsia" w:ascii="宋体" w:hAnsi="宋体" w:cs="宋体"/>
                <w:color w:val="FF0000"/>
                <w:sz w:val="24"/>
                <w:szCs w:val="24"/>
                <w:highlight w:val="none"/>
              </w:rPr>
              <w:t>支付次数</w:t>
            </w:r>
          </w:p>
        </w:tc>
        <w:tc>
          <w:tcPr>
            <w:tcW w:w="4485" w:type="dxa"/>
            <w:noWrap w:val="0"/>
            <w:vAlign w:val="center"/>
          </w:tcPr>
          <w:p>
            <w:pPr>
              <w:spacing w:line="360" w:lineRule="auto"/>
              <w:jc w:val="center"/>
              <w:rPr>
                <w:rFonts w:ascii="宋体" w:hAnsi="宋体" w:cs="宋体"/>
                <w:color w:val="FF0000"/>
                <w:sz w:val="24"/>
                <w:szCs w:val="24"/>
                <w:highlight w:val="none"/>
              </w:rPr>
            </w:pPr>
            <w:r>
              <w:rPr>
                <w:rFonts w:hint="eastAsia" w:ascii="宋体" w:hAnsi="宋体" w:cs="宋体"/>
                <w:color w:val="FF0000"/>
                <w:sz w:val="24"/>
                <w:szCs w:val="24"/>
                <w:highlight w:val="none"/>
              </w:rPr>
              <w:t>支付时间</w:t>
            </w:r>
          </w:p>
        </w:tc>
        <w:tc>
          <w:tcPr>
            <w:tcW w:w="1215" w:type="dxa"/>
            <w:noWrap w:val="0"/>
            <w:vAlign w:val="top"/>
          </w:tcPr>
          <w:p>
            <w:pPr>
              <w:spacing w:line="360" w:lineRule="auto"/>
              <w:jc w:val="center"/>
              <w:rPr>
                <w:rFonts w:ascii="宋体" w:hAnsi="宋体" w:cs="宋体"/>
                <w:color w:val="FF0000"/>
                <w:sz w:val="24"/>
                <w:szCs w:val="24"/>
                <w:highlight w:val="none"/>
              </w:rPr>
            </w:pPr>
            <w:r>
              <w:rPr>
                <w:rFonts w:hint="eastAsia" w:ascii="宋体" w:hAnsi="宋体" w:cs="宋体"/>
                <w:color w:val="FF0000"/>
                <w:sz w:val="24"/>
                <w:szCs w:val="24"/>
                <w:highlight w:val="none"/>
              </w:rPr>
              <w:t>支付比例</w:t>
            </w:r>
          </w:p>
        </w:tc>
        <w:tc>
          <w:tcPr>
            <w:tcW w:w="1920" w:type="dxa"/>
            <w:noWrap w:val="0"/>
            <w:vAlign w:val="center"/>
          </w:tcPr>
          <w:p>
            <w:pPr>
              <w:spacing w:line="360" w:lineRule="auto"/>
              <w:jc w:val="center"/>
              <w:rPr>
                <w:rFonts w:ascii="宋体" w:hAnsi="宋体" w:cs="宋体"/>
                <w:color w:val="FF0000"/>
                <w:sz w:val="24"/>
                <w:szCs w:val="24"/>
                <w:highlight w:val="none"/>
              </w:rPr>
            </w:pPr>
            <w:r>
              <w:rPr>
                <w:rFonts w:hint="eastAsia" w:ascii="宋体" w:hAnsi="宋体" w:cs="宋体"/>
                <w:color w:val="FF0000"/>
                <w:sz w:val="24"/>
                <w:szCs w:val="24"/>
                <w:highlight w:val="none"/>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878"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rPr>
              <w:t>首付款</w:t>
            </w:r>
          </w:p>
        </w:tc>
        <w:tc>
          <w:tcPr>
            <w:tcW w:w="4485" w:type="dxa"/>
            <w:noWrap w:val="0"/>
            <w:vAlign w:val="center"/>
          </w:tcPr>
          <w:p>
            <w:pPr>
              <w:spacing w:line="360" w:lineRule="auto"/>
              <w:rPr>
                <w:rFonts w:hint="eastAsia" w:ascii="宋体" w:hAnsi="宋体" w:eastAsia="宋体" w:cs="宋体"/>
                <w:color w:val="FF0000"/>
                <w:sz w:val="24"/>
                <w:szCs w:val="24"/>
                <w:highlight w:val="none"/>
                <w:lang w:eastAsia="zh-CN"/>
              </w:rPr>
            </w:pPr>
            <w:r>
              <w:rPr>
                <w:rFonts w:hint="eastAsia" w:ascii="宋体" w:hAnsi="宋体" w:cs="宋体"/>
                <w:color w:val="FF0000"/>
                <w:sz w:val="24"/>
                <w:szCs w:val="24"/>
                <w:highlight w:val="none"/>
                <w:lang w:val="en-US" w:eastAsia="zh-CN"/>
              </w:rPr>
              <w:t>基坑完成开挖</w:t>
            </w:r>
          </w:p>
        </w:tc>
        <w:tc>
          <w:tcPr>
            <w:tcW w:w="1215" w:type="dxa"/>
            <w:noWrap w:val="0"/>
            <w:vAlign w:val="center"/>
          </w:tcPr>
          <w:p>
            <w:pPr>
              <w:tabs>
                <w:tab w:val="left" w:pos="343"/>
              </w:tabs>
              <w:spacing w:line="360" w:lineRule="auto"/>
              <w:jc w:val="center"/>
              <w:rPr>
                <w:rFonts w:hint="default" w:ascii="宋体" w:hAnsi="宋体" w:eastAsia="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7%</w:t>
            </w:r>
          </w:p>
        </w:tc>
        <w:tc>
          <w:tcPr>
            <w:tcW w:w="1920" w:type="dxa"/>
            <w:noWrap w:val="0"/>
            <w:vAlign w:val="center"/>
          </w:tcPr>
          <w:p>
            <w:pPr>
              <w:spacing w:line="360" w:lineRule="auto"/>
              <w:jc w:val="right"/>
              <w:rPr>
                <w:rFonts w:hint="default" w:ascii="宋体" w:hAnsi="宋体" w:eastAsia="宋体" w:cs="宋体"/>
                <w:color w:val="FF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78"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rPr>
              <w:t>第二次付款</w:t>
            </w:r>
          </w:p>
        </w:tc>
        <w:tc>
          <w:tcPr>
            <w:tcW w:w="4485"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基坑支护完成</w:t>
            </w:r>
          </w:p>
        </w:tc>
        <w:tc>
          <w:tcPr>
            <w:tcW w:w="1215" w:type="dxa"/>
            <w:noWrap w:val="0"/>
            <w:vAlign w:val="center"/>
          </w:tcPr>
          <w:p>
            <w:pPr>
              <w:tabs>
                <w:tab w:val="left" w:pos="493"/>
              </w:tabs>
              <w:spacing w:line="360" w:lineRule="auto"/>
              <w:ind w:firstLine="0" w:firstLineChars="0"/>
              <w:jc w:val="center"/>
              <w:rPr>
                <w:rFonts w:hint="default" w:ascii="宋体" w:hAnsi="宋体" w:eastAsia="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7%</w:t>
            </w:r>
          </w:p>
        </w:tc>
        <w:tc>
          <w:tcPr>
            <w:tcW w:w="1920" w:type="dxa"/>
            <w:noWrap w:val="0"/>
            <w:vAlign w:val="center"/>
          </w:tcPr>
          <w:p>
            <w:pPr>
              <w:spacing w:line="360" w:lineRule="auto"/>
              <w:ind w:firstLine="840" w:firstLineChars="350"/>
              <w:jc w:val="right"/>
              <w:rPr>
                <w:rFonts w:hint="default" w:ascii="宋体" w:hAnsi="宋体" w:eastAsia="宋体" w:cs="宋体"/>
                <w:color w:val="FF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78"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rPr>
              <w:t>第三次付款</w:t>
            </w:r>
          </w:p>
        </w:tc>
        <w:tc>
          <w:tcPr>
            <w:tcW w:w="4485"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基础工程完成</w:t>
            </w:r>
          </w:p>
        </w:tc>
        <w:tc>
          <w:tcPr>
            <w:tcW w:w="1215" w:type="dxa"/>
            <w:noWrap w:val="0"/>
            <w:vAlign w:val="center"/>
          </w:tcPr>
          <w:p>
            <w:pPr>
              <w:tabs>
                <w:tab w:val="left" w:pos="412"/>
              </w:tabs>
              <w:spacing w:line="360" w:lineRule="auto"/>
              <w:jc w:val="center"/>
              <w:rPr>
                <w:rFonts w:hint="eastAsia" w:ascii="宋体" w:hAnsi="宋体" w:eastAsia="宋体" w:cs="宋体"/>
                <w:color w:val="FF0000"/>
                <w:sz w:val="24"/>
                <w:szCs w:val="24"/>
                <w:highlight w:val="none"/>
                <w:lang w:eastAsia="zh-CN"/>
              </w:rPr>
            </w:pPr>
            <w:r>
              <w:rPr>
                <w:rFonts w:hint="eastAsia" w:ascii="宋体" w:hAnsi="宋体" w:cs="宋体"/>
                <w:color w:val="FF0000"/>
                <w:sz w:val="24"/>
                <w:szCs w:val="24"/>
                <w:highlight w:val="none"/>
                <w:lang w:val="en-US" w:eastAsia="zh-CN"/>
              </w:rPr>
              <w:t>7%</w:t>
            </w:r>
          </w:p>
        </w:tc>
        <w:tc>
          <w:tcPr>
            <w:tcW w:w="1920" w:type="dxa"/>
            <w:noWrap w:val="0"/>
            <w:vAlign w:val="center"/>
          </w:tcPr>
          <w:p>
            <w:pPr>
              <w:spacing w:line="360" w:lineRule="auto"/>
              <w:ind w:firstLine="840" w:firstLineChars="350"/>
              <w:jc w:val="right"/>
              <w:rPr>
                <w:rFonts w:ascii="宋体" w:hAnsi="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78"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rPr>
              <w:t>第四次付款</w:t>
            </w:r>
          </w:p>
        </w:tc>
        <w:tc>
          <w:tcPr>
            <w:tcW w:w="4485" w:type="dxa"/>
            <w:noWrap w:val="0"/>
            <w:vAlign w:val="center"/>
          </w:tcPr>
          <w:p>
            <w:pPr>
              <w:spacing w:line="360" w:lineRule="auto"/>
              <w:rPr>
                <w:rFonts w:hint="default" w:ascii="宋体" w:hAnsi="宋体" w:eastAsia="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结构完成至±0.00</w:t>
            </w:r>
          </w:p>
        </w:tc>
        <w:tc>
          <w:tcPr>
            <w:tcW w:w="1215" w:type="dxa"/>
            <w:noWrap w:val="0"/>
            <w:vAlign w:val="center"/>
          </w:tcPr>
          <w:p>
            <w:pPr>
              <w:tabs>
                <w:tab w:val="left" w:pos="366"/>
              </w:tabs>
              <w:spacing w:line="360" w:lineRule="auto"/>
              <w:jc w:val="center"/>
              <w:rPr>
                <w:rFonts w:hint="eastAsia" w:ascii="宋体" w:hAnsi="宋体" w:eastAsia="宋体" w:cs="宋体"/>
                <w:color w:val="FF0000"/>
                <w:sz w:val="24"/>
                <w:szCs w:val="24"/>
                <w:highlight w:val="none"/>
                <w:lang w:eastAsia="zh-CN"/>
              </w:rPr>
            </w:pPr>
            <w:r>
              <w:rPr>
                <w:rFonts w:hint="eastAsia" w:ascii="宋体" w:hAnsi="宋体" w:cs="宋体"/>
                <w:color w:val="FF0000"/>
                <w:sz w:val="24"/>
                <w:szCs w:val="24"/>
                <w:highlight w:val="none"/>
                <w:lang w:val="en-US" w:eastAsia="zh-CN"/>
              </w:rPr>
              <w:t>7%</w:t>
            </w:r>
          </w:p>
        </w:tc>
        <w:tc>
          <w:tcPr>
            <w:tcW w:w="1920" w:type="dxa"/>
            <w:noWrap w:val="0"/>
            <w:vAlign w:val="center"/>
          </w:tcPr>
          <w:p>
            <w:pPr>
              <w:spacing w:line="360" w:lineRule="auto"/>
              <w:ind w:firstLine="840" w:firstLineChars="350"/>
              <w:jc w:val="right"/>
              <w:rPr>
                <w:rFonts w:ascii="宋体" w:hAnsi="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78"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rPr>
              <w:t>第五次付款</w:t>
            </w:r>
          </w:p>
        </w:tc>
        <w:tc>
          <w:tcPr>
            <w:tcW w:w="4485"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结构完成至五层</w:t>
            </w:r>
          </w:p>
        </w:tc>
        <w:tc>
          <w:tcPr>
            <w:tcW w:w="1215" w:type="dxa"/>
            <w:noWrap w:val="0"/>
            <w:vAlign w:val="center"/>
          </w:tcPr>
          <w:p>
            <w:pPr>
              <w:tabs>
                <w:tab w:val="left" w:pos="251"/>
              </w:tabs>
              <w:spacing w:line="360" w:lineRule="auto"/>
              <w:jc w:val="center"/>
              <w:rPr>
                <w:rFonts w:hint="eastAsia" w:ascii="宋体" w:hAnsi="宋体" w:eastAsia="宋体" w:cs="宋体"/>
                <w:color w:val="FF0000"/>
                <w:sz w:val="24"/>
                <w:szCs w:val="24"/>
                <w:highlight w:val="none"/>
                <w:lang w:eastAsia="zh-CN"/>
              </w:rPr>
            </w:pPr>
            <w:r>
              <w:rPr>
                <w:rFonts w:hint="eastAsia" w:ascii="宋体" w:hAnsi="宋体" w:cs="宋体"/>
                <w:color w:val="FF0000"/>
                <w:sz w:val="24"/>
                <w:szCs w:val="24"/>
                <w:highlight w:val="none"/>
                <w:lang w:val="en-US" w:eastAsia="zh-CN"/>
              </w:rPr>
              <w:t>7%</w:t>
            </w:r>
          </w:p>
        </w:tc>
        <w:tc>
          <w:tcPr>
            <w:tcW w:w="1920" w:type="dxa"/>
            <w:noWrap w:val="0"/>
            <w:vAlign w:val="center"/>
          </w:tcPr>
          <w:p>
            <w:pPr>
              <w:spacing w:line="360" w:lineRule="auto"/>
              <w:ind w:firstLine="840" w:firstLineChars="350"/>
              <w:jc w:val="right"/>
              <w:rPr>
                <w:rFonts w:ascii="宋体" w:hAnsi="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78"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rPr>
              <w:t>第六次付款</w:t>
            </w:r>
          </w:p>
        </w:tc>
        <w:tc>
          <w:tcPr>
            <w:tcW w:w="4485"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结构完成至十层</w:t>
            </w:r>
          </w:p>
        </w:tc>
        <w:tc>
          <w:tcPr>
            <w:tcW w:w="1215" w:type="dxa"/>
            <w:noWrap w:val="0"/>
            <w:vAlign w:val="center"/>
          </w:tcPr>
          <w:p>
            <w:pPr>
              <w:spacing w:line="360" w:lineRule="auto"/>
              <w:jc w:val="center"/>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7%</w:t>
            </w:r>
          </w:p>
        </w:tc>
        <w:tc>
          <w:tcPr>
            <w:tcW w:w="1920" w:type="dxa"/>
            <w:noWrap w:val="0"/>
            <w:vAlign w:val="center"/>
          </w:tcPr>
          <w:p>
            <w:pPr>
              <w:spacing w:line="360" w:lineRule="auto"/>
              <w:ind w:firstLine="840" w:firstLineChars="350"/>
              <w:jc w:val="right"/>
              <w:rPr>
                <w:rFonts w:ascii="宋体" w:hAnsi="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78"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rPr>
              <w:t>第七次付款</w:t>
            </w:r>
          </w:p>
        </w:tc>
        <w:tc>
          <w:tcPr>
            <w:tcW w:w="4485"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结构封顶</w:t>
            </w:r>
          </w:p>
        </w:tc>
        <w:tc>
          <w:tcPr>
            <w:tcW w:w="1215" w:type="dxa"/>
            <w:noWrap w:val="0"/>
            <w:vAlign w:val="center"/>
          </w:tcPr>
          <w:p>
            <w:pPr>
              <w:spacing w:line="360" w:lineRule="auto"/>
              <w:jc w:val="center"/>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7%</w:t>
            </w:r>
          </w:p>
        </w:tc>
        <w:tc>
          <w:tcPr>
            <w:tcW w:w="1920" w:type="dxa"/>
            <w:noWrap w:val="0"/>
            <w:vAlign w:val="center"/>
          </w:tcPr>
          <w:p>
            <w:pPr>
              <w:spacing w:line="360" w:lineRule="auto"/>
              <w:ind w:firstLine="840" w:firstLineChars="350"/>
              <w:jc w:val="right"/>
              <w:rPr>
                <w:rFonts w:ascii="宋体" w:hAnsi="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78"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rPr>
              <w:t>第八次付款</w:t>
            </w:r>
          </w:p>
        </w:tc>
        <w:tc>
          <w:tcPr>
            <w:tcW w:w="4485"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外立面完成50%</w:t>
            </w:r>
          </w:p>
        </w:tc>
        <w:tc>
          <w:tcPr>
            <w:tcW w:w="1215" w:type="dxa"/>
            <w:noWrap w:val="0"/>
            <w:vAlign w:val="center"/>
          </w:tcPr>
          <w:p>
            <w:pPr>
              <w:spacing w:line="360" w:lineRule="auto"/>
              <w:jc w:val="center"/>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7%</w:t>
            </w:r>
          </w:p>
        </w:tc>
        <w:tc>
          <w:tcPr>
            <w:tcW w:w="1920" w:type="dxa"/>
            <w:noWrap w:val="0"/>
            <w:vAlign w:val="center"/>
          </w:tcPr>
          <w:p>
            <w:pPr>
              <w:spacing w:line="360" w:lineRule="auto"/>
              <w:ind w:firstLine="840" w:firstLineChars="350"/>
              <w:jc w:val="right"/>
              <w:rPr>
                <w:rFonts w:ascii="宋体" w:hAnsi="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78"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rPr>
              <w:t>第九次付款</w:t>
            </w:r>
          </w:p>
        </w:tc>
        <w:tc>
          <w:tcPr>
            <w:tcW w:w="4485"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外立面完成</w:t>
            </w:r>
          </w:p>
        </w:tc>
        <w:tc>
          <w:tcPr>
            <w:tcW w:w="1215" w:type="dxa"/>
            <w:noWrap w:val="0"/>
            <w:vAlign w:val="center"/>
          </w:tcPr>
          <w:p>
            <w:pPr>
              <w:spacing w:line="360" w:lineRule="auto"/>
              <w:jc w:val="center"/>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7%</w:t>
            </w:r>
          </w:p>
        </w:tc>
        <w:tc>
          <w:tcPr>
            <w:tcW w:w="1920" w:type="dxa"/>
            <w:noWrap w:val="0"/>
            <w:vAlign w:val="center"/>
          </w:tcPr>
          <w:p>
            <w:pPr>
              <w:spacing w:line="360" w:lineRule="auto"/>
              <w:ind w:firstLine="840" w:firstLineChars="350"/>
              <w:jc w:val="right"/>
              <w:rPr>
                <w:rFonts w:ascii="宋体" w:hAnsi="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78"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rPr>
              <w:t>第十次付款</w:t>
            </w:r>
          </w:p>
        </w:tc>
        <w:tc>
          <w:tcPr>
            <w:tcW w:w="4485"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室内公区装修完成</w:t>
            </w:r>
          </w:p>
        </w:tc>
        <w:tc>
          <w:tcPr>
            <w:tcW w:w="1215" w:type="dxa"/>
            <w:noWrap w:val="0"/>
            <w:vAlign w:val="center"/>
          </w:tcPr>
          <w:p>
            <w:pPr>
              <w:spacing w:line="360" w:lineRule="auto"/>
              <w:jc w:val="center"/>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7%</w:t>
            </w:r>
          </w:p>
        </w:tc>
        <w:tc>
          <w:tcPr>
            <w:tcW w:w="1920" w:type="dxa"/>
            <w:noWrap w:val="0"/>
            <w:vAlign w:val="center"/>
          </w:tcPr>
          <w:p>
            <w:pPr>
              <w:spacing w:line="360" w:lineRule="auto"/>
              <w:ind w:firstLine="840" w:firstLineChars="350"/>
              <w:jc w:val="right"/>
              <w:rPr>
                <w:rFonts w:ascii="宋体" w:hAnsi="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78"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rPr>
              <w:t>第十一次付款</w:t>
            </w:r>
          </w:p>
        </w:tc>
        <w:tc>
          <w:tcPr>
            <w:tcW w:w="4485"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竣工联合验收完成</w:t>
            </w:r>
          </w:p>
        </w:tc>
        <w:tc>
          <w:tcPr>
            <w:tcW w:w="1215" w:type="dxa"/>
            <w:noWrap w:val="0"/>
            <w:vAlign w:val="center"/>
          </w:tcPr>
          <w:p>
            <w:pPr>
              <w:spacing w:line="360" w:lineRule="auto"/>
              <w:jc w:val="center"/>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7%</w:t>
            </w:r>
          </w:p>
        </w:tc>
        <w:tc>
          <w:tcPr>
            <w:tcW w:w="1920" w:type="dxa"/>
            <w:noWrap w:val="0"/>
            <w:vAlign w:val="center"/>
          </w:tcPr>
          <w:p>
            <w:pPr>
              <w:spacing w:line="360" w:lineRule="auto"/>
              <w:ind w:firstLine="840" w:firstLineChars="350"/>
              <w:jc w:val="right"/>
              <w:rPr>
                <w:rFonts w:ascii="宋体" w:hAnsi="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878" w:type="dxa"/>
            <w:noWrap w:val="0"/>
            <w:vAlign w:val="center"/>
          </w:tcPr>
          <w:p>
            <w:pPr>
              <w:spacing w:line="360" w:lineRule="auto"/>
              <w:rPr>
                <w:rFonts w:hint="eastAsia" w:ascii="宋体" w:hAnsi="宋体" w:cs="宋体"/>
                <w:color w:val="FF0000"/>
                <w:sz w:val="24"/>
                <w:szCs w:val="24"/>
                <w:highlight w:val="none"/>
              </w:rPr>
            </w:pPr>
            <w:r>
              <w:rPr>
                <w:rFonts w:hint="eastAsia" w:ascii="宋体" w:hAnsi="宋体" w:cs="宋体"/>
                <w:color w:val="FF0000"/>
                <w:sz w:val="24"/>
                <w:szCs w:val="24"/>
                <w:highlight w:val="none"/>
              </w:rPr>
              <w:t>第十</w:t>
            </w:r>
            <w:r>
              <w:rPr>
                <w:rFonts w:hint="eastAsia" w:ascii="宋体" w:hAnsi="宋体" w:cs="宋体"/>
                <w:color w:val="FF0000"/>
                <w:sz w:val="24"/>
                <w:szCs w:val="24"/>
                <w:highlight w:val="none"/>
                <w:lang w:val="en-US" w:eastAsia="zh-CN"/>
              </w:rPr>
              <w:t>二</w:t>
            </w:r>
            <w:r>
              <w:rPr>
                <w:rFonts w:hint="eastAsia" w:ascii="宋体" w:hAnsi="宋体" w:cs="宋体"/>
                <w:color w:val="FF0000"/>
                <w:sz w:val="24"/>
                <w:szCs w:val="24"/>
                <w:highlight w:val="none"/>
              </w:rPr>
              <w:t>次付款</w:t>
            </w:r>
          </w:p>
        </w:tc>
        <w:tc>
          <w:tcPr>
            <w:tcW w:w="4485" w:type="dxa"/>
            <w:noWrap w:val="0"/>
            <w:vAlign w:val="center"/>
          </w:tcPr>
          <w:p>
            <w:pPr>
              <w:spacing w:line="360" w:lineRule="auto"/>
              <w:rPr>
                <w:rFonts w:hint="default" w:ascii="宋体" w:hAnsi="宋体" w:eastAsia="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室内办公区装修完成</w:t>
            </w:r>
          </w:p>
        </w:tc>
        <w:tc>
          <w:tcPr>
            <w:tcW w:w="1215" w:type="dxa"/>
            <w:noWrap w:val="0"/>
            <w:vAlign w:val="center"/>
          </w:tcPr>
          <w:p>
            <w:pPr>
              <w:spacing w:line="360" w:lineRule="auto"/>
              <w:jc w:val="center"/>
              <w:rPr>
                <w:rFonts w:hint="eastAsia" w:ascii="宋体" w:hAnsi="宋体" w:cs="宋体"/>
                <w:color w:val="FF0000"/>
                <w:sz w:val="24"/>
                <w:szCs w:val="24"/>
                <w:highlight w:val="none"/>
                <w:lang w:eastAsia="zh-CN"/>
              </w:rPr>
            </w:pPr>
            <w:r>
              <w:rPr>
                <w:rFonts w:hint="eastAsia" w:ascii="宋体" w:hAnsi="宋体" w:cs="宋体"/>
                <w:color w:val="FF0000"/>
                <w:sz w:val="24"/>
                <w:szCs w:val="24"/>
                <w:highlight w:val="none"/>
                <w:lang w:val="en-US" w:eastAsia="zh-CN"/>
              </w:rPr>
              <w:t>8%</w:t>
            </w:r>
          </w:p>
        </w:tc>
        <w:tc>
          <w:tcPr>
            <w:tcW w:w="1920" w:type="dxa"/>
            <w:noWrap w:val="0"/>
            <w:vAlign w:val="center"/>
          </w:tcPr>
          <w:p>
            <w:pPr>
              <w:spacing w:line="360" w:lineRule="auto"/>
              <w:jc w:val="right"/>
              <w:rPr>
                <w:rFonts w:hint="default" w:ascii="宋体" w:hAnsi="宋体" w:eastAsia="宋体" w:cs="宋体"/>
                <w:color w:val="FF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878" w:type="dxa"/>
            <w:noWrap w:val="0"/>
            <w:vAlign w:val="center"/>
          </w:tcPr>
          <w:p>
            <w:pPr>
              <w:spacing w:line="360" w:lineRule="auto"/>
              <w:rPr>
                <w:rFonts w:ascii="宋体" w:hAnsi="宋体" w:cs="宋体"/>
                <w:color w:val="FF0000"/>
                <w:sz w:val="24"/>
                <w:szCs w:val="24"/>
                <w:highlight w:val="none"/>
              </w:rPr>
            </w:pPr>
            <w:r>
              <w:rPr>
                <w:rFonts w:hint="eastAsia" w:ascii="宋体" w:hAnsi="宋体" w:cs="宋体"/>
                <w:color w:val="FF0000"/>
                <w:sz w:val="24"/>
                <w:szCs w:val="24"/>
                <w:highlight w:val="none"/>
              </w:rPr>
              <w:t>最后付款</w:t>
            </w:r>
          </w:p>
        </w:tc>
        <w:tc>
          <w:tcPr>
            <w:tcW w:w="4485" w:type="dxa"/>
            <w:noWrap w:val="0"/>
            <w:vAlign w:val="center"/>
          </w:tcPr>
          <w:p>
            <w:pPr>
              <w:spacing w:line="360" w:lineRule="auto"/>
              <w:rPr>
                <w:rFonts w:hint="default" w:ascii="宋体" w:hAnsi="宋体" w:eastAsia="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结算完成</w:t>
            </w:r>
          </w:p>
        </w:tc>
        <w:tc>
          <w:tcPr>
            <w:tcW w:w="1215" w:type="dxa"/>
            <w:noWrap w:val="0"/>
            <w:vAlign w:val="center"/>
          </w:tcPr>
          <w:p>
            <w:pPr>
              <w:spacing w:line="360" w:lineRule="auto"/>
              <w:jc w:val="center"/>
              <w:rPr>
                <w:rFonts w:hint="eastAsia" w:ascii="宋体" w:hAnsi="宋体" w:eastAsia="宋体" w:cs="宋体"/>
                <w:color w:val="FF0000"/>
                <w:sz w:val="24"/>
                <w:szCs w:val="24"/>
                <w:highlight w:val="none"/>
                <w:lang w:eastAsia="zh-CN"/>
              </w:rPr>
            </w:pPr>
            <w:r>
              <w:rPr>
                <w:rFonts w:hint="eastAsia" w:ascii="宋体" w:hAnsi="宋体" w:cs="宋体"/>
                <w:color w:val="FF0000"/>
                <w:sz w:val="24"/>
                <w:szCs w:val="24"/>
                <w:highlight w:val="none"/>
                <w:lang w:eastAsia="zh-CN"/>
              </w:rPr>
              <w:t>余额</w:t>
            </w:r>
          </w:p>
        </w:tc>
        <w:tc>
          <w:tcPr>
            <w:tcW w:w="1920" w:type="dxa"/>
            <w:noWrap w:val="0"/>
            <w:vAlign w:val="center"/>
          </w:tcPr>
          <w:p>
            <w:pPr>
              <w:spacing w:line="360" w:lineRule="auto"/>
              <w:jc w:val="right"/>
              <w:rPr>
                <w:rFonts w:hint="default" w:ascii="宋体" w:hAnsi="宋体" w:eastAsia="宋体" w:cs="宋体"/>
                <w:color w:val="FF0000"/>
                <w:sz w:val="24"/>
                <w:szCs w:val="24"/>
                <w:highlight w:val="none"/>
                <w:lang w:val="en-US" w:eastAsia="zh-CN"/>
              </w:rPr>
            </w:pPr>
          </w:p>
        </w:tc>
      </w:tr>
    </w:tbl>
    <w:p>
      <w:pPr>
        <w:snapToGrid w:val="0"/>
        <w:spacing w:line="360" w:lineRule="auto"/>
        <w:ind w:firstLine="480" w:firstLineChars="200"/>
        <w:rPr>
          <w:rFonts w:hint="eastAsia" w:ascii="宋体" w:hAnsi="宋体" w:cs="宋体"/>
          <w:color w:val="000000"/>
          <w:sz w:val="24"/>
          <w:szCs w:val="24"/>
          <w:highlight w:val="none"/>
        </w:rPr>
      </w:pPr>
    </w:p>
    <w:p>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备注：</w:t>
      </w:r>
    </w:p>
    <w:p>
      <w:pPr>
        <w:numPr>
          <w:ilvl w:val="0"/>
          <w:numId w:val="3"/>
        </w:num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监理进场时间为</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正式书面通知为准；</w:t>
      </w:r>
    </w:p>
    <w:p>
      <w:pPr>
        <w:adjustRightInd w:val="0"/>
        <w:snapToGrid w:val="0"/>
        <w:spacing w:line="360" w:lineRule="auto"/>
        <w:ind w:firstLine="480" w:firstLineChars="200"/>
        <w:rPr>
          <w:rFonts w:hint="eastAsia" w:ascii="宋体" w:hAnsi="宋体" w:cs="宋体"/>
          <w:color w:val="000000"/>
          <w:sz w:val="24"/>
          <w:highlight w:val="none"/>
        </w:rPr>
      </w:pPr>
    </w:p>
    <w:p>
      <w:pPr>
        <w:adjustRightInd w:val="0"/>
        <w:snapToGrid w:val="0"/>
        <w:spacing w:line="360" w:lineRule="auto"/>
        <w:ind w:firstLine="480" w:firstLineChars="200"/>
        <w:rPr>
          <w:rFonts w:hint="eastAsia" w:ascii="宋体" w:hAnsi="宋体" w:cs="宋体"/>
          <w:color w:val="000000"/>
          <w:sz w:val="24"/>
          <w:highlight w:val="none"/>
        </w:rPr>
      </w:pPr>
    </w:p>
    <w:p>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5.2.2 除不可抗力外，因非</w:t>
      </w:r>
      <w:r>
        <w:rPr>
          <w:rFonts w:hint="eastAsia" w:ascii="宋体" w:hAnsi="宋体" w:cs="宋体"/>
          <w:color w:val="000000"/>
          <w:sz w:val="24"/>
          <w:highlight w:val="none"/>
          <w:lang w:eastAsia="zh-CN"/>
        </w:rPr>
        <w:t>承包人</w:t>
      </w:r>
      <w:r>
        <w:rPr>
          <w:rFonts w:hint="eastAsia" w:ascii="宋体" w:hAnsi="宋体" w:cs="宋体"/>
          <w:color w:val="000000"/>
          <w:sz w:val="24"/>
          <w:highlight w:val="none"/>
        </w:rPr>
        <w:t>原因导致本合同期限延长时，</w:t>
      </w:r>
      <w:r>
        <w:rPr>
          <w:rFonts w:hint="eastAsia" w:ascii="宋体" w:hAnsi="宋体"/>
          <w:color w:val="000000"/>
          <w:sz w:val="24"/>
          <w:highlight w:val="none"/>
        </w:rPr>
        <w:t>附加工作报酬：</w:t>
      </w:r>
      <w:r>
        <w:rPr>
          <w:rStyle w:val="62"/>
          <w:rFonts w:hint="eastAsia"/>
          <w:color w:val="FF0000"/>
          <w:highlight w:val="none"/>
        </w:rPr>
        <w:t>工程开发时间超过项目合同约定时间</w:t>
      </w:r>
      <w:r>
        <w:rPr>
          <w:rStyle w:val="62"/>
          <w:color w:val="FF0000"/>
          <w:highlight w:val="none"/>
        </w:rPr>
        <w:t>3</w:t>
      </w:r>
      <w:r>
        <w:rPr>
          <w:rStyle w:val="62"/>
          <w:rFonts w:hint="eastAsia"/>
          <w:color w:val="FF0000"/>
          <w:highlight w:val="none"/>
        </w:rPr>
        <w:t>个月后及可能出现的暂定施工期间需要提供的监理服务（以双方共同确认为准），按</w:t>
      </w:r>
      <w:r>
        <w:rPr>
          <w:rStyle w:val="62"/>
          <w:rFonts w:hint="eastAsia" w:eastAsia="宋体"/>
          <w:color w:val="FF0000"/>
          <w:highlight w:val="none"/>
          <w:lang w:val="en-US" w:eastAsia="zh-CN"/>
        </w:rPr>
        <w:t xml:space="preserve">  </w:t>
      </w:r>
      <w:r>
        <w:rPr>
          <w:rStyle w:val="62"/>
          <w:rFonts w:hint="eastAsia"/>
          <w:color w:val="FF0000"/>
          <w:highlight w:val="none"/>
        </w:rPr>
        <w:t>元</w:t>
      </w:r>
      <w:r>
        <w:rPr>
          <w:rStyle w:val="62"/>
          <w:color w:val="FF0000"/>
          <w:highlight w:val="none"/>
        </w:rPr>
        <w:t>/</w:t>
      </w:r>
      <w:r>
        <w:rPr>
          <w:rStyle w:val="62"/>
          <w:rFonts w:hint="eastAsia"/>
          <w:color w:val="FF0000"/>
          <w:highlight w:val="none"/>
        </w:rPr>
        <w:t>人月计费</w:t>
      </w:r>
      <w:r>
        <w:rPr>
          <w:rStyle w:val="62"/>
          <w:rFonts w:hint="eastAsia" w:eastAsia="宋体"/>
          <w:color w:val="FF0000"/>
          <w:highlight w:val="none"/>
          <w:lang w:eastAsia="zh-CN"/>
        </w:rPr>
        <w:t>（</w:t>
      </w:r>
      <w:r>
        <w:rPr>
          <w:rStyle w:val="62"/>
          <w:rFonts w:hint="eastAsia" w:eastAsia="宋体"/>
          <w:color w:val="FF0000"/>
          <w:highlight w:val="none"/>
          <w:lang w:val="en-US" w:eastAsia="zh-CN"/>
        </w:rPr>
        <w:t>按1.5万元/人月*中标价对比招标限价的折扣率</w:t>
      </w:r>
      <w:r>
        <w:rPr>
          <w:rStyle w:val="62"/>
          <w:rFonts w:hint="eastAsia" w:eastAsia="宋体"/>
          <w:color w:val="FF0000"/>
          <w:highlight w:val="none"/>
          <w:lang w:eastAsia="zh-CN"/>
        </w:rPr>
        <w:t>）</w:t>
      </w:r>
      <w:r>
        <w:rPr>
          <w:rStyle w:val="62"/>
          <w:rFonts w:hint="eastAsia"/>
          <w:color w:val="FF0000"/>
          <w:highlight w:val="none"/>
        </w:rPr>
        <w:t>，人员质素、配置要求应满足项目部现场管理要求</w:t>
      </w:r>
      <w:r>
        <w:rPr>
          <w:rFonts w:hint="eastAsia" w:ascii="宋体" w:hAnsi="宋体" w:cs="宋体"/>
          <w:color w:val="FF0000"/>
          <w:sz w:val="24"/>
          <w:highlight w:val="none"/>
        </w:rPr>
        <w:t>。</w:t>
      </w:r>
      <w:r>
        <w:rPr>
          <w:rFonts w:hint="eastAsia" w:ascii="宋体" w:hAnsi="宋体" w:cs="宋体"/>
          <w:color w:val="000000"/>
          <w:sz w:val="24"/>
          <w:highlight w:val="none"/>
        </w:rPr>
        <w:t>附加工作酬金由</w:t>
      </w:r>
      <w:r>
        <w:rPr>
          <w:rFonts w:hint="eastAsia" w:ascii="宋体" w:hAnsi="宋体" w:cs="宋体"/>
          <w:color w:val="000000"/>
          <w:sz w:val="24"/>
          <w:highlight w:val="none"/>
          <w:lang w:eastAsia="zh-CN"/>
        </w:rPr>
        <w:t>发包人</w:t>
      </w:r>
      <w:r>
        <w:rPr>
          <w:rFonts w:hint="eastAsia" w:ascii="宋体" w:hAnsi="宋体" w:cs="宋体"/>
          <w:color w:val="000000"/>
          <w:sz w:val="24"/>
          <w:highlight w:val="none"/>
        </w:rPr>
        <w:t>核定方为有效，当次的于次月的</w:t>
      </w:r>
      <w:r>
        <w:rPr>
          <w:rFonts w:ascii="宋体" w:hAnsi="宋体" w:cs="宋体"/>
          <w:color w:val="000000"/>
          <w:sz w:val="24"/>
          <w:highlight w:val="none"/>
        </w:rPr>
        <w:t>15个日历天内支付。</w:t>
      </w:r>
    </w:p>
    <w:p>
      <w:pPr>
        <w:snapToGrid w:val="0"/>
        <w:spacing w:line="360" w:lineRule="auto"/>
        <w:ind w:firstLine="240" w:firstLineChars="100"/>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 xml:space="preserve">5.3 </w:t>
      </w:r>
      <w:r>
        <w:rPr>
          <w:rFonts w:hint="eastAsia" w:ascii="宋体" w:hAnsi="宋体" w:cs="宋体"/>
          <w:bCs/>
          <w:color w:val="000000"/>
          <w:sz w:val="24"/>
          <w:szCs w:val="24"/>
          <w:highlight w:val="none"/>
          <w:lang w:eastAsia="zh-CN"/>
        </w:rPr>
        <w:t>承包人</w:t>
      </w:r>
      <w:r>
        <w:rPr>
          <w:rFonts w:hint="eastAsia" w:ascii="宋体" w:hAnsi="宋体" w:cs="宋体"/>
          <w:bCs/>
          <w:color w:val="000000"/>
          <w:sz w:val="24"/>
          <w:szCs w:val="24"/>
          <w:highlight w:val="none"/>
        </w:rPr>
        <w:t>每次申请付款，必须向</w:t>
      </w:r>
      <w:r>
        <w:rPr>
          <w:rFonts w:hint="eastAsia" w:ascii="宋体" w:hAnsi="宋体" w:cs="宋体"/>
          <w:bCs/>
          <w:color w:val="000000"/>
          <w:sz w:val="24"/>
          <w:szCs w:val="24"/>
          <w:highlight w:val="none"/>
          <w:lang w:eastAsia="zh-CN"/>
        </w:rPr>
        <w:t>发包人</w:t>
      </w:r>
      <w:r>
        <w:rPr>
          <w:rFonts w:hint="eastAsia" w:ascii="宋体" w:hAnsi="宋体" w:cs="宋体"/>
          <w:bCs/>
          <w:color w:val="000000"/>
          <w:sz w:val="24"/>
          <w:szCs w:val="24"/>
          <w:highlight w:val="none"/>
        </w:rPr>
        <w:t>提供符合国家法律规定的增值税专用发票。否则</w:t>
      </w:r>
      <w:r>
        <w:rPr>
          <w:rFonts w:hint="eastAsia" w:ascii="宋体" w:hAnsi="宋体" w:cs="宋体"/>
          <w:bCs/>
          <w:color w:val="000000"/>
          <w:sz w:val="24"/>
          <w:szCs w:val="24"/>
          <w:highlight w:val="none"/>
          <w:lang w:eastAsia="zh-CN"/>
        </w:rPr>
        <w:t>发包人</w:t>
      </w:r>
      <w:r>
        <w:rPr>
          <w:rFonts w:hint="eastAsia" w:ascii="宋体" w:hAnsi="宋体" w:cs="宋体"/>
          <w:bCs/>
          <w:color w:val="000000"/>
          <w:sz w:val="24"/>
          <w:szCs w:val="24"/>
          <w:highlight w:val="none"/>
        </w:rPr>
        <w:t>有权延期付款，</w:t>
      </w:r>
      <w:r>
        <w:rPr>
          <w:rFonts w:hint="eastAsia" w:ascii="宋体" w:hAnsi="宋体"/>
          <w:color w:val="000000"/>
          <w:sz w:val="24"/>
          <w:szCs w:val="24"/>
          <w:highlight w:val="none"/>
          <w:lang w:eastAsia="zh-CN"/>
        </w:rPr>
        <w:t>承包人</w:t>
      </w:r>
      <w:r>
        <w:rPr>
          <w:rFonts w:hint="eastAsia" w:ascii="宋体" w:hAnsi="宋体"/>
          <w:color w:val="000000"/>
          <w:sz w:val="24"/>
          <w:szCs w:val="24"/>
          <w:highlight w:val="none"/>
        </w:rPr>
        <w:t>对提供的账户的合法性、真实性负责</w:t>
      </w:r>
      <w:r>
        <w:rPr>
          <w:rFonts w:hint="eastAsia" w:ascii="宋体" w:hAnsi="宋体"/>
          <w:color w:val="000000"/>
          <w:sz w:val="24"/>
          <w:szCs w:val="24"/>
          <w:highlight w:val="none"/>
          <w:lang w:eastAsia="zh-CN"/>
        </w:rPr>
        <w:t>，如遇国家增值税政策调整，合同价内不含税价不变，增值税金按实调整。</w:t>
      </w:r>
    </w:p>
    <w:p>
      <w:pPr>
        <w:snapToGrid w:val="0"/>
        <w:spacing w:line="360" w:lineRule="auto"/>
        <w:ind w:firstLine="360" w:firstLineChars="150"/>
        <w:rPr>
          <w:rFonts w:ascii="宋体" w:hAnsi="宋体"/>
          <w:color w:val="000000"/>
          <w:sz w:val="24"/>
          <w:szCs w:val="24"/>
          <w:highlight w:val="none"/>
        </w:rPr>
      </w:pPr>
      <w:r>
        <w:rPr>
          <w:rFonts w:hint="eastAsia" w:ascii="宋体" w:hAnsi="宋体"/>
          <w:color w:val="000000"/>
          <w:sz w:val="24"/>
          <w:szCs w:val="24"/>
          <w:highlight w:val="none"/>
        </w:rPr>
        <w:t>5.4</w:t>
      </w:r>
      <w:r>
        <w:rPr>
          <w:rFonts w:hint="eastAsia" w:ascii="宋体" w:hAnsi="宋体"/>
          <w:color w:val="000000"/>
          <w:sz w:val="24"/>
          <w:szCs w:val="24"/>
          <w:highlight w:val="none"/>
          <w:lang w:val="en-US" w:eastAsia="zh-CN"/>
        </w:rPr>
        <w:t>考评处罚</w:t>
      </w:r>
      <w:r>
        <w:rPr>
          <w:rFonts w:hint="eastAsia" w:ascii="宋体" w:hAnsi="宋体"/>
          <w:color w:val="000000"/>
          <w:sz w:val="24"/>
          <w:szCs w:val="24"/>
          <w:highlight w:val="none"/>
        </w:rPr>
        <w:t>条款</w:t>
      </w:r>
    </w:p>
    <w:p>
      <w:pPr>
        <w:spacing w:line="480" w:lineRule="auto"/>
        <w:ind w:firstLine="480"/>
        <w:rPr>
          <w:color w:val="000000"/>
          <w:sz w:val="24"/>
          <w:highlight w:val="none"/>
        </w:rPr>
      </w:pPr>
      <w:r>
        <w:rPr>
          <w:rFonts w:hint="eastAsia"/>
          <w:color w:val="000000"/>
          <w:sz w:val="24"/>
          <w:highlight w:val="none"/>
        </w:rPr>
        <w:t>甲方每季度根据《监理季度检查评分表》对全部公司在建项目的监理单位进行评分，并根据检查结果实行</w:t>
      </w:r>
      <w:r>
        <w:rPr>
          <w:rFonts w:hint="eastAsia"/>
          <w:color w:val="000000"/>
          <w:sz w:val="24"/>
          <w:highlight w:val="none"/>
          <w:lang w:val="en-US" w:eastAsia="zh-CN"/>
        </w:rPr>
        <w:t>处罚</w:t>
      </w:r>
      <w:r>
        <w:rPr>
          <w:rFonts w:hint="eastAsia"/>
          <w:color w:val="000000"/>
          <w:sz w:val="24"/>
          <w:highlight w:val="none"/>
        </w:rPr>
        <w:t>机制：</w:t>
      </w:r>
    </w:p>
    <w:p>
      <w:pPr>
        <w:numPr>
          <w:ilvl w:val="0"/>
          <w:numId w:val="4"/>
        </w:numPr>
        <w:spacing w:line="480" w:lineRule="auto"/>
        <w:ind w:firstLine="480"/>
        <w:rPr>
          <w:color w:val="000000"/>
          <w:sz w:val="24"/>
          <w:highlight w:val="none"/>
        </w:rPr>
      </w:pPr>
      <w:r>
        <w:rPr>
          <w:rFonts w:hint="eastAsia"/>
          <w:color w:val="000000"/>
          <w:sz w:val="24"/>
          <w:highlight w:val="none"/>
        </w:rPr>
        <w:t>若每季度评分低于75分的，甲方项目部对监理单位提出口头批评，并且要求监理公司回复专项报告给甲方项目部；</w:t>
      </w:r>
    </w:p>
    <w:p>
      <w:pPr>
        <w:numPr>
          <w:ilvl w:val="0"/>
          <w:numId w:val="4"/>
        </w:numPr>
        <w:spacing w:line="480" w:lineRule="auto"/>
        <w:ind w:firstLine="480"/>
        <w:rPr>
          <w:color w:val="000000"/>
          <w:sz w:val="24"/>
          <w:highlight w:val="none"/>
        </w:rPr>
      </w:pPr>
      <w:r>
        <w:rPr>
          <w:rFonts w:hint="eastAsia"/>
          <w:color w:val="000000"/>
          <w:sz w:val="24"/>
          <w:highlight w:val="none"/>
        </w:rPr>
        <w:t>若每季度评分低于70分的，甲方对乙方罚款2000元；</w:t>
      </w:r>
    </w:p>
    <w:p>
      <w:pPr>
        <w:numPr>
          <w:ilvl w:val="0"/>
          <w:numId w:val="4"/>
        </w:numPr>
        <w:spacing w:line="480" w:lineRule="auto"/>
        <w:ind w:firstLine="480"/>
        <w:rPr>
          <w:rFonts w:hint="eastAsia" w:ascii="宋体" w:hAnsi="宋体" w:cs="宋体"/>
          <w:bCs/>
          <w:color w:val="000000"/>
          <w:sz w:val="24"/>
          <w:szCs w:val="24"/>
          <w:highlight w:val="none"/>
        </w:rPr>
      </w:pPr>
      <w:r>
        <w:rPr>
          <w:rFonts w:hint="eastAsia"/>
          <w:color w:val="000000"/>
          <w:sz w:val="24"/>
          <w:highlight w:val="none"/>
        </w:rPr>
        <w:t>若每季度评分低于60分的，甲方有权要求乙方更换甲方认为不合格的</w:t>
      </w:r>
      <w:r>
        <w:rPr>
          <w:rFonts w:hint="eastAsia"/>
          <w:color w:val="000000"/>
          <w:sz w:val="24"/>
          <w:highlight w:val="none"/>
          <w:lang w:eastAsia="zh-CN"/>
        </w:rPr>
        <w:t>承包人</w:t>
      </w:r>
      <w:r>
        <w:rPr>
          <w:rFonts w:hint="eastAsia"/>
          <w:color w:val="000000"/>
          <w:sz w:val="24"/>
          <w:highlight w:val="none"/>
        </w:rPr>
        <w:t>员，并对乙方罚款3000元；</w:t>
      </w:r>
    </w:p>
    <w:p>
      <w:pPr>
        <w:snapToGrid w:val="0"/>
        <w:spacing w:line="360" w:lineRule="auto"/>
        <w:rPr>
          <w:rFonts w:ascii="宋体" w:hAnsi="宋体" w:cs="宋体"/>
          <w:b/>
          <w:bCs/>
          <w:color w:val="000000"/>
          <w:sz w:val="24"/>
          <w:szCs w:val="24"/>
          <w:highlight w:val="none"/>
        </w:rPr>
      </w:pPr>
      <w:r>
        <w:rPr>
          <w:rFonts w:hint="eastAsia" w:ascii="宋体" w:hAnsi="宋体" w:cs="宋体"/>
          <w:bCs/>
          <w:color w:val="000000"/>
          <w:sz w:val="24"/>
          <w:szCs w:val="24"/>
          <w:highlight w:val="none"/>
        </w:rPr>
        <w:t>6</w:t>
      </w:r>
      <w:r>
        <w:rPr>
          <w:rFonts w:hint="eastAsia" w:ascii="宋体" w:hAnsi="宋体" w:cs="宋体"/>
          <w:b/>
          <w:bCs/>
          <w:color w:val="000000"/>
          <w:sz w:val="24"/>
          <w:szCs w:val="24"/>
          <w:highlight w:val="none"/>
        </w:rPr>
        <w:t>. 合同生效、变更、暂停、解除与终止</w:t>
      </w:r>
    </w:p>
    <w:p>
      <w:pPr>
        <w:adjustRightInd w:val="0"/>
        <w:snapToGrid w:val="0"/>
        <w:spacing w:line="360" w:lineRule="auto"/>
        <w:ind w:firstLine="240" w:firstLineChars="100"/>
        <w:rPr>
          <w:rFonts w:ascii="宋体" w:hAnsi="宋体" w:cs="宋体"/>
          <w:color w:val="000000"/>
          <w:sz w:val="24"/>
          <w:szCs w:val="24"/>
          <w:highlight w:val="none"/>
        </w:rPr>
      </w:pPr>
      <w:r>
        <w:rPr>
          <w:rFonts w:hint="eastAsia" w:ascii="宋体" w:hAnsi="宋体" w:cs="宋体"/>
          <w:color w:val="000000"/>
          <w:sz w:val="24"/>
          <w:szCs w:val="24"/>
          <w:highlight w:val="none"/>
        </w:rPr>
        <w:t>6.1 生效</w:t>
      </w:r>
    </w:p>
    <w:p>
      <w:pPr>
        <w:adjustRightInd w:val="0"/>
        <w:snapToGrid w:val="0"/>
        <w:spacing w:line="360" w:lineRule="auto"/>
        <w:ind w:firstLine="480"/>
        <w:rPr>
          <w:rFonts w:ascii="宋体" w:hAnsi="宋体" w:cs="宋体"/>
          <w:color w:val="000000"/>
          <w:sz w:val="24"/>
          <w:szCs w:val="24"/>
          <w:highlight w:val="none"/>
        </w:rPr>
      </w:pPr>
      <w:r>
        <w:rPr>
          <w:rFonts w:hint="eastAsia" w:ascii="宋体" w:hAnsi="宋体" w:cs="宋体"/>
          <w:color w:val="000000"/>
          <w:sz w:val="24"/>
          <w:szCs w:val="24"/>
          <w:highlight w:val="none"/>
        </w:rPr>
        <w:t>本合同生效条件：自双方法定代表人或其授权人员签字并加盖公章或合同专用章之日起生效。</w:t>
      </w:r>
    </w:p>
    <w:p>
      <w:pPr>
        <w:adjustRightInd w:val="0"/>
        <w:snapToGrid w:val="0"/>
        <w:spacing w:line="360" w:lineRule="auto"/>
        <w:ind w:firstLine="235" w:firstLineChars="98"/>
        <w:rPr>
          <w:rFonts w:ascii="宋体" w:hAnsi="宋体" w:cs="宋体"/>
          <w:color w:val="000000"/>
          <w:sz w:val="24"/>
          <w:szCs w:val="24"/>
          <w:highlight w:val="none"/>
        </w:rPr>
      </w:pPr>
      <w:r>
        <w:rPr>
          <w:rFonts w:hint="eastAsia" w:ascii="宋体" w:hAnsi="宋体" w:cs="宋体"/>
          <w:color w:val="000000"/>
          <w:sz w:val="24"/>
          <w:szCs w:val="24"/>
          <w:highlight w:val="none"/>
        </w:rPr>
        <w:t>6.2 变更</w:t>
      </w:r>
    </w:p>
    <w:p>
      <w:pPr>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因工程规模、监理范围的变化导致</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的正常工作量减少时，按减少工作量的比例从协议书约定的正常工作酬金中扣减相同比例的酬金。</w:t>
      </w:r>
    </w:p>
    <w:p>
      <w:pPr>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比例从协议书约定的正常工作酬金中扣减相同比例的酬金。</w:t>
      </w:r>
    </w:p>
    <w:p>
      <w:pPr>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6.3 暂停</w:t>
      </w:r>
    </w:p>
    <w:p>
      <w:pPr>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因非</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的原因导致工程施工全部暂停，</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应至少提前20天书面通知</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退场，若复工，也应至少提前20天书面通知</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进场。退场期间不计监理工期、不计监理酬金和停止监理费支付。</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因非</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的原因导致工程施工部分暂停，</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有权要求</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减少驻场人数，并按</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确定的监理驻场人数及本合同</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员人均监理费水平计算工程部分暂停期间监理费。</w:t>
      </w:r>
    </w:p>
    <w:p>
      <w:pPr>
        <w:snapToGrid w:val="0"/>
        <w:spacing w:line="360" w:lineRule="auto"/>
        <w:rPr>
          <w:rFonts w:ascii="宋体" w:hAnsi="宋体" w:cs="宋体"/>
          <w:b/>
          <w:color w:val="000000"/>
          <w:sz w:val="24"/>
          <w:szCs w:val="24"/>
          <w:highlight w:val="none"/>
        </w:rPr>
      </w:pPr>
      <w:r>
        <w:rPr>
          <w:rFonts w:hint="eastAsia" w:ascii="宋体" w:hAnsi="宋体" w:cs="宋体"/>
          <w:b/>
          <w:bCs/>
          <w:color w:val="000000"/>
          <w:sz w:val="24"/>
          <w:szCs w:val="24"/>
          <w:highlight w:val="none"/>
        </w:rPr>
        <w:t>7. 争议解决</w:t>
      </w:r>
    </w:p>
    <w:p>
      <w:pPr>
        <w:snapToGrid w:val="0"/>
        <w:spacing w:line="360" w:lineRule="auto"/>
        <w:ind w:firstLine="235" w:firstLineChars="98"/>
        <w:rPr>
          <w:rFonts w:ascii="宋体" w:hAnsi="宋体" w:cs="宋体"/>
          <w:color w:val="000000"/>
          <w:sz w:val="24"/>
          <w:szCs w:val="24"/>
          <w:highlight w:val="none"/>
        </w:rPr>
      </w:pPr>
      <w:r>
        <w:rPr>
          <w:rFonts w:hint="eastAsia" w:ascii="宋体" w:hAnsi="宋体" w:cs="宋体"/>
          <w:color w:val="000000"/>
          <w:sz w:val="24"/>
          <w:szCs w:val="24"/>
          <w:highlight w:val="none"/>
        </w:rPr>
        <w:t xml:space="preserve">7.1 </w:t>
      </w:r>
      <w:r>
        <w:rPr>
          <w:rFonts w:hint="eastAsia" w:ascii="宋体" w:hAnsi="宋体" w:cs="宋体"/>
          <w:bCs/>
          <w:color w:val="000000"/>
          <w:sz w:val="24"/>
          <w:szCs w:val="24"/>
          <w:highlight w:val="none"/>
        </w:rPr>
        <w:t>仲裁或诉讼</w:t>
      </w:r>
    </w:p>
    <w:p>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合同争议的最终解决方式为：向合同签订地人民法院提起诉讼。</w:t>
      </w:r>
    </w:p>
    <w:p>
      <w:pPr>
        <w:adjustRightInd w:val="0"/>
        <w:snapToGrid w:val="0"/>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8. 其他</w:t>
      </w:r>
    </w:p>
    <w:p>
      <w:pPr>
        <w:adjustRightInd w:val="0"/>
        <w:snapToGrid w:val="0"/>
        <w:spacing w:line="360" w:lineRule="auto"/>
        <w:rPr>
          <w:rFonts w:ascii="宋体" w:hAnsi="宋体" w:cs="宋体"/>
          <w:bCs/>
          <w:color w:val="000000"/>
          <w:sz w:val="24"/>
          <w:szCs w:val="24"/>
          <w:highlight w:val="none"/>
        </w:rPr>
      </w:pPr>
      <w:r>
        <w:rPr>
          <w:rFonts w:hint="eastAsia" w:ascii="宋体" w:hAnsi="宋体" w:cs="宋体"/>
          <w:b/>
          <w:bCs/>
          <w:color w:val="000000"/>
          <w:sz w:val="24"/>
          <w:szCs w:val="24"/>
          <w:highlight w:val="none"/>
        </w:rPr>
        <w:t xml:space="preserve">  </w:t>
      </w:r>
      <w:r>
        <w:rPr>
          <w:rFonts w:hint="eastAsia" w:ascii="宋体" w:hAnsi="宋体" w:cs="宋体"/>
          <w:bCs/>
          <w:color w:val="000000"/>
          <w:sz w:val="24"/>
          <w:szCs w:val="24"/>
          <w:highlight w:val="none"/>
        </w:rPr>
        <w:t>8.1 检测费用</w:t>
      </w:r>
    </w:p>
    <w:p>
      <w:pPr>
        <w:adjustRightInd w:val="0"/>
        <w:snapToGrid w:val="0"/>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 xml:space="preserve">    </w:t>
      </w:r>
      <w:r>
        <w:rPr>
          <w:rFonts w:hint="eastAsia" w:ascii="宋体" w:hAnsi="宋体" w:cs="宋体"/>
          <w:bCs/>
          <w:color w:val="000000"/>
          <w:sz w:val="24"/>
          <w:szCs w:val="24"/>
          <w:highlight w:val="none"/>
          <w:lang w:eastAsia="zh-CN"/>
        </w:rPr>
        <w:t>发包人</w:t>
      </w:r>
      <w:r>
        <w:rPr>
          <w:rFonts w:hint="eastAsia" w:ascii="宋体" w:hAnsi="宋体" w:cs="宋体"/>
          <w:bCs/>
          <w:color w:val="000000"/>
          <w:sz w:val="24"/>
          <w:szCs w:val="24"/>
          <w:highlight w:val="none"/>
        </w:rPr>
        <w:t>应在检测工作完成后</w:t>
      </w:r>
      <w:r>
        <w:rPr>
          <w:rFonts w:hint="eastAsia" w:ascii="宋体" w:hAnsi="宋体" w:cs="宋体"/>
          <w:color w:val="000000"/>
          <w:sz w:val="24"/>
          <w:szCs w:val="24"/>
          <w:highlight w:val="none"/>
          <w:u w:val="single"/>
        </w:rPr>
        <w:t xml:space="preserve">  /   </w:t>
      </w:r>
      <w:r>
        <w:rPr>
          <w:rFonts w:hint="eastAsia" w:ascii="宋体" w:hAnsi="宋体" w:cs="宋体"/>
          <w:bCs/>
          <w:color w:val="000000"/>
          <w:sz w:val="24"/>
          <w:szCs w:val="24"/>
          <w:highlight w:val="none"/>
        </w:rPr>
        <w:t>天内支付检测费用。</w:t>
      </w:r>
    </w:p>
    <w:p>
      <w:pPr>
        <w:adjustRightInd w:val="0"/>
        <w:snapToGrid w:val="0"/>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 xml:space="preserve">  8.2 咨询费用</w:t>
      </w:r>
    </w:p>
    <w:p>
      <w:pPr>
        <w:snapToGrid w:val="0"/>
        <w:spacing w:line="360" w:lineRule="auto"/>
        <w:ind w:firstLine="0" w:firstLineChars="0"/>
        <w:rPr>
          <w:rFonts w:ascii="宋体" w:hAnsi="宋体" w:cs="宋体"/>
          <w:color w:val="000000"/>
          <w:sz w:val="24"/>
          <w:szCs w:val="24"/>
          <w:highlight w:val="none"/>
        </w:rPr>
      </w:pPr>
      <w:r>
        <w:rPr>
          <w:rFonts w:hint="eastAsia" w:ascii="宋体" w:hAnsi="宋体" w:cs="宋体"/>
          <w:bCs/>
          <w:color w:val="000000"/>
          <w:sz w:val="24"/>
          <w:szCs w:val="24"/>
          <w:highlight w:val="none"/>
        </w:rPr>
        <w:t xml:space="preserve">    </w:t>
      </w:r>
      <w:r>
        <w:rPr>
          <w:rFonts w:hint="eastAsia" w:ascii="宋体" w:hAnsi="宋体" w:cs="宋体"/>
          <w:bCs/>
          <w:color w:val="000000"/>
          <w:sz w:val="24"/>
          <w:szCs w:val="24"/>
          <w:highlight w:val="none"/>
          <w:lang w:eastAsia="zh-CN"/>
        </w:rPr>
        <w:t>发包人</w:t>
      </w:r>
      <w:r>
        <w:rPr>
          <w:rFonts w:hint="eastAsia" w:ascii="宋体" w:hAnsi="宋体" w:cs="宋体"/>
          <w:bCs/>
          <w:color w:val="000000"/>
          <w:sz w:val="24"/>
          <w:szCs w:val="24"/>
          <w:highlight w:val="none"/>
        </w:rPr>
        <w:t>应在咨询工作完成后</w:t>
      </w:r>
      <w:r>
        <w:rPr>
          <w:rFonts w:hint="eastAsia" w:ascii="宋体" w:hAnsi="宋体" w:cs="宋体"/>
          <w:color w:val="000000"/>
          <w:sz w:val="24"/>
          <w:szCs w:val="24"/>
          <w:highlight w:val="none"/>
          <w:u w:val="single"/>
        </w:rPr>
        <w:t xml:space="preserve">   /  </w:t>
      </w:r>
      <w:r>
        <w:rPr>
          <w:rFonts w:hint="eastAsia" w:ascii="宋体" w:hAnsi="宋体" w:cs="宋体"/>
          <w:bCs/>
          <w:color w:val="000000"/>
          <w:sz w:val="24"/>
          <w:szCs w:val="24"/>
          <w:highlight w:val="none"/>
        </w:rPr>
        <w:t>天内支付咨询费用。</w:t>
      </w:r>
    </w:p>
    <w:p>
      <w:pPr>
        <w:adjustRightInd w:val="0"/>
        <w:snapToGrid w:val="0"/>
        <w:spacing w:line="360" w:lineRule="auto"/>
        <w:ind w:firstLine="235" w:firstLineChars="98"/>
        <w:rPr>
          <w:rFonts w:ascii="宋体" w:hAnsi="宋体" w:cs="宋体"/>
          <w:color w:val="00000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 xml:space="preserve"> 保密</w:t>
      </w:r>
    </w:p>
    <w:p>
      <w:pPr>
        <w:spacing w:line="360" w:lineRule="auto"/>
        <w:ind w:left="-178" w:firstLine="600"/>
        <w:rPr>
          <w:rFonts w:ascii="宋体" w:hAnsi="宋体" w:cs="宋体"/>
          <w:color w:val="000000"/>
          <w:sz w:val="24"/>
          <w:szCs w:val="24"/>
          <w:highlight w:val="none"/>
        </w:rPr>
      </w:pPr>
      <w:r>
        <w:rPr>
          <w:rFonts w:hint="eastAsia" w:ascii="宋体" w:hAnsi="宋体" w:cs="宋体"/>
          <w:color w:val="000000"/>
          <w:sz w:val="24"/>
          <w:szCs w:val="24"/>
          <w:highlight w:val="none"/>
        </w:rPr>
        <w:t>在与</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合作过程中所获得或知悉的关于</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的信息，包括项目信息、技术图纸、资料、经营信息、人力资源、本合同所涉及的设计/研究内容、设计/研究成果等所有未公开之信息为</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的商业秘密，应严守其秘密性。未经</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事先书面同意，</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除根据法律及政府部门有关规定外不得将</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商业秘密或</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提供给</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的技术资料、图纸等用于履行本合同之外的其他用途。</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上述保密义务的期限，从</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知悉该资料或信息之日起，直至公众可通过合法途径获得、知悉相关资料、信息之日止。</w:t>
      </w:r>
    </w:p>
    <w:p>
      <w:pPr>
        <w:spacing w:line="360" w:lineRule="auto"/>
        <w:ind w:left="-178" w:firstLine="600"/>
        <w:rPr>
          <w:rFonts w:ascii="宋体" w:hAnsi="宋体" w:cs="宋体"/>
          <w:color w:val="000000"/>
          <w:sz w:val="24"/>
          <w:szCs w:val="24"/>
          <w:highlight w:val="none"/>
        </w:rPr>
      </w:pPr>
      <w:r>
        <w:rPr>
          <w:rFonts w:hint="eastAsia" w:ascii="宋体" w:hAnsi="宋体" w:cs="宋体"/>
          <w:color w:val="000000"/>
          <w:sz w:val="24"/>
          <w:szCs w:val="24"/>
          <w:highlight w:val="none"/>
        </w:rPr>
        <w:t>如</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违反上述约定的，</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应按本合同暂定监理报酬总价的10%向</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支付违约金，违约金不足以赔偿</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损失的，应按</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的实际损失赔偿。</w:t>
      </w:r>
    </w:p>
    <w:p>
      <w:pPr>
        <w:spacing w:line="360" w:lineRule="auto"/>
        <w:ind w:left="-178" w:firstLine="600"/>
        <w:rPr>
          <w:rFonts w:ascii="宋体" w:hAnsi="宋体" w:cs="宋体"/>
          <w:color w:val="000000"/>
          <w:sz w:val="24"/>
          <w:szCs w:val="24"/>
          <w:highlight w:val="none"/>
        </w:rPr>
      </w:pPr>
      <w:r>
        <w:rPr>
          <w:rFonts w:hint="eastAsia" w:ascii="宋体" w:hAnsi="宋体" w:cs="宋体"/>
          <w:color w:val="000000"/>
          <w:sz w:val="24"/>
          <w:szCs w:val="24"/>
          <w:highlight w:val="none"/>
        </w:rPr>
        <w:t>本保密条款具有独立性，不受本合同的终止或解除的影响。</w:t>
      </w:r>
    </w:p>
    <w:p>
      <w:pPr>
        <w:snapToGrid w:val="0"/>
        <w:spacing w:line="360" w:lineRule="auto"/>
        <w:ind w:firstLine="235" w:firstLineChars="98"/>
        <w:rPr>
          <w:rFonts w:ascii="宋体" w:hAnsi="宋体" w:cs="宋体"/>
          <w:bCs/>
          <w:color w:val="00000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4</w:t>
      </w:r>
      <w:r>
        <w:rPr>
          <w:rFonts w:hint="eastAsia" w:ascii="宋体" w:hAnsi="宋体" w:cs="宋体"/>
          <w:bCs/>
          <w:color w:val="000000"/>
          <w:sz w:val="24"/>
          <w:szCs w:val="24"/>
          <w:highlight w:val="none"/>
        </w:rPr>
        <w:t>著作权</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在本合同履行期间及本合同终止后两年内出版涉及本工程的有关监理与相关服务的资料的限制条件：</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向</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支付本合同价款（阶段或全部费用）后，</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完成的文件及资料的著作权归</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所有。</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及其直接或间接参与履行本合同的人员未经</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许可，不得将</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完成的文件资料用于其他项目或允许他人使用；</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有权无须事先征得</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同同意即公开展示所有</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提交的文件资料（包括</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的名称、地址等），并可通过传播媒介（广播、电视、网络等）、杂志、书刊、报纸或其它任何形式介绍、展示及评价该文件资料，所有展示、推介、广告均无需再向</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支付费用。</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保证其有关文件资料不侵犯第三人的著作权、商业秘密及其它合法权利（包括但不限于商标权、专利权、商业秘密、名称权、肖像权等各项权利），否则应由</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承担责任，造成</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损失的，全额赔偿</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损失。若</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使用了第三人的上述合法权利，应事先向</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申明，且有关权利的使用费用由</w:t>
      </w:r>
      <w:r>
        <w:rPr>
          <w:rFonts w:hint="eastAsia" w:ascii="宋体" w:hAnsi="宋体" w:cs="宋体"/>
          <w:color w:val="000000"/>
          <w:sz w:val="24"/>
          <w:szCs w:val="24"/>
          <w:highlight w:val="none"/>
          <w:lang w:eastAsia="zh-CN"/>
        </w:rPr>
        <w:t>承包人</w:t>
      </w:r>
      <w:r>
        <w:rPr>
          <w:rFonts w:hint="eastAsia" w:ascii="宋体" w:hAnsi="宋体" w:cs="宋体"/>
          <w:color w:val="000000"/>
          <w:sz w:val="24"/>
          <w:szCs w:val="24"/>
          <w:highlight w:val="none"/>
        </w:rPr>
        <w:t>承担。</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本条所指文件包括一切纸质文件及电子文档。</w:t>
      </w:r>
    </w:p>
    <w:p>
      <w:pPr>
        <w:adjustRightInd w:val="0"/>
        <w:snapToGrid w:val="0"/>
        <w:spacing w:before="120" w:beforeLines="50" w:after="120" w:afterLines="50" w:line="360" w:lineRule="auto"/>
        <w:ind w:firstLine="241" w:firstLineChars="100"/>
        <w:rPr>
          <w:rFonts w:ascii="宋体" w:hAnsi="宋体" w:cs="宋体"/>
          <w:b/>
          <w:color w:val="000000"/>
          <w:sz w:val="24"/>
          <w:szCs w:val="24"/>
          <w:highlight w:val="none"/>
        </w:rPr>
      </w:pPr>
      <w:r>
        <w:rPr>
          <w:rFonts w:hint="eastAsia" w:ascii="宋体" w:hAnsi="宋体" w:cs="宋体"/>
          <w:b/>
          <w:color w:val="000000"/>
          <w:sz w:val="24"/>
          <w:szCs w:val="24"/>
          <w:highlight w:val="none"/>
        </w:rPr>
        <w:t>9. 补充条款</w:t>
      </w:r>
    </w:p>
    <w:p>
      <w:pPr>
        <w:adjustRightInd w:val="0"/>
        <w:snapToGrid w:val="0"/>
        <w:spacing w:before="120" w:beforeLines="50" w:after="120" w:afterLines="50"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详见附录A《发包人派遣的人员和提供的房屋、资料、设备》</w:t>
      </w:r>
    </w:p>
    <w:p>
      <w:pPr>
        <w:adjustRightInd w:val="0"/>
        <w:snapToGrid w:val="0"/>
        <w:spacing w:before="120" w:beforeLines="50" w:after="120" w:afterLines="5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详见附录B《监理管理制度》；</w:t>
      </w:r>
    </w:p>
    <w:p>
      <w:pPr>
        <w:adjustRightInd w:val="0"/>
        <w:snapToGrid w:val="0"/>
        <w:spacing w:before="120" w:beforeLines="50" w:after="120" w:afterLines="5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详见附录C《监理工作的检查方法》；                </w:t>
      </w:r>
    </w:p>
    <w:p>
      <w:pPr>
        <w:rPr>
          <w:rFonts w:ascii="仿宋" w:hAnsi="仿宋" w:eastAsia="仿宋" w:cs="仿宋"/>
          <w:bCs/>
          <w:color w:val="000000"/>
          <w:sz w:val="24"/>
          <w:szCs w:val="24"/>
          <w:highlight w:val="none"/>
        </w:rPr>
      </w:pPr>
    </w:p>
    <w:p>
      <w:pPr>
        <w:pageBreakBefore/>
        <w:jc w:val="center"/>
        <w:rPr>
          <w:rFonts w:ascii="仿宋_GB2312" w:eastAsia="仿宋_GB2312"/>
          <w:b/>
          <w:bCs/>
          <w:color w:val="000000"/>
          <w:sz w:val="32"/>
          <w:szCs w:val="32"/>
          <w:highlight w:val="none"/>
        </w:rPr>
      </w:pPr>
      <w:r>
        <w:rPr>
          <w:rFonts w:hint="eastAsia" w:ascii="仿宋_GB2312" w:hAnsi="宋体" w:eastAsia="仿宋_GB2312"/>
          <w:b/>
          <w:bCs/>
          <w:color w:val="000000"/>
          <w:sz w:val="32"/>
          <w:szCs w:val="32"/>
          <w:highlight w:val="none"/>
        </w:rPr>
        <w:t>附录</w:t>
      </w:r>
      <w:r>
        <w:rPr>
          <w:rFonts w:hint="eastAsia" w:ascii="仿宋_GB2312" w:eastAsia="仿宋_GB2312"/>
          <w:b/>
          <w:bCs/>
          <w:color w:val="000000"/>
          <w:sz w:val="32"/>
          <w:szCs w:val="32"/>
          <w:highlight w:val="none"/>
        </w:rPr>
        <w:t xml:space="preserve">A  </w:t>
      </w:r>
      <w:r>
        <w:rPr>
          <w:rFonts w:hint="eastAsia" w:ascii="仿宋_GB2312" w:hAnsi="宋体" w:eastAsia="仿宋_GB2312"/>
          <w:b/>
          <w:bCs/>
          <w:color w:val="000000"/>
          <w:sz w:val="32"/>
          <w:szCs w:val="32"/>
          <w:highlight w:val="none"/>
          <w:lang w:eastAsia="zh-CN"/>
        </w:rPr>
        <w:t>发包人</w:t>
      </w:r>
      <w:r>
        <w:rPr>
          <w:rFonts w:hint="eastAsia" w:ascii="仿宋_GB2312" w:hAnsi="宋体" w:eastAsia="仿宋_GB2312"/>
          <w:b/>
          <w:bCs/>
          <w:color w:val="000000"/>
          <w:sz w:val="32"/>
          <w:szCs w:val="32"/>
          <w:highlight w:val="none"/>
        </w:rPr>
        <w:t>派遣的人员和提供的房屋、资料、设备</w:t>
      </w:r>
    </w:p>
    <w:p>
      <w:pPr>
        <w:spacing w:before="120" w:beforeLines="50"/>
        <w:rPr>
          <w:rFonts w:ascii="仿宋_GB2312" w:eastAsia="仿宋_GB2312"/>
          <w:b/>
          <w:color w:val="000000"/>
          <w:kern w:val="0"/>
          <w:sz w:val="24"/>
          <w:szCs w:val="24"/>
          <w:highlight w:val="none"/>
        </w:rPr>
      </w:pPr>
      <w:r>
        <w:rPr>
          <w:rFonts w:hint="eastAsia" w:ascii="仿宋_GB2312" w:eastAsia="仿宋_GB2312"/>
          <w:b/>
          <w:color w:val="000000"/>
          <w:kern w:val="0"/>
          <w:sz w:val="24"/>
          <w:szCs w:val="24"/>
          <w:highlight w:val="none"/>
        </w:rPr>
        <w:t xml:space="preserve">B-1  </w:t>
      </w:r>
      <w:r>
        <w:rPr>
          <w:rFonts w:hint="eastAsia" w:ascii="仿宋_GB2312" w:hAnsi="宋体" w:eastAsia="仿宋_GB2312"/>
          <w:b/>
          <w:color w:val="000000"/>
          <w:kern w:val="0"/>
          <w:sz w:val="24"/>
          <w:szCs w:val="24"/>
          <w:highlight w:val="none"/>
          <w:lang w:eastAsia="zh-CN"/>
        </w:rPr>
        <w:t>发包人</w:t>
      </w:r>
      <w:r>
        <w:rPr>
          <w:rFonts w:hint="eastAsia" w:ascii="仿宋_GB2312" w:hAnsi="宋体" w:eastAsia="仿宋_GB2312"/>
          <w:b/>
          <w:color w:val="000000"/>
          <w:kern w:val="0"/>
          <w:sz w:val="24"/>
          <w:szCs w:val="24"/>
          <w:highlight w:val="none"/>
        </w:rPr>
        <w:t>派遣的人员</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918"/>
        <w:gridCol w:w="2130"/>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0"/>
            <w:vAlign w:val="top"/>
          </w:tcPr>
          <w:p>
            <w:pPr>
              <w:jc w:val="center"/>
              <w:rPr>
                <w:rFonts w:ascii="仿宋_GB2312" w:eastAsia="仿宋_GB2312"/>
                <w:color w:val="000000"/>
                <w:sz w:val="24"/>
                <w:szCs w:val="24"/>
                <w:highlight w:val="none"/>
              </w:rPr>
            </w:pPr>
            <w:r>
              <w:rPr>
                <w:rFonts w:hint="eastAsia" w:ascii="仿宋_GB2312" w:hAnsi="宋体" w:eastAsia="仿宋_GB2312"/>
                <w:color w:val="000000"/>
                <w:sz w:val="24"/>
                <w:szCs w:val="24"/>
                <w:highlight w:val="none"/>
              </w:rPr>
              <w:t>名称</w:t>
            </w:r>
          </w:p>
        </w:tc>
        <w:tc>
          <w:tcPr>
            <w:tcW w:w="1918" w:type="dxa"/>
            <w:noWrap w:val="0"/>
            <w:vAlign w:val="top"/>
          </w:tcPr>
          <w:p>
            <w:pPr>
              <w:jc w:val="center"/>
              <w:rPr>
                <w:rFonts w:ascii="仿宋_GB2312" w:eastAsia="仿宋_GB2312"/>
                <w:color w:val="000000"/>
                <w:sz w:val="24"/>
                <w:szCs w:val="24"/>
                <w:highlight w:val="none"/>
              </w:rPr>
            </w:pPr>
            <w:r>
              <w:rPr>
                <w:rFonts w:hint="eastAsia" w:ascii="仿宋_GB2312" w:hAnsi="宋体" w:eastAsia="仿宋_GB2312"/>
                <w:color w:val="000000"/>
                <w:sz w:val="24"/>
                <w:szCs w:val="24"/>
                <w:highlight w:val="none"/>
              </w:rPr>
              <w:t>数量</w:t>
            </w:r>
          </w:p>
        </w:tc>
        <w:tc>
          <w:tcPr>
            <w:tcW w:w="2130" w:type="dxa"/>
            <w:noWrap w:val="0"/>
            <w:vAlign w:val="top"/>
          </w:tcPr>
          <w:p>
            <w:pPr>
              <w:jc w:val="center"/>
              <w:rPr>
                <w:rFonts w:ascii="仿宋_GB2312" w:eastAsia="仿宋_GB2312"/>
                <w:color w:val="000000"/>
                <w:sz w:val="24"/>
                <w:szCs w:val="24"/>
                <w:highlight w:val="none"/>
              </w:rPr>
            </w:pPr>
            <w:r>
              <w:rPr>
                <w:rFonts w:hint="eastAsia" w:ascii="仿宋_GB2312" w:hAnsi="宋体" w:eastAsia="仿宋_GB2312"/>
                <w:color w:val="000000"/>
                <w:sz w:val="24"/>
                <w:szCs w:val="24"/>
                <w:highlight w:val="none"/>
              </w:rPr>
              <w:t>工作要求</w:t>
            </w:r>
          </w:p>
        </w:tc>
        <w:tc>
          <w:tcPr>
            <w:tcW w:w="2047" w:type="dxa"/>
            <w:noWrap w:val="0"/>
            <w:vAlign w:val="top"/>
          </w:tcPr>
          <w:p>
            <w:pPr>
              <w:jc w:val="center"/>
              <w:rPr>
                <w:rFonts w:ascii="仿宋_GB2312" w:eastAsia="仿宋_GB2312"/>
                <w:color w:val="000000"/>
                <w:sz w:val="24"/>
                <w:szCs w:val="24"/>
                <w:highlight w:val="none"/>
              </w:rPr>
            </w:pPr>
            <w:r>
              <w:rPr>
                <w:rFonts w:hint="eastAsia" w:ascii="仿宋_GB2312" w:hAnsi="宋体" w:eastAsia="仿宋_GB2312"/>
                <w:color w:val="000000"/>
                <w:sz w:val="24"/>
                <w:szCs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0"/>
            <w:vAlign w:val="top"/>
          </w:tcPr>
          <w:p>
            <w:pPr>
              <w:jc w:val="left"/>
              <w:rPr>
                <w:rFonts w:ascii="仿宋_GB2312" w:eastAsia="仿宋_GB2312"/>
                <w:color w:val="000000"/>
                <w:sz w:val="24"/>
                <w:szCs w:val="24"/>
                <w:highlight w:val="none"/>
              </w:rPr>
            </w:pPr>
            <w:r>
              <w:rPr>
                <w:rFonts w:hint="eastAsia" w:ascii="仿宋_GB2312" w:eastAsia="仿宋_GB2312"/>
                <w:color w:val="000000"/>
                <w:sz w:val="24"/>
                <w:szCs w:val="24"/>
                <w:highlight w:val="none"/>
              </w:rPr>
              <w:t xml:space="preserve">1. </w:t>
            </w:r>
            <w:r>
              <w:rPr>
                <w:rFonts w:hint="eastAsia" w:ascii="仿宋_GB2312" w:hAnsi="宋体" w:eastAsia="仿宋_GB2312"/>
                <w:color w:val="000000"/>
                <w:sz w:val="24"/>
                <w:szCs w:val="24"/>
                <w:highlight w:val="none"/>
              </w:rPr>
              <w:t>工程技术人员</w:t>
            </w:r>
            <w:r>
              <w:rPr>
                <w:rFonts w:hint="eastAsia" w:ascii="仿宋_GB2312" w:eastAsia="仿宋_GB2312"/>
                <w:color w:val="000000"/>
                <w:sz w:val="24"/>
                <w:szCs w:val="24"/>
                <w:highlight w:val="none"/>
              </w:rPr>
              <w:t xml:space="preserve"> </w:t>
            </w:r>
          </w:p>
        </w:tc>
        <w:tc>
          <w:tcPr>
            <w:tcW w:w="1918" w:type="dxa"/>
            <w:noWrap w:val="0"/>
            <w:vAlign w:val="top"/>
          </w:tcPr>
          <w:p>
            <w:pPr>
              <w:jc w:val="left"/>
              <w:rPr>
                <w:rFonts w:ascii="仿宋_GB2312" w:eastAsia="仿宋_GB2312"/>
                <w:color w:val="000000"/>
                <w:sz w:val="24"/>
                <w:szCs w:val="24"/>
                <w:highlight w:val="none"/>
              </w:rPr>
            </w:pPr>
          </w:p>
        </w:tc>
        <w:tc>
          <w:tcPr>
            <w:tcW w:w="2130" w:type="dxa"/>
            <w:noWrap w:val="0"/>
            <w:vAlign w:val="top"/>
          </w:tcPr>
          <w:p>
            <w:pPr>
              <w:jc w:val="left"/>
              <w:rPr>
                <w:rFonts w:ascii="仿宋_GB2312" w:eastAsia="仿宋_GB2312"/>
                <w:color w:val="000000"/>
                <w:sz w:val="24"/>
                <w:szCs w:val="24"/>
                <w:highlight w:val="none"/>
              </w:rPr>
            </w:pPr>
          </w:p>
        </w:tc>
        <w:tc>
          <w:tcPr>
            <w:tcW w:w="2047" w:type="dxa"/>
            <w:noWrap w:val="0"/>
            <w:vAlign w:val="top"/>
          </w:tcPr>
          <w:p>
            <w:pPr>
              <w:jc w:val="left"/>
              <w:rPr>
                <w:rFonts w:ascii="仿宋_GB2312" w:eastAsia="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0"/>
            <w:vAlign w:val="top"/>
          </w:tcPr>
          <w:p>
            <w:pPr>
              <w:jc w:val="left"/>
              <w:rPr>
                <w:rFonts w:ascii="仿宋_GB2312" w:eastAsia="仿宋_GB2312"/>
                <w:color w:val="000000"/>
                <w:sz w:val="24"/>
                <w:szCs w:val="24"/>
                <w:highlight w:val="none"/>
              </w:rPr>
            </w:pPr>
            <w:r>
              <w:rPr>
                <w:rFonts w:hint="eastAsia" w:ascii="仿宋_GB2312" w:eastAsia="仿宋_GB2312"/>
                <w:color w:val="000000"/>
                <w:sz w:val="24"/>
                <w:szCs w:val="24"/>
                <w:highlight w:val="none"/>
              </w:rPr>
              <w:t xml:space="preserve">2. </w:t>
            </w:r>
            <w:r>
              <w:rPr>
                <w:rFonts w:hint="eastAsia" w:ascii="仿宋_GB2312" w:hAnsi="宋体" w:eastAsia="仿宋_GB2312"/>
                <w:color w:val="000000"/>
                <w:sz w:val="24"/>
                <w:szCs w:val="24"/>
                <w:highlight w:val="none"/>
              </w:rPr>
              <w:t>辅助工作人员</w:t>
            </w:r>
          </w:p>
        </w:tc>
        <w:tc>
          <w:tcPr>
            <w:tcW w:w="1918" w:type="dxa"/>
            <w:noWrap w:val="0"/>
            <w:vAlign w:val="top"/>
          </w:tcPr>
          <w:p>
            <w:pPr>
              <w:jc w:val="left"/>
              <w:rPr>
                <w:rFonts w:ascii="仿宋_GB2312" w:eastAsia="仿宋_GB2312"/>
                <w:color w:val="000000"/>
                <w:sz w:val="24"/>
                <w:szCs w:val="24"/>
                <w:highlight w:val="none"/>
              </w:rPr>
            </w:pPr>
            <w:r>
              <w:rPr>
                <w:rFonts w:hint="eastAsia" w:ascii="仿宋_GB2312" w:eastAsia="仿宋_GB2312"/>
                <w:color w:val="000000"/>
                <w:sz w:val="24"/>
                <w:szCs w:val="24"/>
                <w:highlight w:val="none"/>
              </w:rPr>
              <w:t>按实际需要投入</w:t>
            </w:r>
          </w:p>
        </w:tc>
        <w:tc>
          <w:tcPr>
            <w:tcW w:w="2130" w:type="dxa"/>
            <w:noWrap w:val="0"/>
            <w:vAlign w:val="top"/>
          </w:tcPr>
          <w:p>
            <w:pPr>
              <w:jc w:val="left"/>
              <w:rPr>
                <w:rFonts w:ascii="仿宋_GB2312" w:eastAsia="仿宋_GB2312"/>
                <w:color w:val="000000"/>
                <w:sz w:val="24"/>
                <w:szCs w:val="24"/>
                <w:highlight w:val="none"/>
              </w:rPr>
            </w:pPr>
            <w:r>
              <w:rPr>
                <w:rFonts w:hint="eastAsia" w:ascii="仿宋_GB2312" w:eastAsia="仿宋_GB2312"/>
                <w:color w:val="000000"/>
                <w:sz w:val="24"/>
                <w:szCs w:val="24"/>
                <w:highlight w:val="none"/>
              </w:rPr>
              <w:t>暂无</w:t>
            </w:r>
          </w:p>
        </w:tc>
        <w:tc>
          <w:tcPr>
            <w:tcW w:w="2047" w:type="dxa"/>
            <w:noWrap w:val="0"/>
            <w:vAlign w:val="top"/>
          </w:tcPr>
          <w:p>
            <w:pPr>
              <w:jc w:val="left"/>
              <w:rPr>
                <w:rFonts w:ascii="仿宋_GB2312" w:eastAsia="仿宋_GB2312"/>
                <w:color w:val="000000"/>
                <w:sz w:val="24"/>
                <w:szCs w:val="24"/>
                <w:highlight w:val="none"/>
              </w:rPr>
            </w:pPr>
            <w:r>
              <w:rPr>
                <w:rFonts w:hint="eastAsia" w:ascii="仿宋_GB2312" w:eastAsia="仿宋_GB2312"/>
                <w:color w:val="000000"/>
                <w:sz w:val="24"/>
                <w:szCs w:val="24"/>
                <w:highlight w:val="none"/>
              </w:rPr>
              <w:t>按实际需要投入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0"/>
            <w:vAlign w:val="top"/>
          </w:tcPr>
          <w:p>
            <w:pPr>
              <w:jc w:val="left"/>
              <w:rPr>
                <w:rFonts w:ascii="仿宋_GB2312" w:eastAsia="仿宋_GB2312"/>
                <w:color w:val="000000"/>
                <w:sz w:val="24"/>
                <w:szCs w:val="24"/>
                <w:highlight w:val="none"/>
              </w:rPr>
            </w:pPr>
            <w:r>
              <w:rPr>
                <w:rFonts w:hint="eastAsia" w:ascii="仿宋_GB2312" w:eastAsia="仿宋_GB2312"/>
                <w:color w:val="000000"/>
                <w:sz w:val="24"/>
                <w:szCs w:val="24"/>
                <w:highlight w:val="none"/>
              </w:rPr>
              <w:t xml:space="preserve">3. </w:t>
            </w:r>
            <w:r>
              <w:rPr>
                <w:rFonts w:hint="eastAsia" w:ascii="仿宋_GB2312" w:hAnsi="宋体" w:eastAsia="仿宋_GB2312"/>
                <w:color w:val="000000"/>
                <w:sz w:val="24"/>
                <w:szCs w:val="24"/>
                <w:highlight w:val="none"/>
              </w:rPr>
              <w:t>其他人员</w:t>
            </w:r>
          </w:p>
        </w:tc>
        <w:tc>
          <w:tcPr>
            <w:tcW w:w="1918" w:type="dxa"/>
            <w:noWrap w:val="0"/>
            <w:vAlign w:val="top"/>
          </w:tcPr>
          <w:p>
            <w:pPr>
              <w:jc w:val="left"/>
              <w:rPr>
                <w:rFonts w:ascii="仿宋_GB2312" w:eastAsia="仿宋_GB2312"/>
                <w:color w:val="000000"/>
                <w:sz w:val="24"/>
                <w:szCs w:val="24"/>
                <w:highlight w:val="none"/>
              </w:rPr>
            </w:pPr>
            <w:r>
              <w:rPr>
                <w:rFonts w:hint="eastAsia" w:ascii="仿宋_GB2312" w:eastAsia="仿宋_GB2312"/>
                <w:color w:val="000000"/>
                <w:sz w:val="24"/>
                <w:szCs w:val="24"/>
                <w:highlight w:val="none"/>
              </w:rPr>
              <w:t>按实际需要投入</w:t>
            </w:r>
          </w:p>
        </w:tc>
        <w:tc>
          <w:tcPr>
            <w:tcW w:w="2130" w:type="dxa"/>
            <w:noWrap w:val="0"/>
            <w:vAlign w:val="top"/>
          </w:tcPr>
          <w:p>
            <w:pPr>
              <w:jc w:val="left"/>
              <w:rPr>
                <w:rFonts w:ascii="仿宋_GB2312" w:eastAsia="仿宋_GB2312"/>
                <w:color w:val="000000"/>
                <w:sz w:val="24"/>
                <w:szCs w:val="24"/>
                <w:highlight w:val="none"/>
              </w:rPr>
            </w:pPr>
            <w:r>
              <w:rPr>
                <w:rFonts w:hint="eastAsia" w:ascii="仿宋_GB2312" w:eastAsia="仿宋_GB2312"/>
                <w:color w:val="000000"/>
                <w:sz w:val="24"/>
                <w:szCs w:val="24"/>
                <w:highlight w:val="none"/>
              </w:rPr>
              <w:t>暂无</w:t>
            </w:r>
          </w:p>
        </w:tc>
        <w:tc>
          <w:tcPr>
            <w:tcW w:w="2047" w:type="dxa"/>
            <w:noWrap w:val="0"/>
            <w:vAlign w:val="top"/>
          </w:tcPr>
          <w:p>
            <w:pPr>
              <w:jc w:val="left"/>
              <w:rPr>
                <w:rFonts w:ascii="仿宋_GB2312" w:eastAsia="仿宋_GB2312"/>
                <w:color w:val="000000"/>
                <w:sz w:val="24"/>
                <w:szCs w:val="24"/>
                <w:highlight w:val="none"/>
              </w:rPr>
            </w:pPr>
            <w:r>
              <w:rPr>
                <w:rFonts w:hint="eastAsia" w:ascii="仿宋_GB2312" w:eastAsia="仿宋_GB2312"/>
                <w:color w:val="000000"/>
                <w:sz w:val="24"/>
                <w:szCs w:val="24"/>
                <w:highlight w:val="none"/>
              </w:rPr>
              <w:t>按实际需要投入</w:t>
            </w:r>
          </w:p>
        </w:tc>
      </w:tr>
    </w:tbl>
    <w:p>
      <w:pPr>
        <w:spacing w:before="120" w:beforeLines="50"/>
        <w:outlineLvl w:val="0"/>
        <w:rPr>
          <w:rFonts w:ascii="仿宋_GB2312" w:eastAsia="仿宋_GB2312"/>
          <w:b/>
          <w:color w:val="000000"/>
          <w:kern w:val="0"/>
          <w:sz w:val="24"/>
          <w:szCs w:val="24"/>
          <w:highlight w:val="none"/>
        </w:rPr>
      </w:pPr>
      <w:bookmarkStart w:id="10" w:name="_Toc375664918"/>
      <w:r>
        <w:rPr>
          <w:rFonts w:hint="eastAsia" w:ascii="仿宋_GB2312" w:eastAsia="仿宋_GB2312"/>
          <w:b/>
          <w:color w:val="000000"/>
          <w:kern w:val="0"/>
          <w:sz w:val="24"/>
          <w:szCs w:val="24"/>
          <w:highlight w:val="none"/>
        </w:rPr>
        <w:t xml:space="preserve">B-2  </w:t>
      </w:r>
      <w:r>
        <w:rPr>
          <w:rFonts w:hint="eastAsia" w:ascii="仿宋_GB2312" w:hAnsi="宋体" w:eastAsia="仿宋_GB2312"/>
          <w:b/>
          <w:color w:val="000000"/>
          <w:kern w:val="0"/>
          <w:sz w:val="24"/>
          <w:szCs w:val="24"/>
          <w:highlight w:val="none"/>
          <w:lang w:eastAsia="zh-CN"/>
        </w:rPr>
        <w:t>发包人</w:t>
      </w:r>
      <w:r>
        <w:rPr>
          <w:rFonts w:hint="eastAsia" w:ascii="仿宋_GB2312" w:hAnsi="宋体" w:eastAsia="仿宋_GB2312"/>
          <w:b/>
          <w:color w:val="000000"/>
          <w:kern w:val="0"/>
          <w:sz w:val="24"/>
          <w:szCs w:val="24"/>
          <w:highlight w:val="none"/>
        </w:rPr>
        <w:t>提供的房屋</w:t>
      </w:r>
      <w:bookmarkEnd w:id="10"/>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3" w:type="dxa"/>
            <w:noWrap w:val="0"/>
            <w:vAlign w:val="top"/>
          </w:tcPr>
          <w:p>
            <w:pPr>
              <w:jc w:val="center"/>
              <w:rPr>
                <w:rFonts w:ascii="仿宋_GB2312" w:eastAsia="仿宋_GB2312"/>
                <w:color w:val="000000"/>
                <w:sz w:val="24"/>
                <w:szCs w:val="24"/>
                <w:highlight w:val="none"/>
              </w:rPr>
            </w:pPr>
            <w:r>
              <w:rPr>
                <w:rFonts w:hint="eastAsia" w:ascii="仿宋_GB2312" w:hAnsi="宋体" w:eastAsia="仿宋_GB2312"/>
                <w:color w:val="000000"/>
                <w:sz w:val="24"/>
                <w:szCs w:val="24"/>
                <w:highlight w:val="none"/>
              </w:rPr>
              <w:t>名称</w:t>
            </w:r>
          </w:p>
        </w:tc>
        <w:tc>
          <w:tcPr>
            <w:tcW w:w="2130" w:type="dxa"/>
            <w:noWrap w:val="0"/>
            <w:vAlign w:val="top"/>
          </w:tcPr>
          <w:p>
            <w:pPr>
              <w:jc w:val="center"/>
              <w:rPr>
                <w:rFonts w:ascii="仿宋_GB2312" w:eastAsia="仿宋_GB2312"/>
                <w:color w:val="000000"/>
                <w:sz w:val="24"/>
                <w:szCs w:val="24"/>
                <w:highlight w:val="none"/>
              </w:rPr>
            </w:pPr>
            <w:r>
              <w:rPr>
                <w:rFonts w:hint="eastAsia" w:ascii="仿宋_GB2312" w:hAnsi="宋体" w:eastAsia="仿宋_GB2312"/>
                <w:color w:val="000000"/>
                <w:sz w:val="24"/>
                <w:szCs w:val="24"/>
                <w:highlight w:val="none"/>
              </w:rPr>
              <w:t>数量</w:t>
            </w:r>
          </w:p>
        </w:tc>
        <w:tc>
          <w:tcPr>
            <w:tcW w:w="2130" w:type="dxa"/>
            <w:noWrap w:val="0"/>
            <w:vAlign w:val="top"/>
          </w:tcPr>
          <w:p>
            <w:pPr>
              <w:jc w:val="center"/>
              <w:rPr>
                <w:rFonts w:ascii="仿宋_GB2312" w:eastAsia="仿宋_GB2312"/>
                <w:color w:val="000000"/>
                <w:sz w:val="24"/>
                <w:szCs w:val="24"/>
                <w:highlight w:val="none"/>
              </w:rPr>
            </w:pPr>
            <w:r>
              <w:rPr>
                <w:rFonts w:hint="eastAsia" w:ascii="仿宋_GB2312" w:hAnsi="宋体" w:eastAsia="仿宋_GB2312"/>
                <w:color w:val="000000"/>
                <w:sz w:val="24"/>
                <w:szCs w:val="24"/>
                <w:highlight w:val="none"/>
              </w:rPr>
              <w:t>面积</w:t>
            </w:r>
          </w:p>
        </w:tc>
        <w:tc>
          <w:tcPr>
            <w:tcW w:w="1860" w:type="dxa"/>
            <w:noWrap w:val="0"/>
            <w:vAlign w:val="top"/>
          </w:tcPr>
          <w:p>
            <w:pPr>
              <w:jc w:val="center"/>
              <w:rPr>
                <w:rFonts w:ascii="仿宋_GB2312" w:eastAsia="仿宋_GB2312"/>
                <w:color w:val="000000"/>
                <w:sz w:val="24"/>
                <w:szCs w:val="24"/>
                <w:highlight w:val="none"/>
              </w:rPr>
            </w:pPr>
            <w:r>
              <w:rPr>
                <w:rFonts w:hint="eastAsia" w:ascii="仿宋_GB2312" w:hAnsi="宋体" w:eastAsia="仿宋_GB2312"/>
                <w:color w:val="000000"/>
                <w:sz w:val="24"/>
                <w:szCs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noWrap w:val="0"/>
            <w:vAlign w:val="center"/>
          </w:tcPr>
          <w:p>
            <w:pPr>
              <w:jc w:val="left"/>
              <w:rPr>
                <w:rFonts w:ascii="仿宋_GB2312" w:eastAsia="仿宋_GB2312"/>
                <w:color w:val="FF0000"/>
                <w:sz w:val="24"/>
                <w:szCs w:val="24"/>
                <w:highlight w:val="none"/>
              </w:rPr>
            </w:pPr>
            <w:r>
              <w:rPr>
                <w:rFonts w:hint="eastAsia" w:ascii="仿宋_GB2312" w:eastAsia="仿宋_GB2312"/>
                <w:color w:val="FF0000"/>
                <w:sz w:val="24"/>
                <w:szCs w:val="24"/>
                <w:highlight w:val="none"/>
              </w:rPr>
              <w:t xml:space="preserve">1. </w:t>
            </w:r>
            <w:r>
              <w:rPr>
                <w:rFonts w:hint="eastAsia" w:ascii="仿宋_GB2312" w:hAnsi="宋体" w:eastAsia="仿宋_GB2312"/>
                <w:color w:val="FF0000"/>
                <w:sz w:val="24"/>
                <w:szCs w:val="24"/>
                <w:highlight w:val="none"/>
              </w:rPr>
              <w:t>办公用房</w:t>
            </w:r>
          </w:p>
        </w:tc>
        <w:tc>
          <w:tcPr>
            <w:tcW w:w="2130" w:type="dxa"/>
            <w:noWrap w:val="0"/>
            <w:vAlign w:val="center"/>
          </w:tcPr>
          <w:p>
            <w:pPr>
              <w:ind w:firstLine="240" w:firstLineChars="100"/>
              <w:jc w:val="center"/>
              <w:rPr>
                <w:rFonts w:ascii="仿宋_GB2312" w:eastAsia="仿宋_GB2312"/>
                <w:color w:val="FF0000"/>
                <w:sz w:val="24"/>
                <w:szCs w:val="24"/>
                <w:highlight w:val="none"/>
              </w:rPr>
            </w:pPr>
            <w:r>
              <w:rPr>
                <w:rFonts w:hint="eastAsia" w:ascii="仿宋_GB2312" w:eastAsia="仿宋_GB2312"/>
                <w:color w:val="FF0000"/>
                <w:sz w:val="24"/>
                <w:szCs w:val="24"/>
                <w:highlight w:val="none"/>
              </w:rPr>
              <w:t>1</w:t>
            </w:r>
          </w:p>
        </w:tc>
        <w:tc>
          <w:tcPr>
            <w:tcW w:w="2130" w:type="dxa"/>
            <w:noWrap w:val="0"/>
            <w:vAlign w:val="center"/>
          </w:tcPr>
          <w:p>
            <w:pPr>
              <w:ind w:firstLine="240" w:firstLineChars="100"/>
              <w:jc w:val="center"/>
              <w:rPr>
                <w:rFonts w:ascii="仿宋_GB2312" w:eastAsia="仿宋_GB2312"/>
                <w:color w:val="FF0000"/>
                <w:sz w:val="24"/>
                <w:szCs w:val="24"/>
                <w:highlight w:val="none"/>
              </w:rPr>
            </w:pPr>
          </w:p>
        </w:tc>
        <w:tc>
          <w:tcPr>
            <w:tcW w:w="1860" w:type="dxa"/>
            <w:noWrap w:val="0"/>
            <w:vAlign w:val="top"/>
          </w:tcPr>
          <w:p>
            <w:pPr>
              <w:rPr>
                <w:rFonts w:ascii="仿宋_GB2312" w:eastAsia="仿宋_GB2312"/>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noWrap w:val="0"/>
            <w:vAlign w:val="top"/>
          </w:tcPr>
          <w:p>
            <w:pPr>
              <w:rPr>
                <w:rFonts w:ascii="仿宋_GB2312" w:eastAsia="仿宋_GB2312"/>
                <w:dstrike/>
                <w:color w:val="FF0000"/>
                <w:sz w:val="24"/>
                <w:szCs w:val="24"/>
                <w:highlight w:val="none"/>
              </w:rPr>
            </w:pPr>
            <w:r>
              <w:rPr>
                <w:rFonts w:hint="eastAsia" w:ascii="仿宋_GB2312" w:eastAsia="仿宋_GB2312"/>
                <w:color w:val="FF0000"/>
                <w:sz w:val="24"/>
                <w:szCs w:val="24"/>
                <w:highlight w:val="none"/>
                <w:lang w:eastAsia="zh-CN"/>
              </w:rPr>
              <w:t>2</w:t>
            </w:r>
            <w:r>
              <w:rPr>
                <w:rFonts w:hint="eastAsia" w:ascii="仿宋_GB2312" w:eastAsia="仿宋_GB2312"/>
                <w:color w:val="FF0000"/>
                <w:sz w:val="24"/>
                <w:szCs w:val="24"/>
                <w:highlight w:val="none"/>
              </w:rPr>
              <w:t xml:space="preserve">. </w:t>
            </w:r>
            <w:r>
              <w:rPr>
                <w:rFonts w:hint="eastAsia" w:ascii="仿宋_GB2312" w:hAnsi="宋体" w:eastAsia="仿宋_GB2312"/>
                <w:color w:val="FF0000"/>
                <w:sz w:val="24"/>
                <w:szCs w:val="24"/>
                <w:highlight w:val="none"/>
              </w:rPr>
              <w:t>试验用房</w:t>
            </w:r>
          </w:p>
        </w:tc>
        <w:tc>
          <w:tcPr>
            <w:tcW w:w="2130" w:type="dxa"/>
            <w:noWrap w:val="0"/>
            <w:vAlign w:val="top"/>
          </w:tcPr>
          <w:p>
            <w:pPr>
              <w:jc w:val="center"/>
              <w:rPr>
                <w:rFonts w:ascii="仿宋_GB2312" w:eastAsia="仿宋_GB2312"/>
                <w:color w:val="FF0000"/>
                <w:sz w:val="24"/>
                <w:szCs w:val="24"/>
                <w:highlight w:val="none"/>
              </w:rPr>
            </w:pPr>
            <w:r>
              <w:rPr>
                <w:rFonts w:hint="eastAsia" w:ascii="仿宋_GB2312" w:eastAsia="仿宋_GB2312"/>
                <w:color w:val="FF0000"/>
                <w:sz w:val="24"/>
                <w:szCs w:val="24"/>
                <w:highlight w:val="none"/>
                <w:lang w:eastAsia="zh-CN"/>
              </w:rPr>
              <w:t>承包人</w:t>
            </w:r>
            <w:r>
              <w:rPr>
                <w:rFonts w:hint="eastAsia" w:ascii="仿宋_GB2312" w:eastAsia="仿宋_GB2312"/>
                <w:color w:val="FF0000"/>
                <w:sz w:val="24"/>
                <w:szCs w:val="24"/>
                <w:highlight w:val="none"/>
              </w:rPr>
              <w:t>自行考虑</w:t>
            </w:r>
          </w:p>
        </w:tc>
        <w:tc>
          <w:tcPr>
            <w:tcW w:w="2130" w:type="dxa"/>
            <w:noWrap w:val="0"/>
            <w:vAlign w:val="top"/>
          </w:tcPr>
          <w:p>
            <w:pPr>
              <w:jc w:val="center"/>
              <w:rPr>
                <w:rFonts w:ascii="仿宋_GB2312" w:eastAsia="仿宋_GB2312"/>
                <w:color w:val="FF0000"/>
                <w:sz w:val="24"/>
                <w:szCs w:val="24"/>
                <w:highlight w:val="none"/>
              </w:rPr>
            </w:pPr>
            <w:r>
              <w:rPr>
                <w:rFonts w:hint="eastAsia" w:ascii="仿宋_GB2312" w:eastAsia="仿宋_GB2312"/>
                <w:color w:val="FF0000"/>
                <w:sz w:val="24"/>
                <w:szCs w:val="24"/>
                <w:highlight w:val="none"/>
                <w:lang w:eastAsia="zh-CN"/>
              </w:rPr>
              <w:t>承包人</w:t>
            </w:r>
            <w:r>
              <w:rPr>
                <w:rFonts w:hint="eastAsia" w:ascii="仿宋_GB2312" w:eastAsia="仿宋_GB2312"/>
                <w:color w:val="FF0000"/>
                <w:sz w:val="24"/>
                <w:szCs w:val="24"/>
                <w:highlight w:val="none"/>
              </w:rPr>
              <w:t>自行考虑</w:t>
            </w:r>
          </w:p>
        </w:tc>
        <w:tc>
          <w:tcPr>
            <w:tcW w:w="1860" w:type="dxa"/>
            <w:noWrap w:val="0"/>
            <w:vAlign w:val="top"/>
          </w:tcPr>
          <w:p>
            <w:pPr>
              <w:jc w:val="center"/>
              <w:rPr>
                <w:rFonts w:ascii="仿宋_GB2312" w:eastAsia="仿宋_GB2312"/>
                <w:color w:val="FF0000"/>
                <w:sz w:val="24"/>
                <w:szCs w:val="24"/>
                <w:highlight w:val="none"/>
              </w:rPr>
            </w:pPr>
            <w:r>
              <w:rPr>
                <w:rFonts w:hint="eastAsia" w:ascii="仿宋_GB2312" w:eastAsia="仿宋_GB2312"/>
                <w:color w:val="FF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noWrap w:val="0"/>
            <w:vAlign w:val="top"/>
          </w:tcPr>
          <w:p>
            <w:pPr>
              <w:rPr>
                <w:rFonts w:ascii="仿宋_GB2312" w:eastAsia="仿宋_GB2312"/>
                <w:color w:val="FF0000"/>
                <w:sz w:val="24"/>
                <w:szCs w:val="24"/>
                <w:highlight w:val="none"/>
              </w:rPr>
            </w:pPr>
            <w:r>
              <w:rPr>
                <w:rFonts w:hint="eastAsia" w:ascii="仿宋_GB2312" w:eastAsia="仿宋_GB2312"/>
                <w:color w:val="FF0000"/>
                <w:sz w:val="24"/>
                <w:szCs w:val="24"/>
                <w:highlight w:val="none"/>
                <w:lang w:eastAsia="zh-CN"/>
              </w:rPr>
              <w:t>3</w:t>
            </w:r>
            <w:r>
              <w:rPr>
                <w:rFonts w:hint="eastAsia" w:ascii="仿宋_GB2312" w:eastAsia="仿宋_GB2312"/>
                <w:color w:val="FF0000"/>
                <w:sz w:val="24"/>
                <w:szCs w:val="24"/>
                <w:highlight w:val="none"/>
              </w:rPr>
              <w:t xml:space="preserve">. </w:t>
            </w:r>
            <w:r>
              <w:rPr>
                <w:rFonts w:hint="eastAsia" w:ascii="仿宋_GB2312" w:hAnsi="宋体" w:eastAsia="仿宋_GB2312"/>
                <w:color w:val="FF0000"/>
                <w:sz w:val="24"/>
                <w:szCs w:val="24"/>
                <w:highlight w:val="none"/>
              </w:rPr>
              <w:t>样品用房</w:t>
            </w:r>
          </w:p>
        </w:tc>
        <w:tc>
          <w:tcPr>
            <w:tcW w:w="2130" w:type="dxa"/>
            <w:noWrap w:val="0"/>
            <w:vAlign w:val="top"/>
          </w:tcPr>
          <w:p>
            <w:pPr>
              <w:jc w:val="center"/>
              <w:rPr>
                <w:rFonts w:ascii="仿宋_GB2312" w:eastAsia="仿宋_GB2312"/>
                <w:color w:val="FF0000"/>
                <w:sz w:val="24"/>
                <w:szCs w:val="24"/>
                <w:highlight w:val="none"/>
              </w:rPr>
            </w:pPr>
            <w:r>
              <w:rPr>
                <w:rFonts w:hint="eastAsia" w:ascii="仿宋_GB2312" w:eastAsia="仿宋_GB2312"/>
                <w:color w:val="FF0000"/>
                <w:sz w:val="24"/>
                <w:szCs w:val="24"/>
                <w:highlight w:val="none"/>
                <w:lang w:eastAsia="zh-CN"/>
              </w:rPr>
              <w:t>承包人</w:t>
            </w:r>
            <w:r>
              <w:rPr>
                <w:rFonts w:hint="eastAsia" w:ascii="仿宋_GB2312" w:eastAsia="仿宋_GB2312"/>
                <w:color w:val="FF0000"/>
                <w:sz w:val="24"/>
                <w:szCs w:val="24"/>
                <w:highlight w:val="none"/>
              </w:rPr>
              <w:t>自行考虑</w:t>
            </w:r>
          </w:p>
        </w:tc>
        <w:tc>
          <w:tcPr>
            <w:tcW w:w="2130" w:type="dxa"/>
            <w:noWrap w:val="0"/>
            <w:vAlign w:val="top"/>
          </w:tcPr>
          <w:p>
            <w:pPr>
              <w:jc w:val="center"/>
              <w:rPr>
                <w:rFonts w:ascii="仿宋_GB2312" w:eastAsia="仿宋_GB2312"/>
                <w:color w:val="FF0000"/>
                <w:sz w:val="24"/>
                <w:szCs w:val="24"/>
                <w:highlight w:val="none"/>
              </w:rPr>
            </w:pPr>
            <w:r>
              <w:rPr>
                <w:rFonts w:hint="eastAsia" w:ascii="仿宋_GB2312" w:eastAsia="仿宋_GB2312"/>
                <w:color w:val="FF0000"/>
                <w:sz w:val="24"/>
                <w:szCs w:val="24"/>
                <w:highlight w:val="none"/>
                <w:lang w:eastAsia="zh-CN"/>
              </w:rPr>
              <w:t>承包人</w:t>
            </w:r>
            <w:r>
              <w:rPr>
                <w:rFonts w:hint="eastAsia" w:ascii="仿宋_GB2312" w:eastAsia="仿宋_GB2312"/>
                <w:color w:val="FF0000"/>
                <w:sz w:val="24"/>
                <w:szCs w:val="24"/>
                <w:highlight w:val="none"/>
              </w:rPr>
              <w:t>自行考虑</w:t>
            </w:r>
          </w:p>
        </w:tc>
        <w:tc>
          <w:tcPr>
            <w:tcW w:w="1860" w:type="dxa"/>
            <w:noWrap w:val="0"/>
            <w:vAlign w:val="top"/>
          </w:tcPr>
          <w:p>
            <w:pPr>
              <w:jc w:val="center"/>
              <w:rPr>
                <w:rFonts w:ascii="仿宋_GB2312" w:eastAsia="仿宋_GB2312"/>
                <w:color w:val="FF0000"/>
                <w:sz w:val="24"/>
                <w:szCs w:val="24"/>
                <w:highlight w:val="none"/>
              </w:rPr>
            </w:pPr>
            <w:r>
              <w:rPr>
                <w:rFonts w:hint="eastAsia" w:ascii="仿宋_GB2312" w:eastAsia="仿宋_GB2312"/>
                <w:color w:val="FF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noWrap w:val="0"/>
            <w:vAlign w:val="top"/>
          </w:tcPr>
          <w:p>
            <w:pPr>
              <w:rPr>
                <w:rFonts w:ascii="仿宋_GB2312" w:hAnsi="宋体" w:eastAsia="仿宋_GB2312"/>
                <w:color w:val="FF0000"/>
                <w:sz w:val="24"/>
                <w:szCs w:val="24"/>
                <w:highlight w:val="none"/>
              </w:rPr>
            </w:pPr>
            <w:r>
              <w:rPr>
                <w:rFonts w:hint="eastAsia" w:ascii="仿宋_GB2312" w:hAnsi="宋体" w:eastAsia="仿宋_GB2312"/>
                <w:color w:val="FF0000"/>
                <w:sz w:val="24"/>
                <w:szCs w:val="24"/>
                <w:highlight w:val="none"/>
                <w:lang w:val="en-US" w:eastAsia="zh-CN"/>
              </w:rPr>
              <w:t>4.</w:t>
            </w:r>
            <w:r>
              <w:rPr>
                <w:rFonts w:hint="eastAsia" w:ascii="仿宋_GB2312" w:hAnsi="宋体" w:eastAsia="仿宋_GB2312"/>
                <w:color w:val="FF0000"/>
                <w:sz w:val="24"/>
                <w:szCs w:val="24"/>
                <w:highlight w:val="none"/>
              </w:rPr>
              <w:t>用餐及其他生活条件</w:t>
            </w:r>
          </w:p>
        </w:tc>
        <w:tc>
          <w:tcPr>
            <w:tcW w:w="6120" w:type="dxa"/>
            <w:gridSpan w:val="3"/>
            <w:noWrap w:val="0"/>
            <w:vAlign w:val="top"/>
          </w:tcPr>
          <w:p>
            <w:pPr>
              <w:jc w:val="center"/>
              <w:rPr>
                <w:rFonts w:hint="eastAsia" w:ascii="仿宋_GB2312" w:hAnsi="宋体" w:eastAsia="仿宋_GB2312"/>
                <w:color w:val="FF0000"/>
                <w:sz w:val="24"/>
                <w:szCs w:val="24"/>
                <w:highlight w:val="none"/>
              </w:rPr>
            </w:pPr>
            <w:r>
              <w:rPr>
                <w:rFonts w:hint="eastAsia" w:ascii="仿宋_GB2312" w:hAnsi="宋体" w:eastAsia="仿宋_GB2312"/>
                <w:color w:val="FF0000"/>
                <w:sz w:val="24"/>
                <w:szCs w:val="24"/>
                <w:highlight w:val="none"/>
              </w:rPr>
              <w:t>施工现场生活区</w:t>
            </w:r>
            <w:r>
              <w:rPr>
                <w:rFonts w:hint="eastAsia" w:ascii="仿宋_GB2312" w:hAnsi="宋体" w:eastAsia="仿宋_GB2312"/>
                <w:color w:val="FF0000"/>
                <w:sz w:val="24"/>
                <w:szCs w:val="24"/>
                <w:highlight w:val="none"/>
                <w:lang w:eastAsia="zh-CN"/>
              </w:rPr>
              <w:t>（</w:t>
            </w:r>
            <w:r>
              <w:rPr>
                <w:rFonts w:hint="eastAsia" w:ascii="仿宋_GB2312" w:hAnsi="宋体" w:eastAsia="仿宋_GB2312"/>
                <w:color w:val="FF0000"/>
                <w:sz w:val="24"/>
                <w:szCs w:val="24"/>
                <w:highlight w:val="none"/>
                <w:lang w:val="en-US" w:eastAsia="zh-CN"/>
              </w:rPr>
              <w:t>费用自行考虑</w:t>
            </w:r>
            <w:r>
              <w:rPr>
                <w:rFonts w:hint="eastAsia" w:ascii="仿宋_GB2312" w:hAnsi="宋体" w:eastAsia="仿宋_GB2312"/>
                <w:color w:val="FF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3" w:type="dxa"/>
            <w:gridSpan w:val="4"/>
            <w:noWrap w:val="0"/>
            <w:vAlign w:val="top"/>
          </w:tcPr>
          <w:p>
            <w:pPr>
              <w:rPr>
                <w:rFonts w:ascii="仿宋_GB2312" w:hAnsi="宋体" w:eastAsia="仿宋_GB2312"/>
                <w:color w:val="000000"/>
                <w:sz w:val="24"/>
                <w:szCs w:val="24"/>
                <w:highlight w:val="none"/>
              </w:rPr>
            </w:pPr>
          </w:p>
        </w:tc>
      </w:tr>
    </w:tbl>
    <w:p>
      <w:pPr>
        <w:spacing w:before="120" w:beforeLines="50"/>
        <w:rPr>
          <w:rFonts w:ascii="仿宋_GB2312" w:eastAsia="仿宋_GB2312"/>
          <w:b/>
          <w:color w:val="000000"/>
          <w:kern w:val="0"/>
          <w:sz w:val="24"/>
          <w:szCs w:val="24"/>
          <w:highlight w:val="none"/>
        </w:rPr>
      </w:pPr>
      <w:r>
        <w:rPr>
          <w:rFonts w:hint="eastAsia" w:ascii="仿宋_GB2312" w:eastAsia="仿宋_GB2312"/>
          <w:b/>
          <w:color w:val="000000"/>
          <w:kern w:val="0"/>
          <w:sz w:val="24"/>
          <w:szCs w:val="24"/>
          <w:highlight w:val="none"/>
        </w:rPr>
        <w:t xml:space="preserve">B-3 </w:t>
      </w:r>
      <w:r>
        <w:rPr>
          <w:rFonts w:hint="eastAsia" w:ascii="仿宋_GB2312" w:hAnsi="宋体" w:eastAsia="仿宋_GB2312"/>
          <w:b/>
          <w:color w:val="000000"/>
          <w:kern w:val="0"/>
          <w:sz w:val="24"/>
          <w:szCs w:val="24"/>
          <w:highlight w:val="none"/>
          <w:lang w:eastAsia="zh-CN"/>
        </w:rPr>
        <w:t>发包人</w:t>
      </w:r>
      <w:r>
        <w:rPr>
          <w:rFonts w:hint="eastAsia" w:ascii="仿宋_GB2312" w:hAnsi="宋体" w:eastAsia="仿宋_GB2312"/>
          <w:b/>
          <w:color w:val="000000"/>
          <w:kern w:val="0"/>
          <w:sz w:val="24"/>
          <w:szCs w:val="24"/>
          <w:highlight w:val="none"/>
        </w:rPr>
        <w:t>提供的设备</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40"/>
        <w:gridCol w:w="178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jc w:val="center"/>
              <w:rPr>
                <w:rFonts w:ascii="仿宋_GB2312" w:eastAsia="仿宋_GB2312"/>
                <w:color w:val="000000"/>
                <w:sz w:val="24"/>
                <w:szCs w:val="24"/>
                <w:highlight w:val="none"/>
              </w:rPr>
            </w:pPr>
            <w:r>
              <w:rPr>
                <w:rFonts w:hint="eastAsia" w:ascii="仿宋_GB2312" w:hAnsi="宋体" w:eastAsia="仿宋_GB2312"/>
                <w:color w:val="000000"/>
                <w:sz w:val="24"/>
                <w:szCs w:val="24"/>
                <w:highlight w:val="none"/>
              </w:rPr>
              <w:t>名称</w:t>
            </w:r>
          </w:p>
        </w:tc>
        <w:tc>
          <w:tcPr>
            <w:tcW w:w="1940" w:type="dxa"/>
            <w:noWrap w:val="0"/>
            <w:vAlign w:val="top"/>
          </w:tcPr>
          <w:p>
            <w:pPr>
              <w:jc w:val="center"/>
              <w:rPr>
                <w:rFonts w:ascii="仿宋_GB2312" w:eastAsia="仿宋_GB2312"/>
                <w:color w:val="000000"/>
                <w:sz w:val="24"/>
                <w:szCs w:val="24"/>
                <w:highlight w:val="none"/>
              </w:rPr>
            </w:pPr>
            <w:r>
              <w:rPr>
                <w:rFonts w:hint="eastAsia" w:ascii="仿宋_GB2312" w:hAnsi="宋体" w:eastAsia="仿宋_GB2312"/>
                <w:color w:val="000000"/>
                <w:sz w:val="24"/>
                <w:szCs w:val="24"/>
                <w:highlight w:val="none"/>
              </w:rPr>
              <w:t>数量</w:t>
            </w:r>
          </w:p>
        </w:tc>
        <w:tc>
          <w:tcPr>
            <w:tcW w:w="1780" w:type="dxa"/>
            <w:noWrap w:val="0"/>
            <w:vAlign w:val="top"/>
          </w:tcPr>
          <w:p>
            <w:pPr>
              <w:jc w:val="center"/>
              <w:rPr>
                <w:rFonts w:ascii="仿宋_GB2312" w:eastAsia="仿宋_GB2312"/>
                <w:color w:val="000000"/>
                <w:sz w:val="24"/>
                <w:szCs w:val="24"/>
                <w:highlight w:val="none"/>
              </w:rPr>
            </w:pPr>
            <w:r>
              <w:rPr>
                <w:rFonts w:hint="eastAsia" w:ascii="仿宋_GB2312" w:hAnsi="宋体" w:eastAsia="仿宋_GB2312"/>
                <w:color w:val="000000"/>
                <w:sz w:val="24"/>
                <w:szCs w:val="24"/>
                <w:highlight w:val="none"/>
              </w:rPr>
              <w:t>型号与规格</w:t>
            </w:r>
          </w:p>
        </w:tc>
        <w:tc>
          <w:tcPr>
            <w:tcW w:w="1860" w:type="dxa"/>
            <w:noWrap w:val="0"/>
            <w:vAlign w:val="top"/>
          </w:tcPr>
          <w:p>
            <w:pPr>
              <w:jc w:val="center"/>
              <w:rPr>
                <w:rFonts w:ascii="仿宋_GB2312" w:eastAsia="仿宋_GB2312"/>
                <w:color w:val="000000"/>
                <w:sz w:val="24"/>
                <w:szCs w:val="24"/>
                <w:highlight w:val="none"/>
              </w:rPr>
            </w:pPr>
            <w:r>
              <w:rPr>
                <w:rFonts w:hint="eastAsia" w:ascii="仿宋_GB2312" w:hAnsi="宋体" w:eastAsia="仿宋_GB2312"/>
                <w:color w:val="000000"/>
                <w:sz w:val="24"/>
                <w:szCs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rPr>
                <w:rFonts w:ascii="仿宋_GB2312" w:eastAsia="仿宋_GB2312"/>
                <w:color w:val="000000"/>
                <w:sz w:val="24"/>
                <w:szCs w:val="24"/>
                <w:highlight w:val="none"/>
              </w:rPr>
            </w:pPr>
            <w:r>
              <w:rPr>
                <w:rFonts w:hint="eastAsia" w:ascii="仿宋_GB2312" w:eastAsia="仿宋_GB2312"/>
                <w:color w:val="000000"/>
                <w:sz w:val="24"/>
                <w:szCs w:val="24"/>
                <w:highlight w:val="none"/>
              </w:rPr>
              <w:t xml:space="preserve">1. </w:t>
            </w:r>
            <w:r>
              <w:rPr>
                <w:rFonts w:hint="eastAsia" w:ascii="仿宋_GB2312" w:hAnsi="宋体" w:eastAsia="仿宋_GB2312"/>
                <w:color w:val="000000"/>
                <w:sz w:val="24"/>
                <w:szCs w:val="24"/>
                <w:highlight w:val="none"/>
              </w:rPr>
              <w:t>通讯设备</w:t>
            </w:r>
          </w:p>
        </w:tc>
        <w:tc>
          <w:tcPr>
            <w:tcW w:w="1940" w:type="dxa"/>
            <w:noWrap w:val="0"/>
            <w:vAlign w:val="top"/>
          </w:tcPr>
          <w:p>
            <w:pPr>
              <w:rPr>
                <w:color w:val="000000"/>
                <w:highlight w:val="none"/>
              </w:rPr>
            </w:pPr>
            <w:r>
              <w:rPr>
                <w:rFonts w:hint="eastAsia" w:ascii="仿宋_GB2312" w:eastAsia="仿宋_GB2312"/>
                <w:color w:val="000000"/>
                <w:sz w:val="24"/>
                <w:szCs w:val="24"/>
                <w:highlight w:val="none"/>
                <w:lang w:eastAsia="zh-CN"/>
              </w:rPr>
              <w:t>承包人</w:t>
            </w:r>
            <w:r>
              <w:rPr>
                <w:rFonts w:hint="eastAsia" w:ascii="仿宋_GB2312" w:eastAsia="仿宋_GB2312"/>
                <w:color w:val="000000"/>
                <w:sz w:val="24"/>
                <w:szCs w:val="24"/>
                <w:highlight w:val="none"/>
              </w:rPr>
              <w:t>自行考虑</w:t>
            </w:r>
          </w:p>
        </w:tc>
        <w:tc>
          <w:tcPr>
            <w:tcW w:w="1780" w:type="dxa"/>
            <w:noWrap w:val="0"/>
            <w:vAlign w:val="top"/>
          </w:tcPr>
          <w:p>
            <w:pPr>
              <w:jc w:val="center"/>
              <w:rPr>
                <w:rFonts w:ascii="仿宋_GB2312" w:eastAsia="仿宋_GB2312"/>
                <w:color w:val="000000"/>
                <w:sz w:val="24"/>
                <w:szCs w:val="24"/>
                <w:highlight w:val="none"/>
              </w:rPr>
            </w:pPr>
            <w:r>
              <w:rPr>
                <w:rFonts w:hint="eastAsia" w:ascii="仿宋_GB2312" w:eastAsia="仿宋_GB2312"/>
                <w:color w:val="000000"/>
                <w:sz w:val="24"/>
                <w:szCs w:val="24"/>
                <w:highlight w:val="none"/>
              </w:rPr>
              <w:t>无</w:t>
            </w:r>
          </w:p>
        </w:tc>
        <w:tc>
          <w:tcPr>
            <w:tcW w:w="1860" w:type="dxa"/>
            <w:noWrap w:val="0"/>
            <w:vAlign w:val="top"/>
          </w:tcPr>
          <w:p>
            <w:pPr>
              <w:jc w:val="center"/>
              <w:rPr>
                <w:rFonts w:ascii="仿宋_GB2312" w:eastAsia="仿宋_GB2312"/>
                <w:color w:val="000000"/>
                <w:sz w:val="24"/>
                <w:szCs w:val="24"/>
                <w:highlight w:val="none"/>
              </w:rPr>
            </w:pPr>
            <w:r>
              <w:rPr>
                <w:rFonts w:hint="eastAsia" w:ascii="仿宋_GB2312" w:eastAsia="仿宋_GB2312"/>
                <w:color w:val="00000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rPr>
                <w:rFonts w:ascii="仿宋_GB2312" w:eastAsia="仿宋_GB2312"/>
                <w:color w:val="000000"/>
                <w:sz w:val="24"/>
                <w:szCs w:val="24"/>
                <w:highlight w:val="none"/>
              </w:rPr>
            </w:pPr>
            <w:r>
              <w:rPr>
                <w:rFonts w:hint="eastAsia" w:ascii="仿宋_GB2312" w:eastAsia="仿宋_GB2312"/>
                <w:color w:val="000000"/>
                <w:sz w:val="24"/>
                <w:szCs w:val="24"/>
                <w:highlight w:val="none"/>
              </w:rPr>
              <w:t xml:space="preserve">2. </w:t>
            </w:r>
            <w:r>
              <w:rPr>
                <w:rFonts w:hint="eastAsia" w:ascii="仿宋_GB2312" w:hAnsi="宋体" w:eastAsia="仿宋_GB2312"/>
                <w:color w:val="000000"/>
                <w:sz w:val="24"/>
                <w:szCs w:val="24"/>
                <w:highlight w:val="none"/>
              </w:rPr>
              <w:t>办公设备</w:t>
            </w:r>
          </w:p>
        </w:tc>
        <w:tc>
          <w:tcPr>
            <w:tcW w:w="1940" w:type="dxa"/>
            <w:noWrap w:val="0"/>
            <w:vAlign w:val="top"/>
          </w:tcPr>
          <w:p>
            <w:pPr>
              <w:rPr>
                <w:color w:val="000000"/>
                <w:highlight w:val="none"/>
              </w:rPr>
            </w:pPr>
            <w:r>
              <w:rPr>
                <w:rFonts w:hint="eastAsia" w:ascii="仿宋_GB2312" w:eastAsia="仿宋_GB2312"/>
                <w:color w:val="000000"/>
                <w:sz w:val="24"/>
                <w:szCs w:val="24"/>
                <w:highlight w:val="none"/>
                <w:lang w:eastAsia="zh-CN"/>
              </w:rPr>
              <w:t>承包人</w:t>
            </w:r>
            <w:r>
              <w:rPr>
                <w:rFonts w:hint="eastAsia" w:ascii="仿宋_GB2312" w:eastAsia="仿宋_GB2312"/>
                <w:color w:val="000000"/>
                <w:sz w:val="24"/>
                <w:szCs w:val="24"/>
                <w:highlight w:val="none"/>
              </w:rPr>
              <w:t>自行考虑</w:t>
            </w:r>
          </w:p>
        </w:tc>
        <w:tc>
          <w:tcPr>
            <w:tcW w:w="1780" w:type="dxa"/>
            <w:noWrap w:val="0"/>
            <w:vAlign w:val="top"/>
          </w:tcPr>
          <w:p>
            <w:pPr>
              <w:jc w:val="center"/>
              <w:rPr>
                <w:rFonts w:ascii="仿宋_GB2312" w:eastAsia="仿宋_GB2312"/>
                <w:color w:val="000000"/>
                <w:sz w:val="24"/>
                <w:szCs w:val="24"/>
                <w:highlight w:val="none"/>
              </w:rPr>
            </w:pPr>
            <w:r>
              <w:rPr>
                <w:rFonts w:hint="eastAsia" w:ascii="仿宋_GB2312" w:eastAsia="仿宋_GB2312"/>
                <w:color w:val="000000"/>
                <w:sz w:val="24"/>
                <w:szCs w:val="24"/>
                <w:highlight w:val="none"/>
              </w:rPr>
              <w:t>无</w:t>
            </w:r>
          </w:p>
        </w:tc>
        <w:tc>
          <w:tcPr>
            <w:tcW w:w="1860" w:type="dxa"/>
            <w:noWrap w:val="0"/>
            <w:vAlign w:val="top"/>
          </w:tcPr>
          <w:p>
            <w:pPr>
              <w:jc w:val="center"/>
              <w:rPr>
                <w:rFonts w:ascii="仿宋_GB2312" w:eastAsia="仿宋_GB2312"/>
                <w:color w:val="000000"/>
                <w:sz w:val="24"/>
                <w:szCs w:val="24"/>
                <w:highlight w:val="none"/>
              </w:rPr>
            </w:pPr>
            <w:r>
              <w:rPr>
                <w:rFonts w:hint="eastAsia" w:ascii="仿宋_GB2312" w:eastAsia="仿宋_GB2312"/>
                <w:color w:val="00000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rPr>
                <w:rFonts w:ascii="仿宋_GB2312" w:eastAsia="仿宋_GB2312"/>
                <w:color w:val="000000"/>
                <w:sz w:val="24"/>
                <w:szCs w:val="24"/>
                <w:highlight w:val="none"/>
              </w:rPr>
            </w:pPr>
            <w:r>
              <w:rPr>
                <w:rFonts w:hint="eastAsia" w:ascii="仿宋_GB2312" w:eastAsia="仿宋_GB2312"/>
                <w:color w:val="000000"/>
                <w:sz w:val="24"/>
                <w:szCs w:val="24"/>
                <w:highlight w:val="none"/>
              </w:rPr>
              <w:t xml:space="preserve">3. </w:t>
            </w:r>
            <w:r>
              <w:rPr>
                <w:rFonts w:hint="eastAsia" w:ascii="仿宋_GB2312" w:hAnsi="宋体" w:eastAsia="仿宋_GB2312"/>
                <w:color w:val="000000"/>
                <w:sz w:val="24"/>
                <w:szCs w:val="24"/>
                <w:highlight w:val="none"/>
              </w:rPr>
              <w:t>交通工具</w:t>
            </w:r>
          </w:p>
        </w:tc>
        <w:tc>
          <w:tcPr>
            <w:tcW w:w="1940" w:type="dxa"/>
            <w:noWrap w:val="0"/>
            <w:vAlign w:val="top"/>
          </w:tcPr>
          <w:p>
            <w:pPr>
              <w:rPr>
                <w:color w:val="000000"/>
                <w:highlight w:val="none"/>
              </w:rPr>
            </w:pPr>
            <w:r>
              <w:rPr>
                <w:rFonts w:hint="eastAsia" w:ascii="仿宋_GB2312" w:eastAsia="仿宋_GB2312"/>
                <w:color w:val="000000"/>
                <w:sz w:val="24"/>
                <w:szCs w:val="24"/>
                <w:highlight w:val="none"/>
                <w:lang w:eastAsia="zh-CN"/>
              </w:rPr>
              <w:t>承包人</w:t>
            </w:r>
            <w:r>
              <w:rPr>
                <w:rFonts w:hint="eastAsia" w:ascii="仿宋_GB2312" w:eastAsia="仿宋_GB2312"/>
                <w:color w:val="000000"/>
                <w:sz w:val="24"/>
                <w:szCs w:val="24"/>
                <w:highlight w:val="none"/>
              </w:rPr>
              <w:t>自行考虑</w:t>
            </w:r>
          </w:p>
        </w:tc>
        <w:tc>
          <w:tcPr>
            <w:tcW w:w="1780" w:type="dxa"/>
            <w:noWrap w:val="0"/>
            <w:vAlign w:val="top"/>
          </w:tcPr>
          <w:p>
            <w:pPr>
              <w:jc w:val="center"/>
              <w:rPr>
                <w:rFonts w:ascii="仿宋_GB2312" w:eastAsia="仿宋_GB2312"/>
                <w:color w:val="000000"/>
                <w:sz w:val="24"/>
                <w:szCs w:val="24"/>
                <w:highlight w:val="none"/>
              </w:rPr>
            </w:pPr>
            <w:r>
              <w:rPr>
                <w:rFonts w:hint="eastAsia" w:ascii="仿宋_GB2312" w:eastAsia="仿宋_GB2312"/>
                <w:color w:val="000000"/>
                <w:sz w:val="24"/>
                <w:szCs w:val="24"/>
                <w:highlight w:val="none"/>
              </w:rPr>
              <w:t>无</w:t>
            </w:r>
          </w:p>
        </w:tc>
        <w:tc>
          <w:tcPr>
            <w:tcW w:w="1860" w:type="dxa"/>
            <w:noWrap w:val="0"/>
            <w:vAlign w:val="top"/>
          </w:tcPr>
          <w:p>
            <w:pPr>
              <w:jc w:val="center"/>
              <w:rPr>
                <w:rFonts w:ascii="仿宋_GB2312" w:eastAsia="仿宋_GB2312"/>
                <w:color w:val="000000"/>
                <w:sz w:val="24"/>
                <w:szCs w:val="24"/>
                <w:highlight w:val="none"/>
              </w:rPr>
            </w:pPr>
            <w:r>
              <w:rPr>
                <w:rFonts w:hint="eastAsia" w:ascii="仿宋_GB2312" w:eastAsia="仿宋_GB2312"/>
                <w:color w:val="00000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rPr>
                <w:rFonts w:ascii="仿宋_GB2312" w:eastAsia="仿宋_GB2312"/>
                <w:color w:val="000000"/>
                <w:sz w:val="24"/>
                <w:szCs w:val="24"/>
                <w:highlight w:val="none"/>
              </w:rPr>
            </w:pPr>
            <w:r>
              <w:rPr>
                <w:rFonts w:hint="eastAsia" w:ascii="仿宋_GB2312" w:eastAsia="仿宋_GB2312"/>
                <w:color w:val="000000"/>
                <w:sz w:val="24"/>
                <w:szCs w:val="24"/>
                <w:highlight w:val="none"/>
              </w:rPr>
              <w:t xml:space="preserve">4. </w:t>
            </w:r>
            <w:r>
              <w:rPr>
                <w:rFonts w:hint="eastAsia" w:ascii="仿宋_GB2312" w:hAnsi="宋体" w:eastAsia="仿宋_GB2312"/>
                <w:color w:val="000000"/>
                <w:sz w:val="24"/>
                <w:szCs w:val="24"/>
                <w:highlight w:val="none"/>
              </w:rPr>
              <w:t>检测和试验设备</w:t>
            </w:r>
          </w:p>
        </w:tc>
        <w:tc>
          <w:tcPr>
            <w:tcW w:w="1940" w:type="dxa"/>
            <w:noWrap w:val="0"/>
            <w:vAlign w:val="top"/>
          </w:tcPr>
          <w:p>
            <w:pPr>
              <w:rPr>
                <w:color w:val="000000"/>
                <w:highlight w:val="none"/>
              </w:rPr>
            </w:pPr>
            <w:r>
              <w:rPr>
                <w:rFonts w:hint="eastAsia" w:ascii="仿宋_GB2312" w:eastAsia="仿宋_GB2312"/>
                <w:color w:val="000000"/>
                <w:sz w:val="24"/>
                <w:szCs w:val="24"/>
                <w:highlight w:val="none"/>
                <w:lang w:eastAsia="zh-CN"/>
              </w:rPr>
              <w:t>承包人</w:t>
            </w:r>
            <w:r>
              <w:rPr>
                <w:rFonts w:hint="eastAsia" w:ascii="仿宋_GB2312" w:eastAsia="仿宋_GB2312"/>
                <w:color w:val="000000"/>
                <w:sz w:val="24"/>
                <w:szCs w:val="24"/>
                <w:highlight w:val="none"/>
              </w:rPr>
              <w:t>自行考虑</w:t>
            </w:r>
          </w:p>
        </w:tc>
        <w:tc>
          <w:tcPr>
            <w:tcW w:w="1780" w:type="dxa"/>
            <w:noWrap w:val="0"/>
            <w:vAlign w:val="top"/>
          </w:tcPr>
          <w:p>
            <w:pPr>
              <w:jc w:val="center"/>
              <w:rPr>
                <w:rFonts w:ascii="仿宋_GB2312" w:eastAsia="仿宋_GB2312"/>
                <w:color w:val="000000"/>
                <w:sz w:val="24"/>
                <w:szCs w:val="24"/>
                <w:highlight w:val="none"/>
              </w:rPr>
            </w:pPr>
            <w:r>
              <w:rPr>
                <w:rFonts w:hint="eastAsia" w:ascii="仿宋_GB2312" w:eastAsia="仿宋_GB2312"/>
                <w:color w:val="000000"/>
                <w:sz w:val="24"/>
                <w:szCs w:val="24"/>
                <w:highlight w:val="none"/>
              </w:rPr>
              <w:t>无</w:t>
            </w:r>
          </w:p>
        </w:tc>
        <w:tc>
          <w:tcPr>
            <w:tcW w:w="1860" w:type="dxa"/>
            <w:noWrap w:val="0"/>
            <w:vAlign w:val="top"/>
          </w:tcPr>
          <w:p>
            <w:pPr>
              <w:jc w:val="center"/>
              <w:rPr>
                <w:rFonts w:ascii="仿宋_GB2312" w:eastAsia="仿宋_GB2312"/>
                <w:color w:val="000000"/>
                <w:sz w:val="24"/>
                <w:szCs w:val="24"/>
                <w:highlight w:val="none"/>
              </w:rPr>
            </w:pPr>
            <w:r>
              <w:rPr>
                <w:rFonts w:hint="eastAsia" w:ascii="仿宋_GB2312" w:eastAsia="仿宋_GB2312"/>
                <w:color w:val="000000"/>
                <w:sz w:val="24"/>
                <w:szCs w:val="24"/>
                <w:highlight w:val="none"/>
              </w:rPr>
              <w:t>无</w:t>
            </w:r>
          </w:p>
        </w:tc>
      </w:tr>
    </w:tbl>
    <w:p>
      <w:pPr>
        <w:rPr>
          <w:rFonts w:ascii="仿宋_GB2312" w:eastAsia="仿宋_GB2312"/>
          <w:color w:val="000000"/>
          <w:sz w:val="24"/>
          <w:highlight w:val="none"/>
        </w:rPr>
      </w:pPr>
    </w:p>
    <w:p>
      <w:pPr>
        <w:rPr>
          <w:color w:val="000000"/>
          <w:highlight w:val="none"/>
        </w:rPr>
      </w:pPr>
    </w:p>
    <w:p>
      <w:pPr>
        <w:jc w:val="center"/>
        <w:rPr>
          <w:rFonts w:ascii="宋体" w:hAnsi="宋体"/>
          <w:color w:val="000000"/>
          <w:sz w:val="32"/>
          <w:szCs w:val="32"/>
          <w:highlight w:val="none"/>
        </w:rPr>
      </w:pPr>
      <w:r>
        <w:rPr>
          <w:color w:val="000000"/>
          <w:highlight w:val="none"/>
        </w:rPr>
        <w:br w:type="page"/>
      </w:r>
      <w:r>
        <w:rPr>
          <w:rFonts w:hint="eastAsia" w:ascii="仿宋" w:hAnsi="仿宋" w:eastAsia="仿宋" w:cs="仿宋"/>
          <w:b/>
          <w:bCs/>
          <w:color w:val="000000"/>
          <w:sz w:val="32"/>
          <w:szCs w:val="32"/>
          <w:highlight w:val="none"/>
        </w:rPr>
        <w:t>附录B《监理管理制度》</w:t>
      </w:r>
    </w:p>
    <w:p>
      <w:pPr>
        <w:spacing w:line="360" w:lineRule="auto"/>
        <w:jc w:val="center"/>
        <w:rPr>
          <w:rFonts w:ascii="宋体" w:hAnsi="宋体" w:cs="宋体"/>
          <w:color w:val="000000"/>
          <w:sz w:val="24"/>
          <w:szCs w:val="24"/>
          <w:highlight w:val="none"/>
        </w:rPr>
      </w:pPr>
      <w:r>
        <w:rPr>
          <w:rFonts w:hint="eastAsia" w:ascii="宋体" w:hAnsi="宋体" w:cs="宋体"/>
          <w:b/>
          <w:bCs/>
          <w:color w:val="000000"/>
          <w:kern w:val="44"/>
          <w:sz w:val="24"/>
          <w:szCs w:val="24"/>
          <w:highlight w:val="none"/>
        </w:rPr>
        <w:t xml:space="preserve"> 监理管理制度</w:t>
      </w:r>
    </w:p>
    <w:p>
      <w:pPr>
        <w:tabs>
          <w:tab w:val="left" w:pos="1442"/>
        </w:tabs>
        <w:spacing w:line="360" w:lineRule="auto"/>
        <w:rPr>
          <w:rFonts w:ascii="宋体" w:hAnsi="宋体" w:cs="宋体"/>
          <w:b/>
          <w:color w:val="000000"/>
          <w:spacing w:val="4"/>
          <w:sz w:val="24"/>
          <w:szCs w:val="24"/>
          <w:highlight w:val="none"/>
        </w:rPr>
      </w:pPr>
      <w:bookmarkStart w:id="11" w:name="_Toc143007687"/>
      <w:r>
        <w:rPr>
          <w:rFonts w:hint="eastAsia" w:ascii="宋体" w:hAnsi="宋体" w:cs="宋体"/>
          <w:b/>
          <w:color w:val="000000"/>
          <w:spacing w:val="4"/>
          <w:sz w:val="24"/>
          <w:szCs w:val="24"/>
          <w:highlight w:val="none"/>
        </w:rPr>
        <w:t>第一节 合作目标</w:t>
      </w:r>
      <w:bookmarkEnd w:id="11"/>
    </w:p>
    <w:p>
      <w:pPr>
        <w:tabs>
          <w:tab w:val="left" w:pos="1442"/>
        </w:tabs>
        <w:spacing w:line="360" w:lineRule="auto"/>
        <w:ind w:left="42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 xml:space="preserve"> 为规范项目监理管理流程，提高协作效率，实行一体化运作，更好的实现项目监理管理目标，特制定本管理制度。</w:t>
      </w:r>
    </w:p>
    <w:p>
      <w:pPr>
        <w:tabs>
          <w:tab w:val="left" w:pos="1442"/>
        </w:tabs>
        <w:spacing w:line="360" w:lineRule="auto"/>
        <w:rPr>
          <w:rFonts w:ascii="宋体" w:hAnsi="宋体" w:cs="宋体"/>
          <w:b/>
          <w:color w:val="000000"/>
          <w:spacing w:val="4"/>
          <w:sz w:val="24"/>
          <w:szCs w:val="24"/>
          <w:highlight w:val="none"/>
        </w:rPr>
      </w:pPr>
      <w:bookmarkStart w:id="12" w:name="_Toc143007688"/>
      <w:r>
        <w:rPr>
          <w:rFonts w:hint="eastAsia" w:ascii="宋体" w:hAnsi="宋体" w:cs="宋体"/>
          <w:b/>
          <w:color w:val="000000"/>
          <w:spacing w:val="4"/>
          <w:sz w:val="24"/>
          <w:szCs w:val="24"/>
          <w:highlight w:val="none"/>
        </w:rPr>
        <w:t>第二节 总体要求</w:t>
      </w:r>
      <w:bookmarkEnd w:id="12"/>
    </w:p>
    <w:p>
      <w:pPr>
        <w:pStyle w:val="94"/>
        <w:numPr>
          <w:ilvl w:val="0"/>
          <w:numId w:val="5"/>
        </w:numPr>
        <w:tabs>
          <w:tab w:val="left" w:pos="567"/>
        </w:tabs>
        <w:snapToGrid w:val="0"/>
        <w:spacing w:line="360" w:lineRule="auto"/>
        <w:ind w:left="567"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监理方需严格按照合同和规范要求，配备足够数量的工程师协助</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监管施工项目</w:t>
      </w:r>
      <w:r>
        <w:rPr>
          <w:rFonts w:ascii="宋体" w:hAnsi="宋体" w:cs="宋体"/>
          <w:color w:val="000000"/>
          <w:spacing w:val="4"/>
          <w:sz w:val="24"/>
          <w:szCs w:val="24"/>
          <w:highlight w:val="none"/>
        </w:rPr>
        <w:t>,具体</w:t>
      </w:r>
      <w:r>
        <w:rPr>
          <w:rFonts w:hint="eastAsia" w:ascii="宋体" w:hAnsi="宋体" w:cs="宋体"/>
          <w:color w:val="000000"/>
          <w:spacing w:val="4"/>
          <w:sz w:val="24"/>
          <w:szCs w:val="24"/>
          <w:highlight w:val="none"/>
        </w:rPr>
        <w:t>按合同2.3条款执行。</w:t>
      </w:r>
    </w:p>
    <w:p>
      <w:pPr>
        <w:pStyle w:val="94"/>
        <w:numPr>
          <w:ilvl w:val="0"/>
          <w:numId w:val="5"/>
        </w:numPr>
        <w:tabs>
          <w:tab w:val="left" w:pos="567"/>
        </w:tabs>
        <w:snapToGrid w:val="0"/>
        <w:spacing w:line="360" w:lineRule="auto"/>
        <w:ind w:left="567"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监理方除了按国家和地方标准监管施工单位外，还有义务协助</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按照</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的工程管理标准监管项目施工单位。</w:t>
      </w:r>
    </w:p>
    <w:p>
      <w:pPr>
        <w:pStyle w:val="94"/>
        <w:numPr>
          <w:ilvl w:val="0"/>
          <w:numId w:val="5"/>
        </w:numPr>
        <w:tabs>
          <w:tab w:val="left" w:pos="567"/>
        </w:tabs>
        <w:snapToGrid w:val="0"/>
        <w:spacing w:line="360" w:lineRule="auto"/>
        <w:ind w:left="567"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监理方必须按监理合同专用条件中关于监理范围、常规监理工作内容及安全监理工作内容要求有效开展监理工作，安全监理工作应作为监理工作重点来抓。</w:t>
      </w:r>
    </w:p>
    <w:p>
      <w:pPr>
        <w:tabs>
          <w:tab w:val="left" w:pos="1442"/>
        </w:tabs>
        <w:spacing w:line="360" w:lineRule="auto"/>
        <w:ind w:firstLine="244" w:firstLineChars="98"/>
        <w:rPr>
          <w:rFonts w:ascii="宋体" w:hAnsi="宋体" w:cs="宋体"/>
          <w:b/>
          <w:color w:val="000000"/>
          <w:spacing w:val="4"/>
          <w:sz w:val="24"/>
          <w:szCs w:val="24"/>
          <w:highlight w:val="none"/>
        </w:rPr>
      </w:pPr>
      <w:r>
        <w:rPr>
          <w:rFonts w:hint="eastAsia" w:ascii="宋体" w:hAnsi="宋体" w:cs="宋体"/>
          <w:b/>
          <w:color w:val="000000"/>
          <w:spacing w:val="4"/>
          <w:sz w:val="24"/>
          <w:szCs w:val="24"/>
          <w:highlight w:val="none"/>
        </w:rPr>
        <w:t xml:space="preserve">第三节 </w:t>
      </w:r>
      <w:r>
        <w:rPr>
          <w:rFonts w:hint="eastAsia" w:ascii="宋体" w:hAnsi="宋体" w:cs="宋体"/>
          <w:b/>
          <w:color w:val="000000"/>
          <w:sz w:val="24"/>
          <w:szCs w:val="24"/>
          <w:highlight w:val="none"/>
        </w:rPr>
        <w:t>监理合作方式</w:t>
      </w:r>
    </w:p>
    <w:p>
      <w:pPr>
        <w:pStyle w:val="94"/>
        <w:tabs>
          <w:tab w:val="left" w:pos="567"/>
        </w:tabs>
        <w:spacing w:line="360" w:lineRule="auto"/>
        <w:ind w:left="525" w:leftChars="250" w:firstLine="480"/>
        <w:rPr>
          <w:rFonts w:ascii="宋体" w:hAnsi="宋体" w:cs="宋体"/>
          <w:color w:val="000000"/>
          <w:sz w:val="24"/>
          <w:szCs w:val="24"/>
          <w:highlight w:val="none"/>
        </w:rPr>
      </w:pPr>
      <w:r>
        <w:rPr>
          <w:rFonts w:hint="eastAsia" w:ascii="宋体" w:hAnsi="宋体" w:cs="宋体"/>
          <w:color w:val="000000"/>
          <w:sz w:val="24"/>
          <w:szCs w:val="24"/>
          <w:highlight w:val="none"/>
        </w:rPr>
        <w:t>1、监理方在</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授权范围内开展监理工作，监理方必须接收</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（现场项目部）的业务监督，监理方对工程质量、安全文明施工、合同管理、进度控制的工作成果向</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现场项目部汇报并负责，</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项目部负责对项目监理部日常履约能力和业务的考核。</w:t>
      </w:r>
      <w:r>
        <w:rPr>
          <w:rFonts w:hint="eastAsia" w:ascii="宋体" w:hAnsi="宋体" w:cs="宋体"/>
          <w:color w:val="000000"/>
          <w:sz w:val="24"/>
          <w:szCs w:val="24"/>
          <w:highlight w:val="none"/>
        </w:rPr>
        <w:t>涉及工程设计变更、施工进度计划管理、工期费用索赔、总分包现场协调、以及危害到</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利益的事项，监理方必须与</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沟通一致，维护</w:t>
      </w:r>
      <w:r>
        <w:rPr>
          <w:rFonts w:hint="eastAsia" w:ascii="宋体" w:hAnsi="宋体" w:cs="宋体"/>
          <w:color w:val="000000"/>
          <w:sz w:val="24"/>
          <w:szCs w:val="24"/>
          <w:highlight w:val="none"/>
          <w:lang w:eastAsia="zh-CN"/>
        </w:rPr>
        <w:t>发包人</w:t>
      </w:r>
      <w:r>
        <w:rPr>
          <w:rFonts w:hint="eastAsia" w:ascii="宋体" w:hAnsi="宋体" w:cs="宋体"/>
          <w:color w:val="000000"/>
          <w:sz w:val="24"/>
          <w:szCs w:val="24"/>
          <w:highlight w:val="none"/>
        </w:rPr>
        <w:t>利益。</w:t>
      </w:r>
    </w:p>
    <w:p>
      <w:pPr>
        <w:tabs>
          <w:tab w:val="left" w:pos="1442"/>
        </w:tabs>
        <w:spacing w:line="360" w:lineRule="auto"/>
        <w:rPr>
          <w:rFonts w:ascii="宋体" w:hAnsi="宋体" w:cs="宋体"/>
          <w:b/>
          <w:color w:val="000000"/>
          <w:spacing w:val="4"/>
          <w:sz w:val="24"/>
          <w:szCs w:val="24"/>
          <w:highlight w:val="none"/>
        </w:rPr>
      </w:pPr>
      <w:bookmarkStart w:id="13" w:name="_Toc143007689"/>
      <w:r>
        <w:rPr>
          <w:rFonts w:hint="eastAsia" w:ascii="宋体" w:hAnsi="宋体" w:cs="宋体"/>
          <w:b/>
          <w:color w:val="000000"/>
          <w:spacing w:val="4"/>
          <w:sz w:val="24"/>
          <w:szCs w:val="24"/>
          <w:highlight w:val="none"/>
        </w:rPr>
        <w:t>第四节 监理项目部人员管理</w:t>
      </w:r>
      <w:bookmarkEnd w:id="13"/>
    </w:p>
    <w:p>
      <w:pPr>
        <w:pStyle w:val="94"/>
        <w:tabs>
          <w:tab w:val="left" w:pos="567"/>
        </w:tabs>
        <w:snapToGrid w:val="0"/>
        <w:spacing w:line="360" w:lineRule="auto"/>
        <w:ind w:firstLine="496"/>
        <w:rPr>
          <w:rFonts w:ascii="宋体" w:hAnsi="宋体" w:cs="宋体"/>
          <w:color w:val="000000"/>
          <w:spacing w:val="4"/>
          <w:sz w:val="24"/>
          <w:szCs w:val="24"/>
          <w:highlight w:val="none"/>
          <w:u w:val="single"/>
        </w:rPr>
      </w:pPr>
      <w:r>
        <w:rPr>
          <w:rFonts w:hint="eastAsia" w:ascii="宋体" w:hAnsi="宋体" w:cs="宋体"/>
          <w:color w:val="000000"/>
          <w:spacing w:val="4"/>
          <w:sz w:val="24"/>
          <w:szCs w:val="24"/>
          <w:highlight w:val="none"/>
        </w:rPr>
        <w:t>1、监理单位进驻现场工作前七天应将监理项目部组成人员的组织架构、资历、  工作职责、拟为本工程服务的时间报给项目部，项目部于七天内给予书面答复。如项目部对监理单位的工作人员有调整、更换意见，监理单位必须于七天内将调整、更换的名单再报</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w:t>
      </w:r>
      <w:r>
        <w:rPr>
          <w:rFonts w:hint="eastAsia" w:ascii="宋体" w:hAnsi="宋体" w:cs="宋体"/>
          <w:color w:val="000000"/>
          <w:spacing w:val="4"/>
          <w:sz w:val="24"/>
          <w:szCs w:val="24"/>
          <w:highlight w:val="none"/>
          <w:u w:val="single"/>
        </w:rPr>
        <w:t>特别强调项目总监（总监代表）必须具备</w:t>
      </w:r>
      <w:r>
        <w:rPr>
          <w:rFonts w:hint="eastAsia" w:ascii="宋体" w:hAnsi="宋体" w:cs="宋体"/>
          <w:color w:val="000000"/>
          <w:sz w:val="24"/>
          <w:szCs w:val="24"/>
          <w:highlight w:val="none"/>
          <w:u w:val="single"/>
          <w:lang w:eastAsia="zh-CN"/>
        </w:rPr>
        <w:t>5</w:t>
      </w:r>
      <w:r>
        <w:rPr>
          <w:rFonts w:hint="eastAsia" w:ascii="宋体" w:hAnsi="宋体" w:cs="宋体"/>
          <w:color w:val="000000"/>
          <w:sz w:val="24"/>
          <w:szCs w:val="24"/>
          <w:highlight w:val="none"/>
          <w:u w:val="single"/>
        </w:rPr>
        <w:t>万</w:t>
      </w:r>
      <w:r>
        <w:rPr>
          <w:rFonts w:hint="eastAsia" w:ascii="宋体" w:hAnsi="宋体" w:cs="宋体"/>
          <w:color w:val="000000"/>
          <w:sz w:val="24"/>
          <w:szCs w:val="24"/>
          <w:highlight w:val="none"/>
          <w:u w:val="single"/>
          <w:lang w:val="en-US" w:eastAsia="zh-CN"/>
        </w:rPr>
        <w:t>平方米</w:t>
      </w:r>
      <w:r>
        <w:rPr>
          <w:rFonts w:hint="eastAsia" w:ascii="宋体" w:hAnsi="宋体" w:cs="宋体"/>
          <w:color w:val="000000"/>
          <w:sz w:val="24"/>
          <w:szCs w:val="24"/>
          <w:highlight w:val="none"/>
          <w:u w:val="single"/>
        </w:rPr>
        <w:t>建筑规模</w:t>
      </w:r>
      <w:r>
        <w:rPr>
          <w:rFonts w:hint="eastAsia" w:ascii="宋体" w:hAnsi="宋体" w:cs="宋体"/>
          <w:color w:val="000000"/>
          <w:sz w:val="24"/>
          <w:szCs w:val="24"/>
          <w:highlight w:val="none"/>
          <w:u w:val="single"/>
          <w:lang w:val="en-US" w:eastAsia="zh-CN"/>
        </w:rPr>
        <w:t>办公楼</w:t>
      </w:r>
      <w:r>
        <w:rPr>
          <w:rFonts w:hint="eastAsia" w:ascii="宋体" w:hAnsi="宋体" w:cs="宋体"/>
          <w:color w:val="000000"/>
          <w:sz w:val="24"/>
          <w:szCs w:val="24"/>
          <w:highlight w:val="none"/>
          <w:u w:val="single"/>
        </w:rPr>
        <w:t>楼全过程监理工作经验</w:t>
      </w:r>
      <w:r>
        <w:rPr>
          <w:rFonts w:hint="eastAsia" w:ascii="宋体" w:hAnsi="宋体" w:cs="宋体"/>
          <w:color w:val="000000"/>
          <w:spacing w:val="4"/>
          <w:sz w:val="24"/>
          <w:szCs w:val="24"/>
          <w:highlight w:val="none"/>
          <w:u w:val="single"/>
        </w:rPr>
        <w:t>。</w:t>
      </w:r>
    </w:p>
    <w:p>
      <w:pPr>
        <w:pStyle w:val="94"/>
        <w:numPr>
          <w:ilvl w:val="0"/>
          <w:numId w:val="6"/>
        </w:numPr>
        <w:tabs>
          <w:tab w:val="left" w:pos="567"/>
        </w:tabs>
        <w:snapToGrid w:val="0"/>
        <w:spacing w:line="360" w:lineRule="auto"/>
        <w:ind w:firstLine="496"/>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为保证工程监管的连续性，监理单位应保证人员的相对稳定性，监理单位需要调整工作人员时，应于七天前将调换、增加、减少的人选上报给</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项目部，新进监理项目部的工作人员其资历必须向项目部上报审核。</w:t>
      </w:r>
    </w:p>
    <w:p>
      <w:pPr>
        <w:pStyle w:val="94"/>
        <w:numPr>
          <w:ilvl w:val="0"/>
          <w:numId w:val="7"/>
        </w:numPr>
        <w:tabs>
          <w:tab w:val="left" w:pos="567"/>
        </w:tabs>
        <w:snapToGrid w:val="0"/>
        <w:spacing w:line="360" w:lineRule="auto"/>
        <w:ind w:firstLine="496"/>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监理单位如需更换项目总监(总监代表)，必须提前七天将替补人员的资历报给项目部和工程部审批，未经审批的人员不得进入监理项目部工作，原项目总监(总监代表)不得离岗。</w:t>
      </w:r>
    </w:p>
    <w:p>
      <w:pPr>
        <w:pStyle w:val="94"/>
        <w:tabs>
          <w:tab w:val="left" w:pos="567"/>
        </w:tabs>
        <w:snapToGrid w:val="0"/>
        <w:spacing w:line="360" w:lineRule="auto"/>
        <w:ind w:firstLine="496"/>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4、所有监理项目部工作人员必须每天到现场上班，不得兼任其它项目职务，现场设考勤管理，每月考勤记录上报</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项目部。总监理工程师（或总监代表）离岗时间在两天以内的，应向项目部请假；离岗两天以上的，应向我公司主管领导请假，经同意后上报请假条。</w:t>
      </w:r>
    </w:p>
    <w:p>
      <w:pPr>
        <w:pStyle w:val="94"/>
        <w:tabs>
          <w:tab w:val="left" w:pos="567"/>
        </w:tabs>
        <w:snapToGrid w:val="0"/>
        <w:spacing w:line="360" w:lineRule="auto"/>
        <w:ind w:firstLine="496"/>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5、项目部可对监理单位未尽职和不称职的工作人员提出警告，直至要求监理项目部或监理单位撤换。对总监理工程师（或总监代表）的警告或撤换指令由公司主管领导向监理单位提出；其他工作人员的警告或撤换指令由项目部向监理单位提出，抄送工程部。项目部人员认为总监理工程师未尽职或不称职的，必须向工程部或公司主管领导反映。</w:t>
      </w:r>
    </w:p>
    <w:p>
      <w:pPr>
        <w:tabs>
          <w:tab w:val="left" w:pos="1442"/>
        </w:tabs>
        <w:spacing w:line="360" w:lineRule="auto"/>
        <w:rPr>
          <w:rFonts w:ascii="宋体" w:hAnsi="宋体" w:cs="宋体"/>
          <w:b/>
          <w:color w:val="000000"/>
          <w:spacing w:val="4"/>
          <w:sz w:val="24"/>
          <w:szCs w:val="24"/>
          <w:highlight w:val="none"/>
        </w:rPr>
      </w:pPr>
      <w:bookmarkStart w:id="14" w:name="_Toc143007691"/>
      <w:r>
        <w:rPr>
          <w:rFonts w:hint="eastAsia" w:ascii="宋体" w:hAnsi="宋体" w:cs="宋体"/>
          <w:b/>
          <w:color w:val="000000"/>
          <w:spacing w:val="4"/>
          <w:sz w:val="24"/>
          <w:szCs w:val="24"/>
          <w:highlight w:val="none"/>
        </w:rPr>
        <w:t>第五节 监理单位业务管理要求</w:t>
      </w:r>
      <w:bookmarkEnd w:id="14"/>
    </w:p>
    <w:p>
      <w:pPr>
        <w:pStyle w:val="94"/>
        <w:numPr>
          <w:ilvl w:val="0"/>
          <w:numId w:val="8"/>
        </w:numPr>
        <w:tabs>
          <w:tab w:val="left" w:pos="567"/>
        </w:tabs>
        <w:snapToGrid w:val="0"/>
        <w:spacing w:line="360" w:lineRule="auto"/>
        <w:ind w:left="567"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项目</w:t>
      </w:r>
      <w:r>
        <w:rPr>
          <w:rFonts w:hint="eastAsia" w:ascii="宋体" w:hAnsi="宋体" w:cs="宋体"/>
          <w:color w:val="000000"/>
          <w:spacing w:val="4"/>
          <w:sz w:val="24"/>
          <w:szCs w:val="24"/>
          <w:highlight w:val="none"/>
          <w:lang w:eastAsia="zh-CN"/>
        </w:rPr>
        <w:t>承包人</w:t>
      </w:r>
      <w:r>
        <w:rPr>
          <w:rFonts w:hint="eastAsia" w:ascii="宋体" w:hAnsi="宋体" w:cs="宋体"/>
          <w:color w:val="000000"/>
          <w:spacing w:val="4"/>
          <w:sz w:val="24"/>
          <w:szCs w:val="24"/>
          <w:highlight w:val="none"/>
        </w:rPr>
        <w:t>员必须熟悉设计图纸，掌握施工验收规范等，按监理合同要求及时编制可操作性强的监理规划及监理细则、旁站监理方案、阶段性监理工作总结上报</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w:t>
      </w:r>
    </w:p>
    <w:p>
      <w:pPr>
        <w:pStyle w:val="94"/>
        <w:numPr>
          <w:ilvl w:val="0"/>
          <w:numId w:val="8"/>
        </w:numPr>
        <w:tabs>
          <w:tab w:val="left" w:pos="567"/>
        </w:tabs>
        <w:snapToGrid w:val="0"/>
        <w:spacing w:line="360" w:lineRule="auto"/>
        <w:ind w:left="567"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日常工作应准备监理日志、巡视检查记录、旁站监理记录，对日常工作作详细记录，尤其要重点记录关键工序、关键节点的施工及监管情况，同时对监理日志、巡视检查记录中提到的问题要进行跟踪落实。</w:t>
      </w:r>
    </w:p>
    <w:p>
      <w:pPr>
        <w:pStyle w:val="94"/>
        <w:numPr>
          <w:ilvl w:val="0"/>
          <w:numId w:val="8"/>
        </w:numPr>
        <w:tabs>
          <w:tab w:val="left" w:pos="567"/>
        </w:tabs>
        <w:snapToGrid w:val="0"/>
        <w:spacing w:line="360" w:lineRule="auto"/>
        <w:ind w:left="567"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监理单位要组织专业监理工程师对施工单位的施工组织设计（技术方案）进行审查，并将初审意见报给</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w:t>
      </w:r>
    </w:p>
    <w:p>
      <w:pPr>
        <w:pStyle w:val="94"/>
        <w:numPr>
          <w:ilvl w:val="0"/>
          <w:numId w:val="8"/>
        </w:numPr>
        <w:tabs>
          <w:tab w:val="left" w:pos="567"/>
        </w:tabs>
        <w:snapToGrid w:val="0"/>
        <w:spacing w:line="360" w:lineRule="auto"/>
        <w:ind w:left="567"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施工单位报给监理单位要求审核、审批的技术资料，监理单位的初审期限不得超过规定的时间（非监理方造成的延误除外，如施工单位上报的申请不合格等，但监理方须立即将不合格资料退回），影响结构安全及外观效果的材料报审初审完成后交给项目部复审，复核完成后方可给施工单位下发。</w:t>
      </w:r>
    </w:p>
    <w:p>
      <w:pPr>
        <w:pStyle w:val="94"/>
        <w:numPr>
          <w:ilvl w:val="0"/>
          <w:numId w:val="8"/>
        </w:numPr>
        <w:tabs>
          <w:tab w:val="left" w:pos="567"/>
        </w:tabs>
        <w:snapToGrid w:val="0"/>
        <w:spacing w:line="360" w:lineRule="auto"/>
        <w:ind w:left="567"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监理单位应设有专人跟踪检查施工单位技术资料，以使技术资料的整理与工程进度同步。工程竣工后，应督促施工单位提交技术资料，经审核后，由施工单位向</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项目部移交。</w:t>
      </w:r>
    </w:p>
    <w:p>
      <w:pPr>
        <w:pStyle w:val="94"/>
        <w:numPr>
          <w:ilvl w:val="0"/>
          <w:numId w:val="8"/>
        </w:numPr>
        <w:tabs>
          <w:tab w:val="left" w:pos="567"/>
        </w:tabs>
        <w:snapToGrid w:val="0"/>
        <w:spacing w:line="360" w:lineRule="auto"/>
        <w:ind w:left="567"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监理单位应参加我公司组织的图纸会审和技术交底会议，对图纸和工艺中存在的问题通过项目部向设计单位建议。</w:t>
      </w:r>
    </w:p>
    <w:p>
      <w:pPr>
        <w:pStyle w:val="94"/>
        <w:numPr>
          <w:ilvl w:val="0"/>
          <w:numId w:val="8"/>
        </w:numPr>
        <w:tabs>
          <w:tab w:val="left" w:pos="567"/>
        </w:tabs>
        <w:snapToGrid w:val="0"/>
        <w:spacing w:line="360" w:lineRule="auto"/>
        <w:ind w:left="567"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监理单位应每周在监理例会前与</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项目部沟通，分析工程质量、安全、进度协调等方面可能存在的问题，预判项目风险，商讨解决方案，做好项目的事前控制工作。</w:t>
      </w:r>
    </w:p>
    <w:p>
      <w:pPr>
        <w:pStyle w:val="94"/>
        <w:numPr>
          <w:ilvl w:val="0"/>
          <w:numId w:val="8"/>
        </w:numPr>
        <w:tabs>
          <w:tab w:val="left" w:pos="567"/>
        </w:tabs>
        <w:snapToGrid w:val="0"/>
        <w:spacing w:line="360" w:lineRule="auto"/>
        <w:ind w:left="567"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监理单位每月25日前向项目部报送一份上月的监理工作月报。监理月报的内容应符合《建设工程监理规范》的要求。</w:t>
      </w:r>
    </w:p>
    <w:p>
      <w:pPr>
        <w:tabs>
          <w:tab w:val="left" w:pos="1442"/>
        </w:tabs>
        <w:spacing w:line="360" w:lineRule="auto"/>
        <w:rPr>
          <w:rFonts w:ascii="宋体" w:hAnsi="宋体" w:cs="宋体"/>
          <w:b/>
          <w:color w:val="000000"/>
          <w:spacing w:val="4"/>
          <w:sz w:val="24"/>
          <w:szCs w:val="24"/>
          <w:highlight w:val="none"/>
        </w:rPr>
      </w:pPr>
      <w:bookmarkStart w:id="15" w:name="_Toc143007692"/>
      <w:r>
        <w:rPr>
          <w:rFonts w:hint="eastAsia" w:ascii="宋体" w:hAnsi="宋体" w:cs="宋体"/>
          <w:b/>
          <w:color w:val="000000"/>
          <w:spacing w:val="4"/>
          <w:sz w:val="24"/>
          <w:szCs w:val="24"/>
          <w:highlight w:val="none"/>
        </w:rPr>
        <w:t>第六节 监理单位对施工单位的监控</w:t>
      </w:r>
      <w:bookmarkEnd w:id="15"/>
    </w:p>
    <w:p>
      <w:pPr>
        <w:pStyle w:val="94"/>
        <w:numPr>
          <w:ilvl w:val="0"/>
          <w:numId w:val="9"/>
        </w:numPr>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监理单位要严格按照各级政府职能部门要求和监理合同和监理规划的要求，协助</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全过程的管理项目施工。</w:t>
      </w:r>
    </w:p>
    <w:p>
      <w:pPr>
        <w:pStyle w:val="94"/>
        <w:numPr>
          <w:ilvl w:val="0"/>
          <w:numId w:val="9"/>
        </w:numPr>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监理单位应对施工单位使用的大型设备、机具的准用文件、操作人员资格证书进行审查，督促施工单位履行安全报验手续，并将审查结果归档备查。</w:t>
      </w:r>
    </w:p>
    <w:p>
      <w:pPr>
        <w:pStyle w:val="94"/>
        <w:numPr>
          <w:ilvl w:val="0"/>
          <w:numId w:val="9"/>
        </w:numPr>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施工单位应当对进场的施工材料执行进场验收和抽样送检制度，并将相关资料和结果进行存档，同时向项目部报告。</w:t>
      </w:r>
    </w:p>
    <w:p>
      <w:pPr>
        <w:pStyle w:val="94"/>
        <w:numPr>
          <w:ilvl w:val="0"/>
          <w:numId w:val="9"/>
        </w:numPr>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监理单位对施工技术方案、施工现场环境、人料机准备情况进行重点检查，严把开工关（如砼浇捣签发浇灌令）。</w:t>
      </w:r>
    </w:p>
    <w:p>
      <w:pPr>
        <w:pStyle w:val="94"/>
        <w:numPr>
          <w:ilvl w:val="0"/>
          <w:numId w:val="9"/>
        </w:numPr>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施工单位进场后，监理单位应要求其将工程重点部位、关键工序、特殊工序的施工方法和质量保证措施上报，监理单位在审核后应附上监理措施，一并报给项目部。在重点部位、关键工序、特殊工序施工时，</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项目部将实地检查监理工作的落实。</w:t>
      </w:r>
    </w:p>
    <w:p>
      <w:pPr>
        <w:pStyle w:val="94"/>
        <w:numPr>
          <w:ilvl w:val="0"/>
          <w:numId w:val="9"/>
        </w:numPr>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施工过程中，监理单位人员应勤检查，发现施工不符合图纸及规范要求情况责令施工单位限期整改，情况严重改正不力的在</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授权下可采取处罚措施。</w:t>
      </w:r>
    </w:p>
    <w:p>
      <w:pPr>
        <w:pStyle w:val="94"/>
        <w:numPr>
          <w:ilvl w:val="0"/>
          <w:numId w:val="9"/>
        </w:numPr>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施工单位工程质量发现异常或发生质量事故的，监理单位必须书面报告给项目部，并与项目部研究处理意见。</w:t>
      </w:r>
    </w:p>
    <w:p>
      <w:pPr>
        <w:pStyle w:val="94"/>
        <w:numPr>
          <w:ilvl w:val="0"/>
          <w:numId w:val="9"/>
        </w:numPr>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监理单位应加强安全生产法律法规的学习，贯彻国家安全生产规范及</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的安全生产文明施工管理制度的落实。</w:t>
      </w:r>
    </w:p>
    <w:p>
      <w:pPr>
        <w:pStyle w:val="94"/>
        <w:numPr>
          <w:ilvl w:val="0"/>
          <w:numId w:val="9"/>
        </w:numPr>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应随时检查施工单位的安全生产状况，发现施工单位安全生产不符合规定或存在安全隐患时，应发文责令其整改，并将文件抄送项目部，同时监理单位需会同项目部组织周安全文明施工检查，并将检查结果抄送项目部，对情况严重改正不力的在</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授权下可采取处罚措施。</w:t>
      </w:r>
    </w:p>
    <w:p>
      <w:pPr>
        <w:tabs>
          <w:tab w:val="left" w:pos="1442"/>
        </w:tabs>
        <w:spacing w:line="360" w:lineRule="auto"/>
        <w:rPr>
          <w:rFonts w:ascii="宋体" w:hAnsi="宋体" w:cs="宋体"/>
          <w:b/>
          <w:color w:val="000000"/>
          <w:spacing w:val="4"/>
          <w:sz w:val="24"/>
          <w:szCs w:val="24"/>
          <w:highlight w:val="none"/>
        </w:rPr>
      </w:pPr>
      <w:bookmarkStart w:id="16" w:name="_Toc143007693"/>
      <w:r>
        <w:rPr>
          <w:rFonts w:hint="eastAsia" w:ascii="宋体" w:hAnsi="宋体" w:cs="宋体"/>
          <w:b/>
          <w:color w:val="000000"/>
          <w:spacing w:val="4"/>
          <w:sz w:val="24"/>
          <w:szCs w:val="24"/>
          <w:highlight w:val="none"/>
        </w:rPr>
        <w:t>第七节 监理工程例会</w:t>
      </w:r>
      <w:bookmarkEnd w:id="16"/>
    </w:p>
    <w:p>
      <w:pPr>
        <w:pStyle w:val="94"/>
        <w:numPr>
          <w:ilvl w:val="0"/>
          <w:numId w:val="10"/>
        </w:numPr>
        <w:tabs>
          <w:tab w:val="left" w:pos="851"/>
        </w:tabs>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监理单位必须协助</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组织召开第一次工地例会形成会议纪要，并负责按会议要求督促检查各方工作落实情况，</w:t>
      </w:r>
    </w:p>
    <w:p>
      <w:pPr>
        <w:pStyle w:val="94"/>
        <w:numPr>
          <w:ilvl w:val="0"/>
          <w:numId w:val="10"/>
        </w:numPr>
        <w:tabs>
          <w:tab w:val="left" w:pos="851"/>
        </w:tabs>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监理单位每周组织召开一次监理工程例会，由监理单位召集和主持，</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工程师参加。各种工程专题会议根据现场实际需要随时召开，所有的会议时间应控制在两小时以内，力求高效。</w:t>
      </w:r>
    </w:p>
    <w:p>
      <w:pPr>
        <w:pStyle w:val="94"/>
        <w:numPr>
          <w:ilvl w:val="0"/>
          <w:numId w:val="10"/>
        </w:numPr>
        <w:tabs>
          <w:tab w:val="left" w:pos="851"/>
        </w:tabs>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监理例会按如下程序召开：回顾上周协调解决事项的落实—施工单位汇报—监理点评—</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总结</w:t>
      </w:r>
    </w:p>
    <w:p>
      <w:pPr>
        <w:pStyle w:val="94"/>
        <w:numPr>
          <w:ilvl w:val="0"/>
          <w:numId w:val="10"/>
        </w:numPr>
        <w:tabs>
          <w:tab w:val="left" w:pos="851"/>
          <w:tab w:val="left" w:pos="1442"/>
        </w:tabs>
        <w:snapToGrid w:val="0"/>
        <w:spacing w:line="360" w:lineRule="auto"/>
        <w:ind w:hanging="273" w:firstLineChars="0"/>
        <w:rPr>
          <w:rFonts w:ascii="宋体" w:hAnsi="宋体" w:cs="宋体"/>
          <w:b/>
          <w:color w:val="000000"/>
          <w:spacing w:val="4"/>
          <w:sz w:val="24"/>
          <w:szCs w:val="24"/>
          <w:highlight w:val="none"/>
        </w:rPr>
      </w:pPr>
      <w:r>
        <w:rPr>
          <w:rFonts w:hint="eastAsia" w:ascii="宋体" w:hAnsi="宋体" w:cs="宋体"/>
          <w:color w:val="000000"/>
          <w:spacing w:val="4"/>
          <w:sz w:val="24"/>
          <w:szCs w:val="24"/>
          <w:highlight w:val="none"/>
        </w:rPr>
        <w:t>监理工程例会和其他专题性会议纪要由监理公司负责整理，其中每周的监理工程例会需按照模板格式进行整理。每次会议结束24小时内，必须将本周纪要提交给</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项目经理复核，监理工程例会会议纪要经审核后才能下发，时间不得晚于会议结束后48小时。</w:t>
      </w:r>
      <w:bookmarkStart w:id="17" w:name="_Toc143007694"/>
    </w:p>
    <w:p>
      <w:pPr>
        <w:tabs>
          <w:tab w:val="left" w:pos="851"/>
          <w:tab w:val="left" w:pos="1442"/>
        </w:tabs>
        <w:spacing w:line="360" w:lineRule="auto"/>
        <w:rPr>
          <w:rFonts w:ascii="宋体" w:hAnsi="宋体" w:cs="宋体"/>
          <w:b/>
          <w:color w:val="000000"/>
          <w:spacing w:val="4"/>
          <w:sz w:val="24"/>
          <w:szCs w:val="24"/>
          <w:highlight w:val="none"/>
        </w:rPr>
      </w:pPr>
      <w:r>
        <w:rPr>
          <w:rFonts w:hint="eastAsia" w:ascii="宋体" w:hAnsi="宋体" w:cs="宋体"/>
          <w:b/>
          <w:color w:val="000000"/>
          <w:spacing w:val="4"/>
          <w:sz w:val="24"/>
          <w:szCs w:val="24"/>
          <w:highlight w:val="none"/>
        </w:rPr>
        <w:t>第八节 资料的传递</w:t>
      </w:r>
      <w:bookmarkEnd w:id="17"/>
    </w:p>
    <w:p>
      <w:pPr>
        <w:pStyle w:val="94"/>
        <w:numPr>
          <w:ilvl w:val="0"/>
          <w:numId w:val="11"/>
        </w:numPr>
        <w:tabs>
          <w:tab w:val="left" w:pos="851"/>
        </w:tabs>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监理单位所有与</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往来的正式文件，均需经过</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项目文员签字登记后进行传递。</w:t>
      </w:r>
    </w:p>
    <w:p>
      <w:pPr>
        <w:pStyle w:val="94"/>
        <w:numPr>
          <w:ilvl w:val="0"/>
          <w:numId w:val="11"/>
        </w:numPr>
        <w:tabs>
          <w:tab w:val="left" w:pos="851"/>
        </w:tabs>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为保证传文效率，监理工程会议纪要及其他会议纪要，可直接递交</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项目经理审核同意后下发。</w:t>
      </w:r>
    </w:p>
    <w:p>
      <w:pPr>
        <w:pStyle w:val="94"/>
        <w:numPr>
          <w:ilvl w:val="0"/>
          <w:numId w:val="11"/>
        </w:numPr>
        <w:tabs>
          <w:tab w:val="left" w:pos="851"/>
        </w:tabs>
        <w:snapToGrid w:val="0"/>
        <w:spacing w:line="360" w:lineRule="auto"/>
        <w:ind w:hanging="273"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施工单位上报的施工组织设计、施工进度计划，施工专项方案需同时报送</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项目部一份，由</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项目文员负责签收、传递。</w:t>
      </w:r>
    </w:p>
    <w:p>
      <w:pPr>
        <w:tabs>
          <w:tab w:val="left" w:pos="1442"/>
        </w:tabs>
        <w:spacing w:line="360" w:lineRule="auto"/>
        <w:rPr>
          <w:rFonts w:ascii="宋体" w:hAnsi="宋体" w:cs="宋体"/>
          <w:b/>
          <w:color w:val="000000"/>
          <w:spacing w:val="4"/>
          <w:sz w:val="24"/>
          <w:szCs w:val="24"/>
          <w:highlight w:val="none"/>
        </w:rPr>
      </w:pPr>
      <w:bookmarkStart w:id="18" w:name="_Toc143007695"/>
      <w:r>
        <w:rPr>
          <w:rFonts w:hint="eastAsia" w:ascii="宋体" w:hAnsi="宋体" w:cs="宋体"/>
          <w:b/>
          <w:color w:val="000000"/>
          <w:spacing w:val="4"/>
          <w:sz w:val="24"/>
          <w:szCs w:val="24"/>
          <w:highlight w:val="none"/>
        </w:rPr>
        <w:t>第九节 对监理单位的考核</w:t>
      </w:r>
      <w:bookmarkEnd w:id="18"/>
    </w:p>
    <w:p>
      <w:pPr>
        <w:pStyle w:val="94"/>
        <w:numPr>
          <w:ilvl w:val="0"/>
          <w:numId w:val="12"/>
        </w:numPr>
        <w:tabs>
          <w:tab w:val="left" w:pos="840"/>
        </w:tabs>
        <w:snapToGrid w:val="0"/>
        <w:spacing w:line="360" w:lineRule="auto"/>
        <w:ind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项目部每季度定期组织对监理单位的集中考核，考核完毕后由项目部发考核通报，主送监理单位，抄送监理项目部，除定期考核外，项目部可以在适当时间组织抽查。</w:t>
      </w:r>
    </w:p>
    <w:p>
      <w:pPr>
        <w:pStyle w:val="94"/>
        <w:numPr>
          <w:ilvl w:val="0"/>
          <w:numId w:val="12"/>
        </w:numPr>
        <w:tabs>
          <w:tab w:val="left" w:pos="840"/>
        </w:tabs>
        <w:snapToGrid w:val="0"/>
        <w:spacing w:line="360" w:lineRule="auto"/>
        <w:ind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对监理单位的考核内容包括内业、资料检查，施工工序监理工作检查，听取</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工程师对监理单位工作和具体人员的评价，听取主要施工单位对监理单位工作和具体人员评价等。</w:t>
      </w:r>
    </w:p>
    <w:p>
      <w:pPr>
        <w:pStyle w:val="94"/>
        <w:numPr>
          <w:ilvl w:val="0"/>
          <w:numId w:val="12"/>
        </w:numPr>
        <w:tabs>
          <w:tab w:val="left" w:pos="840"/>
        </w:tabs>
        <w:snapToGrid w:val="0"/>
        <w:spacing w:line="360" w:lineRule="auto"/>
        <w:ind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对考核通报中要求监理单位整改的事项，监理单位必须在限期内整改完毕，并通知</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项目部组织复查。整改事项完成以前，</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有权暂扣最近</w:t>
      </w:r>
      <w:r>
        <w:rPr>
          <w:rFonts w:hint="eastAsia" w:ascii="宋体" w:hAnsi="宋体" w:cs="宋体"/>
          <w:color w:val="000000"/>
          <w:spacing w:val="4"/>
          <w:sz w:val="24"/>
          <w:szCs w:val="24"/>
          <w:highlight w:val="none"/>
          <w:lang w:eastAsia="zh-CN"/>
        </w:rPr>
        <w:t>二期</w:t>
      </w:r>
      <w:r>
        <w:rPr>
          <w:rFonts w:hint="eastAsia" w:ascii="宋体" w:hAnsi="宋体" w:cs="宋体"/>
          <w:color w:val="000000"/>
          <w:spacing w:val="4"/>
          <w:sz w:val="24"/>
          <w:szCs w:val="24"/>
          <w:highlight w:val="none"/>
        </w:rPr>
        <w:t>监理酬金。</w:t>
      </w:r>
    </w:p>
    <w:p>
      <w:pPr>
        <w:pStyle w:val="94"/>
        <w:numPr>
          <w:ilvl w:val="0"/>
          <w:numId w:val="12"/>
        </w:numPr>
        <w:tabs>
          <w:tab w:val="left" w:pos="840"/>
        </w:tabs>
        <w:snapToGrid w:val="0"/>
        <w:spacing w:line="360" w:lineRule="auto"/>
        <w:ind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监理单位未按监理服务合同和监理规划（实施细则）要求履行控制工程质量、安全文明施工责任的，第一次由</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项目部通报批评，第二次由</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项目部提请公司主管领导要求监理单位撤换总监理工程师（总监代表），并将监理履职情况形成报告上报管理公司。</w:t>
      </w:r>
    </w:p>
    <w:p>
      <w:pPr>
        <w:pStyle w:val="94"/>
        <w:numPr>
          <w:ilvl w:val="0"/>
          <w:numId w:val="12"/>
        </w:numPr>
        <w:tabs>
          <w:tab w:val="left" w:pos="840"/>
        </w:tabs>
        <w:snapToGrid w:val="0"/>
        <w:spacing w:line="360" w:lineRule="auto"/>
        <w:ind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监理单位未按照标准验收施工单位提供的材料的，第一次由项目部要求监理单位对直接责任人进行警告，第二次由</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项目部要求监理单位总监理工程师辞退直接责任人，第三次由项目部向公司主管领导提议撤换总监理工程师（总监代表）。</w:t>
      </w:r>
    </w:p>
    <w:p>
      <w:pPr>
        <w:pStyle w:val="94"/>
        <w:numPr>
          <w:ilvl w:val="0"/>
          <w:numId w:val="12"/>
        </w:numPr>
        <w:tabs>
          <w:tab w:val="left" w:pos="840"/>
        </w:tabs>
        <w:snapToGrid w:val="0"/>
        <w:spacing w:line="360" w:lineRule="auto"/>
        <w:ind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监理单位发现施工单位提供的材料不符合要求，虽责令其将材料运离现场，但未向</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项目部报告的，由</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项目部通报批评；发现材料不符合要求，但默许施工单位使用，未造成公司损失或工程永久性质量缺陷的，由</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项目部要求监理单位辞退直接责任人；造成公司损失或工程质量永久性缺陷的，由公司根据监理服务合同向监理单位索赔。</w:t>
      </w:r>
    </w:p>
    <w:p>
      <w:pPr>
        <w:pStyle w:val="94"/>
        <w:numPr>
          <w:ilvl w:val="0"/>
          <w:numId w:val="12"/>
        </w:numPr>
        <w:tabs>
          <w:tab w:val="left" w:pos="840"/>
        </w:tabs>
        <w:snapToGrid w:val="0"/>
        <w:spacing w:line="360" w:lineRule="auto"/>
        <w:ind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监理单位内业资料记录、整理不全面，在下次检查或考核中依然存在的，由</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项目部通报批评。</w:t>
      </w:r>
    </w:p>
    <w:p>
      <w:pPr>
        <w:pStyle w:val="94"/>
        <w:numPr>
          <w:ilvl w:val="0"/>
          <w:numId w:val="12"/>
        </w:numPr>
        <w:tabs>
          <w:tab w:val="left" w:pos="840"/>
        </w:tabs>
        <w:snapToGrid w:val="0"/>
        <w:spacing w:line="360" w:lineRule="auto"/>
        <w:ind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应由监理单位审核、审批的资料积压时间过长而无合理理由的，由</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项目部责令监理单位限期完成；在限期内未完成的，由</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项目部向公司主管领导提议撤换总监理工程师（总监代表）。</w:t>
      </w:r>
    </w:p>
    <w:p>
      <w:pPr>
        <w:pStyle w:val="94"/>
        <w:numPr>
          <w:ilvl w:val="0"/>
          <w:numId w:val="12"/>
        </w:numPr>
        <w:tabs>
          <w:tab w:val="left" w:pos="840"/>
        </w:tabs>
        <w:snapToGrid w:val="0"/>
        <w:spacing w:line="360" w:lineRule="auto"/>
        <w:ind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监理单位人员有索贿或故意刁难施工单位行为的，由</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项目部要求监理单位撤换直接责任人；发生两次以上的，由</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 xml:space="preserve">项目部提请公司领导要求监理单位撤换总监理工程师（总监代表）和直接责任人。 </w:t>
      </w:r>
    </w:p>
    <w:p>
      <w:pPr>
        <w:pStyle w:val="94"/>
        <w:numPr>
          <w:ilvl w:val="0"/>
          <w:numId w:val="12"/>
        </w:numPr>
        <w:tabs>
          <w:tab w:val="left" w:pos="840"/>
        </w:tabs>
        <w:snapToGrid w:val="0"/>
        <w:spacing w:line="360" w:lineRule="auto"/>
        <w:ind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监理单位在工作时间内人员不齐，工作松懈，工作人员经常迟到早退，或未按要求安排值班旁站监理的，第一次由</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项目部口头警告，第二次由</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项目部通报批评，第三次由</w:t>
      </w:r>
      <w:r>
        <w:rPr>
          <w:rFonts w:hint="eastAsia" w:ascii="宋体" w:hAnsi="宋体" w:cs="宋体"/>
          <w:color w:val="000000"/>
          <w:spacing w:val="4"/>
          <w:sz w:val="24"/>
          <w:szCs w:val="24"/>
          <w:highlight w:val="none"/>
          <w:lang w:eastAsia="zh-CN"/>
        </w:rPr>
        <w:t>发包人</w:t>
      </w:r>
      <w:r>
        <w:rPr>
          <w:rFonts w:hint="eastAsia" w:ascii="宋体" w:hAnsi="宋体" w:cs="宋体"/>
          <w:color w:val="000000"/>
          <w:spacing w:val="4"/>
          <w:sz w:val="24"/>
          <w:szCs w:val="24"/>
          <w:highlight w:val="none"/>
        </w:rPr>
        <w:t>项目部提请公司主管领导要求监理单位撤换总监理工程师（总监代表）。</w:t>
      </w:r>
    </w:p>
    <w:p>
      <w:pPr>
        <w:pStyle w:val="94"/>
        <w:numPr>
          <w:ilvl w:val="0"/>
          <w:numId w:val="12"/>
        </w:numPr>
        <w:tabs>
          <w:tab w:val="left" w:pos="840"/>
        </w:tabs>
        <w:snapToGrid w:val="0"/>
        <w:spacing w:line="360" w:lineRule="auto"/>
        <w:ind w:firstLine="0" w:firstLineChars="0"/>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受到两次及以上要求撤换总监理工程师处罚时，监理单位将被取消再次参加监理服务投标的机会。</w:t>
      </w:r>
    </w:p>
    <w:p>
      <w:pPr>
        <w:pStyle w:val="94"/>
        <w:tabs>
          <w:tab w:val="left" w:pos="851"/>
        </w:tabs>
        <w:snapToGrid w:val="0"/>
        <w:ind w:firstLine="0" w:firstLineChars="0"/>
        <w:rPr>
          <w:rFonts w:ascii="宋体" w:hAnsi="宋体" w:cs="宋体"/>
          <w:color w:val="000000"/>
          <w:spacing w:val="4"/>
          <w:sz w:val="24"/>
          <w:szCs w:val="24"/>
          <w:highlight w:val="none"/>
        </w:rPr>
      </w:pPr>
    </w:p>
    <w:p>
      <w:pPr>
        <w:tabs>
          <w:tab w:val="left" w:pos="1442"/>
        </w:tabs>
        <w:spacing w:line="360" w:lineRule="auto"/>
        <w:ind w:firstLine="366" w:firstLineChars="147"/>
        <w:rPr>
          <w:rFonts w:ascii="宋体" w:hAnsi="宋体" w:cs="宋体"/>
          <w:b/>
          <w:color w:val="000000"/>
          <w:spacing w:val="4"/>
          <w:sz w:val="24"/>
          <w:szCs w:val="24"/>
          <w:highlight w:val="none"/>
        </w:rPr>
      </w:pPr>
      <w:r>
        <w:rPr>
          <w:rFonts w:hint="eastAsia" w:ascii="宋体" w:hAnsi="宋体" w:cs="宋体"/>
          <w:b/>
          <w:color w:val="000000"/>
          <w:spacing w:val="4"/>
          <w:sz w:val="24"/>
          <w:szCs w:val="24"/>
          <w:highlight w:val="none"/>
        </w:rPr>
        <w:br w:type="page"/>
      </w:r>
      <w:r>
        <w:rPr>
          <w:rFonts w:hint="eastAsia" w:ascii="宋体" w:hAnsi="宋体" w:cs="宋体"/>
          <w:b/>
          <w:color w:val="000000"/>
          <w:spacing w:val="4"/>
          <w:sz w:val="24"/>
          <w:szCs w:val="24"/>
          <w:highlight w:val="none"/>
        </w:rPr>
        <w:t>第十节 附件</w:t>
      </w:r>
    </w:p>
    <w:p>
      <w:pPr>
        <w:spacing w:line="360" w:lineRule="auto"/>
        <w:rPr>
          <w:rFonts w:ascii="宋体" w:hAnsi="宋体" w:cs="宋体"/>
          <w:color w:val="000000"/>
          <w:spacing w:val="4"/>
          <w:sz w:val="24"/>
          <w:szCs w:val="24"/>
          <w:highlight w:val="none"/>
        </w:rPr>
      </w:pPr>
      <w:r>
        <w:rPr>
          <w:rFonts w:hint="eastAsia" w:ascii="宋体" w:hAnsi="宋体" w:cs="宋体"/>
          <w:color w:val="000000"/>
          <w:spacing w:val="4"/>
          <w:sz w:val="24"/>
          <w:szCs w:val="24"/>
          <w:highlight w:val="none"/>
        </w:rPr>
        <w:t>附件1：</w:t>
      </w:r>
      <w:r>
        <w:rPr>
          <w:rFonts w:hint="eastAsia" w:ascii="宋体" w:hAnsi="宋体" w:cs="宋体"/>
          <w:color w:val="000000"/>
          <w:sz w:val="24"/>
          <w:szCs w:val="24"/>
          <w:highlight w:val="none"/>
        </w:rPr>
        <w:t>《对监理单位的检查考核控制作业指引》</w:t>
      </w:r>
    </w:p>
    <w:p>
      <w:pPr>
        <w:spacing w:line="360" w:lineRule="auto"/>
        <w:rPr>
          <w:rFonts w:ascii="宋体" w:hAnsi="宋体" w:cs="宋体"/>
          <w:color w:val="000000"/>
          <w:spacing w:val="4"/>
          <w:sz w:val="24"/>
          <w:szCs w:val="24"/>
          <w:highlight w:val="none"/>
        </w:rPr>
      </w:pPr>
      <w:bookmarkStart w:id="19" w:name="_Toc182993997"/>
      <w:bookmarkStart w:id="20" w:name="_Toc180825656"/>
      <w:bookmarkStart w:id="21" w:name="_Toc180551605"/>
      <w:bookmarkStart w:id="22" w:name="_Toc180574481"/>
      <w:r>
        <w:rPr>
          <w:rFonts w:hint="eastAsia" w:ascii="宋体" w:hAnsi="宋体" w:cs="宋体"/>
          <w:color w:val="000000"/>
          <w:spacing w:val="4"/>
          <w:sz w:val="24"/>
          <w:szCs w:val="24"/>
          <w:highlight w:val="none"/>
        </w:rPr>
        <w:t>附件2：《</w:t>
      </w:r>
      <w:r>
        <w:rPr>
          <w:rFonts w:hint="eastAsia" w:ascii="宋体" w:hAnsi="宋体" w:cs="宋体"/>
          <w:color w:val="000000"/>
          <w:sz w:val="24"/>
          <w:szCs w:val="24"/>
          <w:highlight w:val="none"/>
        </w:rPr>
        <w:t>监理工作人员登记表</w:t>
      </w:r>
      <w:r>
        <w:rPr>
          <w:rFonts w:hint="eastAsia" w:ascii="宋体" w:hAnsi="宋体" w:cs="宋体"/>
          <w:color w:val="000000"/>
          <w:spacing w:val="4"/>
          <w:sz w:val="24"/>
          <w:szCs w:val="24"/>
          <w:highlight w:val="none"/>
        </w:rPr>
        <w:t>》</w:t>
      </w:r>
    </w:p>
    <w:p>
      <w:pPr>
        <w:spacing w:line="360" w:lineRule="auto"/>
        <w:rPr>
          <w:rFonts w:hint="eastAsia" w:ascii="宋体" w:hAnsi="宋体" w:cs="宋体"/>
          <w:color w:val="000000"/>
          <w:spacing w:val="4"/>
          <w:sz w:val="24"/>
          <w:szCs w:val="24"/>
          <w:highlight w:val="none"/>
        </w:rPr>
      </w:pPr>
      <w:r>
        <w:rPr>
          <w:rFonts w:hint="eastAsia" w:ascii="宋体" w:hAnsi="宋体" w:cs="宋体"/>
          <w:color w:val="000000"/>
          <w:spacing w:val="4"/>
          <w:sz w:val="24"/>
          <w:szCs w:val="24"/>
          <w:highlight w:val="none"/>
        </w:rPr>
        <w:t>附件3：《</w:t>
      </w:r>
      <w:r>
        <w:rPr>
          <w:rFonts w:hint="eastAsia" w:ascii="宋体" w:hAnsi="宋体" w:cs="宋体"/>
          <w:color w:val="000000"/>
          <w:sz w:val="24"/>
          <w:szCs w:val="24"/>
          <w:highlight w:val="none"/>
        </w:rPr>
        <w:t>监理工作人员分工表</w:t>
      </w:r>
      <w:r>
        <w:rPr>
          <w:rFonts w:hint="eastAsia" w:ascii="宋体" w:hAnsi="宋体" w:cs="宋体"/>
          <w:color w:val="000000"/>
          <w:spacing w:val="4"/>
          <w:sz w:val="24"/>
          <w:szCs w:val="24"/>
          <w:highlight w:val="none"/>
        </w:rPr>
        <w:t>》</w:t>
      </w:r>
    </w:p>
    <w:p>
      <w:pPr>
        <w:spacing w:line="360" w:lineRule="auto"/>
        <w:ind w:firstLine="0" w:firstLineChars="0"/>
        <w:rPr>
          <w:rFonts w:hint="eastAsia" w:ascii="宋体" w:hAnsi="宋体" w:eastAsia="宋体" w:cs="宋体"/>
          <w:bCs w:val="0"/>
          <w:color w:val="000000"/>
          <w:spacing w:val="4"/>
          <w:sz w:val="24"/>
          <w:szCs w:val="24"/>
          <w:highlight w:val="none"/>
          <w:lang w:eastAsia="zh-CN"/>
        </w:rPr>
      </w:pPr>
      <w:r>
        <w:rPr>
          <w:rFonts w:hint="eastAsia" w:ascii="宋体" w:hAnsi="宋体" w:cs="宋体"/>
          <w:bCs w:val="0"/>
          <w:color w:val="000000"/>
          <w:spacing w:val="4"/>
          <w:sz w:val="24"/>
          <w:szCs w:val="24"/>
          <w:highlight w:val="none"/>
        </w:rPr>
        <w:t>附件</w:t>
      </w:r>
      <w:r>
        <w:rPr>
          <w:rFonts w:hint="eastAsia" w:ascii="宋体" w:hAnsi="宋体" w:cs="宋体"/>
          <w:bCs w:val="0"/>
          <w:color w:val="000000"/>
          <w:spacing w:val="4"/>
          <w:sz w:val="24"/>
          <w:szCs w:val="24"/>
          <w:highlight w:val="none"/>
          <w:lang w:val="en-US" w:eastAsia="zh-CN"/>
        </w:rPr>
        <w:t>4</w:t>
      </w:r>
      <w:r>
        <w:rPr>
          <w:rFonts w:hint="eastAsia" w:ascii="宋体" w:hAnsi="宋体" w:cs="宋体"/>
          <w:bCs w:val="0"/>
          <w:color w:val="000000"/>
          <w:spacing w:val="4"/>
          <w:sz w:val="24"/>
          <w:szCs w:val="24"/>
          <w:highlight w:val="none"/>
        </w:rPr>
        <w:t>：</w:t>
      </w:r>
      <w:r>
        <w:rPr>
          <w:rFonts w:hint="eastAsia" w:ascii="宋体" w:hAnsi="宋体" w:cs="宋体"/>
          <w:color w:val="000000"/>
          <w:spacing w:val="4"/>
          <w:sz w:val="24"/>
          <w:szCs w:val="24"/>
          <w:highlight w:val="none"/>
        </w:rPr>
        <w:t>《</w:t>
      </w:r>
      <w:r>
        <w:rPr>
          <w:rFonts w:hint="eastAsia" w:ascii="宋体" w:hAnsi="宋体" w:cs="宋体"/>
          <w:bCs w:val="0"/>
          <w:color w:val="000000"/>
          <w:spacing w:val="4"/>
          <w:sz w:val="24"/>
          <w:szCs w:val="24"/>
          <w:highlight w:val="none"/>
        </w:rPr>
        <w:t>廉洁协议</w:t>
      </w:r>
      <w:r>
        <w:rPr>
          <w:rFonts w:hint="eastAsia" w:ascii="宋体" w:hAnsi="宋体" w:cs="宋体"/>
          <w:bCs w:val="0"/>
          <w:color w:val="000000"/>
          <w:spacing w:val="4"/>
          <w:sz w:val="24"/>
          <w:szCs w:val="24"/>
          <w:highlight w:val="none"/>
          <w:lang w:eastAsia="zh-CN"/>
        </w:rPr>
        <w:t>书</w:t>
      </w:r>
      <w:r>
        <w:rPr>
          <w:rFonts w:hint="eastAsia" w:ascii="宋体" w:hAnsi="宋体" w:cs="宋体"/>
          <w:color w:val="000000"/>
          <w:spacing w:val="4"/>
          <w:sz w:val="24"/>
          <w:szCs w:val="24"/>
          <w:highlight w:val="none"/>
        </w:rPr>
        <w:t>》</w:t>
      </w:r>
    </w:p>
    <w:p>
      <w:pPr>
        <w:spacing w:line="360" w:lineRule="auto"/>
        <w:ind w:firstLine="0" w:firstLineChars="0"/>
        <w:rPr>
          <w:rFonts w:hint="eastAsia" w:ascii="宋体" w:hAnsi="宋体" w:eastAsia="宋体" w:cs="宋体"/>
          <w:bCs w:val="0"/>
          <w:color w:val="000000"/>
          <w:spacing w:val="4"/>
          <w:sz w:val="24"/>
          <w:szCs w:val="24"/>
          <w:highlight w:val="none"/>
          <w:lang w:eastAsia="zh-CN"/>
        </w:rPr>
      </w:pPr>
      <w:r>
        <w:rPr>
          <w:rFonts w:hint="eastAsia" w:ascii="宋体" w:hAnsi="宋体" w:cs="宋体"/>
          <w:bCs w:val="0"/>
          <w:color w:val="000000"/>
          <w:spacing w:val="4"/>
          <w:sz w:val="24"/>
          <w:szCs w:val="24"/>
          <w:highlight w:val="none"/>
        </w:rPr>
        <w:t>附件</w:t>
      </w:r>
      <w:r>
        <w:rPr>
          <w:rFonts w:hint="eastAsia" w:ascii="宋体" w:hAnsi="宋体" w:cs="宋体"/>
          <w:bCs w:val="0"/>
          <w:color w:val="000000"/>
          <w:spacing w:val="4"/>
          <w:sz w:val="24"/>
          <w:szCs w:val="24"/>
          <w:highlight w:val="none"/>
          <w:lang w:val="en-US" w:eastAsia="zh-CN"/>
        </w:rPr>
        <w:t>5</w:t>
      </w:r>
      <w:r>
        <w:rPr>
          <w:rFonts w:hint="eastAsia" w:ascii="宋体" w:hAnsi="宋体" w:cs="宋体"/>
          <w:bCs w:val="0"/>
          <w:color w:val="000000"/>
          <w:spacing w:val="4"/>
          <w:sz w:val="24"/>
          <w:szCs w:val="24"/>
          <w:highlight w:val="none"/>
        </w:rPr>
        <w:t>：</w:t>
      </w:r>
      <w:r>
        <w:rPr>
          <w:rFonts w:hint="eastAsia" w:ascii="宋体" w:hAnsi="宋体" w:cs="宋体"/>
          <w:color w:val="000000"/>
          <w:spacing w:val="4"/>
          <w:sz w:val="24"/>
          <w:szCs w:val="24"/>
          <w:highlight w:val="none"/>
        </w:rPr>
        <w:t>《</w:t>
      </w:r>
      <w:r>
        <w:rPr>
          <w:rFonts w:hint="eastAsia" w:ascii="宋体" w:hAnsi="宋体" w:cs="宋体"/>
          <w:bCs w:val="0"/>
          <w:color w:val="000000"/>
          <w:spacing w:val="4"/>
          <w:sz w:val="24"/>
          <w:szCs w:val="24"/>
          <w:highlight w:val="none"/>
          <w:lang w:eastAsia="zh-CN"/>
        </w:rPr>
        <w:t>监理各阶段人员配置要求表</w:t>
      </w:r>
      <w:r>
        <w:rPr>
          <w:rFonts w:hint="eastAsia" w:ascii="宋体" w:hAnsi="宋体" w:cs="宋体"/>
          <w:color w:val="000000"/>
          <w:spacing w:val="4"/>
          <w:sz w:val="24"/>
          <w:szCs w:val="24"/>
          <w:highlight w:val="none"/>
        </w:rPr>
        <w:t>》</w:t>
      </w:r>
    </w:p>
    <w:p>
      <w:pPr>
        <w:spacing w:line="360" w:lineRule="auto"/>
        <w:rPr>
          <w:rFonts w:hint="eastAsia" w:ascii="宋体" w:hAnsi="宋体" w:cs="宋体"/>
          <w:color w:val="000000"/>
          <w:spacing w:val="4"/>
          <w:sz w:val="24"/>
          <w:szCs w:val="24"/>
          <w:highlight w:val="none"/>
        </w:rPr>
      </w:pPr>
    </w:p>
    <w:p>
      <w:pPr>
        <w:tabs>
          <w:tab w:val="left" w:pos="1442"/>
        </w:tabs>
        <w:jc w:val="center"/>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rPr>
          <w:rFonts w:ascii="宋体" w:hAnsi="宋体" w:cs="宋体"/>
          <w:color w:val="000000"/>
          <w:spacing w:val="4"/>
          <w:sz w:val="28"/>
          <w:szCs w:val="28"/>
          <w:highlight w:val="none"/>
        </w:rPr>
      </w:pPr>
    </w:p>
    <w:p>
      <w:pPr>
        <w:tabs>
          <w:tab w:val="left" w:pos="1442"/>
        </w:tabs>
        <w:jc w:val="center"/>
        <w:rPr>
          <w:rFonts w:ascii="宋体" w:hAnsi="宋体" w:cs="宋体"/>
          <w:b/>
          <w:bCs/>
          <w:color w:val="000000"/>
          <w:spacing w:val="4"/>
          <w:sz w:val="28"/>
          <w:szCs w:val="28"/>
          <w:highlight w:val="none"/>
        </w:rPr>
      </w:pPr>
      <w:r>
        <w:rPr>
          <w:rFonts w:hint="eastAsia" w:ascii="宋体" w:hAnsi="宋体" w:cs="宋体"/>
          <w:b/>
          <w:bCs/>
          <w:color w:val="000000"/>
          <w:spacing w:val="4"/>
          <w:sz w:val="28"/>
          <w:szCs w:val="28"/>
          <w:highlight w:val="none"/>
        </w:rPr>
        <w:t>附件1：</w:t>
      </w:r>
      <w:r>
        <w:rPr>
          <w:rFonts w:hint="eastAsia" w:ascii="宋体" w:hAnsi="宋体" w:cs="宋体"/>
          <w:b/>
          <w:bCs/>
          <w:color w:val="000000"/>
          <w:sz w:val="28"/>
          <w:szCs w:val="28"/>
          <w:highlight w:val="none"/>
        </w:rPr>
        <w:t>对监理单位的检查考核控制作业指引</w:t>
      </w:r>
    </w:p>
    <w:p>
      <w:pPr>
        <w:numPr>
          <w:ilvl w:val="0"/>
          <w:numId w:val="13"/>
        </w:numPr>
        <w:ind w:right="72"/>
        <w:rPr>
          <w:rFonts w:ascii="宋体" w:hAnsi="宋体" w:cs="宋体"/>
          <w:b/>
          <w:color w:val="000000"/>
          <w:sz w:val="24"/>
          <w:szCs w:val="24"/>
          <w:highlight w:val="none"/>
        </w:rPr>
      </w:pPr>
      <w:r>
        <w:rPr>
          <w:rFonts w:hint="eastAsia" w:ascii="宋体" w:hAnsi="宋体" w:cs="宋体"/>
          <w:b/>
          <w:color w:val="000000"/>
          <w:sz w:val="24"/>
          <w:szCs w:val="24"/>
          <w:highlight w:val="none"/>
        </w:rPr>
        <w:t>目的</w:t>
      </w:r>
    </w:p>
    <w:p>
      <w:pPr>
        <w:ind w:right="72"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通过检查考核，掌握监理单位管理现状和对工程的控制程度，找出偏差和产生原因，为在建工程能够得到有效控制提供依据。</w:t>
      </w:r>
    </w:p>
    <w:p>
      <w:pPr>
        <w:numPr>
          <w:ilvl w:val="0"/>
          <w:numId w:val="13"/>
        </w:numPr>
        <w:ind w:right="72"/>
        <w:rPr>
          <w:rFonts w:ascii="宋体" w:hAnsi="宋体" w:cs="宋体"/>
          <w:b/>
          <w:color w:val="000000"/>
          <w:sz w:val="24"/>
          <w:szCs w:val="24"/>
          <w:highlight w:val="none"/>
        </w:rPr>
      </w:pPr>
      <w:r>
        <w:rPr>
          <w:rFonts w:hint="eastAsia" w:ascii="宋体" w:hAnsi="宋体" w:cs="宋体"/>
          <w:b/>
          <w:color w:val="000000"/>
          <w:sz w:val="24"/>
          <w:szCs w:val="24"/>
          <w:highlight w:val="none"/>
        </w:rPr>
        <w:t>适用范围</w:t>
      </w:r>
    </w:p>
    <w:p>
      <w:pPr>
        <w:ind w:right="72"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适用于对所有本公司在建开发项目监理单位的检查考核。</w:t>
      </w:r>
    </w:p>
    <w:p>
      <w:pPr>
        <w:numPr>
          <w:ilvl w:val="0"/>
          <w:numId w:val="13"/>
        </w:numPr>
        <w:ind w:right="72"/>
        <w:rPr>
          <w:rFonts w:ascii="宋体" w:hAnsi="宋体" w:cs="宋体"/>
          <w:b/>
          <w:color w:val="000000"/>
          <w:sz w:val="24"/>
          <w:szCs w:val="24"/>
          <w:highlight w:val="none"/>
        </w:rPr>
      </w:pPr>
      <w:r>
        <w:rPr>
          <w:rFonts w:hint="eastAsia" w:ascii="宋体" w:hAnsi="宋体" w:cs="宋体"/>
          <w:b/>
          <w:color w:val="000000"/>
          <w:sz w:val="24"/>
          <w:szCs w:val="24"/>
          <w:highlight w:val="none"/>
        </w:rPr>
        <w:t>职责</w:t>
      </w:r>
    </w:p>
    <w:p>
      <w:pPr>
        <w:pStyle w:val="92"/>
        <w:numPr>
          <w:ilvl w:val="1"/>
          <w:numId w:val="14"/>
        </w:numPr>
        <w:ind w:right="72" w:firstLineChars="0"/>
        <w:rPr>
          <w:rFonts w:ascii="宋体" w:hAnsi="宋体" w:cs="宋体"/>
          <w:color w:val="000000"/>
          <w:sz w:val="24"/>
          <w:szCs w:val="24"/>
          <w:highlight w:val="none"/>
        </w:rPr>
      </w:pPr>
      <w:r>
        <w:rPr>
          <w:rFonts w:hint="eastAsia" w:ascii="宋体" w:hAnsi="宋体" w:cs="宋体"/>
          <w:color w:val="000000"/>
          <w:sz w:val="24"/>
          <w:szCs w:val="24"/>
          <w:highlight w:val="none"/>
        </w:rPr>
        <w:t>项目部负责每季度一次对监理单位的检查考核；</w:t>
      </w:r>
    </w:p>
    <w:p>
      <w:pPr>
        <w:pStyle w:val="92"/>
        <w:numPr>
          <w:ilvl w:val="1"/>
          <w:numId w:val="14"/>
        </w:numPr>
        <w:ind w:right="72" w:firstLineChars="0"/>
        <w:rPr>
          <w:rFonts w:ascii="宋体" w:hAnsi="宋体" w:cs="宋体"/>
          <w:color w:val="000000"/>
          <w:sz w:val="24"/>
          <w:szCs w:val="24"/>
          <w:highlight w:val="none"/>
        </w:rPr>
      </w:pPr>
      <w:r>
        <w:rPr>
          <w:rFonts w:hint="eastAsia" w:ascii="宋体" w:hAnsi="宋体" w:cs="宋体"/>
          <w:color w:val="000000"/>
          <w:sz w:val="24"/>
          <w:szCs w:val="24"/>
          <w:highlight w:val="none"/>
        </w:rPr>
        <w:t>项目部编制检查计划，确定检查时间，并通知被检查监理单位；</w:t>
      </w:r>
    </w:p>
    <w:p>
      <w:pPr>
        <w:pStyle w:val="92"/>
        <w:numPr>
          <w:ilvl w:val="1"/>
          <w:numId w:val="14"/>
        </w:numPr>
        <w:ind w:right="72" w:firstLineChars="0"/>
        <w:rPr>
          <w:rFonts w:ascii="宋体" w:hAnsi="宋体" w:cs="宋体"/>
          <w:color w:val="000000"/>
          <w:sz w:val="24"/>
          <w:szCs w:val="24"/>
          <w:highlight w:val="none"/>
        </w:rPr>
      </w:pPr>
      <w:r>
        <w:rPr>
          <w:rFonts w:hint="eastAsia" w:ascii="宋体" w:hAnsi="宋体" w:cs="宋体"/>
          <w:color w:val="000000"/>
          <w:sz w:val="24"/>
          <w:szCs w:val="24"/>
          <w:highlight w:val="none"/>
        </w:rPr>
        <w:t>项目部每季度检查结果公布并通知被检查监理单位；</w:t>
      </w:r>
    </w:p>
    <w:p>
      <w:pPr>
        <w:pStyle w:val="92"/>
        <w:numPr>
          <w:ilvl w:val="1"/>
          <w:numId w:val="14"/>
        </w:numPr>
        <w:ind w:right="72" w:firstLineChars="0"/>
        <w:rPr>
          <w:rFonts w:ascii="宋体" w:hAnsi="宋体" w:cs="宋体"/>
          <w:color w:val="000000"/>
          <w:sz w:val="24"/>
          <w:szCs w:val="24"/>
          <w:highlight w:val="none"/>
        </w:rPr>
      </w:pPr>
      <w:r>
        <w:rPr>
          <w:rFonts w:hint="eastAsia" w:ascii="宋体" w:hAnsi="宋体" w:cs="宋体"/>
          <w:color w:val="000000"/>
          <w:sz w:val="24"/>
          <w:szCs w:val="24"/>
          <w:highlight w:val="none"/>
        </w:rPr>
        <w:t>负责监督监理单位对检查意见的落实；</w:t>
      </w:r>
    </w:p>
    <w:p>
      <w:pPr>
        <w:pStyle w:val="92"/>
        <w:numPr>
          <w:ilvl w:val="1"/>
          <w:numId w:val="14"/>
        </w:numPr>
        <w:ind w:right="72" w:firstLineChars="0"/>
        <w:rPr>
          <w:rFonts w:ascii="宋体" w:hAnsi="宋体" w:cs="宋体"/>
          <w:color w:val="000000"/>
          <w:sz w:val="24"/>
          <w:szCs w:val="24"/>
          <w:highlight w:val="none"/>
        </w:rPr>
      </w:pPr>
      <w:r>
        <w:rPr>
          <w:rFonts w:hint="eastAsia" w:ascii="宋体" w:hAnsi="宋体" w:cs="宋体"/>
          <w:color w:val="000000"/>
          <w:sz w:val="24"/>
          <w:szCs w:val="24"/>
          <w:highlight w:val="none"/>
        </w:rPr>
        <w:t>检查表归档并上报公司工程部；</w:t>
      </w:r>
    </w:p>
    <w:p>
      <w:pPr>
        <w:ind w:right="72"/>
        <w:rPr>
          <w:rFonts w:ascii="宋体" w:hAnsi="宋体" w:cs="宋体"/>
          <w:color w:val="000000"/>
          <w:sz w:val="24"/>
          <w:szCs w:val="24"/>
          <w:highlight w:val="none"/>
        </w:rPr>
      </w:pPr>
      <w:r>
        <w:rPr>
          <w:rFonts w:hint="eastAsia" w:ascii="宋体" w:hAnsi="宋体" w:cs="宋体"/>
          <w:color w:val="000000"/>
          <w:sz w:val="24"/>
          <w:szCs w:val="24"/>
          <w:highlight w:val="none"/>
        </w:rPr>
        <w:t>3.6、监理单位接受每季度检查考核；按照检查结果确定整改落实并实施。</w:t>
      </w:r>
    </w:p>
    <w:p>
      <w:pPr>
        <w:numPr>
          <w:ilvl w:val="0"/>
          <w:numId w:val="14"/>
        </w:numPr>
        <w:ind w:right="72"/>
        <w:rPr>
          <w:rFonts w:ascii="宋体" w:hAnsi="宋体" w:cs="宋体"/>
          <w:b/>
          <w:bCs/>
          <w:color w:val="000000"/>
          <w:sz w:val="24"/>
          <w:szCs w:val="24"/>
          <w:highlight w:val="none"/>
        </w:rPr>
      </w:pPr>
      <w:r>
        <w:rPr>
          <w:rFonts w:hint="eastAsia" w:ascii="宋体" w:hAnsi="宋体" w:cs="宋体"/>
          <w:b/>
          <w:bCs/>
          <w:color w:val="000000"/>
          <w:sz w:val="24"/>
          <w:szCs w:val="24"/>
          <w:highlight w:val="none"/>
        </w:rPr>
        <w:t>工作程序</w:t>
      </w:r>
    </w:p>
    <w:p>
      <w:pPr>
        <w:pStyle w:val="92"/>
        <w:numPr>
          <w:ilvl w:val="1"/>
          <w:numId w:val="14"/>
        </w:numPr>
        <w:ind w:right="72" w:firstLineChars="0"/>
        <w:rPr>
          <w:rFonts w:ascii="宋体" w:hAnsi="宋体" w:cs="宋体"/>
          <w:color w:val="000000"/>
          <w:sz w:val="24"/>
          <w:szCs w:val="24"/>
          <w:highlight w:val="none"/>
        </w:rPr>
      </w:pPr>
      <w:r>
        <w:rPr>
          <w:rFonts w:hint="eastAsia" w:ascii="宋体" w:hAnsi="宋体" w:cs="宋体"/>
          <w:color w:val="000000"/>
          <w:sz w:val="24"/>
          <w:szCs w:val="24"/>
          <w:highlight w:val="none"/>
        </w:rPr>
        <w:t>项目部每季度编制检查计划并确定具体的检查考核时间，检查考核时间在每季度月底25日前。</w:t>
      </w:r>
    </w:p>
    <w:p>
      <w:pPr>
        <w:pStyle w:val="92"/>
        <w:numPr>
          <w:ilvl w:val="1"/>
          <w:numId w:val="14"/>
        </w:numPr>
        <w:ind w:right="72" w:firstLineChars="0"/>
        <w:rPr>
          <w:rFonts w:ascii="宋体" w:hAnsi="宋体" w:cs="宋体"/>
          <w:color w:val="000000"/>
          <w:sz w:val="24"/>
          <w:szCs w:val="24"/>
          <w:highlight w:val="none"/>
        </w:rPr>
      </w:pPr>
      <w:r>
        <w:rPr>
          <w:rFonts w:hint="eastAsia" w:ascii="宋体" w:hAnsi="宋体" w:cs="宋体"/>
          <w:color w:val="000000"/>
          <w:sz w:val="24"/>
          <w:szCs w:val="24"/>
          <w:highlight w:val="none"/>
        </w:rPr>
        <w:t>项目部提前一天通知被检查的监理单位。</w:t>
      </w:r>
    </w:p>
    <w:p>
      <w:pPr>
        <w:numPr>
          <w:ilvl w:val="1"/>
          <w:numId w:val="14"/>
        </w:numPr>
        <w:ind w:right="72"/>
        <w:rPr>
          <w:rFonts w:ascii="宋体" w:hAnsi="宋体" w:cs="宋体"/>
          <w:color w:val="000000"/>
          <w:sz w:val="24"/>
          <w:szCs w:val="24"/>
          <w:highlight w:val="none"/>
        </w:rPr>
      </w:pPr>
      <w:r>
        <w:rPr>
          <w:rFonts w:hint="eastAsia" w:ascii="宋体" w:hAnsi="宋体" w:cs="宋体"/>
          <w:color w:val="000000"/>
          <w:sz w:val="24"/>
          <w:szCs w:val="24"/>
          <w:highlight w:val="none"/>
        </w:rPr>
        <w:t>对监理单位的检查考核内容</w:t>
      </w:r>
    </w:p>
    <w:p>
      <w:pPr>
        <w:numPr>
          <w:ilvl w:val="2"/>
          <w:numId w:val="14"/>
        </w:numPr>
        <w:ind w:right="72"/>
        <w:rPr>
          <w:rFonts w:ascii="宋体" w:hAnsi="宋体" w:cs="宋体"/>
          <w:color w:val="000000"/>
          <w:sz w:val="24"/>
          <w:szCs w:val="24"/>
          <w:highlight w:val="none"/>
        </w:rPr>
      </w:pPr>
      <w:r>
        <w:rPr>
          <w:rFonts w:hint="eastAsia" w:ascii="宋体" w:hAnsi="宋体" w:cs="宋体"/>
          <w:color w:val="000000"/>
          <w:sz w:val="24"/>
          <w:szCs w:val="24"/>
          <w:highlight w:val="none"/>
        </w:rPr>
        <w:t>对在建工程监理单位的检查考核分监理组织、监理资料、技术管理和现场监督管理四个部分。</w:t>
      </w:r>
    </w:p>
    <w:p>
      <w:pPr>
        <w:numPr>
          <w:ilvl w:val="2"/>
          <w:numId w:val="14"/>
        </w:numPr>
        <w:ind w:right="72"/>
        <w:rPr>
          <w:rFonts w:ascii="宋体" w:hAnsi="宋体" w:cs="宋体"/>
          <w:color w:val="000000"/>
          <w:sz w:val="24"/>
          <w:szCs w:val="24"/>
          <w:highlight w:val="none"/>
        </w:rPr>
      </w:pPr>
      <w:r>
        <w:rPr>
          <w:rFonts w:hint="eastAsia" w:ascii="宋体" w:hAnsi="宋体" w:cs="宋体"/>
          <w:color w:val="000000"/>
          <w:sz w:val="24"/>
          <w:szCs w:val="24"/>
          <w:highlight w:val="none"/>
        </w:rPr>
        <w:t>监理组织的考核占20分，对监理单位的组织机构、办公设施及制度进行检查考核，确定是否符合国家规定和合同要求。</w:t>
      </w:r>
    </w:p>
    <w:p>
      <w:pPr>
        <w:numPr>
          <w:ilvl w:val="2"/>
          <w:numId w:val="14"/>
        </w:numPr>
        <w:ind w:right="72"/>
        <w:rPr>
          <w:rFonts w:ascii="宋体" w:hAnsi="宋体" w:cs="宋体"/>
          <w:color w:val="000000"/>
          <w:sz w:val="24"/>
          <w:szCs w:val="24"/>
          <w:highlight w:val="none"/>
        </w:rPr>
      </w:pPr>
      <w:r>
        <w:rPr>
          <w:rFonts w:hint="eastAsia" w:ascii="宋体" w:hAnsi="宋体" w:cs="宋体"/>
          <w:color w:val="000000"/>
          <w:sz w:val="24"/>
          <w:szCs w:val="24"/>
          <w:highlight w:val="none"/>
        </w:rPr>
        <w:t>监理资料的考核占10分，对监理单位必须编制或持有资料的实际情况进行检查考核，确定是否符合国家规定和合同要求。</w:t>
      </w:r>
    </w:p>
    <w:p>
      <w:pPr>
        <w:numPr>
          <w:ilvl w:val="2"/>
          <w:numId w:val="14"/>
        </w:numPr>
        <w:ind w:right="72"/>
        <w:rPr>
          <w:rFonts w:ascii="宋体" w:hAnsi="宋体" w:cs="宋体"/>
          <w:color w:val="000000"/>
          <w:sz w:val="24"/>
          <w:szCs w:val="24"/>
          <w:highlight w:val="none"/>
        </w:rPr>
      </w:pPr>
      <w:r>
        <w:rPr>
          <w:rFonts w:hint="eastAsia" w:ascii="宋体" w:hAnsi="宋体" w:cs="宋体"/>
          <w:color w:val="000000"/>
          <w:sz w:val="24"/>
          <w:szCs w:val="24"/>
          <w:highlight w:val="none"/>
        </w:rPr>
        <w:t>技术管理的考核占20分，针对监理单位对参与在建工程各单位的技术质量管理的检查记录进行检查考核，确定是否符合国家规定和合同要求。</w:t>
      </w:r>
    </w:p>
    <w:p>
      <w:pPr>
        <w:numPr>
          <w:ilvl w:val="2"/>
          <w:numId w:val="14"/>
        </w:numPr>
        <w:ind w:right="72"/>
        <w:rPr>
          <w:rFonts w:ascii="宋体" w:hAnsi="宋体" w:cs="宋体"/>
          <w:color w:val="000000"/>
          <w:sz w:val="24"/>
          <w:szCs w:val="24"/>
          <w:highlight w:val="none"/>
        </w:rPr>
      </w:pPr>
      <w:r>
        <w:rPr>
          <w:rFonts w:hint="eastAsia" w:ascii="宋体" w:hAnsi="宋体" w:cs="宋体"/>
          <w:color w:val="000000"/>
          <w:sz w:val="24"/>
          <w:szCs w:val="24"/>
          <w:highlight w:val="none"/>
        </w:rPr>
        <w:t>现场监督管理的考核占50分，针对在建工程和所在施工现场的实际状况进行检查，同时抽查监理的检查记录，确定监理单位是否能够按国家规定和合同要求对在建工程的质量、进度、安全文明施工进行控制。</w:t>
      </w:r>
    </w:p>
    <w:p>
      <w:pPr>
        <w:numPr>
          <w:ilvl w:val="1"/>
          <w:numId w:val="14"/>
        </w:numPr>
        <w:ind w:right="72"/>
        <w:rPr>
          <w:rFonts w:ascii="宋体" w:hAnsi="宋体" w:cs="宋体"/>
          <w:color w:val="000000"/>
          <w:sz w:val="24"/>
          <w:szCs w:val="24"/>
          <w:highlight w:val="none"/>
        </w:rPr>
      </w:pPr>
      <w:r>
        <w:rPr>
          <w:rFonts w:hint="eastAsia" w:ascii="宋体" w:hAnsi="宋体" w:cs="宋体"/>
          <w:color w:val="000000"/>
          <w:sz w:val="24"/>
          <w:szCs w:val="24"/>
          <w:highlight w:val="none"/>
        </w:rPr>
        <w:t>检查汇总，问题整改</w:t>
      </w:r>
    </w:p>
    <w:p>
      <w:pPr>
        <w:numPr>
          <w:ilvl w:val="2"/>
          <w:numId w:val="14"/>
        </w:numPr>
        <w:ind w:right="72"/>
        <w:rPr>
          <w:rFonts w:ascii="宋体" w:hAnsi="宋体" w:cs="宋体"/>
          <w:color w:val="000000"/>
          <w:sz w:val="24"/>
          <w:szCs w:val="24"/>
          <w:highlight w:val="none"/>
        </w:rPr>
      </w:pPr>
      <w:r>
        <w:rPr>
          <w:rFonts w:hint="eastAsia" w:ascii="宋体" w:hAnsi="宋体" w:cs="宋体"/>
          <w:color w:val="000000"/>
          <w:sz w:val="24"/>
          <w:szCs w:val="24"/>
          <w:highlight w:val="none"/>
        </w:rPr>
        <w:t>项目部在检查的当天对检查记录进行汇总，并将检查考核的结果通知被检查监理单位。</w:t>
      </w:r>
    </w:p>
    <w:p>
      <w:pPr>
        <w:numPr>
          <w:ilvl w:val="2"/>
          <w:numId w:val="14"/>
        </w:numPr>
        <w:ind w:right="72"/>
        <w:rPr>
          <w:rFonts w:ascii="宋体" w:hAnsi="宋体" w:cs="宋体"/>
          <w:color w:val="000000"/>
          <w:sz w:val="24"/>
          <w:szCs w:val="24"/>
          <w:highlight w:val="none"/>
        </w:rPr>
      </w:pPr>
      <w:r>
        <w:rPr>
          <w:rFonts w:hint="eastAsia" w:ascii="宋体" w:hAnsi="宋体" w:cs="宋体"/>
          <w:color w:val="000000"/>
          <w:sz w:val="24"/>
          <w:szCs w:val="24"/>
          <w:highlight w:val="none"/>
        </w:rPr>
        <w:t>监理单位对不合格项进行确认后制定整改措施和整改时间表上报项目部。</w:t>
      </w:r>
    </w:p>
    <w:p>
      <w:pPr>
        <w:numPr>
          <w:ilvl w:val="2"/>
          <w:numId w:val="14"/>
        </w:numPr>
        <w:ind w:right="72"/>
        <w:rPr>
          <w:rFonts w:ascii="宋体" w:hAnsi="宋体" w:cs="宋体"/>
          <w:color w:val="000000"/>
          <w:sz w:val="24"/>
          <w:szCs w:val="24"/>
          <w:highlight w:val="none"/>
        </w:rPr>
      </w:pPr>
      <w:r>
        <w:rPr>
          <w:rFonts w:hint="eastAsia" w:ascii="宋体" w:hAnsi="宋体" w:cs="宋体"/>
          <w:color w:val="000000"/>
          <w:sz w:val="24"/>
          <w:szCs w:val="24"/>
          <w:highlight w:val="none"/>
        </w:rPr>
        <w:t>项目部最终确定整改完成。</w:t>
      </w:r>
    </w:p>
    <w:p>
      <w:pPr>
        <w:numPr>
          <w:ilvl w:val="1"/>
          <w:numId w:val="14"/>
        </w:numPr>
        <w:ind w:right="72"/>
        <w:rPr>
          <w:rFonts w:ascii="宋体" w:hAnsi="宋体" w:cs="宋体"/>
          <w:color w:val="000000"/>
          <w:sz w:val="24"/>
          <w:szCs w:val="24"/>
          <w:highlight w:val="none"/>
        </w:rPr>
      </w:pPr>
      <w:r>
        <w:rPr>
          <w:rFonts w:hint="eastAsia" w:ascii="宋体" w:hAnsi="宋体" w:cs="宋体"/>
          <w:color w:val="000000"/>
          <w:sz w:val="24"/>
          <w:szCs w:val="24"/>
          <w:highlight w:val="none"/>
        </w:rPr>
        <w:t>对监理单位的检查记录和整改记录由项目部归档保存，并将每季度的检查记录抄报公司工程部。</w:t>
      </w:r>
    </w:p>
    <w:p>
      <w:pPr>
        <w:numPr>
          <w:ilvl w:val="0"/>
          <w:numId w:val="14"/>
        </w:numPr>
        <w:ind w:right="72"/>
        <w:rPr>
          <w:b/>
          <w:bCs/>
          <w:color w:val="000000"/>
          <w:sz w:val="28"/>
          <w:szCs w:val="28"/>
          <w:highlight w:val="none"/>
        </w:rPr>
      </w:pPr>
      <w:r>
        <w:rPr>
          <w:b/>
          <w:bCs/>
          <w:color w:val="000000"/>
          <w:sz w:val="28"/>
          <w:szCs w:val="28"/>
          <w:highlight w:val="none"/>
        </w:rPr>
        <w:t>相关记录</w:t>
      </w:r>
    </w:p>
    <w:p>
      <w:pPr>
        <w:numPr>
          <w:ilvl w:val="1"/>
          <w:numId w:val="14"/>
        </w:numPr>
        <w:ind w:right="72"/>
        <w:rPr>
          <w:rFonts w:ascii="宋体"/>
          <w:color w:val="000000"/>
          <w:sz w:val="24"/>
          <w:szCs w:val="24"/>
          <w:highlight w:val="none"/>
        </w:rPr>
      </w:pPr>
      <w:r>
        <w:rPr>
          <w:color w:val="000000"/>
          <w:sz w:val="24"/>
          <w:szCs w:val="24"/>
          <w:highlight w:val="none"/>
        </w:rPr>
        <w:t>《在建工程建设监理工作质量评分检查表》</w:t>
      </w:r>
    </w:p>
    <w:p>
      <w:pPr>
        <w:jc w:val="center"/>
        <w:rPr>
          <w:rFonts w:ascii="仿宋_GB2312"/>
          <w:b/>
          <w:color w:val="000000"/>
          <w:spacing w:val="4"/>
          <w:sz w:val="28"/>
          <w:szCs w:val="28"/>
          <w:highlight w:val="none"/>
        </w:rPr>
      </w:pPr>
    </w:p>
    <w:p>
      <w:pPr>
        <w:jc w:val="center"/>
        <w:rPr>
          <w:rFonts w:ascii="仿宋_GB2312"/>
          <w:b/>
          <w:color w:val="000000"/>
          <w:spacing w:val="4"/>
          <w:sz w:val="28"/>
          <w:szCs w:val="28"/>
          <w:highlight w:val="none"/>
        </w:rPr>
      </w:pPr>
    </w:p>
    <w:p>
      <w:pPr>
        <w:jc w:val="center"/>
        <w:rPr>
          <w:rFonts w:ascii="仿宋_GB2312"/>
          <w:b/>
          <w:color w:val="000000"/>
          <w:spacing w:val="4"/>
          <w:sz w:val="28"/>
          <w:szCs w:val="28"/>
          <w:highlight w:val="none"/>
        </w:rPr>
      </w:pPr>
    </w:p>
    <w:p>
      <w:pPr>
        <w:jc w:val="center"/>
        <w:rPr>
          <w:rFonts w:hint="eastAsia" w:ascii="仿宋_GB2312"/>
          <w:b/>
          <w:color w:val="000000"/>
          <w:spacing w:val="4"/>
          <w:sz w:val="28"/>
          <w:szCs w:val="28"/>
          <w:highlight w:val="none"/>
        </w:rPr>
      </w:pPr>
    </w:p>
    <w:p>
      <w:pPr>
        <w:jc w:val="center"/>
        <w:rPr>
          <w:rFonts w:ascii="仿宋_GB2312"/>
          <w:b/>
          <w:color w:val="000000"/>
          <w:spacing w:val="4"/>
          <w:sz w:val="28"/>
          <w:szCs w:val="28"/>
          <w:highlight w:val="none"/>
        </w:rPr>
      </w:pPr>
    </w:p>
    <w:p>
      <w:pPr>
        <w:jc w:val="center"/>
        <w:rPr>
          <w:rFonts w:ascii="仿宋_GB2312"/>
          <w:b/>
          <w:color w:val="000000"/>
          <w:spacing w:val="4"/>
          <w:sz w:val="28"/>
          <w:szCs w:val="28"/>
          <w:highlight w:val="none"/>
        </w:rPr>
      </w:pPr>
      <w:r>
        <w:rPr>
          <w:rFonts w:hint="eastAsia" w:ascii="仿宋_GB2312"/>
          <w:b/>
          <w:color w:val="000000"/>
          <w:spacing w:val="4"/>
          <w:sz w:val="28"/>
          <w:szCs w:val="28"/>
          <w:highlight w:val="none"/>
        </w:rPr>
        <w:t>在建工程建设监理工作质量评分检查表</w:t>
      </w:r>
    </w:p>
    <w:p>
      <w:pPr>
        <w:rPr>
          <w:rFonts w:ascii="仿宋_GB2312"/>
          <w:color w:val="000000"/>
          <w:spacing w:val="4"/>
          <w:highlight w:val="none"/>
        </w:rPr>
      </w:pPr>
      <w:r>
        <w:rPr>
          <w:rFonts w:hint="eastAsia" w:ascii="仿宋_GB2312"/>
          <w:color w:val="000000"/>
          <w:spacing w:val="4"/>
          <w:sz w:val="28"/>
          <w:szCs w:val="28"/>
          <w:highlight w:val="none"/>
        </w:rPr>
        <w:t xml:space="preserve">                                       </w:t>
      </w:r>
      <w:r>
        <w:rPr>
          <w:rFonts w:hint="eastAsia" w:ascii="仿宋_GB2312"/>
          <w:color w:val="000000"/>
          <w:spacing w:val="4"/>
          <w:highlight w:val="none"/>
        </w:rPr>
        <w:t xml:space="preserve"> 编号：</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1722"/>
        <w:gridCol w:w="1072"/>
        <w:gridCol w:w="1705"/>
        <w:gridCol w:w="848"/>
        <w:gridCol w:w="568"/>
        <w:gridCol w:w="568"/>
        <w:gridCol w:w="568"/>
        <w:gridCol w:w="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noWrap w:val="0"/>
            <w:vAlign w:val="center"/>
          </w:tcPr>
          <w:p>
            <w:pPr>
              <w:jc w:val="center"/>
              <w:rPr>
                <w:rFonts w:ascii="仿宋_GB2312"/>
                <w:color w:val="000000"/>
                <w:spacing w:val="4"/>
                <w:highlight w:val="none"/>
              </w:rPr>
            </w:pPr>
            <w:r>
              <w:rPr>
                <w:rFonts w:hint="eastAsia" w:ascii="仿宋_GB2312"/>
                <w:color w:val="000000"/>
                <w:spacing w:val="4"/>
                <w:highlight w:val="none"/>
              </w:rPr>
              <w:t>项目名称</w:t>
            </w:r>
          </w:p>
        </w:tc>
        <w:tc>
          <w:tcPr>
            <w:tcW w:w="1722" w:type="dxa"/>
            <w:noWrap w:val="0"/>
            <w:vAlign w:val="center"/>
          </w:tcPr>
          <w:p>
            <w:pPr>
              <w:jc w:val="center"/>
              <w:rPr>
                <w:rFonts w:ascii="仿宋_GB2312"/>
                <w:color w:val="000000"/>
                <w:spacing w:val="4"/>
                <w:highlight w:val="none"/>
              </w:rPr>
            </w:pPr>
          </w:p>
        </w:tc>
        <w:tc>
          <w:tcPr>
            <w:tcW w:w="1072" w:type="dxa"/>
            <w:noWrap w:val="0"/>
            <w:vAlign w:val="center"/>
          </w:tcPr>
          <w:p>
            <w:pPr>
              <w:jc w:val="center"/>
              <w:rPr>
                <w:rFonts w:ascii="仿宋_GB2312"/>
                <w:color w:val="000000"/>
                <w:spacing w:val="4"/>
                <w:highlight w:val="none"/>
              </w:rPr>
            </w:pPr>
            <w:r>
              <w:rPr>
                <w:rFonts w:hint="eastAsia" w:ascii="仿宋_GB2312"/>
                <w:color w:val="000000"/>
                <w:spacing w:val="4"/>
                <w:highlight w:val="none"/>
              </w:rPr>
              <w:t>项目施工阶段</w:t>
            </w:r>
          </w:p>
        </w:tc>
        <w:tc>
          <w:tcPr>
            <w:tcW w:w="1705" w:type="dxa"/>
            <w:noWrap w:val="0"/>
            <w:vAlign w:val="center"/>
          </w:tcPr>
          <w:p>
            <w:pPr>
              <w:jc w:val="center"/>
              <w:rPr>
                <w:rFonts w:ascii="仿宋_GB2312"/>
                <w:color w:val="000000"/>
                <w:spacing w:val="4"/>
                <w:highlight w:val="none"/>
              </w:rPr>
            </w:pPr>
          </w:p>
        </w:tc>
        <w:tc>
          <w:tcPr>
            <w:tcW w:w="848" w:type="dxa"/>
            <w:noWrap w:val="0"/>
            <w:vAlign w:val="center"/>
          </w:tcPr>
          <w:p>
            <w:pPr>
              <w:jc w:val="center"/>
              <w:rPr>
                <w:rFonts w:ascii="仿宋_GB2312"/>
                <w:color w:val="000000"/>
                <w:spacing w:val="4"/>
                <w:highlight w:val="none"/>
              </w:rPr>
            </w:pPr>
            <w:r>
              <w:rPr>
                <w:rFonts w:hint="eastAsia" w:ascii="仿宋_GB2312"/>
                <w:color w:val="000000"/>
                <w:spacing w:val="4"/>
                <w:highlight w:val="none"/>
              </w:rPr>
              <w:t>监理公司</w:t>
            </w:r>
          </w:p>
        </w:tc>
        <w:tc>
          <w:tcPr>
            <w:tcW w:w="2699" w:type="dxa"/>
            <w:gridSpan w:val="4"/>
            <w:noWrap w:val="0"/>
            <w:vAlign w:val="center"/>
          </w:tcPr>
          <w:p>
            <w:pPr>
              <w:jc w:val="cente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712" w:type="dxa"/>
            <w:vMerge w:val="restart"/>
            <w:noWrap w:val="0"/>
            <w:vAlign w:val="center"/>
          </w:tcPr>
          <w:p>
            <w:pPr>
              <w:jc w:val="center"/>
              <w:rPr>
                <w:rFonts w:ascii="仿宋_GB2312"/>
                <w:color w:val="000000"/>
                <w:spacing w:val="4"/>
                <w:highlight w:val="none"/>
              </w:rPr>
            </w:pPr>
            <w:r>
              <w:rPr>
                <w:rFonts w:hint="eastAsia" w:ascii="仿宋_GB2312"/>
                <w:color w:val="000000"/>
                <w:spacing w:val="4"/>
                <w:highlight w:val="none"/>
              </w:rPr>
              <w:t>检查项目</w:t>
            </w:r>
          </w:p>
        </w:tc>
        <w:tc>
          <w:tcPr>
            <w:tcW w:w="1722" w:type="dxa"/>
            <w:vMerge w:val="restart"/>
            <w:noWrap w:val="0"/>
            <w:vAlign w:val="center"/>
          </w:tcPr>
          <w:p>
            <w:pPr>
              <w:jc w:val="center"/>
              <w:rPr>
                <w:rFonts w:ascii="仿宋_GB2312"/>
                <w:color w:val="000000"/>
                <w:spacing w:val="4"/>
                <w:highlight w:val="none"/>
              </w:rPr>
            </w:pPr>
            <w:r>
              <w:rPr>
                <w:rFonts w:hint="eastAsia" w:ascii="仿宋_GB2312"/>
                <w:color w:val="000000"/>
                <w:spacing w:val="4"/>
                <w:highlight w:val="none"/>
              </w:rPr>
              <w:t>考核内容</w:t>
            </w:r>
          </w:p>
        </w:tc>
        <w:tc>
          <w:tcPr>
            <w:tcW w:w="3625" w:type="dxa"/>
            <w:gridSpan w:val="3"/>
            <w:vMerge w:val="restart"/>
            <w:noWrap w:val="0"/>
            <w:vAlign w:val="center"/>
          </w:tcPr>
          <w:p>
            <w:pPr>
              <w:jc w:val="center"/>
              <w:rPr>
                <w:rFonts w:ascii="仿宋_GB2312"/>
                <w:color w:val="000000"/>
                <w:spacing w:val="4"/>
                <w:highlight w:val="none"/>
              </w:rPr>
            </w:pPr>
            <w:r>
              <w:rPr>
                <w:rFonts w:hint="eastAsia" w:ascii="仿宋_GB2312"/>
                <w:color w:val="000000"/>
                <w:highlight w:val="none"/>
              </w:rPr>
              <w:t>检查要求</w:t>
            </w:r>
          </w:p>
        </w:tc>
        <w:tc>
          <w:tcPr>
            <w:tcW w:w="2699" w:type="dxa"/>
            <w:gridSpan w:val="4"/>
            <w:tcBorders>
              <w:bottom w:val="single" w:color="auto" w:sz="4" w:space="0"/>
            </w:tcBorders>
            <w:noWrap w:val="0"/>
            <w:vAlign w:val="center"/>
          </w:tcPr>
          <w:p>
            <w:pPr>
              <w:jc w:val="center"/>
              <w:rPr>
                <w:rFonts w:ascii="仿宋_GB2312"/>
                <w:color w:val="000000"/>
                <w:spacing w:val="4"/>
                <w:highlight w:val="none"/>
              </w:rPr>
            </w:pPr>
            <w:r>
              <w:rPr>
                <w:rFonts w:hint="eastAsia" w:ascii="仿宋_GB2312"/>
                <w:color w:val="000000"/>
                <w:spacing w:val="4"/>
                <w:highlight w:val="none"/>
              </w:rPr>
              <w:t>检查情况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712" w:type="dxa"/>
            <w:vMerge w:val="continue"/>
            <w:noWrap w:val="0"/>
            <w:vAlign w:val="center"/>
          </w:tcPr>
          <w:p>
            <w:pPr>
              <w:jc w:val="center"/>
              <w:rPr>
                <w:rFonts w:ascii="仿宋_GB2312"/>
                <w:color w:val="000000"/>
                <w:spacing w:val="4"/>
                <w:highlight w:val="none"/>
              </w:rPr>
            </w:pPr>
          </w:p>
        </w:tc>
        <w:tc>
          <w:tcPr>
            <w:tcW w:w="1722" w:type="dxa"/>
            <w:vMerge w:val="continue"/>
            <w:noWrap w:val="0"/>
            <w:vAlign w:val="center"/>
          </w:tcPr>
          <w:p>
            <w:pPr>
              <w:jc w:val="center"/>
              <w:rPr>
                <w:rFonts w:ascii="仿宋_GB2312"/>
                <w:color w:val="000000"/>
                <w:spacing w:val="4"/>
                <w:highlight w:val="none"/>
              </w:rPr>
            </w:pPr>
          </w:p>
        </w:tc>
        <w:tc>
          <w:tcPr>
            <w:tcW w:w="3625" w:type="dxa"/>
            <w:gridSpan w:val="3"/>
            <w:vMerge w:val="continue"/>
            <w:noWrap w:val="0"/>
            <w:vAlign w:val="center"/>
          </w:tcPr>
          <w:p>
            <w:pPr>
              <w:jc w:val="center"/>
              <w:rPr>
                <w:rFonts w:ascii="仿宋_GB2312"/>
                <w:color w:val="000000"/>
                <w:highlight w:val="none"/>
              </w:rPr>
            </w:pPr>
          </w:p>
        </w:tc>
        <w:tc>
          <w:tcPr>
            <w:tcW w:w="568" w:type="dxa"/>
            <w:tcBorders>
              <w:top w:val="single" w:color="auto" w:sz="4" w:space="0"/>
              <w:right w:val="single" w:color="auto" w:sz="4" w:space="0"/>
            </w:tcBorders>
            <w:noWrap w:val="0"/>
            <w:vAlign w:val="center"/>
          </w:tcPr>
          <w:p>
            <w:pPr>
              <w:jc w:val="center"/>
              <w:rPr>
                <w:rFonts w:ascii="仿宋_GB2312"/>
                <w:color w:val="000000"/>
                <w:spacing w:val="4"/>
                <w:highlight w:val="none"/>
              </w:rPr>
            </w:pPr>
            <w:r>
              <w:rPr>
                <w:rFonts w:hint="eastAsia" w:ascii="仿宋_GB2312"/>
                <w:color w:val="000000"/>
                <w:spacing w:val="4"/>
                <w:highlight w:val="none"/>
              </w:rPr>
              <w:t>优</w:t>
            </w:r>
          </w:p>
        </w:tc>
        <w:tc>
          <w:tcPr>
            <w:tcW w:w="568" w:type="dxa"/>
            <w:tcBorders>
              <w:top w:val="single" w:color="auto" w:sz="4" w:space="0"/>
              <w:left w:val="single" w:color="auto" w:sz="4" w:space="0"/>
              <w:right w:val="single" w:color="auto" w:sz="4" w:space="0"/>
            </w:tcBorders>
            <w:noWrap w:val="0"/>
            <w:vAlign w:val="center"/>
          </w:tcPr>
          <w:p>
            <w:pPr>
              <w:jc w:val="center"/>
              <w:rPr>
                <w:rFonts w:ascii="仿宋_GB2312"/>
                <w:color w:val="000000"/>
                <w:spacing w:val="4"/>
                <w:highlight w:val="none"/>
              </w:rPr>
            </w:pPr>
            <w:r>
              <w:rPr>
                <w:rFonts w:hint="eastAsia" w:ascii="仿宋_GB2312"/>
                <w:color w:val="000000"/>
                <w:spacing w:val="4"/>
                <w:highlight w:val="none"/>
              </w:rPr>
              <w:t>良</w:t>
            </w:r>
          </w:p>
        </w:tc>
        <w:tc>
          <w:tcPr>
            <w:tcW w:w="568" w:type="dxa"/>
            <w:tcBorders>
              <w:top w:val="single" w:color="auto" w:sz="4" w:space="0"/>
              <w:left w:val="single" w:color="auto" w:sz="4" w:space="0"/>
              <w:right w:val="single" w:color="auto" w:sz="4" w:space="0"/>
            </w:tcBorders>
            <w:noWrap w:val="0"/>
            <w:vAlign w:val="center"/>
          </w:tcPr>
          <w:p>
            <w:pPr>
              <w:jc w:val="center"/>
              <w:rPr>
                <w:rFonts w:ascii="仿宋_GB2312"/>
                <w:color w:val="000000"/>
                <w:spacing w:val="4"/>
                <w:highlight w:val="none"/>
              </w:rPr>
            </w:pPr>
            <w:r>
              <w:rPr>
                <w:rFonts w:hint="eastAsia" w:ascii="仿宋_GB2312"/>
                <w:color w:val="000000"/>
                <w:spacing w:val="4"/>
                <w:highlight w:val="none"/>
              </w:rPr>
              <w:t>差</w:t>
            </w:r>
          </w:p>
        </w:tc>
        <w:tc>
          <w:tcPr>
            <w:tcW w:w="995" w:type="dxa"/>
            <w:tcBorders>
              <w:top w:val="single" w:color="auto" w:sz="4" w:space="0"/>
              <w:left w:val="single" w:color="auto" w:sz="4" w:space="0"/>
            </w:tcBorders>
            <w:noWrap w:val="0"/>
            <w:vAlign w:val="center"/>
          </w:tcPr>
          <w:p>
            <w:pPr>
              <w:jc w:val="center"/>
              <w:rPr>
                <w:rFonts w:ascii="仿宋_GB2312"/>
                <w:color w:val="000000"/>
                <w:spacing w:val="4"/>
                <w:highlight w:val="none"/>
              </w:rPr>
            </w:pPr>
            <w:r>
              <w:rPr>
                <w:rFonts w:hint="eastAsia" w:ascii="仿宋_GB2312"/>
                <w:color w:val="000000"/>
                <w:spacing w:val="4"/>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Merge w:val="restart"/>
            <w:noWrap w:val="0"/>
            <w:vAlign w:val="center"/>
          </w:tcPr>
          <w:p>
            <w:pPr>
              <w:jc w:val="center"/>
              <w:rPr>
                <w:rFonts w:ascii="仿宋_GB2312"/>
                <w:color w:val="000000"/>
                <w:spacing w:val="4"/>
                <w:highlight w:val="none"/>
              </w:rPr>
            </w:pPr>
            <w:r>
              <w:rPr>
                <w:rFonts w:hint="eastAsia" w:ascii="仿宋_GB2312"/>
                <w:color w:val="000000"/>
                <w:spacing w:val="4"/>
                <w:highlight w:val="none"/>
              </w:rPr>
              <w:t>监理组织（20分）</w:t>
            </w:r>
          </w:p>
        </w:tc>
        <w:tc>
          <w:tcPr>
            <w:tcW w:w="1722" w:type="dxa"/>
            <w:noWrap w:val="0"/>
            <w:vAlign w:val="center"/>
          </w:tcPr>
          <w:p>
            <w:pPr>
              <w:jc w:val="center"/>
              <w:rPr>
                <w:rFonts w:ascii="仿宋_GB2312"/>
                <w:color w:val="000000"/>
                <w:spacing w:val="4"/>
                <w:highlight w:val="none"/>
              </w:rPr>
            </w:pPr>
            <w:r>
              <w:rPr>
                <w:rFonts w:hint="eastAsia" w:ascii="仿宋_GB2312"/>
                <w:color w:val="000000"/>
                <w:spacing w:val="4"/>
                <w:highlight w:val="none"/>
              </w:rPr>
              <w:t>项目管理体系</w:t>
            </w:r>
            <w:r>
              <w:rPr>
                <w:rFonts w:hint="eastAsia" w:ascii="仿宋_GB2312"/>
                <w:color w:val="000000"/>
                <w:spacing w:val="4"/>
                <w:highlight w:val="none"/>
                <w:lang w:eastAsia="zh-CN"/>
              </w:rPr>
              <w:t>承包人</w:t>
            </w:r>
            <w:r>
              <w:rPr>
                <w:rFonts w:hint="eastAsia" w:ascii="仿宋_GB2312"/>
                <w:color w:val="000000"/>
                <w:spacing w:val="4"/>
                <w:highlight w:val="none"/>
              </w:rPr>
              <w:t>员素质（10分）</w:t>
            </w:r>
          </w:p>
        </w:tc>
        <w:tc>
          <w:tcPr>
            <w:tcW w:w="3625" w:type="dxa"/>
            <w:gridSpan w:val="3"/>
            <w:noWrap w:val="0"/>
            <w:vAlign w:val="center"/>
          </w:tcPr>
          <w:p>
            <w:pPr>
              <w:rPr>
                <w:rFonts w:ascii="仿宋_GB2312"/>
                <w:color w:val="000000"/>
                <w:spacing w:val="4"/>
                <w:highlight w:val="none"/>
              </w:rPr>
            </w:pPr>
            <w:r>
              <w:rPr>
                <w:rFonts w:hint="eastAsia" w:ascii="仿宋_GB2312"/>
                <w:color w:val="000000"/>
                <w:spacing w:val="4"/>
                <w:highlight w:val="none"/>
              </w:rPr>
              <w:t>项目管理架构科学，配备的人员年龄、资历合理，经验丰富，能胜任现场工作需要。工作敬业认真，现场施工无脱岗，出勤率完好。及时解决施工问题，为</w:t>
            </w:r>
            <w:r>
              <w:rPr>
                <w:rFonts w:hint="eastAsia" w:ascii="仿宋_GB2312"/>
                <w:color w:val="000000"/>
                <w:spacing w:val="4"/>
                <w:highlight w:val="none"/>
                <w:lang w:eastAsia="zh-CN"/>
              </w:rPr>
              <w:t>发包人</w:t>
            </w:r>
            <w:r>
              <w:rPr>
                <w:rFonts w:hint="eastAsia" w:ascii="仿宋_GB2312"/>
                <w:color w:val="000000"/>
                <w:spacing w:val="4"/>
                <w:highlight w:val="none"/>
              </w:rPr>
              <w:t>做好服务与配合。认真遵守职业道德，员工未受到</w:t>
            </w:r>
            <w:r>
              <w:rPr>
                <w:rFonts w:hint="eastAsia" w:ascii="仿宋_GB2312"/>
                <w:color w:val="000000"/>
                <w:spacing w:val="4"/>
                <w:highlight w:val="none"/>
                <w:lang w:eastAsia="zh-CN"/>
              </w:rPr>
              <w:t>发包人</w:t>
            </w:r>
            <w:r>
              <w:rPr>
                <w:rFonts w:hint="eastAsia" w:ascii="仿宋_GB2312"/>
                <w:color w:val="000000"/>
                <w:spacing w:val="4"/>
                <w:highlight w:val="none"/>
              </w:rPr>
              <w:t>及施工单位不合理投诉。</w:t>
            </w:r>
          </w:p>
        </w:tc>
        <w:tc>
          <w:tcPr>
            <w:tcW w:w="568" w:type="dxa"/>
            <w:tcBorders>
              <w:right w:val="single" w:color="auto" w:sz="4" w:space="0"/>
            </w:tcBorders>
            <w:noWrap w:val="0"/>
            <w:vAlign w:val="center"/>
          </w:tcPr>
          <w:p>
            <w:pPr>
              <w:rPr>
                <w:rFonts w:ascii="仿宋_GB2312"/>
                <w:color w:val="000000"/>
                <w:spacing w:val="4"/>
                <w:highlight w:val="none"/>
              </w:rPr>
            </w:pPr>
          </w:p>
        </w:tc>
        <w:tc>
          <w:tcPr>
            <w:tcW w:w="568" w:type="dxa"/>
            <w:tcBorders>
              <w:left w:val="single" w:color="auto" w:sz="4" w:space="0"/>
              <w:right w:val="single" w:color="auto" w:sz="4" w:space="0"/>
            </w:tcBorders>
            <w:noWrap w:val="0"/>
            <w:vAlign w:val="center"/>
          </w:tcPr>
          <w:p>
            <w:pPr>
              <w:rPr>
                <w:rFonts w:ascii="仿宋_GB2312"/>
                <w:color w:val="000000"/>
                <w:spacing w:val="4"/>
                <w:highlight w:val="none"/>
              </w:rPr>
            </w:pPr>
          </w:p>
        </w:tc>
        <w:tc>
          <w:tcPr>
            <w:tcW w:w="568" w:type="dxa"/>
            <w:tcBorders>
              <w:left w:val="single" w:color="auto" w:sz="4" w:space="0"/>
            </w:tcBorders>
            <w:noWrap w:val="0"/>
            <w:vAlign w:val="center"/>
          </w:tcPr>
          <w:p>
            <w:pPr>
              <w:rPr>
                <w:rFonts w:ascii="仿宋_GB2312"/>
                <w:color w:val="000000"/>
                <w:spacing w:val="4"/>
                <w:highlight w:val="none"/>
              </w:rPr>
            </w:pPr>
          </w:p>
        </w:tc>
        <w:tc>
          <w:tcPr>
            <w:tcW w:w="995" w:type="dxa"/>
            <w:noWrap w:val="0"/>
            <w:vAlign w:val="center"/>
          </w:tcPr>
          <w:p>
            <w:pP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Merge w:val="continue"/>
            <w:noWrap w:val="0"/>
            <w:vAlign w:val="center"/>
          </w:tcPr>
          <w:p>
            <w:pPr>
              <w:jc w:val="center"/>
              <w:rPr>
                <w:rFonts w:ascii="仿宋_GB2312"/>
                <w:color w:val="000000"/>
                <w:spacing w:val="4"/>
                <w:highlight w:val="none"/>
              </w:rPr>
            </w:pPr>
          </w:p>
        </w:tc>
        <w:tc>
          <w:tcPr>
            <w:tcW w:w="1722" w:type="dxa"/>
            <w:noWrap w:val="0"/>
            <w:vAlign w:val="center"/>
          </w:tcPr>
          <w:p>
            <w:pPr>
              <w:jc w:val="center"/>
              <w:rPr>
                <w:rFonts w:ascii="仿宋_GB2312"/>
                <w:color w:val="000000"/>
                <w:spacing w:val="4"/>
                <w:highlight w:val="none"/>
              </w:rPr>
            </w:pPr>
            <w:r>
              <w:rPr>
                <w:rFonts w:hint="eastAsia" w:ascii="仿宋_GB2312"/>
                <w:color w:val="000000"/>
                <w:spacing w:val="4"/>
                <w:highlight w:val="none"/>
              </w:rPr>
              <w:t>监理工作制度（5分）</w:t>
            </w:r>
          </w:p>
        </w:tc>
        <w:tc>
          <w:tcPr>
            <w:tcW w:w="3625" w:type="dxa"/>
            <w:gridSpan w:val="3"/>
            <w:noWrap w:val="0"/>
            <w:vAlign w:val="center"/>
          </w:tcPr>
          <w:p>
            <w:pPr>
              <w:rPr>
                <w:rFonts w:ascii="仿宋_GB2312"/>
                <w:color w:val="000000"/>
                <w:spacing w:val="4"/>
                <w:highlight w:val="none"/>
              </w:rPr>
            </w:pPr>
            <w:r>
              <w:rPr>
                <w:rFonts w:hint="eastAsia" w:ascii="仿宋_GB2312"/>
                <w:color w:val="000000"/>
                <w:spacing w:val="4"/>
                <w:highlight w:val="none"/>
              </w:rPr>
              <w:t>监理公司及项目工程监理制度齐备，有制度宣贯培训、制度执行的检查记录。</w:t>
            </w: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995" w:type="dxa"/>
            <w:noWrap w:val="0"/>
            <w:vAlign w:val="center"/>
          </w:tcPr>
          <w:p>
            <w:pP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Merge w:val="continue"/>
            <w:noWrap w:val="0"/>
            <w:vAlign w:val="center"/>
          </w:tcPr>
          <w:p>
            <w:pPr>
              <w:jc w:val="center"/>
              <w:rPr>
                <w:rFonts w:ascii="仿宋_GB2312"/>
                <w:color w:val="000000"/>
                <w:spacing w:val="4"/>
                <w:highlight w:val="none"/>
              </w:rPr>
            </w:pPr>
          </w:p>
        </w:tc>
        <w:tc>
          <w:tcPr>
            <w:tcW w:w="1722" w:type="dxa"/>
            <w:noWrap w:val="0"/>
            <w:vAlign w:val="center"/>
          </w:tcPr>
          <w:p>
            <w:pPr>
              <w:jc w:val="center"/>
              <w:rPr>
                <w:rFonts w:ascii="仿宋_GB2312"/>
                <w:color w:val="000000"/>
                <w:spacing w:val="4"/>
                <w:highlight w:val="none"/>
              </w:rPr>
            </w:pPr>
            <w:r>
              <w:rPr>
                <w:rFonts w:hint="eastAsia" w:ascii="仿宋_GB2312"/>
                <w:color w:val="000000"/>
                <w:spacing w:val="4"/>
                <w:highlight w:val="none"/>
              </w:rPr>
              <w:t>办公环境</w:t>
            </w:r>
          </w:p>
          <w:p>
            <w:pPr>
              <w:jc w:val="center"/>
              <w:rPr>
                <w:rFonts w:ascii="仿宋_GB2312"/>
                <w:color w:val="000000"/>
                <w:spacing w:val="4"/>
                <w:highlight w:val="none"/>
              </w:rPr>
            </w:pPr>
            <w:r>
              <w:rPr>
                <w:rFonts w:hint="eastAsia" w:ascii="仿宋_GB2312"/>
                <w:color w:val="000000"/>
                <w:spacing w:val="4"/>
                <w:highlight w:val="none"/>
              </w:rPr>
              <w:t>（5分）</w:t>
            </w:r>
          </w:p>
        </w:tc>
        <w:tc>
          <w:tcPr>
            <w:tcW w:w="3625" w:type="dxa"/>
            <w:gridSpan w:val="3"/>
            <w:noWrap w:val="0"/>
            <w:vAlign w:val="center"/>
          </w:tcPr>
          <w:p>
            <w:pPr>
              <w:rPr>
                <w:rFonts w:ascii="仿宋_GB2312"/>
                <w:color w:val="000000"/>
                <w:spacing w:val="4"/>
                <w:highlight w:val="none"/>
              </w:rPr>
            </w:pPr>
            <w:r>
              <w:rPr>
                <w:rFonts w:hint="eastAsia" w:ascii="仿宋_GB2312"/>
                <w:color w:val="000000"/>
                <w:spacing w:val="4"/>
                <w:highlight w:val="none"/>
              </w:rPr>
              <w:t>办公环境整洁干净，办公用品、设施配置齐全，摆放整齐。标示上墙。</w:t>
            </w: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995" w:type="dxa"/>
            <w:noWrap w:val="0"/>
            <w:vAlign w:val="center"/>
          </w:tcPr>
          <w:p>
            <w:pP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Merge w:val="restart"/>
            <w:noWrap w:val="0"/>
            <w:vAlign w:val="center"/>
          </w:tcPr>
          <w:p>
            <w:pPr>
              <w:jc w:val="center"/>
              <w:rPr>
                <w:rFonts w:ascii="仿宋_GB2312"/>
                <w:color w:val="000000"/>
                <w:spacing w:val="4"/>
                <w:highlight w:val="none"/>
              </w:rPr>
            </w:pPr>
            <w:r>
              <w:rPr>
                <w:rFonts w:hint="eastAsia" w:ascii="仿宋_GB2312"/>
                <w:color w:val="000000"/>
                <w:spacing w:val="4"/>
                <w:highlight w:val="none"/>
              </w:rPr>
              <w:t>监理资料（10分）</w:t>
            </w:r>
          </w:p>
        </w:tc>
        <w:tc>
          <w:tcPr>
            <w:tcW w:w="1722" w:type="dxa"/>
            <w:noWrap w:val="0"/>
            <w:vAlign w:val="center"/>
          </w:tcPr>
          <w:p>
            <w:pPr>
              <w:jc w:val="center"/>
              <w:rPr>
                <w:rFonts w:ascii="仿宋_GB2312"/>
                <w:color w:val="000000"/>
                <w:spacing w:val="4"/>
                <w:highlight w:val="none"/>
              </w:rPr>
            </w:pPr>
            <w:r>
              <w:rPr>
                <w:rFonts w:hint="eastAsia" w:ascii="仿宋_GB2312"/>
                <w:color w:val="000000"/>
                <w:spacing w:val="4"/>
                <w:highlight w:val="none"/>
              </w:rPr>
              <w:t>文件管理</w:t>
            </w:r>
          </w:p>
          <w:p>
            <w:pPr>
              <w:jc w:val="center"/>
              <w:rPr>
                <w:rFonts w:ascii="仿宋_GB2312"/>
                <w:color w:val="000000"/>
                <w:spacing w:val="4"/>
                <w:highlight w:val="none"/>
              </w:rPr>
            </w:pPr>
            <w:r>
              <w:rPr>
                <w:rFonts w:hint="eastAsia" w:ascii="仿宋_GB2312"/>
                <w:color w:val="000000"/>
                <w:spacing w:val="4"/>
                <w:highlight w:val="none"/>
              </w:rPr>
              <w:t>（5分）</w:t>
            </w:r>
          </w:p>
        </w:tc>
        <w:tc>
          <w:tcPr>
            <w:tcW w:w="3625" w:type="dxa"/>
            <w:gridSpan w:val="3"/>
            <w:noWrap w:val="0"/>
            <w:vAlign w:val="center"/>
          </w:tcPr>
          <w:p>
            <w:pPr>
              <w:rPr>
                <w:rFonts w:ascii="仿宋_GB2312"/>
                <w:color w:val="000000"/>
                <w:spacing w:val="4"/>
                <w:highlight w:val="none"/>
              </w:rPr>
            </w:pPr>
            <w:r>
              <w:rPr>
                <w:rFonts w:hint="eastAsia" w:ascii="仿宋_GB2312"/>
                <w:color w:val="000000"/>
                <w:spacing w:val="4"/>
                <w:highlight w:val="none"/>
              </w:rPr>
              <w:t>资料有档案目录查询，各阶段资料齐全无遗漏按规范要求整理归档，有资料收发文记录。</w:t>
            </w: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995" w:type="dxa"/>
            <w:noWrap w:val="0"/>
            <w:vAlign w:val="center"/>
          </w:tcPr>
          <w:p>
            <w:pP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Merge w:val="continue"/>
            <w:noWrap w:val="0"/>
            <w:vAlign w:val="center"/>
          </w:tcPr>
          <w:p>
            <w:pPr>
              <w:jc w:val="center"/>
              <w:rPr>
                <w:rFonts w:ascii="仿宋_GB2312"/>
                <w:color w:val="000000"/>
                <w:spacing w:val="4"/>
                <w:highlight w:val="none"/>
              </w:rPr>
            </w:pPr>
          </w:p>
        </w:tc>
        <w:tc>
          <w:tcPr>
            <w:tcW w:w="1722" w:type="dxa"/>
            <w:noWrap w:val="0"/>
            <w:vAlign w:val="center"/>
          </w:tcPr>
          <w:p>
            <w:pPr>
              <w:jc w:val="center"/>
              <w:rPr>
                <w:rFonts w:ascii="仿宋_GB2312"/>
                <w:color w:val="000000"/>
                <w:spacing w:val="4"/>
                <w:highlight w:val="none"/>
              </w:rPr>
            </w:pPr>
            <w:r>
              <w:rPr>
                <w:rFonts w:hint="eastAsia" w:ascii="仿宋_GB2312"/>
                <w:color w:val="000000"/>
                <w:spacing w:val="4"/>
                <w:highlight w:val="none"/>
              </w:rPr>
              <w:t>信息管理</w:t>
            </w:r>
          </w:p>
          <w:p>
            <w:pPr>
              <w:jc w:val="center"/>
              <w:rPr>
                <w:rFonts w:ascii="仿宋_GB2312"/>
                <w:color w:val="000000"/>
                <w:spacing w:val="4"/>
                <w:highlight w:val="none"/>
              </w:rPr>
            </w:pPr>
            <w:r>
              <w:rPr>
                <w:rFonts w:hint="eastAsia" w:ascii="仿宋_GB2312"/>
                <w:color w:val="000000"/>
                <w:spacing w:val="4"/>
                <w:highlight w:val="none"/>
              </w:rPr>
              <w:t>（5分）</w:t>
            </w:r>
          </w:p>
        </w:tc>
        <w:tc>
          <w:tcPr>
            <w:tcW w:w="3625" w:type="dxa"/>
            <w:gridSpan w:val="3"/>
            <w:noWrap w:val="0"/>
            <w:vAlign w:val="center"/>
          </w:tcPr>
          <w:p>
            <w:pPr>
              <w:rPr>
                <w:rFonts w:ascii="仿宋_GB2312"/>
                <w:color w:val="000000"/>
                <w:spacing w:val="4"/>
                <w:highlight w:val="none"/>
              </w:rPr>
            </w:pPr>
            <w:r>
              <w:rPr>
                <w:rFonts w:hint="eastAsia" w:ascii="仿宋_GB2312"/>
                <w:color w:val="000000"/>
                <w:spacing w:val="4"/>
                <w:highlight w:val="none"/>
              </w:rPr>
              <w:t>监理日志巡视记录书写及时完整，工作内容反映真实。周监理例会及专项例会纪要整理及时下发。及时掌握和检查各项监理控制资料的规范性、完整性。</w:t>
            </w: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995" w:type="dxa"/>
            <w:noWrap w:val="0"/>
            <w:vAlign w:val="center"/>
          </w:tcPr>
          <w:p>
            <w:pP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Merge w:val="restart"/>
            <w:noWrap w:val="0"/>
            <w:vAlign w:val="center"/>
          </w:tcPr>
          <w:p>
            <w:pPr>
              <w:jc w:val="center"/>
              <w:rPr>
                <w:rFonts w:ascii="仿宋_GB2312"/>
                <w:color w:val="000000"/>
                <w:spacing w:val="4"/>
                <w:highlight w:val="none"/>
              </w:rPr>
            </w:pPr>
            <w:r>
              <w:rPr>
                <w:rFonts w:hint="eastAsia" w:ascii="仿宋_GB2312"/>
                <w:color w:val="000000"/>
                <w:spacing w:val="4"/>
                <w:highlight w:val="none"/>
              </w:rPr>
              <w:t>技术管理（20分）</w:t>
            </w:r>
          </w:p>
        </w:tc>
        <w:tc>
          <w:tcPr>
            <w:tcW w:w="1722" w:type="dxa"/>
            <w:noWrap w:val="0"/>
            <w:vAlign w:val="center"/>
          </w:tcPr>
          <w:p>
            <w:pPr>
              <w:jc w:val="center"/>
              <w:rPr>
                <w:rFonts w:ascii="仿宋_GB2312"/>
                <w:color w:val="000000"/>
                <w:spacing w:val="4"/>
                <w:highlight w:val="none"/>
              </w:rPr>
            </w:pPr>
            <w:r>
              <w:rPr>
                <w:rFonts w:hint="eastAsia" w:ascii="仿宋_GB2312"/>
                <w:color w:val="000000"/>
                <w:spacing w:val="4"/>
                <w:highlight w:val="none"/>
              </w:rPr>
              <w:t>图纸技术方案审核（10分）</w:t>
            </w:r>
          </w:p>
        </w:tc>
        <w:tc>
          <w:tcPr>
            <w:tcW w:w="3625" w:type="dxa"/>
            <w:gridSpan w:val="3"/>
            <w:noWrap w:val="0"/>
            <w:vAlign w:val="center"/>
          </w:tcPr>
          <w:p>
            <w:pPr>
              <w:rPr>
                <w:rFonts w:ascii="仿宋_GB2312"/>
                <w:color w:val="000000"/>
                <w:spacing w:val="4"/>
                <w:highlight w:val="none"/>
              </w:rPr>
            </w:pPr>
            <w:r>
              <w:rPr>
                <w:rFonts w:hint="eastAsia" w:ascii="仿宋_GB2312"/>
                <w:color w:val="000000"/>
                <w:spacing w:val="4"/>
                <w:highlight w:val="none"/>
              </w:rPr>
              <w:t>图纸审核工作认真细致，及时发现问题提出合理化建议，对施工组织设计及专项施工方案从施工合理性、投资效率性、工期优化的角度认真审核，提出建设性意见，减少了工程投资，加快了工程进度。</w:t>
            </w: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995" w:type="dxa"/>
            <w:noWrap w:val="0"/>
            <w:vAlign w:val="center"/>
          </w:tcPr>
          <w:p>
            <w:pP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Merge w:val="continue"/>
            <w:noWrap w:val="0"/>
            <w:vAlign w:val="center"/>
          </w:tcPr>
          <w:p>
            <w:pPr>
              <w:jc w:val="center"/>
              <w:rPr>
                <w:rFonts w:ascii="仿宋_GB2312"/>
                <w:color w:val="000000"/>
                <w:spacing w:val="4"/>
                <w:highlight w:val="none"/>
              </w:rPr>
            </w:pPr>
          </w:p>
        </w:tc>
        <w:tc>
          <w:tcPr>
            <w:tcW w:w="1722" w:type="dxa"/>
            <w:noWrap w:val="0"/>
            <w:vAlign w:val="center"/>
          </w:tcPr>
          <w:p>
            <w:pPr>
              <w:jc w:val="center"/>
              <w:rPr>
                <w:rFonts w:ascii="仿宋_GB2312"/>
                <w:color w:val="000000"/>
                <w:spacing w:val="4"/>
                <w:highlight w:val="none"/>
              </w:rPr>
            </w:pPr>
            <w:r>
              <w:rPr>
                <w:rFonts w:hint="eastAsia" w:ascii="仿宋_GB2312"/>
                <w:color w:val="000000"/>
                <w:spacing w:val="4"/>
                <w:highlight w:val="none"/>
              </w:rPr>
              <w:t>监理技术资料编制（10分）</w:t>
            </w:r>
          </w:p>
        </w:tc>
        <w:tc>
          <w:tcPr>
            <w:tcW w:w="3625" w:type="dxa"/>
            <w:gridSpan w:val="3"/>
            <w:noWrap w:val="0"/>
            <w:vAlign w:val="center"/>
          </w:tcPr>
          <w:p>
            <w:pPr>
              <w:rPr>
                <w:rFonts w:ascii="仿宋_GB2312"/>
                <w:color w:val="000000"/>
                <w:spacing w:val="4"/>
                <w:highlight w:val="none"/>
              </w:rPr>
            </w:pPr>
            <w:r>
              <w:rPr>
                <w:rFonts w:hint="eastAsia" w:ascii="仿宋_GB2312"/>
                <w:color w:val="000000"/>
                <w:spacing w:val="4"/>
                <w:highlight w:val="none"/>
              </w:rPr>
              <w:t>按监理规划要求，有计划分阶段编制针对性、操作性较强的监理细则、旁站监理方案、其他专项监督方案。</w:t>
            </w: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995" w:type="dxa"/>
            <w:noWrap w:val="0"/>
            <w:vAlign w:val="center"/>
          </w:tcPr>
          <w:p>
            <w:pP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Merge w:val="restart"/>
            <w:noWrap w:val="0"/>
            <w:vAlign w:val="center"/>
          </w:tcPr>
          <w:p>
            <w:pPr>
              <w:jc w:val="center"/>
              <w:rPr>
                <w:rFonts w:ascii="仿宋_GB2312"/>
                <w:color w:val="000000"/>
                <w:spacing w:val="4"/>
                <w:highlight w:val="none"/>
              </w:rPr>
            </w:pPr>
            <w:r>
              <w:rPr>
                <w:rFonts w:hint="eastAsia" w:ascii="仿宋_GB2312"/>
                <w:color w:val="000000"/>
                <w:spacing w:val="4"/>
                <w:highlight w:val="none"/>
              </w:rPr>
              <w:t>现场监督管理（35分）</w:t>
            </w:r>
          </w:p>
        </w:tc>
        <w:tc>
          <w:tcPr>
            <w:tcW w:w="1722" w:type="dxa"/>
            <w:noWrap w:val="0"/>
            <w:vAlign w:val="center"/>
          </w:tcPr>
          <w:p>
            <w:pPr>
              <w:jc w:val="center"/>
              <w:rPr>
                <w:rFonts w:ascii="仿宋_GB2312"/>
                <w:color w:val="000000"/>
                <w:spacing w:val="4"/>
                <w:highlight w:val="none"/>
              </w:rPr>
            </w:pPr>
            <w:r>
              <w:rPr>
                <w:rFonts w:hint="eastAsia" w:ascii="仿宋_GB2312"/>
                <w:color w:val="000000"/>
                <w:spacing w:val="4"/>
                <w:highlight w:val="none"/>
              </w:rPr>
              <w:t>工程质量控制（8分）</w:t>
            </w:r>
          </w:p>
        </w:tc>
        <w:tc>
          <w:tcPr>
            <w:tcW w:w="3625" w:type="dxa"/>
            <w:gridSpan w:val="3"/>
            <w:noWrap w:val="0"/>
            <w:vAlign w:val="center"/>
          </w:tcPr>
          <w:p>
            <w:pPr>
              <w:rPr>
                <w:rFonts w:ascii="仿宋_GB2312"/>
                <w:color w:val="000000"/>
                <w:spacing w:val="4"/>
                <w:highlight w:val="none"/>
              </w:rPr>
            </w:pPr>
            <w:r>
              <w:rPr>
                <w:rFonts w:hint="eastAsia" w:ascii="仿宋_GB2312"/>
                <w:color w:val="000000"/>
                <w:spacing w:val="4"/>
                <w:highlight w:val="none"/>
              </w:rPr>
              <w:t>建立了工程质量控制的有效措施，做好了事前交底、事中检查、事后验收工作，主要分部质量评定达到优良等级，无质量事故发生。</w:t>
            </w: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995" w:type="dxa"/>
            <w:noWrap w:val="0"/>
            <w:vAlign w:val="center"/>
          </w:tcPr>
          <w:p>
            <w:pP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Merge w:val="continue"/>
            <w:noWrap w:val="0"/>
            <w:vAlign w:val="center"/>
          </w:tcPr>
          <w:p>
            <w:pPr>
              <w:jc w:val="center"/>
              <w:rPr>
                <w:rFonts w:ascii="仿宋_GB2312"/>
                <w:color w:val="000000"/>
                <w:spacing w:val="4"/>
                <w:highlight w:val="none"/>
              </w:rPr>
            </w:pPr>
          </w:p>
        </w:tc>
        <w:tc>
          <w:tcPr>
            <w:tcW w:w="1722" w:type="dxa"/>
            <w:noWrap w:val="0"/>
            <w:vAlign w:val="center"/>
          </w:tcPr>
          <w:p>
            <w:pPr>
              <w:jc w:val="center"/>
              <w:rPr>
                <w:rFonts w:ascii="仿宋_GB2312"/>
                <w:color w:val="000000"/>
                <w:spacing w:val="4"/>
                <w:highlight w:val="none"/>
              </w:rPr>
            </w:pPr>
            <w:r>
              <w:rPr>
                <w:rFonts w:hint="eastAsia" w:ascii="仿宋_GB2312"/>
                <w:color w:val="000000"/>
                <w:spacing w:val="4"/>
                <w:highlight w:val="none"/>
              </w:rPr>
              <w:t>工序检查（7分）</w:t>
            </w:r>
          </w:p>
        </w:tc>
        <w:tc>
          <w:tcPr>
            <w:tcW w:w="3625" w:type="dxa"/>
            <w:gridSpan w:val="3"/>
            <w:noWrap w:val="0"/>
            <w:vAlign w:val="center"/>
          </w:tcPr>
          <w:p>
            <w:pPr>
              <w:rPr>
                <w:rFonts w:ascii="仿宋_GB2312"/>
                <w:color w:val="000000"/>
                <w:spacing w:val="4"/>
                <w:highlight w:val="none"/>
              </w:rPr>
            </w:pPr>
            <w:r>
              <w:rPr>
                <w:rFonts w:hint="eastAsia" w:ascii="仿宋_GB2312"/>
                <w:color w:val="000000"/>
                <w:spacing w:val="4"/>
                <w:highlight w:val="none"/>
              </w:rPr>
              <w:t>加强了施工工序检查，坚持了上道工序不合格不准进入下道工序施工，检查人员、材料设备的合格情况，施工工艺是否符合规范要求。</w:t>
            </w: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995" w:type="dxa"/>
            <w:noWrap w:val="0"/>
            <w:vAlign w:val="center"/>
          </w:tcPr>
          <w:p>
            <w:pP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Merge w:val="continue"/>
            <w:noWrap w:val="0"/>
            <w:vAlign w:val="center"/>
          </w:tcPr>
          <w:p>
            <w:pPr>
              <w:jc w:val="center"/>
              <w:rPr>
                <w:rFonts w:ascii="仿宋_GB2312"/>
                <w:color w:val="000000"/>
                <w:spacing w:val="4"/>
                <w:highlight w:val="none"/>
              </w:rPr>
            </w:pPr>
          </w:p>
        </w:tc>
        <w:tc>
          <w:tcPr>
            <w:tcW w:w="1722" w:type="dxa"/>
            <w:noWrap w:val="0"/>
            <w:vAlign w:val="center"/>
          </w:tcPr>
          <w:p>
            <w:pPr>
              <w:jc w:val="center"/>
              <w:rPr>
                <w:rFonts w:ascii="仿宋_GB2312"/>
                <w:color w:val="000000"/>
                <w:spacing w:val="4"/>
                <w:highlight w:val="none"/>
              </w:rPr>
            </w:pPr>
            <w:r>
              <w:rPr>
                <w:rFonts w:hint="eastAsia" w:ascii="仿宋_GB2312"/>
                <w:color w:val="000000"/>
                <w:spacing w:val="4"/>
                <w:highlight w:val="none"/>
              </w:rPr>
              <w:t>旁站、巡视和定期检查（10分）</w:t>
            </w:r>
          </w:p>
        </w:tc>
        <w:tc>
          <w:tcPr>
            <w:tcW w:w="3625" w:type="dxa"/>
            <w:gridSpan w:val="3"/>
            <w:noWrap w:val="0"/>
            <w:vAlign w:val="center"/>
          </w:tcPr>
          <w:p>
            <w:pPr>
              <w:rPr>
                <w:rFonts w:ascii="仿宋_GB2312"/>
                <w:color w:val="000000"/>
                <w:spacing w:val="4"/>
                <w:highlight w:val="none"/>
              </w:rPr>
            </w:pPr>
            <w:r>
              <w:rPr>
                <w:rFonts w:hint="eastAsia" w:ascii="仿宋_GB2312"/>
                <w:color w:val="000000"/>
                <w:spacing w:val="4"/>
                <w:highlight w:val="none"/>
              </w:rPr>
              <w:t>及时做好隐蔽验收检查工作，对关键部位、重点工序实施旁站监理，监理工程师对现场情况熟悉，各分部、分项及时检查评定，对现场质量情况做到可控。</w:t>
            </w: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995" w:type="dxa"/>
            <w:noWrap w:val="0"/>
            <w:vAlign w:val="center"/>
          </w:tcPr>
          <w:p>
            <w:pP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Merge w:val="continue"/>
            <w:noWrap w:val="0"/>
            <w:vAlign w:val="center"/>
          </w:tcPr>
          <w:p>
            <w:pPr>
              <w:jc w:val="center"/>
              <w:rPr>
                <w:rFonts w:ascii="仿宋_GB2312"/>
                <w:color w:val="000000"/>
                <w:spacing w:val="4"/>
                <w:highlight w:val="none"/>
              </w:rPr>
            </w:pPr>
          </w:p>
        </w:tc>
        <w:tc>
          <w:tcPr>
            <w:tcW w:w="1722" w:type="dxa"/>
            <w:noWrap w:val="0"/>
            <w:vAlign w:val="center"/>
          </w:tcPr>
          <w:p>
            <w:pPr>
              <w:jc w:val="center"/>
              <w:rPr>
                <w:rFonts w:ascii="仿宋_GB2312"/>
                <w:color w:val="000000"/>
                <w:spacing w:val="4"/>
                <w:highlight w:val="none"/>
              </w:rPr>
            </w:pPr>
            <w:r>
              <w:rPr>
                <w:rFonts w:hint="eastAsia" w:ascii="仿宋_GB2312"/>
                <w:color w:val="000000"/>
                <w:spacing w:val="4"/>
                <w:highlight w:val="none"/>
              </w:rPr>
              <w:t>工程进度控制（5分）</w:t>
            </w:r>
          </w:p>
        </w:tc>
        <w:tc>
          <w:tcPr>
            <w:tcW w:w="3625" w:type="dxa"/>
            <w:gridSpan w:val="3"/>
            <w:noWrap w:val="0"/>
            <w:vAlign w:val="center"/>
          </w:tcPr>
          <w:p>
            <w:pPr>
              <w:rPr>
                <w:rFonts w:ascii="仿宋_GB2312"/>
                <w:color w:val="000000"/>
                <w:spacing w:val="4"/>
                <w:highlight w:val="none"/>
              </w:rPr>
            </w:pPr>
            <w:r>
              <w:rPr>
                <w:rFonts w:hint="eastAsia" w:ascii="仿宋_GB2312"/>
                <w:color w:val="000000"/>
                <w:spacing w:val="4"/>
                <w:highlight w:val="none"/>
              </w:rPr>
              <w:t>严格审核各阶段性施工进度计划，及时分析计划执行的偏差，提出整改措施并富有成效。</w:t>
            </w: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568" w:type="dxa"/>
            <w:noWrap w:val="0"/>
            <w:vAlign w:val="center"/>
          </w:tcPr>
          <w:p>
            <w:pPr>
              <w:rPr>
                <w:rFonts w:ascii="仿宋_GB2312"/>
                <w:color w:val="000000"/>
                <w:spacing w:val="4"/>
                <w:highlight w:val="none"/>
              </w:rPr>
            </w:pPr>
          </w:p>
        </w:tc>
        <w:tc>
          <w:tcPr>
            <w:tcW w:w="995" w:type="dxa"/>
            <w:noWrap w:val="0"/>
            <w:vAlign w:val="center"/>
          </w:tcPr>
          <w:p>
            <w:pP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Merge w:val="continue"/>
            <w:noWrap w:val="0"/>
            <w:vAlign w:val="center"/>
          </w:tcPr>
          <w:p>
            <w:pPr>
              <w:jc w:val="center"/>
              <w:rPr>
                <w:rFonts w:ascii="仿宋_GB2312"/>
                <w:color w:val="000000"/>
                <w:spacing w:val="4"/>
                <w:highlight w:val="none"/>
              </w:rPr>
            </w:pPr>
          </w:p>
        </w:tc>
        <w:tc>
          <w:tcPr>
            <w:tcW w:w="1722" w:type="dxa"/>
            <w:noWrap w:val="0"/>
            <w:vAlign w:val="center"/>
          </w:tcPr>
          <w:p>
            <w:pPr>
              <w:jc w:val="center"/>
              <w:rPr>
                <w:rFonts w:ascii="仿宋_GB2312"/>
                <w:color w:val="000000"/>
                <w:spacing w:val="4"/>
                <w:highlight w:val="none"/>
              </w:rPr>
            </w:pPr>
            <w:r>
              <w:rPr>
                <w:rFonts w:hint="eastAsia" w:ascii="仿宋_GB2312"/>
                <w:color w:val="000000"/>
                <w:spacing w:val="4"/>
                <w:highlight w:val="none"/>
              </w:rPr>
              <w:t>合同管理（5分）</w:t>
            </w:r>
          </w:p>
        </w:tc>
        <w:tc>
          <w:tcPr>
            <w:tcW w:w="3625" w:type="dxa"/>
            <w:gridSpan w:val="3"/>
            <w:tcBorders>
              <w:bottom w:val="single" w:color="auto" w:sz="4" w:space="0"/>
            </w:tcBorders>
            <w:noWrap w:val="0"/>
            <w:vAlign w:val="center"/>
          </w:tcPr>
          <w:p>
            <w:pPr>
              <w:rPr>
                <w:rFonts w:ascii="仿宋_GB2312"/>
                <w:color w:val="000000"/>
                <w:spacing w:val="4"/>
                <w:highlight w:val="none"/>
              </w:rPr>
            </w:pPr>
            <w:r>
              <w:rPr>
                <w:rFonts w:hint="eastAsia" w:ascii="仿宋_GB2312"/>
                <w:color w:val="000000"/>
                <w:spacing w:val="4"/>
                <w:highlight w:val="none"/>
              </w:rPr>
              <w:t>协助</w:t>
            </w:r>
            <w:r>
              <w:rPr>
                <w:rFonts w:hint="eastAsia" w:ascii="仿宋_GB2312"/>
                <w:color w:val="000000"/>
                <w:spacing w:val="4"/>
                <w:highlight w:val="none"/>
                <w:lang w:eastAsia="zh-CN"/>
              </w:rPr>
              <w:t>发包人</w:t>
            </w:r>
            <w:r>
              <w:rPr>
                <w:rFonts w:hint="eastAsia" w:ascii="仿宋_GB2312"/>
                <w:color w:val="000000"/>
                <w:spacing w:val="4"/>
                <w:highlight w:val="none"/>
              </w:rPr>
              <w:t>界定合同范围及工作内容，工期要求及其他 合同管理要求，消除产生索赔诱因，保证工程顺利进行。检查各承包商合同履约情况，配合</w:t>
            </w:r>
            <w:r>
              <w:rPr>
                <w:rFonts w:hint="eastAsia" w:ascii="仿宋_GB2312"/>
                <w:color w:val="000000"/>
                <w:spacing w:val="4"/>
                <w:highlight w:val="none"/>
                <w:lang w:eastAsia="zh-CN"/>
              </w:rPr>
              <w:t>发包人</w:t>
            </w:r>
            <w:r>
              <w:rPr>
                <w:rFonts w:hint="eastAsia" w:ascii="仿宋_GB2312"/>
                <w:color w:val="000000"/>
                <w:spacing w:val="4"/>
                <w:highlight w:val="none"/>
              </w:rPr>
              <w:t>做好对各承建商合同履约情况的后评估工作。</w:t>
            </w:r>
          </w:p>
        </w:tc>
        <w:tc>
          <w:tcPr>
            <w:tcW w:w="568" w:type="dxa"/>
            <w:tcBorders>
              <w:bottom w:val="single" w:color="auto" w:sz="4" w:space="0"/>
            </w:tcBorders>
            <w:noWrap w:val="0"/>
            <w:vAlign w:val="center"/>
          </w:tcPr>
          <w:p>
            <w:pPr>
              <w:rPr>
                <w:rFonts w:ascii="仿宋_GB2312"/>
                <w:color w:val="000000"/>
                <w:spacing w:val="4"/>
                <w:highlight w:val="none"/>
              </w:rPr>
            </w:pPr>
          </w:p>
        </w:tc>
        <w:tc>
          <w:tcPr>
            <w:tcW w:w="568" w:type="dxa"/>
            <w:tcBorders>
              <w:bottom w:val="single" w:color="auto" w:sz="4" w:space="0"/>
            </w:tcBorders>
            <w:noWrap w:val="0"/>
            <w:vAlign w:val="center"/>
          </w:tcPr>
          <w:p>
            <w:pPr>
              <w:rPr>
                <w:rFonts w:ascii="仿宋_GB2312"/>
                <w:color w:val="000000"/>
                <w:spacing w:val="4"/>
                <w:highlight w:val="none"/>
              </w:rPr>
            </w:pPr>
          </w:p>
        </w:tc>
        <w:tc>
          <w:tcPr>
            <w:tcW w:w="568" w:type="dxa"/>
            <w:tcBorders>
              <w:bottom w:val="single" w:color="auto" w:sz="4" w:space="0"/>
            </w:tcBorders>
            <w:noWrap w:val="0"/>
            <w:vAlign w:val="center"/>
          </w:tcPr>
          <w:p>
            <w:pPr>
              <w:rPr>
                <w:rFonts w:ascii="仿宋_GB2312"/>
                <w:color w:val="000000"/>
                <w:spacing w:val="4"/>
                <w:highlight w:val="none"/>
              </w:rPr>
            </w:pPr>
          </w:p>
        </w:tc>
        <w:tc>
          <w:tcPr>
            <w:tcW w:w="995" w:type="dxa"/>
            <w:tcBorders>
              <w:bottom w:val="single" w:color="auto" w:sz="4" w:space="0"/>
            </w:tcBorders>
            <w:noWrap w:val="0"/>
            <w:vAlign w:val="center"/>
          </w:tcPr>
          <w:p>
            <w:pP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712" w:type="dxa"/>
            <w:vMerge w:val="restart"/>
            <w:noWrap w:val="0"/>
            <w:vAlign w:val="center"/>
          </w:tcPr>
          <w:p>
            <w:pPr>
              <w:jc w:val="center"/>
              <w:rPr>
                <w:rFonts w:ascii="仿宋_GB2312"/>
                <w:color w:val="000000"/>
                <w:spacing w:val="4"/>
                <w:highlight w:val="none"/>
              </w:rPr>
            </w:pPr>
            <w:r>
              <w:rPr>
                <w:rFonts w:hint="eastAsia" w:ascii="仿宋_GB2312"/>
                <w:color w:val="000000"/>
                <w:spacing w:val="4"/>
                <w:highlight w:val="none"/>
              </w:rPr>
              <w:t>安全生产监理（15分）</w:t>
            </w:r>
          </w:p>
        </w:tc>
        <w:tc>
          <w:tcPr>
            <w:tcW w:w="1722" w:type="dxa"/>
            <w:noWrap w:val="0"/>
            <w:vAlign w:val="center"/>
          </w:tcPr>
          <w:p>
            <w:pPr>
              <w:jc w:val="center"/>
              <w:rPr>
                <w:rFonts w:ascii="仿宋_GB2312"/>
                <w:color w:val="000000"/>
                <w:spacing w:val="4"/>
                <w:highlight w:val="none"/>
              </w:rPr>
            </w:pPr>
            <w:r>
              <w:rPr>
                <w:rFonts w:hint="eastAsia" w:ascii="仿宋_GB2312"/>
                <w:color w:val="000000"/>
                <w:spacing w:val="4"/>
                <w:highlight w:val="none"/>
              </w:rPr>
              <w:t>安全监理组织机构（5分）</w:t>
            </w:r>
          </w:p>
        </w:tc>
        <w:tc>
          <w:tcPr>
            <w:tcW w:w="3625" w:type="dxa"/>
            <w:gridSpan w:val="3"/>
            <w:tcBorders>
              <w:bottom w:val="single" w:color="auto" w:sz="4" w:space="0"/>
            </w:tcBorders>
            <w:noWrap w:val="0"/>
            <w:vAlign w:val="center"/>
          </w:tcPr>
          <w:p>
            <w:pPr>
              <w:rPr>
                <w:rFonts w:ascii="仿宋_GB2312"/>
                <w:color w:val="000000"/>
                <w:spacing w:val="4"/>
                <w:highlight w:val="none"/>
              </w:rPr>
            </w:pPr>
            <w:r>
              <w:rPr>
                <w:rFonts w:hint="eastAsia" w:ascii="仿宋_GB2312"/>
                <w:color w:val="000000"/>
                <w:spacing w:val="4"/>
                <w:highlight w:val="none"/>
              </w:rPr>
              <w:t>建立了安全监理组织架构，制定了安全生产管理制度，确定工作重点，明确内部分工。对</w:t>
            </w:r>
            <w:r>
              <w:rPr>
                <w:rFonts w:hint="eastAsia" w:ascii="仿宋_GB2312"/>
                <w:color w:val="000000"/>
                <w:spacing w:val="4"/>
                <w:highlight w:val="none"/>
                <w:lang w:eastAsia="zh-CN"/>
              </w:rPr>
              <w:t>发包人</w:t>
            </w:r>
            <w:r>
              <w:rPr>
                <w:rFonts w:hint="eastAsia" w:ascii="仿宋_GB2312"/>
                <w:color w:val="000000"/>
                <w:spacing w:val="4"/>
                <w:highlight w:val="none"/>
              </w:rPr>
              <w:t>安全生产管理制度进行了认真贯彻执行。</w:t>
            </w:r>
          </w:p>
        </w:tc>
        <w:tc>
          <w:tcPr>
            <w:tcW w:w="568" w:type="dxa"/>
            <w:tcBorders>
              <w:bottom w:val="single" w:color="auto" w:sz="4" w:space="0"/>
            </w:tcBorders>
            <w:noWrap w:val="0"/>
            <w:vAlign w:val="center"/>
          </w:tcPr>
          <w:p>
            <w:pPr>
              <w:rPr>
                <w:rFonts w:ascii="仿宋_GB2312"/>
                <w:color w:val="000000"/>
                <w:spacing w:val="4"/>
                <w:highlight w:val="none"/>
              </w:rPr>
            </w:pPr>
          </w:p>
        </w:tc>
        <w:tc>
          <w:tcPr>
            <w:tcW w:w="568" w:type="dxa"/>
            <w:tcBorders>
              <w:bottom w:val="single" w:color="auto" w:sz="4" w:space="0"/>
            </w:tcBorders>
            <w:noWrap w:val="0"/>
            <w:vAlign w:val="center"/>
          </w:tcPr>
          <w:p>
            <w:pPr>
              <w:rPr>
                <w:rFonts w:ascii="仿宋_GB2312"/>
                <w:color w:val="000000"/>
                <w:spacing w:val="4"/>
                <w:highlight w:val="none"/>
              </w:rPr>
            </w:pPr>
          </w:p>
        </w:tc>
        <w:tc>
          <w:tcPr>
            <w:tcW w:w="568" w:type="dxa"/>
            <w:tcBorders>
              <w:bottom w:val="single" w:color="auto" w:sz="4" w:space="0"/>
            </w:tcBorders>
            <w:noWrap w:val="0"/>
            <w:vAlign w:val="center"/>
          </w:tcPr>
          <w:p>
            <w:pPr>
              <w:rPr>
                <w:rFonts w:ascii="仿宋_GB2312"/>
                <w:color w:val="000000"/>
                <w:spacing w:val="4"/>
                <w:highlight w:val="none"/>
              </w:rPr>
            </w:pPr>
          </w:p>
        </w:tc>
        <w:tc>
          <w:tcPr>
            <w:tcW w:w="995" w:type="dxa"/>
            <w:tcBorders>
              <w:bottom w:val="single" w:color="auto" w:sz="4" w:space="0"/>
            </w:tcBorders>
            <w:noWrap w:val="0"/>
            <w:vAlign w:val="center"/>
          </w:tcPr>
          <w:p>
            <w:pP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712" w:type="dxa"/>
            <w:vMerge w:val="continue"/>
            <w:noWrap w:val="0"/>
            <w:vAlign w:val="center"/>
          </w:tcPr>
          <w:p>
            <w:pPr>
              <w:jc w:val="center"/>
              <w:rPr>
                <w:rFonts w:ascii="仿宋_GB2312"/>
                <w:color w:val="000000"/>
                <w:spacing w:val="4"/>
                <w:highlight w:val="none"/>
              </w:rPr>
            </w:pPr>
          </w:p>
        </w:tc>
        <w:tc>
          <w:tcPr>
            <w:tcW w:w="1722" w:type="dxa"/>
            <w:noWrap w:val="0"/>
            <w:vAlign w:val="center"/>
          </w:tcPr>
          <w:p>
            <w:pPr>
              <w:jc w:val="center"/>
              <w:rPr>
                <w:rFonts w:ascii="仿宋_GB2312"/>
                <w:color w:val="000000"/>
                <w:spacing w:val="4"/>
                <w:highlight w:val="none"/>
              </w:rPr>
            </w:pPr>
            <w:r>
              <w:rPr>
                <w:rFonts w:hint="eastAsia" w:ascii="仿宋_GB2312"/>
                <w:color w:val="000000"/>
                <w:spacing w:val="4"/>
                <w:highlight w:val="none"/>
              </w:rPr>
              <w:t>现场安全文明监督管理（10分）</w:t>
            </w:r>
          </w:p>
        </w:tc>
        <w:tc>
          <w:tcPr>
            <w:tcW w:w="3625" w:type="dxa"/>
            <w:gridSpan w:val="3"/>
            <w:noWrap w:val="0"/>
            <w:vAlign w:val="center"/>
          </w:tcPr>
          <w:p>
            <w:pPr>
              <w:rPr>
                <w:rFonts w:ascii="仿宋_GB2312"/>
                <w:color w:val="000000"/>
                <w:spacing w:val="4"/>
                <w:highlight w:val="none"/>
              </w:rPr>
            </w:pPr>
            <w:r>
              <w:rPr>
                <w:rFonts w:hint="eastAsia" w:ascii="仿宋_GB2312"/>
                <w:color w:val="000000"/>
                <w:spacing w:val="4"/>
                <w:highlight w:val="none"/>
              </w:rPr>
              <w:t>按管理制度要求加强了现场安全文明施工监督检查，安全隐患及时发现并整改，现场无事故发生，工程未发生政府职能部门及</w:t>
            </w:r>
            <w:r>
              <w:rPr>
                <w:rFonts w:hint="eastAsia" w:ascii="仿宋_GB2312"/>
                <w:color w:val="000000"/>
                <w:spacing w:val="4"/>
                <w:highlight w:val="none"/>
                <w:lang w:eastAsia="zh-CN"/>
              </w:rPr>
              <w:t>发包人</w:t>
            </w:r>
            <w:r>
              <w:rPr>
                <w:rFonts w:hint="eastAsia" w:ascii="仿宋_GB2312"/>
                <w:color w:val="000000"/>
                <w:spacing w:val="4"/>
                <w:highlight w:val="none"/>
              </w:rPr>
              <w:t>管理公司的通报批评。</w:t>
            </w:r>
          </w:p>
        </w:tc>
        <w:tc>
          <w:tcPr>
            <w:tcW w:w="568" w:type="dxa"/>
            <w:tcBorders>
              <w:top w:val="single" w:color="auto" w:sz="4" w:space="0"/>
              <w:bottom w:val="single" w:color="auto" w:sz="4" w:space="0"/>
            </w:tcBorders>
            <w:noWrap w:val="0"/>
            <w:vAlign w:val="center"/>
          </w:tcPr>
          <w:p>
            <w:pPr>
              <w:rPr>
                <w:rFonts w:ascii="仿宋_GB2312"/>
                <w:color w:val="000000"/>
                <w:spacing w:val="4"/>
                <w:highlight w:val="none"/>
              </w:rPr>
            </w:pPr>
          </w:p>
        </w:tc>
        <w:tc>
          <w:tcPr>
            <w:tcW w:w="568" w:type="dxa"/>
            <w:tcBorders>
              <w:top w:val="single" w:color="auto" w:sz="4" w:space="0"/>
              <w:bottom w:val="single" w:color="auto" w:sz="4" w:space="0"/>
            </w:tcBorders>
            <w:noWrap w:val="0"/>
            <w:vAlign w:val="center"/>
          </w:tcPr>
          <w:p>
            <w:pPr>
              <w:rPr>
                <w:rFonts w:ascii="仿宋_GB2312"/>
                <w:color w:val="000000"/>
                <w:spacing w:val="4"/>
                <w:highlight w:val="none"/>
              </w:rPr>
            </w:pPr>
          </w:p>
        </w:tc>
        <w:tc>
          <w:tcPr>
            <w:tcW w:w="568" w:type="dxa"/>
            <w:tcBorders>
              <w:top w:val="single" w:color="auto" w:sz="4" w:space="0"/>
              <w:bottom w:val="single" w:color="auto" w:sz="4" w:space="0"/>
            </w:tcBorders>
            <w:noWrap w:val="0"/>
            <w:vAlign w:val="center"/>
          </w:tcPr>
          <w:p>
            <w:pPr>
              <w:rPr>
                <w:rFonts w:ascii="仿宋_GB2312"/>
                <w:color w:val="000000"/>
                <w:spacing w:val="4"/>
                <w:highlight w:val="none"/>
              </w:rPr>
            </w:pPr>
          </w:p>
        </w:tc>
        <w:tc>
          <w:tcPr>
            <w:tcW w:w="995" w:type="dxa"/>
            <w:tcBorders>
              <w:top w:val="single" w:color="auto" w:sz="4" w:space="0"/>
              <w:bottom w:val="single" w:color="auto" w:sz="4" w:space="0"/>
            </w:tcBorders>
            <w:noWrap w:val="0"/>
            <w:vAlign w:val="center"/>
          </w:tcPr>
          <w:p>
            <w:pP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712" w:type="dxa"/>
            <w:noWrap w:val="0"/>
            <w:vAlign w:val="center"/>
          </w:tcPr>
          <w:p>
            <w:pPr>
              <w:jc w:val="center"/>
              <w:rPr>
                <w:rFonts w:ascii="仿宋_GB2312"/>
                <w:color w:val="000000"/>
                <w:spacing w:val="4"/>
                <w:highlight w:val="none"/>
              </w:rPr>
            </w:pPr>
            <w:r>
              <w:rPr>
                <w:rFonts w:hint="eastAsia" w:ascii="仿宋_GB2312"/>
                <w:color w:val="000000"/>
                <w:spacing w:val="4"/>
                <w:highlight w:val="none"/>
              </w:rPr>
              <w:t>总分</w:t>
            </w:r>
          </w:p>
        </w:tc>
        <w:tc>
          <w:tcPr>
            <w:tcW w:w="8046" w:type="dxa"/>
            <w:gridSpan w:val="8"/>
            <w:noWrap w:val="0"/>
            <w:vAlign w:val="center"/>
          </w:tcPr>
          <w:p>
            <w:pPr>
              <w:jc w:val="center"/>
              <w:rPr>
                <w:rFonts w:ascii="仿宋_GB2312"/>
                <w:color w:val="000000"/>
                <w:spacing w:val="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2434" w:type="dxa"/>
            <w:gridSpan w:val="2"/>
            <w:noWrap w:val="0"/>
            <w:vAlign w:val="center"/>
          </w:tcPr>
          <w:p>
            <w:pPr>
              <w:jc w:val="center"/>
              <w:rPr>
                <w:rFonts w:ascii="仿宋_GB2312"/>
                <w:color w:val="000000"/>
                <w:spacing w:val="4"/>
                <w:highlight w:val="none"/>
              </w:rPr>
            </w:pPr>
            <w:r>
              <w:rPr>
                <w:rFonts w:hint="eastAsia" w:ascii="仿宋_GB2312"/>
                <w:color w:val="000000"/>
                <w:spacing w:val="4"/>
                <w:highlight w:val="none"/>
              </w:rPr>
              <w:t>项目部检查人员</w:t>
            </w:r>
          </w:p>
        </w:tc>
        <w:tc>
          <w:tcPr>
            <w:tcW w:w="3625" w:type="dxa"/>
            <w:gridSpan w:val="3"/>
            <w:noWrap w:val="0"/>
            <w:vAlign w:val="center"/>
          </w:tcPr>
          <w:p>
            <w:pPr>
              <w:jc w:val="center"/>
              <w:rPr>
                <w:rFonts w:ascii="仿宋_GB2312"/>
                <w:color w:val="000000"/>
                <w:spacing w:val="4"/>
                <w:highlight w:val="none"/>
              </w:rPr>
            </w:pPr>
          </w:p>
        </w:tc>
        <w:tc>
          <w:tcPr>
            <w:tcW w:w="1136" w:type="dxa"/>
            <w:gridSpan w:val="2"/>
            <w:noWrap w:val="0"/>
            <w:vAlign w:val="center"/>
          </w:tcPr>
          <w:p>
            <w:pPr>
              <w:jc w:val="center"/>
              <w:rPr>
                <w:rFonts w:ascii="仿宋_GB2312"/>
                <w:color w:val="000000"/>
                <w:spacing w:val="4"/>
                <w:highlight w:val="none"/>
              </w:rPr>
            </w:pPr>
            <w:r>
              <w:rPr>
                <w:rFonts w:hint="eastAsia" w:ascii="仿宋_GB2312"/>
                <w:color w:val="000000"/>
                <w:spacing w:val="4"/>
                <w:highlight w:val="none"/>
              </w:rPr>
              <w:t>检查</w:t>
            </w:r>
          </w:p>
          <w:p>
            <w:pPr>
              <w:jc w:val="center"/>
              <w:rPr>
                <w:rFonts w:ascii="仿宋_GB2312"/>
                <w:color w:val="000000"/>
                <w:spacing w:val="4"/>
                <w:highlight w:val="none"/>
              </w:rPr>
            </w:pPr>
            <w:r>
              <w:rPr>
                <w:rFonts w:hint="eastAsia" w:ascii="仿宋_GB2312"/>
                <w:color w:val="000000"/>
                <w:spacing w:val="4"/>
                <w:highlight w:val="none"/>
              </w:rPr>
              <w:t>日期</w:t>
            </w:r>
          </w:p>
        </w:tc>
        <w:tc>
          <w:tcPr>
            <w:tcW w:w="1563" w:type="dxa"/>
            <w:gridSpan w:val="2"/>
            <w:noWrap w:val="0"/>
            <w:vAlign w:val="center"/>
          </w:tcPr>
          <w:p>
            <w:pPr>
              <w:rPr>
                <w:rFonts w:ascii="仿宋_GB2312"/>
                <w:color w:val="000000"/>
                <w:spacing w:val="4"/>
                <w:highlight w:val="none"/>
              </w:rPr>
            </w:pPr>
          </w:p>
        </w:tc>
      </w:tr>
    </w:tbl>
    <w:p>
      <w:pPr>
        <w:rPr>
          <w:rFonts w:ascii="仿宋_GB2312"/>
          <w:color w:val="000000"/>
          <w:spacing w:val="4"/>
          <w:highlight w:val="none"/>
        </w:rPr>
      </w:pPr>
      <w:r>
        <w:rPr>
          <w:rFonts w:hint="eastAsia" w:ascii="仿宋_GB2312"/>
          <w:color w:val="000000"/>
          <w:spacing w:val="4"/>
          <w:highlight w:val="none"/>
        </w:rPr>
        <w:t>注：检查表中检查情况按优、良、差等级作概括性描述，检查各项具体存在问题项目部另附表。</w:t>
      </w:r>
    </w:p>
    <w:p>
      <w:pPr>
        <w:rPr>
          <w:rFonts w:ascii="仿宋_GB2312"/>
          <w:color w:val="000000"/>
          <w:spacing w:val="4"/>
          <w:highlight w:val="none"/>
        </w:rPr>
      </w:pPr>
    </w:p>
    <w:p>
      <w:pPr>
        <w:jc w:val="center"/>
        <w:rPr>
          <w:rFonts w:ascii="仿宋_GB2312"/>
          <w:color w:val="000000"/>
          <w:spacing w:val="4"/>
          <w:highlight w:val="none"/>
        </w:rPr>
      </w:pPr>
    </w:p>
    <w:p>
      <w:pPr>
        <w:jc w:val="center"/>
        <w:rPr>
          <w:rFonts w:ascii="仿宋_GB2312"/>
          <w:color w:val="000000"/>
          <w:spacing w:val="4"/>
          <w:highlight w:val="none"/>
        </w:rPr>
      </w:pPr>
    </w:p>
    <w:p>
      <w:pPr>
        <w:jc w:val="center"/>
        <w:rPr>
          <w:rFonts w:ascii="仿宋_GB2312"/>
          <w:color w:val="000000"/>
          <w:spacing w:val="4"/>
          <w:highlight w:val="none"/>
        </w:rPr>
      </w:pPr>
    </w:p>
    <w:p>
      <w:pPr>
        <w:jc w:val="center"/>
        <w:rPr>
          <w:rFonts w:ascii="仿宋_GB2312"/>
          <w:color w:val="000000"/>
          <w:spacing w:val="4"/>
          <w:highlight w:val="none"/>
        </w:rPr>
      </w:pPr>
    </w:p>
    <w:p>
      <w:pPr>
        <w:jc w:val="center"/>
        <w:rPr>
          <w:rFonts w:ascii="仿宋_GB2312"/>
          <w:color w:val="000000"/>
          <w:spacing w:val="4"/>
          <w:highlight w:val="none"/>
        </w:rPr>
      </w:pPr>
    </w:p>
    <w:p>
      <w:pPr>
        <w:jc w:val="center"/>
        <w:rPr>
          <w:rFonts w:ascii="仿宋_GB2312"/>
          <w:color w:val="000000"/>
          <w:spacing w:val="4"/>
          <w:highlight w:val="none"/>
        </w:rPr>
      </w:pPr>
    </w:p>
    <w:p>
      <w:pPr>
        <w:jc w:val="center"/>
        <w:rPr>
          <w:rFonts w:ascii="仿宋_GB2312"/>
          <w:color w:val="000000"/>
          <w:spacing w:val="4"/>
          <w:highlight w:val="none"/>
        </w:rPr>
      </w:pPr>
    </w:p>
    <w:p>
      <w:pPr>
        <w:jc w:val="center"/>
        <w:rPr>
          <w:rFonts w:ascii="仿宋_GB2312"/>
          <w:color w:val="000000"/>
          <w:spacing w:val="4"/>
          <w:highlight w:val="none"/>
        </w:rPr>
      </w:pPr>
    </w:p>
    <w:p>
      <w:pPr>
        <w:jc w:val="center"/>
        <w:rPr>
          <w:rFonts w:ascii="仿宋_GB2312"/>
          <w:color w:val="000000"/>
          <w:spacing w:val="4"/>
          <w:highlight w:val="none"/>
        </w:rPr>
      </w:pPr>
    </w:p>
    <w:p>
      <w:pPr>
        <w:jc w:val="center"/>
        <w:rPr>
          <w:rFonts w:ascii="仿宋_GB2312"/>
          <w:color w:val="000000"/>
          <w:spacing w:val="4"/>
          <w:highlight w:val="none"/>
        </w:rPr>
      </w:pPr>
    </w:p>
    <w:bookmarkEnd w:id="19"/>
    <w:bookmarkEnd w:id="20"/>
    <w:bookmarkEnd w:id="21"/>
    <w:bookmarkEnd w:id="22"/>
    <w:p>
      <w:pPr>
        <w:jc w:val="center"/>
        <w:rPr>
          <w:rFonts w:hint="eastAsia" w:ascii="仿宋_GB2312"/>
          <w:b/>
          <w:bCs/>
          <w:color w:val="000000"/>
          <w:sz w:val="28"/>
          <w:szCs w:val="28"/>
          <w:highlight w:val="none"/>
        </w:rPr>
      </w:pPr>
    </w:p>
    <w:p>
      <w:pPr>
        <w:jc w:val="center"/>
        <w:rPr>
          <w:rFonts w:hint="eastAsia" w:ascii="仿宋_GB2312"/>
          <w:b/>
          <w:bCs/>
          <w:color w:val="000000"/>
          <w:sz w:val="28"/>
          <w:szCs w:val="28"/>
          <w:highlight w:val="none"/>
        </w:rPr>
      </w:pPr>
    </w:p>
    <w:p>
      <w:pPr>
        <w:jc w:val="center"/>
        <w:rPr>
          <w:rFonts w:hint="eastAsia" w:ascii="仿宋_GB2312"/>
          <w:b/>
          <w:bCs/>
          <w:color w:val="000000"/>
          <w:sz w:val="28"/>
          <w:szCs w:val="28"/>
          <w:highlight w:val="none"/>
        </w:rPr>
      </w:pPr>
    </w:p>
    <w:p>
      <w:pPr>
        <w:jc w:val="center"/>
        <w:rPr>
          <w:rFonts w:hint="eastAsia" w:ascii="仿宋_GB2312"/>
          <w:b/>
          <w:bCs/>
          <w:color w:val="000000"/>
          <w:sz w:val="28"/>
          <w:szCs w:val="28"/>
          <w:highlight w:val="none"/>
        </w:rPr>
      </w:pPr>
    </w:p>
    <w:p>
      <w:pPr>
        <w:jc w:val="center"/>
        <w:rPr>
          <w:rFonts w:hint="eastAsia" w:ascii="仿宋_GB2312"/>
          <w:b/>
          <w:bCs/>
          <w:color w:val="000000"/>
          <w:sz w:val="28"/>
          <w:szCs w:val="28"/>
          <w:highlight w:val="none"/>
        </w:rPr>
      </w:pPr>
    </w:p>
    <w:p>
      <w:pPr>
        <w:jc w:val="center"/>
        <w:rPr>
          <w:rFonts w:hint="eastAsia" w:ascii="仿宋_GB2312"/>
          <w:b/>
          <w:bCs/>
          <w:color w:val="000000"/>
          <w:sz w:val="28"/>
          <w:szCs w:val="28"/>
          <w:highlight w:val="none"/>
        </w:rPr>
      </w:pPr>
    </w:p>
    <w:p>
      <w:pPr>
        <w:jc w:val="center"/>
        <w:rPr>
          <w:rFonts w:hint="eastAsia" w:ascii="仿宋_GB2312"/>
          <w:b/>
          <w:bCs/>
          <w:color w:val="000000"/>
          <w:sz w:val="28"/>
          <w:szCs w:val="28"/>
          <w:highlight w:val="none"/>
        </w:rPr>
      </w:pPr>
    </w:p>
    <w:p>
      <w:pPr>
        <w:jc w:val="center"/>
        <w:rPr>
          <w:rFonts w:ascii="宋体" w:hAnsi="宋体" w:cs="宋体"/>
          <w:b/>
          <w:bCs/>
          <w:color w:val="000000"/>
          <w:spacing w:val="4"/>
          <w:sz w:val="28"/>
          <w:szCs w:val="28"/>
          <w:highlight w:val="none"/>
        </w:rPr>
      </w:pPr>
      <w:r>
        <w:rPr>
          <w:rFonts w:hint="eastAsia" w:ascii="仿宋_GB2312"/>
          <w:b/>
          <w:bCs/>
          <w:color w:val="000000"/>
          <w:sz w:val="28"/>
          <w:szCs w:val="28"/>
          <w:highlight w:val="none"/>
        </w:rPr>
        <w:t xml:space="preserve">附件2 </w:t>
      </w:r>
      <w:r>
        <w:rPr>
          <w:rFonts w:hint="eastAsia" w:ascii="宋体" w:hAnsi="宋体" w:cs="宋体"/>
          <w:b/>
          <w:bCs/>
          <w:color w:val="000000"/>
          <w:sz w:val="28"/>
          <w:szCs w:val="28"/>
          <w:highlight w:val="none"/>
        </w:rPr>
        <w:t>监理工作人员登记表</w:t>
      </w:r>
    </w:p>
    <w:p>
      <w:pPr>
        <w:ind w:right="480"/>
        <w:jc w:val="center"/>
        <w:rPr>
          <w:rFonts w:ascii="仿宋_GB2312"/>
          <w:color w:val="000000"/>
          <w:sz w:val="18"/>
          <w:szCs w:val="18"/>
          <w:highlight w:val="none"/>
        </w:rPr>
      </w:pPr>
      <w:r>
        <w:rPr>
          <w:rFonts w:hint="eastAsia" w:ascii="仿宋_GB2312"/>
          <w:color w:val="000000"/>
          <w:sz w:val="18"/>
          <w:szCs w:val="18"/>
          <w:highlight w:val="none"/>
        </w:rPr>
        <w:t xml:space="preserve">                                              编号：</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
        <w:gridCol w:w="1028"/>
        <w:gridCol w:w="1827"/>
        <w:gridCol w:w="1412"/>
        <w:gridCol w:w="30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9"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工程名称</w:t>
            </w:r>
          </w:p>
        </w:tc>
        <w:tc>
          <w:tcPr>
            <w:tcW w:w="7330" w:type="dxa"/>
            <w:gridSpan w:val="5"/>
            <w:noWrap w:val="0"/>
            <w:vAlign w:val="center"/>
          </w:tcPr>
          <w:p>
            <w:pPr>
              <w:jc w:val="left"/>
              <w:rPr>
                <w:rFonts w:ascii="宋体" w:hAnsi="宋体" w:cs="宋体"/>
                <w:color w:val="000000"/>
                <w:szCs w:val="21"/>
                <w:highlight w:val="none"/>
              </w:rPr>
            </w:pPr>
            <w:r>
              <w:rPr>
                <w:rFonts w:hint="eastAsia" w:ascii="宋体" w:hAnsi="宋体" w:cs="宋体"/>
                <w:color w:val="000000"/>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gridSpan w:val="2"/>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姓  名</w:t>
            </w:r>
          </w:p>
        </w:tc>
        <w:tc>
          <w:tcPr>
            <w:tcW w:w="1028" w:type="dxa"/>
            <w:noWrap w:val="0"/>
            <w:vAlign w:val="center"/>
          </w:tcPr>
          <w:p>
            <w:pPr>
              <w:ind w:firstLine="105" w:firstLineChars="50"/>
              <w:rPr>
                <w:rFonts w:ascii="宋体" w:hAnsi="宋体" w:cs="宋体"/>
                <w:color w:val="000000"/>
                <w:szCs w:val="21"/>
                <w:highlight w:val="none"/>
              </w:rPr>
            </w:pPr>
            <w:r>
              <w:rPr>
                <w:rFonts w:hint="eastAsia" w:ascii="宋体" w:hAnsi="宋体" w:cs="宋体"/>
                <w:color w:val="000000"/>
                <w:szCs w:val="21"/>
                <w:highlight w:val="none"/>
              </w:rPr>
              <w:t>性 别</w:t>
            </w:r>
          </w:p>
        </w:tc>
        <w:tc>
          <w:tcPr>
            <w:tcW w:w="1827" w:type="dxa"/>
            <w:noWrap w:val="0"/>
            <w:vAlign w:val="center"/>
          </w:tcPr>
          <w:p>
            <w:pPr>
              <w:ind w:firstLine="210" w:firstLineChars="100"/>
              <w:rPr>
                <w:rFonts w:ascii="宋体" w:hAnsi="宋体" w:cs="宋体"/>
                <w:color w:val="000000"/>
                <w:szCs w:val="21"/>
                <w:highlight w:val="none"/>
              </w:rPr>
            </w:pPr>
            <w:r>
              <w:rPr>
                <w:rFonts w:hint="eastAsia" w:ascii="宋体" w:hAnsi="宋体" w:cs="宋体"/>
                <w:color w:val="000000"/>
                <w:szCs w:val="21"/>
                <w:highlight w:val="none"/>
              </w:rPr>
              <w:t>专业分工</w:t>
            </w:r>
          </w:p>
        </w:tc>
        <w:tc>
          <w:tcPr>
            <w:tcW w:w="1412"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技术职称</w:t>
            </w:r>
          </w:p>
        </w:tc>
        <w:tc>
          <w:tcPr>
            <w:tcW w:w="3055"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执业/岗位证书号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467" w:type="dxa"/>
            <w:gridSpan w:val="2"/>
            <w:noWrap w:val="0"/>
            <w:vAlign w:val="center"/>
          </w:tcPr>
          <w:p>
            <w:pPr>
              <w:jc w:val="center"/>
              <w:rPr>
                <w:rFonts w:hint="eastAsia" w:ascii="宋体" w:hAnsi="宋体" w:cs="宋体"/>
                <w:color w:val="000000"/>
                <w:szCs w:val="21"/>
                <w:highlight w:val="none"/>
              </w:rPr>
            </w:pPr>
          </w:p>
        </w:tc>
        <w:tc>
          <w:tcPr>
            <w:tcW w:w="1028" w:type="dxa"/>
            <w:noWrap w:val="0"/>
            <w:vAlign w:val="center"/>
          </w:tcPr>
          <w:p>
            <w:pPr>
              <w:snapToGrid w:val="0"/>
              <w:jc w:val="center"/>
              <w:rPr>
                <w:rFonts w:hint="eastAsia" w:ascii="宋体" w:hAnsi="宋体" w:eastAsia="宋体"/>
                <w:color w:val="000000"/>
                <w:szCs w:val="21"/>
                <w:highlight w:val="none"/>
                <w:lang w:eastAsia="zh-CN"/>
              </w:rPr>
            </w:pPr>
          </w:p>
        </w:tc>
        <w:tc>
          <w:tcPr>
            <w:tcW w:w="1827" w:type="dxa"/>
            <w:noWrap w:val="0"/>
            <w:vAlign w:val="center"/>
          </w:tcPr>
          <w:p>
            <w:pPr>
              <w:spacing w:line="360" w:lineRule="auto"/>
              <w:jc w:val="both"/>
              <w:rPr>
                <w:rFonts w:ascii="宋体" w:hAnsi="宋体"/>
                <w:color w:val="000000"/>
                <w:szCs w:val="21"/>
                <w:highlight w:val="none"/>
              </w:rPr>
            </w:pPr>
            <w:r>
              <w:rPr>
                <w:rFonts w:hint="eastAsia" w:ascii="宋体" w:hAnsi="宋体"/>
                <w:color w:val="000000"/>
                <w:spacing w:val="18"/>
                <w:highlight w:val="none"/>
                <w:lang w:val="en-US" w:eastAsia="zh-CN"/>
              </w:rPr>
              <w:t>总监理工程师</w:t>
            </w:r>
          </w:p>
        </w:tc>
        <w:tc>
          <w:tcPr>
            <w:tcW w:w="1412" w:type="dxa"/>
            <w:noWrap w:val="0"/>
            <w:vAlign w:val="top"/>
          </w:tcPr>
          <w:p>
            <w:pPr>
              <w:spacing w:line="360" w:lineRule="auto"/>
              <w:jc w:val="center"/>
              <w:rPr>
                <w:rFonts w:ascii="宋体" w:hAnsi="宋体"/>
                <w:color w:val="000000"/>
                <w:szCs w:val="21"/>
                <w:highlight w:val="none"/>
              </w:rPr>
            </w:pPr>
          </w:p>
        </w:tc>
        <w:tc>
          <w:tcPr>
            <w:tcW w:w="3055" w:type="dxa"/>
            <w:noWrap w:val="0"/>
            <w:vAlign w:val="center"/>
          </w:tcPr>
          <w:p>
            <w:pPr>
              <w:snapToGrid w:val="0"/>
              <w:jc w:val="center"/>
              <w:rPr>
                <w:rFonts w:hint="default" w:ascii="宋体" w:hAnsi="宋体" w:eastAsia="宋体"/>
                <w:color w:val="000000"/>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67" w:type="dxa"/>
            <w:gridSpan w:val="2"/>
            <w:noWrap w:val="0"/>
            <w:vAlign w:val="center"/>
          </w:tcPr>
          <w:p>
            <w:pPr>
              <w:jc w:val="center"/>
              <w:rPr>
                <w:rFonts w:hint="eastAsia" w:ascii="宋体" w:hAnsi="宋体" w:cs="宋体"/>
                <w:color w:val="000000"/>
                <w:szCs w:val="21"/>
                <w:highlight w:val="none"/>
                <w:lang w:eastAsia="zh-CN"/>
              </w:rPr>
            </w:pPr>
          </w:p>
        </w:tc>
        <w:tc>
          <w:tcPr>
            <w:tcW w:w="1028" w:type="dxa"/>
            <w:noWrap w:val="0"/>
            <w:vAlign w:val="center"/>
          </w:tcPr>
          <w:p>
            <w:pPr>
              <w:snapToGrid w:val="0"/>
              <w:jc w:val="center"/>
              <w:rPr>
                <w:rFonts w:hint="eastAsia" w:ascii="宋体" w:hAnsi="宋体"/>
                <w:color w:val="000000"/>
                <w:szCs w:val="21"/>
                <w:highlight w:val="none"/>
                <w:lang w:eastAsia="zh-CN"/>
              </w:rPr>
            </w:pPr>
          </w:p>
        </w:tc>
        <w:tc>
          <w:tcPr>
            <w:tcW w:w="1827" w:type="dxa"/>
            <w:noWrap w:val="0"/>
            <w:vAlign w:val="center"/>
          </w:tcPr>
          <w:p>
            <w:pPr>
              <w:spacing w:line="360" w:lineRule="auto"/>
              <w:jc w:val="both"/>
              <w:rPr>
                <w:rFonts w:hint="default" w:ascii="宋体" w:hAnsi="宋体"/>
                <w:color w:val="000000"/>
                <w:spacing w:val="18"/>
                <w:highlight w:val="none"/>
                <w:lang w:val="en-US" w:eastAsia="zh-CN"/>
              </w:rPr>
            </w:pPr>
            <w:r>
              <w:rPr>
                <w:rFonts w:hint="eastAsia" w:ascii="宋体" w:hAnsi="宋体"/>
                <w:color w:val="000000"/>
                <w:spacing w:val="18"/>
                <w:highlight w:val="none"/>
                <w:lang w:val="en-US" w:eastAsia="zh-CN"/>
              </w:rPr>
              <w:t>总监代表</w:t>
            </w:r>
          </w:p>
        </w:tc>
        <w:tc>
          <w:tcPr>
            <w:tcW w:w="1412" w:type="dxa"/>
            <w:noWrap w:val="0"/>
            <w:vAlign w:val="top"/>
          </w:tcPr>
          <w:p>
            <w:pPr>
              <w:spacing w:line="360" w:lineRule="auto"/>
              <w:jc w:val="center"/>
              <w:rPr>
                <w:rFonts w:hint="default" w:ascii="宋体" w:hAnsi="宋体"/>
                <w:color w:val="000000"/>
                <w:spacing w:val="18"/>
                <w:highlight w:val="none"/>
                <w:lang w:val="en-US" w:eastAsia="zh-CN"/>
              </w:rPr>
            </w:pPr>
          </w:p>
        </w:tc>
        <w:tc>
          <w:tcPr>
            <w:tcW w:w="3055" w:type="dxa"/>
            <w:noWrap w:val="0"/>
            <w:vAlign w:val="center"/>
          </w:tcPr>
          <w:p>
            <w:pPr>
              <w:snapToGrid w:val="0"/>
              <w:jc w:val="center"/>
              <w:rPr>
                <w:rFonts w:hint="eastAsia" w:ascii="宋体" w:hAnsi="宋体"/>
                <w:color w:val="000000"/>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467" w:type="dxa"/>
            <w:gridSpan w:val="2"/>
            <w:noWrap w:val="0"/>
            <w:vAlign w:val="center"/>
          </w:tcPr>
          <w:p>
            <w:pPr>
              <w:jc w:val="center"/>
              <w:rPr>
                <w:rFonts w:hint="eastAsia" w:ascii="宋体" w:hAnsi="宋体" w:cs="宋体"/>
                <w:color w:val="000000"/>
                <w:szCs w:val="21"/>
                <w:highlight w:val="none"/>
              </w:rPr>
            </w:pPr>
          </w:p>
        </w:tc>
        <w:tc>
          <w:tcPr>
            <w:tcW w:w="1028" w:type="dxa"/>
            <w:noWrap w:val="0"/>
            <w:vAlign w:val="center"/>
          </w:tcPr>
          <w:p>
            <w:pPr>
              <w:snapToGrid w:val="0"/>
              <w:jc w:val="center"/>
              <w:rPr>
                <w:rFonts w:hint="eastAsia" w:ascii="宋体" w:hAnsi="宋体" w:eastAsia="宋体"/>
                <w:color w:val="000000"/>
                <w:szCs w:val="21"/>
                <w:highlight w:val="none"/>
                <w:lang w:eastAsia="zh-CN"/>
              </w:rPr>
            </w:pPr>
          </w:p>
        </w:tc>
        <w:tc>
          <w:tcPr>
            <w:tcW w:w="1827" w:type="dxa"/>
            <w:noWrap w:val="0"/>
            <w:vAlign w:val="center"/>
          </w:tcPr>
          <w:p>
            <w:pPr>
              <w:spacing w:line="360" w:lineRule="auto"/>
              <w:jc w:val="both"/>
              <w:rPr>
                <w:rFonts w:ascii="宋体" w:hAnsi="宋体"/>
                <w:color w:val="000000"/>
                <w:sz w:val="18"/>
                <w:szCs w:val="18"/>
                <w:highlight w:val="none"/>
              </w:rPr>
            </w:pPr>
            <w:r>
              <w:rPr>
                <w:rFonts w:hint="eastAsia" w:ascii="宋体" w:hAnsi="宋体"/>
                <w:color w:val="000000"/>
                <w:spacing w:val="18"/>
                <w:sz w:val="18"/>
                <w:szCs w:val="18"/>
                <w:highlight w:val="none"/>
                <w:lang w:val="en-US" w:eastAsia="zh-CN"/>
              </w:rPr>
              <w:t>土建监理工程师</w:t>
            </w:r>
          </w:p>
        </w:tc>
        <w:tc>
          <w:tcPr>
            <w:tcW w:w="1412" w:type="dxa"/>
            <w:noWrap w:val="0"/>
            <w:vAlign w:val="top"/>
          </w:tcPr>
          <w:p>
            <w:pPr>
              <w:spacing w:line="360" w:lineRule="auto"/>
              <w:jc w:val="center"/>
              <w:rPr>
                <w:rFonts w:ascii="宋体" w:hAnsi="宋体"/>
                <w:color w:val="000000"/>
                <w:szCs w:val="21"/>
                <w:highlight w:val="none"/>
              </w:rPr>
            </w:pPr>
          </w:p>
        </w:tc>
        <w:tc>
          <w:tcPr>
            <w:tcW w:w="3055" w:type="dxa"/>
            <w:noWrap w:val="0"/>
            <w:vAlign w:val="center"/>
          </w:tcPr>
          <w:p>
            <w:pPr>
              <w:snapToGrid w:val="0"/>
              <w:jc w:val="center"/>
              <w:rPr>
                <w:rFonts w:hint="default" w:ascii="宋体" w:hAnsi="宋体" w:eastAsia="宋体"/>
                <w:color w:val="000000"/>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67" w:type="dxa"/>
            <w:gridSpan w:val="2"/>
            <w:noWrap w:val="0"/>
            <w:vAlign w:val="center"/>
          </w:tcPr>
          <w:p>
            <w:pPr>
              <w:jc w:val="center"/>
              <w:rPr>
                <w:rFonts w:hint="eastAsia" w:ascii="宋体" w:hAnsi="宋体" w:cs="宋体"/>
                <w:color w:val="000000"/>
                <w:szCs w:val="21"/>
                <w:highlight w:val="none"/>
              </w:rPr>
            </w:pPr>
          </w:p>
        </w:tc>
        <w:tc>
          <w:tcPr>
            <w:tcW w:w="1028" w:type="dxa"/>
            <w:noWrap w:val="0"/>
            <w:vAlign w:val="center"/>
          </w:tcPr>
          <w:p>
            <w:pPr>
              <w:jc w:val="center"/>
              <w:rPr>
                <w:rFonts w:hint="eastAsia" w:ascii="宋体" w:hAnsi="宋体" w:eastAsia="宋体" w:cs="宋体"/>
                <w:color w:val="000000"/>
                <w:szCs w:val="21"/>
                <w:highlight w:val="none"/>
                <w:lang w:eastAsia="zh-CN"/>
              </w:rPr>
            </w:pPr>
          </w:p>
        </w:tc>
        <w:tc>
          <w:tcPr>
            <w:tcW w:w="1827" w:type="dxa"/>
            <w:noWrap w:val="0"/>
            <w:vAlign w:val="center"/>
          </w:tcPr>
          <w:p>
            <w:pPr>
              <w:spacing w:line="360" w:lineRule="auto"/>
              <w:jc w:val="both"/>
              <w:rPr>
                <w:rFonts w:ascii="宋体" w:hAnsi="宋体" w:cs="宋体"/>
                <w:color w:val="000000"/>
                <w:sz w:val="18"/>
                <w:szCs w:val="18"/>
                <w:highlight w:val="none"/>
              </w:rPr>
            </w:pPr>
            <w:r>
              <w:rPr>
                <w:rFonts w:hint="eastAsia" w:ascii="宋体" w:hAnsi="宋体"/>
                <w:color w:val="000000"/>
                <w:spacing w:val="18"/>
                <w:sz w:val="18"/>
                <w:szCs w:val="18"/>
                <w:highlight w:val="none"/>
                <w:lang w:val="en-US" w:eastAsia="zh-CN"/>
              </w:rPr>
              <w:t>机电监理工程师</w:t>
            </w:r>
          </w:p>
        </w:tc>
        <w:tc>
          <w:tcPr>
            <w:tcW w:w="1412" w:type="dxa"/>
            <w:noWrap w:val="0"/>
            <w:vAlign w:val="top"/>
          </w:tcPr>
          <w:p>
            <w:pPr>
              <w:spacing w:line="360" w:lineRule="auto"/>
              <w:jc w:val="center"/>
              <w:rPr>
                <w:rFonts w:ascii="宋体" w:hAnsi="宋体" w:cs="宋体"/>
                <w:color w:val="000000"/>
                <w:szCs w:val="21"/>
                <w:highlight w:val="none"/>
              </w:rPr>
            </w:pPr>
          </w:p>
        </w:tc>
        <w:tc>
          <w:tcPr>
            <w:tcW w:w="3055" w:type="dxa"/>
            <w:noWrap w:val="0"/>
            <w:vAlign w:val="center"/>
          </w:tcPr>
          <w:p>
            <w:pPr>
              <w:jc w:val="center"/>
              <w:rPr>
                <w:rFonts w:hint="default" w:ascii="宋体" w:hAnsi="宋体" w:eastAsia="宋体" w:cs="宋体"/>
                <w:color w:val="000000"/>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467" w:type="dxa"/>
            <w:gridSpan w:val="2"/>
            <w:noWrap w:val="0"/>
            <w:vAlign w:val="top"/>
          </w:tcPr>
          <w:p>
            <w:pPr>
              <w:jc w:val="center"/>
              <w:rPr>
                <w:rFonts w:hint="eastAsia" w:ascii="宋体" w:hAnsi="宋体" w:cs="宋体"/>
                <w:color w:val="000000"/>
                <w:szCs w:val="21"/>
                <w:highlight w:val="none"/>
              </w:rPr>
            </w:pPr>
          </w:p>
        </w:tc>
        <w:tc>
          <w:tcPr>
            <w:tcW w:w="1028" w:type="dxa"/>
            <w:noWrap w:val="0"/>
            <w:vAlign w:val="center"/>
          </w:tcPr>
          <w:p>
            <w:pPr>
              <w:jc w:val="center"/>
              <w:rPr>
                <w:rFonts w:hint="eastAsia" w:ascii="宋体" w:hAnsi="宋体" w:eastAsia="宋体" w:cs="宋体"/>
                <w:color w:val="000000"/>
                <w:szCs w:val="21"/>
                <w:highlight w:val="none"/>
                <w:lang w:eastAsia="zh-CN"/>
              </w:rPr>
            </w:pPr>
          </w:p>
        </w:tc>
        <w:tc>
          <w:tcPr>
            <w:tcW w:w="1827" w:type="dxa"/>
            <w:noWrap w:val="0"/>
            <w:vAlign w:val="center"/>
          </w:tcPr>
          <w:p>
            <w:pPr>
              <w:spacing w:line="360" w:lineRule="auto"/>
              <w:jc w:val="both"/>
              <w:rPr>
                <w:rFonts w:ascii="宋体" w:hAnsi="宋体"/>
                <w:color w:val="000000"/>
                <w:szCs w:val="21"/>
                <w:highlight w:val="none"/>
              </w:rPr>
            </w:pPr>
            <w:r>
              <w:rPr>
                <w:rFonts w:hint="eastAsia" w:ascii="宋体" w:hAnsi="宋体"/>
                <w:color w:val="000000"/>
                <w:spacing w:val="18"/>
                <w:highlight w:val="none"/>
                <w:lang w:val="en-US" w:eastAsia="zh-CN"/>
              </w:rPr>
              <w:t>监理员</w:t>
            </w:r>
          </w:p>
        </w:tc>
        <w:tc>
          <w:tcPr>
            <w:tcW w:w="1412" w:type="dxa"/>
            <w:noWrap w:val="0"/>
            <w:vAlign w:val="top"/>
          </w:tcPr>
          <w:p>
            <w:pPr>
              <w:spacing w:line="360" w:lineRule="auto"/>
              <w:jc w:val="center"/>
              <w:rPr>
                <w:rFonts w:ascii="宋体" w:hAnsi="宋体"/>
                <w:color w:val="000000"/>
                <w:szCs w:val="21"/>
                <w:highlight w:val="none"/>
              </w:rPr>
            </w:pPr>
          </w:p>
        </w:tc>
        <w:tc>
          <w:tcPr>
            <w:tcW w:w="3055" w:type="dxa"/>
            <w:noWrap w:val="0"/>
            <w:vAlign w:val="center"/>
          </w:tcPr>
          <w:p>
            <w:pPr>
              <w:jc w:val="center"/>
              <w:rPr>
                <w:rFonts w:hint="default" w:ascii="宋体" w:hAnsi="宋体" w:eastAsia="宋体" w:cs="宋体"/>
                <w:color w:val="000000"/>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67" w:type="dxa"/>
            <w:gridSpan w:val="2"/>
            <w:noWrap w:val="0"/>
            <w:vAlign w:val="top"/>
          </w:tcPr>
          <w:p>
            <w:pPr>
              <w:jc w:val="center"/>
              <w:rPr>
                <w:rFonts w:hint="eastAsia" w:ascii="宋体" w:hAnsi="宋体" w:cs="宋体"/>
                <w:color w:val="000000"/>
                <w:szCs w:val="21"/>
                <w:highlight w:val="none"/>
              </w:rPr>
            </w:pPr>
          </w:p>
        </w:tc>
        <w:tc>
          <w:tcPr>
            <w:tcW w:w="1028" w:type="dxa"/>
            <w:noWrap w:val="0"/>
            <w:vAlign w:val="center"/>
          </w:tcPr>
          <w:p>
            <w:pPr>
              <w:jc w:val="center"/>
              <w:rPr>
                <w:rFonts w:hint="eastAsia" w:ascii="宋体" w:hAnsi="宋体" w:eastAsia="宋体" w:cs="宋体"/>
                <w:color w:val="000000"/>
                <w:szCs w:val="21"/>
                <w:highlight w:val="none"/>
                <w:lang w:eastAsia="zh-CN"/>
              </w:rPr>
            </w:pPr>
          </w:p>
        </w:tc>
        <w:tc>
          <w:tcPr>
            <w:tcW w:w="1827" w:type="dxa"/>
            <w:noWrap w:val="0"/>
            <w:vAlign w:val="center"/>
          </w:tcPr>
          <w:p>
            <w:pPr>
              <w:spacing w:line="360" w:lineRule="auto"/>
              <w:jc w:val="both"/>
              <w:rPr>
                <w:rFonts w:ascii="宋体" w:hAnsi="宋体" w:cs="宋体"/>
                <w:color w:val="000000"/>
                <w:szCs w:val="21"/>
                <w:highlight w:val="none"/>
              </w:rPr>
            </w:pPr>
            <w:r>
              <w:rPr>
                <w:rFonts w:hint="eastAsia" w:ascii="宋体" w:hAnsi="宋体"/>
                <w:color w:val="000000"/>
                <w:spacing w:val="18"/>
                <w:highlight w:val="none"/>
                <w:lang w:val="en-US" w:eastAsia="zh-CN"/>
              </w:rPr>
              <w:t>资料员</w:t>
            </w:r>
          </w:p>
        </w:tc>
        <w:tc>
          <w:tcPr>
            <w:tcW w:w="1412" w:type="dxa"/>
            <w:noWrap w:val="0"/>
            <w:vAlign w:val="top"/>
          </w:tcPr>
          <w:p>
            <w:pPr>
              <w:spacing w:line="360" w:lineRule="auto"/>
              <w:jc w:val="center"/>
              <w:rPr>
                <w:rFonts w:ascii="宋体" w:hAnsi="宋体" w:cs="宋体"/>
                <w:color w:val="000000"/>
                <w:szCs w:val="21"/>
                <w:highlight w:val="none"/>
              </w:rPr>
            </w:pPr>
          </w:p>
        </w:tc>
        <w:tc>
          <w:tcPr>
            <w:tcW w:w="3055" w:type="dxa"/>
            <w:noWrap w:val="0"/>
            <w:vAlign w:val="center"/>
          </w:tcPr>
          <w:p>
            <w:pPr>
              <w:jc w:val="center"/>
              <w:rPr>
                <w:rFonts w:hint="default" w:ascii="宋体" w:hAnsi="宋体" w:eastAsia="宋体" w:cs="宋体"/>
                <w:color w:val="000000"/>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67" w:type="dxa"/>
            <w:gridSpan w:val="2"/>
            <w:noWrap w:val="0"/>
            <w:vAlign w:val="top"/>
          </w:tcPr>
          <w:p>
            <w:pPr>
              <w:jc w:val="center"/>
              <w:rPr>
                <w:rFonts w:hint="eastAsia" w:ascii="宋体" w:hAnsi="宋体" w:cs="宋体"/>
                <w:color w:val="000000"/>
                <w:szCs w:val="21"/>
                <w:highlight w:val="none"/>
              </w:rPr>
            </w:pPr>
          </w:p>
        </w:tc>
        <w:tc>
          <w:tcPr>
            <w:tcW w:w="1028" w:type="dxa"/>
            <w:noWrap w:val="0"/>
            <w:vAlign w:val="center"/>
          </w:tcPr>
          <w:p>
            <w:pPr>
              <w:jc w:val="center"/>
              <w:rPr>
                <w:rFonts w:hint="eastAsia" w:ascii="宋体" w:hAnsi="宋体" w:eastAsia="宋体" w:cs="宋体"/>
                <w:color w:val="000000"/>
                <w:szCs w:val="21"/>
                <w:highlight w:val="none"/>
                <w:lang w:eastAsia="zh-CN"/>
              </w:rPr>
            </w:pPr>
          </w:p>
        </w:tc>
        <w:tc>
          <w:tcPr>
            <w:tcW w:w="1827" w:type="dxa"/>
            <w:noWrap w:val="0"/>
            <w:vAlign w:val="center"/>
          </w:tcPr>
          <w:p>
            <w:pPr>
              <w:spacing w:line="360" w:lineRule="auto"/>
              <w:jc w:val="both"/>
              <w:rPr>
                <w:rFonts w:hint="eastAsia" w:ascii="宋体" w:hAnsi="宋体"/>
                <w:color w:val="000000"/>
                <w:spacing w:val="18"/>
                <w:highlight w:val="none"/>
                <w:lang w:val="en-US" w:eastAsia="zh-CN"/>
              </w:rPr>
            </w:pPr>
            <w:r>
              <w:rPr>
                <w:rFonts w:hint="eastAsia" w:ascii="宋体" w:hAnsi="宋体" w:eastAsia="宋体" w:cs="Times New Roman"/>
                <w:color w:val="000000"/>
                <w:spacing w:val="18"/>
                <w:kern w:val="2"/>
                <w:szCs w:val="20"/>
                <w:highlight w:val="none"/>
                <w:lang w:bidi="ar"/>
              </w:rPr>
              <w:t>造价师</w:t>
            </w:r>
          </w:p>
        </w:tc>
        <w:tc>
          <w:tcPr>
            <w:tcW w:w="1412" w:type="dxa"/>
            <w:noWrap w:val="0"/>
            <w:vAlign w:val="top"/>
          </w:tcPr>
          <w:p>
            <w:pPr>
              <w:spacing w:line="360" w:lineRule="auto"/>
              <w:jc w:val="center"/>
              <w:rPr>
                <w:rFonts w:hint="eastAsia" w:ascii="宋体" w:hAnsi="宋体"/>
                <w:color w:val="000000"/>
                <w:spacing w:val="18"/>
                <w:highlight w:val="none"/>
                <w:lang w:eastAsia="zh-CN"/>
              </w:rPr>
            </w:pPr>
          </w:p>
        </w:tc>
        <w:tc>
          <w:tcPr>
            <w:tcW w:w="3055" w:type="dxa"/>
            <w:noWrap w:val="0"/>
            <w:vAlign w:val="center"/>
          </w:tcPr>
          <w:p>
            <w:pPr>
              <w:jc w:val="center"/>
              <w:rPr>
                <w:rFonts w:hint="default" w:ascii="宋体" w:hAnsi="宋体" w:eastAsia="宋体" w:cs="宋体"/>
                <w:color w:val="000000"/>
                <w:szCs w:val="21"/>
                <w:highlight w:val="none"/>
                <w:lang w:val="en-US" w:eastAsia="zh-CN"/>
              </w:rPr>
            </w:pPr>
          </w:p>
        </w:tc>
      </w:tr>
    </w:tbl>
    <w:p>
      <w:pPr>
        <w:rPr>
          <w:rFonts w:ascii="宋体" w:hAnsi="宋体" w:cs="宋体"/>
          <w:color w:val="000000"/>
          <w:sz w:val="24"/>
          <w:szCs w:val="24"/>
          <w:highlight w:val="none"/>
        </w:rPr>
      </w:pPr>
    </w:p>
    <w:p>
      <w:pPr>
        <w:jc w:val="center"/>
        <w:rPr>
          <w:rFonts w:ascii="黑体" w:eastAsia="黑体"/>
          <w:color w:val="000000"/>
          <w:sz w:val="30"/>
          <w:szCs w:val="30"/>
          <w:highlight w:val="none"/>
        </w:rPr>
      </w:pPr>
      <w:r>
        <w:rPr>
          <w:rFonts w:hint="eastAsia" w:ascii="宋体" w:hAnsi="宋体" w:cs="宋体"/>
          <w:b/>
          <w:bCs/>
          <w:color w:val="000000"/>
          <w:sz w:val="28"/>
          <w:szCs w:val="28"/>
          <w:highlight w:val="none"/>
        </w:rPr>
        <w:t>附件3 监理工作人员分工表</w:t>
      </w:r>
    </w:p>
    <w:p>
      <w:pPr>
        <w:ind w:right="480"/>
        <w:jc w:val="center"/>
        <w:rPr>
          <w:rFonts w:ascii="仿宋_GB2312"/>
          <w:color w:val="000000"/>
          <w:sz w:val="18"/>
          <w:szCs w:val="18"/>
          <w:highlight w:val="none"/>
        </w:rPr>
      </w:pPr>
      <w:r>
        <w:rPr>
          <w:rFonts w:hint="eastAsia" w:ascii="仿宋_GB2312"/>
          <w:color w:val="000000"/>
          <w:sz w:val="18"/>
          <w:szCs w:val="18"/>
          <w:highlight w:val="none"/>
        </w:rPr>
        <w:t xml:space="preserve">                                                编号：</w:t>
      </w:r>
    </w:p>
    <w:tbl>
      <w:tblPr>
        <w:tblStyle w:val="32"/>
        <w:tblW w:w="92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080"/>
        <w:gridCol w:w="1620"/>
        <w:gridCol w:w="1800"/>
        <w:gridCol w:w="32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工程名称</w:t>
            </w:r>
          </w:p>
        </w:tc>
        <w:tc>
          <w:tcPr>
            <w:tcW w:w="7740" w:type="dxa"/>
            <w:gridSpan w:val="4"/>
            <w:noWrap w:val="0"/>
            <w:vAlign w:val="center"/>
          </w:tcPr>
          <w:p>
            <w:pPr>
              <w:jc w:val="left"/>
              <w:rPr>
                <w:rFonts w:ascii="宋体" w:hAnsi="宋体" w:cs="宋体"/>
                <w:color w:val="00000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ind w:firstLine="315" w:firstLineChars="150"/>
              <w:rPr>
                <w:rFonts w:ascii="宋体" w:hAnsi="宋体" w:cs="宋体"/>
                <w:color w:val="000000"/>
                <w:szCs w:val="21"/>
                <w:highlight w:val="none"/>
              </w:rPr>
            </w:pPr>
            <w:r>
              <w:rPr>
                <w:rFonts w:hint="eastAsia" w:ascii="宋体" w:hAnsi="宋体" w:cs="宋体"/>
                <w:color w:val="000000"/>
                <w:szCs w:val="21"/>
                <w:highlight w:val="none"/>
              </w:rPr>
              <w:t>姓  名</w:t>
            </w:r>
          </w:p>
        </w:tc>
        <w:tc>
          <w:tcPr>
            <w:tcW w:w="1080"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性 别</w:t>
            </w:r>
          </w:p>
        </w:tc>
        <w:tc>
          <w:tcPr>
            <w:tcW w:w="1620" w:type="dxa"/>
            <w:noWrap w:val="0"/>
            <w:vAlign w:val="center"/>
          </w:tcPr>
          <w:p>
            <w:pPr>
              <w:ind w:firstLine="315" w:firstLineChars="150"/>
              <w:rPr>
                <w:rFonts w:ascii="宋体" w:hAnsi="宋体" w:cs="宋体"/>
                <w:color w:val="000000"/>
                <w:szCs w:val="21"/>
                <w:highlight w:val="none"/>
              </w:rPr>
            </w:pPr>
            <w:r>
              <w:rPr>
                <w:rFonts w:hint="eastAsia" w:ascii="宋体" w:hAnsi="宋体" w:cs="宋体"/>
                <w:color w:val="000000"/>
                <w:szCs w:val="21"/>
                <w:highlight w:val="none"/>
              </w:rPr>
              <w:t>专   业</w:t>
            </w:r>
          </w:p>
        </w:tc>
        <w:tc>
          <w:tcPr>
            <w:tcW w:w="1800" w:type="dxa"/>
            <w:noWrap w:val="0"/>
            <w:vAlign w:val="center"/>
          </w:tcPr>
          <w:p>
            <w:pPr>
              <w:ind w:firstLine="315" w:firstLineChars="150"/>
              <w:rPr>
                <w:rFonts w:ascii="宋体" w:hAnsi="宋体" w:cs="宋体"/>
                <w:color w:val="000000"/>
                <w:szCs w:val="21"/>
                <w:highlight w:val="none"/>
              </w:rPr>
            </w:pPr>
            <w:r>
              <w:rPr>
                <w:rFonts w:hint="eastAsia" w:ascii="宋体" w:hAnsi="宋体" w:cs="宋体"/>
                <w:color w:val="000000"/>
                <w:szCs w:val="21"/>
                <w:highlight w:val="none"/>
              </w:rPr>
              <w:t>岗   位</w:t>
            </w:r>
          </w:p>
        </w:tc>
        <w:tc>
          <w:tcPr>
            <w:tcW w:w="3240"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施  工  阶  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jc w:val="center"/>
              <w:rPr>
                <w:rFonts w:ascii="宋体" w:hAnsi="宋体"/>
                <w:color w:val="000000"/>
                <w:szCs w:val="21"/>
                <w:highlight w:val="none"/>
              </w:rPr>
            </w:pPr>
          </w:p>
        </w:tc>
        <w:tc>
          <w:tcPr>
            <w:tcW w:w="1080" w:type="dxa"/>
            <w:noWrap w:val="0"/>
            <w:vAlign w:val="center"/>
          </w:tcPr>
          <w:p>
            <w:pPr>
              <w:snapToGrid w:val="0"/>
              <w:jc w:val="center"/>
              <w:rPr>
                <w:rFonts w:ascii="宋体" w:hAnsi="宋体"/>
                <w:color w:val="000000"/>
                <w:szCs w:val="21"/>
                <w:highlight w:val="none"/>
              </w:rPr>
            </w:pPr>
          </w:p>
        </w:tc>
        <w:tc>
          <w:tcPr>
            <w:tcW w:w="1620" w:type="dxa"/>
            <w:noWrap w:val="0"/>
            <w:vAlign w:val="top"/>
          </w:tcPr>
          <w:p>
            <w:pPr>
              <w:spacing w:line="360" w:lineRule="auto"/>
              <w:jc w:val="center"/>
              <w:rPr>
                <w:rFonts w:ascii="宋体" w:hAnsi="宋体"/>
                <w:color w:val="000000"/>
                <w:szCs w:val="21"/>
                <w:highlight w:val="none"/>
              </w:rPr>
            </w:pPr>
          </w:p>
        </w:tc>
        <w:tc>
          <w:tcPr>
            <w:tcW w:w="1800" w:type="dxa"/>
            <w:noWrap w:val="0"/>
            <w:vAlign w:val="top"/>
          </w:tcPr>
          <w:p>
            <w:pPr>
              <w:spacing w:line="360" w:lineRule="auto"/>
              <w:jc w:val="center"/>
              <w:rPr>
                <w:rFonts w:ascii="宋体" w:hAnsi="宋体"/>
                <w:color w:val="000000"/>
                <w:szCs w:val="21"/>
                <w:highlight w:val="none"/>
              </w:rPr>
            </w:pPr>
            <w:r>
              <w:rPr>
                <w:rFonts w:hint="eastAsia" w:ascii="宋体" w:hAnsi="宋体"/>
                <w:color w:val="000000"/>
                <w:spacing w:val="18"/>
                <w:highlight w:val="none"/>
                <w:lang w:val="en-US" w:eastAsia="zh-CN"/>
              </w:rPr>
              <w:t>总监理工程师</w:t>
            </w:r>
          </w:p>
        </w:tc>
        <w:tc>
          <w:tcPr>
            <w:tcW w:w="3240" w:type="dxa"/>
            <w:noWrap w:val="0"/>
            <w:vAlign w:val="center"/>
          </w:tcPr>
          <w:p>
            <w:pPr>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监理全过程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jc w:val="center"/>
              <w:rPr>
                <w:rFonts w:hint="eastAsia" w:ascii="宋体" w:hAnsi="宋体" w:cs="宋体"/>
                <w:color w:val="000000"/>
                <w:szCs w:val="21"/>
                <w:highlight w:val="none"/>
                <w:lang w:eastAsia="zh-CN"/>
              </w:rPr>
            </w:pPr>
          </w:p>
        </w:tc>
        <w:tc>
          <w:tcPr>
            <w:tcW w:w="1080" w:type="dxa"/>
            <w:noWrap w:val="0"/>
            <w:vAlign w:val="center"/>
          </w:tcPr>
          <w:p>
            <w:pPr>
              <w:snapToGrid w:val="0"/>
              <w:jc w:val="center"/>
              <w:rPr>
                <w:rFonts w:hint="eastAsia" w:ascii="宋体" w:hAnsi="宋体"/>
                <w:color w:val="000000"/>
                <w:szCs w:val="21"/>
                <w:highlight w:val="none"/>
                <w:lang w:eastAsia="zh-CN"/>
              </w:rPr>
            </w:pPr>
          </w:p>
        </w:tc>
        <w:tc>
          <w:tcPr>
            <w:tcW w:w="1620" w:type="dxa"/>
            <w:noWrap w:val="0"/>
            <w:vAlign w:val="top"/>
          </w:tcPr>
          <w:p>
            <w:pPr>
              <w:spacing w:line="360" w:lineRule="auto"/>
              <w:jc w:val="center"/>
              <w:rPr>
                <w:rFonts w:hint="eastAsia"/>
                <w:color w:val="000000"/>
                <w:szCs w:val="21"/>
                <w:highlight w:val="none"/>
                <w:lang w:val="en-US" w:eastAsia="zh-CN"/>
              </w:rPr>
            </w:pPr>
          </w:p>
        </w:tc>
        <w:tc>
          <w:tcPr>
            <w:tcW w:w="1800" w:type="dxa"/>
            <w:noWrap w:val="0"/>
            <w:vAlign w:val="top"/>
          </w:tcPr>
          <w:p>
            <w:pPr>
              <w:spacing w:line="360" w:lineRule="auto"/>
              <w:jc w:val="center"/>
              <w:rPr>
                <w:rFonts w:hint="default" w:ascii="宋体" w:hAnsi="宋体"/>
                <w:color w:val="000000"/>
                <w:spacing w:val="18"/>
                <w:highlight w:val="none"/>
                <w:lang w:val="en-US" w:eastAsia="zh-CN"/>
              </w:rPr>
            </w:pPr>
            <w:r>
              <w:rPr>
                <w:rFonts w:hint="eastAsia" w:ascii="宋体" w:hAnsi="宋体"/>
                <w:color w:val="000000"/>
                <w:spacing w:val="18"/>
                <w:highlight w:val="none"/>
                <w:lang w:val="en-US" w:eastAsia="zh-CN"/>
              </w:rPr>
              <w:t>总监代表</w:t>
            </w:r>
          </w:p>
        </w:tc>
        <w:tc>
          <w:tcPr>
            <w:tcW w:w="3240" w:type="dxa"/>
            <w:noWrap w:val="0"/>
            <w:vAlign w:val="center"/>
          </w:tcPr>
          <w:p>
            <w:pPr>
              <w:jc w:val="center"/>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监理全过程驻场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jc w:val="center"/>
              <w:rPr>
                <w:rFonts w:ascii="宋体" w:hAnsi="宋体"/>
                <w:color w:val="000000"/>
                <w:szCs w:val="21"/>
                <w:highlight w:val="none"/>
              </w:rPr>
            </w:pPr>
          </w:p>
        </w:tc>
        <w:tc>
          <w:tcPr>
            <w:tcW w:w="1080" w:type="dxa"/>
            <w:noWrap w:val="0"/>
            <w:vAlign w:val="center"/>
          </w:tcPr>
          <w:p>
            <w:pPr>
              <w:snapToGrid w:val="0"/>
              <w:jc w:val="center"/>
              <w:rPr>
                <w:rFonts w:ascii="宋体" w:hAnsi="宋体"/>
                <w:color w:val="000000"/>
                <w:szCs w:val="21"/>
                <w:highlight w:val="none"/>
              </w:rPr>
            </w:pPr>
          </w:p>
        </w:tc>
        <w:tc>
          <w:tcPr>
            <w:tcW w:w="1620" w:type="dxa"/>
            <w:noWrap w:val="0"/>
            <w:vAlign w:val="top"/>
          </w:tcPr>
          <w:p>
            <w:pPr>
              <w:spacing w:line="360" w:lineRule="auto"/>
              <w:jc w:val="center"/>
              <w:rPr>
                <w:rFonts w:ascii="宋体" w:hAnsi="宋体"/>
                <w:color w:val="000000"/>
                <w:szCs w:val="21"/>
                <w:highlight w:val="none"/>
              </w:rPr>
            </w:pPr>
          </w:p>
        </w:tc>
        <w:tc>
          <w:tcPr>
            <w:tcW w:w="1800" w:type="dxa"/>
            <w:noWrap w:val="0"/>
            <w:vAlign w:val="top"/>
          </w:tcPr>
          <w:p>
            <w:pPr>
              <w:spacing w:line="360" w:lineRule="auto"/>
              <w:jc w:val="center"/>
              <w:rPr>
                <w:rFonts w:ascii="宋体" w:hAnsi="宋体"/>
                <w:color w:val="000000"/>
                <w:szCs w:val="21"/>
                <w:highlight w:val="none"/>
              </w:rPr>
            </w:pPr>
            <w:r>
              <w:rPr>
                <w:rFonts w:hint="eastAsia" w:ascii="宋体" w:hAnsi="宋体"/>
                <w:color w:val="000000"/>
                <w:spacing w:val="18"/>
                <w:highlight w:val="none"/>
                <w:lang w:val="en-US" w:eastAsia="zh-CN"/>
              </w:rPr>
              <w:t>土建监理工程师</w:t>
            </w:r>
          </w:p>
        </w:tc>
        <w:tc>
          <w:tcPr>
            <w:tcW w:w="3240"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lang w:eastAsia="zh-CN"/>
              </w:rPr>
              <w:t>监理全过程驻场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jc w:val="center"/>
              <w:rPr>
                <w:rFonts w:ascii="宋体" w:hAnsi="宋体" w:cs="宋体"/>
                <w:color w:val="000000"/>
                <w:szCs w:val="21"/>
                <w:highlight w:val="none"/>
              </w:rPr>
            </w:pPr>
          </w:p>
        </w:tc>
        <w:tc>
          <w:tcPr>
            <w:tcW w:w="1080" w:type="dxa"/>
            <w:noWrap w:val="0"/>
            <w:vAlign w:val="center"/>
          </w:tcPr>
          <w:p>
            <w:pPr>
              <w:jc w:val="center"/>
              <w:rPr>
                <w:rFonts w:ascii="宋体" w:hAnsi="宋体" w:cs="宋体"/>
                <w:color w:val="000000"/>
                <w:szCs w:val="21"/>
                <w:highlight w:val="none"/>
              </w:rPr>
            </w:pPr>
          </w:p>
        </w:tc>
        <w:tc>
          <w:tcPr>
            <w:tcW w:w="1620" w:type="dxa"/>
            <w:noWrap w:val="0"/>
            <w:vAlign w:val="top"/>
          </w:tcPr>
          <w:p>
            <w:pPr>
              <w:spacing w:line="360" w:lineRule="auto"/>
              <w:jc w:val="center"/>
              <w:rPr>
                <w:rFonts w:ascii="宋体" w:hAnsi="宋体" w:cs="宋体"/>
                <w:color w:val="000000"/>
                <w:szCs w:val="21"/>
                <w:highlight w:val="none"/>
              </w:rPr>
            </w:pPr>
          </w:p>
        </w:tc>
        <w:tc>
          <w:tcPr>
            <w:tcW w:w="1800" w:type="dxa"/>
            <w:noWrap w:val="0"/>
            <w:vAlign w:val="top"/>
          </w:tcPr>
          <w:p>
            <w:pPr>
              <w:spacing w:line="360" w:lineRule="auto"/>
              <w:jc w:val="center"/>
              <w:rPr>
                <w:rFonts w:ascii="宋体" w:hAnsi="宋体" w:cs="宋体"/>
                <w:color w:val="000000"/>
                <w:szCs w:val="21"/>
                <w:highlight w:val="none"/>
              </w:rPr>
            </w:pPr>
            <w:r>
              <w:rPr>
                <w:rFonts w:hint="eastAsia" w:ascii="宋体" w:hAnsi="宋体"/>
                <w:color w:val="000000"/>
                <w:spacing w:val="18"/>
                <w:highlight w:val="none"/>
                <w:lang w:val="en-US" w:eastAsia="zh-CN"/>
              </w:rPr>
              <w:t>机电监理工程师</w:t>
            </w:r>
          </w:p>
        </w:tc>
        <w:tc>
          <w:tcPr>
            <w:tcW w:w="3240"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lang w:eastAsia="zh-CN"/>
              </w:rPr>
              <w:t>监理全过程驻场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top"/>
          </w:tcPr>
          <w:p>
            <w:pPr>
              <w:jc w:val="center"/>
              <w:rPr>
                <w:rFonts w:ascii="宋体" w:hAnsi="宋体" w:cs="宋体"/>
                <w:color w:val="000000"/>
                <w:szCs w:val="21"/>
                <w:highlight w:val="none"/>
              </w:rPr>
            </w:pPr>
          </w:p>
        </w:tc>
        <w:tc>
          <w:tcPr>
            <w:tcW w:w="1080" w:type="dxa"/>
            <w:noWrap w:val="0"/>
            <w:vAlign w:val="center"/>
          </w:tcPr>
          <w:p>
            <w:pPr>
              <w:jc w:val="center"/>
              <w:rPr>
                <w:rFonts w:ascii="宋体" w:hAnsi="宋体" w:cs="宋体"/>
                <w:color w:val="000000"/>
                <w:szCs w:val="21"/>
                <w:highlight w:val="none"/>
              </w:rPr>
            </w:pPr>
          </w:p>
        </w:tc>
        <w:tc>
          <w:tcPr>
            <w:tcW w:w="1620" w:type="dxa"/>
            <w:noWrap w:val="0"/>
            <w:vAlign w:val="top"/>
          </w:tcPr>
          <w:p>
            <w:pPr>
              <w:spacing w:line="360" w:lineRule="auto"/>
              <w:jc w:val="center"/>
              <w:rPr>
                <w:color w:val="000000"/>
                <w:szCs w:val="21"/>
                <w:highlight w:val="none"/>
              </w:rPr>
            </w:pPr>
          </w:p>
        </w:tc>
        <w:tc>
          <w:tcPr>
            <w:tcW w:w="1800" w:type="dxa"/>
            <w:noWrap w:val="0"/>
            <w:vAlign w:val="top"/>
          </w:tcPr>
          <w:p>
            <w:pPr>
              <w:spacing w:line="360" w:lineRule="auto"/>
              <w:jc w:val="center"/>
              <w:rPr>
                <w:rFonts w:ascii="宋体" w:hAnsi="宋体"/>
                <w:color w:val="000000"/>
                <w:szCs w:val="21"/>
                <w:highlight w:val="none"/>
              </w:rPr>
            </w:pPr>
            <w:r>
              <w:rPr>
                <w:rFonts w:hint="eastAsia" w:ascii="宋体" w:hAnsi="宋体"/>
                <w:color w:val="000000"/>
                <w:spacing w:val="18"/>
                <w:highlight w:val="none"/>
                <w:lang w:val="en-US" w:eastAsia="zh-CN"/>
              </w:rPr>
              <w:t>监理员</w:t>
            </w:r>
          </w:p>
        </w:tc>
        <w:tc>
          <w:tcPr>
            <w:tcW w:w="3240"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lang w:eastAsia="zh-CN"/>
              </w:rPr>
              <w:t>监理全过程驻场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top"/>
          </w:tcPr>
          <w:p>
            <w:pPr>
              <w:jc w:val="center"/>
              <w:rPr>
                <w:rFonts w:ascii="宋体" w:hAnsi="宋体" w:cs="宋体"/>
                <w:color w:val="000000"/>
                <w:szCs w:val="21"/>
                <w:highlight w:val="none"/>
              </w:rPr>
            </w:pPr>
          </w:p>
        </w:tc>
        <w:tc>
          <w:tcPr>
            <w:tcW w:w="1080" w:type="dxa"/>
            <w:noWrap w:val="0"/>
            <w:vAlign w:val="center"/>
          </w:tcPr>
          <w:p>
            <w:pPr>
              <w:jc w:val="center"/>
              <w:rPr>
                <w:rFonts w:ascii="宋体" w:hAnsi="宋体" w:cs="宋体"/>
                <w:color w:val="000000"/>
                <w:szCs w:val="21"/>
                <w:highlight w:val="none"/>
              </w:rPr>
            </w:pPr>
          </w:p>
        </w:tc>
        <w:tc>
          <w:tcPr>
            <w:tcW w:w="1620" w:type="dxa"/>
            <w:noWrap w:val="0"/>
            <w:vAlign w:val="top"/>
          </w:tcPr>
          <w:p>
            <w:pPr>
              <w:spacing w:line="360" w:lineRule="auto"/>
              <w:jc w:val="center"/>
              <w:rPr>
                <w:color w:val="000000"/>
                <w:szCs w:val="21"/>
                <w:highlight w:val="none"/>
              </w:rPr>
            </w:pPr>
          </w:p>
        </w:tc>
        <w:tc>
          <w:tcPr>
            <w:tcW w:w="1800" w:type="dxa"/>
            <w:noWrap w:val="0"/>
            <w:vAlign w:val="top"/>
          </w:tcPr>
          <w:p>
            <w:pPr>
              <w:spacing w:line="360" w:lineRule="auto"/>
              <w:jc w:val="center"/>
              <w:rPr>
                <w:rFonts w:hint="eastAsia" w:ascii="宋体" w:hAnsi="宋体"/>
                <w:color w:val="000000"/>
                <w:spacing w:val="18"/>
                <w:highlight w:val="none"/>
                <w:lang w:val="en-US" w:eastAsia="zh-CN"/>
              </w:rPr>
            </w:pPr>
            <w:r>
              <w:rPr>
                <w:rFonts w:hint="eastAsia" w:ascii="宋体" w:hAnsi="宋体" w:eastAsia="宋体" w:cs="Times New Roman"/>
                <w:color w:val="000000"/>
                <w:spacing w:val="18"/>
                <w:kern w:val="2"/>
                <w:szCs w:val="20"/>
                <w:highlight w:val="none"/>
                <w:lang w:bidi="ar"/>
              </w:rPr>
              <w:t>造价师</w:t>
            </w:r>
          </w:p>
        </w:tc>
        <w:tc>
          <w:tcPr>
            <w:tcW w:w="3240" w:type="dxa"/>
            <w:noWrap w:val="0"/>
            <w:vAlign w:val="center"/>
          </w:tcPr>
          <w:p>
            <w:pPr>
              <w:jc w:val="center"/>
              <w:rPr>
                <w:rFonts w:hint="eastAsia" w:ascii="宋体" w:hAnsi="宋体" w:cs="宋体"/>
                <w:color w:val="000000"/>
                <w:szCs w:val="21"/>
                <w:highlight w:val="none"/>
                <w:lang w:eastAsia="zh-CN"/>
              </w:rPr>
            </w:pPr>
            <w:r>
              <w:rPr>
                <w:rFonts w:hint="eastAsia" w:ascii="宋体" w:hAnsi="宋体" w:cs="宋体"/>
                <w:color w:val="auto"/>
                <w:kern w:val="0"/>
                <w:szCs w:val="21"/>
                <w:highlight w:val="none"/>
                <w:lang w:bidi="ar"/>
              </w:rPr>
              <w:t>（无需驻场）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top"/>
          </w:tcPr>
          <w:p>
            <w:pPr>
              <w:jc w:val="center"/>
              <w:rPr>
                <w:rFonts w:ascii="宋体" w:hAnsi="宋体" w:cs="宋体"/>
                <w:color w:val="000000"/>
                <w:szCs w:val="21"/>
                <w:highlight w:val="none"/>
              </w:rPr>
            </w:pPr>
          </w:p>
        </w:tc>
        <w:tc>
          <w:tcPr>
            <w:tcW w:w="1080" w:type="dxa"/>
            <w:noWrap w:val="0"/>
            <w:vAlign w:val="center"/>
          </w:tcPr>
          <w:p>
            <w:pPr>
              <w:jc w:val="center"/>
              <w:rPr>
                <w:rFonts w:ascii="宋体" w:hAnsi="宋体" w:cs="宋体"/>
                <w:color w:val="000000"/>
                <w:szCs w:val="21"/>
                <w:highlight w:val="none"/>
              </w:rPr>
            </w:pPr>
          </w:p>
        </w:tc>
        <w:tc>
          <w:tcPr>
            <w:tcW w:w="1620" w:type="dxa"/>
            <w:noWrap w:val="0"/>
            <w:vAlign w:val="top"/>
          </w:tcPr>
          <w:p>
            <w:pPr>
              <w:spacing w:line="360" w:lineRule="auto"/>
              <w:jc w:val="center"/>
              <w:rPr>
                <w:color w:val="000000"/>
                <w:szCs w:val="21"/>
                <w:highlight w:val="none"/>
              </w:rPr>
            </w:pPr>
          </w:p>
        </w:tc>
        <w:tc>
          <w:tcPr>
            <w:tcW w:w="1800" w:type="dxa"/>
            <w:noWrap w:val="0"/>
            <w:vAlign w:val="top"/>
          </w:tcPr>
          <w:p>
            <w:pPr>
              <w:spacing w:line="360" w:lineRule="auto"/>
              <w:jc w:val="center"/>
              <w:rPr>
                <w:rFonts w:ascii="宋体" w:hAnsi="宋体" w:cs="宋体"/>
                <w:color w:val="000000"/>
                <w:szCs w:val="21"/>
                <w:highlight w:val="none"/>
              </w:rPr>
            </w:pPr>
            <w:r>
              <w:rPr>
                <w:rFonts w:hint="eastAsia" w:ascii="宋体" w:hAnsi="宋体"/>
                <w:color w:val="000000"/>
                <w:spacing w:val="18"/>
                <w:highlight w:val="none"/>
                <w:lang w:val="en-US" w:eastAsia="zh-CN"/>
              </w:rPr>
              <w:t>资料员</w:t>
            </w:r>
          </w:p>
        </w:tc>
        <w:tc>
          <w:tcPr>
            <w:tcW w:w="3240"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lang w:eastAsia="zh-CN"/>
              </w:rPr>
              <w:t>监理全过程驻场</w:t>
            </w:r>
          </w:p>
        </w:tc>
      </w:tr>
    </w:tbl>
    <w:p>
      <w:pPr>
        <w:rPr>
          <w:color w:val="000000"/>
          <w:highlight w:val="none"/>
        </w:rPr>
      </w:pPr>
    </w:p>
    <w:p>
      <w:pPr>
        <w:outlineLvl w:val="1"/>
        <w:rPr>
          <w:rFonts w:hint="eastAsia" w:ascii="宋体" w:hAnsi="宋体" w:cs="宋体"/>
          <w:b/>
          <w:bCs/>
          <w:color w:val="000000"/>
          <w:kern w:val="0"/>
          <w:sz w:val="28"/>
          <w:szCs w:val="28"/>
          <w:highlight w:val="none"/>
        </w:rPr>
      </w:pPr>
      <w:bookmarkStart w:id="23" w:name="_Toc8529"/>
    </w:p>
    <w:p>
      <w:pPr>
        <w:outlineLvl w:val="1"/>
        <w:rPr>
          <w:rFonts w:ascii="宋体"/>
          <w:color w:val="000000"/>
          <w:sz w:val="28"/>
          <w:szCs w:val="28"/>
          <w:highlight w:val="none"/>
        </w:rPr>
      </w:pPr>
      <w:r>
        <w:rPr>
          <w:rFonts w:hint="eastAsia" w:ascii="宋体" w:hAnsi="宋体" w:cs="宋体"/>
          <w:b/>
          <w:bCs/>
          <w:color w:val="000000"/>
          <w:kern w:val="0"/>
          <w:sz w:val="28"/>
          <w:szCs w:val="28"/>
          <w:highlight w:val="none"/>
        </w:rPr>
        <w:br w:type="page"/>
      </w:r>
      <w:r>
        <w:rPr>
          <w:rFonts w:hint="eastAsia" w:ascii="宋体" w:hAnsi="宋体" w:cs="宋体"/>
          <w:b/>
          <w:bCs/>
          <w:color w:val="000000"/>
          <w:kern w:val="0"/>
          <w:sz w:val="28"/>
          <w:szCs w:val="28"/>
          <w:highlight w:val="none"/>
        </w:rPr>
        <w:t>附件</w:t>
      </w:r>
      <w:r>
        <w:rPr>
          <w:rFonts w:hint="eastAsia" w:ascii="宋体" w:hAnsi="宋体" w:cs="宋体"/>
          <w:b/>
          <w:bCs/>
          <w:color w:val="000000"/>
          <w:kern w:val="0"/>
          <w:sz w:val="28"/>
          <w:szCs w:val="28"/>
          <w:highlight w:val="none"/>
          <w:lang w:val="en-US" w:eastAsia="zh-CN"/>
        </w:rPr>
        <w:t>4</w:t>
      </w:r>
      <w:r>
        <w:rPr>
          <w:rFonts w:hint="eastAsia" w:ascii="宋体" w:hAnsi="宋体" w:cs="宋体"/>
          <w:b/>
          <w:bCs/>
          <w:color w:val="000000"/>
          <w:sz w:val="28"/>
          <w:szCs w:val="28"/>
          <w:highlight w:val="none"/>
        </w:rPr>
        <w:t>廉洁协议书</w:t>
      </w:r>
      <w:bookmarkEnd w:id="23"/>
    </w:p>
    <w:p>
      <w:pPr>
        <w:autoSpaceDE w:val="0"/>
        <w:autoSpaceDN w:val="0"/>
        <w:spacing w:line="240" w:lineRule="auto"/>
        <w:ind w:firstLine="4819" w:firstLineChars="2000"/>
        <w:jc w:val="left"/>
        <w:textAlignment w:val="auto"/>
        <w:rPr>
          <w:rFonts w:ascii="方正小标宋简体" w:eastAsia="方正小标宋简体"/>
          <w:color w:val="000000"/>
          <w:sz w:val="44"/>
          <w:szCs w:val="44"/>
          <w:highlight w:val="none"/>
        </w:rPr>
      </w:pPr>
      <w:r>
        <w:rPr>
          <w:rFonts w:hint="eastAsia" w:ascii="华文楷体" w:hAnsi="华文楷体" w:eastAsia="华文楷体"/>
          <w:b/>
          <w:color w:val="000000"/>
          <w:sz w:val="24"/>
          <w:szCs w:val="24"/>
          <w:highlight w:val="none"/>
        </w:rPr>
        <w:t>对应合同编号：</w:t>
      </w:r>
    </w:p>
    <w:p>
      <w:pPr>
        <w:spacing w:line="500" w:lineRule="exact"/>
        <w:jc w:val="center"/>
        <w:rPr>
          <w:rFonts w:hint="eastAsia" w:ascii="方正小标宋简体" w:eastAsia="方正小标宋简体"/>
          <w:color w:val="000000"/>
          <w:sz w:val="32"/>
          <w:szCs w:val="32"/>
          <w:highlight w:val="none"/>
        </w:rPr>
      </w:pPr>
      <w:r>
        <w:rPr>
          <w:rFonts w:hint="eastAsia" w:ascii="方正小标宋简体" w:eastAsia="方正小标宋简体"/>
          <w:color w:val="000000"/>
          <w:sz w:val="32"/>
          <w:szCs w:val="32"/>
          <w:highlight w:val="none"/>
        </w:rPr>
        <w:t>廉洁协议书</w:t>
      </w:r>
    </w:p>
    <w:p>
      <w:pPr>
        <w:spacing w:line="360" w:lineRule="auto"/>
        <w:jc w:val="center"/>
        <w:rPr>
          <w:rFonts w:hint="eastAsia" w:ascii="方正小标宋简体" w:eastAsia="方正小标宋简体"/>
          <w:color w:val="000000"/>
          <w:sz w:val="32"/>
          <w:szCs w:val="32"/>
          <w:highlight w:val="none"/>
        </w:rPr>
      </w:pPr>
    </w:p>
    <w:p>
      <w:pPr>
        <w:pStyle w:val="17"/>
        <w:spacing w:line="360" w:lineRule="auto"/>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第一条 甲、乙双方的共同责任</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（一）严格遵守国家关于市场准入、招标投标、工程建设、物资采购等市场经济活动的法律法规、政策以及廉洁建设规定。</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（二）严格履行合同约定，自觉承担合同义务。</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（三）业务活动必须坚持公平、公正、公开和诚实守信的原则（除法律法规另有规定者外），不得为获取不正当利益，损害国家、集体和对方利益，不违反招标投标、工程建设管理、物资采购等方面的规章制度。</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（四）建立健全自我制约制度，开展廉洁教育，公布举报电话，监督并认真查处违法违纪行为。</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trike w:val="0"/>
          <w:dstrike w:val="0"/>
          <w:color w:val="000000"/>
          <w:sz w:val="24"/>
          <w:szCs w:val="24"/>
          <w:highlight w:val="none"/>
        </w:rPr>
        <w:t>（五）发现对方在业务活动中有违规、违纪、违法行为的，应及时提醒对方，情节严重的，应向有关纪检</w:t>
      </w:r>
      <w:r>
        <w:rPr>
          <w:rFonts w:hint="eastAsia" w:ascii="宋体" w:hAnsi="宋体" w:eastAsia="宋体" w:cs="宋体"/>
          <w:color w:val="000000"/>
          <w:sz w:val="24"/>
          <w:szCs w:val="24"/>
          <w:highlight w:val="none"/>
        </w:rPr>
        <w:t>部门举报。</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第二条  甲方的责任</w:t>
      </w:r>
      <w:r>
        <w:rPr>
          <w:rFonts w:hint="eastAsia" w:ascii="宋体" w:hAnsi="宋体" w:eastAsia="宋体" w:cs="宋体"/>
          <w:strike w:val="0"/>
          <w:dstrike w:val="0"/>
          <w:color w:val="000000"/>
          <w:sz w:val="24"/>
          <w:szCs w:val="24"/>
          <w:highlight w:val="none"/>
        </w:rPr>
        <w:t>：</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甲方相关工作人员，在业务活动的事前、事中、事后，应遵守以下规定：</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（一）贯彻落实中国南方电网有限责任公司有关党风廉政建设责任制及廉洁从业的规定，建立企业诚信档案； </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（二）按照公平、公正、公开和诚实守信的原则开展各项业务活动，为乙方提供公平的竞争环境与平台； </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（三）不准向乙方泄漏涉及有关业务活动的秘密； </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（四）不准向乙方和相关单位索要或接受回扣、红包、礼金、购物卡、有价证券、贵重物品和好处费、感谢费等； </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（五）不准在乙方和相关单位报销任何应由甲方或个人支付的费用；</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（六）不准要求、暗示或接受乙方和相关单位为个人装修住房、婚丧嫁娶、配偶子女的工作安排以及境内外旅游等提供方便；</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（七）不准向乙方介绍配偶、子女、亲属参与与甲方有关的经济活动，不得以任何理由向乙方和相关单位推荐第三方单位；</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（八）不准参与影响相关工作正常和公正开展的其他活动；</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（九）不准违反《中共中央纪委关于严格禁止利用职务上的便利谋取不正当利益的若干规定》的内容。</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第三条  乙方的责任</w:t>
      </w:r>
      <w:r>
        <w:rPr>
          <w:rFonts w:hint="eastAsia" w:ascii="宋体" w:hAnsi="宋体" w:eastAsia="宋体" w:cs="宋体"/>
          <w:strike w:val="0"/>
          <w:dstrike w:val="0"/>
          <w:color w:val="000000"/>
          <w:sz w:val="24"/>
          <w:szCs w:val="24"/>
          <w:highlight w:val="none"/>
        </w:rPr>
        <w:t>：</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在与甲方业务交往过程中，按照有关法律法规和程序开展工作，严格执行国家的有关方针、政策，并遵守以下规定：</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（一）不准以任何理由为甲方和相关单位报销应由对方或个人支付的费用；</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（二）不准以任何理由向甲方负责人及其工作人员赠送回扣、红包、礼金、购物卡、有价证券、贵重物品和好处费、感谢费等；</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（三）不准以任何理由为甲方、与甲方相关的单位或个人提供高消费宴请及娱乐活动；</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（四）不准以任何理由为甲方、与甲方相关的单位或个人购置或提供通讯工具、交通工具和高档办公用品；</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（五）不准接受或暗示为甲方、与甲方相关的单位或个人装修住房、婚丧嫁取、配偶子女的工作安排以及境内外旅游等提供方便；</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（六）不准以谋取非正当利益为目的，擅自与甲方工作人员就业务问题进行私下商谈或者达成利益默契；</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（七）发现甲方工作人员有违反本廉洁协议书规定的，应向甲方单位举报。</w:t>
      </w:r>
      <w:r>
        <w:rPr>
          <w:rFonts w:hint="eastAsia" w:ascii="宋体" w:hAnsi="宋体" w:eastAsia="宋体" w:cs="宋体"/>
          <w:color w:val="000000"/>
          <w:sz w:val="24"/>
          <w:szCs w:val="24"/>
          <w:highlight w:val="none"/>
          <w:lang w:val="en-US" w:eastAsia="zh-CN"/>
        </w:rPr>
        <w:t>广州南方投资集团有限公司</w:t>
      </w:r>
      <w:r>
        <w:rPr>
          <w:rFonts w:hint="eastAsia" w:ascii="宋体" w:hAnsi="宋体" w:eastAsia="宋体" w:cs="宋体"/>
          <w:color w:val="000000"/>
          <w:sz w:val="24"/>
          <w:szCs w:val="24"/>
          <w:highlight w:val="none"/>
        </w:rPr>
        <w:t>受理部门：监</w:t>
      </w:r>
      <w:r>
        <w:rPr>
          <w:rFonts w:hint="eastAsia" w:ascii="宋体" w:hAnsi="宋体" w:eastAsia="宋体" w:cs="宋体"/>
          <w:color w:val="000000"/>
          <w:sz w:val="24"/>
          <w:szCs w:val="24"/>
          <w:highlight w:val="none"/>
          <w:lang w:eastAsia="zh-CN"/>
        </w:rPr>
        <w:t>督</w:t>
      </w:r>
      <w:r>
        <w:rPr>
          <w:rFonts w:hint="eastAsia" w:ascii="宋体" w:hAnsi="宋体" w:eastAsia="宋体" w:cs="宋体"/>
          <w:color w:val="000000"/>
          <w:sz w:val="24"/>
          <w:szCs w:val="24"/>
          <w:highlight w:val="none"/>
        </w:rPr>
        <w:t>部；举报邮箱：jbyx@</w:t>
      </w:r>
      <w:r>
        <w:rPr>
          <w:rFonts w:hint="eastAsia" w:ascii="宋体" w:hAnsi="宋体" w:eastAsia="宋体" w:cs="宋体"/>
          <w:color w:val="000000"/>
          <w:sz w:val="24"/>
          <w:szCs w:val="24"/>
          <w:highlight w:val="none"/>
          <w:lang w:val="en-US" w:eastAsia="zh-CN"/>
        </w:rPr>
        <w:t>gznftz.com</w:t>
      </w:r>
      <w:r>
        <w:rPr>
          <w:rFonts w:hint="eastAsia" w:ascii="宋体" w:hAnsi="宋体" w:eastAsia="宋体" w:cs="宋体"/>
          <w:color w:val="000000"/>
          <w:sz w:val="24"/>
          <w:szCs w:val="24"/>
          <w:highlight w:val="none"/>
        </w:rPr>
        <w:t>。</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第四条  相关责任</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w:t>
      </w:r>
      <w:r>
        <w:rPr>
          <w:rFonts w:hint="eastAsia" w:ascii="宋体" w:hAnsi="宋体" w:eastAsia="宋体" w:cs="宋体"/>
          <w:strike w:val="0"/>
          <w:dstrike w:val="0"/>
          <w:color w:val="000000"/>
          <w:sz w:val="24"/>
          <w:szCs w:val="24"/>
          <w:highlight w:val="none"/>
        </w:rPr>
        <w:t>方有</w:t>
      </w:r>
      <w:r>
        <w:rPr>
          <w:rFonts w:hint="eastAsia" w:ascii="宋体" w:hAnsi="宋体" w:eastAsia="宋体" w:cs="宋体"/>
          <w:color w:val="000000"/>
          <w:sz w:val="24"/>
          <w:szCs w:val="24"/>
          <w:highlight w:val="none"/>
        </w:rPr>
        <w:t>违反本廉洁协议书第一、二条规定的，严格按照管理权限，依据有关法律法规和规章制度给予纪律处分或组织处理；涉嫌犯罪的，移送司法机关依法追究刑事责任；给乙方单位造成经济损失的，应依法予以赔偿。</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（二）乙方违反本廉洁协议书第一、三条规定的，根据国家和南方电网公司招投标等有关规定，对乙方进行处理。涉嫌犯罪的，移送司法机关依法追究刑事责任；给甲方单位造成经济损失的，应依法予以赔偿。</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（三）乙方违反本廉洁协议书第一、三条规定，发生行贿行为，经政府有关执纪执法部门或甲方纪检机构查证属实，甲方根据南方电网公司有关规定，视情节轻重对乙方实施一定期限的市场禁入。</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第五条  协议书生效及法律效力</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（一）本廉洁协议书作为合同的附件，与合同具有同等法律效力，经双方签字盖章后立即生效。</w:t>
      </w:r>
    </w:p>
    <w:p>
      <w:pPr>
        <w:pStyle w:val="17"/>
        <w:spacing w:line="360" w:lineRule="auto"/>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（二）除非甲乙双方另行签订新的廉洁协议书，否则本廉洁协议书在甲方与乙方存在业务关系期间均对双方产生约束力。</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第六条  协议书份数</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本廉洁协议书一式</w:t>
      </w:r>
      <w:r>
        <w:rPr>
          <w:rFonts w:hint="eastAsia" w:ascii="宋体" w:hAnsi="宋体" w:eastAsia="宋体" w:cs="宋体"/>
          <w:color w:val="000000"/>
          <w:sz w:val="24"/>
          <w:szCs w:val="24"/>
          <w:highlight w:val="none"/>
          <w:u w:val="single"/>
        </w:rPr>
        <w:t xml:space="preserve"> 陆</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份，甲方</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份，乙方</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份。</w:t>
      </w:r>
    </w:p>
    <w:p>
      <w:pPr>
        <w:pStyle w:val="22"/>
        <w:spacing w:line="360" w:lineRule="auto"/>
        <w:rPr>
          <w:rFonts w:hint="eastAsia" w:ascii="宋体" w:hAnsi="宋体" w:eastAsia="宋体" w:cs="宋体"/>
          <w:color w:val="000000"/>
          <w:sz w:val="24"/>
          <w:szCs w:val="24"/>
          <w:highlight w:val="none"/>
        </w:rPr>
      </w:pPr>
    </w:p>
    <w:p>
      <w:pPr>
        <w:pStyle w:val="22"/>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甲乙双方确认在签订本廉洁协议书前已仔细阅读条款内容，甲乙双方对本廉洁协议书所产生的法律责任已清楚知悉并承诺遵守。</w:t>
      </w:r>
    </w:p>
    <w:p>
      <w:pPr>
        <w:spacing w:line="360" w:lineRule="auto"/>
        <w:jc w:val="left"/>
        <w:rPr>
          <w:rFonts w:hint="eastAsia" w:ascii="宋体" w:hAnsi="宋体" w:eastAsia="宋体" w:cs="宋体"/>
          <w:color w:val="000000"/>
          <w:sz w:val="24"/>
          <w:szCs w:val="24"/>
          <w:highlight w:val="none"/>
        </w:rPr>
      </w:pPr>
    </w:p>
    <w:p>
      <w:pPr>
        <w:spacing w:line="360" w:lineRule="auto"/>
        <w:jc w:val="left"/>
        <w:rPr>
          <w:rFonts w:hint="eastAsia" w:ascii="宋体" w:hAnsi="宋体" w:eastAsia="宋体" w:cs="宋体"/>
          <w:color w:val="000000"/>
          <w:sz w:val="24"/>
          <w:szCs w:val="24"/>
          <w:highlight w:val="none"/>
        </w:rPr>
      </w:pPr>
    </w:p>
    <w:p>
      <w:pPr>
        <w:spacing w:line="360" w:lineRule="auto"/>
        <w:ind w:firstLine="240" w:firstLineChars="1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甲方（盖章）                     乙方（盖章）：</w:t>
      </w:r>
    </w:p>
    <w:p>
      <w:pPr>
        <w:spacing w:before="156" w:beforeLines="50" w:after="156" w:afterLines="50" w:line="360" w:lineRule="auto"/>
        <w:jc w:val="left"/>
        <w:rPr>
          <w:rFonts w:hint="eastAsia" w:ascii="宋体" w:hAnsi="宋体" w:eastAsia="宋体" w:cs="宋体"/>
          <w:color w:val="000000"/>
          <w:sz w:val="24"/>
          <w:szCs w:val="24"/>
          <w:highlight w:val="none"/>
        </w:rPr>
      </w:pPr>
    </w:p>
    <w:p>
      <w:pPr>
        <w:snapToGrid w:val="0"/>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                       法定代表人</w:t>
      </w:r>
    </w:p>
    <w:p>
      <w:pPr>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（或委托代理人）：                 （或委托代理人）：             </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年    月     日                  年    月   日</w:t>
      </w:r>
    </w:p>
    <w:p>
      <w:pPr>
        <w:spacing w:line="360" w:lineRule="auto"/>
        <w:rPr>
          <w:rFonts w:hint="eastAsia" w:ascii="宋体" w:hAnsi="宋体" w:eastAsia="宋体" w:cs="宋体"/>
          <w:color w:val="000000"/>
          <w:sz w:val="24"/>
          <w:szCs w:val="24"/>
          <w:highlight w:val="none"/>
        </w:rPr>
      </w:pPr>
    </w:p>
    <w:p>
      <w:pPr>
        <w:spacing w:line="360" w:lineRule="auto"/>
        <w:rPr>
          <w:rFonts w:hint="eastAsia" w:ascii="宋体" w:hAnsi="宋体" w:eastAsia="宋体" w:cs="宋体"/>
          <w:color w:val="000000"/>
          <w:sz w:val="24"/>
          <w:szCs w:val="24"/>
          <w:highlight w:val="none"/>
        </w:rPr>
      </w:pPr>
    </w:p>
    <w:p>
      <w:pPr>
        <w:spacing w:line="360" w:lineRule="auto"/>
        <w:rPr>
          <w:rFonts w:hint="eastAsia" w:ascii="宋体" w:hAnsi="宋体" w:eastAsia="宋体" w:cs="宋体"/>
          <w:color w:val="000000"/>
          <w:sz w:val="24"/>
          <w:szCs w:val="24"/>
          <w:highlight w:val="none"/>
        </w:rPr>
      </w:pPr>
    </w:p>
    <w:p>
      <w:pPr>
        <w:spacing w:line="360" w:lineRule="auto"/>
        <w:rPr>
          <w:rFonts w:hint="eastAsia" w:ascii="宋体" w:hAnsi="宋体" w:eastAsia="宋体" w:cs="宋体"/>
          <w:color w:val="000000"/>
          <w:sz w:val="24"/>
          <w:szCs w:val="24"/>
          <w:highlight w:val="none"/>
        </w:rPr>
      </w:pPr>
    </w:p>
    <w:p>
      <w:pPr>
        <w:spacing w:line="360" w:lineRule="auto"/>
        <w:rPr>
          <w:rFonts w:hint="eastAsia" w:ascii="宋体" w:hAnsi="宋体" w:eastAsia="宋体" w:cs="宋体"/>
          <w:color w:val="000000"/>
          <w:sz w:val="24"/>
          <w:szCs w:val="24"/>
          <w:highlight w:val="none"/>
        </w:rPr>
      </w:pPr>
    </w:p>
    <w:p>
      <w:pPr>
        <w:spacing w:line="360" w:lineRule="auto"/>
        <w:rPr>
          <w:rFonts w:hint="eastAsia" w:ascii="宋体" w:hAnsi="宋体" w:eastAsia="宋体" w:cs="宋体"/>
          <w:color w:val="000000"/>
          <w:sz w:val="24"/>
          <w:szCs w:val="24"/>
          <w:highlight w:val="none"/>
        </w:rPr>
      </w:pPr>
    </w:p>
    <w:p>
      <w:pPr>
        <w:spacing w:line="360" w:lineRule="auto"/>
        <w:rPr>
          <w:rFonts w:hint="eastAsia" w:ascii="宋体" w:hAnsi="宋体" w:eastAsia="宋体" w:cs="宋体"/>
          <w:color w:val="000000"/>
          <w:sz w:val="24"/>
          <w:szCs w:val="24"/>
          <w:highlight w:val="none"/>
        </w:rPr>
      </w:pPr>
    </w:p>
    <w:p>
      <w:pPr>
        <w:spacing w:line="360" w:lineRule="auto"/>
        <w:rPr>
          <w:rFonts w:hint="eastAsia" w:ascii="宋体" w:hAnsi="宋体" w:eastAsia="宋体" w:cs="宋体"/>
          <w:color w:val="000000"/>
          <w:sz w:val="24"/>
          <w:szCs w:val="24"/>
          <w:highlight w:val="none"/>
        </w:rPr>
        <w:sectPr>
          <w:headerReference r:id="rId3" w:type="default"/>
          <w:footerReference r:id="rId4" w:type="default"/>
          <w:pgSz w:w="11907" w:h="16840"/>
          <w:pgMar w:top="1440" w:right="1588" w:bottom="1440" w:left="1588" w:header="737" w:footer="624" w:gutter="0"/>
          <w:cols w:space="720" w:num="1"/>
          <w:docGrid w:linePitch="312" w:charSpace="0"/>
        </w:sectPr>
      </w:pPr>
    </w:p>
    <w:p>
      <w:pP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附件</w:t>
      </w:r>
      <w:r>
        <w:rPr>
          <w:rFonts w:hint="default" w:ascii="宋体" w:hAnsi="宋体" w:cs="宋体"/>
          <w:b/>
          <w:bCs/>
          <w:color w:val="000000"/>
          <w:sz w:val="28"/>
          <w:szCs w:val="28"/>
          <w:highlight w:val="none"/>
          <w:lang w:val="en-GB"/>
        </w:rPr>
        <w:t>5</w:t>
      </w:r>
      <w:r>
        <w:rPr>
          <w:rFonts w:hint="eastAsia" w:ascii="宋体" w:hAnsi="宋体" w:cs="宋体"/>
          <w:b/>
          <w:bCs/>
          <w:color w:val="000000"/>
          <w:sz w:val="28"/>
          <w:szCs w:val="28"/>
          <w:highlight w:val="none"/>
        </w:rPr>
        <w:t>监理各阶段人员配置要求表</w:t>
      </w:r>
    </w:p>
    <w:p>
      <w:pPr>
        <w:rPr>
          <w:color w:val="000000"/>
          <w:highlight w:val="none"/>
        </w:rPr>
      </w:pPr>
    </w:p>
    <w:p>
      <w:pPr>
        <w:rPr>
          <w:color w:val="000000"/>
          <w:highlight w:val="none"/>
        </w:rPr>
      </w:pPr>
    </w:p>
    <w:p>
      <w:pPr>
        <w:rPr>
          <w:color w:val="000000"/>
          <w:highlight w:val="none"/>
        </w:rPr>
      </w:pPr>
    </w:p>
    <w:p>
      <w:pPr>
        <w:rPr>
          <w:color w:val="000000"/>
          <w:highlight w:val="none"/>
        </w:rPr>
      </w:pPr>
    </w:p>
    <w:tbl>
      <w:tblPr>
        <w:tblStyle w:val="32"/>
        <w:tblW w:w="1408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9"/>
        <w:gridCol w:w="2700"/>
        <w:gridCol w:w="1002"/>
        <w:gridCol w:w="1180"/>
        <w:gridCol w:w="1745"/>
        <w:gridCol w:w="1323"/>
        <w:gridCol w:w="1207"/>
        <w:gridCol w:w="1268"/>
        <w:gridCol w:w="1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施工阶段</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计划时间（暂定）</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总监</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总监代表</w:t>
            </w:r>
          </w:p>
        </w:tc>
        <w:tc>
          <w:tcPr>
            <w:tcW w:w="1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专业监理</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（土建兼安全）</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专业监理（机电）</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专业监理（装修）</w:t>
            </w:r>
          </w:p>
        </w:tc>
        <w:tc>
          <w:tcPr>
            <w:tcW w:w="12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资料员</w:t>
            </w:r>
          </w:p>
        </w:tc>
        <w:tc>
          <w:tcPr>
            <w:tcW w:w="12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auto"/>
                <w:kern w:val="0"/>
                <w:szCs w:val="21"/>
                <w:highlight w:val="none"/>
                <w:lang w:bidi="ar"/>
              </w:rPr>
              <w:t>造价师（无需驻场）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土方及基坑支护</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2023年12月-2024年9月</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主体结构</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2024年9月-2025年8月</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机电、建筑装饰及室外工程</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2025年8月-2026年9月</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室内精装修</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2026年9月-2027年6月</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pPr>
        <w:pStyle w:val="2"/>
        <w:rPr>
          <w:rFonts w:hint="default"/>
          <w:lang w:val="en-US" w:eastAsia="zh-CN"/>
        </w:rPr>
      </w:pPr>
    </w:p>
    <w:p>
      <w:pPr>
        <w:rPr>
          <w:rFonts w:hint="eastAsia" w:ascii="仿宋" w:hAnsi="仿宋" w:eastAsia="仿宋" w:cs="仿宋"/>
          <w:b/>
          <w:bCs/>
          <w:color w:val="000000"/>
          <w:sz w:val="32"/>
          <w:szCs w:val="32"/>
          <w:highlight w:val="none"/>
        </w:rPr>
        <w:sectPr>
          <w:pgSz w:w="16840" w:h="11907" w:orient="landscape"/>
          <w:pgMar w:top="1588" w:right="1440" w:bottom="1588" w:left="1440" w:header="737" w:footer="624" w:gutter="0"/>
          <w:cols w:space="720" w:num="1"/>
          <w:docGrid w:linePitch="312" w:charSpace="0"/>
        </w:sectPr>
      </w:pPr>
    </w:p>
    <w:p>
      <w:pPr>
        <w:rPr>
          <w:rFonts w:hint="eastAsia" w:ascii="宋体" w:hAnsi="宋体"/>
          <w:color w:val="000000"/>
          <w:highlight w:val="none"/>
        </w:rPr>
      </w:pPr>
      <w:r>
        <w:rPr>
          <w:rFonts w:hint="eastAsia" w:ascii="仿宋" w:hAnsi="仿宋" w:eastAsia="仿宋" w:cs="仿宋"/>
          <w:b/>
          <w:bCs/>
          <w:color w:val="000000"/>
          <w:sz w:val="32"/>
          <w:szCs w:val="32"/>
          <w:highlight w:val="none"/>
        </w:rPr>
        <w:t>附录C《监理工作的检查方法》</w:t>
      </w:r>
    </w:p>
    <w:p>
      <w:pPr>
        <w:pStyle w:val="3"/>
        <w:rPr>
          <w:color w:val="000000"/>
          <w:highlight w:val="none"/>
        </w:rPr>
      </w:pPr>
      <w:r>
        <w:rPr>
          <w:rFonts w:hint="eastAsia"/>
          <w:color w:val="000000"/>
          <w:highlight w:val="none"/>
        </w:rPr>
        <w:t>监理工作的检查方法</w:t>
      </w:r>
    </w:p>
    <w:p>
      <w:pPr>
        <w:spacing w:before="240"/>
        <w:rPr>
          <w:rFonts w:ascii="仿宋_GB2312" w:hAnsi="宋体"/>
          <w:b/>
          <w:bCs/>
          <w:color w:val="000000"/>
          <w:spacing w:val="4"/>
          <w:sz w:val="24"/>
          <w:szCs w:val="24"/>
          <w:highlight w:val="none"/>
        </w:rPr>
      </w:pPr>
      <w:r>
        <w:rPr>
          <w:rFonts w:hint="eastAsia" w:ascii="仿宋_GB2312" w:hAnsi="宋体"/>
          <w:b/>
          <w:bCs/>
          <w:color w:val="000000"/>
          <w:spacing w:val="4"/>
          <w:sz w:val="24"/>
          <w:szCs w:val="24"/>
          <w:highlight w:val="none"/>
        </w:rPr>
        <w:t>一、目的</w:t>
      </w:r>
    </w:p>
    <w:p>
      <w:pPr>
        <w:spacing w:line="360" w:lineRule="auto"/>
        <w:ind w:firstLine="513"/>
        <w:rPr>
          <w:rFonts w:ascii="仿宋_GB2312" w:hAnsi="宋体"/>
          <w:color w:val="000000"/>
          <w:sz w:val="24"/>
          <w:szCs w:val="24"/>
          <w:highlight w:val="none"/>
        </w:rPr>
      </w:pPr>
      <w:r>
        <w:rPr>
          <w:rFonts w:hint="eastAsia" w:ascii="仿宋_GB2312" w:hAnsi="宋体"/>
          <w:color w:val="000000"/>
          <w:sz w:val="24"/>
          <w:szCs w:val="24"/>
          <w:highlight w:val="none"/>
        </w:rPr>
        <w:t>为适应公司的精细化管理要求，规范项目监理的管理行为，提高监理工作效率，明确工程分部对监理单位的工作检查标准和方法，我司在原有《监理管理制度》和《监理工作管理要求》的基础上，特制定本检查方法。</w:t>
      </w:r>
    </w:p>
    <w:p>
      <w:pPr>
        <w:numPr>
          <w:ilvl w:val="0"/>
          <w:numId w:val="15"/>
        </w:numPr>
        <w:spacing w:before="240"/>
        <w:rPr>
          <w:rFonts w:ascii="仿宋_GB2312" w:hAnsi="宋体"/>
          <w:b/>
          <w:bCs/>
          <w:color w:val="000000"/>
          <w:spacing w:val="4"/>
          <w:sz w:val="24"/>
          <w:szCs w:val="24"/>
          <w:highlight w:val="none"/>
        </w:rPr>
      </w:pPr>
      <w:r>
        <w:rPr>
          <w:rFonts w:hint="eastAsia" w:ascii="仿宋_GB2312" w:hAnsi="宋体"/>
          <w:b/>
          <w:bCs/>
          <w:color w:val="000000"/>
          <w:spacing w:val="4"/>
          <w:sz w:val="24"/>
          <w:szCs w:val="24"/>
          <w:highlight w:val="none"/>
        </w:rPr>
        <w:t>适用范围</w:t>
      </w:r>
    </w:p>
    <w:p>
      <w:pPr>
        <w:spacing w:line="360" w:lineRule="auto"/>
        <w:ind w:firstLine="513"/>
        <w:rPr>
          <w:rFonts w:ascii="仿宋_GB2312" w:hAnsi="宋体"/>
          <w:color w:val="000000"/>
          <w:sz w:val="24"/>
          <w:szCs w:val="24"/>
          <w:highlight w:val="none"/>
        </w:rPr>
      </w:pPr>
      <w:r>
        <w:rPr>
          <w:rFonts w:hint="eastAsia" w:ascii="仿宋_GB2312" w:hAnsi="宋体"/>
          <w:color w:val="000000"/>
          <w:sz w:val="24"/>
          <w:szCs w:val="24"/>
          <w:highlight w:val="none"/>
        </w:rPr>
        <w:t>本检查方法适用于我司所有在建工程项目，包括全资项目以及合作管理项目，本要求未涉及部分按《监理管理制度》、《监理工作管理要求》执行；</w:t>
      </w:r>
    </w:p>
    <w:p>
      <w:pPr>
        <w:spacing w:before="240"/>
        <w:rPr>
          <w:rFonts w:ascii="仿宋_GB2312" w:hAnsi="宋体"/>
          <w:b/>
          <w:bCs/>
          <w:color w:val="000000"/>
          <w:spacing w:val="4"/>
          <w:sz w:val="24"/>
          <w:szCs w:val="24"/>
          <w:highlight w:val="none"/>
        </w:rPr>
      </w:pPr>
      <w:r>
        <w:rPr>
          <w:rFonts w:hint="eastAsia" w:ascii="仿宋_GB2312" w:hAnsi="宋体"/>
          <w:b/>
          <w:bCs/>
          <w:color w:val="000000"/>
          <w:spacing w:val="4"/>
          <w:sz w:val="24"/>
          <w:szCs w:val="24"/>
          <w:highlight w:val="none"/>
        </w:rPr>
        <w:t>三、对监理工作检查的制度</w:t>
      </w:r>
    </w:p>
    <w:p>
      <w:pPr>
        <w:spacing w:line="360" w:lineRule="auto"/>
        <w:ind w:firstLine="480" w:firstLineChars="200"/>
        <w:rPr>
          <w:rFonts w:ascii="仿宋_GB2312" w:hAnsi="宋体"/>
          <w:color w:val="000000"/>
          <w:sz w:val="24"/>
          <w:szCs w:val="24"/>
          <w:highlight w:val="none"/>
        </w:rPr>
      </w:pPr>
      <w:r>
        <w:rPr>
          <w:rFonts w:hint="eastAsia" w:ascii="仿宋_GB2312" w:hAnsi="宋体"/>
          <w:color w:val="000000"/>
          <w:sz w:val="24"/>
          <w:szCs w:val="24"/>
          <w:highlight w:val="none"/>
        </w:rPr>
        <w:t>监理季度考核：工程部根据</w:t>
      </w:r>
      <w:r>
        <w:rPr>
          <w:rFonts w:hint="eastAsia" w:ascii="宋体" w:hAnsi="宋体" w:cs="宋体"/>
          <w:color w:val="000000"/>
          <w:sz w:val="24"/>
          <w:szCs w:val="24"/>
          <w:highlight w:val="none"/>
        </w:rPr>
        <w:t>《监理季度检查评分表》对所有在建项目的合作监理单位进行现场检查、评分、考核，考核的</w:t>
      </w:r>
      <w:r>
        <w:rPr>
          <w:rFonts w:hint="eastAsia" w:ascii="仿宋_GB2312" w:hAnsi="宋体"/>
          <w:color w:val="000000"/>
          <w:sz w:val="24"/>
          <w:szCs w:val="24"/>
          <w:highlight w:val="none"/>
        </w:rPr>
        <w:t>周期为每个季度考核一次，考核时间为当季度最后一个月的25日~30日，检查期间项目部全程参与和配合。</w:t>
      </w:r>
    </w:p>
    <w:p>
      <w:pPr>
        <w:spacing w:line="360" w:lineRule="auto"/>
        <w:ind w:firstLine="480" w:firstLineChars="200"/>
        <w:rPr>
          <w:rFonts w:ascii="仿宋_GB2312" w:hAnsi="宋体"/>
          <w:color w:val="000000"/>
          <w:sz w:val="24"/>
          <w:szCs w:val="24"/>
          <w:highlight w:val="none"/>
        </w:rPr>
      </w:pPr>
      <w:r>
        <w:rPr>
          <w:rFonts w:hint="eastAsia" w:ascii="仿宋_GB2312" w:hAnsi="宋体"/>
          <w:color w:val="000000"/>
          <w:sz w:val="24"/>
          <w:szCs w:val="24"/>
          <w:highlight w:val="none"/>
        </w:rPr>
        <w:t>月度工程巡检：工程部根据本检查方法的内容组织对</w:t>
      </w:r>
      <w:r>
        <w:rPr>
          <w:rFonts w:hint="eastAsia" w:ascii="宋体" w:hAnsi="宋体" w:cs="宋体"/>
          <w:color w:val="000000"/>
          <w:sz w:val="24"/>
          <w:szCs w:val="24"/>
          <w:highlight w:val="none"/>
        </w:rPr>
        <w:t>所有在建项目的合作监理单位进行</w:t>
      </w:r>
      <w:r>
        <w:rPr>
          <w:rFonts w:hint="eastAsia" w:ascii="仿宋_GB2312" w:hAnsi="宋体"/>
          <w:color w:val="000000"/>
          <w:sz w:val="24"/>
          <w:szCs w:val="24"/>
          <w:highlight w:val="none"/>
        </w:rPr>
        <w:t>月度检查，检查的主要内容包括技术资料、安全文明施工、工程质量、工期和进度管理、工程材料管理（含不定期检查的内容），检查的周期为每个月检查1次，检查时间为每月25日~30日，检查期间项目部需全程参与和配合。</w:t>
      </w:r>
    </w:p>
    <w:p>
      <w:pPr>
        <w:spacing w:line="360" w:lineRule="auto"/>
        <w:ind w:firstLine="480" w:firstLineChars="200"/>
        <w:rPr>
          <w:rFonts w:ascii="仿宋_GB2312" w:hAnsi="宋体"/>
          <w:color w:val="000000"/>
          <w:sz w:val="24"/>
          <w:szCs w:val="24"/>
          <w:highlight w:val="none"/>
        </w:rPr>
      </w:pPr>
      <w:r>
        <w:rPr>
          <w:rFonts w:hint="eastAsia" w:ascii="仿宋_GB2312" w:hAnsi="宋体"/>
          <w:color w:val="000000"/>
          <w:sz w:val="24"/>
          <w:szCs w:val="24"/>
          <w:highlight w:val="none"/>
        </w:rPr>
        <w:t>不定期检查：在各重要工序或其他不固定的时间对</w:t>
      </w:r>
      <w:r>
        <w:rPr>
          <w:rFonts w:hint="eastAsia" w:ascii="宋体" w:hAnsi="宋体" w:cs="宋体"/>
          <w:color w:val="000000"/>
          <w:sz w:val="24"/>
          <w:szCs w:val="24"/>
          <w:highlight w:val="none"/>
        </w:rPr>
        <w:t>所有在建项目的合作监理单位进行检查</w:t>
      </w:r>
      <w:r>
        <w:rPr>
          <w:rFonts w:hint="eastAsia" w:ascii="仿宋_GB2312" w:hAnsi="宋体"/>
          <w:color w:val="000000"/>
          <w:sz w:val="24"/>
          <w:szCs w:val="24"/>
          <w:highlight w:val="none"/>
        </w:rPr>
        <w:t>，检查期间项目部全程参与和配合</w:t>
      </w:r>
      <w:r>
        <w:rPr>
          <w:rFonts w:hint="eastAsia" w:ascii="宋体" w:hAnsi="宋体" w:cs="宋体"/>
          <w:color w:val="000000"/>
          <w:sz w:val="24"/>
          <w:szCs w:val="24"/>
          <w:highlight w:val="none"/>
        </w:rPr>
        <w:t>。</w:t>
      </w:r>
    </w:p>
    <w:p>
      <w:pPr>
        <w:spacing w:before="240"/>
        <w:rPr>
          <w:rFonts w:ascii="仿宋_GB2312" w:hAnsi="宋体"/>
          <w:b/>
          <w:bCs/>
          <w:color w:val="000000"/>
          <w:spacing w:val="4"/>
          <w:sz w:val="24"/>
          <w:szCs w:val="24"/>
          <w:highlight w:val="none"/>
        </w:rPr>
      </w:pPr>
      <w:r>
        <w:rPr>
          <w:rFonts w:hint="eastAsia" w:ascii="仿宋_GB2312" w:hAnsi="宋体"/>
          <w:b/>
          <w:bCs/>
          <w:color w:val="000000"/>
          <w:spacing w:val="4"/>
          <w:sz w:val="24"/>
          <w:szCs w:val="24"/>
          <w:highlight w:val="none"/>
        </w:rPr>
        <w:t>四、检查的原则</w:t>
      </w:r>
    </w:p>
    <w:p>
      <w:pPr>
        <w:spacing w:line="360" w:lineRule="auto"/>
        <w:rPr>
          <w:rFonts w:ascii="仿宋_GB2312" w:hAnsi="宋体"/>
          <w:color w:val="000000"/>
          <w:sz w:val="24"/>
          <w:szCs w:val="24"/>
          <w:highlight w:val="none"/>
        </w:rPr>
      </w:pPr>
      <w:r>
        <w:rPr>
          <w:rFonts w:hint="eastAsia" w:ascii="仿宋_GB2312" w:hAnsi="宋体"/>
          <w:color w:val="000000"/>
          <w:sz w:val="24"/>
          <w:szCs w:val="24"/>
          <w:highlight w:val="none"/>
        </w:rPr>
        <w:t xml:space="preserve">    对监理单位的检查原则为：根据监理的检查记录现场抽查和复核其工作成果，检查现场是否有新的问题，最后检查监理的内业资料；要求检查思路清晰、检查的问题要点前后相关联，能真实的反映出被检查内容的条理。</w:t>
      </w:r>
    </w:p>
    <w:p>
      <w:pPr>
        <w:spacing w:before="240"/>
        <w:rPr>
          <w:rFonts w:ascii="仿宋_GB2312" w:hAnsi="宋体"/>
          <w:b/>
          <w:bCs/>
          <w:color w:val="000000"/>
          <w:spacing w:val="4"/>
          <w:sz w:val="24"/>
          <w:szCs w:val="24"/>
          <w:highlight w:val="none"/>
        </w:rPr>
      </w:pPr>
      <w:r>
        <w:rPr>
          <w:rFonts w:hint="eastAsia" w:ascii="仿宋_GB2312" w:hAnsi="宋体"/>
          <w:b/>
          <w:bCs/>
          <w:color w:val="000000"/>
          <w:spacing w:val="4"/>
          <w:sz w:val="24"/>
          <w:szCs w:val="24"/>
          <w:highlight w:val="none"/>
        </w:rPr>
        <w:t>五、技术资料的检查方法</w:t>
      </w:r>
    </w:p>
    <w:p>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工程分部检查监理单位的监理规划、监理细则、旁站方案是否齐全、审批手续是否完善。</w:t>
      </w:r>
    </w:p>
    <w:p>
      <w:pPr>
        <w:spacing w:line="360" w:lineRule="auto"/>
        <w:ind w:firstLine="480" w:firstLineChars="200"/>
        <w:jc w:val="left"/>
        <w:rPr>
          <w:rFonts w:ascii="宋体" w:hAnsi="宋体" w:cs="宋体"/>
          <w:color w:val="000000"/>
          <w:sz w:val="24"/>
          <w:szCs w:val="24"/>
          <w:highlight w:val="none"/>
        </w:rPr>
      </w:pPr>
      <w:r>
        <w:rPr>
          <w:rFonts w:hint="eastAsia" w:ascii="仿宋_GB2312" w:hAnsi="宋体"/>
          <w:color w:val="000000"/>
          <w:sz w:val="24"/>
          <w:szCs w:val="24"/>
          <w:highlight w:val="none"/>
        </w:rPr>
        <w:t>工程分部不定期检查监理单位的收发文登记台帐上登记。检查监理单位资料审批是否按要求时限完成：</w:t>
      </w:r>
      <w:r>
        <w:rPr>
          <w:rFonts w:hint="eastAsia" w:ascii="宋体" w:hAnsi="宋体" w:cs="宋体"/>
          <w:color w:val="000000"/>
          <w:sz w:val="24"/>
          <w:szCs w:val="24"/>
          <w:highlight w:val="none"/>
        </w:rPr>
        <w:t>分项工程开工前15日完成施工方案、施工进度计划的审查；技术和经济类资料原则上2天内必须审核完毕。</w:t>
      </w:r>
    </w:p>
    <w:p>
      <w:pPr>
        <w:spacing w:line="360" w:lineRule="auto"/>
        <w:ind w:right="74" w:firstLine="453" w:firstLineChars="189"/>
        <w:rPr>
          <w:rFonts w:ascii="宋体" w:hAnsi="宋体" w:cs="宋体"/>
          <w:color w:val="000000"/>
          <w:sz w:val="24"/>
          <w:szCs w:val="24"/>
          <w:highlight w:val="none"/>
        </w:rPr>
      </w:pPr>
      <w:r>
        <w:rPr>
          <w:rFonts w:hint="eastAsia" w:ascii="宋体" w:hAnsi="宋体" w:cs="宋体"/>
          <w:color w:val="000000"/>
          <w:sz w:val="24"/>
          <w:szCs w:val="24"/>
          <w:highlight w:val="none"/>
        </w:rPr>
        <w:t>工程分部不定期检查监理单位的监理通知单、安全隐患通知单和工作联系单，监理单位是否未跟踪、督促施工单位整改和回复。</w:t>
      </w:r>
    </w:p>
    <w:p>
      <w:pPr>
        <w:spacing w:line="360" w:lineRule="auto"/>
        <w:ind w:right="74" w:firstLine="453" w:firstLineChars="189"/>
        <w:rPr>
          <w:rFonts w:ascii="宋体" w:hAnsi="宋体" w:cs="宋体"/>
          <w:color w:val="000000"/>
          <w:sz w:val="24"/>
          <w:szCs w:val="24"/>
          <w:highlight w:val="none"/>
        </w:rPr>
      </w:pPr>
      <w:r>
        <w:rPr>
          <w:rFonts w:hint="eastAsia" w:ascii="宋体" w:hAnsi="宋体" w:cs="宋体"/>
          <w:color w:val="000000"/>
          <w:sz w:val="24"/>
          <w:szCs w:val="24"/>
          <w:highlight w:val="none"/>
        </w:rPr>
        <w:t>工程分部不定期检查监理单位的旁站记录：旁站记录中除旁站记录表外，还须把现场旁站情况拍摄相片，附在旁站记录表后，相片应能反映施工单位、监理单位工程师在现场的检查情况。</w:t>
      </w:r>
    </w:p>
    <w:p>
      <w:pPr>
        <w:pStyle w:val="72"/>
        <w:widowControl/>
        <w:ind w:firstLine="480" w:firstLineChars="0"/>
        <w:jc w:val="left"/>
        <w:rPr>
          <w:rFonts w:ascii="宋体" w:hAnsi="宋体" w:cs="宋体"/>
          <w:color w:val="000000"/>
          <w:sz w:val="24"/>
          <w:highlight w:val="none"/>
        </w:rPr>
      </w:pPr>
      <w:r>
        <w:rPr>
          <w:rFonts w:hint="eastAsia" w:ascii="宋体" w:hAnsi="宋体" w:cs="宋体"/>
          <w:color w:val="000000"/>
          <w:sz w:val="24"/>
          <w:highlight w:val="none"/>
        </w:rPr>
        <w:t>工程分部不定期检查监理工程师的监理日志是否按要求填写、内容是否齐全、总监理工程师是否有签阅。</w:t>
      </w:r>
    </w:p>
    <w:p>
      <w:pPr>
        <w:spacing w:line="360" w:lineRule="auto"/>
        <w:ind w:right="74" w:firstLine="453" w:firstLineChars="189"/>
        <w:rPr>
          <w:rFonts w:ascii="仿宋_GB2312" w:hAnsi="宋体"/>
          <w:color w:val="000000"/>
          <w:sz w:val="24"/>
          <w:szCs w:val="24"/>
          <w:highlight w:val="none"/>
        </w:rPr>
      </w:pPr>
      <w:r>
        <w:rPr>
          <w:rFonts w:hint="eastAsia" w:ascii="仿宋_GB2312" w:hAnsi="宋体"/>
          <w:color w:val="000000"/>
          <w:sz w:val="24"/>
          <w:szCs w:val="24"/>
          <w:highlight w:val="none"/>
        </w:rPr>
        <w:t>工程分部月度巡检时检查监理内业资料是否按《监理内业资料检查评分》（详</w:t>
      </w:r>
      <w:r>
        <w:rPr>
          <w:rFonts w:hint="eastAsia" w:ascii="宋体" w:hAnsi="宋体" w:cs="宋体"/>
          <w:color w:val="000000"/>
          <w:sz w:val="24"/>
          <w:szCs w:val="24"/>
          <w:highlight w:val="none"/>
        </w:rPr>
        <w:t>见附件1）的分类检查内容的要求执行，且各资料是否分类存档和建立台账清单。</w:t>
      </w:r>
    </w:p>
    <w:p>
      <w:pPr>
        <w:spacing w:before="240"/>
        <w:rPr>
          <w:rFonts w:ascii="仿宋_GB2312" w:hAnsi="宋体"/>
          <w:b/>
          <w:bCs/>
          <w:color w:val="000000"/>
          <w:spacing w:val="4"/>
          <w:sz w:val="24"/>
          <w:szCs w:val="24"/>
          <w:highlight w:val="none"/>
        </w:rPr>
      </w:pPr>
      <w:r>
        <w:rPr>
          <w:rFonts w:hint="eastAsia" w:ascii="仿宋_GB2312" w:hAnsi="宋体"/>
          <w:b/>
          <w:bCs/>
          <w:color w:val="000000"/>
          <w:spacing w:val="4"/>
          <w:sz w:val="24"/>
          <w:szCs w:val="24"/>
          <w:highlight w:val="none"/>
        </w:rPr>
        <w:t>六、安全文明施工检查方法</w:t>
      </w:r>
    </w:p>
    <w:p>
      <w:pPr>
        <w:spacing w:line="360" w:lineRule="auto"/>
        <w:ind w:firstLine="513"/>
        <w:rPr>
          <w:rFonts w:ascii="仿宋_GB2312" w:hAnsi="宋体"/>
          <w:color w:val="000000"/>
          <w:sz w:val="24"/>
          <w:szCs w:val="24"/>
          <w:highlight w:val="none"/>
        </w:rPr>
      </w:pPr>
      <w:r>
        <w:rPr>
          <w:rFonts w:hint="eastAsia" w:ascii="仿宋_GB2312" w:hAnsi="宋体"/>
          <w:color w:val="000000"/>
          <w:sz w:val="24"/>
          <w:szCs w:val="24"/>
          <w:highlight w:val="none"/>
        </w:rPr>
        <w:t>针对监理单位对现场安全文明施工的检查情况，工程分部每月不定期进行检查。检查内容包括：根据监理单位的安全检查的记录、安全隐患通知单、监理联系单和施工单位的整改回复，对现场安全文明施工存在问题的整改情况进行复核。</w:t>
      </w:r>
    </w:p>
    <w:p>
      <w:pPr>
        <w:spacing w:line="360" w:lineRule="auto"/>
        <w:ind w:firstLine="513"/>
        <w:rPr>
          <w:rFonts w:ascii="仿宋_GB2312" w:hAnsi="宋体"/>
          <w:color w:val="000000"/>
          <w:sz w:val="24"/>
          <w:szCs w:val="24"/>
          <w:highlight w:val="none"/>
        </w:rPr>
      </w:pPr>
      <w:r>
        <w:rPr>
          <w:rFonts w:hint="eastAsia" w:ascii="宋体" w:hAnsi="宋体" w:cs="宋体"/>
          <w:color w:val="000000"/>
          <w:sz w:val="24"/>
          <w:szCs w:val="24"/>
          <w:highlight w:val="none"/>
        </w:rPr>
        <w:t>工程分部月度工程巡检时按附件2的检查要点进行现场的安全文明施工检查，将安全文明施工检查发现的问题整理汇总形成《安全检查发现问题汇总表》（详见附件3），并要求监理单位按此表内容督促施工单位整改。</w:t>
      </w:r>
    </w:p>
    <w:p>
      <w:pPr>
        <w:spacing w:before="240"/>
        <w:rPr>
          <w:rFonts w:ascii="仿宋_GB2312" w:hAnsi="宋体"/>
          <w:b/>
          <w:bCs/>
          <w:color w:val="000000"/>
          <w:spacing w:val="4"/>
          <w:sz w:val="24"/>
          <w:szCs w:val="24"/>
          <w:highlight w:val="none"/>
        </w:rPr>
      </w:pPr>
      <w:r>
        <w:rPr>
          <w:rFonts w:hint="eastAsia" w:ascii="仿宋_GB2312" w:hAnsi="宋体"/>
          <w:b/>
          <w:bCs/>
          <w:color w:val="000000"/>
          <w:spacing w:val="4"/>
          <w:sz w:val="24"/>
          <w:szCs w:val="24"/>
          <w:highlight w:val="none"/>
        </w:rPr>
        <w:t>七、工程质量检查方法</w:t>
      </w:r>
    </w:p>
    <w:p>
      <w:pPr>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1、检查监理周质量检查的执行情况</w:t>
      </w:r>
    </w:p>
    <w:p>
      <w:pPr>
        <w:spacing w:line="360" w:lineRule="auto"/>
        <w:ind w:firstLine="513"/>
        <w:rPr>
          <w:rFonts w:ascii="仿宋_GB2312" w:hAnsi="宋体"/>
          <w:color w:val="000000"/>
          <w:sz w:val="24"/>
          <w:szCs w:val="24"/>
          <w:highlight w:val="none"/>
        </w:rPr>
      </w:pPr>
      <w:r>
        <w:rPr>
          <w:rFonts w:hint="eastAsia" w:ascii="仿宋_GB2312" w:hAnsi="宋体"/>
          <w:color w:val="000000"/>
          <w:sz w:val="24"/>
          <w:szCs w:val="24"/>
          <w:highlight w:val="none"/>
        </w:rPr>
        <w:t>工程分部不定期检查监理单位的周质量检查的记录、监理工程师通知单、监理联系单和施工单位的整改回复，对现场的工程质量存在的问题的整改情况进行复核。</w:t>
      </w:r>
    </w:p>
    <w:p>
      <w:pPr>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2、控制线检查</w:t>
      </w:r>
    </w:p>
    <w:p>
      <w:pPr>
        <w:spacing w:line="360" w:lineRule="auto"/>
        <w:ind w:firstLine="480" w:firstLineChars="200"/>
        <w:rPr>
          <w:rFonts w:ascii="仿宋_GB2312" w:hAnsi="宋体"/>
          <w:color w:val="000000"/>
          <w:sz w:val="24"/>
          <w:szCs w:val="24"/>
          <w:highlight w:val="none"/>
        </w:rPr>
      </w:pPr>
      <w:r>
        <w:rPr>
          <w:rFonts w:hint="eastAsia" w:ascii="宋体" w:hAnsi="宋体" w:cs="宋体"/>
          <w:color w:val="000000"/>
          <w:sz w:val="24"/>
          <w:szCs w:val="24"/>
          <w:highlight w:val="none"/>
        </w:rPr>
        <w:t>工程分部不定期抽查监理单位对施工单位的控制线进行复核的结果。根据现场实际施工的不同阶段，对各阶段的控制线进行抽查。</w:t>
      </w:r>
    </w:p>
    <w:p>
      <w:pPr>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3、质量检查评分</w:t>
      </w:r>
    </w:p>
    <w:p>
      <w:pPr>
        <w:spacing w:line="360" w:lineRule="auto"/>
        <w:ind w:firstLine="480" w:firstLineChars="200"/>
        <w:rPr>
          <w:rFonts w:ascii="宋体" w:hAnsi="宋体" w:cs="宋体"/>
          <w:color w:val="000000"/>
          <w:sz w:val="24"/>
          <w:szCs w:val="24"/>
          <w:highlight w:val="none"/>
        </w:rPr>
      </w:pPr>
      <w:r>
        <w:rPr>
          <w:rFonts w:hint="eastAsia" w:ascii="宋体" w:hAnsi="宋体" w:cs="宋体"/>
          <w:bCs/>
          <w:color w:val="000000"/>
          <w:sz w:val="24"/>
          <w:szCs w:val="24"/>
          <w:highlight w:val="none"/>
        </w:rPr>
        <w:t>工程分部月度工程巡检的检查需根据附件4的内容组织检查，</w:t>
      </w:r>
      <w:r>
        <w:rPr>
          <w:rFonts w:hint="eastAsia" w:ascii="仿宋_GB2312" w:hAnsi="宋体"/>
          <w:color w:val="000000"/>
          <w:sz w:val="24"/>
          <w:szCs w:val="24"/>
          <w:highlight w:val="none"/>
        </w:rPr>
        <w:t>将发现的问题整理汇总形成《工程质量检查发现问题的汇总表》（详见附件5），并及时发出汇总表要求</w:t>
      </w:r>
      <w:r>
        <w:rPr>
          <w:rFonts w:hint="eastAsia" w:ascii="宋体" w:hAnsi="宋体" w:cs="宋体"/>
          <w:color w:val="000000"/>
          <w:sz w:val="24"/>
          <w:szCs w:val="24"/>
          <w:highlight w:val="none"/>
        </w:rPr>
        <w:t>监理单位督促施工单位整改和</w:t>
      </w:r>
      <w:r>
        <w:rPr>
          <w:rFonts w:hint="eastAsia" w:ascii="仿宋_GB2312" w:hAnsi="宋体"/>
          <w:color w:val="000000"/>
          <w:sz w:val="24"/>
          <w:szCs w:val="24"/>
          <w:highlight w:val="none"/>
        </w:rPr>
        <w:t>回复。重点</w:t>
      </w:r>
      <w:r>
        <w:rPr>
          <w:rFonts w:hint="eastAsia" w:ascii="宋体" w:hAnsi="宋体" w:cs="宋体"/>
          <w:color w:val="000000"/>
          <w:sz w:val="24"/>
          <w:szCs w:val="24"/>
          <w:highlight w:val="none"/>
        </w:rPr>
        <w:t>检查监理单位的渗漏、结构安全、观感质量、空鼓开裂、违规强条等问题的图纸标注记录是否齐全，是否有要求施工单位整改的要求，是否有整改措施、是否有跟进和督促整改。</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工程分部检查监理单位的《质量检查评分检查方案》。检查方案是否根据项目的实际情况明确检查的区域范围大小、检查的测区数量等。</w:t>
      </w:r>
    </w:p>
    <w:p>
      <w:pPr>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4、检查分项工程质量</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工程分部不定期检查和复核监理单位的分项工程检查验收记录和相关证明照片，检查钢筋工程、模板（支撑体系）工程、砌体工程、抹灰工程、防水工程等的分项工程检查验收记录是否齐全，检查监理单位是否将存在问题的在图纸上标注、检查参与验收人员的确认签字是否齐全。</w:t>
      </w:r>
    </w:p>
    <w:p>
      <w:pPr>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5、实测实量</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检查监理单位的实测实量检查方案：重点对方案中每项工程须检查的部位、点数，并绘制测量点位图、测量表格等；检查方案是否报甲方项目部审批。</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工程分部月度工程巡检时对监理实测实量工作进行抽查：根据监理单位的《工程质量实体实测合格率评估表》（详附件6）或实测实量记录对其工作成果进行抽查，检查监理单位工作的真实性和准确性，检查监理单位是否及时发联系单要求施工单位改进。</w:t>
      </w:r>
    </w:p>
    <w:p>
      <w:pPr>
        <w:pStyle w:val="72"/>
        <w:widowControl/>
        <w:ind w:firstLine="0" w:firstLineChars="0"/>
        <w:jc w:val="left"/>
        <w:rPr>
          <w:rFonts w:ascii="仿宋_GB2312" w:hAnsi="宋体"/>
          <w:b/>
          <w:bCs/>
          <w:color w:val="000000"/>
          <w:spacing w:val="4"/>
          <w:sz w:val="24"/>
          <w:highlight w:val="none"/>
        </w:rPr>
      </w:pPr>
      <w:r>
        <w:rPr>
          <w:rFonts w:hint="eastAsia" w:ascii="仿宋_GB2312" w:hAnsi="宋体"/>
          <w:b/>
          <w:bCs/>
          <w:color w:val="000000"/>
          <w:spacing w:val="4"/>
          <w:sz w:val="24"/>
          <w:highlight w:val="none"/>
        </w:rPr>
        <w:t>八、工期和进度管理</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工程分部不定期检查监理公司的工程进度管理台账（附件7），重点检查工程进度台账中的工期延误天数、延误性质和原因、是否工期顺延等内容。</w:t>
      </w:r>
    </w:p>
    <w:p>
      <w:pPr>
        <w:pStyle w:val="72"/>
        <w:widowControl/>
        <w:ind w:firstLine="0" w:firstLineChars="0"/>
        <w:jc w:val="left"/>
        <w:rPr>
          <w:rFonts w:ascii="宋体" w:hAnsi="宋体" w:cs="宋体"/>
          <w:color w:val="000000"/>
          <w:sz w:val="24"/>
          <w:highlight w:val="none"/>
        </w:rPr>
      </w:pPr>
      <w:r>
        <w:rPr>
          <w:rFonts w:hint="eastAsia" w:ascii="宋体" w:hAnsi="宋体" w:cs="宋体"/>
          <w:color w:val="000000"/>
          <w:sz w:val="24"/>
          <w:highlight w:val="none"/>
        </w:rPr>
        <w:t xml:space="preserve">   工程分部月度工程巡检时检查监理单位需审核的年度进度计划、季度进度计划和月进度计划。检查监理单位对各进度计划是否按期要求施工单位上报、各进度计划是否有缺漏、各进度计划是否符合审核程序。工程分部不定期检查监理单位的进度计划与实际对比，检查监理单位将工程形象进度上墙和及时更新。</w:t>
      </w:r>
    </w:p>
    <w:p>
      <w:pPr>
        <w:spacing w:before="240"/>
        <w:rPr>
          <w:rFonts w:ascii="仿宋_GB2312" w:hAnsi="宋体"/>
          <w:b/>
          <w:bCs/>
          <w:color w:val="000000"/>
          <w:spacing w:val="4"/>
          <w:sz w:val="24"/>
          <w:szCs w:val="24"/>
          <w:highlight w:val="none"/>
        </w:rPr>
      </w:pPr>
      <w:r>
        <w:rPr>
          <w:rFonts w:hint="eastAsia" w:ascii="仿宋_GB2312" w:hAnsi="宋体"/>
          <w:b/>
          <w:bCs/>
          <w:color w:val="000000"/>
          <w:spacing w:val="4"/>
          <w:sz w:val="24"/>
          <w:szCs w:val="24"/>
          <w:highlight w:val="none"/>
        </w:rPr>
        <w:t>九、工程材料管理</w:t>
      </w:r>
    </w:p>
    <w:p>
      <w:pPr>
        <w:pStyle w:val="72"/>
        <w:widowControl/>
        <w:ind w:firstLine="480"/>
        <w:jc w:val="left"/>
        <w:rPr>
          <w:rFonts w:ascii="宋体" w:hAnsi="宋体" w:cs="宋体"/>
          <w:color w:val="000000"/>
          <w:sz w:val="24"/>
          <w:highlight w:val="none"/>
        </w:rPr>
      </w:pPr>
      <w:r>
        <w:rPr>
          <w:rFonts w:hint="eastAsia" w:ascii="宋体" w:hAnsi="宋体" w:cs="宋体"/>
          <w:color w:val="000000"/>
          <w:sz w:val="24"/>
          <w:highlight w:val="none"/>
        </w:rPr>
        <w:t>工程分部不定期检查监理单位的《现场材料（设备）检查记录台账》，重点检查台账中的材料品牌、规格型号、数量、使用部位、材料验收结论等信息，检查是否对材料进场台账进行实时更新。</w:t>
      </w:r>
    </w:p>
    <w:p>
      <w:pPr>
        <w:pStyle w:val="72"/>
        <w:widowControl/>
        <w:ind w:firstLine="480"/>
        <w:jc w:val="left"/>
        <w:rPr>
          <w:rFonts w:ascii="宋体" w:hAnsi="宋体" w:cs="宋体"/>
          <w:color w:val="000000"/>
          <w:sz w:val="24"/>
          <w:highlight w:val="none"/>
        </w:rPr>
      </w:pPr>
      <w:r>
        <w:rPr>
          <w:rFonts w:hint="eastAsia" w:ascii="宋体" w:hAnsi="宋体" w:cs="宋体"/>
          <w:color w:val="000000"/>
          <w:sz w:val="24"/>
          <w:highlight w:val="none"/>
        </w:rPr>
        <w:t>工程分部检查监理单位的见证取样送检台账，重点检查监理单位是否对涉及结构安全的钢材、水泥、砌块、砼、砂浆、电线、管材等试件以及国家规定的必须送检送验的其它材料等进行见证取样并送检。如存在材料检测不合格的情况，检查由监理单位是否要求和见证将该材料设备进行隔离和退场处理，检查不合格材料退场记录是否齐全。</w:t>
      </w:r>
    </w:p>
    <w:p>
      <w:pPr>
        <w:spacing w:before="240"/>
        <w:rPr>
          <w:rFonts w:ascii="仿宋_GB2312" w:hAnsi="宋体"/>
          <w:b/>
          <w:bCs/>
          <w:color w:val="000000"/>
          <w:spacing w:val="4"/>
          <w:sz w:val="24"/>
          <w:szCs w:val="24"/>
          <w:highlight w:val="none"/>
        </w:rPr>
      </w:pPr>
      <w:r>
        <w:rPr>
          <w:rFonts w:hint="eastAsia" w:ascii="仿宋_GB2312" w:hAnsi="宋体"/>
          <w:b/>
          <w:bCs/>
          <w:color w:val="000000"/>
          <w:spacing w:val="4"/>
          <w:sz w:val="24"/>
          <w:szCs w:val="24"/>
          <w:highlight w:val="none"/>
        </w:rPr>
        <w:t>十、检查结果的公布及处理</w:t>
      </w:r>
    </w:p>
    <w:p>
      <w:pPr>
        <w:pStyle w:val="72"/>
        <w:widowControl/>
        <w:ind w:firstLine="480"/>
        <w:jc w:val="left"/>
        <w:rPr>
          <w:rFonts w:ascii="宋体" w:hAnsi="宋体" w:cs="宋体"/>
          <w:color w:val="000000"/>
          <w:sz w:val="24"/>
          <w:highlight w:val="none"/>
        </w:rPr>
      </w:pPr>
      <w:r>
        <w:rPr>
          <w:rFonts w:hint="eastAsia" w:ascii="仿宋_GB2312" w:hAnsi="宋体"/>
          <w:color w:val="000000"/>
          <w:sz w:val="24"/>
          <w:highlight w:val="none"/>
        </w:rPr>
        <w:t>监理季度考核完成后工程分部将季度考核的得分和发现的问题通报给项目部和监理单位，由项目部监督监理单位落实整改，工程分部在当月监理例会中对月监理季度考核发现的问题进行点评。工程分部将所有在建项目监理单位的情况形成《工程简报》</w:t>
      </w:r>
      <w:r>
        <w:rPr>
          <w:rFonts w:hint="eastAsia" w:ascii="宋体" w:hAnsi="宋体" w:cs="宋体"/>
          <w:color w:val="000000"/>
          <w:sz w:val="24"/>
          <w:highlight w:val="none"/>
        </w:rPr>
        <w:t xml:space="preserve">并将各项目的考核得分报送公司总裁、设计工程部分管领导及项目分管领导，并根据领导的批复意见跟进处理。   </w:t>
      </w:r>
    </w:p>
    <w:p>
      <w:pPr>
        <w:pStyle w:val="72"/>
        <w:widowControl/>
        <w:ind w:firstLine="480"/>
        <w:jc w:val="left"/>
        <w:rPr>
          <w:rFonts w:ascii="宋体" w:hAnsi="宋体" w:cs="宋体"/>
          <w:color w:val="000000"/>
          <w:sz w:val="24"/>
          <w:highlight w:val="none"/>
        </w:rPr>
      </w:pPr>
      <w:r>
        <w:rPr>
          <w:rFonts w:hint="eastAsia" w:ascii="仿宋_GB2312" w:hAnsi="宋体"/>
          <w:color w:val="000000"/>
          <w:sz w:val="24"/>
          <w:highlight w:val="none"/>
        </w:rPr>
        <w:t>工程分部将月度工程巡检发现的问题整理汇总，并反馈给项目部和监理单位，由项目部监督监理单位落实整改，工程分部在当月监理例会中对月度工程巡检发现的问题进行点评。在月度巡检完成后，工程分部将所有在建项目监理单位的情况形成《工程简报》上报</w:t>
      </w:r>
      <w:r>
        <w:rPr>
          <w:rFonts w:hint="eastAsia" w:ascii="宋体" w:hAnsi="宋体" w:cs="宋体"/>
          <w:color w:val="000000"/>
          <w:sz w:val="24"/>
          <w:highlight w:val="none"/>
        </w:rPr>
        <w:t>公司总裁、设计工程部分管领导及项目分管领导。</w:t>
      </w:r>
    </w:p>
    <w:p>
      <w:pPr>
        <w:pStyle w:val="72"/>
        <w:widowControl/>
        <w:ind w:firstLine="480"/>
        <w:jc w:val="left"/>
        <w:rPr>
          <w:rFonts w:ascii="宋体" w:hAnsi="宋体" w:cs="宋体"/>
          <w:color w:val="000000"/>
          <w:sz w:val="24"/>
          <w:highlight w:val="none"/>
        </w:rPr>
      </w:pPr>
      <w:r>
        <w:rPr>
          <w:rFonts w:hint="eastAsia" w:ascii="宋体" w:hAnsi="宋体" w:cs="宋体"/>
          <w:color w:val="000000"/>
          <w:sz w:val="24"/>
          <w:highlight w:val="none"/>
        </w:rPr>
        <w:t>工程分部将不定期检查发现的问题已《工程检查记录表》的形式反馈给项目部和监理单位，由项目部监督监理单位整改。</w:t>
      </w:r>
    </w:p>
    <w:p>
      <w:pPr>
        <w:spacing w:before="240"/>
        <w:rPr>
          <w:rFonts w:ascii="仿宋_GB2312" w:hAnsi="宋体"/>
          <w:b/>
          <w:bCs/>
          <w:color w:val="000000"/>
          <w:spacing w:val="4"/>
          <w:sz w:val="24"/>
          <w:szCs w:val="24"/>
          <w:highlight w:val="none"/>
        </w:rPr>
      </w:pPr>
      <w:r>
        <w:rPr>
          <w:rFonts w:hint="eastAsia" w:ascii="仿宋_GB2312" w:hAnsi="宋体"/>
          <w:b/>
          <w:bCs/>
          <w:color w:val="000000"/>
          <w:spacing w:val="4"/>
          <w:sz w:val="24"/>
          <w:szCs w:val="24"/>
          <w:highlight w:val="none"/>
        </w:rPr>
        <w:t>十一、附件</w:t>
      </w:r>
    </w:p>
    <w:p>
      <w:pPr>
        <w:pStyle w:val="72"/>
        <w:widowControl/>
        <w:ind w:firstLine="480"/>
        <w:jc w:val="left"/>
        <w:rPr>
          <w:rFonts w:ascii="宋体" w:hAnsi="宋体" w:cs="宋体"/>
          <w:color w:val="000000"/>
          <w:sz w:val="24"/>
          <w:highlight w:val="none"/>
        </w:rPr>
      </w:pPr>
      <w:r>
        <w:rPr>
          <w:rFonts w:hint="eastAsia" w:ascii="宋体" w:hAnsi="宋体" w:cs="宋体"/>
          <w:color w:val="000000"/>
          <w:sz w:val="24"/>
          <w:highlight w:val="none"/>
        </w:rPr>
        <w:t>附件01：</w:t>
      </w:r>
      <w:r>
        <w:rPr>
          <w:rFonts w:hint="eastAsia" w:ascii="仿宋_GB2312" w:hAnsi="宋体"/>
          <w:color w:val="000000"/>
          <w:sz w:val="24"/>
          <w:highlight w:val="none"/>
        </w:rPr>
        <w:t>《监理内业资料检查评分》</w:t>
      </w:r>
    </w:p>
    <w:p>
      <w:pPr>
        <w:pStyle w:val="72"/>
        <w:widowControl/>
        <w:ind w:firstLine="480"/>
        <w:jc w:val="left"/>
        <w:rPr>
          <w:rFonts w:ascii="宋体" w:hAnsi="宋体" w:cs="宋体"/>
          <w:color w:val="000000"/>
          <w:sz w:val="24"/>
          <w:highlight w:val="none"/>
        </w:rPr>
      </w:pPr>
      <w:r>
        <w:rPr>
          <w:rFonts w:hint="eastAsia" w:ascii="宋体" w:hAnsi="宋体" w:cs="宋体"/>
          <w:color w:val="000000"/>
          <w:sz w:val="24"/>
          <w:highlight w:val="none"/>
        </w:rPr>
        <w:t>附件02：《安全文明检查评分表》</w:t>
      </w:r>
    </w:p>
    <w:p>
      <w:pPr>
        <w:pStyle w:val="72"/>
        <w:widowControl/>
        <w:ind w:firstLine="480"/>
        <w:jc w:val="left"/>
        <w:rPr>
          <w:rFonts w:ascii="仿宋_GB2312" w:hAnsi="宋体"/>
          <w:color w:val="000000"/>
          <w:sz w:val="24"/>
          <w:highlight w:val="none"/>
        </w:rPr>
      </w:pPr>
      <w:r>
        <w:rPr>
          <w:rFonts w:hint="eastAsia" w:ascii="宋体" w:hAnsi="宋体" w:cs="宋体"/>
          <w:color w:val="000000"/>
          <w:sz w:val="24"/>
          <w:highlight w:val="none"/>
        </w:rPr>
        <w:t>附件03：</w:t>
      </w:r>
      <w:r>
        <w:rPr>
          <w:rFonts w:hint="eastAsia" w:ascii="仿宋_GB2312" w:hAnsi="宋体"/>
          <w:color w:val="000000"/>
          <w:sz w:val="24"/>
          <w:highlight w:val="none"/>
        </w:rPr>
        <w:t>《安全检查发现问题的汇总表》</w:t>
      </w:r>
    </w:p>
    <w:p>
      <w:pPr>
        <w:pStyle w:val="72"/>
        <w:widowControl/>
        <w:ind w:firstLine="480"/>
        <w:jc w:val="left"/>
        <w:rPr>
          <w:rFonts w:ascii="仿宋_GB2312" w:hAnsi="宋体"/>
          <w:color w:val="000000"/>
          <w:sz w:val="24"/>
          <w:highlight w:val="none"/>
        </w:rPr>
      </w:pPr>
      <w:r>
        <w:rPr>
          <w:rFonts w:hint="eastAsia" w:ascii="仿宋_GB2312" w:hAnsi="宋体"/>
          <w:color w:val="000000"/>
          <w:sz w:val="24"/>
          <w:highlight w:val="none"/>
        </w:rPr>
        <w:t>附件04：《工程项目质量检查评分表》</w:t>
      </w:r>
    </w:p>
    <w:p>
      <w:pPr>
        <w:pStyle w:val="72"/>
        <w:widowControl/>
        <w:ind w:firstLine="480"/>
        <w:jc w:val="left"/>
        <w:rPr>
          <w:rFonts w:ascii="仿宋_GB2312" w:hAnsi="宋体"/>
          <w:color w:val="000000"/>
          <w:sz w:val="24"/>
          <w:highlight w:val="none"/>
        </w:rPr>
      </w:pPr>
      <w:r>
        <w:rPr>
          <w:rFonts w:hint="eastAsia" w:ascii="仿宋_GB2312" w:hAnsi="宋体"/>
          <w:color w:val="000000"/>
          <w:sz w:val="24"/>
          <w:highlight w:val="none"/>
        </w:rPr>
        <w:t>附件05：《工程质量检查发现问题的汇总表》</w:t>
      </w:r>
    </w:p>
    <w:p>
      <w:pPr>
        <w:pStyle w:val="72"/>
        <w:widowControl/>
        <w:ind w:firstLine="480"/>
        <w:jc w:val="left"/>
        <w:rPr>
          <w:rFonts w:ascii="宋体" w:hAnsi="宋体" w:cs="宋体"/>
          <w:color w:val="000000"/>
          <w:sz w:val="24"/>
          <w:highlight w:val="none"/>
        </w:rPr>
      </w:pPr>
      <w:r>
        <w:rPr>
          <w:rFonts w:hint="eastAsia" w:ascii="仿宋_GB2312" w:hAnsi="宋体"/>
          <w:color w:val="000000"/>
          <w:sz w:val="24"/>
          <w:highlight w:val="none"/>
        </w:rPr>
        <w:t>附件06：</w:t>
      </w:r>
      <w:r>
        <w:rPr>
          <w:rFonts w:hint="eastAsia" w:ascii="宋体" w:hAnsi="宋体" w:cs="宋体"/>
          <w:color w:val="000000"/>
          <w:sz w:val="24"/>
          <w:highlight w:val="none"/>
        </w:rPr>
        <w:t>《工程质量实体实测合格率评估表》</w:t>
      </w:r>
    </w:p>
    <w:p>
      <w:pPr>
        <w:pStyle w:val="72"/>
        <w:widowControl/>
        <w:ind w:firstLine="480"/>
        <w:jc w:val="left"/>
        <w:rPr>
          <w:rFonts w:ascii="宋体" w:hAnsi="宋体" w:cs="宋体"/>
          <w:color w:val="000000"/>
          <w:sz w:val="24"/>
          <w:highlight w:val="none"/>
        </w:rPr>
      </w:pPr>
      <w:r>
        <w:rPr>
          <w:rFonts w:hint="eastAsia" w:ascii="宋体" w:hAnsi="宋体" w:cs="宋体"/>
          <w:color w:val="000000"/>
          <w:sz w:val="24"/>
          <w:highlight w:val="none"/>
        </w:rPr>
        <w:t>附件07：《___项目___工程进度管理明细表》</w:t>
      </w:r>
    </w:p>
    <w:p>
      <w:pPr>
        <w:rPr>
          <w:color w:val="000000"/>
          <w:highlight w:val="none"/>
        </w:rPr>
      </w:pPr>
      <w:r>
        <w:rPr>
          <w:color w:val="000000"/>
          <w:highlight w:val="none"/>
        </w:rPr>
        <w:object>
          <v:shape id="_x0000_i1025" o:spt="75" type="#_x0000_t75" style="height:47.7pt;width:76.2pt;" o:ole="t" filled="f" o:preferrelative="t" stroked="f" coordsize="21600,21600">
            <v:path/>
            <v:fill on="f" focussize="0,0"/>
            <v:stroke on="f" joinstyle="miter"/>
            <v:imagedata r:id="rId7" o:title=""/>
            <o:lock v:ext="edit" aspectratio="t"/>
            <w10:wrap type="none"/>
            <w10:anchorlock/>
          </v:shape>
          <o:OLEObject Type="Embed" ProgID="Excel.Sheet.8" ShapeID="_x0000_i1025" DrawAspect="Icon" ObjectID="_1468075725" r:id="rId6">
            <o:LockedField>false</o:LockedField>
          </o:OLEObject>
        </w:object>
      </w:r>
      <w:r>
        <w:rPr>
          <w:color w:val="000000"/>
          <w:highlight w:val="none"/>
        </w:rPr>
        <w:object>
          <v:shape id="_x0000_i1026" o:spt="75" type="#_x0000_t75" style="height:47.7pt;width:76.2pt;" o:ole="t" filled="f" o:preferrelative="t" stroked="f" coordsize="21600,21600">
            <v:path/>
            <v:fill on="f" focussize="0,0"/>
            <v:stroke on="f" joinstyle="miter"/>
            <v:imagedata r:id="rId9" o:title=""/>
            <o:lock v:ext="edit" aspectratio="t"/>
            <w10:wrap type="none"/>
            <w10:anchorlock/>
          </v:shape>
          <o:OLEObject Type="Embed" ProgID="Excel.Sheet.12" ShapeID="_x0000_i1026" DrawAspect="Icon" ObjectID="_1468075726" r:id="rId8">
            <o:LockedField>false</o:LockedField>
          </o:OLEObject>
        </w:object>
      </w:r>
      <w:r>
        <w:rPr>
          <w:color w:val="000000"/>
          <w:highlight w:val="none"/>
        </w:rPr>
        <w:object>
          <v:shape id="_x0000_i1027" o:spt="75" type="#_x0000_t75" style="height:47.7pt;width:76.2pt;" o:ole="t" filled="f" o:preferrelative="t" stroked="f" coordsize="21600,21600">
            <v:path/>
            <v:fill on="f" focussize="0,0"/>
            <v:stroke on="f" joinstyle="miter"/>
            <v:imagedata r:id="rId10" o:title=""/>
            <o:lock v:ext="edit" aspectratio="t"/>
            <w10:wrap type="none"/>
            <w10:anchorlock/>
          </v:shape>
          <o:OLEObject Type="Link" ProgID="Word.Document.8" ShapeID="_x0000_i1027" UpdateMode="Always" DrawAspect="Content" ObjectID="_1468075727" r:id="rId11">
            <o:LinkType>EnhancedMetaFile</o:LinkType>
            <o:LockedField>false</o:LockedField>
            <o:FieldCodes>\f 0</o:FieldCodes>
          </o:OLEObject>
        </w:object>
      </w:r>
      <w:r>
        <w:rPr>
          <w:color w:val="000000"/>
          <w:highlight w:val="none"/>
        </w:rPr>
        <w:object>
          <v:shape id="_x0000_i1028" o:spt="75" type="#_x0000_t75" style="height:47.7pt;width:76.2pt;" o:ole="t" filled="f" o:preferrelative="t" stroked="f" coordsize="21600,21600">
            <v:path/>
            <v:fill on="f" focussize="0,0"/>
            <v:stroke on="f" joinstyle="miter"/>
            <v:imagedata r:id="rId13" o:title=""/>
            <o:lock v:ext="edit" aspectratio="t"/>
            <w10:wrap type="none"/>
            <w10:anchorlock/>
          </v:shape>
          <o:OLEObject Type="Embed" ProgID="Excel.Sheet.12" ShapeID="_x0000_i1028" DrawAspect="Icon" ObjectID="_1468075728" r:id="rId12">
            <o:LockedField>false</o:LockedField>
          </o:OLEObject>
        </w:object>
      </w:r>
      <w:r>
        <w:rPr>
          <w:color w:val="000000"/>
          <w:highlight w:val="none"/>
        </w:rPr>
        <w:object>
          <v:shape id="_x0000_i1029" o:spt="75" type="#_x0000_t75" style="height:47.7pt;width:76.2pt;" o:ole="t" filled="f" o:preferrelative="t" stroked="f" coordsize="21600,21600">
            <v:path/>
            <v:fill on="f" focussize="0,0"/>
            <v:stroke on="f" joinstyle="miter"/>
            <v:imagedata r:id="rId15" o:title=""/>
            <o:lock v:ext="edit" aspectratio="t"/>
            <w10:wrap type="none"/>
            <w10:anchorlock/>
          </v:shape>
          <o:OLEObject Type="Embed" ProgID="Word.Document.8" ShapeID="_x0000_i1029" DrawAspect="Icon" ObjectID="_1468075729" r:id="rId14">
            <o:LockedField>false</o:LockedField>
          </o:OLEObject>
        </w:object>
      </w:r>
    </w:p>
    <w:p>
      <w:pPr>
        <w:rPr>
          <w:color w:val="000000"/>
          <w:highlight w:val="none"/>
        </w:rPr>
      </w:pPr>
      <w:r>
        <w:rPr>
          <w:color w:val="000000"/>
          <w:highlight w:val="none"/>
        </w:rPr>
        <w:object>
          <v:shape id="_x0000_i1030" o:spt="75" type="#_x0000_t75" style="height:47.7pt;width:76.2pt;" o:ole="t" filled="f" o:preferrelative="t" stroked="f" coordsize="21600,21600">
            <v:path/>
            <v:fill on="f" focussize="0,0"/>
            <v:stroke on="f" joinstyle="miter"/>
            <v:imagedata r:id="rId17" o:title=""/>
            <o:lock v:ext="edit" aspectratio="t"/>
            <w10:wrap type="none"/>
            <w10:anchorlock/>
          </v:shape>
          <o:OLEObject Type="Embed" ProgID="Excel.Sheet.12" ShapeID="_x0000_i1030" DrawAspect="Icon" ObjectID="_1468075730" r:id="rId16">
            <o:LockedField>false</o:LockedField>
          </o:OLEObject>
        </w:object>
      </w:r>
      <w:r>
        <w:rPr>
          <w:color w:val="000000"/>
          <w:highlight w:val="none"/>
        </w:rPr>
        <w:object>
          <v:shape id="_x0000_i1031" o:spt="75" type="#_x0000_t75" style="height:47.7pt;width:76.2pt;" o:ole="t" filled="f" o:preferrelative="t" stroked="f" coordsize="21600,21600">
            <v:path/>
            <v:fill on="f" focussize="0,0"/>
            <v:stroke on="f" joinstyle="miter"/>
            <v:imagedata r:id="rId19" o:title=""/>
            <o:lock v:ext="edit" aspectratio="t"/>
            <w10:wrap type="none"/>
            <w10:anchorlock/>
          </v:shape>
          <o:OLEObject Type="Embed" ProgID="Excel.Sheet.12" ShapeID="_x0000_i1031" DrawAspect="Icon" ObjectID="_1468075731" r:id="rId18">
            <o:LockedField>false</o:LockedField>
          </o:OLEObject>
        </w:object>
      </w: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附录D《监理季度检查评分表》</w:t>
      </w:r>
    </w:p>
    <w:p>
      <w:pPr>
        <w:jc w:val="center"/>
        <w:rPr>
          <w:color w:val="000000"/>
          <w:sz w:val="24"/>
          <w:highlight w:val="none"/>
        </w:rPr>
      </w:pPr>
      <w:r>
        <w:rPr>
          <w:rFonts w:hint="eastAsia" w:ascii="华文新魏" w:hAnsi="华文细黑" w:eastAsia="华文新魏"/>
          <w:b/>
          <w:color w:val="000000"/>
          <w:sz w:val="28"/>
          <w:szCs w:val="28"/>
          <w:highlight w:val="none"/>
        </w:rPr>
        <w:t>监理季度检查评分表</w:t>
      </w:r>
    </w:p>
    <w:tbl>
      <w:tblPr>
        <w:tblStyle w:val="32"/>
        <w:tblW w:w="8520" w:type="dxa"/>
        <w:tblInd w:w="0" w:type="dxa"/>
        <w:tblLayout w:type="fixed"/>
        <w:tblCellMar>
          <w:top w:w="15" w:type="dxa"/>
          <w:left w:w="15" w:type="dxa"/>
          <w:bottom w:w="15" w:type="dxa"/>
          <w:right w:w="15" w:type="dxa"/>
        </w:tblCellMar>
      </w:tblPr>
      <w:tblGrid>
        <w:gridCol w:w="232"/>
        <w:gridCol w:w="828"/>
        <w:gridCol w:w="534"/>
        <w:gridCol w:w="2705"/>
        <w:gridCol w:w="327"/>
        <w:gridCol w:w="3894"/>
      </w:tblGrid>
      <w:tr>
        <w:tblPrEx>
          <w:tblCellMar>
            <w:top w:w="15" w:type="dxa"/>
            <w:left w:w="15" w:type="dxa"/>
            <w:bottom w:w="15" w:type="dxa"/>
            <w:right w:w="15" w:type="dxa"/>
          </w:tblCellMar>
        </w:tblPrEx>
        <w:trPr>
          <w:trHeight w:val="495" w:hRule="atLeast"/>
        </w:trPr>
        <w:tc>
          <w:tcPr>
            <w:tcW w:w="8520" w:type="dxa"/>
            <w:gridSpan w:val="6"/>
            <w:noWrap w:val="0"/>
            <w:vAlign w:val="center"/>
          </w:tcPr>
          <w:p>
            <w:pPr>
              <w:widowControl/>
              <w:jc w:val="center"/>
              <w:textAlignment w:val="center"/>
              <w:rPr>
                <w:rFonts w:ascii="宋体" w:hAnsi="宋体" w:cs="宋体"/>
                <w:b/>
                <w:color w:val="000000"/>
                <w:sz w:val="28"/>
                <w:szCs w:val="28"/>
                <w:highlight w:val="none"/>
                <w:u w:val="single"/>
              </w:rPr>
            </w:pPr>
            <w:r>
              <w:rPr>
                <w:rStyle w:val="65"/>
                <w:rFonts w:hint="default"/>
                <w:color w:val="000000"/>
                <w:highlight w:val="none"/>
              </w:rPr>
              <w:t>年第</w:t>
            </w:r>
            <w:r>
              <w:rPr>
                <w:rStyle w:val="66"/>
                <w:rFonts w:hint="default"/>
                <w:color w:val="000000"/>
                <w:highlight w:val="none"/>
              </w:rPr>
              <w:t>季度</w:t>
            </w:r>
            <w:r>
              <w:rPr>
                <w:rStyle w:val="65"/>
                <w:rFonts w:hint="default"/>
                <w:color w:val="000000"/>
                <w:highlight w:val="none"/>
              </w:rPr>
              <w:t xml:space="preserve"> 监理单位考核评价表</w:t>
            </w:r>
          </w:p>
        </w:tc>
      </w:tr>
      <w:tr>
        <w:tblPrEx>
          <w:tblCellMar>
            <w:top w:w="15" w:type="dxa"/>
            <w:left w:w="15" w:type="dxa"/>
            <w:bottom w:w="15" w:type="dxa"/>
            <w:right w:w="15" w:type="dxa"/>
          </w:tblCellMar>
        </w:tblPrEx>
        <w:trPr>
          <w:trHeight w:val="495" w:hRule="atLeast"/>
        </w:trPr>
        <w:tc>
          <w:tcPr>
            <w:tcW w:w="8520" w:type="dxa"/>
            <w:gridSpan w:val="6"/>
            <w:tcBorders>
              <w:bottom w:val="single" w:color="000000" w:sz="4" w:space="0"/>
            </w:tcBorders>
            <w:noWrap w:val="0"/>
            <w:vAlign w:val="center"/>
          </w:tcPr>
          <w:p>
            <w:pPr>
              <w:widowControl/>
              <w:jc w:val="left"/>
              <w:textAlignment w:val="center"/>
              <w:rPr>
                <w:rFonts w:ascii="宋体" w:hAnsi="宋体" w:cs="宋体"/>
                <w:b/>
                <w:color w:val="000000"/>
                <w:sz w:val="20"/>
                <w:highlight w:val="none"/>
              </w:rPr>
            </w:pPr>
            <w:r>
              <w:rPr>
                <w:rFonts w:hint="eastAsia" w:ascii="宋体" w:hAnsi="宋体" w:cs="宋体"/>
                <w:b/>
                <w:color w:val="000000"/>
                <w:kern w:val="0"/>
                <w:sz w:val="20"/>
                <w:highlight w:val="none"/>
              </w:rPr>
              <w:t>监理单位：                      考评单位：                            考评人：</w:t>
            </w:r>
          </w:p>
        </w:tc>
      </w:tr>
      <w:tr>
        <w:tblPrEx>
          <w:tblCellMar>
            <w:top w:w="15" w:type="dxa"/>
            <w:left w:w="15" w:type="dxa"/>
            <w:bottom w:w="15" w:type="dxa"/>
            <w:right w:w="15" w:type="dxa"/>
          </w:tblCellMar>
        </w:tblPrEx>
        <w:trPr>
          <w:trHeight w:val="360" w:hRule="atLeast"/>
        </w:trPr>
        <w:tc>
          <w:tcPr>
            <w:tcW w:w="1060" w:type="dxa"/>
            <w:gridSpan w:val="2"/>
            <w:noWrap w:val="0"/>
            <w:vAlign w:val="center"/>
          </w:tcPr>
          <w:p>
            <w:pPr>
              <w:jc w:val="center"/>
              <w:rPr>
                <w:rFonts w:ascii="宋体" w:hAnsi="宋体" w:cs="宋体"/>
                <w:b/>
                <w:color w:val="000000"/>
                <w:sz w:val="20"/>
                <w:highlight w:val="none"/>
              </w:rPr>
            </w:pPr>
          </w:p>
        </w:tc>
        <w:tc>
          <w:tcPr>
            <w:tcW w:w="3239" w:type="dxa"/>
            <w:gridSpan w:val="2"/>
            <w:noWrap w:val="0"/>
            <w:vAlign w:val="center"/>
          </w:tcPr>
          <w:p>
            <w:pPr>
              <w:jc w:val="left"/>
              <w:rPr>
                <w:rFonts w:ascii="宋体" w:hAnsi="宋体" w:cs="宋体"/>
                <w:color w:val="000000"/>
                <w:sz w:val="20"/>
                <w:highlight w:val="none"/>
              </w:rPr>
            </w:pPr>
          </w:p>
        </w:tc>
        <w:tc>
          <w:tcPr>
            <w:tcW w:w="327" w:type="dxa"/>
            <w:noWrap w:val="0"/>
            <w:vAlign w:val="center"/>
          </w:tcPr>
          <w:p>
            <w:pPr>
              <w:rPr>
                <w:rFonts w:ascii="宋体" w:hAnsi="宋体" w:cs="宋体"/>
                <w:color w:val="000000"/>
                <w:sz w:val="20"/>
                <w:highlight w:val="none"/>
              </w:rPr>
            </w:pPr>
          </w:p>
        </w:tc>
        <w:tc>
          <w:tcPr>
            <w:tcW w:w="3894" w:type="dxa"/>
            <w:noWrap w:val="0"/>
            <w:vAlign w:val="center"/>
          </w:tcPr>
          <w:p>
            <w:pPr>
              <w:jc w:val="right"/>
              <w:rPr>
                <w:rFonts w:ascii="宋体" w:hAnsi="宋体" w:cs="宋体"/>
                <w:color w:val="000000"/>
                <w:sz w:val="20"/>
                <w:highlight w:val="none"/>
              </w:rPr>
            </w:pPr>
          </w:p>
        </w:tc>
      </w:tr>
      <w:tr>
        <w:tblPrEx>
          <w:tblCellMar>
            <w:top w:w="15" w:type="dxa"/>
            <w:left w:w="15" w:type="dxa"/>
            <w:bottom w:w="15" w:type="dxa"/>
            <w:right w:w="15" w:type="dxa"/>
          </w:tblCellMar>
        </w:tblPrEx>
        <w:trPr>
          <w:trHeight w:val="600" w:hRule="atLeast"/>
        </w:trPr>
        <w:tc>
          <w:tcPr>
            <w:tcW w:w="232" w:type="dxa"/>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序号</w:t>
            </w:r>
          </w:p>
        </w:tc>
        <w:tc>
          <w:tcPr>
            <w:tcW w:w="828" w:type="dxa"/>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考评项目</w:t>
            </w:r>
          </w:p>
        </w:tc>
        <w:tc>
          <w:tcPr>
            <w:tcW w:w="534" w:type="dxa"/>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权重（%）</w:t>
            </w:r>
          </w:p>
        </w:tc>
        <w:tc>
          <w:tcPr>
            <w:tcW w:w="2705" w:type="dxa"/>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考评指标标准</w:t>
            </w:r>
          </w:p>
        </w:tc>
        <w:tc>
          <w:tcPr>
            <w:tcW w:w="327" w:type="dxa"/>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考评得分</w:t>
            </w:r>
          </w:p>
        </w:tc>
        <w:tc>
          <w:tcPr>
            <w:tcW w:w="3894" w:type="dxa"/>
            <w:tcBorders>
              <w:top w:val="single" w:color="000000" w:sz="12"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 xml:space="preserve">评分说明 </w:t>
            </w:r>
          </w:p>
        </w:tc>
      </w:tr>
      <w:tr>
        <w:tblPrEx>
          <w:tblCellMar>
            <w:top w:w="15" w:type="dxa"/>
            <w:left w:w="15" w:type="dxa"/>
            <w:bottom w:w="15" w:type="dxa"/>
            <w:right w:w="15" w:type="dxa"/>
          </w:tblCellMar>
        </w:tblPrEx>
        <w:trPr>
          <w:trHeight w:val="315" w:hRule="atLeast"/>
        </w:trPr>
        <w:tc>
          <w:tcPr>
            <w:tcW w:w="232"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一</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投资控制</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5</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highlight w:val="none"/>
              </w:rPr>
            </w:pPr>
          </w:p>
        </w:tc>
        <w:tc>
          <w:tcPr>
            <w:tcW w:w="3894" w:type="dxa"/>
            <w:tcBorders>
              <w:top w:val="single" w:color="000000" w:sz="4" w:space="0"/>
              <w:left w:val="single" w:color="000000" w:sz="4" w:space="0"/>
              <w:bottom w:val="single" w:color="000000" w:sz="4" w:space="0"/>
              <w:right w:val="single" w:color="000000" w:sz="12" w:space="0"/>
            </w:tcBorders>
            <w:noWrap w:val="0"/>
            <w:vAlign w:val="center"/>
          </w:tcPr>
          <w:p>
            <w:pPr>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1</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签证、竣工图纸的准确性、客观性、及时性</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3</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A、非常客观：2.7～3分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1、各类原始记录真实、完整,完成工程的工程量计量准确、规范；</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2、手续办理及时，符合合同规定；</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3、评分时对签证单进行抽查，必要时进行现场复核；</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4、签证通常应在2天内签完，竣工图应在一周内签完。</w:t>
            </w: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B、基本客观：1.8～2.6分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C、有一定偏差：1.2～1.7分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D、偏差较大：0～1.1分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2</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各类付款的准确性、客观性、及时性</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2</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A、非常客观：1.8～2分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1、在工程质量合格及工程资料完善的前提下，认真核实完成工程的工程量；</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2、审查是否有超付现象；</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3、手续办理及时，符合合同规定；</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4、各类付款均应在2天内签完，紧急的应在1天内签完。</w:t>
            </w: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B、基本客观：1.2～1.7分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C、有一定偏差：0.8～1.1分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D、偏差较大：0～0.7分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45" w:hRule="atLeast"/>
        </w:trPr>
        <w:tc>
          <w:tcPr>
            <w:tcW w:w="232"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二</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进度控制</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5</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highlight w:val="none"/>
              </w:rPr>
            </w:pPr>
          </w:p>
        </w:tc>
        <w:tc>
          <w:tcPr>
            <w:tcW w:w="3894" w:type="dxa"/>
            <w:tcBorders>
              <w:top w:val="single" w:color="000000" w:sz="4" w:space="0"/>
              <w:left w:val="single" w:color="000000" w:sz="4" w:space="0"/>
              <w:bottom w:val="single" w:color="000000" w:sz="4" w:space="0"/>
              <w:right w:val="single" w:color="000000" w:sz="12" w:space="0"/>
            </w:tcBorders>
            <w:noWrap w:val="0"/>
            <w:vAlign w:val="center"/>
          </w:tcPr>
          <w:p>
            <w:pPr>
              <w:rPr>
                <w:rFonts w:ascii="宋体" w:hAnsi="宋体" w:cs="宋体"/>
                <w:color w:val="000000"/>
                <w:sz w:val="20"/>
                <w:highlight w:val="none"/>
              </w:rPr>
            </w:pPr>
          </w:p>
        </w:tc>
      </w:tr>
      <w:tr>
        <w:tblPrEx>
          <w:tblCellMar>
            <w:top w:w="15" w:type="dxa"/>
            <w:left w:w="15" w:type="dxa"/>
            <w:bottom w:w="15" w:type="dxa"/>
            <w:right w:w="15" w:type="dxa"/>
          </w:tblCellMar>
        </w:tblPrEx>
        <w:trPr>
          <w:trHeight w:val="375"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1</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月度进度</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检查与控制</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5</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A、工程进展顺利，关键线路工期节点提前完成：4.3～5分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1、对施工方上报的月度进度计划进行审查、优化；</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2、分析进度实施状况，对影响进度的不利因素进行预判；</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3、对工期延误的，督促指导施工方制定赶工计划、措施，给甲方提供解决方案，协助甲方决策，有针对性的采取措施，促进工程进度；</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4、检查</w:t>
            </w:r>
            <w:r>
              <w:rPr>
                <w:rFonts w:hint="eastAsia" w:ascii="宋体" w:hAnsi="宋体" w:cs="宋体"/>
                <w:color w:val="000000"/>
                <w:kern w:val="0"/>
                <w:sz w:val="20"/>
                <w:highlight w:val="none"/>
                <w:lang w:eastAsia="zh-CN"/>
              </w:rPr>
              <w:t>承包人</w:t>
            </w:r>
            <w:r>
              <w:rPr>
                <w:rFonts w:hint="eastAsia" w:ascii="宋体" w:hAnsi="宋体" w:cs="宋体"/>
                <w:color w:val="000000"/>
                <w:kern w:val="0"/>
                <w:sz w:val="20"/>
                <w:highlight w:val="none"/>
              </w:rPr>
              <w:t>员是否清楚所管理范围的工作内容和工程进度。</w:t>
            </w:r>
          </w:p>
        </w:tc>
      </w:tr>
      <w:tr>
        <w:tblPrEx>
          <w:tblCellMar>
            <w:top w:w="15" w:type="dxa"/>
            <w:left w:w="15" w:type="dxa"/>
            <w:bottom w:w="15" w:type="dxa"/>
            <w:right w:w="15" w:type="dxa"/>
          </w:tblCellMar>
        </w:tblPrEx>
        <w:trPr>
          <w:trHeight w:val="37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B、工程进展正常，可控：3～4.2分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7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C、工程进展滞后，尚未失控：2.0～2.9分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7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D、工程进展严重滞后，失控：0～1.9分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三</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质量控制</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60</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highlight w:val="none"/>
              </w:rPr>
            </w:pPr>
          </w:p>
        </w:tc>
        <w:tc>
          <w:tcPr>
            <w:tcW w:w="3894" w:type="dxa"/>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1</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施工图纸管理</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5</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A、很好：4.3～5分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1、图纸会审：开工前应充分熟悉图纸，发现的图纸问题是否深入、全面；</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2、图纸、变更熟知度：熟悉施工图纸、设计变更，严格要求施工方按图施工；</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3、图纸问题反馈：是否理解设计意图，有无在施工过程中及时发现并提出新的设计图纸问题，并及时反馈给设计院、甲方。</w:t>
            </w: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B、好：3.5～4.2分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C、中等：2.7～3.4分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D、差：1.9～2.6分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E、很差：0～1.8分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2</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技术交底</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5</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A、非常规范、完善：4.3～5分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1、各分项工程开工前、新班组进场后，监理单位必须见证、参与施工单位、施工班组的技术交底，监督施工方管理人员、班组和</w:t>
            </w:r>
            <w:r>
              <w:rPr>
                <w:rFonts w:hint="eastAsia" w:ascii="宋体" w:hAnsi="宋体" w:cs="宋体"/>
                <w:color w:val="000000"/>
                <w:kern w:val="0"/>
                <w:sz w:val="20"/>
                <w:highlight w:val="none"/>
                <w:lang w:eastAsia="zh-CN"/>
              </w:rPr>
              <w:t>承包人</w:t>
            </w:r>
            <w:r>
              <w:rPr>
                <w:rFonts w:hint="eastAsia" w:ascii="宋体" w:hAnsi="宋体" w:cs="宋体"/>
                <w:color w:val="000000"/>
                <w:kern w:val="0"/>
                <w:sz w:val="20"/>
                <w:highlight w:val="none"/>
              </w:rPr>
              <w:t>员掌握设计图纸、规范要求和施工工艺、流程及要点，坚决防止技术交底流于形式，确保技术交底的切实作用与价值（对于敷衍了事的技术交底，坚决予以批评甚至处罚，并要求重新进行技术交底）；</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2、经发现施工过程中存在较多质量问题时，一律要求施工单位重新组织技术交底。</w:t>
            </w: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B、规范、完善：3.5～4.2分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C、中等：2.7～3.4分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D、不规范、完善：1.9～2.6分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E、非常不规范、完善：0～1.8分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3</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样板先行</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8</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A、非常规范、完善：7.1～8分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各分项工程大面积施工前，监理单位必须严格要求施工单位落实施工样板（除工法样板外，更重要的是在施工现场进行实体样板施工），所有样板需经甲方、监理验收确认，形成书面文件存档，并附样板照片，备查。</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2、样板先行制度必须严格执行落实，我司将严格按此规定考评监理单位。</w:t>
            </w: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B、规范、完善：5.6～7分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C、中等：4.1～5.5分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D、不规范、完善：2.6～4分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E、非常不规范、完善：0～2.5分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90"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4</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旁站</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8</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A、认真执行到位：6.6～8分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旁站工作包括对关键工序和特殊过程实施旁站监理。土方回填、桩基础施工、混凝土浇筑、施加预应力、梁柱节点钢筋隐蔽过程、防水层细部构造处、给排水安装的验收试压等必须有专业监理工程师旁站监督；</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2、检查旁站人员是否持有施工图纸等技术资料；</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3、检查旁站人员是否清楚旁站要求和施工工艺操作要点。</w:t>
            </w:r>
          </w:p>
        </w:tc>
      </w:tr>
      <w:tr>
        <w:tblPrEx>
          <w:tblCellMar>
            <w:top w:w="15" w:type="dxa"/>
            <w:left w:w="15" w:type="dxa"/>
            <w:bottom w:w="15" w:type="dxa"/>
            <w:right w:w="15" w:type="dxa"/>
          </w:tblCellMar>
        </w:tblPrEx>
        <w:trPr>
          <w:trHeight w:val="39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B、执行情况一般：5.1～6.5分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9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C、不认真：3.6～5分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9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D、很少旁站：0～3.5分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90"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5</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巡视</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10</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A、认真执行到位：8.1～10分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1、及时发现施工现场存在的质量问题（包括</w:t>
            </w:r>
            <w:r>
              <w:rPr>
                <w:rStyle w:val="69"/>
                <w:rFonts w:hint="default"/>
                <w:color w:val="000000"/>
                <w:highlight w:val="none"/>
              </w:rPr>
              <w:t>施工工艺、原材料或设备质量与规格</w:t>
            </w:r>
            <w:r>
              <w:rPr>
                <w:rStyle w:val="68"/>
                <w:rFonts w:hint="default"/>
                <w:color w:val="000000"/>
                <w:highlight w:val="none"/>
              </w:rPr>
              <w:t>等），并迅速责令施工单位整改，避免更大的返工损失；</w:t>
            </w:r>
            <w:r>
              <w:rPr>
                <w:rStyle w:val="68"/>
                <w:rFonts w:hint="default"/>
                <w:color w:val="000000"/>
                <w:highlight w:val="none"/>
              </w:rPr>
              <w:br w:type="textWrapping"/>
            </w:r>
            <w:r>
              <w:rPr>
                <w:rStyle w:val="68"/>
                <w:rFonts w:hint="default"/>
                <w:color w:val="000000"/>
                <w:highlight w:val="none"/>
              </w:rPr>
              <w:t>2、大面铺开施工时，督促施工单位按样板施工；</w:t>
            </w:r>
            <w:r>
              <w:rPr>
                <w:rStyle w:val="68"/>
                <w:rFonts w:hint="default"/>
                <w:color w:val="000000"/>
                <w:highlight w:val="none"/>
              </w:rPr>
              <w:br w:type="textWrapping"/>
            </w:r>
            <w:r>
              <w:rPr>
                <w:rStyle w:val="68"/>
                <w:rFonts w:hint="default"/>
                <w:color w:val="000000"/>
                <w:highlight w:val="none"/>
              </w:rPr>
              <w:t>3、根据日常检查结果，对施工单位进行认真、客观地考评（每周打分一次）。</w:t>
            </w:r>
          </w:p>
        </w:tc>
      </w:tr>
      <w:tr>
        <w:tblPrEx>
          <w:tblCellMar>
            <w:top w:w="15" w:type="dxa"/>
            <w:left w:w="15" w:type="dxa"/>
            <w:bottom w:w="15" w:type="dxa"/>
            <w:right w:w="15" w:type="dxa"/>
          </w:tblCellMar>
        </w:tblPrEx>
        <w:trPr>
          <w:trHeight w:val="39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B、执行情况一般：6.1～8分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9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C、不认真：4.1～6分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9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D、很少巡视：0～4分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75"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6</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隐蔽验收及</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工序交接验收</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12</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A、非常规范、完善：10.1～12分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1、严格按照设计图纸、设计变更、规范要求进行工程隐蔽验收；</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2、检查是否留有</w:t>
            </w:r>
            <w:r>
              <w:rPr>
                <w:rStyle w:val="69"/>
                <w:rFonts w:hint="default"/>
                <w:color w:val="000000"/>
                <w:highlight w:val="none"/>
              </w:rPr>
              <w:t>影像记录</w:t>
            </w:r>
            <w:r>
              <w:rPr>
                <w:rStyle w:val="68"/>
                <w:rFonts w:hint="default"/>
                <w:color w:val="000000"/>
                <w:highlight w:val="none"/>
              </w:rPr>
              <w:t>，影像记录与巡检抽检情况是否一致。</w:t>
            </w:r>
          </w:p>
        </w:tc>
      </w:tr>
      <w:tr>
        <w:tblPrEx>
          <w:tblCellMar>
            <w:top w:w="15" w:type="dxa"/>
            <w:left w:w="15" w:type="dxa"/>
            <w:bottom w:w="15" w:type="dxa"/>
            <w:right w:w="15" w:type="dxa"/>
          </w:tblCellMar>
        </w:tblPrEx>
        <w:trPr>
          <w:trHeight w:val="37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B、规范、完善：8.1～10分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7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C、中等：6.1～8分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7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D、不规范、完善：4.1～6分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7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E、非常不规范、完善：0～4分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30"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7</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质量问题整改落实</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12</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A、非常及时、到位：10.1～12分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1、监理单位、甲方项目部、质检站、建委以及其他相关部门或领导检查，</w:t>
            </w:r>
            <w:r>
              <w:rPr>
                <w:rStyle w:val="69"/>
                <w:rFonts w:hint="default"/>
                <w:color w:val="000000"/>
                <w:highlight w:val="none"/>
              </w:rPr>
              <w:t>特别是月度巡检</w:t>
            </w:r>
            <w:r>
              <w:rPr>
                <w:rStyle w:val="68"/>
                <w:rFonts w:hint="default"/>
                <w:color w:val="000000"/>
                <w:highlight w:val="none"/>
              </w:rPr>
              <w:t>，指出的工程质量问题必须督促施工单位逐条在规定时间内整改落实。</w:t>
            </w:r>
          </w:p>
        </w:tc>
      </w:tr>
      <w:tr>
        <w:tblPrEx>
          <w:tblCellMar>
            <w:top w:w="15" w:type="dxa"/>
            <w:left w:w="15" w:type="dxa"/>
            <w:bottom w:w="15" w:type="dxa"/>
            <w:right w:w="15" w:type="dxa"/>
          </w:tblCellMar>
        </w:tblPrEx>
        <w:trPr>
          <w:trHeight w:val="33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B、及时、到位：8.1～10分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3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C、中等：6.1～8分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3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D、不及时、到位：4.1～6分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3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E、非常不及时、到位：0～4分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30" w:hRule="atLeast"/>
        </w:trPr>
        <w:tc>
          <w:tcPr>
            <w:tcW w:w="232"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四</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安全文明管理</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15</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highlight w:val="none"/>
              </w:rPr>
            </w:pPr>
          </w:p>
        </w:tc>
        <w:tc>
          <w:tcPr>
            <w:tcW w:w="3894"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0"/>
                <w:highlight w:val="none"/>
              </w:rPr>
            </w:pPr>
          </w:p>
        </w:tc>
      </w:tr>
      <w:tr>
        <w:tblPrEx>
          <w:tblCellMar>
            <w:top w:w="15" w:type="dxa"/>
            <w:left w:w="15" w:type="dxa"/>
            <w:bottom w:w="15" w:type="dxa"/>
            <w:right w:w="15" w:type="dxa"/>
          </w:tblCellMar>
        </w:tblPrEx>
        <w:trPr>
          <w:trHeight w:val="360"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1</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安全文明施工检查</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8</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A、非常及时、到位：7.1～8分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1、检查是否通过定期和不定期检查掌握施工现场动态，发现、处理、协调在安全文明方面存在的问题（现场巡查印象、会议纪要、监理联系单等）；</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2、检查是否有安全文明施工检查记录。</w:t>
            </w:r>
          </w:p>
        </w:tc>
      </w:tr>
      <w:tr>
        <w:tblPrEx>
          <w:tblCellMar>
            <w:top w:w="15" w:type="dxa"/>
            <w:left w:w="15" w:type="dxa"/>
            <w:bottom w:w="15" w:type="dxa"/>
            <w:right w:w="15" w:type="dxa"/>
          </w:tblCellMar>
        </w:tblPrEx>
        <w:trPr>
          <w:trHeight w:val="36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B、及时、到位：5.6～7分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6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C、中等：4.1～5.5分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6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D、不及时、到位：2.6～4分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6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E、非常不及时、到位：0～2.5分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60"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2</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安全文明施工问题整改落实</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7</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A、非常及时、到位：6.1～7分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1、监理单位、甲方项目部、质检站、建委以及其他相关部门或领导检查，</w:t>
            </w:r>
            <w:r>
              <w:rPr>
                <w:rStyle w:val="69"/>
                <w:rFonts w:hint="default"/>
                <w:color w:val="000000"/>
                <w:highlight w:val="none"/>
              </w:rPr>
              <w:t>特别是月度巡检</w:t>
            </w:r>
            <w:r>
              <w:rPr>
                <w:rStyle w:val="68"/>
                <w:rFonts w:hint="default"/>
                <w:color w:val="000000"/>
                <w:highlight w:val="none"/>
              </w:rPr>
              <w:t>，指出的安全文明施工问题必须督促施工单位逐条在规定时间内整改落实。</w:t>
            </w:r>
          </w:p>
        </w:tc>
      </w:tr>
      <w:tr>
        <w:tblPrEx>
          <w:tblCellMar>
            <w:top w:w="15" w:type="dxa"/>
            <w:left w:w="15" w:type="dxa"/>
            <w:bottom w:w="15" w:type="dxa"/>
            <w:right w:w="15" w:type="dxa"/>
          </w:tblCellMar>
        </w:tblPrEx>
        <w:trPr>
          <w:trHeight w:val="36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B、及时、到位：5.1～6分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6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C、中等：4.1～5分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6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D、不及时、到位：3.1～4分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6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E、非常不及时、到位：0～3分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90" w:hRule="atLeast"/>
        </w:trPr>
        <w:tc>
          <w:tcPr>
            <w:tcW w:w="232"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五</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组织协调</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10</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highlight w:val="none"/>
              </w:rPr>
            </w:pPr>
          </w:p>
        </w:tc>
        <w:tc>
          <w:tcPr>
            <w:tcW w:w="3894" w:type="dxa"/>
            <w:tcBorders>
              <w:top w:val="single" w:color="000000" w:sz="4" w:space="0"/>
              <w:left w:val="single" w:color="000000" w:sz="4" w:space="0"/>
              <w:bottom w:val="single" w:color="000000" w:sz="4" w:space="0"/>
              <w:right w:val="single" w:color="000000" w:sz="12" w:space="0"/>
            </w:tcBorders>
            <w:noWrap w:val="0"/>
            <w:vAlign w:val="center"/>
          </w:tcPr>
          <w:p>
            <w:pPr>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1</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项目现场组织协调</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7</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A、很好：6.1～7分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1、平衡、协调总分包单位间（或分包单位与分包单位间）在管理、配合、交叉施工、界面划分、责任界定等方面的争端与矛盾；</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2、理顺各施工单位间错综复杂的关系，组织、安排项目各施工单位有序施工，提高项目开发建设的效率；</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3、协助甲方，协调甲方与施工单位间的争议、争端。</w:t>
            </w: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B、好：5.1～6分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C、中等：4.1～5分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D、差：3.1～4分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E、很差：0～3分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2</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外围关系协调</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3</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A、很好：2.6～3分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1、了解政府政策、文件及最新动态、要求；</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2、有效地与政府各职能部门（质监站、城管、街道办、建委等）进行沟通，确保项目开发建设的顺利进行。</w:t>
            </w: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B、好：2.1～2.5分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C、中等：1.6～2分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D、差：1.1～1.5分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E、很差：0～1分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30" w:hRule="atLeast"/>
        </w:trPr>
        <w:tc>
          <w:tcPr>
            <w:tcW w:w="232"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六</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监理团队素质</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5</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0"/>
                <w:highlight w:val="none"/>
              </w:rPr>
            </w:pPr>
          </w:p>
        </w:tc>
        <w:tc>
          <w:tcPr>
            <w:tcW w:w="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highlight w:val="none"/>
              </w:rPr>
            </w:pPr>
          </w:p>
        </w:tc>
        <w:tc>
          <w:tcPr>
            <w:tcW w:w="3894" w:type="dxa"/>
            <w:tcBorders>
              <w:top w:val="single" w:color="000000" w:sz="4" w:space="0"/>
              <w:left w:val="single" w:color="000000" w:sz="4" w:space="0"/>
              <w:bottom w:val="single" w:color="000000" w:sz="4" w:space="0"/>
              <w:right w:val="single" w:color="000000" w:sz="12" w:space="0"/>
            </w:tcBorders>
            <w:noWrap w:val="0"/>
            <w:vAlign w:val="center"/>
          </w:tcPr>
          <w:p>
            <w:pPr>
              <w:rPr>
                <w:rFonts w:ascii="宋体" w:hAnsi="宋体" w:cs="宋体"/>
                <w:color w:val="000000"/>
                <w:sz w:val="20"/>
                <w:highlight w:val="none"/>
              </w:rPr>
            </w:pPr>
          </w:p>
        </w:tc>
      </w:tr>
      <w:tr>
        <w:tblPrEx>
          <w:tblCellMar>
            <w:top w:w="15" w:type="dxa"/>
            <w:left w:w="15" w:type="dxa"/>
            <w:bottom w:w="15" w:type="dxa"/>
            <w:right w:w="15" w:type="dxa"/>
          </w:tblCellMar>
        </w:tblPrEx>
        <w:trPr>
          <w:trHeight w:val="360"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1</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lang w:eastAsia="zh-CN"/>
              </w:rPr>
              <w:t>承包人</w:t>
            </w:r>
            <w:r>
              <w:rPr>
                <w:rFonts w:hint="eastAsia" w:ascii="宋体" w:hAnsi="宋体" w:cs="宋体"/>
                <w:color w:val="000000"/>
                <w:kern w:val="0"/>
                <w:sz w:val="20"/>
                <w:highlight w:val="none"/>
              </w:rPr>
              <w:t>员数量及素质</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5</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A、</w:t>
            </w:r>
            <w:r>
              <w:rPr>
                <w:rFonts w:hint="eastAsia" w:ascii="宋体" w:hAnsi="宋体" w:cs="宋体"/>
                <w:color w:val="000000"/>
                <w:kern w:val="0"/>
                <w:sz w:val="20"/>
                <w:highlight w:val="none"/>
                <w:lang w:eastAsia="zh-CN"/>
              </w:rPr>
              <w:t>承包人</w:t>
            </w:r>
            <w:r>
              <w:rPr>
                <w:rFonts w:hint="eastAsia" w:ascii="宋体" w:hAnsi="宋体" w:cs="宋体"/>
                <w:color w:val="000000"/>
                <w:kern w:val="0"/>
                <w:sz w:val="20"/>
                <w:highlight w:val="none"/>
              </w:rPr>
              <w:t>数十分充足，总体素质非常高：4.3～5分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1、</w:t>
            </w:r>
            <w:r>
              <w:rPr>
                <w:rFonts w:hint="eastAsia" w:ascii="宋体" w:hAnsi="宋体" w:cs="宋体"/>
                <w:color w:val="000000"/>
                <w:kern w:val="0"/>
                <w:sz w:val="20"/>
                <w:highlight w:val="none"/>
                <w:lang w:eastAsia="zh-CN"/>
              </w:rPr>
              <w:t>承包人</w:t>
            </w:r>
            <w:r>
              <w:rPr>
                <w:rFonts w:hint="eastAsia" w:ascii="宋体" w:hAnsi="宋体" w:cs="宋体"/>
                <w:color w:val="000000"/>
                <w:kern w:val="0"/>
                <w:sz w:val="20"/>
                <w:highlight w:val="none"/>
              </w:rPr>
              <w:t>员数量及素质应符合合同规定，人员配置合理，</w:t>
            </w:r>
            <w:r>
              <w:rPr>
                <w:rFonts w:hint="eastAsia" w:ascii="宋体" w:hAnsi="宋体" w:cs="宋体"/>
                <w:color w:val="000000"/>
                <w:kern w:val="0"/>
                <w:sz w:val="20"/>
                <w:highlight w:val="none"/>
                <w:lang w:eastAsia="zh-CN"/>
              </w:rPr>
              <w:t>承包人</w:t>
            </w:r>
            <w:r>
              <w:rPr>
                <w:rFonts w:hint="eastAsia" w:ascii="宋体" w:hAnsi="宋体" w:cs="宋体"/>
                <w:color w:val="000000"/>
                <w:kern w:val="0"/>
                <w:sz w:val="20"/>
                <w:highlight w:val="none"/>
              </w:rPr>
              <w:t>员专业素质整体水平高，满足现场监理工作的需要；</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2、监理公司是否有对</w:t>
            </w:r>
            <w:r>
              <w:rPr>
                <w:rFonts w:hint="eastAsia" w:ascii="宋体" w:hAnsi="宋体" w:cs="宋体"/>
                <w:color w:val="000000"/>
                <w:kern w:val="0"/>
                <w:sz w:val="20"/>
                <w:highlight w:val="none"/>
                <w:lang w:eastAsia="zh-CN"/>
              </w:rPr>
              <w:t>承包人</w:t>
            </w:r>
            <w:r>
              <w:rPr>
                <w:rFonts w:hint="eastAsia" w:ascii="宋体" w:hAnsi="宋体" w:cs="宋体"/>
                <w:color w:val="000000"/>
                <w:kern w:val="0"/>
                <w:sz w:val="20"/>
                <w:highlight w:val="none"/>
              </w:rPr>
              <w:t>员进行教育、培训、交底工作。</w:t>
            </w:r>
          </w:p>
        </w:tc>
      </w:tr>
      <w:tr>
        <w:tblPrEx>
          <w:tblCellMar>
            <w:top w:w="15" w:type="dxa"/>
            <w:left w:w="15" w:type="dxa"/>
            <w:bottom w:w="15" w:type="dxa"/>
            <w:right w:w="15" w:type="dxa"/>
          </w:tblCellMar>
        </w:tblPrEx>
        <w:trPr>
          <w:trHeight w:val="36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w:t>
            </w:r>
            <w:r>
              <w:rPr>
                <w:rFonts w:hint="eastAsia" w:ascii="宋体" w:hAnsi="宋体" w:cs="宋体"/>
                <w:color w:val="000000"/>
                <w:kern w:val="0"/>
                <w:sz w:val="20"/>
                <w:highlight w:val="none"/>
                <w:lang w:eastAsia="zh-CN"/>
              </w:rPr>
              <w:t>承包人</w:t>
            </w:r>
            <w:r>
              <w:rPr>
                <w:rFonts w:hint="eastAsia" w:ascii="宋体" w:hAnsi="宋体" w:cs="宋体"/>
                <w:color w:val="000000"/>
                <w:kern w:val="0"/>
                <w:sz w:val="20"/>
                <w:highlight w:val="none"/>
              </w:rPr>
              <w:t>数充足，总体素质高：3.5～4.2分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6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C、</w:t>
            </w:r>
            <w:r>
              <w:rPr>
                <w:rFonts w:hint="eastAsia" w:ascii="宋体" w:hAnsi="宋体" w:cs="宋体"/>
                <w:color w:val="000000"/>
                <w:kern w:val="0"/>
                <w:sz w:val="20"/>
                <w:highlight w:val="none"/>
                <w:lang w:eastAsia="zh-CN"/>
              </w:rPr>
              <w:t>承包人</w:t>
            </w:r>
            <w:r>
              <w:rPr>
                <w:rFonts w:hint="eastAsia" w:ascii="宋体" w:hAnsi="宋体" w:cs="宋体"/>
                <w:color w:val="000000"/>
                <w:kern w:val="0"/>
                <w:sz w:val="20"/>
                <w:highlight w:val="none"/>
              </w:rPr>
              <w:t>数一般，总体素质中等：2.7～3.4分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6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D、</w:t>
            </w:r>
            <w:r>
              <w:rPr>
                <w:rFonts w:hint="eastAsia" w:ascii="宋体" w:hAnsi="宋体" w:cs="宋体"/>
                <w:color w:val="000000"/>
                <w:kern w:val="0"/>
                <w:sz w:val="20"/>
                <w:highlight w:val="none"/>
                <w:lang w:eastAsia="zh-CN"/>
              </w:rPr>
              <w:t>承包人</w:t>
            </w:r>
            <w:r>
              <w:rPr>
                <w:rFonts w:hint="eastAsia" w:ascii="宋体" w:hAnsi="宋体" w:cs="宋体"/>
                <w:color w:val="000000"/>
                <w:kern w:val="0"/>
                <w:sz w:val="20"/>
                <w:highlight w:val="none"/>
              </w:rPr>
              <w:t>数不足，总体素质低：1.9～2.6分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60"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E、</w:t>
            </w:r>
            <w:r>
              <w:rPr>
                <w:rFonts w:hint="eastAsia" w:ascii="宋体" w:hAnsi="宋体" w:cs="宋体"/>
                <w:color w:val="000000"/>
                <w:kern w:val="0"/>
                <w:sz w:val="20"/>
                <w:highlight w:val="none"/>
                <w:lang w:eastAsia="zh-CN"/>
              </w:rPr>
              <w:t>承包人</w:t>
            </w:r>
            <w:r>
              <w:rPr>
                <w:rFonts w:hint="eastAsia" w:ascii="宋体" w:hAnsi="宋体" w:cs="宋体"/>
                <w:color w:val="000000"/>
                <w:kern w:val="0"/>
                <w:sz w:val="20"/>
                <w:highlight w:val="none"/>
              </w:rPr>
              <w:t>数严重不足，总体素质非常低：0～1.8分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330" w:hRule="atLeast"/>
        </w:trPr>
        <w:tc>
          <w:tcPr>
            <w:tcW w:w="232"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七</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扣分项</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rPr>
              <w:t>-10</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0"/>
                <w:highlight w:val="none"/>
              </w:rPr>
            </w:pPr>
          </w:p>
        </w:tc>
        <w:tc>
          <w:tcPr>
            <w:tcW w:w="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highlight w:val="none"/>
              </w:rPr>
            </w:pPr>
          </w:p>
        </w:tc>
        <w:tc>
          <w:tcPr>
            <w:tcW w:w="3894" w:type="dxa"/>
            <w:tcBorders>
              <w:top w:val="single" w:color="000000" w:sz="4" w:space="0"/>
              <w:left w:val="single" w:color="000000" w:sz="4" w:space="0"/>
              <w:bottom w:val="single" w:color="000000" w:sz="4" w:space="0"/>
              <w:right w:val="single" w:color="000000" w:sz="12" w:space="0"/>
            </w:tcBorders>
            <w:noWrap w:val="0"/>
            <w:vAlign w:val="center"/>
          </w:tcPr>
          <w:p>
            <w:pPr>
              <w:rPr>
                <w:rFonts w:ascii="宋体" w:hAnsi="宋体" w:cs="宋体"/>
                <w:color w:val="000000"/>
                <w:sz w:val="20"/>
                <w:highlight w:val="none"/>
              </w:rPr>
            </w:pPr>
          </w:p>
        </w:tc>
      </w:tr>
      <w:tr>
        <w:tblPrEx>
          <w:tblCellMar>
            <w:top w:w="15" w:type="dxa"/>
            <w:left w:w="15" w:type="dxa"/>
            <w:bottom w:w="15" w:type="dxa"/>
            <w:right w:w="15" w:type="dxa"/>
          </w:tblCellMar>
        </w:tblPrEx>
        <w:trPr>
          <w:trHeight w:val="1080" w:hRule="atLeast"/>
        </w:trPr>
        <w:tc>
          <w:tcPr>
            <w:tcW w:w="232"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1</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highlight w:val="none"/>
              </w:rPr>
            </w:pPr>
            <w:r>
              <w:rPr>
                <w:rFonts w:hint="eastAsia" w:ascii="宋体" w:hAnsi="宋体" w:cs="宋体"/>
                <w:color w:val="000000"/>
                <w:kern w:val="0"/>
                <w:sz w:val="20"/>
                <w:highlight w:val="none"/>
              </w:rPr>
              <w:t>工作责任心、职业道德、与甲方项目部的配合情况</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 xml:space="preserve">A、工作责任心、职业道德较差，与甲方项目部配合度不高，     </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 xml:space="preserve">   扣除2～5分</w:t>
            </w:r>
          </w:p>
        </w:tc>
        <w:tc>
          <w:tcPr>
            <w:tcW w:w="3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highlight w:val="none"/>
              </w:rPr>
            </w:pPr>
          </w:p>
        </w:tc>
        <w:tc>
          <w:tcPr>
            <w:tcW w:w="3894" w:type="dxa"/>
            <w:vMerge w:val="restart"/>
            <w:tcBorders>
              <w:top w:val="single" w:color="000000" w:sz="4" w:space="0"/>
              <w:left w:val="single" w:color="000000" w:sz="4" w:space="0"/>
              <w:bottom w:val="single" w:color="000000" w:sz="4" w:space="0"/>
              <w:right w:val="single" w:color="000000" w:sz="12" w:space="0"/>
            </w:tcBorders>
            <w:noWrap w:val="0"/>
            <w:vAlign w:val="top"/>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1215" w:hRule="atLeast"/>
        </w:trPr>
        <w:tc>
          <w:tcPr>
            <w:tcW w:w="232"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cs="宋体"/>
                <w:color w:val="000000"/>
                <w:sz w:val="20"/>
                <w:highlight w:val="none"/>
              </w:rPr>
            </w:pPr>
            <w:r>
              <w:rPr>
                <w:rFonts w:hint="eastAsia" w:ascii="宋体" w:hAnsi="宋体" w:cs="宋体"/>
                <w:color w:val="000000"/>
                <w:kern w:val="0"/>
                <w:sz w:val="20"/>
                <w:highlight w:val="none"/>
              </w:rPr>
              <w:t>B、工作责任心、职业道德很差，与甲方项目部配合度很低，</w:t>
            </w:r>
            <w:r>
              <w:rPr>
                <w:rFonts w:hint="eastAsia" w:ascii="宋体" w:hAnsi="宋体" w:cs="宋体"/>
                <w:color w:val="000000"/>
                <w:kern w:val="0"/>
                <w:sz w:val="20"/>
                <w:highlight w:val="none"/>
              </w:rPr>
              <w:br w:type="textWrapping"/>
            </w:r>
            <w:r>
              <w:rPr>
                <w:rFonts w:hint="eastAsia" w:ascii="宋体" w:hAnsi="宋体" w:cs="宋体"/>
                <w:color w:val="000000"/>
                <w:kern w:val="0"/>
                <w:sz w:val="20"/>
                <w:highlight w:val="none"/>
              </w:rPr>
              <w:t xml:space="preserve">   扣除6～10分</w:t>
            </w:r>
          </w:p>
        </w:tc>
        <w:tc>
          <w:tcPr>
            <w:tcW w:w="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highlight w:val="none"/>
              </w:rPr>
            </w:pPr>
          </w:p>
        </w:tc>
        <w:tc>
          <w:tcPr>
            <w:tcW w:w="3894" w:type="dxa"/>
            <w:vMerge w:val="continue"/>
            <w:tcBorders>
              <w:top w:val="single" w:color="000000" w:sz="4" w:space="0"/>
              <w:left w:val="single" w:color="000000" w:sz="4" w:space="0"/>
              <w:bottom w:val="single" w:color="000000" w:sz="4" w:space="0"/>
              <w:right w:val="single" w:color="000000" w:sz="12" w:space="0"/>
            </w:tcBorders>
            <w:noWrap w:val="0"/>
            <w:vAlign w:val="top"/>
          </w:tcPr>
          <w:p>
            <w:pPr>
              <w:jc w:val="left"/>
              <w:rPr>
                <w:rFonts w:ascii="宋体" w:hAnsi="宋体" w:cs="宋体"/>
                <w:color w:val="000000"/>
                <w:sz w:val="20"/>
                <w:highlight w:val="none"/>
              </w:rPr>
            </w:pPr>
          </w:p>
        </w:tc>
      </w:tr>
      <w:tr>
        <w:tblPrEx>
          <w:tblCellMar>
            <w:top w:w="15" w:type="dxa"/>
            <w:left w:w="15" w:type="dxa"/>
            <w:bottom w:w="15" w:type="dxa"/>
            <w:right w:w="15" w:type="dxa"/>
          </w:tblCellMar>
        </w:tblPrEx>
        <w:trPr>
          <w:trHeight w:val="420" w:hRule="atLeast"/>
        </w:trPr>
        <w:tc>
          <w:tcPr>
            <w:tcW w:w="232" w:type="dxa"/>
            <w:tcBorders>
              <w:top w:val="single" w:color="000000" w:sz="4" w:space="0"/>
              <w:left w:val="single" w:color="000000" w:sz="12" w:space="0"/>
              <w:bottom w:val="single" w:color="000000" w:sz="12" w:space="0"/>
              <w:right w:val="single" w:color="000000" w:sz="4" w:space="0"/>
            </w:tcBorders>
            <w:shd w:val="clear" w:color="auto" w:fill="auto"/>
            <w:noWrap w:val="0"/>
            <w:vAlign w:val="center"/>
          </w:tcPr>
          <w:p>
            <w:pPr>
              <w:jc w:val="center"/>
              <w:rPr>
                <w:rFonts w:ascii="宋体" w:hAnsi="宋体" w:cs="宋体"/>
                <w:color w:val="000000"/>
                <w:sz w:val="20"/>
                <w:highlight w:val="none"/>
              </w:rPr>
            </w:pPr>
          </w:p>
        </w:tc>
        <w:tc>
          <w:tcPr>
            <w:tcW w:w="828"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jc w:val="center"/>
              <w:rPr>
                <w:rFonts w:ascii="宋体" w:hAnsi="宋体" w:cs="宋体"/>
                <w:color w:val="000000"/>
                <w:sz w:val="20"/>
                <w:highlight w:val="none"/>
              </w:rPr>
            </w:pPr>
          </w:p>
        </w:tc>
        <w:tc>
          <w:tcPr>
            <w:tcW w:w="534"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jc w:val="center"/>
              <w:rPr>
                <w:rFonts w:ascii="宋体" w:hAnsi="宋体" w:cs="宋体"/>
                <w:color w:val="000000"/>
                <w:sz w:val="20"/>
                <w:highlight w:val="none"/>
              </w:rPr>
            </w:pPr>
          </w:p>
        </w:tc>
        <w:tc>
          <w:tcPr>
            <w:tcW w:w="2705"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widowControl/>
              <w:ind w:firstLine="201" w:firstLineChars="100"/>
              <w:jc w:val="right"/>
              <w:textAlignment w:val="center"/>
              <w:rPr>
                <w:rFonts w:ascii="宋体" w:hAnsi="宋体" w:cs="宋体"/>
                <w:b/>
                <w:color w:val="000000"/>
                <w:sz w:val="20"/>
                <w:highlight w:val="none"/>
              </w:rPr>
            </w:pPr>
            <w:r>
              <w:rPr>
                <w:rFonts w:hint="eastAsia" w:ascii="宋体" w:hAnsi="宋体" w:cs="宋体"/>
                <w:b/>
                <w:color w:val="000000"/>
                <w:kern w:val="0"/>
                <w:sz w:val="20"/>
                <w:highlight w:val="none"/>
              </w:rPr>
              <w:t>合计得分</w:t>
            </w:r>
          </w:p>
        </w:tc>
        <w:tc>
          <w:tcPr>
            <w:tcW w:w="327"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widowControl/>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 xml:space="preserve">0.0 </w:t>
            </w:r>
          </w:p>
        </w:tc>
        <w:tc>
          <w:tcPr>
            <w:tcW w:w="3894"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pPr>
              <w:widowControl/>
              <w:ind w:firstLine="400" w:firstLineChars="200"/>
              <w:jc w:val="left"/>
              <w:textAlignment w:val="center"/>
              <w:rPr>
                <w:rFonts w:ascii="宋体" w:hAnsi="宋体" w:cs="宋体"/>
                <w:color w:val="000000"/>
                <w:sz w:val="20"/>
                <w:highlight w:val="none"/>
              </w:rPr>
            </w:pPr>
            <w:r>
              <w:rPr>
                <w:rStyle w:val="68"/>
                <w:rFonts w:hint="default"/>
                <w:color w:val="000000"/>
                <w:highlight w:val="none"/>
              </w:rPr>
              <w:t>□</w:t>
            </w:r>
            <w:r>
              <w:rPr>
                <w:rStyle w:val="61"/>
                <w:rFonts w:hint="default"/>
                <w:color w:val="000000"/>
                <w:highlight w:val="none"/>
              </w:rPr>
              <w:t>合格          □不合格</w:t>
            </w:r>
          </w:p>
        </w:tc>
      </w:tr>
    </w:tbl>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sectPr>
      <w:pgSz w:w="11907" w:h="16840"/>
      <w:pgMar w:top="1440" w:right="1588" w:bottom="1440" w:left="1588" w:header="737" w:footer="62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5"/>
      </w:rPr>
    </w:pPr>
    <w:r>
      <w:fldChar w:fldCharType="begin"/>
    </w:r>
    <w:r>
      <w:rPr>
        <w:rStyle w:val="35"/>
      </w:rPr>
      <w:instrText xml:space="preserve">PAGE  </w:instrText>
    </w:r>
    <w:r>
      <w:fldChar w:fldCharType="separate"/>
    </w:r>
    <w:r>
      <w:rPr>
        <w:rStyle w:val="35"/>
      </w:rPr>
      <w:t>30</w:t>
    </w:r>
    <w:r>
      <w:fldChar w:fldCharType="end"/>
    </w:r>
  </w:p>
  <w:p>
    <w:pPr>
      <w:pStyle w:val="24"/>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7E550"/>
    <w:multiLevelType w:val="singleLevel"/>
    <w:tmpl w:val="94E7E550"/>
    <w:lvl w:ilvl="0" w:tentative="0">
      <w:start w:val="1"/>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tabs>
          <w:tab w:val="left" w:pos="1129"/>
        </w:tabs>
        <w:ind w:left="1129" w:hanging="420"/>
      </w:pPr>
      <w:rPr>
        <w:rFonts w:ascii="仿宋_GB2312" w:hAnsi="Times New Roman" w:eastAsia="仿宋_GB2312" w:cs="Times New Roman"/>
      </w:rPr>
    </w:lvl>
    <w:lvl w:ilvl="1" w:tentative="0">
      <w:start w:val="1"/>
      <w:numFmt w:val="bullet"/>
      <w:lvlText w:val=""/>
      <w:lvlJc w:val="left"/>
      <w:pPr>
        <w:tabs>
          <w:tab w:val="left" w:pos="1549"/>
        </w:tabs>
        <w:ind w:left="1549" w:hanging="420"/>
      </w:pPr>
      <w:rPr>
        <w:rFonts w:hint="default" w:ascii="Wingdings" w:hAnsi="Wingdings"/>
      </w:rPr>
    </w:lvl>
    <w:lvl w:ilvl="2" w:tentative="0">
      <w:start w:val="1"/>
      <w:numFmt w:val="bullet"/>
      <w:lvlText w:val=""/>
      <w:lvlJc w:val="left"/>
      <w:pPr>
        <w:tabs>
          <w:tab w:val="left" w:pos="1969"/>
        </w:tabs>
        <w:ind w:left="1969" w:hanging="420"/>
      </w:pPr>
      <w:rPr>
        <w:rFonts w:hint="default" w:ascii="Wingdings" w:hAnsi="Wingdings"/>
      </w:rPr>
    </w:lvl>
    <w:lvl w:ilvl="3" w:tentative="0">
      <w:start w:val="1"/>
      <w:numFmt w:val="bullet"/>
      <w:lvlText w:val=""/>
      <w:lvlJc w:val="left"/>
      <w:pPr>
        <w:tabs>
          <w:tab w:val="left" w:pos="2389"/>
        </w:tabs>
        <w:ind w:left="2389" w:hanging="420"/>
      </w:pPr>
      <w:rPr>
        <w:rFonts w:hint="default" w:ascii="Wingdings" w:hAnsi="Wingdings"/>
      </w:rPr>
    </w:lvl>
    <w:lvl w:ilvl="4" w:tentative="0">
      <w:start w:val="1"/>
      <w:numFmt w:val="bullet"/>
      <w:lvlText w:val=""/>
      <w:lvlJc w:val="left"/>
      <w:pPr>
        <w:tabs>
          <w:tab w:val="left" w:pos="2809"/>
        </w:tabs>
        <w:ind w:left="2809" w:hanging="420"/>
      </w:pPr>
      <w:rPr>
        <w:rFonts w:hint="default" w:ascii="Wingdings" w:hAnsi="Wingdings"/>
      </w:rPr>
    </w:lvl>
    <w:lvl w:ilvl="5" w:tentative="0">
      <w:start w:val="1"/>
      <w:numFmt w:val="bullet"/>
      <w:lvlText w:val=""/>
      <w:lvlJc w:val="left"/>
      <w:pPr>
        <w:tabs>
          <w:tab w:val="left" w:pos="3229"/>
        </w:tabs>
        <w:ind w:left="3229" w:hanging="420"/>
      </w:pPr>
      <w:rPr>
        <w:rFonts w:hint="default" w:ascii="Wingdings" w:hAnsi="Wingdings"/>
      </w:rPr>
    </w:lvl>
    <w:lvl w:ilvl="6" w:tentative="0">
      <w:start w:val="1"/>
      <w:numFmt w:val="bullet"/>
      <w:lvlText w:val=""/>
      <w:lvlJc w:val="left"/>
      <w:pPr>
        <w:tabs>
          <w:tab w:val="left" w:pos="3649"/>
        </w:tabs>
        <w:ind w:left="3649" w:hanging="420"/>
      </w:pPr>
      <w:rPr>
        <w:rFonts w:hint="default" w:ascii="Wingdings" w:hAnsi="Wingdings"/>
      </w:rPr>
    </w:lvl>
    <w:lvl w:ilvl="7" w:tentative="0">
      <w:start w:val="1"/>
      <w:numFmt w:val="bullet"/>
      <w:lvlText w:val=""/>
      <w:lvlJc w:val="left"/>
      <w:pPr>
        <w:tabs>
          <w:tab w:val="left" w:pos="4069"/>
        </w:tabs>
        <w:ind w:left="4069" w:hanging="420"/>
      </w:pPr>
      <w:rPr>
        <w:rFonts w:hint="default" w:ascii="Wingdings" w:hAnsi="Wingdings"/>
      </w:rPr>
    </w:lvl>
    <w:lvl w:ilvl="8" w:tentative="0">
      <w:start w:val="1"/>
      <w:numFmt w:val="bullet"/>
      <w:lvlText w:val=""/>
      <w:lvlJc w:val="left"/>
      <w:pPr>
        <w:tabs>
          <w:tab w:val="left" w:pos="4489"/>
        </w:tabs>
        <w:ind w:left="4489" w:hanging="420"/>
      </w:pPr>
      <w:rPr>
        <w:rFonts w:hint="default" w:ascii="Wingdings" w:hAnsi="Wingdings"/>
      </w:rPr>
    </w:lvl>
  </w:abstractNum>
  <w:abstractNum w:abstractNumId="2">
    <w:nsid w:val="00000005"/>
    <w:multiLevelType w:val="multilevel"/>
    <w:tmpl w:val="0000000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09"/>
    <w:multiLevelType w:val="multilevel"/>
    <w:tmpl w:val="00000009"/>
    <w:lvl w:ilvl="0" w:tentative="0">
      <w:start w:val="1"/>
      <w:numFmt w:val="decimal"/>
      <w:lvlText w:val="%1."/>
      <w:lvlJc w:val="left"/>
      <w:pPr>
        <w:ind w:left="945" w:hanging="42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4">
    <w:nsid w:val="0000000A"/>
    <w:multiLevelType w:val="multilevel"/>
    <w:tmpl w:val="0000000A"/>
    <w:lvl w:ilvl="0" w:tentative="0">
      <w:start w:val="1"/>
      <w:numFmt w:val="japaneseCounting"/>
      <w:lvlText w:val="%1、"/>
      <w:lvlJc w:val="left"/>
      <w:pPr>
        <w:tabs>
          <w:tab w:val="left" w:pos="1200"/>
        </w:tabs>
        <w:ind w:left="1200" w:hanging="600"/>
      </w:pPr>
      <w:rPr>
        <w:rFonts w:hint="eastAsia"/>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0000000F"/>
    <w:multiLevelType w:val="multilevel"/>
    <w:tmpl w:val="0000000F"/>
    <w:lvl w:ilvl="0" w:tentative="0">
      <w:start w:val="1"/>
      <w:numFmt w:val="decimal"/>
      <w:lvlText w:val="%1、"/>
      <w:lvlJc w:val="left"/>
      <w:pPr>
        <w:tabs>
          <w:tab w:val="left" w:pos="1129"/>
        </w:tabs>
        <w:ind w:left="1129" w:hanging="420"/>
      </w:pPr>
      <w:rPr>
        <w:rFonts w:ascii="仿宋_GB2312" w:hAnsi="Times New Roman" w:eastAsia="仿宋_GB2312" w:cs="Times New Roman"/>
        <w:b w:val="0"/>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00000010"/>
    <w:multiLevelType w:val="multilevel"/>
    <w:tmpl w:val="00000010"/>
    <w:lvl w:ilvl="0" w:tentative="0">
      <w:start w:val="1"/>
      <w:numFmt w:val="decimal"/>
      <w:lvlText w:val="%1、"/>
      <w:lvlJc w:val="left"/>
      <w:pPr>
        <w:tabs>
          <w:tab w:val="left" w:pos="840"/>
        </w:tabs>
        <w:ind w:left="840" w:hanging="420"/>
      </w:pPr>
      <w:rPr>
        <w:rFonts w:ascii="仿宋_GB2312" w:hAnsi="Times New Roman" w:eastAsia="仿宋_GB2312"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00000011"/>
    <w:multiLevelType w:val="multilevel"/>
    <w:tmpl w:val="00000011"/>
    <w:lvl w:ilvl="0" w:tentative="0">
      <w:start w:val="1"/>
      <w:numFmt w:val="decimal"/>
      <w:lvlText w:val="%1、"/>
      <w:lvlJc w:val="left"/>
      <w:pPr>
        <w:tabs>
          <w:tab w:val="left" w:pos="1129"/>
        </w:tabs>
        <w:ind w:left="1129" w:hanging="420"/>
      </w:pPr>
      <w:rPr>
        <w:rFonts w:ascii="仿宋_GB2312" w:hAnsi="Times New Roman" w:eastAsia="仿宋_GB2312" w:cs="Times New Roman"/>
      </w:rPr>
    </w:lvl>
    <w:lvl w:ilvl="1" w:tentative="0">
      <w:start w:val="1"/>
      <w:numFmt w:val="bullet"/>
      <w:lvlText w:val=""/>
      <w:lvlJc w:val="left"/>
      <w:pPr>
        <w:tabs>
          <w:tab w:val="left" w:pos="1549"/>
        </w:tabs>
        <w:ind w:left="1549" w:hanging="420"/>
      </w:pPr>
      <w:rPr>
        <w:rFonts w:hint="default" w:ascii="Wingdings" w:hAnsi="Wingdings"/>
      </w:rPr>
    </w:lvl>
    <w:lvl w:ilvl="2" w:tentative="0">
      <w:start w:val="1"/>
      <w:numFmt w:val="bullet"/>
      <w:lvlText w:val=""/>
      <w:lvlJc w:val="left"/>
      <w:pPr>
        <w:tabs>
          <w:tab w:val="left" w:pos="1969"/>
        </w:tabs>
        <w:ind w:left="1969" w:hanging="420"/>
      </w:pPr>
      <w:rPr>
        <w:rFonts w:hint="default" w:ascii="Wingdings" w:hAnsi="Wingdings"/>
      </w:rPr>
    </w:lvl>
    <w:lvl w:ilvl="3" w:tentative="0">
      <w:start w:val="1"/>
      <w:numFmt w:val="bullet"/>
      <w:lvlText w:val=""/>
      <w:lvlJc w:val="left"/>
      <w:pPr>
        <w:tabs>
          <w:tab w:val="left" w:pos="2389"/>
        </w:tabs>
        <w:ind w:left="2389" w:hanging="420"/>
      </w:pPr>
      <w:rPr>
        <w:rFonts w:hint="default" w:ascii="Wingdings" w:hAnsi="Wingdings"/>
      </w:rPr>
    </w:lvl>
    <w:lvl w:ilvl="4" w:tentative="0">
      <w:start w:val="1"/>
      <w:numFmt w:val="bullet"/>
      <w:lvlText w:val=""/>
      <w:lvlJc w:val="left"/>
      <w:pPr>
        <w:tabs>
          <w:tab w:val="left" w:pos="2809"/>
        </w:tabs>
        <w:ind w:left="2809" w:hanging="420"/>
      </w:pPr>
      <w:rPr>
        <w:rFonts w:hint="default" w:ascii="Wingdings" w:hAnsi="Wingdings"/>
      </w:rPr>
    </w:lvl>
    <w:lvl w:ilvl="5" w:tentative="0">
      <w:start w:val="1"/>
      <w:numFmt w:val="bullet"/>
      <w:lvlText w:val=""/>
      <w:lvlJc w:val="left"/>
      <w:pPr>
        <w:tabs>
          <w:tab w:val="left" w:pos="3229"/>
        </w:tabs>
        <w:ind w:left="3229" w:hanging="420"/>
      </w:pPr>
      <w:rPr>
        <w:rFonts w:hint="default" w:ascii="Wingdings" w:hAnsi="Wingdings"/>
      </w:rPr>
    </w:lvl>
    <w:lvl w:ilvl="6" w:tentative="0">
      <w:start w:val="1"/>
      <w:numFmt w:val="bullet"/>
      <w:lvlText w:val=""/>
      <w:lvlJc w:val="left"/>
      <w:pPr>
        <w:tabs>
          <w:tab w:val="left" w:pos="3649"/>
        </w:tabs>
        <w:ind w:left="3649" w:hanging="420"/>
      </w:pPr>
      <w:rPr>
        <w:rFonts w:hint="default" w:ascii="Wingdings" w:hAnsi="Wingdings"/>
      </w:rPr>
    </w:lvl>
    <w:lvl w:ilvl="7" w:tentative="0">
      <w:start w:val="1"/>
      <w:numFmt w:val="bullet"/>
      <w:lvlText w:val=""/>
      <w:lvlJc w:val="left"/>
      <w:pPr>
        <w:tabs>
          <w:tab w:val="left" w:pos="4069"/>
        </w:tabs>
        <w:ind w:left="4069" w:hanging="420"/>
      </w:pPr>
      <w:rPr>
        <w:rFonts w:hint="default" w:ascii="Wingdings" w:hAnsi="Wingdings"/>
      </w:rPr>
    </w:lvl>
    <w:lvl w:ilvl="8" w:tentative="0">
      <w:start w:val="1"/>
      <w:numFmt w:val="bullet"/>
      <w:lvlText w:val=""/>
      <w:lvlJc w:val="left"/>
      <w:pPr>
        <w:tabs>
          <w:tab w:val="left" w:pos="4489"/>
        </w:tabs>
        <w:ind w:left="4489" w:hanging="420"/>
      </w:pPr>
      <w:rPr>
        <w:rFonts w:hint="default" w:ascii="Wingdings" w:hAnsi="Wingdings"/>
      </w:rPr>
    </w:lvl>
  </w:abstractNum>
  <w:abstractNum w:abstractNumId="8">
    <w:nsid w:val="00000013"/>
    <w:multiLevelType w:val="multilevel"/>
    <w:tmpl w:val="00000013"/>
    <w:lvl w:ilvl="0" w:tentative="0">
      <w:start w:val="1"/>
      <w:numFmt w:val="decimal"/>
      <w:lvlText w:val="%1、"/>
      <w:lvlJc w:val="left"/>
      <w:pPr>
        <w:tabs>
          <w:tab w:val="left" w:pos="1279"/>
        </w:tabs>
        <w:ind w:left="1055" w:firstLine="26"/>
      </w:pPr>
      <w:rPr>
        <w:rFonts w:hint="default"/>
      </w:rPr>
    </w:lvl>
    <w:lvl w:ilvl="1" w:tentative="0">
      <w:start w:val="1"/>
      <w:numFmt w:val="decimal"/>
      <w:lvlText w:val="%2、"/>
      <w:lvlJc w:val="left"/>
      <w:pPr>
        <w:tabs>
          <w:tab w:val="left" w:pos="680"/>
        </w:tabs>
        <w:ind w:left="680" w:firstLine="0"/>
      </w:pPr>
      <w:rPr>
        <w:rFonts w:hint="default"/>
      </w:r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9">
    <w:nsid w:val="3C0675B1"/>
    <w:multiLevelType w:val="multilevel"/>
    <w:tmpl w:val="3C0675B1"/>
    <w:lvl w:ilvl="0" w:tentative="0">
      <w:start w:val="3"/>
      <w:numFmt w:val="decimal"/>
      <w:lvlText w:val="%1."/>
      <w:lvlJc w:val="left"/>
      <w:pPr>
        <w:ind w:left="660" w:hanging="66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4BD60BC7"/>
    <w:multiLevelType w:val="multilevel"/>
    <w:tmpl w:val="4BD60BC7"/>
    <w:lvl w:ilvl="0" w:tentative="0">
      <w:start w:val="2"/>
      <w:numFmt w:val="decimal"/>
      <w:lvlText w:val="%1"/>
      <w:lvlJc w:val="left"/>
      <w:pPr>
        <w:ind w:left="600" w:hanging="600"/>
      </w:pPr>
      <w:rPr>
        <w:rFonts w:hint="default"/>
      </w:rPr>
    </w:lvl>
    <w:lvl w:ilvl="1" w:tentative="0">
      <w:start w:val="4"/>
      <w:numFmt w:val="decimal"/>
      <w:lvlText w:val="%1.%2"/>
      <w:lvlJc w:val="left"/>
      <w:pPr>
        <w:ind w:left="840" w:hanging="600"/>
      </w:pPr>
      <w:rPr>
        <w:rFonts w:hint="default"/>
      </w:rPr>
    </w:lvl>
    <w:lvl w:ilvl="2" w:tentative="0">
      <w:start w:val="2"/>
      <w:numFmt w:val="decimal"/>
      <w:lvlText w:val="%1.%2.%3"/>
      <w:lvlJc w:val="left"/>
      <w:pPr>
        <w:ind w:left="1200" w:hanging="720"/>
      </w:pPr>
      <w:rPr>
        <w:rFonts w:hint="default"/>
      </w:rPr>
    </w:lvl>
    <w:lvl w:ilvl="3" w:tentative="0">
      <w:start w:val="1"/>
      <w:numFmt w:val="decimal"/>
      <w:lvlText w:val="%1.%2.%3.%4"/>
      <w:lvlJc w:val="left"/>
      <w:pPr>
        <w:ind w:left="1800" w:hanging="108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640" w:hanging="1440"/>
      </w:pPr>
      <w:rPr>
        <w:rFonts w:hint="default"/>
      </w:rPr>
    </w:lvl>
    <w:lvl w:ilvl="6" w:tentative="0">
      <w:start w:val="1"/>
      <w:numFmt w:val="decimal"/>
      <w:lvlText w:val="%1.%2.%3.%4.%5.%6.%7"/>
      <w:lvlJc w:val="left"/>
      <w:pPr>
        <w:ind w:left="3240" w:hanging="1800"/>
      </w:pPr>
      <w:rPr>
        <w:rFonts w:hint="default"/>
      </w:rPr>
    </w:lvl>
    <w:lvl w:ilvl="7" w:tentative="0">
      <w:start w:val="1"/>
      <w:numFmt w:val="decimal"/>
      <w:lvlText w:val="%1.%2.%3.%4.%5.%6.%7.%8"/>
      <w:lvlJc w:val="left"/>
      <w:pPr>
        <w:ind w:left="3480" w:hanging="1800"/>
      </w:pPr>
      <w:rPr>
        <w:rFonts w:hint="default"/>
      </w:rPr>
    </w:lvl>
    <w:lvl w:ilvl="8" w:tentative="0">
      <w:start w:val="1"/>
      <w:numFmt w:val="decimal"/>
      <w:lvlText w:val="%1.%2.%3.%4.%5.%6.%7.%8.%9"/>
      <w:lvlJc w:val="left"/>
      <w:pPr>
        <w:ind w:left="4080" w:hanging="2160"/>
      </w:pPr>
      <w:rPr>
        <w:rFonts w:hint="default"/>
      </w:rPr>
    </w:lvl>
  </w:abstractNum>
  <w:abstractNum w:abstractNumId="11">
    <w:nsid w:val="52B41CD1"/>
    <w:multiLevelType w:val="singleLevel"/>
    <w:tmpl w:val="52B41CD1"/>
    <w:lvl w:ilvl="0" w:tentative="0">
      <w:start w:val="2"/>
      <w:numFmt w:val="decimal"/>
      <w:suff w:val="nothing"/>
      <w:lvlText w:val="%1、"/>
      <w:lvlJc w:val="left"/>
    </w:lvl>
  </w:abstractNum>
  <w:abstractNum w:abstractNumId="12">
    <w:nsid w:val="52B41CEC"/>
    <w:multiLevelType w:val="singleLevel"/>
    <w:tmpl w:val="52B41CEC"/>
    <w:lvl w:ilvl="0" w:tentative="0">
      <w:start w:val="3"/>
      <w:numFmt w:val="decimal"/>
      <w:suff w:val="nothing"/>
      <w:lvlText w:val="%1、"/>
      <w:lvlJc w:val="left"/>
    </w:lvl>
  </w:abstractNum>
  <w:abstractNum w:abstractNumId="13">
    <w:nsid w:val="598415E7"/>
    <w:multiLevelType w:val="singleLevel"/>
    <w:tmpl w:val="598415E7"/>
    <w:lvl w:ilvl="0" w:tentative="0">
      <w:start w:val="1"/>
      <w:numFmt w:val="decimal"/>
      <w:suff w:val="nothing"/>
      <w:lvlText w:val="（%1）"/>
      <w:lvlJc w:val="left"/>
    </w:lvl>
  </w:abstractNum>
  <w:abstractNum w:abstractNumId="14">
    <w:nsid w:val="599E979B"/>
    <w:multiLevelType w:val="singleLevel"/>
    <w:tmpl w:val="599E979B"/>
    <w:lvl w:ilvl="0" w:tentative="0">
      <w:start w:val="2"/>
      <w:numFmt w:val="chineseCounting"/>
      <w:suff w:val="nothing"/>
      <w:lvlText w:val="%1、"/>
      <w:lvlJc w:val="left"/>
    </w:lvl>
  </w:abstractNum>
  <w:num w:numId="1">
    <w:abstractNumId w:val="10"/>
  </w:num>
  <w:num w:numId="2">
    <w:abstractNumId w:val="3"/>
  </w:num>
  <w:num w:numId="3">
    <w:abstractNumId w:val="0"/>
  </w:num>
  <w:num w:numId="4">
    <w:abstractNumId w:val="13"/>
  </w:num>
  <w:num w:numId="5">
    <w:abstractNumId w:val="8"/>
  </w:num>
  <w:num w:numId="6">
    <w:abstractNumId w:val="11"/>
  </w:num>
  <w:num w:numId="7">
    <w:abstractNumId w:val="12"/>
  </w:num>
  <w:num w:numId="8">
    <w:abstractNumId w:val="4"/>
  </w:num>
  <w:num w:numId="9">
    <w:abstractNumId w:val="6"/>
  </w:num>
  <w:num w:numId="10">
    <w:abstractNumId w:val="5"/>
  </w:num>
  <w:num w:numId="11">
    <w:abstractNumId w:val="7"/>
  </w:num>
  <w:num w:numId="12">
    <w:abstractNumId w:val="1"/>
  </w:num>
  <w:num w:numId="13">
    <w:abstractNumId w:val="2"/>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ZWQ0NzJlODIxOTQyYmRlYWNiZjJlZmY0N2FlNjYifQ=="/>
  </w:docVars>
  <w:rsids>
    <w:rsidRoot w:val="00172A27"/>
    <w:rsid w:val="0000092D"/>
    <w:rsid w:val="00001E22"/>
    <w:rsid w:val="0000505B"/>
    <w:rsid w:val="0000507B"/>
    <w:rsid w:val="00010EE2"/>
    <w:rsid w:val="000128A5"/>
    <w:rsid w:val="00015C93"/>
    <w:rsid w:val="00016867"/>
    <w:rsid w:val="00020B52"/>
    <w:rsid w:val="000245FC"/>
    <w:rsid w:val="00027583"/>
    <w:rsid w:val="00031159"/>
    <w:rsid w:val="0003212D"/>
    <w:rsid w:val="000453C9"/>
    <w:rsid w:val="000549B0"/>
    <w:rsid w:val="0006737F"/>
    <w:rsid w:val="00077980"/>
    <w:rsid w:val="00080BE4"/>
    <w:rsid w:val="00092719"/>
    <w:rsid w:val="000A2DFB"/>
    <w:rsid w:val="000A3E83"/>
    <w:rsid w:val="000B276A"/>
    <w:rsid w:val="000C67BA"/>
    <w:rsid w:val="000D53D1"/>
    <w:rsid w:val="000D719E"/>
    <w:rsid w:val="000D786B"/>
    <w:rsid w:val="000E1D5E"/>
    <w:rsid w:val="000F0B42"/>
    <w:rsid w:val="000F47BA"/>
    <w:rsid w:val="000F75BC"/>
    <w:rsid w:val="00101E2E"/>
    <w:rsid w:val="00106D46"/>
    <w:rsid w:val="00120282"/>
    <w:rsid w:val="00123CE1"/>
    <w:rsid w:val="001250EE"/>
    <w:rsid w:val="001273BA"/>
    <w:rsid w:val="001303D1"/>
    <w:rsid w:val="0014104E"/>
    <w:rsid w:val="0014109F"/>
    <w:rsid w:val="00142430"/>
    <w:rsid w:val="001455E7"/>
    <w:rsid w:val="00156E41"/>
    <w:rsid w:val="00161CD1"/>
    <w:rsid w:val="001648B4"/>
    <w:rsid w:val="00170057"/>
    <w:rsid w:val="001764C0"/>
    <w:rsid w:val="001765E2"/>
    <w:rsid w:val="00190C82"/>
    <w:rsid w:val="00194DF0"/>
    <w:rsid w:val="001A0C5F"/>
    <w:rsid w:val="001A269C"/>
    <w:rsid w:val="001A4E39"/>
    <w:rsid w:val="001A7191"/>
    <w:rsid w:val="001A7B2D"/>
    <w:rsid w:val="001B181F"/>
    <w:rsid w:val="001B2FAE"/>
    <w:rsid w:val="001B30BD"/>
    <w:rsid w:val="001B6B9E"/>
    <w:rsid w:val="001C2E07"/>
    <w:rsid w:val="001C4233"/>
    <w:rsid w:val="001C7F09"/>
    <w:rsid w:val="001D6E56"/>
    <w:rsid w:val="001E1EE7"/>
    <w:rsid w:val="001E4503"/>
    <w:rsid w:val="001F5946"/>
    <w:rsid w:val="001F6338"/>
    <w:rsid w:val="002034B2"/>
    <w:rsid w:val="00203850"/>
    <w:rsid w:val="00207BE1"/>
    <w:rsid w:val="002169D0"/>
    <w:rsid w:val="00217029"/>
    <w:rsid w:val="002223D2"/>
    <w:rsid w:val="00231133"/>
    <w:rsid w:val="00232131"/>
    <w:rsid w:val="00245BEC"/>
    <w:rsid w:val="002504CD"/>
    <w:rsid w:val="002600F5"/>
    <w:rsid w:val="00262D74"/>
    <w:rsid w:val="00276DF2"/>
    <w:rsid w:val="00280CA6"/>
    <w:rsid w:val="00280EF7"/>
    <w:rsid w:val="00285674"/>
    <w:rsid w:val="00293E6B"/>
    <w:rsid w:val="00293FC6"/>
    <w:rsid w:val="00295C67"/>
    <w:rsid w:val="002A2BDB"/>
    <w:rsid w:val="002B043F"/>
    <w:rsid w:val="002D1331"/>
    <w:rsid w:val="002E69BC"/>
    <w:rsid w:val="002F33C2"/>
    <w:rsid w:val="002F38DF"/>
    <w:rsid w:val="003036E7"/>
    <w:rsid w:val="00305104"/>
    <w:rsid w:val="003075A6"/>
    <w:rsid w:val="00313284"/>
    <w:rsid w:val="00315E87"/>
    <w:rsid w:val="00316AB5"/>
    <w:rsid w:val="00326477"/>
    <w:rsid w:val="0033052A"/>
    <w:rsid w:val="00330CC6"/>
    <w:rsid w:val="00333579"/>
    <w:rsid w:val="00334267"/>
    <w:rsid w:val="003355DA"/>
    <w:rsid w:val="00336180"/>
    <w:rsid w:val="003375D3"/>
    <w:rsid w:val="0035194C"/>
    <w:rsid w:val="003526A0"/>
    <w:rsid w:val="00353DA3"/>
    <w:rsid w:val="00361F9D"/>
    <w:rsid w:val="003671CA"/>
    <w:rsid w:val="00374439"/>
    <w:rsid w:val="003814C9"/>
    <w:rsid w:val="00381C8C"/>
    <w:rsid w:val="00382367"/>
    <w:rsid w:val="003921AF"/>
    <w:rsid w:val="003954D6"/>
    <w:rsid w:val="003B024C"/>
    <w:rsid w:val="003C22D4"/>
    <w:rsid w:val="003C32D7"/>
    <w:rsid w:val="003C72BC"/>
    <w:rsid w:val="003E0A08"/>
    <w:rsid w:val="003E7228"/>
    <w:rsid w:val="003F0BBF"/>
    <w:rsid w:val="003F0C32"/>
    <w:rsid w:val="003F0FF7"/>
    <w:rsid w:val="003F284B"/>
    <w:rsid w:val="0040249E"/>
    <w:rsid w:val="00403719"/>
    <w:rsid w:val="00404898"/>
    <w:rsid w:val="00404D13"/>
    <w:rsid w:val="004057EF"/>
    <w:rsid w:val="00405AA1"/>
    <w:rsid w:val="00412A92"/>
    <w:rsid w:val="0043056C"/>
    <w:rsid w:val="004339B1"/>
    <w:rsid w:val="00440D72"/>
    <w:rsid w:val="00443A4D"/>
    <w:rsid w:val="00454AB0"/>
    <w:rsid w:val="0045689F"/>
    <w:rsid w:val="0046558A"/>
    <w:rsid w:val="00465BD8"/>
    <w:rsid w:val="004832A4"/>
    <w:rsid w:val="004848A4"/>
    <w:rsid w:val="00492BCF"/>
    <w:rsid w:val="00494840"/>
    <w:rsid w:val="00496448"/>
    <w:rsid w:val="004A11F9"/>
    <w:rsid w:val="004B00A2"/>
    <w:rsid w:val="004B06FE"/>
    <w:rsid w:val="004B2DA4"/>
    <w:rsid w:val="004B6070"/>
    <w:rsid w:val="004B760D"/>
    <w:rsid w:val="004C3E55"/>
    <w:rsid w:val="004C6597"/>
    <w:rsid w:val="004D2C63"/>
    <w:rsid w:val="004D73D3"/>
    <w:rsid w:val="004E295D"/>
    <w:rsid w:val="004E2DA8"/>
    <w:rsid w:val="004E706D"/>
    <w:rsid w:val="004E724A"/>
    <w:rsid w:val="004F0BCF"/>
    <w:rsid w:val="004F13B1"/>
    <w:rsid w:val="004F756F"/>
    <w:rsid w:val="0050053F"/>
    <w:rsid w:val="00503439"/>
    <w:rsid w:val="0050421B"/>
    <w:rsid w:val="00505E85"/>
    <w:rsid w:val="005103E1"/>
    <w:rsid w:val="00516B4A"/>
    <w:rsid w:val="0052321E"/>
    <w:rsid w:val="00530B36"/>
    <w:rsid w:val="00547F33"/>
    <w:rsid w:val="00553C13"/>
    <w:rsid w:val="00553DB6"/>
    <w:rsid w:val="005547D9"/>
    <w:rsid w:val="005554F7"/>
    <w:rsid w:val="00565326"/>
    <w:rsid w:val="00573042"/>
    <w:rsid w:val="0057702C"/>
    <w:rsid w:val="0058339F"/>
    <w:rsid w:val="00584F4A"/>
    <w:rsid w:val="005946C9"/>
    <w:rsid w:val="0059508B"/>
    <w:rsid w:val="00595366"/>
    <w:rsid w:val="005A4CB5"/>
    <w:rsid w:val="005A64F2"/>
    <w:rsid w:val="005B27D7"/>
    <w:rsid w:val="005B3FF4"/>
    <w:rsid w:val="005B51D3"/>
    <w:rsid w:val="005C5583"/>
    <w:rsid w:val="005D0076"/>
    <w:rsid w:val="005D5C7B"/>
    <w:rsid w:val="005E1567"/>
    <w:rsid w:val="005E3F16"/>
    <w:rsid w:val="005E584D"/>
    <w:rsid w:val="005F0990"/>
    <w:rsid w:val="00601912"/>
    <w:rsid w:val="00605FD5"/>
    <w:rsid w:val="00606FBD"/>
    <w:rsid w:val="0060793B"/>
    <w:rsid w:val="00611B3C"/>
    <w:rsid w:val="00613765"/>
    <w:rsid w:val="00614024"/>
    <w:rsid w:val="0063256C"/>
    <w:rsid w:val="00632C03"/>
    <w:rsid w:val="0066038A"/>
    <w:rsid w:val="006640D6"/>
    <w:rsid w:val="00672404"/>
    <w:rsid w:val="00675AA1"/>
    <w:rsid w:val="00675AC0"/>
    <w:rsid w:val="00684BFB"/>
    <w:rsid w:val="00685DCA"/>
    <w:rsid w:val="006869ED"/>
    <w:rsid w:val="00692FFF"/>
    <w:rsid w:val="006936C4"/>
    <w:rsid w:val="006966BF"/>
    <w:rsid w:val="006A2C65"/>
    <w:rsid w:val="006A356D"/>
    <w:rsid w:val="006B6AC1"/>
    <w:rsid w:val="006C3D0B"/>
    <w:rsid w:val="006C4C6B"/>
    <w:rsid w:val="006D4F6C"/>
    <w:rsid w:val="006D690F"/>
    <w:rsid w:val="006E2BE3"/>
    <w:rsid w:val="006E3E0F"/>
    <w:rsid w:val="006E74FD"/>
    <w:rsid w:val="00702CA3"/>
    <w:rsid w:val="00703C72"/>
    <w:rsid w:val="00711974"/>
    <w:rsid w:val="007144AF"/>
    <w:rsid w:val="00720A24"/>
    <w:rsid w:val="00722486"/>
    <w:rsid w:val="0072447C"/>
    <w:rsid w:val="00743414"/>
    <w:rsid w:val="007533C8"/>
    <w:rsid w:val="007647C4"/>
    <w:rsid w:val="00766ECF"/>
    <w:rsid w:val="0078428A"/>
    <w:rsid w:val="0078786B"/>
    <w:rsid w:val="007903D4"/>
    <w:rsid w:val="00797742"/>
    <w:rsid w:val="007B0684"/>
    <w:rsid w:val="007B2338"/>
    <w:rsid w:val="007B51F5"/>
    <w:rsid w:val="007C44D2"/>
    <w:rsid w:val="007D2FF6"/>
    <w:rsid w:val="007E17C6"/>
    <w:rsid w:val="007E6597"/>
    <w:rsid w:val="007F2688"/>
    <w:rsid w:val="007F3DD2"/>
    <w:rsid w:val="0080191D"/>
    <w:rsid w:val="00803676"/>
    <w:rsid w:val="00811F34"/>
    <w:rsid w:val="00814E3B"/>
    <w:rsid w:val="00820B6B"/>
    <w:rsid w:val="00821078"/>
    <w:rsid w:val="008250D1"/>
    <w:rsid w:val="00825A9E"/>
    <w:rsid w:val="00825F96"/>
    <w:rsid w:val="00826329"/>
    <w:rsid w:val="00827DCD"/>
    <w:rsid w:val="00832DE9"/>
    <w:rsid w:val="00834108"/>
    <w:rsid w:val="00834A10"/>
    <w:rsid w:val="008366C3"/>
    <w:rsid w:val="00836931"/>
    <w:rsid w:val="00846494"/>
    <w:rsid w:val="00861B75"/>
    <w:rsid w:val="00864DC6"/>
    <w:rsid w:val="00865411"/>
    <w:rsid w:val="00876C85"/>
    <w:rsid w:val="008818EC"/>
    <w:rsid w:val="0088303F"/>
    <w:rsid w:val="0088349E"/>
    <w:rsid w:val="00885281"/>
    <w:rsid w:val="00886D0E"/>
    <w:rsid w:val="00891069"/>
    <w:rsid w:val="008A12BE"/>
    <w:rsid w:val="008A5A95"/>
    <w:rsid w:val="008B504E"/>
    <w:rsid w:val="008C5DF3"/>
    <w:rsid w:val="008D66BC"/>
    <w:rsid w:val="008F0BC1"/>
    <w:rsid w:val="008F67FE"/>
    <w:rsid w:val="008F6E49"/>
    <w:rsid w:val="009024D1"/>
    <w:rsid w:val="009137A2"/>
    <w:rsid w:val="00925F4F"/>
    <w:rsid w:val="00934463"/>
    <w:rsid w:val="00942145"/>
    <w:rsid w:val="009424B1"/>
    <w:rsid w:val="00945806"/>
    <w:rsid w:val="0096176A"/>
    <w:rsid w:val="0097487C"/>
    <w:rsid w:val="00975AFF"/>
    <w:rsid w:val="0098193E"/>
    <w:rsid w:val="00983101"/>
    <w:rsid w:val="00985C7F"/>
    <w:rsid w:val="00990459"/>
    <w:rsid w:val="00991D85"/>
    <w:rsid w:val="00992BFA"/>
    <w:rsid w:val="00993A87"/>
    <w:rsid w:val="00994D37"/>
    <w:rsid w:val="009951F4"/>
    <w:rsid w:val="00996A5E"/>
    <w:rsid w:val="009A12C8"/>
    <w:rsid w:val="009B05EC"/>
    <w:rsid w:val="009B58FF"/>
    <w:rsid w:val="009C754B"/>
    <w:rsid w:val="009C7A87"/>
    <w:rsid w:val="009D4AC0"/>
    <w:rsid w:val="009D7BF3"/>
    <w:rsid w:val="009D7EB8"/>
    <w:rsid w:val="009E1A37"/>
    <w:rsid w:val="009E20C5"/>
    <w:rsid w:val="009E3A4D"/>
    <w:rsid w:val="009F0435"/>
    <w:rsid w:val="00A04FEF"/>
    <w:rsid w:val="00A0598D"/>
    <w:rsid w:val="00A107DD"/>
    <w:rsid w:val="00A3017A"/>
    <w:rsid w:val="00A3389B"/>
    <w:rsid w:val="00A34BFC"/>
    <w:rsid w:val="00A3607E"/>
    <w:rsid w:val="00A46EF6"/>
    <w:rsid w:val="00A50493"/>
    <w:rsid w:val="00A54750"/>
    <w:rsid w:val="00A61EDE"/>
    <w:rsid w:val="00A67431"/>
    <w:rsid w:val="00A6783C"/>
    <w:rsid w:val="00A74BA1"/>
    <w:rsid w:val="00A82E95"/>
    <w:rsid w:val="00A84184"/>
    <w:rsid w:val="00A91F48"/>
    <w:rsid w:val="00A92E19"/>
    <w:rsid w:val="00A95676"/>
    <w:rsid w:val="00A9753F"/>
    <w:rsid w:val="00A97F01"/>
    <w:rsid w:val="00AA26C0"/>
    <w:rsid w:val="00AA39C2"/>
    <w:rsid w:val="00AB00EB"/>
    <w:rsid w:val="00AB70AD"/>
    <w:rsid w:val="00AB72DB"/>
    <w:rsid w:val="00AC29AA"/>
    <w:rsid w:val="00AC618F"/>
    <w:rsid w:val="00AD5DAC"/>
    <w:rsid w:val="00AE3E3D"/>
    <w:rsid w:val="00AE4881"/>
    <w:rsid w:val="00AF0E1F"/>
    <w:rsid w:val="00AF24B7"/>
    <w:rsid w:val="00AF7B73"/>
    <w:rsid w:val="00B011B8"/>
    <w:rsid w:val="00B0442B"/>
    <w:rsid w:val="00B072F1"/>
    <w:rsid w:val="00B11B5D"/>
    <w:rsid w:val="00B11DC7"/>
    <w:rsid w:val="00B159F6"/>
    <w:rsid w:val="00B17530"/>
    <w:rsid w:val="00B2071A"/>
    <w:rsid w:val="00B22356"/>
    <w:rsid w:val="00B23848"/>
    <w:rsid w:val="00B2621E"/>
    <w:rsid w:val="00B27B8D"/>
    <w:rsid w:val="00B30F00"/>
    <w:rsid w:val="00B31842"/>
    <w:rsid w:val="00B33DB7"/>
    <w:rsid w:val="00B449F1"/>
    <w:rsid w:val="00B465A9"/>
    <w:rsid w:val="00B51D8A"/>
    <w:rsid w:val="00B6101C"/>
    <w:rsid w:val="00B6104C"/>
    <w:rsid w:val="00B6393D"/>
    <w:rsid w:val="00B6397D"/>
    <w:rsid w:val="00B65E38"/>
    <w:rsid w:val="00B712D5"/>
    <w:rsid w:val="00B935C9"/>
    <w:rsid w:val="00B96075"/>
    <w:rsid w:val="00BA1AC8"/>
    <w:rsid w:val="00BA1CA1"/>
    <w:rsid w:val="00BC1794"/>
    <w:rsid w:val="00BC20F9"/>
    <w:rsid w:val="00BD1F7E"/>
    <w:rsid w:val="00BD378E"/>
    <w:rsid w:val="00BE4877"/>
    <w:rsid w:val="00BE51C6"/>
    <w:rsid w:val="00BF3C56"/>
    <w:rsid w:val="00BF4D1C"/>
    <w:rsid w:val="00BF643C"/>
    <w:rsid w:val="00C012F9"/>
    <w:rsid w:val="00C04920"/>
    <w:rsid w:val="00C159F3"/>
    <w:rsid w:val="00C35B2D"/>
    <w:rsid w:val="00C4294C"/>
    <w:rsid w:val="00C448FC"/>
    <w:rsid w:val="00C5440B"/>
    <w:rsid w:val="00C564FC"/>
    <w:rsid w:val="00C7306B"/>
    <w:rsid w:val="00C77A19"/>
    <w:rsid w:val="00C83F0F"/>
    <w:rsid w:val="00C85497"/>
    <w:rsid w:val="00C866AB"/>
    <w:rsid w:val="00C939F1"/>
    <w:rsid w:val="00C9555F"/>
    <w:rsid w:val="00CA01E1"/>
    <w:rsid w:val="00CA0EDC"/>
    <w:rsid w:val="00CA4D10"/>
    <w:rsid w:val="00CA6ED5"/>
    <w:rsid w:val="00CB5F98"/>
    <w:rsid w:val="00CC1AB7"/>
    <w:rsid w:val="00CC2563"/>
    <w:rsid w:val="00CC4A94"/>
    <w:rsid w:val="00CC711A"/>
    <w:rsid w:val="00CF0CFC"/>
    <w:rsid w:val="00CF240E"/>
    <w:rsid w:val="00CF3BB2"/>
    <w:rsid w:val="00CF74B2"/>
    <w:rsid w:val="00D02006"/>
    <w:rsid w:val="00D07A46"/>
    <w:rsid w:val="00D11799"/>
    <w:rsid w:val="00D11CA5"/>
    <w:rsid w:val="00D12D14"/>
    <w:rsid w:val="00D13A59"/>
    <w:rsid w:val="00D14165"/>
    <w:rsid w:val="00D225E5"/>
    <w:rsid w:val="00D22B2B"/>
    <w:rsid w:val="00D23E87"/>
    <w:rsid w:val="00D305DA"/>
    <w:rsid w:val="00D324CE"/>
    <w:rsid w:val="00D33747"/>
    <w:rsid w:val="00D37D3F"/>
    <w:rsid w:val="00D54275"/>
    <w:rsid w:val="00D5557C"/>
    <w:rsid w:val="00D62B0A"/>
    <w:rsid w:val="00D64DEE"/>
    <w:rsid w:val="00D77F74"/>
    <w:rsid w:val="00D82194"/>
    <w:rsid w:val="00D83AD9"/>
    <w:rsid w:val="00D875CC"/>
    <w:rsid w:val="00D879E4"/>
    <w:rsid w:val="00DA1147"/>
    <w:rsid w:val="00DA4059"/>
    <w:rsid w:val="00DA6D61"/>
    <w:rsid w:val="00DB3ABE"/>
    <w:rsid w:val="00DB4FCE"/>
    <w:rsid w:val="00DC40DB"/>
    <w:rsid w:val="00DD1533"/>
    <w:rsid w:val="00DE3993"/>
    <w:rsid w:val="00DE5F45"/>
    <w:rsid w:val="00DF2135"/>
    <w:rsid w:val="00DF60A7"/>
    <w:rsid w:val="00E235A6"/>
    <w:rsid w:val="00E3227C"/>
    <w:rsid w:val="00E36EAC"/>
    <w:rsid w:val="00E447B3"/>
    <w:rsid w:val="00E52BB6"/>
    <w:rsid w:val="00E5311D"/>
    <w:rsid w:val="00E66844"/>
    <w:rsid w:val="00E70540"/>
    <w:rsid w:val="00E70F86"/>
    <w:rsid w:val="00E731F1"/>
    <w:rsid w:val="00E85BBD"/>
    <w:rsid w:val="00E916EC"/>
    <w:rsid w:val="00EA6331"/>
    <w:rsid w:val="00EA6471"/>
    <w:rsid w:val="00EB138A"/>
    <w:rsid w:val="00EB1754"/>
    <w:rsid w:val="00EB5295"/>
    <w:rsid w:val="00EB66D2"/>
    <w:rsid w:val="00EC0B5A"/>
    <w:rsid w:val="00EC1D97"/>
    <w:rsid w:val="00ED409E"/>
    <w:rsid w:val="00ED7FEA"/>
    <w:rsid w:val="00EE48F5"/>
    <w:rsid w:val="00EF0C03"/>
    <w:rsid w:val="00EF55E8"/>
    <w:rsid w:val="00F1025D"/>
    <w:rsid w:val="00F111C0"/>
    <w:rsid w:val="00F112ED"/>
    <w:rsid w:val="00F13BC9"/>
    <w:rsid w:val="00F16A41"/>
    <w:rsid w:val="00F2055F"/>
    <w:rsid w:val="00F33994"/>
    <w:rsid w:val="00F3406E"/>
    <w:rsid w:val="00F42470"/>
    <w:rsid w:val="00F43690"/>
    <w:rsid w:val="00F51008"/>
    <w:rsid w:val="00F543ED"/>
    <w:rsid w:val="00F54AE2"/>
    <w:rsid w:val="00F55196"/>
    <w:rsid w:val="00F56691"/>
    <w:rsid w:val="00F61B6B"/>
    <w:rsid w:val="00F8667B"/>
    <w:rsid w:val="00FA64EB"/>
    <w:rsid w:val="00FA663B"/>
    <w:rsid w:val="00FA695C"/>
    <w:rsid w:val="00FA6AAC"/>
    <w:rsid w:val="00FB24EA"/>
    <w:rsid w:val="00FB5C44"/>
    <w:rsid w:val="00FC46E9"/>
    <w:rsid w:val="00FC59D3"/>
    <w:rsid w:val="00FD2C77"/>
    <w:rsid w:val="00FD5959"/>
    <w:rsid w:val="00FD6168"/>
    <w:rsid w:val="00FE27B0"/>
    <w:rsid w:val="00FE3BD7"/>
    <w:rsid w:val="00FE640E"/>
    <w:rsid w:val="00FE7765"/>
    <w:rsid w:val="00FF61DE"/>
    <w:rsid w:val="00FF71A2"/>
    <w:rsid w:val="01545B36"/>
    <w:rsid w:val="03C84499"/>
    <w:rsid w:val="03CA2AAB"/>
    <w:rsid w:val="04665FAD"/>
    <w:rsid w:val="055812B5"/>
    <w:rsid w:val="05807374"/>
    <w:rsid w:val="05985BAB"/>
    <w:rsid w:val="05F639D1"/>
    <w:rsid w:val="06082C63"/>
    <w:rsid w:val="068309A8"/>
    <w:rsid w:val="082D7804"/>
    <w:rsid w:val="08586BAD"/>
    <w:rsid w:val="08B713EE"/>
    <w:rsid w:val="091F6884"/>
    <w:rsid w:val="0A7D15BD"/>
    <w:rsid w:val="0AA96572"/>
    <w:rsid w:val="0ABA7EC8"/>
    <w:rsid w:val="0ADD09D0"/>
    <w:rsid w:val="0BE76E4C"/>
    <w:rsid w:val="0C326B34"/>
    <w:rsid w:val="0DCF4ECF"/>
    <w:rsid w:val="0E165637"/>
    <w:rsid w:val="116E4D7D"/>
    <w:rsid w:val="11954CF5"/>
    <w:rsid w:val="12117E2C"/>
    <w:rsid w:val="122F6D0C"/>
    <w:rsid w:val="13C20EF5"/>
    <w:rsid w:val="14EE01C8"/>
    <w:rsid w:val="17BC43F8"/>
    <w:rsid w:val="17D5592C"/>
    <w:rsid w:val="18056F5D"/>
    <w:rsid w:val="19955A90"/>
    <w:rsid w:val="19C91F5A"/>
    <w:rsid w:val="19F77113"/>
    <w:rsid w:val="1A48152E"/>
    <w:rsid w:val="1B8858F8"/>
    <w:rsid w:val="1C20438E"/>
    <w:rsid w:val="1CFF1D5A"/>
    <w:rsid w:val="1DD97513"/>
    <w:rsid w:val="1F6570AF"/>
    <w:rsid w:val="1FC17992"/>
    <w:rsid w:val="201D2FBA"/>
    <w:rsid w:val="20684C5F"/>
    <w:rsid w:val="21C36A7B"/>
    <w:rsid w:val="22193273"/>
    <w:rsid w:val="22B0050C"/>
    <w:rsid w:val="2465467C"/>
    <w:rsid w:val="24D604AE"/>
    <w:rsid w:val="26435152"/>
    <w:rsid w:val="273C3E88"/>
    <w:rsid w:val="280C2533"/>
    <w:rsid w:val="29311E81"/>
    <w:rsid w:val="293226EC"/>
    <w:rsid w:val="2C546336"/>
    <w:rsid w:val="2D5D5DC0"/>
    <w:rsid w:val="2DE71158"/>
    <w:rsid w:val="2E346ECC"/>
    <w:rsid w:val="2E5D2970"/>
    <w:rsid w:val="2EA7563B"/>
    <w:rsid w:val="2FE67727"/>
    <w:rsid w:val="305A03AA"/>
    <w:rsid w:val="306C02BB"/>
    <w:rsid w:val="31A23EB8"/>
    <w:rsid w:val="32475580"/>
    <w:rsid w:val="333E139B"/>
    <w:rsid w:val="33C00B55"/>
    <w:rsid w:val="37336EB5"/>
    <w:rsid w:val="37E868CC"/>
    <w:rsid w:val="38EF0A9D"/>
    <w:rsid w:val="39DA341B"/>
    <w:rsid w:val="3B472D61"/>
    <w:rsid w:val="3C6501E8"/>
    <w:rsid w:val="3D597CD1"/>
    <w:rsid w:val="3E777E35"/>
    <w:rsid w:val="3E840B3D"/>
    <w:rsid w:val="3EDC7C53"/>
    <w:rsid w:val="3FDE3D96"/>
    <w:rsid w:val="4044130D"/>
    <w:rsid w:val="41C34425"/>
    <w:rsid w:val="43942E5F"/>
    <w:rsid w:val="43DC3D99"/>
    <w:rsid w:val="44970B9E"/>
    <w:rsid w:val="46005B88"/>
    <w:rsid w:val="46DA1D01"/>
    <w:rsid w:val="47925EB4"/>
    <w:rsid w:val="48500C9E"/>
    <w:rsid w:val="4A421FE7"/>
    <w:rsid w:val="4B163CA3"/>
    <w:rsid w:val="4C702483"/>
    <w:rsid w:val="4F1A44A9"/>
    <w:rsid w:val="4F937C43"/>
    <w:rsid w:val="514A1633"/>
    <w:rsid w:val="53ED55BA"/>
    <w:rsid w:val="54086D1B"/>
    <w:rsid w:val="54AA0EA3"/>
    <w:rsid w:val="56B302F1"/>
    <w:rsid w:val="574D2BC7"/>
    <w:rsid w:val="58235CAF"/>
    <w:rsid w:val="58E24433"/>
    <w:rsid w:val="593E59D6"/>
    <w:rsid w:val="59E16A9E"/>
    <w:rsid w:val="5A5E42A8"/>
    <w:rsid w:val="5ACF3410"/>
    <w:rsid w:val="5BB6472D"/>
    <w:rsid w:val="5BEE52ED"/>
    <w:rsid w:val="5C0B4805"/>
    <w:rsid w:val="5C794A31"/>
    <w:rsid w:val="5CFC703B"/>
    <w:rsid w:val="5D396378"/>
    <w:rsid w:val="5E490DA5"/>
    <w:rsid w:val="621C2162"/>
    <w:rsid w:val="62432C5A"/>
    <w:rsid w:val="627003DD"/>
    <w:rsid w:val="630C571A"/>
    <w:rsid w:val="631D25F5"/>
    <w:rsid w:val="63D15181"/>
    <w:rsid w:val="63F57E50"/>
    <w:rsid w:val="64BF2CC8"/>
    <w:rsid w:val="668D4E4A"/>
    <w:rsid w:val="66FD5CE1"/>
    <w:rsid w:val="685F6150"/>
    <w:rsid w:val="68F9333A"/>
    <w:rsid w:val="6A0D308D"/>
    <w:rsid w:val="6B18750F"/>
    <w:rsid w:val="6B73192D"/>
    <w:rsid w:val="6DB91D17"/>
    <w:rsid w:val="6F0508D6"/>
    <w:rsid w:val="71AD79DE"/>
    <w:rsid w:val="71EE18D3"/>
    <w:rsid w:val="724E5AC6"/>
    <w:rsid w:val="73B62F25"/>
    <w:rsid w:val="75FA5611"/>
    <w:rsid w:val="76FD5493"/>
    <w:rsid w:val="783F08DE"/>
    <w:rsid w:val="7A635C0C"/>
    <w:rsid w:val="7CFD0A64"/>
    <w:rsid w:val="7E170121"/>
    <w:rsid w:val="7E67559B"/>
    <w:rsid w:val="7F0B037B"/>
    <w:rsid w:val="7F6605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5"/>
    <w:link w:val="38"/>
    <w:qFormat/>
    <w:uiPriority w:val="0"/>
    <w:pPr>
      <w:keepNext/>
      <w:keepLines/>
      <w:spacing w:before="120" w:beforeLines="0" w:beforeAutospacing="0" w:after="120" w:afterLines="0" w:afterAutospacing="0" w:line="360" w:lineRule="auto"/>
      <w:outlineLvl w:val="0"/>
    </w:pPr>
    <w:rPr>
      <w:kern w:val="44"/>
      <w:sz w:val="36"/>
    </w:rPr>
  </w:style>
  <w:style w:type="paragraph" w:styleId="7">
    <w:name w:val="heading 2"/>
    <w:basedOn w:val="1"/>
    <w:next w:val="1"/>
    <w:link w:val="4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link w:val="42"/>
    <w:qFormat/>
    <w:uiPriority w:val="0"/>
    <w:pPr>
      <w:keepNext/>
      <w:keepLines/>
      <w:spacing w:before="260" w:beforeLines="0" w:beforeAutospacing="0" w:after="260" w:afterLines="0" w:afterAutospacing="0" w:line="413" w:lineRule="auto"/>
      <w:outlineLvl w:val="2"/>
    </w:pPr>
    <w:rPr>
      <w:b/>
      <w:sz w:val="32"/>
    </w:rPr>
  </w:style>
  <w:style w:type="paragraph" w:styleId="9">
    <w:name w:val="heading 4"/>
    <w:basedOn w:val="1"/>
    <w:next w:val="1"/>
    <w:link w:val="43"/>
    <w:qFormat/>
    <w:uiPriority w:val="0"/>
    <w:pPr>
      <w:adjustRightInd w:val="0"/>
      <w:snapToGrid w:val="0"/>
      <w:spacing w:line="360" w:lineRule="auto"/>
      <w:ind w:left="1588" w:hanging="1021"/>
      <w:outlineLvl w:val="3"/>
    </w:pPr>
    <w:rPr>
      <w:rFonts w:ascii="Arial" w:hAnsi="Arial" w:eastAsia="华文中宋"/>
      <w:b/>
      <w:color w:val="FF0000"/>
      <w:sz w:val="28"/>
    </w:rPr>
  </w:style>
  <w:style w:type="paragraph" w:styleId="10">
    <w:name w:val="heading 5"/>
    <w:basedOn w:val="1"/>
    <w:next w:val="1"/>
    <w:link w:val="44"/>
    <w:qFormat/>
    <w:uiPriority w:val="0"/>
    <w:pPr>
      <w:adjustRightInd w:val="0"/>
      <w:snapToGrid w:val="0"/>
      <w:spacing w:line="360" w:lineRule="auto"/>
      <w:ind w:left="1928" w:hanging="1361"/>
      <w:outlineLvl w:val="4"/>
    </w:pPr>
    <w:rPr>
      <w:rFonts w:eastAsia="华文中宋"/>
      <w:sz w:val="28"/>
    </w:rPr>
  </w:style>
  <w:style w:type="paragraph" w:styleId="11">
    <w:name w:val="heading 6"/>
    <w:basedOn w:val="1"/>
    <w:next w:val="1"/>
    <w:link w:val="45"/>
    <w:qFormat/>
    <w:uiPriority w:val="0"/>
    <w:pPr>
      <w:adjustRightInd w:val="0"/>
      <w:snapToGrid w:val="0"/>
      <w:spacing w:line="360" w:lineRule="auto"/>
      <w:ind w:left="1531" w:hanging="794"/>
      <w:outlineLvl w:val="5"/>
    </w:pPr>
    <w:rPr>
      <w:rFonts w:ascii="宋体" w:hAnsi="Arial" w:eastAsia="华文中宋"/>
      <w:kern w:val="0"/>
      <w:sz w:val="28"/>
    </w:rPr>
  </w:style>
  <w:style w:type="paragraph" w:styleId="12">
    <w:name w:val="heading 7"/>
    <w:basedOn w:val="1"/>
    <w:next w:val="1"/>
    <w:link w:val="46"/>
    <w:qFormat/>
    <w:uiPriority w:val="0"/>
    <w:pPr>
      <w:adjustRightInd w:val="0"/>
      <w:snapToGrid w:val="0"/>
      <w:spacing w:line="360" w:lineRule="auto"/>
      <w:ind w:left="1701" w:hanging="850"/>
      <w:outlineLvl w:val="6"/>
    </w:pPr>
    <w:rPr>
      <w:rFonts w:eastAsia="华文中宋"/>
      <w:sz w:val="28"/>
    </w:rPr>
  </w:style>
  <w:style w:type="paragraph" w:styleId="13">
    <w:name w:val="heading 8"/>
    <w:basedOn w:val="1"/>
    <w:next w:val="1"/>
    <w:link w:val="47"/>
    <w:qFormat/>
    <w:uiPriority w:val="0"/>
    <w:pPr>
      <w:tabs>
        <w:tab w:val="left" w:pos="2160"/>
      </w:tabs>
      <w:adjustRightInd w:val="0"/>
      <w:snapToGrid w:val="0"/>
      <w:spacing w:line="360" w:lineRule="auto"/>
      <w:ind w:left="1418" w:hanging="1418"/>
      <w:outlineLvl w:val="7"/>
    </w:pPr>
    <w:rPr>
      <w:rFonts w:ascii="Arial" w:hAnsi="Arial" w:eastAsia="仿宋_GB2312"/>
      <w:kern w:val="16"/>
      <w:sz w:val="24"/>
    </w:rPr>
  </w:style>
  <w:style w:type="character" w:default="1" w:styleId="33">
    <w:name w:val="Default Paragraph Font"/>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First Indent"/>
    <w:basedOn w:val="6"/>
    <w:link w:val="40"/>
    <w:qFormat/>
    <w:uiPriority w:val="0"/>
    <w:pPr>
      <w:ind w:firstLine="420"/>
    </w:pPr>
  </w:style>
  <w:style w:type="paragraph" w:styleId="6">
    <w:name w:val="Body Text"/>
    <w:basedOn w:val="1"/>
    <w:link w:val="39"/>
    <w:qFormat/>
    <w:uiPriority w:val="0"/>
    <w:pPr>
      <w:spacing w:after="120" w:afterLines="0" w:afterAutospacing="0"/>
    </w:pPr>
  </w:style>
  <w:style w:type="paragraph" w:styleId="14">
    <w:name w:val="Document Map"/>
    <w:basedOn w:val="1"/>
    <w:link w:val="48"/>
    <w:qFormat/>
    <w:uiPriority w:val="0"/>
    <w:pPr>
      <w:shd w:val="clear" w:color="auto" w:fill="000080"/>
    </w:pPr>
  </w:style>
  <w:style w:type="paragraph" w:styleId="15">
    <w:name w:val="annotation text"/>
    <w:basedOn w:val="1"/>
    <w:link w:val="49"/>
    <w:qFormat/>
    <w:uiPriority w:val="0"/>
    <w:pPr>
      <w:jc w:val="left"/>
    </w:pPr>
  </w:style>
  <w:style w:type="paragraph" w:styleId="16">
    <w:name w:val="Body Text 3"/>
    <w:basedOn w:val="1"/>
    <w:link w:val="50"/>
    <w:qFormat/>
    <w:uiPriority w:val="0"/>
    <w:pPr>
      <w:spacing w:after="120" w:afterLines="0" w:afterAutospacing="0"/>
    </w:pPr>
    <w:rPr>
      <w:sz w:val="16"/>
    </w:rPr>
  </w:style>
  <w:style w:type="paragraph" w:styleId="17">
    <w:name w:val="Body Text Indent"/>
    <w:basedOn w:val="1"/>
    <w:link w:val="51"/>
    <w:qFormat/>
    <w:uiPriority w:val="0"/>
    <w:pPr>
      <w:spacing w:after="120"/>
      <w:ind w:left="420" w:leftChars="200"/>
    </w:pPr>
  </w:style>
  <w:style w:type="paragraph" w:styleId="18">
    <w:name w:val="Block Text"/>
    <w:basedOn w:val="1"/>
    <w:qFormat/>
    <w:uiPriority w:val="0"/>
    <w:pPr>
      <w:adjustRightInd w:val="0"/>
      <w:ind w:left="420" w:right="33"/>
      <w:jc w:val="left"/>
      <w:textAlignment w:val="baseline"/>
    </w:pPr>
    <w:rPr>
      <w:kern w:val="0"/>
      <w:sz w:val="24"/>
    </w:rPr>
  </w:style>
  <w:style w:type="paragraph" w:styleId="19">
    <w:name w:val="toc 3"/>
    <w:basedOn w:val="1"/>
    <w:next w:val="1"/>
    <w:qFormat/>
    <w:uiPriority w:val="39"/>
    <w:pPr>
      <w:ind w:left="840" w:leftChars="400"/>
    </w:pPr>
  </w:style>
  <w:style w:type="paragraph" w:styleId="20">
    <w:name w:val="Plain Text"/>
    <w:basedOn w:val="1"/>
    <w:link w:val="52"/>
    <w:qFormat/>
    <w:uiPriority w:val="0"/>
    <w:rPr>
      <w:rFonts w:ascii="宋体" w:hAnsi="Courier New"/>
    </w:rPr>
  </w:style>
  <w:style w:type="paragraph" w:styleId="21">
    <w:name w:val="Date"/>
    <w:basedOn w:val="1"/>
    <w:next w:val="1"/>
    <w:link w:val="53"/>
    <w:qFormat/>
    <w:uiPriority w:val="0"/>
  </w:style>
  <w:style w:type="paragraph" w:styleId="22">
    <w:name w:val="Body Text Indent 2"/>
    <w:basedOn w:val="1"/>
    <w:link w:val="54"/>
    <w:qFormat/>
    <w:uiPriority w:val="0"/>
    <w:pPr>
      <w:spacing w:after="120" w:afterLines="0" w:afterAutospacing="0" w:line="480" w:lineRule="auto"/>
      <w:ind w:left="420" w:leftChars="200"/>
    </w:pPr>
  </w:style>
  <w:style w:type="paragraph" w:styleId="23">
    <w:name w:val="Balloon Text"/>
    <w:basedOn w:val="1"/>
    <w:link w:val="55"/>
    <w:qFormat/>
    <w:uiPriority w:val="0"/>
    <w:rPr>
      <w:sz w:val="18"/>
    </w:rPr>
  </w:style>
  <w:style w:type="paragraph" w:styleId="24">
    <w:name w:val="footer"/>
    <w:basedOn w:val="1"/>
    <w:link w:val="56"/>
    <w:qFormat/>
    <w:uiPriority w:val="99"/>
    <w:pPr>
      <w:tabs>
        <w:tab w:val="center" w:pos="4153"/>
        <w:tab w:val="right" w:pos="8306"/>
      </w:tabs>
      <w:adjustRightInd w:val="0"/>
      <w:spacing w:line="240" w:lineRule="atLeast"/>
      <w:jc w:val="left"/>
      <w:textAlignment w:val="baseline"/>
    </w:pPr>
    <w:rPr>
      <w:rFonts w:eastAsia="长城仿宋"/>
      <w:kern w:val="0"/>
      <w:sz w:val="18"/>
    </w:rPr>
  </w:style>
  <w:style w:type="paragraph" w:styleId="25">
    <w:name w:val="header"/>
    <w:basedOn w:val="1"/>
    <w:link w:val="57"/>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rPr>
      <w:sz w:val="28"/>
      <w:szCs w:val="24"/>
    </w:rPr>
  </w:style>
  <w:style w:type="paragraph" w:styleId="27">
    <w:name w:val="Body Text Indent 3"/>
    <w:basedOn w:val="1"/>
    <w:link w:val="58"/>
    <w:qFormat/>
    <w:uiPriority w:val="0"/>
    <w:pPr>
      <w:spacing w:after="120"/>
      <w:ind w:left="420" w:leftChars="200"/>
    </w:pPr>
    <w:rPr>
      <w:sz w:val="16"/>
      <w:szCs w:val="16"/>
    </w:rPr>
  </w:style>
  <w:style w:type="paragraph" w:styleId="28">
    <w:name w:val="toc 2"/>
    <w:basedOn w:val="1"/>
    <w:next w:val="1"/>
    <w:qFormat/>
    <w:uiPriority w:val="39"/>
    <w:pPr>
      <w:ind w:left="420" w:leftChars="200"/>
    </w:pPr>
  </w:style>
  <w:style w:type="paragraph" w:styleId="29">
    <w:name w:val="Body Text 2"/>
    <w:basedOn w:val="1"/>
    <w:link w:val="59"/>
    <w:qFormat/>
    <w:uiPriority w:val="0"/>
    <w:pPr>
      <w:spacing w:after="120" w:afterLines="0" w:line="480" w:lineRule="auto"/>
    </w:pPr>
  </w:style>
  <w:style w:type="paragraph" w:styleId="3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1">
    <w:name w:val="annotation subject"/>
    <w:basedOn w:val="15"/>
    <w:next w:val="15"/>
    <w:link w:val="60"/>
    <w:qFormat/>
    <w:uiPriority w:val="0"/>
    <w:rPr>
      <w:b/>
      <w:bCs/>
    </w:rPr>
  </w:style>
  <w:style w:type="character" w:styleId="34">
    <w:name w:val="Strong"/>
    <w:basedOn w:val="33"/>
    <w:qFormat/>
    <w:uiPriority w:val="0"/>
    <w:rPr>
      <w:b/>
      <w:bCs/>
    </w:rPr>
  </w:style>
  <w:style w:type="character" w:styleId="35">
    <w:name w:val="page number"/>
    <w:basedOn w:val="33"/>
    <w:qFormat/>
    <w:uiPriority w:val="0"/>
  </w:style>
  <w:style w:type="character" w:styleId="36">
    <w:name w:val="Hyperlink"/>
    <w:qFormat/>
    <w:uiPriority w:val="99"/>
    <w:rPr>
      <w:color w:val="000000"/>
      <w:u w:val="none"/>
    </w:rPr>
  </w:style>
  <w:style w:type="character" w:styleId="37">
    <w:name w:val="annotation reference"/>
    <w:qFormat/>
    <w:uiPriority w:val="0"/>
    <w:rPr>
      <w:sz w:val="21"/>
      <w:szCs w:val="21"/>
    </w:rPr>
  </w:style>
  <w:style w:type="character" w:customStyle="1" w:styleId="38">
    <w:name w:val="标题 1 Char"/>
    <w:basedOn w:val="33"/>
    <w:link w:val="3"/>
    <w:qFormat/>
    <w:uiPriority w:val="0"/>
    <w:rPr>
      <w:rFonts w:ascii="Arial" w:hAnsi="Arial"/>
      <w:b/>
      <w:kern w:val="44"/>
      <w:sz w:val="36"/>
    </w:rPr>
  </w:style>
  <w:style w:type="character" w:customStyle="1" w:styleId="39">
    <w:name w:val="正文文本 Char"/>
    <w:basedOn w:val="33"/>
    <w:link w:val="6"/>
    <w:qFormat/>
    <w:uiPriority w:val="0"/>
    <w:rPr>
      <w:kern w:val="2"/>
      <w:sz w:val="21"/>
    </w:rPr>
  </w:style>
  <w:style w:type="character" w:customStyle="1" w:styleId="40">
    <w:name w:val="正文首行缩进 Char"/>
    <w:basedOn w:val="39"/>
    <w:link w:val="5"/>
    <w:qFormat/>
    <w:uiPriority w:val="0"/>
  </w:style>
  <w:style w:type="character" w:customStyle="1" w:styleId="41">
    <w:name w:val="标题 2 Char"/>
    <w:basedOn w:val="33"/>
    <w:link w:val="7"/>
    <w:qFormat/>
    <w:uiPriority w:val="0"/>
    <w:rPr>
      <w:rFonts w:ascii="Arial" w:hAnsi="Arial" w:eastAsia="黑体"/>
      <w:b/>
      <w:kern w:val="2"/>
      <w:sz w:val="32"/>
    </w:rPr>
  </w:style>
  <w:style w:type="character" w:customStyle="1" w:styleId="42">
    <w:name w:val="标题 3 Char"/>
    <w:basedOn w:val="33"/>
    <w:link w:val="8"/>
    <w:qFormat/>
    <w:uiPriority w:val="0"/>
    <w:rPr>
      <w:b/>
      <w:kern w:val="2"/>
      <w:sz w:val="32"/>
    </w:rPr>
  </w:style>
  <w:style w:type="character" w:customStyle="1" w:styleId="43">
    <w:name w:val="标题 4 Char"/>
    <w:basedOn w:val="33"/>
    <w:link w:val="9"/>
    <w:qFormat/>
    <w:uiPriority w:val="0"/>
    <w:rPr>
      <w:rFonts w:ascii="Arial" w:hAnsi="Arial" w:eastAsia="华文中宋"/>
      <w:b/>
      <w:color w:val="FF0000"/>
      <w:kern w:val="2"/>
      <w:sz w:val="28"/>
    </w:rPr>
  </w:style>
  <w:style w:type="character" w:customStyle="1" w:styleId="44">
    <w:name w:val="标题 5 Char"/>
    <w:basedOn w:val="33"/>
    <w:link w:val="10"/>
    <w:qFormat/>
    <w:uiPriority w:val="0"/>
    <w:rPr>
      <w:rFonts w:eastAsia="华文中宋"/>
      <w:kern w:val="2"/>
      <w:sz w:val="28"/>
    </w:rPr>
  </w:style>
  <w:style w:type="character" w:customStyle="1" w:styleId="45">
    <w:name w:val="标题 6 Char"/>
    <w:basedOn w:val="33"/>
    <w:link w:val="11"/>
    <w:qFormat/>
    <w:uiPriority w:val="0"/>
    <w:rPr>
      <w:rFonts w:ascii="宋体" w:hAnsi="Arial" w:eastAsia="华文中宋"/>
      <w:sz w:val="28"/>
    </w:rPr>
  </w:style>
  <w:style w:type="character" w:customStyle="1" w:styleId="46">
    <w:name w:val="标题 7 Char"/>
    <w:basedOn w:val="33"/>
    <w:link w:val="12"/>
    <w:qFormat/>
    <w:uiPriority w:val="0"/>
    <w:rPr>
      <w:rFonts w:eastAsia="华文中宋"/>
      <w:kern w:val="2"/>
      <w:sz w:val="28"/>
    </w:rPr>
  </w:style>
  <w:style w:type="character" w:customStyle="1" w:styleId="47">
    <w:name w:val="标题 8 Char"/>
    <w:basedOn w:val="33"/>
    <w:link w:val="13"/>
    <w:qFormat/>
    <w:uiPriority w:val="0"/>
    <w:rPr>
      <w:rFonts w:ascii="Arial" w:hAnsi="Arial" w:eastAsia="仿宋_GB2312"/>
      <w:kern w:val="16"/>
      <w:sz w:val="24"/>
    </w:rPr>
  </w:style>
  <w:style w:type="character" w:customStyle="1" w:styleId="48">
    <w:name w:val="文档结构图 Char"/>
    <w:basedOn w:val="33"/>
    <w:link w:val="14"/>
    <w:qFormat/>
    <w:uiPriority w:val="0"/>
    <w:rPr>
      <w:kern w:val="2"/>
      <w:sz w:val="21"/>
      <w:shd w:val="clear" w:color="auto" w:fill="000080"/>
    </w:rPr>
  </w:style>
  <w:style w:type="character" w:customStyle="1" w:styleId="49">
    <w:name w:val="批注文字 Char"/>
    <w:basedOn w:val="33"/>
    <w:link w:val="15"/>
    <w:qFormat/>
    <w:uiPriority w:val="0"/>
    <w:rPr>
      <w:kern w:val="2"/>
      <w:sz w:val="21"/>
    </w:rPr>
  </w:style>
  <w:style w:type="character" w:customStyle="1" w:styleId="50">
    <w:name w:val="正文文本 3 Char"/>
    <w:basedOn w:val="33"/>
    <w:link w:val="16"/>
    <w:qFormat/>
    <w:uiPriority w:val="0"/>
    <w:rPr>
      <w:kern w:val="2"/>
      <w:sz w:val="16"/>
    </w:rPr>
  </w:style>
  <w:style w:type="character" w:customStyle="1" w:styleId="51">
    <w:name w:val="正文文本缩进 Char"/>
    <w:link w:val="17"/>
    <w:qFormat/>
    <w:uiPriority w:val="0"/>
    <w:rPr>
      <w:kern w:val="2"/>
      <w:sz w:val="21"/>
    </w:rPr>
  </w:style>
  <w:style w:type="character" w:customStyle="1" w:styleId="52">
    <w:name w:val="纯文本 Char"/>
    <w:basedOn w:val="33"/>
    <w:link w:val="20"/>
    <w:qFormat/>
    <w:uiPriority w:val="0"/>
    <w:rPr>
      <w:rFonts w:ascii="宋体" w:hAnsi="Courier New"/>
      <w:kern w:val="2"/>
      <w:sz w:val="21"/>
    </w:rPr>
  </w:style>
  <w:style w:type="character" w:customStyle="1" w:styleId="53">
    <w:name w:val="日期 Char"/>
    <w:link w:val="21"/>
    <w:qFormat/>
    <w:locked/>
    <w:uiPriority w:val="0"/>
    <w:rPr>
      <w:kern w:val="2"/>
      <w:sz w:val="21"/>
    </w:rPr>
  </w:style>
  <w:style w:type="character" w:customStyle="1" w:styleId="54">
    <w:name w:val="正文文本缩进 2 Char"/>
    <w:basedOn w:val="33"/>
    <w:link w:val="22"/>
    <w:qFormat/>
    <w:uiPriority w:val="0"/>
    <w:rPr>
      <w:kern w:val="2"/>
      <w:sz w:val="21"/>
    </w:rPr>
  </w:style>
  <w:style w:type="character" w:customStyle="1" w:styleId="55">
    <w:name w:val="批注框文本 Char"/>
    <w:basedOn w:val="33"/>
    <w:link w:val="23"/>
    <w:qFormat/>
    <w:uiPriority w:val="0"/>
    <w:rPr>
      <w:kern w:val="2"/>
      <w:sz w:val="18"/>
    </w:rPr>
  </w:style>
  <w:style w:type="character" w:customStyle="1" w:styleId="56">
    <w:name w:val="页脚 Char"/>
    <w:link w:val="24"/>
    <w:qFormat/>
    <w:uiPriority w:val="99"/>
    <w:rPr>
      <w:rFonts w:eastAsia="长城仿宋"/>
      <w:sz w:val="18"/>
      <w:lang w:val="en-US" w:eastAsia="zh-CN"/>
    </w:rPr>
  </w:style>
  <w:style w:type="character" w:customStyle="1" w:styleId="57">
    <w:name w:val="页眉 Char"/>
    <w:basedOn w:val="33"/>
    <w:link w:val="25"/>
    <w:qFormat/>
    <w:uiPriority w:val="0"/>
    <w:rPr>
      <w:kern w:val="2"/>
      <w:sz w:val="18"/>
    </w:rPr>
  </w:style>
  <w:style w:type="character" w:customStyle="1" w:styleId="58">
    <w:name w:val="正文文本缩进 3 Char"/>
    <w:link w:val="27"/>
    <w:qFormat/>
    <w:uiPriority w:val="0"/>
    <w:rPr>
      <w:kern w:val="2"/>
      <w:sz w:val="16"/>
      <w:szCs w:val="16"/>
    </w:rPr>
  </w:style>
  <w:style w:type="character" w:customStyle="1" w:styleId="59">
    <w:name w:val="正文文本 2 Char"/>
    <w:basedOn w:val="33"/>
    <w:link w:val="29"/>
    <w:qFormat/>
    <w:uiPriority w:val="0"/>
    <w:rPr>
      <w:kern w:val="2"/>
      <w:sz w:val="21"/>
    </w:rPr>
  </w:style>
  <w:style w:type="character" w:customStyle="1" w:styleId="60">
    <w:name w:val="批注主题 Char"/>
    <w:basedOn w:val="49"/>
    <w:link w:val="31"/>
    <w:qFormat/>
    <w:uiPriority w:val="0"/>
    <w:rPr>
      <w:b/>
      <w:bCs/>
    </w:rPr>
  </w:style>
  <w:style w:type="character" w:customStyle="1" w:styleId="61">
    <w:name w:val="font41"/>
    <w:qFormat/>
    <w:uiPriority w:val="0"/>
    <w:rPr>
      <w:rFonts w:hint="eastAsia" w:ascii="宋体" w:hAnsi="宋体" w:eastAsia="宋体" w:cs="宋体"/>
      <w:color w:val="000000"/>
      <w:sz w:val="20"/>
      <w:szCs w:val="20"/>
      <w:u w:val="none"/>
    </w:rPr>
  </w:style>
  <w:style w:type="character" w:customStyle="1" w:styleId="62">
    <w:name w:val="填空格"/>
    <w:basedOn w:val="33"/>
    <w:qFormat/>
    <w:uiPriority w:val="1"/>
    <w:rPr>
      <w:rFonts w:eastAsia="宋体"/>
      <w:sz w:val="24"/>
      <w:u w:val="single"/>
    </w:rPr>
  </w:style>
  <w:style w:type="character" w:customStyle="1" w:styleId="63">
    <w:name w:val="！正文（四号字） Char"/>
    <w:link w:val="64"/>
    <w:qFormat/>
    <w:uiPriority w:val="0"/>
    <w:rPr>
      <w:kern w:val="2"/>
      <w:sz w:val="24"/>
      <w:lang w:val="en-US" w:eastAsia="zh-CN" w:bidi="ar-SA"/>
    </w:rPr>
  </w:style>
  <w:style w:type="paragraph" w:customStyle="1" w:styleId="64">
    <w:name w:val="！正文（四号字）"/>
    <w:link w:val="63"/>
    <w:qFormat/>
    <w:uiPriority w:val="0"/>
    <w:pPr>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customStyle="1" w:styleId="65">
    <w:name w:val="font81"/>
    <w:qFormat/>
    <w:uiPriority w:val="0"/>
    <w:rPr>
      <w:rFonts w:hint="eastAsia" w:ascii="宋体" w:hAnsi="宋体" w:eastAsia="宋体" w:cs="宋体"/>
      <w:b/>
      <w:color w:val="000000"/>
      <w:sz w:val="28"/>
      <w:szCs w:val="28"/>
      <w:u w:val="none"/>
    </w:rPr>
  </w:style>
  <w:style w:type="character" w:customStyle="1" w:styleId="66">
    <w:name w:val="font91"/>
    <w:qFormat/>
    <w:uiPriority w:val="0"/>
    <w:rPr>
      <w:rFonts w:hint="eastAsia" w:ascii="宋体" w:hAnsi="宋体" w:eastAsia="宋体" w:cs="宋体"/>
      <w:b/>
      <w:color w:val="000000"/>
      <w:sz w:val="28"/>
      <w:szCs w:val="28"/>
      <w:u w:val="single"/>
    </w:rPr>
  </w:style>
  <w:style w:type="character" w:customStyle="1" w:styleId="67">
    <w:name w:val="HTML Markup"/>
    <w:uiPriority w:val="0"/>
    <w:rPr>
      <w:vanish/>
      <w:color w:val="FF0000"/>
    </w:rPr>
  </w:style>
  <w:style w:type="character" w:customStyle="1" w:styleId="68">
    <w:name w:val="font61"/>
    <w:qFormat/>
    <w:uiPriority w:val="0"/>
    <w:rPr>
      <w:rFonts w:hint="eastAsia" w:ascii="宋体" w:hAnsi="宋体" w:eastAsia="宋体" w:cs="宋体"/>
      <w:color w:val="000000"/>
      <w:sz w:val="20"/>
      <w:szCs w:val="20"/>
      <w:u w:val="none"/>
    </w:rPr>
  </w:style>
  <w:style w:type="character" w:customStyle="1" w:styleId="69">
    <w:name w:val="font51"/>
    <w:qFormat/>
    <w:uiPriority w:val="0"/>
    <w:rPr>
      <w:rFonts w:hint="eastAsia" w:ascii="宋体" w:hAnsi="宋体" w:eastAsia="宋体" w:cs="宋体"/>
      <w:b/>
      <w:color w:val="000000"/>
      <w:sz w:val="20"/>
      <w:szCs w:val="20"/>
      <w:u w:val="none"/>
    </w:rPr>
  </w:style>
  <w:style w:type="paragraph" w:customStyle="1" w:styleId="70">
    <w:name w:val="正文缩进2字符"/>
    <w:basedOn w:val="1"/>
    <w:qFormat/>
    <w:uiPriority w:val="0"/>
    <w:pPr>
      <w:spacing w:line="360" w:lineRule="auto"/>
      <w:ind w:left="67" w:leftChars="67"/>
    </w:pPr>
    <w:rPr>
      <w:sz w:val="24"/>
      <w:szCs w:val="24"/>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_Style 1"/>
    <w:basedOn w:val="1"/>
    <w:qFormat/>
    <w:uiPriority w:val="34"/>
    <w:pPr>
      <w:spacing w:line="360" w:lineRule="auto"/>
      <w:ind w:firstLine="420" w:firstLineChars="200"/>
    </w:pPr>
    <w:rPr>
      <w:szCs w:val="24"/>
    </w:rPr>
  </w:style>
  <w:style w:type="paragraph" w:customStyle="1" w:styleId="73">
    <w:name w:val="文二"/>
    <w:basedOn w:val="1"/>
    <w:qFormat/>
    <w:uiPriority w:val="0"/>
    <w:pPr>
      <w:jc w:val="left"/>
    </w:pPr>
    <w:rPr>
      <w:rFonts w:ascii="宋体" w:hAnsi="宋体" w:cs="宋体"/>
      <w:szCs w:val="21"/>
    </w:rPr>
  </w:style>
  <w:style w:type="paragraph" w:customStyle="1" w:styleId="74">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75">
    <w:name w:val="Char Char Char Char Char Char Char"/>
    <w:basedOn w:val="1"/>
    <w:qFormat/>
    <w:uiPriority w:val="0"/>
    <w:rPr>
      <w:szCs w:val="24"/>
    </w:rPr>
  </w:style>
  <w:style w:type="paragraph" w:customStyle="1" w:styleId="76">
    <w:name w:val="style1"/>
    <w:basedOn w:val="1"/>
    <w:qFormat/>
    <w:uiPriority w:val="0"/>
    <w:pPr>
      <w:widowControl/>
      <w:spacing w:before="100" w:beforeAutospacing="1" w:after="100" w:afterAutospacing="1" w:line="400" w:lineRule="exact"/>
      <w:ind w:left="425" w:hanging="425"/>
      <w:jc w:val="left"/>
    </w:pPr>
    <w:rPr>
      <w:rFonts w:ascii="宋体" w:hAnsi="宋体" w:cs="宋体"/>
      <w:kern w:val="0"/>
      <w:sz w:val="24"/>
      <w:szCs w:val="24"/>
    </w:rPr>
  </w:style>
  <w:style w:type="paragraph" w:customStyle="1" w:styleId="77">
    <w:name w:val=" Char"/>
    <w:basedOn w:val="1"/>
    <w:qFormat/>
    <w:uiPriority w:val="0"/>
    <w:pPr>
      <w:widowControl/>
      <w:spacing w:after="160" w:afterLines="0" w:line="240" w:lineRule="exact"/>
      <w:jc w:val="left"/>
    </w:pPr>
    <w:rPr>
      <w:rFonts w:ascii="Verdana" w:hAnsi="Verdana"/>
      <w:kern w:val="0"/>
      <w:lang w:eastAsia="en-US"/>
    </w:rPr>
  </w:style>
  <w:style w:type="paragraph" w:customStyle="1" w:styleId="78">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79">
    <w:name w:val="Plain Text1"/>
    <w:basedOn w:val="1"/>
    <w:qFormat/>
    <w:uiPriority w:val="0"/>
    <w:pPr>
      <w:autoSpaceDE w:val="0"/>
      <w:autoSpaceDN w:val="0"/>
      <w:adjustRightInd w:val="0"/>
      <w:textAlignment w:val="baseline"/>
    </w:pPr>
    <w:rPr>
      <w:rFonts w:ascii="宋体"/>
    </w:rPr>
  </w:style>
  <w:style w:type="paragraph" w:customStyle="1" w:styleId="80">
    <w:name w:val="1"/>
    <w:basedOn w:val="1"/>
    <w:qFormat/>
    <w:uiPriority w:val="0"/>
  </w:style>
  <w:style w:type="paragraph" w:customStyle="1" w:styleId="81">
    <w:name w:val="表格文字"/>
    <w:basedOn w:val="1"/>
    <w:next w:val="1"/>
    <w:qFormat/>
    <w:uiPriority w:val="0"/>
    <w:pPr>
      <w:snapToGrid w:val="0"/>
      <w:spacing w:line="360" w:lineRule="atLeast"/>
      <w:jc w:val="center"/>
    </w:pPr>
    <w:rPr>
      <w:rFonts w:ascii="宋体" w:eastAsia="幼圆"/>
    </w:rPr>
  </w:style>
  <w:style w:type="paragraph" w:customStyle="1" w:styleId="8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3">
    <w:name w:val="Char Char Char Char"/>
    <w:basedOn w:val="1"/>
    <w:qFormat/>
    <w:uiPriority w:val="0"/>
    <w:rPr>
      <w:sz w:val="30"/>
      <w:szCs w:val="24"/>
    </w:rPr>
  </w:style>
  <w:style w:type="paragraph" w:customStyle="1" w:styleId="84">
    <w:name w:val="图片"/>
    <w:basedOn w:val="1"/>
    <w:qFormat/>
    <w:uiPriority w:val="0"/>
    <w:pPr>
      <w:adjustRightInd w:val="0"/>
      <w:spacing w:line="312" w:lineRule="atLeast"/>
      <w:textAlignment w:val="baseline"/>
    </w:pPr>
    <w:rPr>
      <w:kern w:val="0"/>
    </w:rPr>
  </w:style>
  <w:style w:type="paragraph" w:customStyle="1" w:styleId="85">
    <w:name w:val="默认段落字体 Para Char"/>
    <w:basedOn w:val="1"/>
    <w:qFormat/>
    <w:uiPriority w:val="0"/>
  </w:style>
  <w:style w:type="paragraph" w:customStyle="1" w:styleId="86">
    <w:name w:val="Char"/>
    <w:basedOn w:val="1"/>
    <w:qFormat/>
    <w:uiPriority w:val="0"/>
    <w:pPr>
      <w:widowControl/>
      <w:spacing w:line="400" w:lineRule="exact"/>
      <w:jc w:val="center"/>
    </w:pPr>
    <w:rPr>
      <w:szCs w:val="24"/>
    </w:rPr>
  </w:style>
  <w:style w:type="paragraph" w:customStyle="1" w:styleId="87">
    <w:name w:val="样式 样式 正文缩进文字表正文正文非缩进首行缩进两字正文（首行缩进两字） Char正文缩进1正文（首行缩进两字） Cha...1..."/>
    <w:basedOn w:val="1"/>
    <w:qFormat/>
    <w:uiPriority w:val="0"/>
    <w:pPr>
      <w:adjustRightInd w:val="0"/>
      <w:snapToGrid w:val="0"/>
      <w:spacing w:line="360" w:lineRule="auto"/>
      <w:ind w:firstLine="560" w:firstLineChars="200"/>
    </w:pPr>
    <w:rPr>
      <w:rFonts w:eastAsia="华文中宋"/>
      <w:color w:val="000000"/>
      <w:sz w:val="24"/>
    </w:rPr>
  </w:style>
  <w:style w:type="paragraph" w:customStyle="1" w:styleId="88">
    <w:name w:val="样式2"/>
    <w:basedOn w:val="7"/>
    <w:qFormat/>
    <w:uiPriority w:val="0"/>
    <w:pPr>
      <w:spacing w:line="416" w:lineRule="auto"/>
      <w:jc w:val="center"/>
    </w:pPr>
    <w:rPr>
      <w:rFonts w:eastAsia="华文中宋"/>
      <w:bCs/>
      <w:sz w:val="36"/>
      <w:szCs w:val="36"/>
    </w:rPr>
  </w:style>
  <w:style w:type="paragraph" w:customStyle="1" w:styleId="89">
    <w:name w:val=" Char Char Char1 Char"/>
    <w:basedOn w:val="1"/>
    <w:qFormat/>
    <w:uiPriority w:val="0"/>
  </w:style>
  <w:style w:type="paragraph" w:customStyle="1" w:styleId="90">
    <w:name w:val="a"/>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91">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92">
    <w:name w:val="列出段落1"/>
    <w:basedOn w:val="1"/>
    <w:qFormat/>
    <w:uiPriority w:val="0"/>
    <w:pPr>
      <w:ind w:firstLine="420" w:firstLineChars="200"/>
    </w:pPr>
    <w:rPr>
      <w:rFonts w:ascii="Calibri" w:hAnsi="Calibri"/>
      <w:szCs w:val="22"/>
    </w:rPr>
  </w:style>
  <w:style w:type="paragraph" w:customStyle="1" w:styleId="93">
    <w:name w:val="发文落款"/>
    <w:basedOn w:val="82"/>
    <w:qFormat/>
    <w:uiPriority w:val="0"/>
    <w:pPr>
      <w:ind w:left="4094" w:right="607" w:firstLine="0"/>
      <w:jc w:val="center"/>
    </w:pPr>
  </w:style>
  <w:style w:type="paragraph" w:customStyle="1" w:styleId="94">
    <w:name w:val="列出段落11"/>
    <w:basedOn w:val="1"/>
    <w:qFormat/>
    <w:uiPriority w:val="0"/>
    <w:pPr>
      <w:ind w:firstLine="420" w:firstLineChars="200"/>
    </w:pPr>
    <w:rPr>
      <w:rFonts w:ascii="Calibri" w:hAnsi="Calibri"/>
      <w:szCs w:val="22"/>
    </w:rPr>
  </w:style>
  <w:style w:type="paragraph" w:customStyle="1" w:styleId="95">
    <w:name w:val="Char Char Char Char Char Char Char Char Char"/>
    <w:basedOn w:val="1"/>
    <w:qFormat/>
    <w:uiPriority w:val="0"/>
    <w:rPr>
      <w:rFonts w:ascii="Tahoma" w:hAnsi="Tahoma"/>
      <w:sz w:val="24"/>
      <w:szCs w:val="24"/>
    </w:rPr>
  </w:style>
  <w:style w:type="paragraph" w:customStyle="1" w:styleId="96">
    <w:name w:val="xl24"/>
    <w:basedOn w:val="1"/>
    <w:qFormat/>
    <w:uiPriority w:val="0"/>
    <w:pPr>
      <w:widowControl/>
      <w:spacing w:before="100" w:after="100"/>
      <w:jc w:val="center"/>
      <w:textAlignment w:val="center"/>
    </w:pPr>
    <w:rPr>
      <w:rFonts w:ascii="宋体" w:hAnsi="宋体"/>
      <w:kern w:val="0"/>
      <w:sz w:val="24"/>
    </w:rPr>
  </w:style>
  <w:style w:type="paragraph" w:customStyle="1" w:styleId="97">
    <w:name w:val="章节二"/>
    <w:basedOn w:val="1"/>
    <w:next w:val="1"/>
    <w:qFormat/>
    <w:uiPriority w:val="0"/>
    <w:pPr>
      <w:topLinePunct/>
      <w:adjustRightInd w:val="0"/>
      <w:snapToGrid w:val="0"/>
      <w:spacing w:beforeLines="50"/>
      <w:jc w:val="center"/>
      <w:outlineLvl w:val="1"/>
    </w:pPr>
    <w:rPr>
      <w:rFonts w:eastAsia="黑体"/>
      <w:b/>
      <w:bCs/>
      <w:spacing w:val="4"/>
      <w:kern w:val="0"/>
      <w:sz w:val="30"/>
      <w:szCs w:val="30"/>
    </w:rPr>
  </w:style>
  <w:style w:type="paragraph" w:customStyle="1" w:styleId="98">
    <w:name w:val=" Char Char1"/>
    <w:basedOn w:val="1"/>
    <w:qFormat/>
    <w:uiPriority w:val="0"/>
    <w:pPr>
      <w:widowControl/>
      <w:spacing w:after="160" w:afterLines="0" w:line="240" w:lineRule="exact"/>
      <w:jc w:val="left"/>
    </w:pPr>
    <w:rPr>
      <w:rFonts w:ascii="Verdana" w:hAnsi="Verdana" w:eastAsia="楷体_GB2312"/>
      <w:b/>
      <w:i/>
      <w:iCs/>
      <w:color w:val="000000"/>
      <w:kern w:val="0"/>
      <w:sz w:val="20"/>
      <w:lang w:eastAsia="en-US"/>
    </w:rPr>
  </w:style>
  <w:style w:type="paragraph" w:customStyle="1" w:styleId="99">
    <w:name w:val="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100">
    <w:name w:val="Char Char Char1 Char"/>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6.bin"/><Relationship Id="rId17" Type="http://schemas.openxmlformats.org/officeDocument/2006/relationships/image" Target="media/image6.emf"/><Relationship Id="rId16" Type="http://schemas.openxmlformats.org/officeDocument/2006/relationships/oleObject" Target="embeddings/oleObject5.bin"/><Relationship Id="rId15" Type="http://schemas.openxmlformats.org/officeDocument/2006/relationships/image" Target="media/image5.emf"/><Relationship Id="rId14" Type="http://schemas.openxmlformats.org/officeDocument/2006/relationships/oleObject" Target="embeddings/oleObject4.bin"/><Relationship Id="rId13" Type="http://schemas.openxmlformats.org/officeDocument/2006/relationships/image" Target="media/image4.emf"/><Relationship Id="rId12" Type="http://schemas.openxmlformats.org/officeDocument/2006/relationships/oleObject" Target="embeddings/oleObject3.bin"/><Relationship Id="rId11" Type="http://schemas.openxmlformats.org/officeDocument/2006/relationships/oleObject" Target="file:///D:\2.&#37329;&#29664;&#28286;&#24935;&#35895;&#24635;&#37096;&#65288;2012NJY-5&#22320;&#22359;&#65289;&#26448;&#26009;&#25253;&#20215;\&#19996;&#29916;&#23431;&#39033;&#30446;\2017.8&#22522;&#22353;&#30417;&#29702;\&#30417;&#29702;&#24037;&#20316;&#30340;&#26816;&#26597;&#26041;&#27861;2017-9-7&#65288;&#24449;&#27714;&#24847;&#35265;&#31295;&#65289;\&#38468;&#20214;03&#65306;&#23433;&#20840;&#26816;&#26597;&#21457;&#29616;&#38382;&#39064;&#27719;&#24635;&#34920;&#65288;&#26679;&#26495;&#65289;.doc" TargetMode="External"/><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epsp</Company>
  <Pages>65</Pages>
  <Words>5686</Words>
  <Characters>32411</Characters>
  <Lines>270</Lines>
  <Paragraphs>76</Paragraphs>
  <TotalTime>7</TotalTime>
  <ScaleCrop>false</ScaleCrop>
  <LinksUpToDate>false</LinksUpToDate>
  <CharactersWithSpaces>38021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2017-09-08T02:05:00Z</dcterms:created>
  <dc:creator>Administrator</dc:creator>
  <cp:lastModifiedBy>huangzijie</cp:lastModifiedBy>
  <cp:lastPrinted>2020-07-17T07:12:00Z</cp:lastPrinted>
  <dcterms:modified xsi:type="dcterms:W3CDTF">2023-11-13T07:45:03Z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DF59F87368D94230B38608767F693E1C_13</vt:lpwstr>
  </property>
</Properties>
</file>