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宋体" w:hAnsi="宋体"/>
          <w:color w:val="auto"/>
          <w:sz w:val="36"/>
          <w:szCs w:val="36"/>
          <w:highlight w:val="none"/>
        </w:rPr>
      </w:pPr>
      <w:bookmarkStart w:id="631" w:name="_GoBack"/>
    </w:p>
    <w:p>
      <w:pPr>
        <w:ind w:firstLine="720" w:firstLineChars="200"/>
        <w:jc w:val="right"/>
        <w:rPr>
          <w:rFonts w:ascii="宋体" w:hAnsi="宋体"/>
          <w:color w:val="auto"/>
          <w:sz w:val="36"/>
          <w:szCs w:val="36"/>
          <w:highlight w:val="none"/>
        </w:rPr>
      </w:pPr>
      <w:r>
        <w:rPr>
          <w:rFonts w:hint="eastAsia" w:ascii="宋体" w:hAnsi="宋体"/>
          <w:color w:val="auto"/>
          <w:sz w:val="36"/>
          <w:szCs w:val="36"/>
          <w:highlight w:val="none"/>
        </w:rPr>
        <w:t xml:space="preserve"> </w:t>
      </w:r>
    </w:p>
    <w:p>
      <w:pPr>
        <w:ind w:firstLine="720" w:firstLineChars="200"/>
        <w:jc w:val="center"/>
        <w:rPr>
          <w:rFonts w:ascii="宋体" w:hAnsi="宋体"/>
          <w:color w:val="auto"/>
          <w:sz w:val="36"/>
          <w:szCs w:val="36"/>
          <w:highlight w:val="none"/>
        </w:rPr>
      </w:pPr>
      <w:r>
        <w:rPr>
          <w:rFonts w:hint="eastAsia" w:ascii="宋体" w:hAnsi="宋体"/>
          <w:color w:val="auto"/>
          <w:sz w:val="36"/>
          <w:szCs w:val="36"/>
          <w:highlight w:val="none"/>
        </w:rPr>
        <w:t xml:space="preserve"> </w:t>
      </w:r>
    </w:p>
    <w:p>
      <w:pPr>
        <w:jc w:val="center"/>
        <w:rPr>
          <w:rFonts w:hint="eastAsia" w:ascii="宋体" w:hAnsi="宋体" w:eastAsia="宋体"/>
          <w:color w:val="auto"/>
          <w:sz w:val="32"/>
          <w:szCs w:val="32"/>
          <w:highlight w:val="none"/>
          <w:lang w:eastAsia="zh-CN"/>
        </w:rPr>
      </w:pPr>
      <w:r>
        <w:rPr>
          <w:rFonts w:hint="eastAsia" w:ascii="宋体" w:hAnsi="宋体"/>
          <w:color w:val="auto"/>
          <w:sz w:val="44"/>
          <w:szCs w:val="44"/>
          <w:highlight w:val="none"/>
          <w:lang w:eastAsia="zh-CN"/>
        </w:rPr>
        <w:t>广州电力建设有限公司电建大楼项目工程监理服务</w:t>
      </w:r>
    </w:p>
    <w:p>
      <w:pPr>
        <w:ind w:firstLine="640" w:firstLineChars="200"/>
        <w:jc w:val="center"/>
        <w:rPr>
          <w:rFonts w:ascii="宋体" w:hAnsi="宋体"/>
          <w:color w:val="auto"/>
          <w:sz w:val="32"/>
          <w:szCs w:val="32"/>
          <w:highlight w:val="none"/>
        </w:rPr>
      </w:pPr>
      <w:r>
        <w:rPr>
          <w:rFonts w:hint="eastAsia" w:ascii="宋体" w:hAnsi="宋体"/>
          <w:color w:val="auto"/>
          <w:sz w:val="32"/>
          <w:szCs w:val="32"/>
          <w:highlight w:val="none"/>
        </w:rPr>
        <w:t xml:space="preserve"> </w:t>
      </w:r>
    </w:p>
    <w:p>
      <w:pPr>
        <w:jc w:val="center"/>
        <w:rPr>
          <w:rFonts w:ascii="宋体" w:hAnsi="宋体"/>
          <w:color w:val="auto"/>
          <w:sz w:val="32"/>
          <w:szCs w:val="32"/>
          <w:highlight w:val="none"/>
        </w:rPr>
      </w:pPr>
    </w:p>
    <w:p>
      <w:pPr>
        <w:ind w:firstLine="720" w:firstLineChars="200"/>
        <w:rPr>
          <w:rFonts w:ascii="宋体" w:hAnsi="宋体"/>
          <w:color w:val="auto"/>
          <w:sz w:val="36"/>
          <w:szCs w:val="36"/>
          <w:highlight w:val="none"/>
        </w:rPr>
      </w:pPr>
      <w:r>
        <w:rPr>
          <w:rFonts w:hint="eastAsia" w:ascii="宋体" w:hAnsi="宋体"/>
          <w:color w:val="auto"/>
          <w:sz w:val="36"/>
          <w:szCs w:val="36"/>
          <w:highlight w:val="none"/>
        </w:rPr>
        <w:t xml:space="preserve"> </w:t>
      </w:r>
    </w:p>
    <w:p>
      <w:pPr>
        <w:ind w:firstLine="1687" w:firstLineChars="200"/>
        <w:rPr>
          <w:rStyle w:val="55"/>
          <w:rFonts w:ascii="宋体" w:hAnsi="宋体"/>
          <w:b/>
          <w:bCs/>
          <w:i w:val="0"/>
          <w:iCs w:val="0"/>
          <w:color w:val="auto"/>
          <w:sz w:val="84"/>
          <w:szCs w:val="84"/>
          <w:highlight w:val="none"/>
        </w:rPr>
      </w:pPr>
      <w:bookmarkStart w:id="0" w:name="_资格预审文件"/>
      <w:bookmarkEnd w:id="0"/>
      <w:bookmarkStart w:id="1" w:name="_Toc536411629"/>
      <w:bookmarkEnd w:id="1"/>
      <w:bookmarkStart w:id="2" w:name="_Toc5875285"/>
      <w:r>
        <w:rPr>
          <w:rStyle w:val="55"/>
          <w:rFonts w:hint="eastAsia" w:ascii="宋体" w:hAnsi="宋体"/>
          <w:b/>
          <w:bCs/>
          <w:i w:val="0"/>
          <w:iCs w:val="0"/>
          <w:color w:val="auto"/>
          <w:sz w:val="84"/>
          <w:szCs w:val="84"/>
          <w:highlight w:val="none"/>
        </w:rPr>
        <w:t xml:space="preserve"> </w:t>
      </w:r>
      <w:bookmarkEnd w:id="2"/>
    </w:p>
    <w:p>
      <w:pPr>
        <w:ind w:firstLine="1687" w:firstLineChars="200"/>
        <w:rPr>
          <w:rStyle w:val="55"/>
          <w:rFonts w:ascii="宋体" w:hAnsi="宋体"/>
          <w:b/>
          <w:bCs/>
          <w:i w:val="0"/>
          <w:iCs w:val="0"/>
          <w:color w:val="auto"/>
          <w:sz w:val="84"/>
          <w:szCs w:val="84"/>
          <w:highlight w:val="none"/>
        </w:rPr>
      </w:pPr>
      <w:r>
        <w:rPr>
          <w:rStyle w:val="55"/>
          <w:rFonts w:hint="eastAsia" w:ascii="宋体" w:hAnsi="宋体"/>
          <w:b/>
          <w:bCs/>
          <w:i w:val="0"/>
          <w:iCs w:val="0"/>
          <w:color w:val="auto"/>
          <w:sz w:val="84"/>
          <w:szCs w:val="84"/>
          <w:highlight w:val="none"/>
        </w:rPr>
        <w:t xml:space="preserve"> </w:t>
      </w:r>
    </w:p>
    <w:p>
      <w:pPr>
        <w:jc w:val="center"/>
        <w:rPr>
          <w:color w:val="auto"/>
          <w:highlight w:val="none"/>
        </w:rPr>
      </w:pPr>
      <w:r>
        <w:rPr>
          <w:rStyle w:val="55"/>
          <w:rFonts w:hint="eastAsia" w:ascii="宋体" w:hAnsi="宋体"/>
          <w:b/>
          <w:bCs/>
          <w:i w:val="0"/>
          <w:iCs w:val="0"/>
          <w:color w:val="auto"/>
          <w:sz w:val="84"/>
          <w:szCs w:val="84"/>
          <w:highlight w:val="none"/>
        </w:rPr>
        <w:t>招</w:t>
      </w:r>
      <w:r>
        <w:rPr>
          <w:rStyle w:val="55"/>
          <w:rFonts w:hint="eastAsia" w:ascii="宋体" w:hAnsi="宋体"/>
          <w:b/>
          <w:bCs/>
          <w:i w:val="0"/>
          <w:iCs w:val="0"/>
          <w:color w:val="auto"/>
          <w:sz w:val="52"/>
          <w:szCs w:val="52"/>
          <w:highlight w:val="none"/>
        </w:rPr>
        <w:t xml:space="preserve"> </w:t>
      </w:r>
      <w:r>
        <w:rPr>
          <w:rStyle w:val="55"/>
          <w:rFonts w:hint="eastAsia" w:ascii="宋体" w:hAnsi="宋体"/>
          <w:b/>
          <w:bCs/>
          <w:i w:val="0"/>
          <w:iCs w:val="0"/>
          <w:color w:val="auto"/>
          <w:sz w:val="84"/>
          <w:szCs w:val="84"/>
          <w:highlight w:val="none"/>
        </w:rPr>
        <w:t>标</w:t>
      </w:r>
      <w:r>
        <w:rPr>
          <w:rStyle w:val="55"/>
          <w:rFonts w:hint="eastAsia" w:ascii="宋体" w:hAnsi="宋体"/>
          <w:b/>
          <w:bCs/>
          <w:i w:val="0"/>
          <w:iCs w:val="0"/>
          <w:color w:val="auto"/>
          <w:sz w:val="52"/>
          <w:szCs w:val="52"/>
          <w:highlight w:val="none"/>
        </w:rPr>
        <w:t xml:space="preserve"> </w:t>
      </w:r>
      <w:r>
        <w:rPr>
          <w:rStyle w:val="55"/>
          <w:rFonts w:hint="eastAsia" w:ascii="宋体" w:hAnsi="宋体"/>
          <w:b/>
          <w:bCs/>
          <w:i w:val="0"/>
          <w:iCs w:val="0"/>
          <w:color w:val="auto"/>
          <w:sz w:val="84"/>
          <w:szCs w:val="84"/>
          <w:highlight w:val="none"/>
        </w:rPr>
        <w:t>文</w:t>
      </w:r>
      <w:r>
        <w:rPr>
          <w:rStyle w:val="55"/>
          <w:rFonts w:hint="eastAsia" w:ascii="宋体" w:hAnsi="宋体"/>
          <w:b/>
          <w:bCs/>
          <w:i w:val="0"/>
          <w:iCs w:val="0"/>
          <w:color w:val="auto"/>
          <w:sz w:val="52"/>
          <w:szCs w:val="52"/>
          <w:highlight w:val="none"/>
        </w:rPr>
        <w:t xml:space="preserve"> </w:t>
      </w:r>
      <w:r>
        <w:rPr>
          <w:rStyle w:val="55"/>
          <w:rFonts w:hint="eastAsia" w:ascii="宋体" w:hAnsi="宋体"/>
          <w:b/>
          <w:bCs/>
          <w:i w:val="0"/>
          <w:iCs w:val="0"/>
          <w:color w:val="auto"/>
          <w:sz w:val="84"/>
          <w:szCs w:val="84"/>
          <w:highlight w:val="none"/>
        </w:rPr>
        <w:t>件</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Cs/>
          <w:color w:val="auto"/>
          <w:sz w:val="28"/>
          <w:szCs w:val="28"/>
          <w:highlight w:val="none"/>
        </w:rPr>
      </w:pPr>
      <w:r>
        <w:rPr>
          <w:rFonts w:hint="eastAsia" w:ascii="宋体" w:hAnsi="宋体"/>
          <w:b/>
          <w:bCs/>
          <w:color w:val="auto"/>
          <w:sz w:val="32"/>
          <w:szCs w:val="32"/>
          <w:highlight w:val="none"/>
        </w:rPr>
        <w:t xml:space="preserve"> </w:t>
      </w:r>
      <w:r>
        <w:rPr>
          <w:rFonts w:hint="eastAsia" w:ascii="宋体" w:hAnsi="宋体"/>
          <w:bCs/>
          <w:color w:val="auto"/>
          <w:sz w:val="28"/>
          <w:szCs w:val="28"/>
          <w:highlight w:val="none"/>
        </w:rPr>
        <w:t xml:space="preserve"> </w:t>
      </w:r>
    </w:p>
    <w:p>
      <w:pPr>
        <w:snapToGrid w:val="0"/>
        <w:spacing w:line="360" w:lineRule="auto"/>
        <w:jc w:val="center"/>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rPr>
        <w:t>招 标 人：</w:t>
      </w:r>
      <w:r>
        <w:rPr>
          <w:rFonts w:hint="eastAsia" w:ascii="宋体" w:hAnsi="宋体"/>
          <w:bCs/>
          <w:color w:val="auto"/>
          <w:sz w:val="28"/>
          <w:szCs w:val="28"/>
          <w:highlight w:val="none"/>
          <w:lang w:eastAsia="zh-CN"/>
        </w:rPr>
        <w:t>广州合锦嘉泓房地产投资有限公司</w:t>
      </w:r>
    </w:p>
    <w:p>
      <w:pPr>
        <w:snapToGrid w:val="0"/>
        <w:spacing w:line="360" w:lineRule="auto"/>
        <w:jc w:val="center"/>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rPr>
        <w:t>招标代理机构：</w:t>
      </w:r>
      <w:r>
        <w:rPr>
          <w:rFonts w:hint="eastAsia" w:ascii="宋体" w:hAnsi="宋体"/>
          <w:bCs/>
          <w:color w:val="auto"/>
          <w:sz w:val="28"/>
          <w:szCs w:val="28"/>
          <w:highlight w:val="none"/>
          <w:lang w:eastAsia="zh-CN"/>
        </w:rPr>
        <w:t>广州竣盛工程造价咨询有限公司</w:t>
      </w:r>
    </w:p>
    <w:p>
      <w:pPr>
        <w:snapToGrid w:val="0"/>
        <w:spacing w:line="360" w:lineRule="auto"/>
        <w:jc w:val="center"/>
        <w:rPr>
          <w:rFonts w:ascii="宋体" w:hAnsi="宋体"/>
          <w:bCs/>
          <w:color w:val="auto"/>
          <w:sz w:val="28"/>
          <w:szCs w:val="28"/>
          <w:highlight w:val="none"/>
        </w:rPr>
      </w:pPr>
      <w:r>
        <w:rPr>
          <w:rFonts w:hint="eastAsia" w:ascii="宋体" w:hAnsi="宋体"/>
          <w:bCs/>
          <w:color w:val="auto"/>
          <w:sz w:val="28"/>
          <w:szCs w:val="28"/>
          <w:highlight w:val="none"/>
        </w:rPr>
        <w:t>2023年</w:t>
      </w:r>
      <w:r>
        <w:rPr>
          <w:rFonts w:hint="eastAsia" w:ascii="宋体" w:hAnsi="宋体"/>
          <w:bCs/>
          <w:color w:val="auto"/>
          <w:sz w:val="28"/>
          <w:szCs w:val="28"/>
          <w:highlight w:val="none"/>
          <w:lang w:val="en-US" w:eastAsia="zh-CN"/>
        </w:rPr>
        <w:t>11</w:t>
      </w:r>
      <w:r>
        <w:rPr>
          <w:rFonts w:hint="eastAsia" w:ascii="宋体" w:hAnsi="宋体"/>
          <w:bCs/>
          <w:color w:val="auto"/>
          <w:sz w:val="28"/>
          <w:szCs w:val="28"/>
          <w:highlight w:val="none"/>
        </w:rPr>
        <w:t>月</w:t>
      </w:r>
    </w:p>
    <w:p>
      <w:pPr>
        <w:snapToGrid w:val="0"/>
        <w:spacing w:line="360" w:lineRule="auto"/>
        <w:jc w:val="center"/>
        <w:rPr>
          <w:rFonts w:ascii="宋体" w:hAnsi="宋体"/>
          <w:bCs/>
          <w:color w:val="auto"/>
          <w:sz w:val="28"/>
          <w:szCs w:val="28"/>
          <w:highlight w:val="none"/>
        </w:rPr>
      </w:pPr>
      <w:r>
        <w:rPr>
          <w:rFonts w:ascii="宋体" w:hAnsi="宋体"/>
          <w:bCs/>
          <w:color w:val="auto"/>
          <w:sz w:val="28"/>
          <w:szCs w:val="28"/>
          <w:highlight w:val="none"/>
        </w:rPr>
        <w:br w:type="page"/>
      </w:r>
    </w:p>
    <w:p>
      <w:pPr>
        <w:jc w:val="center"/>
        <w:rPr>
          <w:bCs/>
          <w:color w:val="auto"/>
          <w:sz w:val="52"/>
          <w:highlight w:val="none"/>
        </w:rPr>
      </w:pPr>
      <w:r>
        <w:rPr>
          <w:rFonts w:hint="eastAsia"/>
          <w:bCs/>
          <w:color w:val="auto"/>
          <w:sz w:val="52"/>
          <w:highlight w:val="none"/>
        </w:rPr>
        <w:t>重要提示</w:t>
      </w:r>
    </w:p>
    <w:p>
      <w:pPr>
        <w:spacing w:line="360" w:lineRule="auto"/>
        <w:ind w:firstLine="537" w:firstLineChars="224"/>
        <w:jc w:val="center"/>
        <w:rPr>
          <w:rFonts w:ascii="宋体"/>
          <w:bCs/>
          <w:color w:val="auto"/>
          <w:sz w:val="24"/>
          <w:highlight w:val="none"/>
        </w:rPr>
      </w:pPr>
    </w:p>
    <w:p>
      <w:pPr>
        <w:snapToGrid w:val="0"/>
        <w:spacing w:line="360" w:lineRule="auto"/>
        <w:jc w:val="center"/>
        <w:rPr>
          <w:rFonts w:ascii="宋体" w:hAnsi="宋体"/>
          <w:bCs/>
          <w:color w:val="auto"/>
          <w:sz w:val="28"/>
          <w:szCs w:val="28"/>
          <w:highlight w:val="none"/>
        </w:rPr>
      </w:pPr>
      <w:r>
        <w:rPr>
          <w:rFonts w:hint="eastAsia"/>
          <w:color w:val="auto"/>
          <w:sz w:val="24"/>
          <w:highlight w:val="none"/>
        </w:rPr>
        <w:t>本项目实施电子招投标，投标人应先认真阅读《</w:t>
      </w:r>
      <w:r>
        <w:rPr>
          <w:rFonts w:hint="eastAsia" w:ascii="宋体" w:hAnsi="宋体" w:cs="宋体"/>
          <w:color w:val="auto"/>
          <w:kern w:val="0"/>
          <w:sz w:val="24"/>
          <w:szCs w:val="24"/>
          <w:highlight w:val="none"/>
        </w:rPr>
        <w:t>建设工程全流程电子化项目操作指南（适用于投标人）</w:t>
      </w:r>
      <w:r>
        <w:rPr>
          <w:rFonts w:hint="eastAsia"/>
          <w:color w:val="auto"/>
          <w:sz w:val="24"/>
          <w:highlight w:val="none"/>
        </w:rPr>
        <w:t>》。</w:t>
      </w:r>
    </w:p>
    <w:p>
      <w:pPr>
        <w:widowControl/>
        <w:spacing w:line="360" w:lineRule="auto"/>
        <w:ind w:firstLine="602" w:firstLineChars="200"/>
        <w:jc w:val="left"/>
        <w:rPr>
          <w:rFonts w:ascii="宋体" w:hAnsi="宋体" w:cs="宋体"/>
          <w:b/>
          <w:bCs/>
          <w:color w:val="auto"/>
          <w:sz w:val="30"/>
          <w:szCs w:val="30"/>
          <w:highlight w:val="none"/>
        </w:rPr>
        <w:sectPr>
          <w:footerReference r:id="rId3" w:type="default"/>
          <w:pgSz w:w="11907" w:h="16840"/>
          <w:pgMar w:top="1134" w:right="1134" w:bottom="1134" w:left="1134" w:header="720" w:footer="720" w:gutter="0"/>
          <w:pgNumType w:start="0"/>
          <w:cols w:space="720" w:num="1"/>
          <w:titlePg/>
          <w:docGrid w:linePitch="286" w:charSpace="0"/>
        </w:sectPr>
      </w:pPr>
    </w:p>
    <w:p>
      <w:pPr>
        <w:jc w:val="center"/>
        <w:rPr>
          <w:rFonts w:ascii="宋体" w:hAnsi="宋体"/>
          <w:b/>
          <w:bCs/>
          <w:color w:val="auto"/>
          <w:sz w:val="30"/>
          <w:szCs w:val="30"/>
          <w:highlight w:val="none"/>
        </w:rPr>
      </w:pPr>
      <w:r>
        <w:rPr>
          <w:rFonts w:hint="eastAsia" w:ascii="宋体" w:hAnsi="宋体"/>
          <w:b/>
          <w:bCs/>
          <w:color w:val="auto"/>
          <w:sz w:val="30"/>
          <w:szCs w:val="30"/>
          <w:highlight w:val="none"/>
        </w:rPr>
        <w:t>目  录</w:t>
      </w:r>
    </w:p>
    <w:p>
      <w:pPr>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pStyle w:val="20"/>
        <w:tabs>
          <w:tab w:val="right" w:leader="dot" w:pos="9639"/>
        </w:tabs>
        <w:rPr>
          <w:color w:val="auto"/>
          <w:highlight w:val="none"/>
        </w:rPr>
      </w:pPr>
      <w:r>
        <w:rPr>
          <w:rFonts w:ascii="宋体" w:hAnsi="宋体"/>
          <w:b/>
          <w:bCs/>
          <w:color w:val="auto"/>
          <w:sz w:val="24"/>
          <w:szCs w:val="24"/>
          <w:highlight w:val="none"/>
        </w:rPr>
        <w:fldChar w:fldCharType="begin"/>
      </w:r>
      <w:r>
        <w:rPr>
          <w:rFonts w:ascii="宋体" w:hAnsi="宋体"/>
          <w:b/>
          <w:bCs/>
          <w:color w:val="auto"/>
          <w:sz w:val="24"/>
          <w:szCs w:val="24"/>
          <w:highlight w:val="none"/>
        </w:rPr>
        <w:instrText xml:space="preserve"> </w:instrText>
      </w:r>
      <w:r>
        <w:rPr>
          <w:rFonts w:hint="eastAsia" w:ascii="宋体" w:hAnsi="宋体"/>
          <w:b/>
          <w:bCs/>
          <w:color w:val="auto"/>
          <w:sz w:val="24"/>
          <w:szCs w:val="24"/>
          <w:highlight w:val="none"/>
        </w:rPr>
        <w:instrText xml:space="preserve">TOC \o "1-3" \h \z \u</w:instrText>
      </w:r>
      <w:r>
        <w:rPr>
          <w:rFonts w:ascii="宋体" w:hAnsi="宋体"/>
          <w:b/>
          <w:bCs/>
          <w:color w:val="auto"/>
          <w:sz w:val="24"/>
          <w:szCs w:val="24"/>
          <w:highlight w:val="none"/>
        </w:rPr>
        <w:instrText xml:space="preserve"> </w:instrText>
      </w:r>
      <w:r>
        <w:rPr>
          <w:rFonts w:ascii="宋体" w:hAnsi="宋体"/>
          <w:b/>
          <w:bCs/>
          <w:color w:val="auto"/>
          <w:sz w:val="24"/>
          <w:szCs w:val="24"/>
          <w:highlight w:val="none"/>
        </w:rPr>
        <w:fldChar w:fldCharType="separate"/>
      </w:r>
      <w:r>
        <w:rPr>
          <w:color w:val="auto"/>
          <w:highlight w:val="none"/>
        </w:rPr>
        <w:fldChar w:fldCharType="begin"/>
      </w:r>
      <w:r>
        <w:rPr>
          <w:color w:val="auto"/>
          <w:highlight w:val="none"/>
        </w:rPr>
        <w:instrText xml:space="preserve"> HYPERLINK \l "_Toc25841" </w:instrText>
      </w:r>
      <w:r>
        <w:rPr>
          <w:color w:val="auto"/>
          <w:highlight w:val="none"/>
        </w:rPr>
        <w:fldChar w:fldCharType="separate"/>
      </w:r>
      <w:r>
        <w:rPr>
          <w:rFonts w:hint="eastAsia" w:ascii="宋体" w:hAnsi="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_Toc25841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"_Toc4633" </w:instrText>
      </w:r>
      <w:r>
        <w:rPr>
          <w:color w:val="auto"/>
          <w:highlight w:val="none"/>
        </w:rPr>
        <w:fldChar w:fldCharType="separate"/>
      </w:r>
      <w:r>
        <w:rPr>
          <w:rFonts w:hint="eastAsia" w:ascii="宋体" w:hAnsi="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_Toc4633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"_Toc32629" </w:instrText>
      </w:r>
      <w:r>
        <w:rPr>
          <w:color w:val="auto"/>
          <w:highlight w:val="none"/>
        </w:rPr>
        <w:fldChar w:fldCharType="separate"/>
      </w:r>
      <w:r>
        <w:rPr>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_Toc32629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"_Toc23830" </w:instrText>
      </w:r>
      <w:r>
        <w:rPr>
          <w:color w:val="auto"/>
          <w:highlight w:val="none"/>
        </w:rPr>
        <w:fldChar w:fldCharType="separate"/>
      </w:r>
      <w:r>
        <w:rPr>
          <w:rFonts w:ascii="宋体" w:hAnsi="宋体"/>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_Toc23830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"_Toc1665" </w:instrText>
      </w:r>
      <w:r>
        <w:rPr>
          <w:color w:val="auto"/>
          <w:highlight w:val="none"/>
        </w:rPr>
        <w:fldChar w:fldCharType="separate"/>
      </w:r>
      <w:r>
        <w:rPr>
          <w:rFonts w:ascii="宋体" w:hAnsi="宋体"/>
          <w:color w:val="auto"/>
          <w:highlight w:val="none"/>
        </w:rPr>
        <w:t>1.1 招标项目概况</w:t>
      </w:r>
      <w:r>
        <w:rPr>
          <w:color w:val="auto"/>
          <w:highlight w:val="none"/>
        </w:rPr>
        <w:tab/>
      </w:r>
      <w:r>
        <w:rPr>
          <w:color w:val="auto"/>
          <w:highlight w:val="none"/>
        </w:rPr>
        <w:fldChar w:fldCharType="begin"/>
      </w:r>
      <w:r>
        <w:rPr>
          <w:color w:val="auto"/>
          <w:highlight w:val="none"/>
        </w:rPr>
        <w:instrText xml:space="preserve"> PAGEREF _Toc1665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"_Toc26888" </w:instrText>
      </w:r>
      <w:r>
        <w:rPr>
          <w:color w:val="auto"/>
          <w:highlight w:val="none"/>
        </w:rPr>
        <w:fldChar w:fldCharType="separate"/>
      </w:r>
      <w:r>
        <w:rPr>
          <w:rFonts w:ascii="宋体" w:hAnsi="宋体"/>
          <w:color w:val="auto"/>
          <w:highlight w:val="none"/>
        </w:rPr>
        <w:t>1.2 招标项目的资金来源和落实情况</w:t>
      </w:r>
      <w:r>
        <w:rPr>
          <w:color w:val="auto"/>
          <w:highlight w:val="none"/>
        </w:rPr>
        <w:tab/>
      </w:r>
      <w:r>
        <w:rPr>
          <w:color w:val="auto"/>
          <w:highlight w:val="none"/>
        </w:rPr>
        <w:fldChar w:fldCharType="begin"/>
      </w:r>
      <w:r>
        <w:rPr>
          <w:color w:val="auto"/>
          <w:highlight w:val="none"/>
        </w:rPr>
        <w:instrText xml:space="preserve"> PAGEREF _Toc26888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"_Toc29710" </w:instrText>
      </w:r>
      <w:r>
        <w:rPr>
          <w:color w:val="auto"/>
          <w:highlight w:val="none"/>
        </w:rPr>
        <w:fldChar w:fldCharType="separate"/>
      </w:r>
      <w:r>
        <w:rPr>
          <w:rFonts w:ascii="宋体" w:hAnsi="宋体"/>
          <w:color w:val="auto"/>
          <w:highlight w:val="none"/>
        </w:rPr>
        <w:t>1.3招标范围、工程监理服务期限和质量标准</w:t>
      </w:r>
      <w:r>
        <w:rPr>
          <w:color w:val="auto"/>
          <w:highlight w:val="none"/>
        </w:rPr>
        <w:tab/>
      </w:r>
      <w:r>
        <w:rPr>
          <w:color w:val="auto"/>
          <w:highlight w:val="none"/>
        </w:rPr>
        <w:fldChar w:fldCharType="begin"/>
      </w:r>
      <w:r>
        <w:rPr>
          <w:color w:val="auto"/>
          <w:highlight w:val="none"/>
        </w:rPr>
        <w:instrText xml:space="preserve"> PAGEREF _Toc29710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"_Toc3674" </w:instrText>
      </w:r>
      <w:r>
        <w:rPr>
          <w:color w:val="auto"/>
          <w:highlight w:val="none"/>
        </w:rPr>
        <w:fldChar w:fldCharType="separate"/>
      </w:r>
      <w:r>
        <w:rPr>
          <w:rFonts w:ascii="宋体" w:hAnsi="宋体"/>
          <w:color w:val="auto"/>
          <w:highlight w:val="none"/>
        </w:rPr>
        <w:t>1.4投标人资格要求</w:t>
      </w:r>
      <w:r>
        <w:rPr>
          <w:color w:val="auto"/>
          <w:highlight w:val="none"/>
        </w:rPr>
        <w:tab/>
      </w:r>
      <w:r>
        <w:rPr>
          <w:color w:val="auto"/>
          <w:highlight w:val="none"/>
        </w:rPr>
        <w:fldChar w:fldCharType="begin"/>
      </w:r>
      <w:r>
        <w:rPr>
          <w:color w:val="auto"/>
          <w:highlight w:val="none"/>
        </w:rPr>
        <w:instrText xml:space="preserve"> PAGEREF _Toc3674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"_Toc21449" </w:instrText>
      </w:r>
      <w:r>
        <w:rPr>
          <w:color w:val="auto"/>
          <w:highlight w:val="none"/>
        </w:rPr>
        <w:fldChar w:fldCharType="separate"/>
      </w:r>
      <w:r>
        <w:rPr>
          <w:rFonts w:ascii="宋体" w:hAnsi="宋体"/>
          <w:color w:val="auto"/>
          <w:highlight w:val="none"/>
        </w:rPr>
        <w:t xml:space="preserve">1.5 </w:t>
      </w:r>
      <w:r>
        <w:rPr>
          <w:rFonts w:hint="eastAsia" w:ascii="宋体" w:hAnsi="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_Toc21449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"_Toc13107" </w:instrText>
      </w:r>
      <w:r>
        <w:rPr>
          <w:color w:val="auto"/>
          <w:highlight w:val="none"/>
        </w:rPr>
        <w:fldChar w:fldCharType="separate"/>
      </w:r>
      <w:r>
        <w:rPr>
          <w:rFonts w:ascii="宋体" w:hAnsi="宋体"/>
          <w:color w:val="auto"/>
          <w:highlight w:val="none"/>
        </w:rPr>
        <w:t>1.6</w:t>
      </w:r>
      <w:r>
        <w:rPr>
          <w:rFonts w:hint="eastAsia" w:ascii="宋体" w:hAnsi="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_Toc13107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"_Toc32708" </w:instrText>
      </w:r>
      <w:r>
        <w:rPr>
          <w:color w:val="auto"/>
          <w:highlight w:val="none"/>
        </w:rPr>
        <w:fldChar w:fldCharType="separate"/>
      </w:r>
      <w:r>
        <w:rPr>
          <w:rFonts w:ascii="宋体" w:hAnsi="宋体"/>
          <w:color w:val="auto"/>
          <w:highlight w:val="none"/>
        </w:rPr>
        <w:t>1.7语言文字</w:t>
      </w:r>
      <w:r>
        <w:rPr>
          <w:color w:val="auto"/>
          <w:highlight w:val="none"/>
        </w:rPr>
        <w:tab/>
      </w:r>
      <w:r>
        <w:rPr>
          <w:color w:val="auto"/>
          <w:highlight w:val="none"/>
        </w:rPr>
        <w:fldChar w:fldCharType="begin"/>
      </w:r>
      <w:r>
        <w:rPr>
          <w:color w:val="auto"/>
          <w:highlight w:val="none"/>
        </w:rPr>
        <w:instrText xml:space="preserve"> PAGEREF _Toc32708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"_Toc11221" </w:instrText>
      </w:r>
      <w:r>
        <w:rPr>
          <w:color w:val="auto"/>
          <w:highlight w:val="none"/>
        </w:rPr>
        <w:fldChar w:fldCharType="separate"/>
      </w:r>
      <w:r>
        <w:rPr>
          <w:rFonts w:ascii="宋体" w:hAnsi="宋体"/>
          <w:color w:val="auto"/>
          <w:highlight w:val="none"/>
        </w:rPr>
        <w:t>1.8计量单位</w:t>
      </w:r>
      <w:r>
        <w:rPr>
          <w:color w:val="auto"/>
          <w:highlight w:val="none"/>
        </w:rPr>
        <w:tab/>
      </w:r>
      <w:r>
        <w:rPr>
          <w:color w:val="auto"/>
          <w:highlight w:val="none"/>
        </w:rPr>
        <w:fldChar w:fldCharType="begin"/>
      </w:r>
      <w:r>
        <w:rPr>
          <w:color w:val="auto"/>
          <w:highlight w:val="none"/>
        </w:rPr>
        <w:instrText xml:space="preserve"> PAGEREF _Toc11221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"_Toc15304" </w:instrText>
      </w:r>
      <w:r>
        <w:rPr>
          <w:color w:val="auto"/>
          <w:highlight w:val="none"/>
        </w:rPr>
        <w:fldChar w:fldCharType="separate"/>
      </w:r>
      <w:r>
        <w:rPr>
          <w:rFonts w:ascii="宋体" w:hAnsi="宋体"/>
          <w:color w:val="auto"/>
          <w:highlight w:val="none"/>
        </w:rPr>
        <w:t xml:space="preserve">1.9 </w:t>
      </w:r>
      <w:r>
        <w:rPr>
          <w:rFonts w:hint="eastAsia" w:ascii="宋体" w:hAnsi="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_Toc15304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"_Toc13102" </w:instrText>
      </w:r>
      <w:r>
        <w:rPr>
          <w:color w:val="auto"/>
          <w:highlight w:val="none"/>
        </w:rPr>
        <w:fldChar w:fldCharType="separate"/>
      </w:r>
      <w:r>
        <w:rPr>
          <w:rFonts w:ascii="宋体" w:hAnsi="宋体"/>
          <w:color w:val="auto"/>
          <w:highlight w:val="none"/>
        </w:rPr>
        <w:t>1.10投标预备会</w:t>
      </w:r>
      <w:r>
        <w:rPr>
          <w:color w:val="auto"/>
          <w:highlight w:val="none"/>
        </w:rPr>
        <w:tab/>
      </w:r>
      <w:r>
        <w:rPr>
          <w:color w:val="auto"/>
          <w:highlight w:val="none"/>
        </w:rPr>
        <w:fldChar w:fldCharType="begin"/>
      </w:r>
      <w:r>
        <w:rPr>
          <w:color w:val="auto"/>
          <w:highlight w:val="none"/>
        </w:rPr>
        <w:instrText xml:space="preserve"> PAGEREF _Toc13102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"_Toc27691" </w:instrText>
      </w:r>
      <w:r>
        <w:rPr>
          <w:color w:val="auto"/>
          <w:highlight w:val="none"/>
        </w:rPr>
        <w:fldChar w:fldCharType="separate"/>
      </w:r>
      <w:r>
        <w:rPr>
          <w:rFonts w:ascii="宋体" w:hAnsi="宋体"/>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_Toc27691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"_Toc25817" </w:instrText>
      </w:r>
      <w:r>
        <w:rPr>
          <w:color w:val="auto"/>
          <w:highlight w:val="none"/>
        </w:rPr>
        <w:fldChar w:fldCharType="separate"/>
      </w:r>
      <w:r>
        <w:rPr>
          <w:rFonts w:ascii="宋体" w:hAnsi="宋体"/>
          <w:color w:val="auto"/>
          <w:highlight w:val="none"/>
        </w:rPr>
        <w:t>1.12响应和偏差</w:t>
      </w:r>
      <w:r>
        <w:rPr>
          <w:color w:val="auto"/>
          <w:highlight w:val="none"/>
        </w:rPr>
        <w:tab/>
      </w:r>
      <w:r>
        <w:rPr>
          <w:color w:val="auto"/>
          <w:highlight w:val="none"/>
        </w:rPr>
        <w:fldChar w:fldCharType="begin"/>
      </w:r>
      <w:r>
        <w:rPr>
          <w:color w:val="auto"/>
          <w:highlight w:val="none"/>
        </w:rPr>
        <w:instrText xml:space="preserve"> PAGEREF _Toc25817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"_Toc19536" </w:instrText>
      </w:r>
      <w:r>
        <w:rPr>
          <w:color w:val="auto"/>
          <w:highlight w:val="none"/>
        </w:rPr>
        <w:fldChar w:fldCharType="separate"/>
      </w:r>
      <w:r>
        <w:rPr>
          <w:rFonts w:ascii="宋体" w:hAnsi="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_Toc19536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"_Toc11284" </w:instrText>
      </w:r>
      <w:r>
        <w:rPr>
          <w:color w:val="auto"/>
          <w:highlight w:val="none"/>
        </w:rPr>
        <w:fldChar w:fldCharType="separate"/>
      </w:r>
      <w:r>
        <w:rPr>
          <w:rFonts w:ascii="宋体" w:hAnsi="宋体"/>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_Toc11284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"_Toc27203" </w:instrText>
      </w:r>
      <w:r>
        <w:rPr>
          <w:color w:val="auto"/>
          <w:highlight w:val="none"/>
        </w:rPr>
        <w:fldChar w:fldCharType="separate"/>
      </w:r>
      <w:r>
        <w:rPr>
          <w:rFonts w:ascii="宋体" w:hAnsi="宋体"/>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_Toc27203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"_Toc30582" </w:instrText>
      </w:r>
      <w:r>
        <w:rPr>
          <w:color w:val="auto"/>
          <w:highlight w:val="none"/>
        </w:rPr>
        <w:fldChar w:fldCharType="separate"/>
      </w:r>
      <w:r>
        <w:rPr>
          <w:rFonts w:ascii="宋体" w:hAnsi="宋体"/>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_Toc30582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"_Toc6154" </w:instrText>
      </w:r>
      <w:r>
        <w:rPr>
          <w:color w:val="auto"/>
          <w:highlight w:val="none"/>
        </w:rPr>
        <w:fldChar w:fldCharType="separate"/>
      </w:r>
      <w:r>
        <w:rPr>
          <w:rFonts w:ascii="宋体" w:hAnsi="宋体"/>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_Toc6154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"_Toc16248" </w:instrText>
      </w:r>
      <w:r>
        <w:rPr>
          <w:color w:val="auto"/>
          <w:highlight w:val="none"/>
        </w:rPr>
        <w:fldChar w:fldCharType="separate"/>
      </w:r>
      <w:r>
        <w:rPr>
          <w:rFonts w:ascii="宋体" w:hAnsi="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_Toc16248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"_Toc18591" </w:instrText>
      </w:r>
      <w:r>
        <w:rPr>
          <w:color w:val="auto"/>
          <w:highlight w:val="none"/>
        </w:rPr>
        <w:fldChar w:fldCharType="separate"/>
      </w:r>
      <w:r>
        <w:rPr>
          <w:rFonts w:ascii="宋体" w:hAnsi="宋体"/>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_Toc18591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"_Toc7683" </w:instrText>
      </w:r>
      <w:r>
        <w:rPr>
          <w:color w:val="auto"/>
          <w:highlight w:val="none"/>
        </w:rPr>
        <w:fldChar w:fldCharType="separate"/>
      </w:r>
      <w:r>
        <w:rPr>
          <w:rFonts w:ascii="宋体" w:hAnsi="宋体"/>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_Toc7683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"_Toc15802" </w:instrText>
      </w:r>
      <w:r>
        <w:rPr>
          <w:color w:val="auto"/>
          <w:highlight w:val="none"/>
        </w:rPr>
        <w:fldChar w:fldCharType="separate"/>
      </w:r>
      <w:r>
        <w:rPr>
          <w:rFonts w:ascii="宋体" w:hAnsi="宋体"/>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_Toc15802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"_Toc26526" </w:instrText>
      </w:r>
      <w:r>
        <w:rPr>
          <w:color w:val="auto"/>
          <w:highlight w:val="none"/>
        </w:rPr>
        <w:fldChar w:fldCharType="separate"/>
      </w:r>
      <w:r>
        <w:rPr>
          <w:rFonts w:ascii="宋体" w:hAnsi="宋体"/>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_Toc26526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"_Toc21703" </w:instrText>
      </w:r>
      <w:r>
        <w:rPr>
          <w:color w:val="auto"/>
          <w:highlight w:val="none"/>
        </w:rPr>
        <w:fldChar w:fldCharType="separate"/>
      </w:r>
      <w:r>
        <w:rPr>
          <w:rFonts w:ascii="宋体" w:hAnsi="宋体"/>
          <w:color w:val="auto"/>
          <w:highlight w:val="none"/>
        </w:rPr>
        <w:t>3.5 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_Toc21703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"_Toc31483" </w:instrText>
      </w:r>
      <w:r>
        <w:rPr>
          <w:color w:val="auto"/>
          <w:highlight w:val="none"/>
        </w:rPr>
        <w:fldChar w:fldCharType="separate"/>
      </w:r>
      <w:r>
        <w:rPr>
          <w:rFonts w:ascii="宋体" w:hAnsi="宋体"/>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_Toc31483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"_Toc29892" </w:instrText>
      </w:r>
      <w:r>
        <w:rPr>
          <w:color w:val="auto"/>
          <w:highlight w:val="none"/>
        </w:rPr>
        <w:fldChar w:fldCharType="separate"/>
      </w:r>
      <w:r>
        <w:rPr>
          <w:rFonts w:ascii="宋体" w:hAnsi="宋体"/>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_Toc29892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"_Toc25067" </w:instrText>
      </w:r>
      <w:r>
        <w:rPr>
          <w:color w:val="auto"/>
          <w:highlight w:val="none"/>
        </w:rPr>
        <w:fldChar w:fldCharType="separate"/>
      </w:r>
      <w:r>
        <w:rPr>
          <w:rFonts w:ascii="宋体" w:hAnsi="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_Toc25067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"_Toc27612" </w:instrText>
      </w:r>
      <w:r>
        <w:rPr>
          <w:color w:val="auto"/>
          <w:highlight w:val="none"/>
        </w:rPr>
        <w:fldChar w:fldCharType="separate"/>
      </w:r>
      <w:r>
        <w:rPr>
          <w:rFonts w:ascii="宋体" w:hAnsi="宋体"/>
          <w:color w:val="auto"/>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"_Toc30475" </w:instrText>
      </w:r>
      <w:r>
        <w:rPr>
          <w:color w:val="auto"/>
          <w:highlight w:val="none"/>
        </w:rPr>
        <w:fldChar w:fldCharType="separate"/>
      </w:r>
      <w:r>
        <w:rPr>
          <w:rFonts w:ascii="宋体" w:hAnsi="宋体"/>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_Toc30475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"_Toc17136" </w:instrText>
      </w:r>
      <w:r>
        <w:rPr>
          <w:color w:val="auto"/>
          <w:highlight w:val="none"/>
        </w:rPr>
        <w:fldChar w:fldCharType="separate"/>
      </w:r>
      <w:r>
        <w:rPr>
          <w:rFonts w:ascii="宋体" w:hAnsi="宋体"/>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_Toc17136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"_Toc7579" </w:instrText>
      </w:r>
      <w:r>
        <w:rPr>
          <w:color w:val="auto"/>
          <w:highlight w:val="none"/>
        </w:rPr>
        <w:fldChar w:fldCharType="separate"/>
      </w:r>
      <w:r>
        <w:rPr>
          <w:rFonts w:ascii="宋体" w:hAnsi="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_Toc7579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"_Toc32378" </w:instrText>
      </w:r>
      <w:r>
        <w:rPr>
          <w:color w:val="auto"/>
          <w:highlight w:val="none"/>
        </w:rPr>
        <w:fldChar w:fldCharType="separate"/>
      </w:r>
      <w:r>
        <w:rPr>
          <w:rFonts w:ascii="宋体" w:hAnsi="宋体"/>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_Toc32378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"_Toc17768" </w:instrText>
      </w:r>
      <w:r>
        <w:rPr>
          <w:color w:val="auto"/>
          <w:highlight w:val="none"/>
        </w:rPr>
        <w:fldChar w:fldCharType="separate"/>
      </w:r>
      <w:r>
        <w:rPr>
          <w:rFonts w:ascii="宋体" w:hAnsi="宋体"/>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_Toc17768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"_Toc16234" </w:instrText>
      </w:r>
      <w:r>
        <w:rPr>
          <w:color w:val="auto"/>
          <w:highlight w:val="none"/>
        </w:rPr>
        <w:fldChar w:fldCharType="separate"/>
      </w:r>
      <w:r>
        <w:rPr>
          <w:rFonts w:ascii="宋体" w:hAnsi="宋体"/>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_Toc16234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"_Toc690" </w:instrText>
      </w:r>
      <w:r>
        <w:rPr>
          <w:color w:val="auto"/>
          <w:highlight w:val="none"/>
        </w:rPr>
        <w:fldChar w:fldCharType="separate"/>
      </w:r>
      <w:r>
        <w:rPr>
          <w:rFonts w:ascii="宋体" w:hAnsi="宋体"/>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_Toc690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"_Toc3042" </w:instrText>
      </w:r>
      <w:r>
        <w:rPr>
          <w:color w:val="auto"/>
          <w:highlight w:val="none"/>
        </w:rPr>
        <w:fldChar w:fldCharType="separate"/>
      </w:r>
      <w:r>
        <w:rPr>
          <w:rFonts w:ascii="宋体" w:hAnsi="宋体"/>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_Toc3042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"_Toc614" </w:instrText>
      </w:r>
      <w:r>
        <w:rPr>
          <w:color w:val="auto"/>
          <w:highlight w:val="none"/>
        </w:rPr>
        <w:fldChar w:fldCharType="separate"/>
      </w:r>
      <w:r>
        <w:rPr>
          <w:rFonts w:ascii="宋体" w:hAnsi="宋体"/>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_Toc614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"_Toc1805" </w:instrText>
      </w:r>
      <w:r>
        <w:rPr>
          <w:color w:val="auto"/>
          <w:highlight w:val="none"/>
        </w:rPr>
        <w:fldChar w:fldCharType="separate"/>
      </w:r>
      <w:r>
        <w:rPr>
          <w:rFonts w:ascii="宋体" w:hAnsi="宋体"/>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_Toc1805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"_Toc9525" </w:instrText>
      </w:r>
      <w:r>
        <w:rPr>
          <w:color w:val="auto"/>
          <w:highlight w:val="none"/>
        </w:rPr>
        <w:fldChar w:fldCharType="separate"/>
      </w:r>
      <w:r>
        <w:rPr>
          <w:rFonts w:ascii="宋体" w:hAnsi="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_Toc9525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"_Toc22617" </w:instrText>
      </w:r>
      <w:r>
        <w:rPr>
          <w:color w:val="auto"/>
          <w:highlight w:val="none"/>
        </w:rPr>
        <w:fldChar w:fldCharType="separate"/>
      </w:r>
      <w:r>
        <w:rPr>
          <w:rFonts w:ascii="宋体" w:hAnsi="宋体"/>
          <w:color w:val="auto"/>
          <w:highlight w:val="none"/>
        </w:rPr>
        <w:t>7.1 中标候选人公示</w:t>
      </w:r>
      <w:r>
        <w:rPr>
          <w:color w:val="auto"/>
          <w:highlight w:val="none"/>
        </w:rPr>
        <w:tab/>
      </w:r>
      <w:r>
        <w:rPr>
          <w:color w:val="auto"/>
          <w:highlight w:val="none"/>
        </w:rPr>
        <w:fldChar w:fldCharType="begin"/>
      </w:r>
      <w:r>
        <w:rPr>
          <w:color w:val="auto"/>
          <w:highlight w:val="none"/>
        </w:rPr>
        <w:instrText xml:space="preserve"> PAGEREF _Toc22617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"_Toc8263" </w:instrText>
      </w:r>
      <w:r>
        <w:rPr>
          <w:color w:val="auto"/>
          <w:highlight w:val="none"/>
        </w:rPr>
        <w:fldChar w:fldCharType="separate"/>
      </w:r>
      <w:r>
        <w:rPr>
          <w:rFonts w:ascii="宋体" w:hAnsi="宋体"/>
          <w:color w:val="auto"/>
          <w:highlight w:val="none"/>
        </w:rPr>
        <w:t>7.2 评标结果异议</w:t>
      </w:r>
      <w:r>
        <w:rPr>
          <w:color w:val="auto"/>
          <w:highlight w:val="none"/>
        </w:rPr>
        <w:tab/>
      </w:r>
      <w:r>
        <w:rPr>
          <w:color w:val="auto"/>
          <w:highlight w:val="none"/>
        </w:rPr>
        <w:fldChar w:fldCharType="begin"/>
      </w:r>
      <w:r>
        <w:rPr>
          <w:color w:val="auto"/>
          <w:highlight w:val="none"/>
        </w:rPr>
        <w:instrText xml:space="preserve"> PAGEREF _Toc8263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"_Toc17888" </w:instrText>
      </w:r>
      <w:r>
        <w:rPr>
          <w:color w:val="auto"/>
          <w:highlight w:val="none"/>
        </w:rPr>
        <w:fldChar w:fldCharType="separate"/>
      </w:r>
      <w:r>
        <w:rPr>
          <w:rFonts w:ascii="宋体" w:hAnsi="宋体"/>
          <w:color w:val="auto"/>
          <w:highlight w:val="none"/>
        </w:rPr>
        <w:t>7.3 中标候选人履约能力审查</w:t>
      </w:r>
      <w:r>
        <w:rPr>
          <w:color w:val="auto"/>
          <w:highlight w:val="none"/>
        </w:rPr>
        <w:tab/>
      </w:r>
      <w:r>
        <w:rPr>
          <w:color w:val="auto"/>
          <w:highlight w:val="none"/>
        </w:rPr>
        <w:fldChar w:fldCharType="begin"/>
      </w:r>
      <w:r>
        <w:rPr>
          <w:color w:val="auto"/>
          <w:highlight w:val="none"/>
        </w:rPr>
        <w:instrText xml:space="preserve"> PAGEREF _Toc17888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"_Toc14489" </w:instrText>
      </w:r>
      <w:r>
        <w:rPr>
          <w:color w:val="auto"/>
          <w:highlight w:val="none"/>
        </w:rPr>
        <w:fldChar w:fldCharType="separate"/>
      </w:r>
      <w:r>
        <w:rPr>
          <w:rFonts w:ascii="宋体" w:hAnsi="宋体"/>
          <w:color w:val="auto"/>
          <w:highlight w:val="none"/>
        </w:rPr>
        <w:t>7.4 定标</w:t>
      </w:r>
      <w:r>
        <w:rPr>
          <w:color w:val="auto"/>
          <w:highlight w:val="none"/>
        </w:rPr>
        <w:tab/>
      </w:r>
      <w:r>
        <w:rPr>
          <w:color w:val="auto"/>
          <w:highlight w:val="none"/>
        </w:rPr>
        <w:fldChar w:fldCharType="begin"/>
      </w:r>
      <w:r>
        <w:rPr>
          <w:color w:val="auto"/>
          <w:highlight w:val="none"/>
        </w:rPr>
        <w:instrText xml:space="preserve"> PAGEREF _Toc14489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"_Toc25291" </w:instrText>
      </w:r>
      <w:r>
        <w:rPr>
          <w:color w:val="auto"/>
          <w:highlight w:val="none"/>
        </w:rPr>
        <w:fldChar w:fldCharType="separate"/>
      </w:r>
      <w:r>
        <w:rPr>
          <w:rFonts w:ascii="宋体" w:hAnsi="宋体"/>
          <w:color w:val="auto"/>
          <w:highlight w:val="none"/>
        </w:rPr>
        <w:t>7.5 中标通知</w:t>
      </w:r>
      <w:r>
        <w:rPr>
          <w:color w:val="auto"/>
          <w:highlight w:val="none"/>
        </w:rPr>
        <w:tab/>
      </w:r>
      <w:r>
        <w:rPr>
          <w:color w:val="auto"/>
          <w:highlight w:val="none"/>
        </w:rPr>
        <w:fldChar w:fldCharType="begin"/>
      </w:r>
      <w:r>
        <w:rPr>
          <w:color w:val="auto"/>
          <w:highlight w:val="none"/>
        </w:rPr>
        <w:instrText xml:space="preserve"> PAGEREF _Toc25291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"_Toc5712" </w:instrText>
      </w:r>
      <w:r>
        <w:rPr>
          <w:color w:val="auto"/>
          <w:highlight w:val="none"/>
        </w:rPr>
        <w:fldChar w:fldCharType="separate"/>
      </w:r>
      <w:r>
        <w:rPr>
          <w:rFonts w:ascii="宋体" w:hAnsi="宋体"/>
          <w:color w:val="auto"/>
          <w:highlight w:val="none"/>
        </w:rPr>
        <w:t>7.6 履约保证金</w:t>
      </w:r>
      <w:r>
        <w:rPr>
          <w:color w:val="auto"/>
          <w:highlight w:val="none"/>
        </w:rPr>
        <w:tab/>
      </w:r>
      <w:r>
        <w:rPr>
          <w:color w:val="auto"/>
          <w:highlight w:val="none"/>
        </w:rPr>
        <w:fldChar w:fldCharType="begin"/>
      </w:r>
      <w:r>
        <w:rPr>
          <w:color w:val="auto"/>
          <w:highlight w:val="none"/>
        </w:rPr>
        <w:instrText xml:space="preserve"> PAGEREF _Toc5712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"_Toc31201" </w:instrText>
      </w:r>
      <w:r>
        <w:rPr>
          <w:color w:val="auto"/>
          <w:highlight w:val="none"/>
        </w:rPr>
        <w:fldChar w:fldCharType="separate"/>
      </w:r>
      <w:r>
        <w:rPr>
          <w:rFonts w:ascii="宋体" w:hAnsi="宋体"/>
          <w:color w:val="auto"/>
          <w:highlight w:val="none"/>
        </w:rPr>
        <w:t>7.7 签订合同</w:t>
      </w:r>
      <w:r>
        <w:rPr>
          <w:color w:val="auto"/>
          <w:highlight w:val="none"/>
        </w:rPr>
        <w:tab/>
      </w:r>
      <w:r>
        <w:rPr>
          <w:color w:val="auto"/>
          <w:highlight w:val="none"/>
        </w:rPr>
        <w:fldChar w:fldCharType="begin"/>
      </w:r>
      <w:r>
        <w:rPr>
          <w:color w:val="auto"/>
          <w:highlight w:val="none"/>
        </w:rPr>
        <w:instrText xml:space="preserve"> PAGEREF _Toc31201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"_Toc22396" </w:instrText>
      </w:r>
      <w:r>
        <w:rPr>
          <w:color w:val="auto"/>
          <w:highlight w:val="none"/>
        </w:rPr>
        <w:fldChar w:fldCharType="separate"/>
      </w:r>
      <w:r>
        <w:rPr>
          <w:rFonts w:ascii="宋体" w:hAnsi="宋体"/>
          <w:color w:val="auto"/>
          <w:highlight w:val="none"/>
        </w:rPr>
        <w:t>8.纪律和监督</w:t>
      </w:r>
      <w:r>
        <w:rPr>
          <w:color w:val="auto"/>
          <w:highlight w:val="none"/>
        </w:rPr>
        <w:tab/>
      </w:r>
      <w:r>
        <w:rPr>
          <w:color w:val="auto"/>
          <w:highlight w:val="none"/>
        </w:rPr>
        <w:fldChar w:fldCharType="begin"/>
      </w:r>
      <w:r>
        <w:rPr>
          <w:color w:val="auto"/>
          <w:highlight w:val="none"/>
        </w:rPr>
        <w:instrText xml:space="preserve"> PAGEREF _Toc22396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"_Toc23988" </w:instrText>
      </w:r>
      <w:r>
        <w:rPr>
          <w:color w:val="auto"/>
          <w:highlight w:val="none"/>
        </w:rPr>
        <w:fldChar w:fldCharType="separate"/>
      </w:r>
      <w:r>
        <w:rPr>
          <w:rFonts w:ascii="宋体" w:hAnsi="宋体"/>
          <w:color w:val="auto"/>
          <w:highlight w:val="none"/>
        </w:rPr>
        <w:t>8.1 对招标人的纪律要求</w:t>
      </w:r>
      <w:r>
        <w:rPr>
          <w:color w:val="auto"/>
          <w:highlight w:val="none"/>
        </w:rPr>
        <w:tab/>
      </w:r>
      <w:r>
        <w:rPr>
          <w:color w:val="auto"/>
          <w:highlight w:val="none"/>
        </w:rPr>
        <w:fldChar w:fldCharType="begin"/>
      </w:r>
      <w:r>
        <w:rPr>
          <w:color w:val="auto"/>
          <w:highlight w:val="none"/>
        </w:rPr>
        <w:instrText xml:space="preserve"> PAGEREF _Toc23988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"_Toc1571" </w:instrText>
      </w:r>
      <w:r>
        <w:rPr>
          <w:color w:val="auto"/>
          <w:highlight w:val="none"/>
        </w:rPr>
        <w:fldChar w:fldCharType="separate"/>
      </w:r>
      <w:r>
        <w:rPr>
          <w:rFonts w:ascii="宋体" w:hAnsi="宋体"/>
          <w:color w:val="auto"/>
          <w:highlight w:val="none"/>
        </w:rPr>
        <w:t>8.2 对投标人的纪律要求</w:t>
      </w:r>
      <w:r>
        <w:rPr>
          <w:color w:val="auto"/>
          <w:highlight w:val="none"/>
        </w:rPr>
        <w:tab/>
      </w:r>
      <w:r>
        <w:rPr>
          <w:color w:val="auto"/>
          <w:highlight w:val="none"/>
        </w:rPr>
        <w:fldChar w:fldCharType="begin"/>
      </w:r>
      <w:r>
        <w:rPr>
          <w:color w:val="auto"/>
          <w:highlight w:val="none"/>
        </w:rPr>
        <w:instrText xml:space="preserve"> PAGEREF _Toc1571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"_Toc21250" </w:instrText>
      </w:r>
      <w:r>
        <w:rPr>
          <w:color w:val="auto"/>
          <w:highlight w:val="none"/>
        </w:rPr>
        <w:fldChar w:fldCharType="separate"/>
      </w:r>
      <w:r>
        <w:rPr>
          <w:rFonts w:ascii="宋体" w:hAnsi="宋体"/>
          <w:color w:val="auto"/>
          <w:highlight w:val="none"/>
        </w:rPr>
        <w:t>8.3 对评标委员会成员的纪律要求</w:t>
      </w:r>
      <w:r>
        <w:rPr>
          <w:color w:val="auto"/>
          <w:highlight w:val="none"/>
        </w:rPr>
        <w:tab/>
      </w:r>
      <w:r>
        <w:rPr>
          <w:color w:val="auto"/>
          <w:highlight w:val="none"/>
        </w:rPr>
        <w:fldChar w:fldCharType="begin"/>
      </w:r>
      <w:r>
        <w:rPr>
          <w:color w:val="auto"/>
          <w:highlight w:val="none"/>
        </w:rPr>
        <w:instrText xml:space="preserve"> PAGEREF _Toc21250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"_Toc29587" </w:instrText>
      </w:r>
      <w:r>
        <w:rPr>
          <w:color w:val="auto"/>
          <w:highlight w:val="none"/>
        </w:rPr>
        <w:fldChar w:fldCharType="separate"/>
      </w:r>
      <w:r>
        <w:rPr>
          <w:rFonts w:ascii="宋体" w:hAnsi="宋体"/>
          <w:color w:val="auto"/>
          <w:highlight w:val="none"/>
        </w:rPr>
        <w:t>8.4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_Toc29587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"_Toc12097" </w:instrText>
      </w:r>
      <w:r>
        <w:rPr>
          <w:color w:val="auto"/>
          <w:highlight w:val="none"/>
        </w:rPr>
        <w:fldChar w:fldCharType="separate"/>
      </w:r>
      <w:r>
        <w:rPr>
          <w:rFonts w:ascii="宋体" w:hAnsi="宋体"/>
          <w:color w:val="auto"/>
          <w:highlight w:val="none"/>
        </w:rPr>
        <w:t>8.5 投诉</w:t>
      </w:r>
      <w:r>
        <w:rPr>
          <w:color w:val="auto"/>
          <w:highlight w:val="none"/>
        </w:rPr>
        <w:tab/>
      </w:r>
      <w:r>
        <w:rPr>
          <w:color w:val="auto"/>
          <w:highlight w:val="none"/>
        </w:rPr>
        <w:fldChar w:fldCharType="begin"/>
      </w:r>
      <w:r>
        <w:rPr>
          <w:color w:val="auto"/>
          <w:highlight w:val="none"/>
        </w:rPr>
        <w:instrText xml:space="preserve"> PAGEREF _Toc12097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"_Toc19272" </w:instrText>
      </w:r>
      <w:r>
        <w:rPr>
          <w:color w:val="auto"/>
          <w:highlight w:val="none"/>
        </w:rPr>
        <w:fldChar w:fldCharType="separate"/>
      </w:r>
      <w:r>
        <w:rPr>
          <w:rFonts w:ascii="宋体" w:hAnsi="宋体"/>
          <w:color w:val="auto"/>
          <w:highlight w:val="none"/>
        </w:rPr>
        <w:t>9. 是否采用电子招标投标</w:t>
      </w:r>
      <w:r>
        <w:rPr>
          <w:color w:val="auto"/>
          <w:highlight w:val="none"/>
        </w:rPr>
        <w:tab/>
      </w:r>
      <w:r>
        <w:rPr>
          <w:color w:val="auto"/>
          <w:highlight w:val="none"/>
        </w:rPr>
        <w:fldChar w:fldCharType="begin"/>
      </w:r>
      <w:r>
        <w:rPr>
          <w:color w:val="auto"/>
          <w:highlight w:val="none"/>
        </w:rPr>
        <w:instrText xml:space="preserve"> PAGEREF _Toc19272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"_Toc21618" </w:instrText>
      </w:r>
      <w:r>
        <w:rPr>
          <w:color w:val="auto"/>
          <w:highlight w:val="none"/>
        </w:rPr>
        <w:fldChar w:fldCharType="separate"/>
      </w:r>
      <w:r>
        <w:rPr>
          <w:rFonts w:ascii="宋体" w:hAnsi="宋体"/>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_Toc21618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"_Toc484" </w:instrText>
      </w:r>
      <w:r>
        <w:rPr>
          <w:color w:val="auto"/>
          <w:highlight w:val="none"/>
        </w:rPr>
        <w:fldChar w:fldCharType="separate"/>
      </w:r>
      <w:r>
        <w:rPr>
          <w:rFonts w:hint="eastAsia" w:ascii="宋体" w:hAnsi="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_Toc484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"_Toc15538" </w:instrText>
      </w:r>
      <w:r>
        <w:rPr>
          <w:color w:val="auto"/>
          <w:highlight w:val="none"/>
        </w:rPr>
        <w:fldChar w:fldCharType="separate"/>
      </w:r>
      <w:r>
        <w:rPr>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_Toc484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"_Toc10509" </w:instrText>
      </w:r>
      <w:r>
        <w:rPr>
          <w:color w:val="auto"/>
          <w:highlight w:val="none"/>
        </w:rPr>
        <w:fldChar w:fldCharType="separate"/>
      </w:r>
      <w:r>
        <w:rPr>
          <w:rFonts w:ascii="宋体" w:hAnsi="宋体"/>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_Toc10509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"_Toc6941" </w:instrText>
      </w:r>
      <w:r>
        <w:rPr>
          <w:color w:val="auto"/>
          <w:highlight w:val="none"/>
        </w:rPr>
        <w:fldChar w:fldCharType="separate"/>
      </w:r>
      <w:r>
        <w:rPr>
          <w:rFonts w:ascii="宋体" w:hAnsi="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_Toc6941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"_Toc14133" </w:instrText>
      </w:r>
      <w:r>
        <w:rPr>
          <w:color w:val="auto"/>
          <w:highlight w:val="none"/>
        </w:rPr>
        <w:fldChar w:fldCharType="separate"/>
      </w:r>
      <w:r>
        <w:rPr>
          <w:rFonts w:ascii="宋体" w:hAnsi="宋体"/>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_Toc14133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"_Toc1282" </w:instrText>
      </w:r>
      <w:r>
        <w:rPr>
          <w:color w:val="auto"/>
          <w:highlight w:val="none"/>
        </w:rPr>
        <w:fldChar w:fldCharType="separate"/>
      </w:r>
      <w:r>
        <w:rPr>
          <w:rFonts w:ascii="宋体" w:hAnsi="宋体"/>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_Toc1282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"_Toc2704" </w:instrText>
      </w:r>
      <w:r>
        <w:rPr>
          <w:color w:val="auto"/>
          <w:highlight w:val="none"/>
        </w:rPr>
        <w:fldChar w:fldCharType="separate"/>
      </w:r>
      <w:r>
        <w:rPr>
          <w:rFonts w:ascii="宋体" w:hAnsi="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_Toc2704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"_Toc28022" </w:instrText>
      </w:r>
      <w:r>
        <w:rPr>
          <w:color w:val="auto"/>
          <w:highlight w:val="none"/>
        </w:rPr>
        <w:fldChar w:fldCharType="separate"/>
      </w:r>
      <w:r>
        <w:rPr>
          <w:rFonts w:ascii="宋体" w:hAnsi="宋体"/>
          <w:color w:val="auto"/>
          <w:highlight w:val="none"/>
        </w:rPr>
        <w:t>3.1 初步评审</w:t>
      </w:r>
      <w:r>
        <w:rPr>
          <w:color w:val="auto"/>
          <w:highlight w:val="none"/>
        </w:rPr>
        <w:tab/>
      </w:r>
      <w:r>
        <w:rPr>
          <w:color w:val="auto"/>
          <w:highlight w:val="none"/>
        </w:rPr>
        <w:fldChar w:fldCharType="begin"/>
      </w:r>
      <w:r>
        <w:rPr>
          <w:color w:val="auto"/>
          <w:highlight w:val="none"/>
        </w:rPr>
        <w:instrText xml:space="preserve"> PAGEREF _Toc28022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"_Toc26820" </w:instrText>
      </w:r>
      <w:r>
        <w:rPr>
          <w:color w:val="auto"/>
          <w:highlight w:val="none"/>
        </w:rPr>
        <w:fldChar w:fldCharType="separate"/>
      </w:r>
      <w:r>
        <w:rPr>
          <w:rFonts w:ascii="宋体" w:hAnsi="宋体"/>
          <w:color w:val="auto"/>
          <w:highlight w:val="none"/>
        </w:rPr>
        <w:t>3.2 详细评审</w:t>
      </w:r>
      <w:r>
        <w:rPr>
          <w:color w:val="auto"/>
          <w:highlight w:val="none"/>
        </w:rPr>
        <w:tab/>
      </w:r>
      <w:r>
        <w:rPr>
          <w:color w:val="auto"/>
          <w:highlight w:val="none"/>
        </w:rPr>
        <w:fldChar w:fldCharType="begin"/>
      </w:r>
      <w:r>
        <w:rPr>
          <w:color w:val="auto"/>
          <w:highlight w:val="none"/>
        </w:rPr>
        <w:instrText xml:space="preserve"> PAGEREF _Toc26820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"_Toc20170" </w:instrText>
      </w:r>
      <w:r>
        <w:rPr>
          <w:color w:val="auto"/>
          <w:highlight w:val="none"/>
        </w:rPr>
        <w:fldChar w:fldCharType="separate"/>
      </w:r>
      <w:r>
        <w:rPr>
          <w:rFonts w:ascii="宋体" w:hAnsi="宋体"/>
          <w:color w:val="auto"/>
          <w:highlight w:val="none"/>
        </w:rPr>
        <w:t>3.3 投标文件的澄清</w:t>
      </w:r>
      <w:r>
        <w:rPr>
          <w:color w:val="auto"/>
          <w:highlight w:val="none"/>
        </w:rPr>
        <w:tab/>
      </w:r>
      <w:r>
        <w:rPr>
          <w:color w:val="auto"/>
          <w:highlight w:val="none"/>
        </w:rPr>
        <w:fldChar w:fldCharType="begin"/>
      </w:r>
      <w:r>
        <w:rPr>
          <w:color w:val="auto"/>
          <w:highlight w:val="none"/>
        </w:rPr>
        <w:instrText xml:space="preserve"> PAGEREF _Toc20170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"_Toc2330" </w:instrText>
      </w:r>
      <w:r>
        <w:rPr>
          <w:color w:val="auto"/>
          <w:highlight w:val="none"/>
        </w:rPr>
        <w:fldChar w:fldCharType="separate"/>
      </w:r>
      <w:r>
        <w:rPr>
          <w:rFonts w:ascii="宋体" w:hAnsi="宋体"/>
          <w:color w:val="auto"/>
          <w:highlight w:val="none"/>
        </w:rPr>
        <w:t>3.4 评标结果</w:t>
      </w:r>
      <w:r>
        <w:rPr>
          <w:color w:val="auto"/>
          <w:highlight w:val="none"/>
        </w:rPr>
        <w:tab/>
      </w:r>
      <w:r>
        <w:rPr>
          <w:color w:val="auto"/>
          <w:highlight w:val="none"/>
        </w:rPr>
        <w:fldChar w:fldCharType="begin"/>
      </w:r>
      <w:r>
        <w:rPr>
          <w:color w:val="auto"/>
          <w:highlight w:val="none"/>
        </w:rPr>
        <w:instrText xml:space="preserve"> PAGEREF _Toc2330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"_Toc30836" </w:instrText>
      </w:r>
      <w:r>
        <w:rPr>
          <w:color w:val="auto"/>
          <w:highlight w:val="none"/>
        </w:rPr>
        <w:fldChar w:fldCharType="separate"/>
      </w:r>
      <w:r>
        <w:rPr>
          <w:rFonts w:hint="eastAsia"/>
          <w:color w:val="auto"/>
          <w:szCs w:val="24"/>
          <w:highlight w:val="none"/>
        </w:rPr>
        <w:t>详见合同条款。</w:t>
      </w:r>
      <w:r>
        <w:rPr>
          <w:color w:val="auto"/>
          <w:highlight w:val="none"/>
        </w:rPr>
        <w:tab/>
      </w:r>
      <w:r>
        <w:rPr>
          <w:color w:val="auto"/>
          <w:highlight w:val="none"/>
        </w:rPr>
        <w:fldChar w:fldCharType="begin"/>
      </w:r>
      <w:r>
        <w:rPr>
          <w:color w:val="auto"/>
          <w:highlight w:val="none"/>
        </w:rPr>
        <w:instrText xml:space="preserve"> PAGEREF _Toc30836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"_Toc25912" </w:instrText>
      </w:r>
      <w:r>
        <w:rPr>
          <w:color w:val="auto"/>
          <w:highlight w:val="none"/>
        </w:rPr>
        <w:fldChar w:fldCharType="separate"/>
      </w:r>
      <w:r>
        <w:rPr>
          <w:rFonts w:hint="eastAsia" w:ascii="宋体" w:hAnsi="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_Toc25912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"_Toc28003" </w:instrText>
      </w:r>
      <w:r>
        <w:rPr>
          <w:color w:val="auto"/>
          <w:highlight w:val="none"/>
        </w:rPr>
        <w:fldChar w:fldCharType="separate"/>
      </w:r>
      <w:r>
        <w:rPr>
          <w:rFonts w:hint="eastAsia" w:ascii="宋体" w:hAnsi="宋体" w:cs="宋体"/>
          <w:color w:val="auto"/>
          <w:szCs w:val="20"/>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_Toc28003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"_Toc11438" </w:instrText>
      </w:r>
      <w:r>
        <w:rPr>
          <w:color w:val="auto"/>
          <w:highlight w:val="none"/>
        </w:rPr>
        <w:fldChar w:fldCharType="separate"/>
      </w:r>
      <w:r>
        <w:rPr>
          <w:rFonts w:hint="eastAsia" w:ascii="宋体" w:hAnsi="宋体" w:cs="宋体"/>
          <w:color w:val="auto"/>
          <w:szCs w:val="20"/>
          <w:highlight w:val="none"/>
        </w:rPr>
        <w:t>（一）投标函</w:t>
      </w:r>
      <w:r>
        <w:rPr>
          <w:color w:val="auto"/>
          <w:highlight w:val="none"/>
        </w:rPr>
        <w:tab/>
      </w:r>
      <w:r>
        <w:rPr>
          <w:color w:val="auto"/>
          <w:highlight w:val="none"/>
        </w:rPr>
        <w:fldChar w:fldCharType="begin"/>
      </w:r>
      <w:r>
        <w:rPr>
          <w:color w:val="auto"/>
          <w:highlight w:val="none"/>
        </w:rPr>
        <w:instrText xml:space="preserve"> PAGEREF _Toc11438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"_Toc24026" </w:instrText>
      </w:r>
      <w:r>
        <w:rPr>
          <w:color w:val="auto"/>
          <w:highlight w:val="none"/>
        </w:rPr>
        <w:fldChar w:fldCharType="separate"/>
      </w:r>
      <w:r>
        <w:rPr>
          <w:rFonts w:hint="eastAsia" w:ascii="宋体" w:hAnsi="宋体" w:cs="宋体"/>
          <w:color w:val="auto"/>
          <w:szCs w:val="20"/>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_Toc24026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"_Toc23000" </w:instrText>
      </w:r>
      <w:r>
        <w:rPr>
          <w:color w:val="auto"/>
          <w:highlight w:val="none"/>
        </w:rPr>
        <w:fldChar w:fldCharType="separate"/>
      </w:r>
      <w:r>
        <w:rPr>
          <w:rFonts w:hint="eastAsia" w:ascii="宋体" w:hAnsi="宋体" w:cs="宋体"/>
          <w:color w:val="auto"/>
          <w:szCs w:val="20"/>
          <w:highlight w:val="none"/>
        </w:rPr>
        <w:t>三、授权委托书</w:t>
      </w:r>
      <w:r>
        <w:rPr>
          <w:color w:val="auto"/>
          <w:highlight w:val="none"/>
        </w:rPr>
        <w:tab/>
      </w:r>
      <w:r>
        <w:rPr>
          <w:color w:val="auto"/>
          <w:highlight w:val="none"/>
        </w:rPr>
        <w:fldChar w:fldCharType="begin"/>
      </w:r>
      <w:r>
        <w:rPr>
          <w:color w:val="auto"/>
          <w:highlight w:val="none"/>
        </w:rPr>
        <w:instrText xml:space="preserve"> PAGEREF _Toc23000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"_Toc24906" </w:instrText>
      </w:r>
      <w:r>
        <w:rPr>
          <w:color w:val="auto"/>
          <w:highlight w:val="none"/>
        </w:rPr>
        <w:fldChar w:fldCharType="separate"/>
      </w:r>
      <w:r>
        <w:rPr>
          <w:rFonts w:hint="eastAsia" w:ascii="宋体" w:hAnsi="宋体" w:cs="宋体"/>
          <w:color w:val="auto"/>
          <w:szCs w:val="20"/>
          <w:highlight w:val="none"/>
        </w:rPr>
        <w:t>四、投标保证金</w:t>
      </w:r>
      <w:r>
        <w:rPr>
          <w:color w:val="auto"/>
          <w:highlight w:val="none"/>
        </w:rPr>
        <w:tab/>
      </w:r>
      <w:r>
        <w:rPr>
          <w:color w:val="auto"/>
          <w:highlight w:val="none"/>
        </w:rPr>
        <w:fldChar w:fldCharType="begin"/>
      </w:r>
      <w:r>
        <w:rPr>
          <w:color w:val="auto"/>
          <w:highlight w:val="none"/>
        </w:rPr>
        <w:instrText xml:space="preserve"> PAGEREF _Toc24906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"_Toc6882" </w:instrText>
      </w:r>
      <w:r>
        <w:rPr>
          <w:color w:val="auto"/>
          <w:highlight w:val="none"/>
        </w:rPr>
        <w:fldChar w:fldCharType="separate"/>
      </w:r>
      <w:r>
        <w:rPr>
          <w:rFonts w:hint="eastAsia" w:ascii="宋体" w:hAnsi="宋体" w:cs="宋体"/>
          <w:color w:val="auto"/>
          <w:szCs w:val="20"/>
          <w:highlight w:val="none"/>
        </w:rPr>
        <w:t>五、监理报酬清单</w:t>
      </w:r>
      <w:r>
        <w:rPr>
          <w:color w:val="auto"/>
          <w:highlight w:val="none"/>
        </w:rPr>
        <w:tab/>
      </w:r>
      <w:r>
        <w:rPr>
          <w:color w:val="auto"/>
          <w:highlight w:val="none"/>
        </w:rPr>
        <w:fldChar w:fldCharType="begin"/>
      </w:r>
      <w:r>
        <w:rPr>
          <w:color w:val="auto"/>
          <w:highlight w:val="none"/>
        </w:rPr>
        <w:instrText xml:space="preserve"> PAGEREF _Toc6882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"_Toc30652" </w:instrText>
      </w:r>
      <w:r>
        <w:rPr>
          <w:color w:val="auto"/>
          <w:highlight w:val="none"/>
        </w:rPr>
        <w:fldChar w:fldCharType="separate"/>
      </w:r>
      <w:r>
        <w:rPr>
          <w:rFonts w:hint="eastAsia" w:ascii="宋体" w:hAnsi="宋体" w:cs="宋体"/>
          <w:color w:val="auto"/>
          <w:szCs w:val="20"/>
          <w:highlight w:val="none"/>
        </w:rPr>
        <w:t>六、资格审查资料</w:t>
      </w:r>
      <w:r>
        <w:rPr>
          <w:color w:val="auto"/>
          <w:highlight w:val="none"/>
        </w:rPr>
        <w:tab/>
      </w:r>
      <w:r>
        <w:rPr>
          <w:color w:val="auto"/>
          <w:highlight w:val="none"/>
        </w:rPr>
        <w:fldChar w:fldCharType="begin"/>
      </w:r>
      <w:r>
        <w:rPr>
          <w:color w:val="auto"/>
          <w:highlight w:val="none"/>
        </w:rPr>
        <w:instrText xml:space="preserve"> PAGEREF _Toc30652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"_Toc6139" </w:instrText>
      </w:r>
      <w:r>
        <w:rPr>
          <w:color w:val="auto"/>
          <w:highlight w:val="none"/>
        </w:rPr>
        <w:fldChar w:fldCharType="separate"/>
      </w:r>
      <w:r>
        <w:rPr>
          <w:rFonts w:hint="eastAsia" w:ascii="宋体" w:hAnsi="宋体" w:cs="宋体"/>
          <w:color w:val="auto"/>
          <w:szCs w:val="20"/>
          <w:highlight w:val="none"/>
        </w:rPr>
        <w:t>（一）基本情况表</w:t>
      </w:r>
      <w:r>
        <w:rPr>
          <w:color w:val="auto"/>
          <w:highlight w:val="none"/>
        </w:rPr>
        <w:tab/>
      </w:r>
      <w:r>
        <w:rPr>
          <w:color w:val="auto"/>
          <w:highlight w:val="none"/>
        </w:rPr>
        <w:fldChar w:fldCharType="begin"/>
      </w:r>
      <w:r>
        <w:rPr>
          <w:color w:val="auto"/>
          <w:highlight w:val="none"/>
        </w:rPr>
        <w:instrText xml:space="preserve"> PAGEREF _Toc6139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"_Toc22473" </w:instrText>
      </w:r>
      <w:r>
        <w:rPr>
          <w:color w:val="auto"/>
          <w:highlight w:val="none"/>
        </w:rPr>
        <w:fldChar w:fldCharType="separate"/>
      </w:r>
      <w:r>
        <w:rPr>
          <w:rFonts w:hint="eastAsia" w:ascii="宋体" w:hAnsi="宋体" w:cs="宋体"/>
          <w:color w:val="auto"/>
          <w:szCs w:val="20"/>
          <w:highlight w:val="none"/>
        </w:rPr>
        <w:t>（二）近年财务状况表</w:t>
      </w:r>
      <w:r>
        <w:rPr>
          <w:color w:val="auto"/>
          <w:highlight w:val="none"/>
        </w:rPr>
        <w:tab/>
      </w:r>
      <w:r>
        <w:rPr>
          <w:color w:val="auto"/>
          <w:highlight w:val="none"/>
        </w:rPr>
        <w:fldChar w:fldCharType="begin"/>
      </w:r>
      <w:r>
        <w:rPr>
          <w:color w:val="auto"/>
          <w:highlight w:val="none"/>
        </w:rPr>
        <w:instrText xml:space="preserve"> PAGEREF _Toc22473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"_Toc10222" </w:instrText>
      </w:r>
      <w:r>
        <w:rPr>
          <w:color w:val="auto"/>
          <w:highlight w:val="none"/>
        </w:rPr>
        <w:fldChar w:fldCharType="separate"/>
      </w:r>
      <w:r>
        <w:rPr>
          <w:rFonts w:hint="eastAsia" w:ascii="宋体" w:hAnsi="宋体" w:cs="宋体"/>
          <w:color w:val="auto"/>
          <w:szCs w:val="20"/>
          <w:highlight w:val="none"/>
        </w:rPr>
        <w:t>（三）近年完成的类似项目情况表</w:t>
      </w:r>
      <w:r>
        <w:rPr>
          <w:color w:val="auto"/>
          <w:highlight w:val="none"/>
        </w:rPr>
        <w:tab/>
      </w:r>
      <w:r>
        <w:rPr>
          <w:color w:val="auto"/>
          <w:highlight w:val="none"/>
        </w:rPr>
        <w:fldChar w:fldCharType="begin"/>
      </w:r>
      <w:r>
        <w:rPr>
          <w:color w:val="auto"/>
          <w:highlight w:val="none"/>
        </w:rPr>
        <w:instrText xml:space="preserve"> PAGEREF _Toc10222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"_Toc30015" </w:instrText>
      </w:r>
      <w:r>
        <w:rPr>
          <w:color w:val="auto"/>
          <w:highlight w:val="none"/>
        </w:rPr>
        <w:fldChar w:fldCharType="separate"/>
      </w:r>
      <w:r>
        <w:rPr>
          <w:rFonts w:hint="eastAsia" w:ascii="宋体" w:hAnsi="宋体" w:cs="宋体"/>
          <w:color w:val="auto"/>
          <w:szCs w:val="20"/>
          <w:highlight w:val="none"/>
        </w:rPr>
        <w:t>（五）近年发生的诉讼及仲裁情况</w:t>
      </w:r>
      <w:r>
        <w:rPr>
          <w:color w:val="auto"/>
          <w:highlight w:val="none"/>
        </w:rPr>
        <w:tab/>
      </w:r>
      <w:r>
        <w:rPr>
          <w:color w:val="auto"/>
          <w:highlight w:val="none"/>
        </w:rPr>
        <w:fldChar w:fldCharType="begin"/>
      </w:r>
      <w:r>
        <w:rPr>
          <w:color w:val="auto"/>
          <w:highlight w:val="none"/>
        </w:rPr>
        <w:instrText xml:space="preserve"> PAGEREF _Toc30015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"_Toc20159" </w:instrText>
      </w:r>
      <w:r>
        <w:rPr>
          <w:color w:val="auto"/>
          <w:highlight w:val="none"/>
        </w:rPr>
        <w:fldChar w:fldCharType="separate"/>
      </w:r>
      <w:r>
        <w:rPr>
          <w:rFonts w:hint="eastAsia" w:ascii="宋体" w:hAnsi="宋体" w:cs="宋体"/>
          <w:color w:val="auto"/>
          <w:szCs w:val="20"/>
          <w:highlight w:val="none"/>
        </w:rPr>
        <w:t>（六）拟委任的主要人员汇总表</w:t>
      </w:r>
      <w:r>
        <w:rPr>
          <w:color w:val="auto"/>
          <w:highlight w:val="none"/>
        </w:rPr>
        <w:tab/>
      </w:r>
      <w:r>
        <w:rPr>
          <w:color w:val="auto"/>
          <w:highlight w:val="none"/>
        </w:rPr>
        <w:fldChar w:fldCharType="begin"/>
      </w:r>
      <w:r>
        <w:rPr>
          <w:color w:val="auto"/>
          <w:highlight w:val="none"/>
        </w:rPr>
        <w:instrText xml:space="preserve"> PAGEREF _Toc20159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"_Toc19924" </w:instrText>
      </w:r>
      <w:r>
        <w:rPr>
          <w:color w:val="auto"/>
          <w:highlight w:val="none"/>
        </w:rPr>
        <w:fldChar w:fldCharType="separate"/>
      </w:r>
      <w:r>
        <w:rPr>
          <w:rFonts w:hint="eastAsia" w:ascii="宋体" w:hAnsi="宋体" w:cs="宋体"/>
          <w:color w:val="auto"/>
          <w:szCs w:val="20"/>
          <w:highlight w:val="none"/>
        </w:rPr>
        <w:t>（七）主要人员简历表</w:t>
      </w:r>
      <w:r>
        <w:rPr>
          <w:color w:val="auto"/>
          <w:highlight w:val="none"/>
        </w:rPr>
        <w:tab/>
      </w:r>
      <w:r>
        <w:rPr>
          <w:color w:val="auto"/>
          <w:highlight w:val="none"/>
        </w:rPr>
        <w:fldChar w:fldCharType="begin"/>
      </w:r>
      <w:r>
        <w:rPr>
          <w:color w:val="auto"/>
          <w:highlight w:val="none"/>
        </w:rPr>
        <w:instrText xml:space="preserve"> PAGEREF _Toc19924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"_Toc32259" </w:instrText>
      </w:r>
      <w:r>
        <w:rPr>
          <w:color w:val="auto"/>
          <w:highlight w:val="none"/>
        </w:rPr>
        <w:fldChar w:fldCharType="separate"/>
      </w:r>
      <w:r>
        <w:rPr>
          <w:rFonts w:hint="eastAsia" w:ascii="宋体" w:hAnsi="宋体" w:cs="宋体"/>
          <w:color w:val="auto"/>
          <w:szCs w:val="20"/>
          <w:highlight w:val="none"/>
        </w:rPr>
        <w:t>（八）拟投入本项目的主要试验检测仪器设备表</w:t>
      </w:r>
      <w:r>
        <w:rPr>
          <w:color w:val="auto"/>
          <w:highlight w:val="none"/>
        </w:rPr>
        <w:tab/>
      </w:r>
      <w:r>
        <w:rPr>
          <w:color w:val="auto"/>
          <w:highlight w:val="none"/>
        </w:rPr>
        <w:fldChar w:fldCharType="begin"/>
      </w:r>
      <w:r>
        <w:rPr>
          <w:color w:val="auto"/>
          <w:highlight w:val="none"/>
        </w:rPr>
        <w:instrText xml:space="preserve"> PAGEREF _Toc32259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3"/>
        <w:tabs>
          <w:tab w:val="right" w:leader="dot" w:pos="9639"/>
        </w:tabs>
        <w:rPr>
          <w:color w:val="auto"/>
          <w:highlight w:val="none"/>
        </w:rPr>
      </w:pPr>
      <w:r>
        <w:rPr>
          <w:color w:val="auto"/>
          <w:highlight w:val="none"/>
        </w:rPr>
        <w:fldChar w:fldCharType="begin"/>
      </w:r>
      <w:r>
        <w:rPr>
          <w:color w:val="auto"/>
          <w:highlight w:val="none"/>
        </w:rPr>
        <w:instrText xml:space="preserve"> HYPERLINK \l "_Toc13472" </w:instrText>
      </w:r>
      <w:r>
        <w:rPr>
          <w:color w:val="auto"/>
          <w:highlight w:val="none"/>
        </w:rPr>
        <w:fldChar w:fldCharType="separate"/>
      </w:r>
      <w:r>
        <w:rPr>
          <w:rFonts w:hint="eastAsia" w:ascii="宋体" w:hAnsi="宋体"/>
          <w:bCs/>
          <w:color w:val="auto"/>
          <w:szCs w:val="28"/>
          <w:highlight w:val="none"/>
        </w:rPr>
        <w:t>（九）投标人声明格式</w:t>
      </w:r>
      <w:r>
        <w:rPr>
          <w:color w:val="auto"/>
          <w:highlight w:val="none"/>
        </w:rPr>
        <w:tab/>
      </w:r>
      <w:r>
        <w:rPr>
          <w:color w:val="auto"/>
          <w:highlight w:val="none"/>
        </w:rPr>
        <w:fldChar w:fldCharType="begin"/>
      </w:r>
      <w:r>
        <w:rPr>
          <w:color w:val="auto"/>
          <w:highlight w:val="none"/>
        </w:rPr>
        <w:instrText xml:space="preserve"> PAGEREF _Toc13472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"_Toc3326" </w:instrText>
      </w:r>
      <w:r>
        <w:rPr>
          <w:color w:val="auto"/>
          <w:highlight w:val="none"/>
        </w:rPr>
        <w:fldChar w:fldCharType="separate"/>
      </w:r>
      <w:r>
        <w:rPr>
          <w:rFonts w:hint="eastAsia" w:ascii="宋体" w:hAnsi="宋体" w:cs="宋体"/>
          <w:color w:val="auto"/>
          <w:szCs w:val="20"/>
          <w:highlight w:val="none"/>
        </w:rPr>
        <w:t>七、监理大纲</w:t>
      </w:r>
      <w:r>
        <w:rPr>
          <w:color w:val="auto"/>
          <w:highlight w:val="none"/>
        </w:rPr>
        <w:tab/>
      </w:r>
      <w:r>
        <w:rPr>
          <w:color w:val="auto"/>
          <w:highlight w:val="none"/>
        </w:rPr>
        <w:fldChar w:fldCharType="begin"/>
      </w:r>
      <w:r>
        <w:rPr>
          <w:color w:val="auto"/>
          <w:highlight w:val="none"/>
        </w:rPr>
        <w:instrText xml:space="preserve"> PAGEREF _Toc3326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0"/>
        <w:tabs>
          <w:tab w:val="right" w:leader="dot" w:pos="9639"/>
        </w:tabs>
        <w:rPr>
          <w:color w:val="auto"/>
          <w:highlight w:val="none"/>
        </w:rPr>
      </w:pPr>
      <w:r>
        <w:rPr>
          <w:color w:val="auto"/>
          <w:highlight w:val="none"/>
        </w:rPr>
        <w:fldChar w:fldCharType="begin"/>
      </w:r>
      <w:r>
        <w:rPr>
          <w:color w:val="auto"/>
          <w:highlight w:val="none"/>
        </w:rPr>
        <w:instrText xml:space="preserve"> HYPERLINK \l "_Toc23090" </w:instrText>
      </w:r>
      <w:r>
        <w:rPr>
          <w:color w:val="auto"/>
          <w:highlight w:val="none"/>
        </w:rPr>
        <w:fldChar w:fldCharType="separate"/>
      </w:r>
      <w:r>
        <w:rPr>
          <w:rFonts w:hint="eastAsia" w:ascii="宋体" w:hAnsi="宋体" w:cs="宋体"/>
          <w:color w:val="auto"/>
          <w:szCs w:val="20"/>
          <w:highlight w:val="none"/>
        </w:rPr>
        <w:t>八、其他资料</w:t>
      </w:r>
      <w:r>
        <w:rPr>
          <w:color w:val="auto"/>
          <w:highlight w:val="none"/>
        </w:rPr>
        <w:tab/>
      </w:r>
      <w:r>
        <w:rPr>
          <w:color w:val="auto"/>
          <w:highlight w:val="none"/>
        </w:rPr>
        <w:fldChar w:fldCharType="begin"/>
      </w:r>
      <w:r>
        <w:rPr>
          <w:color w:val="auto"/>
          <w:highlight w:val="none"/>
        </w:rPr>
        <w:instrText xml:space="preserve"> PAGEREF _Toc23090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ind w:firstLine="420" w:firstLineChars="200"/>
        <w:jc w:val="center"/>
        <w:rPr>
          <w:rFonts w:ascii="宋体" w:hAnsi="宋体"/>
          <w:b/>
          <w:bCs/>
          <w:color w:val="auto"/>
          <w:sz w:val="24"/>
          <w:szCs w:val="24"/>
          <w:highlight w:val="none"/>
        </w:rPr>
      </w:pPr>
      <w:r>
        <w:rPr>
          <w:rFonts w:ascii="宋体" w:hAnsi="宋体"/>
          <w:bCs/>
          <w:color w:val="auto"/>
          <w:szCs w:val="24"/>
          <w:highlight w:val="none"/>
        </w:rPr>
        <w:fldChar w:fldCharType="end"/>
      </w:r>
      <w:r>
        <w:rPr>
          <w:rFonts w:hint="eastAsia" w:ascii="宋体" w:hAnsi="宋体"/>
          <w:b/>
          <w:bCs/>
          <w:color w:val="auto"/>
          <w:sz w:val="24"/>
          <w:szCs w:val="24"/>
          <w:highlight w:val="none"/>
        </w:rPr>
        <w:br w:type="page"/>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ind w:firstLine="482" w:firstLineChars="20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jc w:val="center"/>
        <w:rPr>
          <w:rFonts w:ascii="宋体" w:hAnsi="宋体"/>
          <w:b/>
          <w:bCs/>
          <w:color w:val="auto"/>
          <w:sz w:val="30"/>
          <w:szCs w:val="30"/>
          <w:highlight w:val="none"/>
        </w:rPr>
      </w:pPr>
      <w:r>
        <w:rPr>
          <w:rFonts w:hint="eastAsia" w:ascii="宋体" w:hAnsi="宋体"/>
          <w:b/>
          <w:bCs/>
          <w:color w:val="auto"/>
          <w:sz w:val="52"/>
          <w:szCs w:val="52"/>
          <w:highlight w:val="none"/>
        </w:rPr>
        <w:t>第一卷</w:t>
      </w:r>
      <w:r>
        <w:rPr>
          <w:rFonts w:hint="eastAsia" w:ascii="宋体" w:hAnsi="宋体"/>
          <w:b/>
          <w:bCs/>
          <w:color w:val="auto"/>
          <w:sz w:val="52"/>
          <w:szCs w:val="52"/>
          <w:highlight w:val="none"/>
        </w:rPr>
        <w:br w:type="page"/>
      </w:r>
    </w:p>
    <w:p>
      <w:pPr>
        <w:ind w:firstLine="420" w:firstLineChars="200"/>
        <w:rPr>
          <w:rFonts w:ascii="宋体" w:hAnsi="宋体"/>
          <w:color w:val="auto"/>
          <w:highlight w:val="none"/>
        </w:rPr>
      </w:pPr>
      <w:bookmarkStart w:id="3" w:name="_Toc393961862"/>
      <w:bookmarkEnd w:id="3"/>
      <w:bookmarkStart w:id="4" w:name="_Toc9309"/>
      <w:bookmarkEnd w:id="4"/>
      <w:bookmarkStart w:id="5" w:name="_Toc26914"/>
      <w:r>
        <w:rPr>
          <w:rFonts w:hint="eastAsia" w:ascii="宋体" w:hAnsi="宋体"/>
          <w:color w:val="auto"/>
          <w:highlight w:val="none"/>
        </w:rPr>
        <w:t xml:space="preserve"> </w:t>
      </w:r>
      <w:bookmarkEnd w:id="5"/>
    </w:p>
    <w:p>
      <w:pPr>
        <w:pStyle w:val="4"/>
        <w:jc w:val="center"/>
        <w:rPr>
          <w:rFonts w:ascii="宋体" w:hAnsi="宋体" w:eastAsia="宋体"/>
          <w:color w:val="auto"/>
          <w:highlight w:val="none"/>
        </w:rPr>
      </w:pPr>
      <w:bookmarkStart w:id="6" w:name="_Toc16720"/>
      <w:bookmarkEnd w:id="6"/>
      <w:bookmarkStart w:id="7" w:name="_Toc610"/>
      <w:bookmarkEnd w:id="7"/>
      <w:bookmarkStart w:id="8" w:name="_Toc514170118"/>
      <w:bookmarkEnd w:id="8"/>
      <w:bookmarkStart w:id="9" w:name="_Toc2170"/>
      <w:bookmarkEnd w:id="9"/>
      <w:bookmarkStart w:id="10" w:name="_Toc1036"/>
      <w:bookmarkEnd w:id="10"/>
      <w:bookmarkStart w:id="11" w:name="_Toc530640826"/>
      <w:bookmarkStart w:id="12" w:name="_Toc25841"/>
      <w:bookmarkStart w:id="13" w:name="_Toc13962"/>
      <w:r>
        <w:rPr>
          <w:rFonts w:hint="eastAsia" w:ascii="宋体" w:hAnsi="宋体" w:eastAsia="宋体"/>
          <w:color w:val="auto"/>
          <w:highlight w:val="none"/>
        </w:rPr>
        <w:t>第一章</w:t>
      </w:r>
      <w:bookmarkEnd w:id="11"/>
      <w:bookmarkStart w:id="14" w:name="_Toc530640827"/>
      <w:r>
        <w:rPr>
          <w:rFonts w:hint="eastAsia" w:ascii="宋体" w:hAnsi="宋体" w:eastAsia="宋体"/>
          <w:color w:val="auto"/>
          <w:highlight w:val="none"/>
        </w:rPr>
        <w:t xml:space="preserve">  招标公告</w:t>
      </w:r>
      <w:bookmarkEnd w:id="12"/>
      <w:bookmarkEnd w:id="14"/>
    </w:p>
    <w:bookmarkEnd w:id="13"/>
    <w:p>
      <w:pPr>
        <w:spacing w:before="240" w:beforeLines="100" w:line="300" w:lineRule="exact"/>
        <w:ind w:right="840" w:firstLine="420" w:firstLineChars="200"/>
        <w:jc w:val="center"/>
        <w:rPr>
          <w:rFonts w:ascii="宋体" w:hAnsi="宋体"/>
          <w:b/>
          <w:bCs/>
          <w:color w:val="auto"/>
          <w:sz w:val="30"/>
          <w:szCs w:val="30"/>
          <w:highlight w:val="none"/>
        </w:rPr>
      </w:pPr>
      <w:bookmarkStart w:id="15" w:name="_Toc6636"/>
      <w:bookmarkEnd w:id="15"/>
      <w:r>
        <w:rPr>
          <w:rFonts w:hint="eastAsia" w:ascii="宋体" w:hAnsi="宋体"/>
          <w:color w:val="auto"/>
          <w:highlight w:val="none"/>
        </w:rPr>
        <w:t xml:space="preserve">    另册</w:t>
      </w:r>
    </w:p>
    <w:p>
      <w:pPr>
        <w:pStyle w:val="4"/>
        <w:jc w:val="center"/>
        <w:rPr>
          <w:rFonts w:ascii="宋体" w:hAnsi="宋体" w:eastAsia="宋体"/>
          <w:color w:val="auto"/>
          <w:highlight w:val="none"/>
        </w:rPr>
      </w:pPr>
      <w:bookmarkStart w:id="16" w:name="_Toc393961863"/>
      <w:bookmarkEnd w:id="16"/>
      <w:r>
        <w:rPr>
          <w:rFonts w:hint="eastAsia" w:ascii="宋体" w:hAnsi="宋体" w:eastAsia="宋体"/>
          <w:color w:val="auto"/>
          <w:highlight w:val="none"/>
        </w:rPr>
        <w:br w:type="page"/>
      </w:r>
      <w:bookmarkStart w:id="17" w:name="_Toc514170119"/>
      <w:bookmarkEnd w:id="17"/>
      <w:bookmarkStart w:id="18" w:name="_Toc22940"/>
      <w:bookmarkEnd w:id="18"/>
      <w:bookmarkStart w:id="19" w:name="_Toc19352"/>
      <w:bookmarkEnd w:id="19"/>
      <w:bookmarkStart w:id="20" w:name="_Toc27380"/>
      <w:bookmarkEnd w:id="20"/>
      <w:bookmarkStart w:id="21" w:name="_Toc9935"/>
      <w:bookmarkEnd w:id="21"/>
      <w:bookmarkStart w:id="22" w:name="_Toc15805"/>
      <w:bookmarkEnd w:id="22"/>
      <w:bookmarkStart w:id="23" w:name="_Toc5915"/>
      <w:bookmarkEnd w:id="23"/>
      <w:bookmarkStart w:id="24" w:name="_Toc174"/>
      <w:bookmarkStart w:id="25" w:name="_Toc530640828"/>
      <w:bookmarkStart w:id="26" w:name="_Toc4633"/>
      <w:r>
        <w:rPr>
          <w:rFonts w:hint="eastAsia" w:ascii="宋体" w:hAnsi="宋体" w:eastAsia="宋体"/>
          <w:color w:val="auto"/>
          <w:highlight w:val="none"/>
        </w:rPr>
        <w:t>第二章  投标人须知</w:t>
      </w:r>
      <w:bookmarkEnd w:id="24"/>
      <w:bookmarkEnd w:id="25"/>
      <w:bookmarkEnd w:id="26"/>
    </w:p>
    <w:p>
      <w:pPr>
        <w:pStyle w:val="5"/>
        <w:jc w:val="center"/>
        <w:rPr>
          <w:rFonts w:ascii="宋体" w:hAnsi="宋体"/>
          <w:color w:val="auto"/>
          <w:highlight w:val="none"/>
        </w:rPr>
      </w:pPr>
      <w:bookmarkStart w:id="27" w:name="_Toc14233"/>
      <w:bookmarkEnd w:id="27"/>
      <w:bookmarkStart w:id="28" w:name="_Toc514170120"/>
      <w:bookmarkEnd w:id="28"/>
      <w:bookmarkStart w:id="29" w:name="_Toc393961864"/>
      <w:bookmarkEnd w:id="29"/>
      <w:bookmarkStart w:id="30" w:name="_Toc24793"/>
      <w:bookmarkEnd w:id="30"/>
      <w:bookmarkStart w:id="31" w:name="_Toc2375"/>
      <w:bookmarkEnd w:id="31"/>
      <w:bookmarkStart w:id="32" w:name="_Toc7336"/>
      <w:bookmarkEnd w:id="32"/>
      <w:bookmarkStart w:id="33" w:name="_Toc32677"/>
      <w:bookmarkEnd w:id="33"/>
      <w:bookmarkStart w:id="34" w:name="_Toc32629"/>
      <w:bookmarkStart w:id="35" w:name="_Toc530640829"/>
      <w:bookmarkStart w:id="36" w:name="_Toc12460"/>
      <w:r>
        <w:rPr>
          <w:rFonts w:hint="eastAsia" w:ascii="宋体" w:hAnsi="宋体"/>
          <w:color w:val="auto"/>
          <w:highlight w:val="none"/>
        </w:rPr>
        <w:t>投标人须知前附表</w:t>
      </w:r>
      <w:bookmarkEnd w:id="34"/>
      <w:bookmarkEnd w:id="35"/>
      <w:bookmarkEnd w:id="3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551"/>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条款号</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条  款  名  称</w:t>
            </w:r>
          </w:p>
        </w:tc>
        <w:tc>
          <w:tcPr>
            <w:tcW w:w="6224"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招标人</w:t>
            </w:r>
          </w:p>
        </w:tc>
        <w:tc>
          <w:tcPr>
            <w:tcW w:w="6224"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highlight w:val="none"/>
                <w:u w:val="single"/>
                <w:lang w:eastAsia="zh-CN"/>
              </w:rPr>
            </w:pPr>
            <w:r>
              <w:rPr>
                <w:rFonts w:ascii="宋体" w:hAnsi="宋体"/>
                <w:color w:val="auto"/>
                <w:highlight w:val="none"/>
              </w:rPr>
              <w:t>名称：</w:t>
            </w:r>
            <w:r>
              <w:rPr>
                <w:rFonts w:hint="eastAsia" w:ascii="宋体" w:hAnsi="宋体"/>
                <w:color w:val="auto"/>
                <w:highlight w:val="none"/>
                <w:u w:val="single"/>
                <w:lang w:eastAsia="zh-CN"/>
              </w:rPr>
              <w:t>广州合锦嘉泓房地产投资有限公司</w:t>
            </w:r>
          </w:p>
          <w:p>
            <w:pPr>
              <w:rPr>
                <w:rFonts w:hint="eastAsia" w:ascii="宋体" w:hAnsi="宋体" w:eastAsia="宋体"/>
                <w:color w:val="auto"/>
                <w:highlight w:val="none"/>
                <w:u w:val="single"/>
                <w:lang w:eastAsia="zh-CN"/>
              </w:rPr>
            </w:pPr>
            <w:r>
              <w:rPr>
                <w:rFonts w:ascii="宋体" w:hAnsi="宋体"/>
                <w:color w:val="auto"/>
                <w:highlight w:val="none"/>
              </w:rPr>
              <w:t>地址：</w:t>
            </w:r>
            <w:r>
              <w:rPr>
                <w:rFonts w:hint="eastAsia" w:ascii="宋体" w:hAnsi="宋体"/>
                <w:color w:val="auto"/>
                <w:highlight w:val="none"/>
                <w:u w:val="single"/>
                <w:lang w:eastAsia="zh-CN"/>
              </w:rPr>
              <w:t>广州市海珠区琶洲大道188-190号南方投资大厦15层</w:t>
            </w:r>
          </w:p>
          <w:p>
            <w:pPr>
              <w:rPr>
                <w:rFonts w:hint="eastAsia" w:ascii="宋体" w:hAnsi="宋体" w:eastAsia="宋体"/>
                <w:color w:val="auto"/>
                <w:highlight w:val="none"/>
                <w:lang w:eastAsia="zh-CN"/>
              </w:rPr>
            </w:pPr>
            <w:r>
              <w:rPr>
                <w:rFonts w:ascii="宋体" w:hAnsi="宋体"/>
                <w:color w:val="auto"/>
                <w:highlight w:val="none"/>
              </w:rPr>
              <w:t>联系人：</w:t>
            </w:r>
            <w:r>
              <w:rPr>
                <w:rFonts w:hint="eastAsia" w:ascii="宋体" w:hAnsi="宋体"/>
                <w:color w:val="auto"/>
                <w:highlight w:val="none"/>
                <w:u w:val="single"/>
                <w:lang w:val="en-US" w:eastAsia="zh-CN"/>
              </w:rPr>
              <w:t>梁</w:t>
            </w:r>
            <w:r>
              <w:rPr>
                <w:rFonts w:hint="eastAsia" w:ascii="宋体" w:hAnsi="宋体"/>
                <w:color w:val="auto"/>
                <w:highlight w:val="none"/>
                <w:u w:val="single"/>
                <w:lang w:eastAsia="zh-CN"/>
              </w:rPr>
              <w:t>工</w:t>
            </w:r>
          </w:p>
          <w:p>
            <w:pPr>
              <w:rPr>
                <w:rFonts w:hint="eastAsia" w:ascii="Calibri" w:hAnsi="Calibri" w:eastAsia="宋体"/>
                <w:color w:val="auto"/>
                <w:highlight w:val="none"/>
                <w:lang w:eastAsia="zh-CN"/>
              </w:rPr>
            </w:pPr>
            <w:r>
              <w:rPr>
                <w:rFonts w:ascii="宋体" w:hAnsi="宋体"/>
                <w:color w:val="auto"/>
                <w:highlight w:val="none"/>
              </w:rPr>
              <w:t>电话：</w:t>
            </w:r>
            <w:r>
              <w:rPr>
                <w:rFonts w:hint="eastAsia" w:ascii="宋体" w:hAnsi="宋体"/>
                <w:color w:val="auto"/>
                <w:highlight w:val="none"/>
                <w:u w:val="single"/>
                <w:lang w:eastAsia="zh-CN"/>
              </w:rPr>
              <w:t>020-62316005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招标代理机构</w:t>
            </w:r>
          </w:p>
        </w:tc>
        <w:tc>
          <w:tcPr>
            <w:tcW w:w="6224"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highlight w:val="none"/>
                <w:lang w:eastAsia="zh-CN"/>
              </w:rPr>
            </w:pPr>
            <w:r>
              <w:rPr>
                <w:rFonts w:ascii="宋体" w:hAnsi="宋体"/>
                <w:color w:val="auto"/>
                <w:highlight w:val="none"/>
              </w:rPr>
              <w:t>名称：</w:t>
            </w:r>
            <w:r>
              <w:rPr>
                <w:rFonts w:hint="eastAsia" w:ascii="宋体" w:hAnsi="宋体"/>
                <w:color w:val="auto"/>
                <w:highlight w:val="none"/>
                <w:u w:val="single"/>
                <w:lang w:eastAsia="zh-CN"/>
              </w:rPr>
              <w:t>广州竣盛工程造价咨询有限公司</w:t>
            </w:r>
          </w:p>
          <w:p>
            <w:pPr>
              <w:rPr>
                <w:rFonts w:ascii="宋体" w:hAnsi="宋体"/>
                <w:color w:val="auto"/>
                <w:highlight w:val="none"/>
                <w:u w:val="single"/>
              </w:rPr>
            </w:pPr>
            <w:r>
              <w:rPr>
                <w:rFonts w:ascii="宋体" w:hAnsi="宋体"/>
                <w:color w:val="auto"/>
                <w:highlight w:val="none"/>
              </w:rPr>
              <w:t>地址：</w:t>
            </w:r>
            <w:r>
              <w:rPr>
                <w:rFonts w:hint="eastAsia" w:ascii="宋体" w:hAnsi="宋体" w:eastAsia="宋体" w:cs="宋体"/>
                <w:color w:val="auto"/>
                <w:szCs w:val="21"/>
                <w:highlight w:val="none"/>
                <w:u w:val="single"/>
                <w:shd w:val="clear" w:color="auto" w:fill="auto"/>
              </w:rPr>
              <w:t>广州市海珠区琶洲大道188-190号南方投资大厦12</w:t>
            </w:r>
            <w:r>
              <w:rPr>
                <w:rFonts w:hint="eastAsia" w:ascii="宋体" w:hAnsi="宋体" w:cs="宋体"/>
                <w:color w:val="auto"/>
                <w:szCs w:val="21"/>
                <w:highlight w:val="none"/>
                <w:u w:val="single"/>
                <w:shd w:val="clear" w:color="auto" w:fill="auto"/>
                <w:lang w:val="en-US" w:eastAsia="zh-CN"/>
              </w:rPr>
              <w:t>-13</w:t>
            </w:r>
            <w:r>
              <w:rPr>
                <w:rFonts w:hint="eastAsia" w:ascii="宋体" w:hAnsi="宋体" w:eastAsia="宋体" w:cs="宋体"/>
                <w:color w:val="auto"/>
                <w:szCs w:val="21"/>
                <w:highlight w:val="none"/>
                <w:u w:val="single"/>
                <w:shd w:val="clear" w:color="auto" w:fill="auto"/>
              </w:rPr>
              <w:t>层</w:t>
            </w:r>
          </w:p>
          <w:p>
            <w:pPr>
              <w:rPr>
                <w:rFonts w:ascii="宋体" w:hAnsi="宋体"/>
                <w:color w:val="auto"/>
                <w:highlight w:val="none"/>
              </w:rPr>
            </w:pPr>
            <w:r>
              <w:rPr>
                <w:rFonts w:ascii="宋体" w:hAnsi="宋体"/>
                <w:color w:val="auto"/>
                <w:highlight w:val="none"/>
              </w:rPr>
              <w:t>联系人：</w:t>
            </w:r>
            <w:r>
              <w:rPr>
                <w:rFonts w:hint="eastAsia" w:ascii="宋体" w:hAnsi="宋体"/>
                <w:color w:val="auto"/>
                <w:highlight w:val="none"/>
                <w:u w:val="single"/>
              </w:rPr>
              <w:t>黄工</w:t>
            </w:r>
          </w:p>
          <w:p>
            <w:pPr>
              <w:rPr>
                <w:rFonts w:hint="default" w:ascii="宋体" w:hAnsi="宋体" w:eastAsia="宋体"/>
                <w:color w:val="auto"/>
                <w:highlight w:val="none"/>
                <w:lang w:val="en-US" w:eastAsia="zh-CN"/>
              </w:rPr>
            </w:pPr>
            <w:r>
              <w:rPr>
                <w:rFonts w:ascii="宋体" w:hAnsi="宋体"/>
                <w:color w:val="auto"/>
                <w:highlight w:val="none"/>
              </w:rPr>
              <w:t>电话：</w:t>
            </w:r>
            <w:r>
              <w:rPr>
                <w:rFonts w:hint="eastAsia" w:ascii="宋体" w:hAnsi="宋体"/>
                <w:color w:val="auto"/>
                <w:highlight w:val="none"/>
                <w:u w:val="single"/>
                <w:lang w:val="en-US" w:eastAsia="zh-CN"/>
              </w:rPr>
              <w:t>15013049870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1.1.4</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招标项目名称</w:t>
            </w:r>
          </w:p>
        </w:tc>
        <w:tc>
          <w:tcPr>
            <w:tcW w:w="6224" w:type="dxa"/>
            <w:tcBorders>
              <w:top w:val="single" w:color="auto" w:sz="4" w:space="0"/>
              <w:left w:val="nil"/>
              <w:bottom w:val="single" w:color="auto" w:sz="4" w:space="0"/>
              <w:right w:val="single" w:color="auto" w:sz="4" w:space="0"/>
            </w:tcBorders>
            <w:vAlign w:val="center"/>
          </w:tcPr>
          <w:p>
            <w:pPr>
              <w:rPr>
                <w:rFonts w:hint="eastAsia" w:ascii="Calibri" w:hAnsi="Calibri" w:eastAsia="宋体"/>
                <w:color w:val="auto"/>
                <w:highlight w:val="none"/>
                <w:lang w:eastAsia="zh-CN"/>
              </w:rPr>
            </w:pPr>
            <w:r>
              <w:rPr>
                <w:rFonts w:hint="eastAsia" w:ascii="宋体" w:hAnsi="宋体"/>
                <w:color w:val="auto"/>
                <w:highlight w:val="none"/>
                <w:lang w:eastAsia="zh-CN"/>
              </w:rPr>
              <w:t>广州电力建设有限公司电建大楼项目工程监理服务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1.1.5</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项目建设地点</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1.1.6</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项目建设规模</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1.1.7</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u w:val="single"/>
              </w:rPr>
            </w:pPr>
            <w:r>
              <w:rPr>
                <w:rFonts w:hint="eastAsia" w:ascii="宋体" w:hAnsi="宋体"/>
                <w:color w:val="auto"/>
                <w:highlight w:val="none"/>
                <w:u w:val="single"/>
              </w:rPr>
              <w:t>工程项目施工预计开工日期和建设周期</w:t>
            </w:r>
          </w:p>
        </w:tc>
        <w:tc>
          <w:tcPr>
            <w:tcW w:w="6224"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施工工期为业主下达开工令或开工报告审批之日起按施工进度要求控制。</w:t>
            </w:r>
          </w:p>
          <w:p>
            <w:pPr>
              <w:widowControl/>
              <w:spacing w:line="400" w:lineRule="exact"/>
              <w:jc w:val="left"/>
              <w:rPr>
                <w:rFonts w:ascii="宋体" w:hAnsi="宋体"/>
                <w:color w:val="auto"/>
                <w:highlight w:val="none"/>
              </w:rPr>
            </w:pPr>
            <w:r>
              <w:rPr>
                <w:rFonts w:hint="eastAsia" w:ascii="宋体" w:hAnsi="宋体"/>
                <w:color w:val="auto"/>
                <w:highlight w:val="none"/>
              </w:rPr>
              <w:t>建设周期：</w:t>
            </w:r>
            <w:r>
              <w:rPr>
                <w:rFonts w:hint="eastAsia" w:ascii="宋体" w:hAnsi="宋体"/>
                <w:color w:val="auto"/>
                <w:highlight w:val="none"/>
                <w:u w:val="single"/>
              </w:rPr>
              <w:t>暂定900个日历天。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1.1.8</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建筑安装工程费</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1.2.1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资金来源及比例</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u w:val="single"/>
              </w:rPr>
            </w:pPr>
            <w:r>
              <w:rPr>
                <w:rFonts w:hint="eastAsia" w:ascii="宋体"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1.2.2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资金落实情况</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1.3.1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招标范围</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1.3.2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u w:val="single"/>
              </w:rPr>
            </w:pPr>
            <w:r>
              <w:rPr>
                <w:rFonts w:hint="eastAsia" w:ascii="宋体" w:hAnsi="宋体"/>
                <w:color w:val="auto"/>
                <w:highlight w:val="none"/>
                <w:u w:val="single"/>
              </w:rPr>
              <w:t>监理服务期限</w:t>
            </w:r>
          </w:p>
        </w:tc>
        <w:tc>
          <w:tcPr>
            <w:tcW w:w="6224" w:type="dxa"/>
            <w:tcBorders>
              <w:top w:val="single" w:color="auto" w:sz="4" w:space="0"/>
              <w:left w:val="nil"/>
              <w:bottom w:val="single" w:color="auto" w:sz="4" w:space="0"/>
              <w:right w:val="single" w:color="auto" w:sz="4" w:space="0"/>
            </w:tcBorders>
            <w:vAlign w:val="center"/>
          </w:tcPr>
          <w:p>
            <w:pPr>
              <w:jc w:val="left"/>
              <w:rPr>
                <w:rFonts w:ascii="宋体" w:hAnsi="宋体" w:cs="宋体"/>
                <w:color w:val="auto"/>
                <w:highlight w:val="none"/>
              </w:rPr>
            </w:pPr>
            <w:r>
              <w:rPr>
                <w:rFonts w:hint="eastAsia" w:ascii="宋体"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1.3.3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质量标准</w:t>
            </w:r>
          </w:p>
        </w:tc>
        <w:tc>
          <w:tcPr>
            <w:tcW w:w="6224" w:type="dxa"/>
            <w:tcBorders>
              <w:top w:val="single" w:color="auto" w:sz="4" w:space="0"/>
              <w:left w:val="nil"/>
              <w:bottom w:val="single" w:color="auto" w:sz="4" w:space="0"/>
              <w:right w:val="single" w:color="auto" w:sz="4" w:space="0"/>
            </w:tcBorders>
            <w:vAlign w:val="center"/>
          </w:tcPr>
          <w:p>
            <w:pPr>
              <w:pStyle w:val="8"/>
              <w:rPr>
                <w:rFonts w:ascii="宋体" w:hAnsi="宋体"/>
                <w:color w:val="auto"/>
                <w:highlight w:val="none"/>
                <w:u w:val="single"/>
              </w:rPr>
            </w:pPr>
            <w:r>
              <w:rPr>
                <w:rFonts w:hint="eastAsia" w:ascii="宋体" w:hAnsi="宋体" w:cs="宋体"/>
                <w:color w:val="auto"/>
                <w:kern w:val="0"/>
                <w:sz w:val="21"/>
                <w:szCs w:val="21"/>
                <w:highlight w:val="none"/>
                <w:u w:val="single"/>
                <w:lang w:bidi="ar"/>
              </w:rPr>
              <w:t>符合设计图纸要求和国家、省、市相关法律法规规定要求及行业颁发的工程质量验收标准，一次验收合格。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1.4.1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投标人资质条件、能力、信誉</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（1）资质要求：</w:t>
            </w:r>
            <w:r>
              <w:rPr>
                <w:rFonts w:hint="eastAsia" w:ascii="宋体" w:hAnsi="宋体"/>
                <w:color w:val="auto"/>
                <w:highlight w:val="none"/>
                <w:u w:val="single"/>
              </w:rPr>
              <w:t>见招标公告投标人资格要求</w:t>
            </w:r>
            <w:r>
              <w:rPr>
                <w:rFonts w:hint="eastAsia" w:ascii="宋体" w:hAnsi="宋体"/>
                <w:color w:val="auto"/>
                <w:highlight w:val="none"/>
              </w:rPr>
              <w:t>。</w:t>
            </w:r>
          </w:p>
          <w:p>
            <w:pPr>
              <w:rPr>
                <w:rFonts w:ascii="宋体" w:hAnsi="宋体"/>
                <w:color w:val="auto"/>
                <w:highlight w:val="none"/>
              </w:rPr>
            </w:pPr>
            <w:r>
              <w:rPr>
                <w:rFonts w:hint="eastAsia" w:ascii="宋体" w:hAnsi="宋体"/>
                <w:color w:val="auto"/>
                <w:highlight w:val="none"/>
              </w:rPr>
              <w:t>（2）财务要求：不要求。</w:t>
            </w:r>
          </w:p>
          <w:p>
            <w:pPr>
              <w:rPr>
                <w:rFonts w:ascii="宋体" w:hAnsi="宋体"/>
                <w:color w:val="auto"/>
                <w:highlight w:val="none"/>
              </w:rPr>
            </w:pPr>
            <w:r>
              <w:rPr>
                <w:rFonts w:hint="eastAsia" w:ascii="宋体" w:hAnsi="宋体"/>
                <w:color w:val="auto"/>
                <w:highlight w:val="none"/>
              </w:rPr>
              <w:t>（3）业绩要求：</w:t>
            </w:r>
            <w:r>
              <w:rPr>
                <w:rFonts w:hint="eastAsia" w:ascii="宋体" w:hAnsi="宋体"/>
                <w:color w:val="auto"/>
                <w:highlight w:val="none"/>
                <w:u w:val="single"/>
              </w:rPr>
              <w:t>见招标公告投标人资格要求</w:t>
            </w:r>
            <w:r>
              <w:rPr>
                <w:rFonts w:hint="eastAsia" w:ascii="宋体" w:hAnsi="宋体"/>
                <w:color w:val="auto"/>
                <w:highlight w:val="none"/>
              </w:rPr>
              <w:t>。</w:t>
            </w:r>
          </w:p>
          <w:p>
            <w:pPr>
              <w:rPr>
                <w:rFonts w:ascii="宋体" w:hAnsi="宋体"/>
                <w:color w:val="auto"/>
                <w:highlight w:val="none"/>
              </w:rPr>
            </w:pPr>
            <w:r>
              <w:rPr>
                <w:rFonts w:hint="eastAsia" w:ascii="宋体" w:hAnsi="宋体"/>
                <w:color w:val="auto"/>
                <w:highlight w:val="none"/>
              </w:rPr>
              <w:t>（4）信誉要求：不要求。</w:t>
            </w:r>
          </w:p>
          <w:p>
            <w:pPr>
              <w:snapToGrid w:val="0"/>
              <w:spacing w:line="400" w:lineRule="exact"/>
              <w:ind w:right="106"/>
              <w:jc w:val="left"/>
              <w:rPr>
                <w:rFonts w:ascii="宋体" w:hAnsi="宋体"/>
                <w:color w:val="auto"/>
                <w:highlight w:val="none"/>
              </w:rPr>
            </w:pPr>
            <w:r>
              <w:rPr>
                <w:rFonts w:hint="eastAsia" w:ascii="宋体" w:hAnsi="宋体"/>
                <w:color w:val="auto"/>
                <w:highlight w:val="none"/>
              </w:rPr>
              <w:t>（5）总监理工程师的资格要求：</w:t>
            </w:r>
            <w:r>
              <w:rPr>
                <w:rFonts w:hint="eastAsia" w:ascii="宋体" w:hAnsi="宋体"/>
                <w:color w:val="auto"/>
                <w:highlight w:val="none"/>
                <w:u w:val="single"/>
              </w:rPr>
              <w:t>见招标公告投标人资格要求；</w:t>
            </w:r>
          </w:p>
          <w:p>
            <w:pPr>
              <w:rPr>
                <w:rFonts w:ascii="宋体" w:hAnsi="宋体"/>
                <w:color w:val="auto"/>
                <w:highlight w:val="none"/>
              </w:rPr>
            </w:pPr>
            <w:r>
              <w:rPr>
                <w:rFonts w:hint="eastAsia" w:ascii="宋体" w:hAnsi="宋体"/>
                <w:color w:val="auto"/>
                <w:highlight w:val="none"/>
              </w:rPr>
              <w:t>（6）其他主要人员要求：不要求。</w:t>
            </w:r>
          </w:p>
          <w:p>
            <w:pPr>
              <w:rPr>
                <w:rFonts w:ascii="宋体" w:hAnsi="宋体"/>
                <w:color w:val="auto"/>
                <w:highlight w:val="none"/>
              </w:rPr>
            </w:pPr>
            <w:r>
              <w:rPr>
                <w:rFonts w:hint="eastAsia" w:ascii="宋体" w:hAnsi="宋体"/>
                <w:color w:val="auto"/>
                <w:highlight w:val="none"/>
              </w:rPr>
              <w:t>（7）试验检测仪器设备要求：不要求。</w:t>
            </w:r>
          </w:p>
          <w:p>
            <w:pPr>
              <w:rPr>
                <w:rFonts w:ascii="宋体" w:hAnsi="宋体"/>
                <w:color w:val="auto"/>
                <w:highlight w:val="none"/>
              </w:rPr>
            </w:pPr>
            <w:r>
              <w:rPr>
                <w:rFonts w:hint="eastAsia" w:ascii="宋体" w:hAnsi="宋体"/>
                <w:color w:val="auto"/>
                <w:highlight w:val="none"/>
              </w:rPr>
              <w:t>（8）其他要求：</w:t>
            </w:r>
            <w:r>
              <w:rPr>
                <w:rFonts w:hint="eastAsia" w:ascii="宋体" w:hAnsi="宋体"/>
                <w:color w:val="auto"/>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1.4.2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是否接受联合体投标</w:t>
            </w:r>
          </w:p>
        </w:tc>
        <w:tc>
          <w:tcPr>
            <w:tcW w:w="6224" w:type="dxa"/>
            <w:tcBorders>
              <w:top w:val="single" w:color="auto" w:sz="4" w:space="0"/>
              <w:left w:val="nil"/>
              <w:bottom w:val="single" w:color="auto" w:sz="4" w:space="0"/>
              <w:right w:val="single" w:color="auto" w:sz="4" w:space="0"/>
            </w:tcBorders>
            <w:vAlign w:val="center"/>
          </w:tcPr>
          <w:p>
            <w:pPr>
              <w:snapToGrid w:val="0"/>
              <w:spacing w:line="400" w:lineRule="exact"/>
              <w:ind w:right="-238"/>
              <w:rPr>
                <w:rFonts w:ascii="宋体" w:hAnsi="宋体"/>
                <w:color w:val="auto"/>
                <w:highlight w:val="none"/>
              </w:rPr>
            </w:pPr>
            <w:r>
              <w:rPr>
                <w:rFonts w:hint="eastAsia" w:ascii="MS Mincho" w:hAnsi="MS Mincho" w:eastAsia="MS Mincho" w:cs="MS Mincho"/>
                <w:color w:val="auto"/>
                <w:highlight w:val="none"/>
              </w:rPr>
              <w:t>☑</w:t>
            </w:r>
            <w:r>
              <w:rPr>
                <w:rFonts w:hint="eastAsia" w:ascii="宋体" w:hAnsi="宋体"/>
                <w:color w:val="auto"/>
                <w:position w:val="3"/>
                <w:highlight w:val="none"/>
              </w:rPr>
              <w:t>不接受</w:t>
            </w:r>
          </w:p>
          <w:p>
            <w:pPr>
              <w:rPr>
                <w:rFonts w:ascii="Calibri" w:hAnsi="Calibri"/>
                <w:color w:val="auto"/>
                <w:highlight w:val="none"/>
              </w:rPr>
            </w:pPr>
            <w:r>
              <w:rPr>
                <w:rFonts w:hint="eastAsia" w:ascii="宋体" w:hAnsi="宋体"/>
                <w:color w:val="auto"/>
                <w:highlight w:val="none"/>
              </w:rPr>
              <w:t>□接受，应满足下列要求：</w:t>
            </w:r>
            <w:r>
              <w:rPr>
                <w:rFonts w:ascii="Calibri" w:hAnsi="宋体"/>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1.4.3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投标人不得存在的其他情形</w:t>
            </w:r>
          </w:p>
        </w:tc>
        <w:tc>
          <w:tcPr>
            <w:tcW w:w="6224" w:type="dxa"/>
            <w:tcBorders>
              <w:top w:val="single" w:color="auto" w:sz="4" w:space="0"/>
              <w:left w:val="nil"/>
              <w:bottom w:val="single" w:color="auto" w:sz="4" w:space="0"/>
              <w:right w:val="single" w:color="auto" w:sz="4" w:space="0"/>
            </w:tcBorders>
          </w:tcPr>
          <w:p>
            <w:pPr>
              <w:spacing w:line="320" w:lineRule="exact"/>
              <w:ind w:firstLine="420" w:firstLineChars="200"/>
              <w:rPr>
                <w:rFonts w:ascii="宋体" w:hAnsi="宋体"/>
                <w:color w:val="auto"/>
                <w:highlight w:val="none"/>
              </w:rPr>
            </w:pPr>
            <w:r>
              <w:rPr>
                <w:rFonts w:ascii="宋体" w:hAnsi="宋体"/>
                <w:color w:val="auto"/>
                <w:highlight w:val="none"/>
              </w:rPr>
              <w:t>1.4.3投标人不得存在下列情形之一：</w:t>
            </w:r>
          </w:p>
          <w:p>
            <w:pPr>
              <w:spacing w:line="320" w:lineRule="exact"/>
              <w:ind w:firstLine="420" w:firstLineChars="200"/>
              <w:rPr>
                <w:rFonts w:ascii="宋体" w:hAnsi="宋体"/>
                <w:color w:val="auto"/>
                <w:highlight w:val="none"/>
              </w:rPr>
            </w:pPr>
            <w:r>
              <w:rPr>
                <w:rFonts w:ascii="宋体" w:hAnsi="宋体"/>
                <w:color w:val="auto"/>
                <w:highlight w:val="none"/>
              </w:rPr>
              <w:t>（1）为招标人不具有独立法人资格的附属机构（单位）；</w:t>
            </w:r>
          </w:p>
          <w:p>
            <w:pPr>
              <w:spacing w:line="320" w:lineRule="exact"/>
              <w:ind w:firstLine="420" w:firstLineChars="200"/>
              <w:rPr>
                <w:rFonts w:ascii="宋体" w:hAnsi="宋体"/>
                <w:color w:val="auto"/>
                <w:highlight w:val="none"/>
              </w:rPr>
            </w:pPr>
            <w:r>
              <w:rPr>
                <w:rFonts w:ascii="宋体" w:hAnsi="宋体"/>
                <w:color w:val="auto"/>
                <w:highlight w:val="none"/>
              </w:rPr>
              <w:t>（2）与招标人存在利害关系且可能影响招标公正性；</w:t>
            </w:r>
          </w:p>
          <w:p>
            <w:pPr>
              <w:spacing w:line="320" w:lineRule="exact"/>
              <w:ind w:firstLine="420" w:firstLineChars="200"/>
              <w:rPr>
                <w:rFonts w:ascii="宋体" w:hAnsi="宋体"/>
                <w:color w:val="auto"/>
                <w:highlight w:val="none"/>
              </w:rPr>
            </w:pPr>
            <w:r>
              <w:rPr>
                <w:rFonts w:ascii="宋体" w:hAnsi="宋体"/>
                <w:color w:val="auto"/>
                <w:highlight w:val="none"/>
              </w:rPr>
              <w:t>（3）与本招标项目的其他投标人为同一个单位负责人；</w:t>
            </w:r>
          </w:p>
          <w:p>
            <w:pPr>
              <w:spacing w:line="320" w:lineRule="exact"/>
              <w:ind w:firstLine="420" w:firstLineChars="200"/>
              <w:rPr>
                <w:rFonts w:ascii="宋体" w:hAnsi="宋体"/>
                <w:color w:val="auto"/>
                <w:highlight w:val="none"/>
              </w:rPr>
            </w:pPr>
            <w:r>
              <w:rPr>
                <w:rFonts w:ascii="宋体" w:hAnsi="宋体"/>
                <w:color w:val="auto"/>
                <w:highlight w:val="none"/>
              </w:rPr>
              <w:t>（4）与本招标项目的其他投标人存在控股、管理关系；</w:t>
            </w:r>
          </w:p>
          <w:p>
            <w:pPr>
              <w:spacing w:line="320" w:lineRule="exact"/>
              <w:ind w:firstLine="420" w:firstLineChars="200"/>
              <w:rPr>
                <w:rFonts w:ascii="宋体" w:hAnsi="宋体"/>
                <w:color w:val="auto"/>
                <w:highlight w:val="none"/>
              </w:rPr>
            </w:pPr>
            <w:r>
              <w:rPr>
                <w:rFonts w:ascii="宋体" w:hAnsi="宋体"/>
                <w:color w:val="auto"/>
                <w:highlight w:val="none"/>
              </w:rPr>
              <w:t>（5）为本招标项目的代建人；</w:t>
            </w:r>
          </w:p>
          <w:p>
            <w:pPr>
              <w:spacing w:line="320" w:lineRule="exact"/>
              <w:ind w:firstLine="420" w:firstLineChars="200"/>
              <w:rPr>
                <w:rFonts w:ascii="宋体" w:hAnsi="宋体"/>
                <w:color w:val="auto"/>
                <w:highlight w:val="none"/>
              </w:rPr>
            </w:pPr>
            <w:r>
              <w:rPr>
                <w:rFonts w:ascii="宋体" w:hAnsi="宋体"/>
                <w:color w:val="auto"/>
                <w:highlight w:val="none"/>
              </w:rPr>
              <w:t>（6）为本招标项目的招标代理机构；</w:t>
            </w:r>
          </w:p>
          <w:p>
            <w:pPr>
              <w:spacing w:line="320" w:lineRule="exact"/>
              <w:ind w:firstLine="420" w:firstLineChars="200"/>
              <w:rPr>
                <w:rFonts w:ascii="宋体" w:hAnsi="宋体"/>
                <w:color w:val="auto"/>
                <w:highlight w:val="none"/>
              </w:rPr>
            </w:pPr>
            <w:r>
              <w:rPr>
                <w:rFonts w:ascii="宋体" w:hAnsi="宋体"/>
                <w:color w:val="auto"/>
                <w:highlight w:val="none"/>
              </w:rPr>
              <w:t>（7）与本招标项目的代建人或招标代理机构同为一个法定代表人；</w:t>
            </w:r>
          </w:p>
          <w:p>
            <w:pPr>
              <w:spacing w:line="320" w:lineRule="exact"/>
              <w:ind w:firstLine="420" w:firstLineChars="200"/>
              <w:rPr>
                <w:rFonts w:ascii="宋体" w:hAnsi="宋体"/>
                <w:color w:val="auto"/>
                <w:highlight w:val="none"/>
              </w:rPr>
            </w:pPr>
            <w:r>
              <w:rPr>
                <w:rFonts w:ascii="宋体" w:hAnsi="宋体"/>
                <w:color w:val="auto"/>
                <w:highlight w:val="none"/>
              </w:rPr>
              <w:t>（8）与本招标项目的代建人或招标代理机构存在控股或参股关系；</w:t>
            </w:r>
          </w:p>
          <w:p>
            <w:pPr>
              <w:spacing w:line="320" w:lineRule="exact"/>
              <w:ind w:firstLine="420" w:firstLineChars="200"/>
              <w:rPr>
                <w:rFonts w:ascii="宋体" w:hAnsi="宋体"/>
                <w:color w:val="auto"/>
                <w:highlight w:val="none"/>
              </w:rPr>
            </w:pPr>
            <w:r>
              <w:rPr>
                <w:rFonts w:ascii="宋体" w:hAnsi="宋体"/>
                <w:color w:val="auto"/>
                <w:highlight w:val="none"/>
              </w:rPr>
              <w:t>（9）</w:t>
            </w:r>
            <w:r>
              <w:rPr>
                <w:rFonts w:hint="eastAsia" w:ascii="宋体" w:hAnsi="宋体"/>
                <w:color w:val="auto"/>
                <w:highlight w:val="none"/>
              </w:rPr>
              <w:t>与</w:t>
            </w:r>
            <w:r>
              <w:rPr>
                <w:rFonts w:ascii="宋体" w:hAnsi="宋体"/>
                <w:color w:val="auto"/>
                <w:highlight w:val="none"/>
              </w:rPr>
              <w:t>本招标项目</w:t>
            </w:r>
            <w:r>
              <w:rPr>
                <w:rFonts w:hint="eastAsia" w:ascii="宋体" w:hAnsi="宋体"/>
                <w:color w:val="auto"/>
                <w:highlight w:val="none"/>
              </w:rPr>
              <w:t>的施工承包人以</w:t>
            </w:r>
            <w:r>
              <w:rPr>
                <w:rFonts w:ascii="宋体" w:hAnsi="宋体"/>
                <w:color w:val="auto"/>
                <w:highlight w:val="none"/>
              </w:rPr>
              <w:t>及建筑材料、建筑构配件和设备供应商有隶属关系或者其他利害关系；</w:t>
            </w:r>
          </w:p>
          <w:p>
            <w:pPr>
              <w:spacing w:line="320" w:lineRule="exact"/>
              <w:ind w:firstLine="420" w:firstLineChars="200"/>
              <w:rPr>
                <w:rFonts w:ascii="宋体" w:hAnsi="宋体"/>
                <w:color w:val="auto"/>
                <w:highlight w:val="none"/>
              </w:rPr>
            </w:pPr>
            <w:r>
              <w:rPr>
                <w:rFonts w:ascii="宋体" w:hAnsi="宋体"/>
                <w:color w:val="auto"/>
                <w:highlight w:val="none"/>
              </w:rPr>
              <w:t>（10）被依法暂停或者取消投标资格；</w:t>
            </w:r>
          </w:p>
          <w:p>
            <w:pPr>
              <w:spacing w:line="320" w:lineRule="exact"/>
              <w:ind w:firstLine="420" w:firstLineChars="200"/>
              <w:rPr>
                <w:rFonts w:ascii="宋体" w:hAnsi="宋体"/>
                <w:color w:val="auto"/>
                <w:highlight w:val="none"/>
              </w:rPr>
            </w:pPr>
            <w:r>
              <w:rPr>
                <w:rFonts w:ascii="宋体" w:hAnsi="宋体"/>
                <w:color w:val="auto"/>
                <w:highlight w:val="none"/>
              </w:rPr>
              <w:t>（11）被责令停产停业、暂扣或者吊销许可证、暂扣或者吊销执照；</w:t>
            </w:r>
          </w:p>
          <w:p>
            <w:pPr>
              <w:spacing w:line="320" w:lineRule="exact"/>
              <w:ind w:firstLine="420" w:firstLineChars="200"/>
              <w:rPr>
                <w:rFonts w:ascii="宋体" w:hAnsi="宋体"/>
                <w:color w:val="auto"/>
                <w:highlight w:val="none"/>
              </w:rPr>
            </w:pPr>
            <w:r>
              <w:rPr>
                <w:rFonts w:ascii="宋体" w:hAnsi="宋体"/>
                <w:color w:val="auto"/>
                <w:highlight w:val="none"/>
              </w:rPr>
              <w:t>（12）进入清算程序，或被宣告破产，或其他丧失履约能力的情形；</w:t>
            </w:r>
          </w:p>
          <w:p>
            <w:pPr>
              <w:spacing w:line="320" w:lineRule="exact"/>
              <w:ind w:firstLine="420" w:firstLineChars="200"/>
              <w:rPr>
                <w:rFonts w:ascii="宋体" w:hAnsi="宋体"/>
                <w:color w:val="auto"/>
                <w:highlight w:val="none"/>
              </w:rPr>
            </w:pPr>
            <w:r>
              <w:rPr>
                <w:rFonts w:ascii="宋体" w:hAnsi="宋体"/>
                <w:color w:val="auto"/>
                <w:highlight w:val="none"/>
              </w:rPr>
              <w:t>（13）在最近三年内发生重大监理质量问题（以相关行业主管部门的行政处罚决定或司法机关出具的有关法律文书为准）；</w:t>
            </w:r>
          </w:p>
          <w:p>
            <w:pPr>
              <w:spacing w:line="320" w:lineRule="exact"/>
              <w:ind w:firstLine="420" w:firstLineChars="200"/>
              <w:rPr>
                <w:color w:val="auto"/>
                <w:highlight w:val="none"/>
              </w:rPr>
            </w:pPr>
            <w:r>
              <w:rPr>
                <w:rFonts w:ascii="宋体" w:hAnsi="宋体"/>
                <w:color w:val="auto"/>
                <w:highlight w:val="none"/>
              </w:rPr>
              <w:t>（1</w:t>
            </w:r>
            <w:r>
              <w:rPr>
                <w:rFonts w:hint="eastAsia" w:ascii="宋体" w:hAnsi="宋体"/>
                <w:color w:val="auto"/>
                <w:highlight w:val="none"/>
              </w:rPr>
              <w:t>4</w:t>
            </w:r>
            <w:r>
              <w:rPr>
                <w:rFonts w:ascii="宋体" w:hAnsi="宋体"/>
                <w:color w:val="auto"/>
                <w:highlight w:val="none"/>
              </w:rPr>
              <w:t>）法律法规或投标人须知前附表规定的其他情形。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1.9.1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踏勘现场</w:t>
            </w:r>
          </w:p>
        </w:tc>
        <w:tc>
          <w:tcPr>
            <w:tcW w:w="6224" w:type="dxa"/>
            <w:tcBorders>
              <w:top w:val="single" w:color="auto" w:sz="4" w:space="0"/>
              <w:left w:val="nil"/>
              <w:bottom w:val="single" w:color="auto" w:sz="4" w:space="0"/>
              <w:right w:val="single" w:color="auto" w:sz="4" w:space="0"/>
            </w:tcBorders>
            <w:vAlign w:val="center"/>
          </w:tcPr>
          <w:p>
            <w:pPr>
              <w:ind w:right="174" w:rightChars="83"/>
              <w:rPr>
                <w:rFonts w:ascii="宋体" w:hAnsi="宋体"/>
                <w:color w:val="auto"/>
                <w:spacing w:val="-1"/>
                <w:highlight w:val="none"/>
              </w:rPr>
            </w:pPr>
            <w:r>
              <w:rPr>
                <w:rFonts w:hint="eastAsia" w:ascii="宋体" w:hAnsi="宋体"/>
                <w:color w:val="auto"/>
                <w:spacing w:val="-1"/>
                <w:highlight w:val="none"/>
              </w:rPr>
              <w:t>☑</w:t>
            </w:r>
            <w:r>
              <w:rPr>
                <w:rFonts w:ascii="宋体" w:hAnsi="宋体"/>
                <w:color w:val="auto"/>
                <w:spacing w:val="-1"/>
                <w:highlight w:val="none"/>
              </w:rPr>
              <w:t>不组织</w:t>
            </w:r>
            <w:r>
              <w:rPr>
                <w:rFonts w:hint="eastAsia" w:ascii="宋体" w:hAnsi="宋体"/>
                <w:color w:val="auto"/>
                <w:spacing w:val="-1"/>
                <w:highlight w:val="none"/>
              </w:rPr>
              <w:t>，由投标人自行现场考察。</w:t>
            </w:r>
          </w:p>
          <w:p>
            <w:pPr>
              <w:ind w:right="174" w:rightChars="83"/>
              <w:rPr>
                <w:rFonts w:ascii="宋体" w:hAnsi="宋体"/>
                <w:color w:val="auto"/>
                <w:spacing w:val="-1"/>
                <w:highlight w:val="none"/>
              </w:rPr>
            </w:pPr>
            <w:r>
              <w:rPr>
                <w:rFonts w:hint="eastAsia" w:ascii="宋体" w:hAnsi="宋体"/>
                <w:color w:val="auto"/>
                <w:spacing w:val="-1"/>
                <w:highlight w:val="none"/>
              </w:rPr>
              <w:t>补充说明如下：</w:t>
            </w:r>
          </w:p>
          <w:p>
            <w:pPr>
              <w:ind w:right="174" w:rightChars="83"/>
              <w:rPr>
                <w:rFonts w:ascii="宋体" w:hAnsi="宋体"/>
                <w:color w:val="auto"/>
                <w:spacing w:val="-1"/>
                <w:highlight w:val="none"/>
              </w:rPr>
            </w:pPr>
            <w:r>
              <w:rPr>
                <w:rFonts w:hint="eastAsia" w:ascii="宋体" w:hAnsi="宋体"/>
                <w:color w:val="auto"/>
                <w:spacing w:val="-1"/>
                <w:highlight w:val="non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ind w:right="174" w:rightChars="83"/>
              <w:rPr>
                <w:rFonts w:ascii="宋体" w:hAnsi="宋体"/>
                <w:color w:val="auto"/>
                <w:spacing w:val="-1"/>
                <w:highlight w:val="none"/>
              </w:rPr>
            </w:pPr>
            <w:r>
              <w:rPr>
                <w:rFonts w:hint="eastAsia" w:ascii="宋体" w:hAnsi="宋体"/>
                <w:color w:val="auto"/>
                <w:spacing w:val="-1"/>
                <w:highlight w:val="none"/>
              </w:rPr>
              <w:t>（</w:t>
            </w:r>
            <w:r>
              <w:rPr>
                <w:rFonts w:ascii="宋体" w:hAnsi="宋体"/>
                <w:color w:val="auto"/>
                <w:spacing w:val="-1"/>
                <w:highlight w:val="none"/>
              </w:rPr>
              <w:t>2</w:t>
            </w:r>
            <w:r>
              <w:rPr>
                <w:rFonts w:hint="eastAsia" w:ascii="宋体" w:hAnsi="宋体"/>
                <w:color w:val="auto"/>
                <w:spacing w:val="-1"/>
                <w:highlight w:val="none"/>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ind w:right="174" w:rightChars="83"/>
              <w:rPr>
                <w:rFonts w:ascii="宋体" w:hAnsi="宋体"/>
                <w:color w:val="auto"/>
                <w:spacing w:val="-1"/>
                <w:highlight w:val="none"/>
              </w:rPr>
            </w:pPr>
            <w:r>
              <w:rPr>
                <w:rFonts w:hint="eastAsia" w:ascii="宋体" w:hAnsi="宋体"/>
                <w:color w:val="auto"/>
                <w:spacing w:val="-1"/>
                <w:highlight w:val="none"/>
              </w:rPr>
              <w:t>（</w:t>
            </w:r>
            <w:r>
              <w:rPr>
                <w:rFonts w:ascii="宋体" w:hAnsi="宋体"/>
                <w:color w:val="auto"/>
                <w:spacing w:val="-1"/>
                <w:highlight w:val="none"/>
              </w:rPr>
              <w:t>3</w:t>
            </w:r>
            <w:r>
              <w:rPr>
                <w:rFonts w:hint="eastAsia" w:ascii="宋体" w:hAnsi="宋体"/>
                <w:color w:val="auto"/>
                <w:spacing w:val="-1"/>
                <w:highlight w:val="none"/>
              </w:rPr>
              <w:t>）在现场考察中由招标人提供的资料和数据，只是为了使投标人能够利用招标人现有的资料。招标人对投标人由此而作出的推论、解释和结论概不负责。</w:t>
            </w:r>
          </w:p>
          <w:p>
            <w:pPr>
              <w:ind w:right="174" w:rightChars="83"/>
              <w:rPr>
                <w:rFonts w:ascii="宋体" w:hAnsi="宋体"/>
                <w:color w:val="auto"/>
                <w:spacing w:val="-1"/>
                <w:highlight w:val="none"/>
              </w:rPr>
            </w:pPr>
            <w:r>
              <w:rPr>
                <w:rFonts w:ascii="宋体" w:hAnsi="宋体"/>
                <w:color w:val="auto"/>
                <w:spacing w:val="-1"/>
                <w:highlight w:val="none"/>
              </w:rPr>
              <w:t>□组织，踏勘时间：</w:t>
            </w:r>
            <w:r>
              <w:rPr>
                <w:rFonts w:hint="eastAsia" w:ascii="宋体" w:hAnsi="宋体"/>
                <w:color w:val="auto"/>
                <w:spacing w:val="-1"/>
                <w:highlight w:val="none"/>
              </w:rPr>
              <w:t>/</w:t>
            </w:r>
          </w:p>
          <w:p>
            <w:pPr>
              <w:ind w:right="174" w:rightChars="83"/>
              <w:rPr>
                <w:rFonts w:ascii="宋体" w:hAnsi="宋体"/>
                <w:color w:val="auto"/>
                <w:spacing w:val="-1"/>
                <w:highlight w:val="none"/>
              </w:rPr>
            </w:pPr>
            <w:r>
              <w:rPr>
                <w:rFonts w:ascii="宋体" w:hAnsi="宋体"/>
                <w:color w:val="auto"/>
                <w:spacing w:val="-1"/>
                <w:highlight w:val="none"/>
              </w:rPr>
              <w:t>踏勘集中地点：</w:t>
            </w:r>
            <w:r>
              <w:rPr>
                <w:rFonts w:hint="eastAsia" w:ascii="宋体" w:hAnsi="宋体"/>
                <w:color w:val="auto"/>
                <w:spacing w:val="-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1.10.1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投标预备会</w:t>
            </w:r>
          </w:p>
        </w:tc>
        <w:tc>
          <w:tcPr>
            <w:tcW w:w="6224" w:type="dxa"/>
            <w:tcBorders>
              <w:top w:val="single" w:color="auto" w:sz="4" w:space="0"/>
              <w:left w:val="nil"/>
              <w:bottom w:val="single" w:color="auto" w:sz="4" w:space="0"/>
              <w:right w:val="single" w:color="auto" w:sz="4" w:space="0"/>
            </w:tcBorders>
            <w:vAlign w:val="center"/>
          </w:tcPr>
          <w:p>
            <w:pPr>
              <w:ind w:right="174" w:rightChars="83"/>
              <w:rPr>
                <w:rFonts w:ascii="宋体" w:hAnsi="宋体"/>
                <w:color w:val="auto"/>
                <w:highlight w:val="none"/>
              </w:rPr>
            </w:pPr>
            <w:r>
              <w:rPr>
                <w:rFonts w:hint="eastAsia" w:ascii="宋体" w:hAnsi="宋体"/>
                <w:color w:val="auto"/>
                <w:highlight w:val="none"/>
              </w:rPr>
              <w:t>☑</w:t>
            </w:r>
            <w:r>
              <w:rPr>
                <w:rFonts w:ascii="宋体" w:hAnsi="宋体"/>
                <w:color w:val="auto"/>
                <w:spacing w:val="-1"/>
                <w:highlight w:val="none"/>
              </w:rPr>
              <w:t>不召开</w:t>
            </w:r>
          </w:p>
          <w:p>
            <w:pPr>
              <w:ind w:right="174" w:rightChars="83"/>
              <w:rPr>
                <w:rFonts w:ascii="宋体" w:hAnsi="宋体"/>
                <w:color w:val="auto"/>
                <w:highlight w:val="none"/>
              </w:rPr>
            </w:pPr>
            <w:r>
              <w:rPr>
                <w:rFonts w:ascii="宋体" w:hAnsi="宋体"/>
                <w:color w:val="auto"/>
                <w:highlight w:val="none"/>
              </w:rPr>
              <w:t>□</w:t>
            </w:r>
            <w:r>
              <w:rPr>
                <w:rFonts w:ascii="宋体" w:hAnsi="宋体"/>
                <w:color w:val="auto"/>
                <w:spacing w:val="-1"/>
                <w:highlight w:val="none"/>
              </w:rPr>
              <w:t>召开</w:t>
            </w:r>
            <w:r>
              <w:rPr>
                <w:rFonts w:ascii="宋体" w:hAnsi="宋体"/>
                <w:color w:val="auto"/>
                <w:highlight w:val="none"/>
              </w:rPr>
              <w:t>，召开时间：</w:t>
            </w:r>
            <w:r>
              <w:rPr>
                <w:rFonts w:hint="eastAsia" w:ascii="宋体" w:hAnsi="宋体"/>
                <w:color w:val="auto"/>
                <w:highlight w:val="none"/>
                <w:u w:val="single"/>
              </w:rPr>
              <w:t xml:space="preserve">   </w:t>
            </w:r>
          </w:p>
          <w:p>
            <w:pPr>
              <w:ind w:right="174" w:rightChars="83"/>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召开地点：</w:t>
            </w:r>
            <w:r>
              <w:rPr>
                <w:rFonts w:hint="eastAsia" w:ascii="宋体" w:hAnsi="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1.10.2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投标人在投标预备会前提出问题</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u w:val="single"/>
              </w:rPr>
              <w:t>本项目不召开投标预备会</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1.10.3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招标文件澄清发出的形式</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在广州交易集团有限公司（广州公共资源交易中心）网站“招标答疑”专区发布，一经在发布，视作已发放给所有投标人。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1.12.1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实质性要求和条件</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1.12.3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偏差</w:t>
            </w:r>
          </w:p>
        </w:tc>
        <w:tc>
          <w:tcPr>
            <w:tcW w:w="6224" w:type="dxa"/>
            <w:tcBorders>
              <w:top w:val="single" w:color="auto" w:sz="4" w:space="0"/>
              <w:left w:val="nil"/>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olor w:val="auto"/>
                <w:highlight w:val="none"/>
              </w:rPr>
              <w:t>☑</w:t>
            </w:r>
            <w:r>
              <w:rPr>
                <w:rFonts w:hint="eastAsia" w:ascii="宋体" w:hAnsi="宋体" w:cs="宋体"/>
                <w:color w:val="auto"/>
                <w:highlight w:val="none"/>
              </w:rPr>
              <w:t>不允许</w:t>
            </w:r>
          </w:p>
          <w:p>
            <w:pPr>
              <w:rPr>
                <w:rFonts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允许</w:t>
            </w:r>
            <w:r>
              <w:rPr>
                <w:rFonts w:hint="eastAsia" w:ascii="宋体" w:hAnsi="宋体" w:cs="宋体"/>
                <w:color w:val="auto"/>
                <w:highlight w:val="none"/>
              </w:rPr>
              <w:t>，偏差范围：</w:t>
            </w:r>
            <w:r>
              <w:rPr>
                <w:rFonts w:hint="eastAsia" w:ascii="宋体" w:hAnsi="宋体" w:cs="宋体"/>
                <w:color w:val="auto"/>
                <w:highlight w:val="none"/>
                <w:u w:val="single"/>
              </w:rPr>
              <w:t xml:space="preserve">       </w:t>
            </w:r>
            <w:r>
              <w:rPr>
                <w:rFonts w:hint="eastAsia" w:ascii="宋体" w:hAnsi="宋体" w:cs="宋体"/>
                <w:color w:val="auto"/>
                <w:highlight w:val="none"/>
              </w:rPr>
              <w:t>，偏差幅度：</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构成招标文件的其他资料</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87" w:type="dxa"/>
            <w:vMerge w:val="restart"/>
            <w:tcBorders>
              <w:top w:val="single" w:color="auto" w:sz="4" w:space="0"/>
              <w:left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2.2.1</w:t>
            </w:r>
          </w:p>
        </w:tc>
        <w:tc>
          <w:tcPr>
            <w:tcW w:w="2551" w:type="dxa"/>
            <w:vMerge w:val="restart"/>
            <w:tcBorders>
              <w:top w:val="single" w:color="auto" w:sz="4" w:space="0"/>
              <w:left w:val="nil"/>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投标人要求澄清招标文件</w:t>
            </w:r>
          </w:p>
        </w:tc>
        <w:tc>
          <w:tcPr>
            <w:tcW w:w="6224" w:type="dxa"/>
            <w:tcBorders>
              <w:top w:val="single" w:color="auto" w:sz="4" w:space="0"/>
              <w:left w:val="nil"/>
              <w:bottom w:val="single" w:color="auto" w:sz="4" w:space="0"/>
              <w:right w:val="single" w:color="auto" w:sz="4" w:space="0"/>
            </w:tcBorders>
            <w:vAlign w:val="center"/>
          </w:tcPr>
          <w:p>
            <w:pPr>
              <w:pStyle w:val="9"/>
              <w:topLinePunct/>
              <w:spacing w:line="400" w:lineRule="exact"/>
              <w:rPr>
                <w:rFonts w:ascii="Calibri" w:hAnsi="Calibri"/>
                <w:color w:val="auto"/>
                <w:highlight w:val="none"/>
              </w:rPr>
            </w:pPr>
            <w:r>
              <w:rPr>
                <w:rFonts w:hint="eastAsia" w:ascii="宋体" w:hAnsi="宋体"/>
                <w:color w:val="auto"/>
                <w:sz w:val="21"/>
                <w:szCs w:val="21"/>
                <w:highlight w:val="none"/>
              </w:rPr>
              <w:t>时间：</w:t>
            </w:r>
            <w:r>
              <w:rPr>
                <w:rFonts w:hint="eastAsia" w:ascii="宋体" w:hAnsi="宋体"/>
                <w:color w:val="auto"/>
                <w:sz w:val="21"/>
                <w:szCs w:val="21"/>
                <w:highlight w:val="none"/>
                <w:u w:val="single"/>
              </w:rPr>
              <w:t>在提交投标文件截止时间</w:t>
            </w:r>
            <w:r>
              <w:rPr>
                <w:rFonts w:hint="eastAsia" w:ascii="宋体" w:hAnsi="宋体"/>
                <w:color w:val="auto"/>
                <w:sz w:val="21"/>
                <w:szCs w:val="21"/>
                <w:highlight w:val="none"/>
                <w:u w:val="single"/>
                <w:lang w:val="en-US" w:eastAsia="zh-CN"/>
              </w:rPr>
              <w:t>18</w:t>
            </w:r>
            <w:r>
              <w:rPr>
                <w:rFonts w:hint="eastAsia" w:ascii="宋体" w:hAnsi="宋体"/>
                <w:color w:val="auto"/>
                <w:sz w:val="21"/>
                <w:szCs w:val="21"/>
                <w:highlight w:val="none"/>
                <w:u w:val="single"/>
              </w:rPr>
              <w:t>天前提出</w:t>
            </w:r>
            <w:r>
              <w:rPr>
                <w:rFonts w:hint="eastAsia"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87"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2551" w:type="dxa"/>
            <w:vMerge w:val="continue"/>
            <w:tcBorders>
              <w:left w:val="nil"/>
              <w:right w:val="single" w:color="auto" w:sz="4" w:space="0"/>
            </w:tcBorders>
            <w:vAlign w:val="center"/>
          </w:tcPr>
          <w:p>
            <w:pPr>
              <w:jc w:val="center"/>
              <w:rPr>
                <w:rFonts w:ascii="宋体" w:hAnsi="宋体"/>
                <w:color w:val="auto"/>
                <w:highlight w:val="none"/>
              </w:rPr>
            </w:pPr>
          </w:p>
        </w:tc>
        <w:tc>
          <w:tcPr>
            <w:tcW w:w="6224" w:type="dxa"/>
            <w:tcBorders>
              <w:top w:val="single" w:color="auto" w:sz="4" w:space="0"/>
              <w:left w:val="nil"/>
              <w:bottom w:val="single" w:color="auto" w:sz="4" w:space="0"/>
              <w:right w:val="single" w:color="auto" w:sz="4" w:space="0"/>
            </w:tcBorders>
            <w:vAlign w:val="center"/>
          </w:tcPr>
          <w:p>
            <w:pPr>
              <w:rPr>
                <w:rFonts w:ascii="宋体" w:hAnsi="宋体" w:eastAsia="Times New Roman"/>
                <w:color w:val="auto"/>
                <w:kern w:val="0"/>
                <w:highlight w:val="none"/>
                <w:u w:val="single"/>
              </w:rPr>
            </w:pPr>
            <w:r>
              <w:rPr>
                <w:rFonts w:hint="eastAsia" w:ascii="宋体" w:hAnsi="宋体"/>
                <w:color w:val="auto"/>
                <w:highlight w:val="none"/>
              </w:rPr>
              <w:t>形式：</w:t>
            </w:r>
            <w:r>
              <w:rPr>
                <w:rFonts w:hint="eastAsia" w:ascii="宋体" w:hAnsi="宋体"/>
                <w:color w:val="auto"/>
                <w:highlight w:val="none"/>
                <w:u w:val="single"/>
              </w:rPr>
              <w:t>1、招标答疑采用网上答疑方式进行。投标人若对招标文件（包括招标图纸、清单、合同、招标控制价(最高投标限价）)有疑问的，可在规定的时间内通过广州交易集团有限公司（广州公共资源交易中心）网站凭密码进入提问区域将问题提交给招标人或招标代理人，提交问题时一律不得署名。</w:t>
            </w:r>
          </w:p>
          <w:p>
            <w:pPr>
              <w:rPr>
                <w:rFonts w:ascii="宋体" w:hAnsi="宋体"/>
                <w:color w:val="auto"/>
                <w:highlight w:val="none"/>
                <w:u w:val="single"/>
              </w:rPr>
            </w:pPr>
            <w:r>
              <w:rPr>
                <w:rFonts w:hint="eastAsia" w:ascii="宋体" w:hAnsi="宋体"/>
                <w:color w:val="auto"/>
                <w:highlight w:val="none"/>
                <w:u w:val="single"/>
              </w:rPr>
              <w:t>网上答疑的操作指南为：登陆</w:t>
            </w:r>
            <w:r>
              <w:rPr>
                <w:rFonts w:hint="eastAsia" w:ascii="宋体" w:hAnsi="宋体" w:cs="宋体"/>
                <w:color w:val="auto"/>
                <w:highlight w:val="none"/>
                <w:u w:val="single"/>
              </w:rPr>
              <w:t>广州交易集团有限公司（广州公共资源交易中心）</w:t>
            </w:r>
            <w:r>
              <w:rPr>
                <w:rFonts w:hint="eastAsia" w:ascii="宋体" w:hAnsi="宋体"/>
                <w:color w:val="auto"/>
                <w:highlight w:val="none"/>
                <w:u w:val="single"/>
              </w:rPr>
              <w:t>网站→交易业务“建设工程”→选择右侧“网上答疑”→通过项目编号或名称找到所需的项目→在上述的答疑时间内点击“提问”→进入到提问区域→无记名或匿名提出问题以及查看所有的问题。</w:t>
            </w:r>
          </w:p>
          <w:p>
            <w:pPr>
              <w:rPr>
                <w:rFonts w:ascii="宋体" w:hAnsi="宋体"/>
                <w:color w:val="auto"/>
                <w:highlight w:val="none"/>
                <w:u w:val="single"/>
              </w:rPr>
            </w:pPr>
            <w:r>
              <w:rPr>
                <w:rFonts w:hint="eastAsia" w:ascii="宋体" w:hAnsi="宋体"/>
                <w:color w:val="auto"/>
                <w:highlight w:val="none"/>
                <w:u w:val="single"/>
              </w:rPr>
              <w:t>2、投标人应在投标截止时间18日前停止质疑。招标人应在投标截止时间15日前解答投标人对招标文件提出的疑问，形成答疑纪要，方可在</w:t>
            </w:r>
            <w:r>
              <w:rPr>
                <w:rFonts w:hint="eastAsia" w:ascii="宋体" w:hAnsi="宋体" w:cs="宋体"/>
                <w:color w:val="auto"/>
                <w:highlight w:val="none"/>
                <w:u w:val="single"/>
              </w:rPr>
              <w:t>广州交易集团有限公司（广州公共资源交易中心）</w:t>
            </w:r>
            <w:r>
              <w:rPr>
                <w:rFonts w:hint="eastAsia" w:ascii="宋体" w:hAnsi="宋体"/>
                <w:color w:val="auto"/>
                <w:highlight w:val="none"/>
                <w:u w:val="single"/>
              </w:rPr>
              <w:t>网站项目答疑专区发布。</w:t>
            </w:r>
          </w:p>
          <w:p>
            <w:pPr>
              <w:rPr>
                <w:rFonts w:ascii="宋体" w:hAnsi="宋体"/>
                <w:color w:val="auto"/>
                <w:highlight w:val="none"/>
                <w:u w:val="single"/>
              </w:rPr>
            </w:pPr>
            <w:r>
              <w:rPr>
                <w:rFonts w:hint="eastAsia" w:ascii="宋体" w:hAnsi="宋体"/>
                <w:color w:val="auto"/>
                <w:highlight w:val="none"/>
                <w:u w:val="single"/>
              </w:rPr>
              <w:t>3、招标答疑纪要一经在</w:t>
            </w:r>
            <w:r>
              <w:rPr>
                <w:rFonts w:hint="eastAsia" w:ascii="宋体" w:hAnsi="宋体" w:cs="宋体"/>
                <w:color w:val="auto"/>
                <w:highlight w:val="none"/>
                <w:u w:val="single"/>
              </w:rPr>
              <w:t>广州交易集团有限公司（广州公共资源交易中心）</w:t>
            </w:r>
            <w:r>
              <w:rPr>
                <w:rFonts w:hint="eastAsia" w:ascii="宋体" w:hAnsi="宋体"/>
                <w:color w:val="auto"/>
                <w:highlight w:val="none"/>
                <w:u w:val="single"/>
              </w:rPr>
              <w:t>网站发布，视作已发放给所有投标人。</w:t>
            </w:r>
          </w:p>
          <w:p>
            <w:pPr>
              <w:snapToGrid w:val="0"/>
              <w:spacing w:line="400" w:lineRule="exact"/>
              <w:rPr>
                <w:rFonts w:ascii="宋体" w:hAnsi="宋体"/>
                <w:color w:val="auto"/>
                <w:highlight w:val="none"/>
              </w:rPr>
            </w:pPr>
            <w:r>
              <w:rPr>
                <w:rFonts w:hint="eastAsia" w:ascii="宋体" w:hAnsi="宋体"/>
                <w:color w:val="auto"/>
                <w:kern w:val="0"/>
                <w:highlight w:val="none"/>
                <w:u w:val="single"/>
              </w:rPr>
              <w:t>4、招标答疑纪要为招标文件的一部分。投标人可在广州公资源交易中心网站浏览、下载招标答疑纪要。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2.2.2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招标文件澄清发出的形式</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Calibri" w:hAnsi="Calibri"/>
                <w:color w:val="auto"/>
                <w:highlight w:val="none"/>
              </w:rPr>
              <w:t>在递交投标文件截止时间</w:t>
            </w:r>
            <w:r>
              <w:rPr>
                <w:rFonts w:hint="eastAsia" w:ascii="宋体" w:hAnsi="宋体" w:cs="宋体"/>
                <w:color w:val="auto"/>
                <w:highlight w:val="none"/>
              </w:rPr>
              <w:t>15</w:t>
            </w:r>
            <w:r>
              <w:rPr>
                <w:rFonts w:hint="eastAsia" w:ascii="Calibri" w:hAnsi="Calibri"/>
                <w:color w:val="auto"/>
                <w:highlight w:val="none"/>
              </w:rPr>
              <w:t>天前，在广州交易集团有限公司（广州公共资源交易中心）网站通过答疑纪要专区网上公开发布。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7" w:type="dxa"/>
            <w:vMerge w:val="restart"/>
            <w:tcBorders>
              <w:top w:val="single" w:color="auto" w:sz="4" w:space="0"/>
              <w:left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2.2.3</w:t>
            </w:r>
          </w:p>
        </w:tc>
        <w:tc>
          <w:tcPr>
            <w:tcW w:w="2551" w:type="dxa"/>
            <w:vMerge w:val="restart"/>
            <w:tcBorders>
              <w:top w:val="single" w:color="auto" w:sz="4" w:space="0"/>
              <w:left w:val="nil"/>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投标人确认收到招标文件澄清</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时间：</w:t>
            </w:r>
            <w:r>
              <w:rPr>
                <w:rFonts w:hint="eastAsia" w:ascii="Calibri" w:hAnsi="Calibri"/>
                <w:color w:val="auto"/>
                <w:highlight w:val="none"/>
              </w:rPr>
              <w:t>发出即视作收到</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7" w:type="dxa"/>
            <w:vMerge w:val="continue"/>
            <w:tcBorders>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2551" w:type="dxa"/>
            <w:vMerge w:val="continue"/>
            <w:tcBorders>
              <w:left w:val="nil"/>
              <w:bottom w:val="single" w:color="auto" w:sz="4" w:space="0"/>
              <w:right w:val="single" w:color="auto" w:sz="4" w:space="0"/>
            </w:tcBorders>
            <w:vAlign w:val="center"/>
          </w:tcPr>
          <w:p>
            <w:pPr>
              <w:jc w:val="center"/>
              <w:rPr>
                <w:rFonts w:ascii="宋体" w:hAnsi="宋体"/>
                <w:color w:val="auto"/>
                <w:highlight w:val="none"/>
              </w:rPr>
            </w:pP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形式：</w:t>
            </w:r>
            <w:r>
              <w:rPr>
                <w:rFonts w:hint="eastAsia" w:ascii="Calibri" w:hAnsi="Calibri"/>
                <w:color w:val="auto"/>
                <w:highlight w:val="none"/>
                <w:u w:val="single"/>
              </w:rPr>
              <w:t>招标文件澄清（招标答疑纪要）一经在广州交易集团有限公司（广州公共资源交易中心）网站发布，视作已发放给所有投标人。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2.3.1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招标文件修改发出的形式</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本项目的招标文件澄清及答疑文件将在</w:t>
            </w:r>
            <w:r>
              <w:rPr>
                <w:rFonts w:hint="eastAsia" w:ascii="Calibri" w:hAnsi="Calibri"/>
                <w:color w:val="auto"/>
                <w:highlight w:val="none"/>
                <w:u w:val="single"/>
              </w:rPr>
              <w:t>广州交易集团有限公司（广州公共资源交易中心）</w:t>
            </w:r>
            <w:r>
              <w:rPr>
                <w:rFonts w:hint="eastAsia" w:ascii="宋体" w:hAnsi="宋体"/>
                <w:color w:val="auto"/>
                <w:highlight w:val="none"/>
              </w:rPr>
              <w:t>网上发布，投标人自行下载。从招标文件澄清及答疑文件发布之日起即视为投标人已确认收到。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7" w:type="dxa"/>
            <w:vMerge w:val="restart"/>
            <w:tcBorders>
              <w:top w:val="single" w:color="auto" w:sz="4" w:space="0"/>
              <w:left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2.3.2</w:t>
            </w:r>
          </w:p>
        </w:tc>
        <w:tc>
          <w:tcPr>
            <w:tcW w:w="2551" w:type="dxa"/>
            <w:vMerge w:val="restart"/>
            <w:tcBorders>
              <w:top w:val="single" w:color="auto" w:sz="4" w:space="0"/>
              <w:left w:val="nil"/>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投标人确认收到招标文件修改</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时间：</w:t>
            </w:r>
            <w:r>
              <w:rPr>
                <w:rFonts w:hint="eastAsia" w:ascii="Calibri" w:hAnsi="Calibri"/>
                <w:color w:val="auto"/>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7" w:type="dxa"/>
            <w:vMerge w:val="continue"/>
            <w:tcBorders>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2551" w:type="dxa"/>
            <w:vMerge w:val="continue"/>
            <w:tcBorders>
              <w:left w:val="nil"/>
              <w:bottom w:val="single" w:color="auto" w:sz="4" w:space="0"/>
              <w:right w:val="single" w:color="auto" w:sz="4" w:space="0"/>
            </w:tcBorders>
            <w:vAlign w:val="center"/>
          </w:tcPr>
          <w:p>
            <w:pPr>
              <w:jc w:val="center"/>
              <w:rPr>
                <w:rFonts w:ascii="宋体" w:hAnsi="宋体"/>
                <w:color w:val="auto"/>
                <w:highlight w:val="none"/>
              </w:rPr>
            </w:pP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形式</w:t>
            </w:r>
            <w:r>
              <w:rPr>
                <w:rFonts w:hint="eastAsia" w:ascii="Calibri" w:hAnsi="Calibri"/>
                <w:color w:val="auto"/>
                <w:highlight w:val="none"/>
              </w:rPr>
              <w:t>：</w:t>
            </w:r>
            <w:r>
              <w:rPr>
                <w:rFonts w:hint="eastAsia" w:ascii="宋体" w:hAnsi="宋体"/>
                <w:color w:val="auto"/>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3.1.1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构成投标文件的其他资料</w:t>
            </w:r>
          </w:p>
        </w:tc>
        <w:tc>
          <w:tcPr>
            <w:tcW w:w="6224" w:type="dxa"/>
            <w:tcBorders>
              <w:top w:val="single" w:color="auto" w:sz="4" w:space="0"/>
              <w:left w:val="nil"/>
              <w:bottom w:val="single" w:color="auto" w:sz="4" w:space="0"/>
              <w:right w:val="single" w:color="auto" w:sz="4" w:space="0"/>
            </w:tcBorders>
            <w:vAlign w:val="center"/>
          </w:tcPr>
          <w:p>
            <w:pPr>
              <w:spacing w:line="440" w:lineRule="exact"/>
              <w:rPr>
                <w:rFonts w:ascii="宋体" w:hAnsi="宋体"/>
                <w:color w:val="auto"/>
                <w:highlight w:val="none"/>
              </w:rPr>
            </w:pPr>
            <w:r>
              <w:rPr>
                <w:rFonts w:hint="eastAsia" w:ascii="宋体" w:hAnsi="宋体"/>
                <w:color w:val="auto"/>
                <w:highlight w:val="none"/>
              </w:rPr>
              <w:t>（1）按本招标文件规定，需提交的其它所有资料；</w:t>
            </w:r>
          </w:p>
          <w:p>
            <w:pPr>
              <w:spacing w:line="440" w:lineRule="exact"/>
              <w:rPr>
                <w:rFonts w:ascii="宋体" w:hAnsi="宋体"/>
                <w:color w:val="auto"/>
                <w:highlight w:val="none"/>
              </w:rPr>
            </w:pPr>
            <w:r>
              <w:rPr>
                <w:rFonts w:hint="eastAsia" w:ascii="宋体" w:hAnsi="宋体"/>
                <w:color w:val="auto"/>
                <w:highlight w:val="none"/>
              </w:rPr>
              <w:t>（2）投标人认为需要提交的其他资料。</w:t>
            </w:r>
          </w:p>
          <w:p>
            <w:pPr>
              <w:spacing w:line="440" w:lineRule="exact"/>
              <w:rPr>
                <w:rFonts w:ascii="宋体" w:hAnsi="宋体"/>
                <w:color w:val="auto"/>
                <w:highlight w:val="none"/>
              </w:rPr>
            </w:pPr>
            <w:r>
              <w:rPr>
                <w:rFonts w:hint="eastAsia" w:ascii="宋体" w:hAnsi="宋体"/>
                <w:color w:val="auto"/>
                <w:highlight w:val="none"/>
              </w:rPr>
              <w:t>具体内容要求按投标文件格式填写，并按要求用单位数字证书加盖电子印章。</w:t>
            </w:r>
          </w:p>
          <w:p>
            <w:pPr>
              <w:rPr>
                <w:rFonts w:ascii="宋体" w:hAnsi="宋体"/>
                <w:color w:val="auto"/>
                <w:highlight w:val="none"/>
              </w:rPr>
            </w:pPr>
            <w:r>
              <w:rPr>
                <w:rFonts w:hint="eastAsia" w:ascii="宋体" w:hAnsi="宋体"/>
                <w:color w:val="auto"/>
                <w:highlight w:val="none"/>
              </w:rPr>
              <w:t>投标人按照招标文件提供的投标文件格式的要求如实填写（表格可以按同样格式扩展、缩小，内容项目不能变化）。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3.2.1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增值税税金的计算方法</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u w:val="single"/>
              </w:rPr>
              <w:t>按国家税务机关的规定执行。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3.2.3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报价方式</w:t>
            </w:r>
          </w:p>
        </w:tc>
        <w:tc>
          <w:tcPr>
            <w:tcW w:w="6224" w:type="dxa"/>
            <w:tcBorders>
              <w:top w:val="single" w:color="auto" w:sz="4" w:space="0"/>
              <w:left w:val="nil"/>
              <w:bottom w:val="single" w:color="auto" w:sz="4" w:space="0"/>
              <w:right w:val="single" w:color="auto" w:sz="4" w:space="0"/>
            </w:tcBorders>
            <w:vAlign w:val="center"/>
          </w:tcPr>
          <w:p>
            <w:pPr>
              <w:rPr>
                <w:rFonts w:hint="eastAsia" w:ascii="宋体" w:hAnsi="宋体"/>
                <w:color w:val="auto"/>
                <w:highlight w:val="none"/>
                <w:u w:val="none"/>
              </w:rPr>
            </w:pPr>
            <w:r>
              <w:rPr>
                <w:rFonts w:hint="eastAsia" w:ascii="宋体" w:hAnsi="宋体"/>
                <w:color w:val="auto"/>
                <w:highlight w:val="none"/>
                <w:u w:val="none"/>
              </w:rPr>
              <w:t>报价方式</w:t>
            </w:r>
            <w:r>
              <w:rPr>
                <w:rFonts w:hint="eastAsia" w:ascii="宋体" w:hAnsi="宋体"/>
                <w:color w:val="auto"/>
                <w:highlight w:val="none"/>
                <w:u w:val="none"/>
                <w:lang w:eastAsia="zh-CN"/>
              </w:rPr>
              <w:t>：</w:t>
            </w:r>
            <w:r>
              <w:rPr>
                <w:rFonts w:hint="eastAsia" w:ascii="宋体" w:hAnsi="宋体"/>
                <w:color w:val="auto"/>
                <w:highlight w:val="none"/>
                <w:u w:val="none"/>
              </w:rPr>
              <w:t>按招标清单报单价和总价，总价作为评标参考价，最多保留小数点后两位，小数点后第三位“四舍五入”。</w:t>
            </w:r>
          </w:p>
          <w:p>
            <w:pPr>
              <w:rPr>
                <w:rFonts w:hint="default" w:ascii="宋体" w:hAnsi="宋体" w:eastAsia="宋体"/>
                <w:color w:val="auto"/>
                <w:highlight w:val="none"/>
                <w:u w:val="none"/>
                <w:lang w:val="en-US" w:eastAsia="zh-CN"/>
              </w:rPr>
            </w:pPr>
            <w:r>
              <w:rPr>
                <w:rFonts w:hint="eastAsia" w:ascii="宋体" w:hAnsi="宋体"/>
                <w:color w:val="auto"/>
                <w:highlight w:val="none"/>
                <w:u w:val="none"/>
                <w:lang w:val="en-US" w:eastAsia="zh-CN"/>
              </w:rPr>
              <w:t>注:</w:t>
            </w:r>
          </w:p>
          <w:p>
            <w:pPr>
              <w:rPr>
                <w:rFonts w:hint="eastAsia" w:ascii="宋体" w:hAnsi="宋体"/>
                <w:color w:val="auto"/>
                <w:highlight w:val="none"/>
                <w:u w:val="none"/>
              </w:rPr>
            </w:pPr>
            <w:r>
              <w:rPr>
                <w:rFonts w:hint="eastAsia" w:ascii="宋体" w:hAnsi="宋体"/>
                <w:color w:val="auto"/>
                <w:highlight w:val="none"/>
                <w:u w:val="none"/>
              </w:rPr>
              <w:t>1)监理服务费按工规证建筑面积综合单价包干。</w:t>
            </w:r>
          </w:p>
          <w:p>
            <w:pPr>
              <w:rPr>
                <w:rFonts w:hint="eastAsia" w:ascii="宋体" w:hAnsi="宋体"/>
                <w:color w:val="auto"/>
                <w:highlight w:val="none"/>
                <w:u w:val="none"/>
              </w:rPr>
            </w:pPr>
            <w:r>
              <w:rPr>
                <w:rFonts w:hint="eastAsia" w:ascii="宋体" w:hAnsi="宋体"/>
                <w:color w:val="auto"/>
                <w:highlight w:val="none"/>
                <w:u w:val="none"/>
              </w:rPr>
              <w:t>2)监理服务费包括监理人为完成本合同项下全部服务内容所需的酬金，包括但不限于所投入的全部人工成本(含所有后台编制人员及对数所必要之人员)、加班费、设备及耗材费、服务过程中发生的交通费、住宿费、通讯费、技术文件资料费、企业管理费、利润、规费、税金和一定风险费用等。</w:t>
            </w:r>
          </w:p>
          <w:p>
            <w:pPr>
              <w:rPr>
                <w:rFonts w:hint="eastAsia" w:ascii="宋体" w:hAnsi="宋体"/>
                <w:color w:val="auto"/>
                <w:highlight w:val="none"/>
                <w:u w:val="none"/>
              </w:rPr>
            </w:pPr>
            <w:r>
              <w:rPr>
                <w:rFonts w:hint="eastAsia" w:ascii="宋体" w:hAnsi="宋体"/>
                <w:color w:val="auto"/>
                <w:highlight w:val="none"/>
                <w:u w:val="none"/>
              </w:rPr>
              <w:t>3)投标人所报单价和总价应综合考虑为本项目基坑基础工程，主体建筑安装工程、公区及一定面积的室内装修工程、室外工程等全部施工内容提供监理服务。</w:t>
            </w:r>
          </w:p>
          <w:p>
            <w:pPr>
              <w:rPr>
                <w:rFonts w:ascii="Calibri" w:hAnsi="Calibri"/>
                <w:color w:val="auto"/>
                <w:highlight w:val="none"/>
              </w:rPr>
            </w:pPr>
            <w:r>
              <w:rPr>
                <w:rFonts w:hint="eastAsia" w:ascii="宋体" w:hAnsi="宋体"/>
                <w:color w:val="auto"/>
                <w:highlight w:val="none"/>
                <w:u w:val="none"/>
              </w:rPr>
              <w:t>4)成本警戒价按最高投标限价的80%设置，成本警戒价为</w:t>
            </w:r>
            <w:r>
              <w:rPr>
                <w:rFonts w:hint="eastAsia" w:ascii="宋体" w:hAnsi="宋体"/>
                <w:color w:val="auto"/>
                <w:highlight w:val="none"/>
                <w:u w:val="single"/>
              </w:rPr>
              <w:t>244.18</w:t>
            </w:r>
            <w:r>
              <w:rPr>
                <w:rFonts w:hint="eastAsia" w:ascii="宋体" w:hAnsi="宋体"/>
                <w:color w:val="auto"/>
                <w:highlight w:val="none"/>
                <w:u w:val="none"/>
              </w:rPr>
              <w:t>万元。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3.2.4</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最高投标限价</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ascii="宋体" w:hAnsi="宋体"/>
                <w:color w:val="auto"/>
                <w:highlight w:val="none"/>
              </w:rPr>
              <w:t>□无</w:t>
            </w:r>
          </w:p>
          <w:p>
            <w:pPr>
              <w:rPr>
                <w:rFonts w:hint="eastAsia" w:ascii="宋体" w:hAnsi="宋体"/>
                <w:color w:val="auto"/>
                <w:highlight w:val="none"/>
                <w:u w:val="none"/>
              </w:rPr>
            </w:pPr>
            <w:r>
              <w:rPr>
                <w:rFonts w:hint="eastAsia"/>
                <w:color w:val="auto"/>
                <w:highlight w:val="none"/>
              </w:rPr>
              <w:t>■</w:t>
            </w:r>
            <w:r>
              <w:rPr>
                <w:rFonts w:ascii="宋体" w:hAnsi="宋体"/>
                <w:color w:val="auto"/>
                <w:highlight w:val="none"/>
              </w:rPr>
              <w:t>有，最高投标限价：</w:t>
            </w:r>
            <w:r>
              <w:rPr>
                <w:rFonts w:hint="eastAsia" w:ascii="宋体" w:hAnsi="宋体"/>
                <w:color w:val="auto"/>
                <w:highlight w:val="none"/>
                <w:u w:val="single"/>
              </w:rPr>
              <w:t>305.225</w:t>
            </w:r>
            <w:r>
              <w:rPr>
                <w:rFonts w:ascii="宋体" w:hAnsi="宋体"/>
                <w:color w:val="auto"/>
                <w:highlight w:val="none"/>
                <w:u w:val="single"/>
              </w:rPr>
              <w:t xml:space="preserve"> </w:t>
            </w:r>
            <w:r>
              <w:rPr>
                <w:rFonts w:hint="eastAsia" w:ascii="宋体" w:hAnsi="宋体"/>
                <w:color w:val="auto"/>
                <w:highlight w:val="none"/>
              </w:rPr>
              <w:t>万元。</w:t>
            </w:r>
            <w:r>
              <w:rPr>
                <w:rFonts w:hint="eastAsia" w:ascii="宋体" w:hAnsi="宋体"/>
                <w:color w:val="auto"/>
                <w:highlight w:val="none"/>
                <w:u w:val="none"/>
              </w:rPr>
              <w:t>包含施工阶段全过程监理费、报告编制费、管理费、利润、规费、税费及风险费等所有为完成本合同服务所需要发生的费用。</w:t>
            </w:r>
          </w:p>
          <w:p>
            <w:pPr>
              <w:rPr>
                <w:rFonts w:hint="eastAsia" w:ascii="宋体" w:hAnsi="宋体"/>
                <w:color w:val="auto"/>
                <w:highlight w:val="none"/>
                <w:u w:val="none"/>
              </w:rPr>
            </w:pPr>
            <w:r>
              <w:rPr>
                <w:rFonts w:hint="eastAsia" w:ascii="宋体" w:hAnsi="宋体"/>
                <w:color w:val="auto"/>
                <w:highlight w:val="none"/>
                <w:u w:val="none"/>
              </w:rPr>
              <w:t>其中：</w:t>
            </w:r>
          </w:p>
          <w:p>
            <w:pPr>
              <w:rPr>
                <w:rFonts w:hint="eastAsia" w:ascii="宋体" w:hAnsi="宋体"/>
                <w:color w:val="auto"/>
                <w:highlight w:val="none"/>
                <w:u w:val="none"/>
              </w:rPr>
            </w:pPr>
            <w:r>
              <w:rPr>
                <w:rFonts w:hint="eastAsia" w:ascii="宋体" w:hAnsi="宋体"/>
                <w:color w:val="auto"/>
                <w:highlight w:val="none"/>
                <w:u w:val="none"/>
              </w:rPr>
              <w:t>（1）最高投标限价为人民币305.225万元。</w:t>
            </w:r>
          </w:p>
          <w:p>
            <w:pPr>
              <w:rPr>
                <w:rFonts w:hint="eastAsia" w:ascii="宋体" w:hAnsi="宋体"/>
                <w:color w:val="auto"/>
                <w:highlight w:val="none"/>
                <w:u w:val="none"/>
              </w:rPr>
            </w:pPr>
            <w:r>
              <w:rPr>
                <w:rFonts w:hint="eastAsia" w:ascii="宋体" w:hAnsi="宋体"/>
                <w:color w:val="auto"/>
                <w:highlight w:val="none"/>
                <w:u w:val="none"/>
              </w:rPr>
              <w:t>（2）综合单价限价为人民币93.39元/平方米。</w:t>
            </w:r>
          </w:p>
          <w:p>
            <w:pPr>
              <w:rPr>
                <w:rFonts w:ascii="宋体" w:hAnsi="宋体"/>
                <w:color w:val="auto"/>
                <w:highlight w:val="none"/>
              </w:rPr>
            </w:pPr>
            <w:r>
              <w:rPr>
                <w:rFonts w:hint="eastAsia" w:ascii="宋体" w:hAnsi="宋体"/>
                <w:color w:val="auto"/>
                <w:highlight w:val="none"/>
                <w:u w:val="none"/>
              </w:rPr>
              <w:t>投标人未按要求报价或投标报价（含投标总报价、综合单价）超过上述相应最高投标限价的为无效标。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3.2.5</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投标报价的其他要求</w:t>
            </w:r>
          </w:p>
        </w:tc>
        <w:tc>
          <w:tcPr>
            <w:tcW w:w="6224" w:type="dxa"/>
            <w:tcBorders>
              <w:top w:val="single" w:color="auto" w:sz="4" w:space="0"/>
              <w:left w:val="nil"/>
              <w:bottom w:val="single" w:color="auto" w:sz="4" w:space="0"/>
              <w:right w:val="single" w:color="auto" w:sz="4" w:space="0"/>
            </w:tcBorders>
            <w:vAlign w:val="center"/>
          </w:tcPr>
          <w:p>
            <w:pPr>
              <w:numPr>
                <w:ilvl w:val="0"/>
                <w:numId w:val="1"/>
              </w:numPr>
              <w:rPr>
                <w:rFonts w:ascii="宋体" w:hAnsi="宋体"/>
                <w:color w:val="auto"/>
                <w:highlight w:val="none"/>
              </w:rPr>
            </w:pPr>
            <w:r>
              <w:rPr>
                <w:rFonts w:hint="eastAsia" w:ascii="宋体" w:hAnsi="宋体"/>
                <w:color w:val="auto"/>
                <w:highlight w:val="none"/>
              </w:rPr>
              <w:t>投标人必须详细审阅全部招标文件及有关资料,充分考虑职责和义务,全面地理解招标文件对投标报价的要求,并按招标人提出的条件及内容进行报价。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3.3.1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投标有效期</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u w:val="single"/>
                <w:lang w:val="en-US" w:eastAsia="zh-CN"/>
              </w:rPr>
              <w:t>120</w:t>
            </w:r>
            <w:r>
              <w:rPr>
                <w:rFonts w:hint="eastAsia" w:ascii="宋体" w:hAnsi="宋体"/>
                <w:color w:val="auto"/>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3.4.1</w:t>
            </w:r>
          </w:p>
        </w:tc>
        <w:tc>
          <w:tcPr>
            <w:tcW w:w="2551" w:type="dxa"/>
            <w:tcBorders>
              <w:top w:val="single" w:color="auto" w:sz="4" w:space="0"/>
              <w:left w:val="nil"/>
              <w:bottom w:val="single" w:color="auto" w:sz="4" w:space="0"/>
              <w:right w:val="single" w:color="auto" w:sz="4" w:space="0"/>
            </w:tcBorders>
            <w:vAlign w:val="center"/>
          </w:tcPr>
          <w:p>
            <w:pPr>
              <w:pStyle w:val="61"/>
              <w:spacing w:line="360" w:lineRule="auto"/>
              <w:rPr>
                <w:color w:val="auto"/>
                <w:highlight w:val="none"/>
              </w:rPr>
            </w:pPr>
            <w:r>
              <w:rPr>
                <w:rFonts w:hint="eastAsia"/>
                <w:color w:val="auto"/>
                <w:highlight w:val="none"/>
              </w:rPr>
              <w:t>投标保证金</w:t>
            </w:r>
          </w:p>
        </w:tc>
        <w:tc>
          <w:tcPr>
            <w:tcW w:w="6224" w:type="dxa"/>
            <w:tcBorders>
              <w:top w:val="single" w:color="auto" w:sz="4" w:space="0"/>
              <w:left w:val="nil"/>
              <w:bottom w:val="single" w:color="auto" w:sz="4" w:space="0"/>
              <w:right w:val="single" w:color="auto" w:sz="4" w:space="0"/>
            </w:tcBorders>
            <w:vAlign w:val="center"/>
          </w:tcPr>
          <w:p>
            <w:pPr>
              <w:pStyle w:val="61"/>
              <w:spacing w:line="360" w:lineRule="auto"/>
              <w:rPr>
                <w:color w:val="auto"/>
                <w:highlight w:val="none"/>
              </w:rPr>
            </w:pPr>
            <w:r>
              <w:rPr>
                <w:rFonts w:hint="eastAsia"/>
                <w:color w:val="auto"/>
                <w:highlight w:val="none"/>
              </w:rPr>
              <w:t>是否要求投标人递交投标保证金：</w:t>
            </w:r>
          </w:p>
          <w:p>
            <w:pPr>
              <w:pStyle w:val="61"/>
              <w:spacing w:line="360" w:lineRule="auto"/>
              <w:rPr>
                <w:color w:val="auto"/>
                <w:highlight w:val="none"/>
              </w:rPr>
            </w:pPr>
            <w:r>
              <w:rPr>
                <w:rFonts w:hint="eastAsia"/>
                <w:color w:val="auto"/>
                <w:highlight w:val="none"/>
              </w:rPr>
              <w:t>□不要求</w:t>
            </w:r>
          </w:p>
          <w:p>
            <w:pPr>
              <w:pStyle w:val="61"/>
              <w:spacing w:line="360" w:lineRule="auto"/>
              <w:rPr>
                <w:color w:val="auto"/>
                <w:highlight w:val="none"/>
              </w:rPr>
            </w:pPr>
            <w:r>
              <w:rPr>
                <w:rFonts w:hint="eastAsia"/>
                <w:color w:val="auto"/>
                <w:highlight w:val="none"/>
              </w:rPr>
              <w:t>■要求，投标保证金可采用现金或者支票、银行保函、保证保险等形式，须在递交投标文件截止时间前完成缴纳。</w:t>
            </w:r>
          </w:p>
          <w:p>
            <w:pPr>
              <w:pStyle w:val="61"/>
              <w:spacing w:line="360" w:lineRule="auto"/>
              <w:rPr>
                <w:color w:val="auto"/>
                <w:highlight w:val="none"/>
              </w:rPr>
            </w:pPr>
            <w:r>
              <w:rPr>
                <w:rFonts w:hint="eastAsia"/>
                <w:color w:val="auto"/>
                <w:highlight w:val="none"/>
              </w:rPr>
              <w:t>投标保证金的金额：人民币</w:t>
            </w:r>
            <w:r>
              <w:rPr>
                <w:rFonts w:hint="eastAsia"/>
                <w:color w:val="auto"/>
                <w:highlight w:val="none"/>
                <w:lang w:val="en-US" w:eastAsia="zh-CN"/>
              </w:rPr>
              <w:t>5</w:t>
            </w:r>
            <w:r>
              <w:rPr>
                <w:rFonts w:hint="eastAsia"/>
                <w:color w:val="auto"/>
                <w:highlight w:val="none"/>
              </w:rPr>
              <w:t>万元。</w:t>
            </w:r>
          </w:p>
          <w:p>
            <w:pPr>
              <w:pStyle w:val="61"/>
              <w:spacing w:line="360" w:lineRule="auto"/>
              <w:rPr>
                <w:color w:val="auto"/>
                <w:highlight w:val="none"/>
              </w:rPr>
            </w:pPr>
            <w:r>
              <w:rPr>
                <w:rFonts w:hint="eastAsia"/>
                <w:color w:val="auto"/>
                <w:highlight w:val="none"/>
              </w:rPr>
              <w:t>投标保证金有效期：与投标有效期一致。</w:t>
            </w:r>
          </w:p>
          <w:p>
            <w:pPr>
              <w:pStyle w:val="61"/>
              <w:spacing w:line="360" w:lineRule="auto"/>
              <w:rPr>
                <w:color w:val="auto"/>
                <w:highlight w:val="none"/>
              </w:rPr>
            </w:pPr>
            <w:r>
              <w:rPr>
                <w:rFonts w:hint="eastAsia"/>
                <w:color w:val="auto"/>
                <w:highlight w:val="none"/>
              </w:rPr>
              <w:t>1、如采用现金或者支票形式提交的，投标保证金从投标人基本账户递交，由广州交易集团有限公司代收。具体操作要求详见广州交易集团有限公司（广州公共资源交易中心）有关指引，递交事宜请自行咨询交易中心；请各投标人在投标文件递交截止时间前按上述金额递交至广州交易集团有限公司，到账情况以开标时广州交易集团有限公司（广州公共资源交易中心）数据库查询的信息为准。</w:t>
            </w:r>
          </w:p>
          <w:p>
            <w:pPr>
              <w:pStyle w:val="61"/>
              <w:spacing w:line="360" w:lineRule="auto"/>
              <w:rPr>
                <w:color w:val="auto"/>
                <w:highlight w:val="none"/>
              </w:rPr>
            </w:pPr>
            <w:r>
              <w:rPr>
                <w:rFonts w:hint="eastAsia"/>
                <w:color w:val="auto"/>
                <w:highlight w:val="none"/>
              </w:rPr>
              <w:t>收款单位：广州交易集团有限公司，开户银行：中国建设银行广州天润路支行，银行账号：44001583404059333333；</w:t>
            </w:r>
          </w:p>
          <w:p>
            <w:pPr>
              <w:pStyle w:val="61"/>
              <w:spacing w:line="360" w:lineRule="auto"/>
              <w:rPr>
                <w:color w:val="auto"/>
                <w:highlight w:val="none"/>
              </w:rPr>
            </w:pPr>
            <w:r>
              <w:rPr>
                <w:rFonts w:hint="eastAsia"/>
                <w:color w:val="auto"/>
                <w:highlight w:val="none"/>
              </w:rPr>
              <w:t>（详见：交易中心网/服务指南 / 办事指引 / 财务相关/关于投标项目保证金操作指引的说明 ）</w:t>
            </w:r>
          </w:p>
          <w:p>
            <w:pPr>
              <w:pStyle w:val="61"/>
              <w:spacing w:line="360" w:lineRule="auto"/>
              <w:rPr>
                <w:color w:val="auto"/>
                <w:highlight w:val="none"/>
              </w:rPr>
            </w:pPr>
            <w:r>
              <w:rPr>
                <w:rFonts w:hint="eastAsia"/>
                <w:color w:val="auto"/>
                <w:highlight w:val="none"/>
              </w:rPr>
              <w:t>2、如采用非电子形式的银行保函、担保或保证保险或专业工程担保公司担保等形式提交投标保证金的形式提交的，银行保函、或保证保险或专业工程担保公司担保需开具给招标人（受益人也必须是招标人）。在开标前不强制要求投标人提交纸质原件，由中标候选人在中标候选人公示前提交并在网上公示，但投标人应在投标文件中提交非电子形式的银行保函、担保或保证保险等形式的原件扫描件并加盖投标单位电子印章。如投标人选择在开标前提交纸质原件的，可在投标截止时间前单独密封递交（封套上注明“【项目名称】银行保函、担保或保证保险或专业工程担保公司担保”，并注明投标单位名称）至开标室（时间及地点同递交备用投标文件电子光盘的时间及地点）。</w:t>
            </w:r>
          </w:p>
          <w:p>
            <w:pPr>
              <w:pStyle w:val="61"/>
              <w:spacing w:line="360" w:lineRule="auto"/>
              <w:rPr>
                <w:color w:val="auto"/>
                <w:highlight w:val="none"/>
              </w:rPr>
            </w:pPr>
            <w:r>
              <w:rPr>
                <w:rFonts w:hint="eastAsia"/>
                <w:color w:val="auto"/>
                <w:highlight w:val="none"/>
              </w:rPr>
              <w:t>3、如采用电子形式的保函、保证保险或担保提交投标保证金的，（详见：交易中心网/服务指南 / 办事指引 / 财务相关/关于进一步完善电子保函服务相关事宜的说明 ）</w:t>
            </w:r>
          </w:p>
          <w:p>
            <w:pPr>
              <w:pStyle w:val="61"/>
              <w:spacing w:line="360" w:lineRule="auto"/>
              <w:rPr>
                <w:color w:val="auto"/>
                <w:highlight w:val="none"/>
              </w:rPr>
            </w:pPr>
            <w:r>
              <w:rPr>
                <w:rFonts w:hint="eastAsia"/>
                <w:color w:val="auto"/>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3.4.4</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其他可以不予退还投标保证金的情形</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资格审查资料的特殊要求</w:t>
            </w:r>
          </w:p>
        </w:tc>
        <w:tc>
          <w:tcPr>
            <w:tcW w:w="6224" w:type="dxa"/>
            <w:tcBorders>
              <w:top w:val="single" w:color="auto" w:sz="4" w:space="0"/>
              <w:left w:val="nil"/>
              <w:bottom w:val="single" w:color="auto" w:sz="4" w:space="0"/>
              <w:right w:val="single" w:color="auto" w:sz="4" w:space="0"/>
            </w:tcBorders>
            <w:vAlign w:val="center"/>
          </w:tcPr>
          <w:p>
            <w:pPr>
              <w:rPr>
                <w:rFonts w:ascii="宋体" w:hAnsi="宋体" w:cs="宋体"/>
                <w:color w:val="auto"/>
                <w:szCs w:val="24"/>
                <w:highlight w:val="none"/>
                <w:u w:val="single"/>
              </w:rPr>
            </w:pPr>
            <w:r>
              <w:rPr>
                <w:rFonts w:hint="eastAsia" w:ascii="宋体" w:hAnsi="宋体"/>
                <w:color w:val="auto"/>
                <w:highlight w:val="none"/>
              </w:rPr>
              <w:t>☑</w:t>
            </w:r>
            <w:r>
              <w:rPr>
                <w:rFonts w:hint="eastAsia" w:ascii="宋体" w:hAnsi="宋体" w:cs="宋体"/>
                <w:color w:val="auto"/>
                <w:szCs w:val="24"/>
                <w:highlight w:val="none"/>
                <w:u w:val="single"/>
              </w:rPr>
              <w:t>无</w:t>
            </w:r>
          </w:p>
          <w:p>
            <w:pPr>
              <w:rPr>
                <w:rFonts w:ascii="宋体" w:hAnsi="宋体"/>
                <w:color w:val="auto"/>
                <w:highlight w:val="none"/>
              </w:rPr>
            </w:pPr>
            <w:r>
              <w:rPr>
                <w:rFonts w:ascii="宋体" w:hAnsi="宋体"/>
                <w:color w:val="auto"/>
                <w:highlight w:val="none"/>
              </w:rPr>
              <w:t>□</w:t>
            </w:r>
            <w:r>
              <w:rPr>
                <w:rFonts w:hint="eastAsia" w:ascii="宋体" w:hAnsi="宋体" w:cs="宋体"/>
                <w:color w:val="auto"/>
                <w:szCs w:val="24"/>
                <w:highlight w:val="none"/>
                <w:u w:val="singl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近年财务状况的年份要求</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s="宋体"/>
                <w:color w:val="auto"/>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近年完成的类似项目情况的时间要求</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u w:val="single"/>
              </w:rPr>
              <w:t>20</w:t>
            </w:r>
            <w:r>
              <w:rPr>
                <w:rFonts w:hint="eastAsia" w:ascii="宋体" w:hAnsi="宋体"/>
                <w:color w:val="auto"/>
                <w:highlight w:val="none"/>
                <w:u w:val="single"/>
                <w:lang w:val="en-US" w:eastAsia="zh-CN"/>
              </w:rPr>
              <w:t>19</w:t>
            </w:r>
            <w:r>
              <w:rPr>
                <w:rFonts w:hint="eastAsia" w:ascii="宋体" w:hAnsi="宋体"/>
                <w:color w:val="auto"/>
                <w:highlight w:val="none"/>
              </w:rPr>
              <w:t>年1月1日至今。</w:t>
            </w:r>
          </w:p>
          <w:p>
            <w:pPr>
              <w:rPr>
                <w:rFonts w:ascii="宋体" w:hAnsi="宋体"/>
                <w:color w:val="auto"/>
                <w:highlight w:val="none"/>
              </w:rPr>
            </w:pPr>
            <w:r>
              <w:rPr>
                <w:rFonts w:hint="eastAsia" w:ascii="Calibri" w:hAnsi="Calibri"/>
                <w:color w:val="auto"/>
                <w:highlight w:val="none"/>
              </w:rPr>
              <w:t>（</w:t>
            </w:r>
            <w:r>
              <w:rPr>
                <w:rFonts w:hint="eastAsia" w:ascii="Calibri" w:hAnsi="Calibri"/>
                <w:color w:val="auto"/>
                <w:highlight w:val="none"/>
                <w:lang w:val="en-US" w:eastAsia="zh-CN"/>
              </w:rPr>
              <w:t>业绩</w:t>
            </w:r>
            <w:r>
              <w:rPr>
                <w:rFonts w:hint="eastAsia" w:ascii="Calibri" w:hAnsi="Calibri"/>
                <w:color w:val="auto"/>
                <w:highlight w:val="none"/>
              </w:rPr>
              <w:t>时间以竣工验收报告或竣工验收证明为准）</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3.5.4</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正在实施和新承接的项目情况</w:t>
            </w:r>
          </w:p>
        </w:tc>
        <w:tc>
          <w:tcPr>
            <w:tcW w:w="6224" w:type="dxa"/>
            <w:tcBorders>
              <w:top w:val="single" w:color="auto" w:sz="4" w:space="0"/>
              <w:left w:val="nil"/>
              <w:bottom w:val="single" w:color="auto" w:sz="4" w:space="0"/>
              <w:right w:val="single" w:color="auto" w:sz="4" w:space="0"/>
            </w:tcBorders>
            <w:vAlign w:val="center"/>
          </w:tcPr>
          <w:p>
            <w:pPr>
              <w:rPr>
                <w:rFonts w:ascii="Calibri" w:hAnsi="Calibri"/>
                <w:color w:val="auto"/>
                <w:highlight w:val="none"/>
              </w:rPr>
            </w:pPr>
            <w:r>
              <w:rPr>
                <w:rFonts w:hint="eastAsia" w:ascii="Calibri" w:hAnsi="Calibri"/>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3.5.5</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近年发生的诉讼及仲裁情况的时间要求</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s="宋体"/>
                <w:color w:val="auto"/>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3.5.6</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拟委任的主要人员汇总表</w:t>
            </w:r>
          </w:p>
        </w:tc>
        <w:tc>
          <w:tcPr>
            <w:tcW w:w="6224" w:type="dxa"/>
            <w:tcBorders>
              <w:top w:val="single" w:color="auto" w:sz="4" w:space="0"/>
              <w:left w:val="nil"/>
              <w:bottom w:val="single" w:color="auto" w:sz="4" w:space="0"/>
              <w:right w:val="single" w:color="auto" w:sz="4" w:space="0"/>
            </w:tcBorders>
            <w:vAlign w:val="center"/>
          </w:tcPr>
          <w:p>
            <w:pPr>
              <w:rPr>
                <w:rFonts w:ascii="宋体" w:hAnsi="宋体" w:cs="宋体"/>
                <w:color w:val="auto"/>
                <w:szCs w:val="24"/>
                <w:highlight w:val="none"/>
                <w:u w:val="single"/>
              </w:rPr>
            </w:pPr>
            <w:r>
              <w:rPr>
                <w:rFonts w:hint="eastAsia" w:ascii="宋体" w:hAnsi="宋体" w:cs="宋体"/>
                <w:color w:val="auto"/>
                <w:szCs w:val="24"/>
                <w:highlight w:val="none"/>
                <w:u w:val="single"/>
              </w:rPr>
              <w:t>本招标项目要求提供“拟委任的主要人员汇总表”资料，但不作为资格审查内容，只作为详细评审资料。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3.5.7</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拟投入本项目的主要试验检测仪器设备</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s="宋体"/>
                <w:color w:val="auto"/>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3.5.8</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关于联合体投标</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u w:val="single"/>
              </w:rPr>
            </w:pPr>
            <w:r>
              <w:rPr>
                <w:rFonts w:hint="eastAsia" w:ascii="宋体" w:hAnsi="宋体"/>
                <w:color w:val="auto"/>
                <w:highlight w:val="none"/>
                <w:u w:val="singl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3.6.1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是否允许递交备选投标方案</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☑不允许</w:t>
            </w:r>
          </w:p>
          <w:p>
            <w:pPr>
              <w:rPr>
                <w:rFonts w:ascii="宋体" w:hAnsi="宋体"/>
                <w:color w:val="auto"/>
                <w:highlight w:val="none"/>
              </w:rPr>
            </w:pPr>
            <w:r>
              <w:rPr>
                <w:rFonts w:hint="eastAsia" w:ascii="宋体" w:hAnsi="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3.7.3A（2）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投标文件副本份数及其他要求</w:t>
            </w:r>
          </w:p>
        </w:tc>
        <w:tc>
          <w:tcPr>
            <w:tcW w:w="6224" w:type="dxa"/>
            <w:tcBorders>
              <w:top w:val="single" w:color="auto" w:sz="4" w:space="0"/>
              <w:left w:val="nil"/>
              <w:bottom w:val="single" w:color="auto" w:sz="4" w:space="0"/>
              <w:right w:val="single" w:color="auto" w:sz="4" w:space="0"/>
            </w:tcBorders>
            <w:vAlign w:val="center"/>
          </w:tcPr>
          <w:p>
            <w:pPr>
              <w:rPr>
                <w:color w:val="auto"/>
                <w:highlight w:val="none"/>
              </w:rPr>
            </w:pPr>
            <w:r>
              <w:rPr>
                <w:rFonts w:hint="eastAsia" w:ascii="宋体" w:hAnsi="宋体"/>
                <w:color w:val="auto"/>
                <w:highlight w:val="none"/>
                <w:u w:val="single"/>
              </w:rPr>
              <w:t>/</w:t>
            </w:r>
          </w:p>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3.7.3A（3）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投标文件是否需分册装订</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xml:space="preserve">3.7.3 </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投标文件所附证书证件要求</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u w:val="single"/>
              </w:rPr>
              <w:t>证书证件需为清晰扫描件，并采用单位数字证书，按照招标文件要求在相应位置用单位数字证书加盖电子印章。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xml:space="preserve">3.7.3 </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投标文件签字或盖章要求</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投标文件全部采用电子文档，投标文件所附证书证件均为原件彩色扫描件，并采用单位数字证书，按招标文件要求在相应位置加盖电子印章。投标文件中需个人签字或盖章的，应加盖个人电子印章或在线下完成后扫描上传。</w:t>
            </w:r>
          </w:p>
          <w:p>
            <w:pPr>
              <w:rPr>
                <w:rFonts w:ascii="Calibri" w:hAnsi="Calibri"/>
                <w:color w:val="auto"/>
                <w:highlight w:val="none"/>
                <w:u w:val="single"/>
              </w:rPr>
            </w:pPr>
            <w:r>
              <w:rPr>
                <w:rFonts w:hint="eastAsia" w:ascii="宋体" w:hAnsi="宋体"/>
                <w:color w:val="auto"/>
                <w:highlight w:val="none"/>
              </w:rPr>
              <w:t>具体操作详见广州交易集团有限公司（广州公共资源交易中心）网站最新发布的《建设工程全流程电子化项目操作指南（适用于投标人）》。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4.1.1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投标文件加密要求</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网上递交的电子投标文件须进行加密。具体操作详见</w:t>
            </w:r>
            <w:r>
              <w:rPr>
                <w:rFonts w:hint="eastAsia" w:ascii="宋体" w:hAnsi="宋体" w:cs="宋体"/>
                <w:color w:val="auto"/>
                <w:highlight w:val="none"/>
                <w:u w:val="single"/>
              </w:rPr>
              <w:t>广州交易集团有限公司（广州公共资源交易中心）</w:t>
            </w:r>
            <w:r>
              <w:rPr>
                <w:rFonts w:hint="eastAsia" w:ascii="宋体" w:hAnsi="宋体"/>
                <w:color w:val="auto"/>
                <w:highlight w:val="none"/>
              </w:rPr>
              <w:t>网站最新发布的《建设工程全流程电子化项目操作指南（适用于投标人）》。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4.1.2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封套上应载明的信息</w:t>
            </w:r>
          </w:p>
        </w:tc>
        <w:tc>
          <w:tcPr>
            <w:tcW w:w="6224" w:type="dxa"/>
            <w:tcBorders>
              <w:top w:val="single" w:color="auto" w:sz="4" w:space="0"/>
              <w:left w:val="nil"/>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对递交的备用投标文件电子光盘要求封装。</w:t>
            </w:r>
          </w:p>
          <w:p>
            <w:pPr>
              <w:rPr>
                <w:rFonts w:hint="eastAsia" w:ascii="宋体" w:hAnsi="宋体" w:eastAsia="宋体" w:cs="宋体"/>
                <w:color w:val="auto"/>
                <w:highlight w:val="none"/>
                <w:u w:val="single"/>
                <w:lang w:eastAsia="zh-CN"/>
              </w:rPr>
            </w:pPr>
            <w:r>
              <w:rPr>
                <w:rFonts w:hint="eastAsia" w:ascii="宋体" w:hAnsi="宋体" w:cs="宋体"/>
                <w:color w:val="auto"/>
                <w:highlight w:val="none"/>
              </w:rPr>
              <w:t>招标人名称：</w:t>
            </w:r>
            <w:r>
              <w:rPr>
                <w:rFonts w:hint="eastAsia" w:ascii="宋体" w:hAnsi="宋体" w:cs="宋体"/>
                <w:color w:val="auto"/>
                <w:highlight w:val="none"/>
                <w:u w:val="single"/>
                <w:lang w:eastAsia="zh-CN"/>
              </w:rPr>
              <w:t>广州合锦嘉泓房地产投资有限公司</w:t>
            </w:r>
          </w:p>
          <w:p>
            <w:pPr>
              <w:rPr>
                <w:rFonts w:hint="eastAsia" w:ascii="宋体" w:hAnsi="宋体" w:eastAsia="宋体" w:cs="宋体"/>
                <w:color w:val="auto"/>
                <w:highlight w:val="none"/>
                <w:u w:val="single"/>
                <w:lang w:eastAsia="zh-CN"/>
              </w:rPr>
            </w:pPr>
            <w:r>
              <w:rPr>
                <w:rFonts w:hint="eastAsia" w:ascii="宋体" w:hAnsi="宋体" w:cs="宋体"/>
                <w:color w:val="auto"/>
                <w:highlight w:val="none"/>
              </w:rPr>
              <w:t>招标人地址：</w:t>
            </w:r>
            <w:r>
              <w:rPr>
                <w:rFonts w:hint="eastAsia" w:ascii="宋体" w:hAnsi="宋体"/>
                <w:color w:val="auto"/>
                <w:highlight w:val="none"/>
                <w:u w:val="single"/>
                <w:lang w:eastAsia="zh-CN"/>
              </w:rPr>
              <w:t>广州市海珠区琶洲大道188-190号南方投资大厦15层</w:t>
            </w:r>
          </w:p>
          <w:p>
            <w:pPr>
              <w:rPr>
                <w:rFonts w:ascii="宋体" w:hAnsi="宋体" w:cs="宋体"/>
                <w:color w:val="auto"/>
                <w:highlight w:val="none"/>
              </w:rPr>
            </w:pPr>
            <w:r>
              <w:rPr>
                <w:rFonts w:hint="eastAsia" w:ascii="宋体" w:hAnsi="宋体" w:cs="宋体"/>
                <w:color w:val="auto"/>
                <w:highlight w:val="none"/>
                <w:u w:val="single"/>
                <w:lang w:eastAsia="zh-CN"/>
              </w:rPr>
              <w:t>广州电力建设有限公司电建大楼项目工程监理服务</w:t>
            </w:r>
            <w:r>
              <w:rPr>
                <w:rFonts w:hint="eastAsia" w:ascii="宋体" w:hAnsi="宋体" w:cs="宋体"/>
                <w:color w:val="auto"/>
                <w:highlight w:val="none"/>
              </w:rPr>
              <w:t>投标文件</w:t>
            </w:r>
          </w:p>
          <w:p>
            <w:pPr>
              <w:rPr>
                <w:rFonts w:ascii="Calibri" w:hAnsi="Calibri"/>
                <w:color w:val="auto"/>
                <w:highlight w:val="none"/>
              </w:rPr>
            </w:pPr>
            <w:r>
              <w:rPr>
                <w:rFonts w:hint="eastAsia" w:ascii="Calibri" w:hAnsi="Calibri"/>
                <w:color w:val="auto"/>
                <w:highlight w:val="none"/>
              </w:rPr>
              <w:t>招标项目编号：</w:t>
            </w:r>
          </w:p>
          <w:p>
            <w:pPr>
              <w:rPr>
                <w:rFonts w:ascii="宋体" w:hAnsi="宋体" w:cs="宋体"/>
                <w:color w:val="auto"/>
                <w:highlight w:val="none"/>
              </w:rPr>
            </w:pPr>
            <w:r>
              <w:rPr>
                <w:rFonts w:hint="eastAsia" w:ascii="Calibri" w:hAnsi="Calibri"/>
                <w:color w:val="auto"/>
                <w:highlight w:val="none"/>
              </w:rPr>
              <w:t>在</w:t>
            </w:r>
            <w:r>
              <w:rPr>
                <w:rFonts w:ascii="Calibri" w:hAnsi="Calibri"/>
                <w:color w:val="auto"/>
                <w:highlight w:val="none"/>
                <w:u w:val="single"/>
              </w:rPr>
              <w:t xml:space="preserve">    </w:t>
            </w:r>
            <w:r>
              <w:rPr>
                <w:rFonts w:hint="eastAsia" w:ascii="Calibri" w:hAnsi="Calibri"/>
                <w:color w:val="auto"/>
                <w:highlight w:val="none"/>
              </w:rPr>
              <w:t>年</w:t>
            </w:r>
            <w:r>
              <w:rPr>
                <w:rFonts w:ascii="Calibri" w:hAnsi="Calibri"/>
                <w:color w:val="auto"/>
                <w:highlight w:val="none"/>
                <w:u w:val="single"/>
              </w:rPr>
              <w:t xml:space="preserve">    </w:t>
            </w:r>
            <w:r>
              <w:rPr>
                <w:rFonts w:hint="eastAsia" w:ascii="Calibri" w:hAnsi="Calibri"/>
                <w:color w:val="auto"/>
                <w:highlight w:val="none"/>
              </w:rPr>
              <w:t>月</w:t>
            </w:r>
            <w:r>
              <w:rPr>
                <w:rFonts w:ascii="Calibri" w:hAnsi="Calibri"/>
                <w:color w:val="auto"/>
                <w:highlight w:val="none"/>
                <w:u w:val="single"/>
              </w:rPr>
              <w:t xml:space="preserve">    </w:t>
            </w:r>
            <w:r>
              <w:rPr>
                <w:rFonts w:hint="eastAsia" w:ascii="Calibri" w:hAnsi="Calibri"/>
                <w:color w:val="auto"/>
                <w:highlight w:val="none"/>
              </w:rPr>
              <w:t>日</w:t>
            </w:r>
            <w:r>
              <w:rPr>
                <w:rFonts w:ascii="Calibri" w:hAnsi="Calibri"/>
                <w:color w:val="auto"/>
                <w:highlight w:val="none"/>
                <w:u w:val="single"/>
              </w:rPr>
              <w:t xml:space="preserve">    </w:t>
            </w:r>
            <w:r>
              <w:rPr>
                <w:rFonts w:hint="eastAsia" w:ascii="Calibri" w:hAnsi="Calibri"/>
                <w:color w:val="auto"/>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4.2.1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投标截止时间</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详见第一章招标公告</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Calibri" w:hAnsi="Calibri"/>
                <w:color w:val="auto"/>
                <w:highlight w:val="none"/>
              </w:rPr>
              <w:t>4.2.2</w:t>
            </w:r>
            <w:r>
              <w:rPr>
                <w:rFonts w:hint="eastAsia" w:ascii="Calibri" w:hAnsi="Calibri"/>
                <w:color w:val="auto"/>
                <w:highlight w:val="none"/>
              </w:rPr>
              <w:t>（</w:t>
            </w:r>
            <w:r>
              <w:rPr>
                <w:rFonts w:ascii="Calibri" w:hAnsi="Calibri"/>
                <w:color w:val="auto"/>
                <w:highlight w:val="none"/>
              </w:rPr>
              <w:t>A</w:t>
            </w:r>
            <w:r>
              <w:rPr>
                <w:rFonts w:hint="eastAsia" w:ascii="Calibri" w:hAnsi="Calibri"/>
                <w:color w:val="auto"/>
                <w:highlight w:val="none"/>
              </w:rPr>
              <w:t>）</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Calibri" w:hAnsi="Calibri"/>
                <w:color w:val="auto"/>
                <w:highlight w:val="none"/>
              </w:rPr>
              <w:t>递交投标文件地点</w:t>
            </w:r>
          </w:p>
        </w:tc>
        <w:tc>
          <w:tcPr>
            <w:tcW w:w="6224"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color w:val="auto"/>
                <w:highlight w:val="none"/>
                <w:u w:val="single"/>
              </w:rPr>
            </w:pPr>
            <w:r>
              <w:rPr>
                <w:rFonts w:hint="eastAsia" w:ascii="宋体" w:hAnsi="宋体" w:cs="宋体"/>
                <w:color w:val="auto"/>
                <w:highlight w:val="none"/>
                <w:u w:val="single"/>
              </w:rPr>
              <w:t>1.递交方式：网上递交投标文件</w:t>
            </w:r>
          </w:p>
          <w:p>
            <w:pPr>
              <w:snapToGrid w:val="0"/>
              <w:spacing w:line="360" w:lineRule="auto"/>
              <w:rPr>
                <w:rFonts w:ascii="宋体" w:hAnsi="宋体" w:cs="宋体"/>
                <w:color w:val="auto"/>
                <w:highlight w:val="none"/>
                <w:u w:val="single"/>
              </w:rPr>
            </w:pPr>
            <w:r>
              <w:rPr>
                <w:rFonts w:hint="eastAsia" w:ascii="宋体" w:hAnsi="宋体" w:cs="宋体"/>
                <w:color w:val="auto"/>
                <w:highlight w:val="none"/>
                <w:u w:val="single"/>
              </w:rPr>
              <w:t>2.递交投标文件的起始时间：（详见广州交易集团有限公司（广州公共资源交易中心）网站信息）。</w:t>
            </w:r>
          </w:p>
          <w:p>
            <w:pPr>
              <w:snapToGrid w:val="0"/>
              <w:spacing w:line="360" w:lineRule="auto"/>
              <w:rPr>
                <w:rFonts w:ascii="宋体" w:hAnsi="宋体" w:cs="宋体"/>
                <w:color w:val="auto"/>
                <w:highlight w:val="none"/>
                <w:u w:val="single"/>
              </w:rPr>
            </w:pPr>
            <w:r>
              <w:rPr>
                <w:rFonts w:hint="eastAsia" w:ascii="宋体" w:hAnsi="宋体" w:cs="宋体"/>
                <w:color w:val="auto"/>
                <w:highlight w:val="none"/>
                <w:u w:val="single"/>
              </w:rPr>
              <w:t>截止时间：（详见广州交易集团有限公司（广州公共资源交易中心）网站信息）</w:t>
            </w:r>
          </w:p>
          <w:p>
            <w:pPr>
              <w:snapToGrid w:val="0"/>
              <w:spacing w:line="360" w:lineRule="auto"/>
              <w:rPr>
                <w:rFonts w:ascii="宋体" w:hAnsi="宋体" w:cs="宋体"/>
                <w:color w:val="auto"/>
                <w:highlight w:val="none"/>
                <w:u w:val="single"/>
              </w:rPr>
            </w:pPr>
            <w:r>
              <w:rPr>
                <w:rFonts w:hint="eastAsia" w:ascii="宋体" w:hAnsi="宋体" w:cs="宋体"/>
                <w:color w:val="auto"/>
                <w:highlight w:val="none"/>
                <w:u w:val="single"/>
              </w:rPr>
              <w:t>3.地点：广州交易集团有限公司（广州公共资源交易中心）网站。</w:t>
            </w:r>
          </w:p>
          <w:p>
            <w:pPr>
              <w:spacing w:line="360" w:lineRule="auto"/>
              <w:rPr>
                <w:rFonts w:ascii="宋体" w:hAnsi="宋体"/>
                <w:color w:val="auto"/>
                <w:highlight w:val="none"/>
              </w:rPr>
            </w:pPr>
            <w:r>
              <w:rPr>
                <w:rFonts w:hint="eastAsia" w:ascii="宋体" w:hAnsi="宋体" w:cs="宋体"/>
                <w:color w:val="auto"/>
                <w:highlight w:val="none"/>
                <w:u w:val="single"/>
              </w:rPr>
              <w:t>4.上述时间及地点是否有改变，请密切留意答疑澄清或补充公告（如有）中的相关信息，具体时间及场地安排请各投标人密切留意广州交易集团有限公司（广州公共资源交易中心）公布本项目的日程安排，投标人也可登录广州交易集团有限公司（广州公共资源交易中心）网站首页，点击“项目查询（日程安排、答疑纪要）”专栏中的“项目查询”，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4.2.3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投标文件是否退还</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☑否</w:t>
            </w:r>
          </w:p>
          <w:p>
            <w:pPr>
              <w:rPr>
                <w:rFonts w:ascii="宋体" w:hAnsi="宋体"/>
                <w:color w:val="auto"/>
                <w:highlight w:val="none"/>
              </w:rPr>
            </w:pPr>
            <w:r>
              <w:rPr>
                <w:rFonts w:hint="eastAsia" w:ascii="宋体" w:hAnsi="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宋体" w:hAnsi="宋体"/>
                <w:color w:val="auto"/>
                <w:highlight w:val="none"/>
              </w:rPr>
              <w:t>5.1</w:t>
            </w:r>
          </w:p>
        </w:tc>
        <w:tc>
          <w:tcPr>
            <w:tcW w:w="2551" w:type="dxa"/>
            <w:tcBorders>
              <w:top w:val="single" w:color="auto" w:sz="4" w:space="0"/>
              <w:left w:val="nil"/>
              <w:bottom w:val="single" w:color="auto" w:sz="4" w:space="0"/>
              <w:right w:val="single" w:color="auto" w:sz="4" w:space="0"/>
            </w:tcBorders>
            <w:vAlign w:val="center"/>
          </w:tcPr>
          <w:p>
            <w:pPr>
              <w:jc w:val="center"/>
              <w:rPr>
                <w:rFonts w:ascii="Calibri" w:hAnsi="Calibri"/>
                <w:color w:val="auto"/>
                <w:highlight w:val="none"/>
              </w:rPr>
            </w:pPr>
            <w:r>
              <w:rPr>
                <w:rFonts w:hint="eastAsia" w:ascii="宋体" w:hAnsi="宋体"/>
                <w:color w:val="auto"/>
                <w:highlight w:val="none"/>
              </w:rPr>
              <w:t>开标时间和地点</w:t>
            </w:r>
          </w:p>
        </w:tc>
        <w:tc>
          <w:tcPr>
            <w:tcW w:w="622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olor w:val="auto"/>
                <w:highlight w:val="none"/>
              </w:rPr>
            </w:pPr>
            <w:r>
              <w:rPr>
                <w:rFonts w:hint="eastAsia" w:ascii="宋体" w:hAnsi="宋体"/>
                <w:color w:val="auto"/>
                <w:highlight w:val="none"/>
              </w:rPr>
              <w:t>开标时间：同投标截止时间</w:t>
            </w:r>
          </w:p>
          <w:p>
            <w:pPr>
              <w:spacing w:line="360" w:lineRule="auto"/>
              <w:rPr>
                <w:rFonts w:ascii="宋体" w:hAnsi="宋体"/>
                <w:color w:val="auto"/>
                <w:highlight w:val="none"/>
                <w:u w:val="single"/>
              </w:rPr>
            </w:pPr>
            <w:r>
              <w:rPr>
                <w:rFonts w:hint="eastAsia" w:ascii="宋体" w:hAnsi="宋体"/>
                <w:color w:val="auto"/>
                <w:highlight w:val="none"/>
              </w:rPr>
              <w:t>开标地点：在广州公共资源交易中心交易平台进行电子开标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5.2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开标程序</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5.2.1主持人按下列程序进行开标：</w:t>
            </w:r>
          </w:p>
          <w:p>
            <w:pPr>
              <w:rPr>
                <w:rFonts w:ascii="宋体" w:hAnsi="宋体"/>
                <w:color w:val="auto"/>
                <w:highlight w:val="none"/>
              </w:rPr>
            </w:pPr>
            <w:r>
              <w:rPr>
                <w:rFonts w:hint="eastAsia" w:ascii="宋体" w:hAnsi="宋体"/>
                <w:color w:val="auto"/>
                <w:highlight w:val="none"/>
              </w:rPr>
              <w:t>（1）宣布开标纪律；</w:t>
            </w:r>
          </w:p>
          <w:p>
            <w:pPr>
              <w:rPr>
                <w:rFonts w:ascii="宋体" w:hAnsi="宋体"/>
                <w:color w:val="auto"/>
                <w:highlight w:val="none"/>
              </w:rPr>
            </w:pPr>
            <w:r>
              <w:rPr>
                <w:rFonts w:hint="eastAsia" w:ascii="宋体" w:hAnsi="宋体"/>
                <w:color w:val="auto"/>
                <w:highlight w:val="none"/>
              </w:rPr>
              <w:t>（2）公布在投标截止时间前递交投标文件的投标人名称；</w:t>
            </w:r>
          </w:p>
          <w:p>
            <w:pPr>
              <w:rPr>
                <w:rFonts w:ascii="宋体" w:hAnsi="宋体"/>
                <w:color w:val="auto"/>
                <w:highlight w:val="none"/>
              </w:rPr>
            </w:pPr>
            <w:r>
              <w:rPr>
                <w:rFonts w:hint="eastAsia" w:ascii="宋体" w:hAnsi="宋体"/>
                <w:color w:val="auto"/>
                <w:highlight w:val="none"/>
              </w:rPr>
              <w:t>（3）宣布开标人、唱标人、记录人、监标人等有关人员姓名；</w:t>
            </w:r>
          </w:p>
          <w:p>
            <w:pPr>
              <w:rPr>
                <w:rFonts w:ascii="宋体" w:hAnsi="宋体"/>
                <w:color w:val="auto"/>
                <w:highlight w:val="none"/>
              </w:rPr>
            </w:pPr>
            <w:r>
              <w:rPr>
                <w:rFonts w:hint="eastAsia" w:ascii="宋体" w:hAnsi="宋体"/>
                <w:color w:val="auto"/>
                <w:highlight w:val="none"/>
              </w:rPr>
              <w:t>（4）（B）投标人通过电子招标投标交易平台对已递交的电子投标文件进行解密，公布招标项目名称、投标人名称、投标保证金的递交情况、投标报价、监理服务期限及其他内容，并记录在案；</w:t>
            </w:r>
          </w:p>
          <w:p>
            <w:pPr>
              <w:rPr>
                <w:rFonts w:ascii="宋体" w:hAnsi="宋体"/>
                <w:color w:val="auto"/>
                <w:highlight w:val="none"/>
              </w:rPr>
            </w:pPr>
            <w:r>
              <w:rPr>
                <w:rFonts w:hint="eastAsia" w:ascii="宋体" w:hAnsi="宋体"/>
                <w:color w:val="auto"/>
                <w:highlight w:val="none"/>
              </w:rPr>
              <w:t>（5）（B）投标人代表、招标人代表、监标人、记录人等有关人员使用本人的电子印章在开标记录上签字确认；若有关人员不签字的，不影响开标程序；</w:t>
            </w:r>
          </w:p>
          <w:p>
            <w:pPr>
              <w:rPr>
                <w:rFonts w:ascii="宋体" w:hAnsi="宋体"/>
                <w:color w:val="auto"/>
                <w:highlight w:val="none"/>
              </w:rPr>
            </w:pPr>
            <w:r>
              <w:rPr>
                <w:rFonts w:hint="eastAsia" w:ascii="宋体" w:hAnsi="宋体"/>
                <w:color w:val="auto"/>
                <w:highlight w:val="none"/>
              </w:rPr>
              <w:t>（6）开标结束。</w:t>
            </w:r>
          </w:p>
          <w:p>
            <w:pPr>
              <w:rPr>
                <w:rFonts w:ascii="宋体" w:hAnsi="宋体"/>
                <w:color w:val="auto"/>
                <w:highlight w:val="none"/>
              </w:rPr>
            </w:pPr>
            <w:r>
              <w:rPr>
                <w:rFonts w:hint="eastAsia" w:ascii="宋体" w:hAnsi="宋体"/>
                <w:color w:val="auto"/>
                <w:highlight w:val="none"/>
              </w:rPr>
              <w:t>5.2.2投标截止时间前未完成投标文件传输的或因投标人之外的原因造成投标文件未解密的或未在投标截止时间后半小时解密的，视为投标人撤回其投标文件。因投标人原因造成投标文件未解密的，视为撤销其投标文件。</w:t>
            </w:r>
          </w:p>
          <w:p>
            <w:pPr>
              <w:rPr>
                <w:rFonts w:ascii="宋体" w:hAnsi="宋体"/>
                <w:color w:val="auto"/>
                <w:highlight w:val="none"/>
              </w:rPr>
            </w:pPr>
            <w:r>
              <w:rPr>
                <w:rFonts w:hint="eastAsia" w:ascii="宋体" w:hAnsi="宋体"/>
                <w:color w:val="auto"/>
                <w:highlight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6.1.1</w:t>
            </w:r>
          </w:p>
        </w:tc>
        <w:tc>
          <w:tcPr>
            <w:tcW w:w="2551" w:type="dxa"/>
            <w:tcBorders>
              <w:top w:val="single" w:color="auto" w:sz="4" w:space="0"/>
              <w:left w:val="nil"/>
              <w:bottom w:val="single" w:color="auto" w:sz="4" w:space="0"/>
              <w:right w:val="single" w:color="auto" w:sz="4" w:space="0"/>
            </w:tcBorders>
            <w:vAlign w:val="center"/>
          </w:tcPr>
          <w:p>
            <w:pPr>
              <w:ind w:firstLine="420" w:firstLineChars="200"/>
              <w:rPr>
                <w:rFonts w:ascii="宋体" w:hAnsi="宋体"/>
                <w:color w:val="auto"/>
                <w:highlight w:val="none"/>
              </w:rPr>
            </w:pPr>
            <w:r>
              <w:rPr>
                <w:rFonts w:hint="eastAsia" w:ascii="宋体" w:hAnsi="宋体"/>
                <w:color w:val="auto"/>
                <w:highlight w:val="none"/>
              </w:rPr>
              <w:t>评标委员会的组建</w:t>
            </w:r>
          </w:p>
        </w:tc>
        <w:tc>
          <w:tcPr>
            <w:tcW w:w="6224" w:type="dxa"/>
            <w:tcBorders>
              <w:top w:val="single" w:color="auto" w:sz="4" w:space="0"/>
              <w:left w:val="nil"/>
              <w:bottom w:val="single" w:color="auto" w:sz="4" w:space="0"/>
              <w:right w:val="single" w:color="auto" w:sz="4" w:space="0"/>
            </w:tcBorders>
            <w:vAlign w:val="center"/>
          </w:tcPr>
          <w:p>
            <w:pPr>
              <w:rPr>
                <w:rFonts w:ascii="Calibri" w:hAnsi="Calibri"/>
                <w:color w:val="auto"/>
                <w:highlight w:val="none"/>
              </w:rPr>
            </w:pPr>
            <w:r>
              <w:rPr>
                <w:rFonts w:hint="eastAsia" w:ascii="宋体" w:hAnsi="宋体"/>
                <w:color w:val="auto"/>
                <w:highlight w:val="none"/>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6.3.2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评标委员会推荐中标候选人的人数</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推荐的中标候选人数：</w:t>
            </w:r>
            <w:r>
              <w:rPr>
                <w:rFonts w:hint="eastAsia" w:ascii="宋体" w:hAnsi="宋体"/>
                <w:color w:val="auto"/>
                <w:highlight w:val="none"/>
                <w:u w:val="single"/>
              </w:rPr>
              <w:t xml:space="preserve"> 3 </w:t>
            </w:r>
            <w:r>
              <w:rPr>
                <w:rFonts w:hint="eastAsia" w:ascii="宋体" w:hAnsi="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7.1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中标候选人公示媒介及期限</w:t>
            </w:r>
          </w:p>
        </w:tc>
        <w:tc>
          <w:tcPr>
            <w:tcW w:w="6224" w:type="dxa"/>
            <w:tcBorders>
              <w:top w:val="single" w:color="auto" w:sz="4" w:space="0"/>
              <w:left w:val="nil"/>
              <w:bottom w:val="single" w:color="auto" w:sz="4" w:space="0"/>
              <w:right w:val="single" w:color="auto" w:sz="4" w:space="0"/>
            </w:tcBorders>
            <w:vAlign w:val="center"/>
          </w:tcPr>
          <w:p>
            <w:pPr>
              <w:spacing w:line="240" w:lineRule="auto"/>
              <w:rPr>
                <w:rFonts w:ascii="宋体" w:hAnsi="宋体" w:cs="宋体"/>
                <w:color w:val="auto"/>
                <w:highlight w:val="none"/>
              </w:rPr>
            </w:pPr>
            <w:r>
              <w:rPr>
                <w:rFonts w:hint="eastAsia" w:ascii="宋体" w:hAnsi="宋体" w:cs="宋体"/>
                <w:color w:val="auto"/>
                <w:highlight w:val="none"/>
              </w:rPr>
              <w:t>公示媒介：</w:t>
            </w:r>
            <w:r>
              <w:rPr>
                <w:rFonts w:hint="eastAsia" w:ascii="宋体" w:hAnsi="宋体" w:cs="宋体"/>
                <w:color w:val="auto"/>
                <w:highlight w:val="none"/>
                <w:u w:val="single"/>
              </w:rPr>
              <w:t>中国招标投标公共服务平台、广东省招标投标监管网、广州交易集团有限公司（广州公共资源交易中心）网</w:t>
            </w:r>
            <w:r>
              <w:rPr>
                <w:rFonts w:hint="eastAsia" w:ascii="宋体" w:hAnsi="宋体" w:cs="宋体"/>
                <w:color w:val="auto"/>
                <w:highlight w:val="none"/>
              </w:rPr>
              <w:t>。</w:t>
            </w:r>
          </w:p>
          <w:p>
            <w:pPr>
              <w:rPr>
                <w:rFonts w:ascii="宋体" w:hAnsi="宋体" w:cs="宋体"/>
                <w:color w:val="auto"/>
                <w:highlight w:val="none"/>
              </w:rPr>
            </w:pPr>
            <w:r>
              <w:rPr>
                <w:rFonts w:hint="eastAsia" w:ascii="宋体" w:hAnsi="宋体" w:cs="宋体"/>
                <w:color w:val="auto"/>
                <w:highlight w:val="none"/>
              </w:rPr>
              <w:t>公示期限：3日。</w:t>
            </w:r>
          </w:p>
          <w:p>
            <w:pPr>
              <w:rPr>
                <w:rFonts w:ascii="宋体" w:hAnsi="宋体"/>
                <w:color w:val="auto"/>
                <w:highlight w:val="none"/>
              </w:rPr>
            </w:pPr>
            <w:r>
              <w:rPr>
                <w:rFonts w:hint="eastAsia" w:ascii="宋体" w:hAnsi="宋体"/>
                <w:color w:val="auto"/>
                <w:highlight w:val="none"/>
                <w:u w:val="single"/>
              </w:rPr>
              <w:t>备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7.4</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是否授权评标委员会确定中标人</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□是</w:t>
            </w:r>
          </w:p>
          <w:p>
            <w:pPr>
              <w:rPr>
                <w:rFonts w:ascii="宋体" w:hAnsi="宋体"/>
                <w:color w:val="auto"/>
                <w:highlight w:val="none"/>
              </w:rPr>
            </w:pPr>
            <w:r>
              <w:rPr>
                <w:rFonts w:hint="eastAsia" w:ascii="宋体" w:hAnsi="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7.6.1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履约保证金</w:t>
            </w:r>
          </w:p>
        </w:tc>
        <w:tc>
          <w:tcPr>
            <w:tcW w:w="6224" w:type="dxa"/>
            <w:tcBorders>
              <w:top w:val="single" w:color="auto" w:sz="4" w:space="0"/>
              <w:left w:val="nil"/>
              <w:bottom w:val="single" w:color="auto" w:sz="4" w:space="0"/>
              <w:right w:val="single" w:color="auto" w:sz="4" w:space="0"/>
            </w:tcBorders>
            <w:vAlign w:val="center"/>
          </w:tcPr>
          <w:p>
            <w:pPr>
              <w:rPr>
                <w:rFonts w:ascii="Calibri" w:hAnsi="宋体"/>
                <w:color w:val="auto"/>
                <w:highlight w:val="none"/>
              </w:rPr>
            </w:pPr>
            <w:r>
              <w:rPr>
                <w:rFonts w:hint="eastAsia" w:ascii="Calibri" w:hAnsi="宋体"/>
                <w:color w:val="auto"/>
                <w:highlight w:val="none"/>
              </w:rPr>
              <w:t>是否要求中标人提交履约保证金：</w:t>
            </w:r>
          </w:p>
          <w:p>
            <w:pPr>
              <w:rPr>
                <w:rFonts w:ascii="Calibri" w:hAnsi="宋体"/>
                <w:color w:val="auto"/>
                <w:highlight w:val="none"/>
              </w:rPr>
            </w:pPr>
            <w:r>
              <w:rPr>
                <w:rFonts w:hint="eastAsia" w:ascii="宋体" w:hAnsi="宋体"/>
                <w:color w:val="auto"/>
                <w:highlight w:val="none"/>
                <w:lang w:eastAsia="zh-CN"/>
              </w:rPr>
              <w:t>□</w:t>
            </w:r>
            <w:r>
              <w:rPr>
                <w:rFonts w:hint="eastAsia" w:ascii="Calibri" w:hAnsi="宋体"/>
                <w:color w:val="auto"/>
                <w:highlight w:val="none"/>
              </w:rPr>
              <w:t>要求，履约保证金的形式：</w:t>
            </w:r>
            <w:r>
              <w:rPr>
                <w:rFonts w:hint="eastAsia" w:ascii="宋体" w:hAnsi="宋体"/>
                <w:color w:val="auto"/>
                <w:highlight w:val="none"/>
                <w:u w:val="single"/>
                <w:lang w:val="en-US" w:eastAsia="zh-CN"/>
              </w:rPr>
              <w:t>/</w:t>
            </w:r>
          </w:p>
          <w:p>
            <w:pPr>
              <w:ind w:firstLine="840" w:firstLineChars="400"/>
              <w:rPr>
                <w:rFonts w:hint="eastAsia" w:ascii="宋体" w:hAnsi="宋体" w:eastAsia="宋体"/>
                <w:color w:val="auto"/>
                <w:highlight w:val="none"/>
                <w:lang w:eastAsia="zh-CN"/>
              </w:rPr>
            </w:pPr>
            <w:r>
              <w:rPr>
                <w:rFonts w:hint="eastAsia" w:ascii="宋体" w:hAnsi="宋体"/>
                <w:color w:val="auto"/>
                <w:highlight w:val="none"/>
              </w:rPr>
              <w:t>履约保证金的金额：</w:t>
            </w:r>
            <w:r>
              <w:rPr>
                <w:rFonts w:hint="eastAsia" w:ascii="宋体" w:hAnsi="宋体"/>
                <w:color w:val="auto"/>
                <w:highlight w:val="none"/>
                <w:u w:val="single"/>
                <w:lang w:val="en-US" w:eastAsia="zh-CN"/>
              </w:rPr>
              <w:t>/</w:t>
            </w:r>
          </w:p>
          <w:p>
            <w:pPr>
              <w:rPr>
                <w:rFonts w:ascii="宋体" w:hAnsi="宋体"/>
                <w:color w:val="auto"/>
                <w:highlight w:val="none"/>
              </w:rPr>
            </w:pPr>
            <w:r>
              <w:rPr>
                <w:rFonts w:hint="eastAsia" w:ascii="Calibri" w:hAnsi="宋体"/>
                <w:color w:val="auto"/>
                <w:highlight w:val="none"/>
                <w:lang w:eastAsia="zh-CN"/>
              </w:rPr>
              <w:t>☑</w:t>
            </w:r>
            <w:r>
              <w:rPr>
                <w:rFonts w:hint="eastAsia" w:ascii="Calibri" w:hAnsi="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9</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是否采用电子招标投标</w:t>
            </w:r>
          </w:p>
        </w:tc>
        <w:tc>
          <w:tcPr>
            <w:tcW w:w="6224" w:type="dxa"/>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□否</w:t>
            </w:r>
          </w:p>
          <w:p>
            <w:pPr>
              <w:rPr>
                <w:rFonts w:ascii="宋体" w:hAnsi="宋体"/>
                <w:color w:val="auto"/>
                <w:highlight w:val="none"/>
              </w:rPr>
            </w:pPr>
            <w:r>
              <w:rPr>
                <w:rFonts w:hint="eastAsia" w:ascii="宋体" w:hAnsi="宋体"/>
                <w:color w:val="auto"/>
                <w:highlight w:val="none"/>
              </w:rPr>
              <w:t>☑</w:t>
            </w:r>
            <w:r>
              <w:rPr>
                <w:rFonts w:hint="eastAsia" w:ascii="宋体" w:hAnsi="宋体" w:cs="宋体"/>
                <w:color w:val="auto"/>
                <w:highlight w:val="none"/>
              </w:rPr>
              <w:t>是，</w:t>
            </w:r>
            <w:r>
              <w:rPr>
                <w:rFonts w:hint="eastAsia" w:ascii="宋体" w:hAnsi="宋体"/>
                <w:color w:val="auto"/>
                <w:highlight w:val="none"/>
              </w:rPr>
              <w:t>具体要求</w:t>
            </w:r>
            <w:r>
              <w:rPr>
                <w:rFonts w:hint="eastAsia" w:ascii="宋体" w:hAnsi="宋体" w:cs="宋体"/>
                <w:color w:val="auto"/>
                <w:highlight w:val="none"/>
              </w:rPr>
              <w:t>：</w:t>
            </w:r>
          </w:p>
          <w:p>
            <w:pPr>
              <w:rPr>
                <w:rFonts w:ascii="宋体" w:hAnsi="宋体"/>
                <w:color w:val="auto"/>
                <w:highlight w:val="none"/>
              </w:rPr>
            </w:pPr>
            <w:r>
              <w:rPr>
                <w:rFonts w:hint="eastAsia" w:ascii="宋体" w:hAnsi="宋体"/>
                <w:color w:val="auto"/>
                <w:highlight w:val="none"/>
              </w:rPr>
              <w:t>（1）具体操作详见附件《房屋建筑和市政基础设施工程全流程电子化项目操作专章》。</w:t>
            </w:r>
          </w:p>
          <w:p>
            <w:pPr>
              <w:rPr>
                <w:rFonts w:ascii="宋体" w:hAnsi="宋体"/>
                <w:color w:val="auto"/>
                <w:highlight w:val="none"/>
              </w:rPr>
            </w:pPr>
            <w:r>
              <w:rPr>
                <w:rFonts w:hint="eastAsia" w:ascii="宋体" w:hAnsi="宋体"/>
                <w:color w:val="auto"/>
                <w:highlight w:val="none"/>
              </w:rPr>
              <w:t>（2）提交投标文件光盘备用</w:t>
            </w:r>
          </w:p>
          <w:p>
            <w:pPr>
              <w:rPr>
                <w:rFonts w:ascii="宋体" w:hAnsi="宋体"/>
                <w:color w:val="auto"/>
                <w:highlight w:val="none"/>
              </w:rPr>
            </w:pPr>
            <w:r>
              <w:rPr>
                <w:rFonts w:hint="eastAsia" w:ascii="宋体" w:hAnsi="宋体"/>
                <w:color w:val="auto"/>
                <w:highlight w:val="none"/>
              </w:rPr>
              <w:t>①投标人可制作非加密的电子投标文件（PDF格式及其相应word格式或excel格式文档）刻入光盘（1份），按招标公告规定的时间、地点提交备用。(刻录好的投标文件光盘密封在密封袋中，并在封口处加盖投标人单位公章。密封袋上应写明的内容见投标人须知前附表要求4.1.2。</w:t>
            </w:r>
          </w:p>
          <w:p>
            <w:pPr>
              <w:rPr>
                <w:rFonts w:ascii="宋体" w:hAnsi="宋体"/>
                <w:color w:val="auto"/>
                <w:highlight w:val="none"/>
              </w:rPr>
            </w:pPr>
            <w:r>
              <w:rPr>
                <w:rFonts w:hint="eastAsia" w:ascii="宋体" w:hAnsi="宋体"/>
                <w:color w:val="auto"/>
                <w:highlight w:val="none"/>
              </w:rPr>
              <w:t>②递交的投标文件（光盘）不得加密。光盘（投标文件）无法读取或导入的，则视为未提交备用投标文件光盘。如果投标人没有按规定通过交易平台网上递交电子投标文件的，不再读取提交的光盘。</w:t>
            </w:r>
          </w:p>
          <w:p>
            <w:pPr>
              <w:rPr>
                <w:rFonts w:ascii="宋体" w:hAnsi="宋体"/>
                <w:color w:val="auto"/>
                <w:highlight w:val="none"/>
              </w:rPr>
            </w:pPr>
            <w:r>
              <w:rPr>
                <w:rFonts w:hint="eastAsia" w:ascii="宋体" w:hAnsi="宋体"/>
                <w:color w:val="auto"/>
                <w:highlight w:val="none"/>
              </w:rPr>
              <w:t>（3）补救方案</w:t>
            </w:r>
          </w:p>
          <w:p>
            <w:pPr>
              <w:rPr>
                <w:rFonts w:ascii="宋体" w:hAnsi="宋体"/>
                <w:color w:val="auto"/>
                <w:highlight w:val="none"/>
              </w:rPr>
            </w:pPr>
            <w:r>
              <w:rPr>
                <w:rFonts w:hint="eastAsia" w:ascii="宋体" w:hAnsi="宋体"/>
                <w:color w:val="auto"/>
                <w:highlight w:val="none"/>
              </w:rPr>
              <w:t>①投标文件解密失败的补救方案：</w:t>
            </w:r>
          </w:p>
          <w:p>
            <w:pPr>
              <w:rPr>
                <w:rFonts w:ascii="宋体" w:hAnsi="宋体"/>
                <w:color w:val="auto"/>
                <w:highlight w:val="none"/>
              </w:rPr>
            </w:pPr>
            <w:r>
              <w:rPr>
                <w:rFonts w:hint="eastAsia" w:ascii="宋体" w:hAnsi="宋体"/>
                <w:color w:val="auto"/>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olor w:val="auto"/>
                <w:highlight w:val="none"/>
              </w:rPr>
            </w:pPr>
            <w:r>
              <w:rPr>
                <w:rFonts w:hint="eastAsia" w:ascii="宋体" w:hAnsi="宋体"/>
                <w:color w:val="auto"/>
                <w:highlight w:val="none"/>
              </w:rPr>
              <w:t>②评标时突发情况的补救方案</w:t>
            </w:r>
          </w:p>
          <w:p>
            <w:pPr>
              <w:rPr>
                <w:rFonts w:ascii="宋体" w:hAnsi="宋体"/>
                <w:color w:val="auto"/>
                <w:highlight w:val="none"/>
              </w:rPr>
            </w:pPr>
            <w:r>
              <w:rPr>
                <w:rFonts w:hint="eastAsia" w:ascii="宋体" w:hAnsi="宋体"/>
                <w:color w:val="auto"/>
                <w:highlight w:val="none"/>
              </w:rPr>
              <w:t>若遇不可抗力发生（如：网络瘫痪、服务器损坏、交易系统故障短期无法恢复等因素），由评标委员会开启现场递交的全部投标文件光盘，并按光盘内容进行评审。</w:t>
            </w:r>
          </w:p>
          <w:p>
            <w:pPr>
              <w:rPr>
                <w:rFonts w:ascii="宋体" w:hAnsi="宋体"/>
                <w:color w:val="auto"/>
                <w:highlight w:val="none"/>
              </w:rPr>
            </w:pPr>
            <w:r>
              <w:rPr>
                <w:rFonts w:hint="eastAsia" w:ascii="宋体" w:hAnsi="宋体"/>
                <w:color w:val="auto"/>
                <w:highlight w:val="none"/>
              </w:rPr>
              <w:t>③除发生上述情况外，开标评标均以投标人通过交易平台网上递交的电子投标文件为准。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ascii="Calibri" w:hAnsi="Calibri"/>
                <w:color w:val="auto"/>
                <w:highlight w:val="none"/>
              </w:rPr>
              <w:t>10</w:t>
            </w:r>
          </w:p>
        </w:tc>
        <w:tc>
          <w:tcPr>
            <w:tcW w:w="8775" w:type="dxa"/>
            <w:gridSpan w:val="2"/>
            <w:tcBorders>
              <w:top w:val="single" w:color="auto" w:sz="4" w:space="0"/>
              <w:left w:val="nil"/>
              <w:bottom w:val="single" w:color="auto" w:sz="4" w:space="0"/>
              <w:right w:val="single" w:color="auto" w:sz="4" w:space="0"/>
            </w:tcBorders>
            <w:vAlign w:val="center"/>
          </w:tcPr>
          <w:p>
            <w:pPr>
              <w:rPr>
                <w:rFonts w:ascii="宋体" w:hAnsi="宋体"/>
                <w:color w:val="auto"/>
                <w:highlight w:val="none"/>
              </w:rPr>
            </w:pPr>
            <w:r>
              <w:rPr>
                <w:rFonts w:hint="eastAsia" w:ascii="Calibri" w:hAnsi="Calibri"/>
                <w:color w:val="auto"/>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10.1</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评标方法及标准</w:t>
            </w:r>
          </w:p>
        </w:tc>
        <w:tc>
          <w:tcPr>
            <w:tcW w:w="6224" w:type="dxa"/>
            <w:tcBorders>
              <w:top w:val="single" w:color="auto" w:sz="4" w:space="0"/>
              <w:left w:val="nil"/>
              <w:bottom w:val="single" w:color="auto" w:sz="4" w:space="0"/>
              <w:right w:val="single" w:color="auto" w:sz="4" w:space="0"/>
            </w:tcBorders>
            <w:vAlign w:val="center"/>
          </w:tcPr>
          <w:p>
            <w:pPr>
              <w:autoSpaceDE w:val="0"/>
              <w:rPr>
                <w:rFonts w:ascii="宋体" w:hAnsi="宋体"/>
                <w:color w:val="auto"/>
                <w:highlight w:val="none"/>
              </w:rPr>
            </w:pPr>
            <w:r>
              <w:rPr>
                <w:rFonts w:hint="eastAsia" w:ascii="宋体" w:hAnsi="宋体"/>
                <w:color w:val="auto"/>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10.2</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特别提示</w:t>
            </w:r>
          </w:p>
        </w:tc>
        <w:tc>
          <w:tcPr>
            <w:tcW w:w="6224" w:type="dxa"/>
            <w:tcBorders>
              <w:top w:val="single" w:color="auto" w:sz="4" w:space="0"/>
              <w:left w:val="nil"/>
              <w:bottom w:val="single" w:color="auto" w:sz="4" w:space="0"/>
              <w:right w:val="single" w:color="auto" w:sz="4" w:space="0"/>
            </w:tcBorders>
            <w:vAlign w:val="center"/>
          </w:tcPr>
          <w:p>
            <w:pPr>
              <w:rPr>
                <w:rFonts w:hint="eastAsia" w:ascii="宋体" w:hAnsi="宋体"/>
                <w:color w:val="auto"/>
                <w:highlight w:val="none"/>
              </w:rPr>
            </w:pPr>
            <w:r>
              <w:rPr>
                <w:rFonts w:hint="eastAsia" w:ascii="宋体" w:hAnsi="宋体"/>
                <w:color w:val="auto"/>
                <w:highlight w:val="none"/>
              </w:rPr>
              <w:t>特别提示：投标人在本项目招标人的工程项目中存在下列行为的，将被拒绝一年内参与招标人后续工程投标。（注：拒绝投标时限由招标人视严重程度确定，最低三个月起，自招标人发出通知之日起计）：</w:t>
            </w:r>
          </w:p>
          <w:p>
            <w:pPr>
              <w:rPr>
                <w:rFonts w:hint="eastAsia" w:ascii="宋体" w:hAnsi="宋体"/>
                <w:color w:val="auto"/>
                <w:highlight w:val="none"/>
              </w:rPr>
            </w:pPr>
            <w:r>
              <w:rPr>
                <w:rFonts w:hint="eastAsia" w:ascii="宋体" w:hAnsi="宋体"/>
                <w:color w:val="auto"/>
                <w:highlight w:val="none"/>
              </w:rPr>
              <w:t>1.将中标工程转包或者违法分包的;</w:t>
            </w:r>
          </w:p>
          <w:p>
            <w:pPr>
              <w:rPr>
                <w:rFonts w:hint="eastAsia" w:ascii="宋体" w:hAnsi="宋体"/>
                <w:color w:val="auto"/>
                <w:highlight w:val="none"/>
              </w:rPr>
            </w:pPr>
            <w:r>
              <w:rPr>
                <w:rFonts w:hint="eastAsia" w:ascii="宋体" w:hAnsi="宋体"/>
                <w:color w:val="auto"/>
                <w:highlight w:val="none"/>
              </w:rPr>
              <w:t>2.在中标工程中不执行质量、安全生产相关规定的，造成质量或安全事故的；</w:t>
            </w:r>
          </w:p>
          <w:p>
            <w:pPr>
              <w:rPr>
                <w:rFonts w:hint="eastAsia" w:ascii="宋体" w:hAnsi="宋体"/>
                <w:color w:val="auto"/>
                <w:highlight w:val="none"/>
              </w:rPr>
            </w:pPr>
            <w:r>
              <w:rPr>
                <w:rFonts w:hint="eastAsia" w:ascii="宋体" w:hAnsi="宋体"/>
                <w:color w:val="auto"/>
                <w:highlight w:val="none"/>
              </w:rPr>
              <w:t>3.存在围标或串标情形的;</w:t>
            </w:r>
          </w:p>
          <w:p>
            <w:pPr>
              <w:rPr>
                <w:rFonts w:hint="eastAsia" w:ascii="宋体" w:hAnsi="宋体"/>
                <w:color w:val="auto"/>
                <w:highlight w:val="none"/>
              </w:rPr>
            </w:pPr>
            <w:r>
              <w:rPr>
                <w:rFonts w:hint="eastAsia" w:ascii="宋体" w:hAnsi="宋体"/>
                <w:color w:val="auto"/>
                <w:highlight w:val="none"/>
              </w:rPr>
              <w:t>4.存在弄虚作假骗取中标、行贿情形的;</w:t>
            </w:r>
          </w:p>
          <w:p>
            <w:pPr>
              <w:rPr>
                <w:rFonts w:hint="eastAsia" w:ascii="宋体" w:hAnsi="宋体"/>
                <w:color w:val="auto"/>
                <w:highlight w:val="none"/>
              </w:rPr>
            </w:pPr>
            <w:r>
              <w:rPr>
                <w:rFonts w:hint="eastAsia" w:ascii="宋体" w:hAnsi="宋体"/>
                <w:color w:val="auto"/>
                <w:highlight w:val="none"/>
              </w:rPr>
              <w:t>5.拖欠农民工工资的；</w:t>
            </w:r>
          </w:p>
          <w:p>
            <w:pPr>
              <w:rPr>
                <w:rFonts w:ascii="宋体" w:hAnsi="宋体"/>
                <w:color w:val="auto"/>
                <w:highlight w:val="none"/>
              </w:rPr>
            </w:pPr>
            <w:r>
              <w:rPr>
                <w:rFonts w:hint="eastAsia" w:ascii="宋体" w:hAnsi="宋体"/>
                <w:color w:val="auto"/>
                <w:highlight w:val="none"/>
              </w:rPr>
              <w:t>6.未按照国家、省、市有关建筑施工实名制管理和工人工资支付分账管理的规定执行，被行政监管部门处罚的。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10.3</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招标失败情形</w:t>
            </w:r>
          </w:p>
        </w:tc>
        <w:tc>
          <w:tcPr>
            <w:tcW w:w="6224" w:type="dxa"/>
            <w:tcBorders>
              <w:top w:val="single" w:color="auto" w:sz="4" w:space="0"/>
              <w:left w:val="nil"/>
              <w:bottom w:val="single" w:color="auto" w:sz="4" w:space="0"/>
              <w:right w:val="single" w:color="auto" w:sz="4" w:space="0"/>
            </w:tcBorders>
            <w:vAlign w:val="center"/>
          </w:tcPr>
          <w:p>
            <w:pPr>
              <w:spacing w:line="360" w:lineRule="auto"/>
              <w:rPr>
                <w:rFonts w:ascii="Calibri" w:hAnsi="Calibri"/>
                <w:color w:val="auto"/>
                <w:highlight w:val="none"/>
              </w:rPr>
            </w:pPr>
            <w:r>
              <w:rPr>
                <w:rFonts w:hint="eastAsia" w:ascii="宋体" w:hAnsi="宋体" w:cs="宋体"/>
                <w:color w:val="auto"/>
                <w:highlight w:val="none"/>
              </w:rPr>
              <w:t>本项目采用资格后审方式，满足资格审查合格条件或通过初步评审的投标人不足</w:t>
            </w:r>
            <w:r>
              <w:rPr>
                <w:rFonts w:ascii="宋体" w:hAnsi="宋体" w:cs="宋体"/>
                <w:color w:val="auto"/>
                <w:highlight w:val="none"/>
              </w:rPr>
              <w:t>3</w:t>
            </w:r>
            <w:r>
              <w:rPr>
                <w:rFonts w:hint="eastAsia" w:ascii="宋体" w:hAnsi="宋体" w:cs="宋体"/>
                <w:color w:val="auto"/>
                <w:highlight w:val="none"/>
              </w:rPr>
              <w:t>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10.4</w:t>
            </w:r>
          </w:p>
        </w:tc>
        <w:tc>
          <w:tcPr>
            <w:tcW w:w="2551" w:type="dxa"/>
            <w:tcBorders>
              <w:top w:val="single" w:color="auto" w:sz="4" w:space="0"/>
              <w:left w:val="nil"/>
              <w:bottom w:val="single" w:color="auto" w:sz="4" w:space="0"/>
              <w:right w:val="single" w:color="auto" w:sz="4" w:space="0"/>
            </w:tcBorders>
            <w:vAlign w:val="center"/>
          </w:tcPr>
          <w:p>
            <w:pPr>
              <w:spacing w:line="400" w:lineRule="exact"/>
              <w:ind w:right="174" w:rightChars="83"/>
              <w:jc w:val="center"/>
              <w:rPr>
                <w:rFonts w:ascii="宋体" w:hAnsi="宋体"/>
                <w:color w:val="auto"/>
                <w:highlight w:val="none"/>
              </w:rPr>
            </w:pPr>
            <w:r>
              <w:rPr>
                <w:rFonts w:hint="eastAsia" w:ascii="宋体" w:hAnsi="宋体"/>
                <w:color w:val="auto"/>
                <w:highlight w:val="none"/>
              </w:rPr>
              <w:t>否决投标条款</w:t>
            </w:r>
          </w:p>
        </w:tc>
        <w:tc>
          <w:tcPr>
            <w:tcW w:w="6224" w:type="dxa"/>
            <w:tcBorders>
              <w:top w:val="single" w:color="auto" w:sz="4" w:space="0"/>
              <w:left w:val="nil"/>
              <w:bottom w:val="single" w:color="auto" w:sz="4" w:space="0"/>
              <w:right w:val="single" w:color="auto" w:sz="4" w:space="0"/>
            </w:tcBorders>
            <w:vAlign w:val="center"/>
          </w:tcPr>
          <w:p>
            <w:pPr>
              <w:spacing w:line="300" w:lineRule="exact"/>
              <w:rPr>
                <w:rFonts w:ascii="宋体" w:hAnsi="宋体"/>
                <w:color w:val="auto"/>
                <w:highlight w:val="none"/>
                <w:u w:val="single"/>
              </w:rPr>
            </w:pPr>
            <w:r>
              <w:rPr>
                <w:rFonts w:hint="eastAsia" w:ascii="宋体" w:hAnsi="宋体"/>
                <w:color w:val="auto"/>
                <w:highlight w:val="none"/>
                <w:u w:val="single"/>
              </w:rPr>
              <w:t>否决投标条款：</w:t>
            </w:r>
          </w:p>
          <w:p>
            <w:pPr>
              <w:spacing w:line="300" w:lineRule="exact"/>
              <w:ind w:left="38" w:leftChars="17" w:hanging="2" w:hangingChars="1"/>
              <w:rPr>
                <w:rFonts w:ascii="宋体" w:hAnsi="宋体"/>
                <w:color w:val="auto"/>
                <w:highlight w:val="none"/>
                <w:u w:val="single"/>
              </w:rPr>
            </w:pPr>
            <w:r>
              <w:rPr>
                <w:rFonts w:hint="eastAsia" w:ascii="宋体" w:hAnsi="宋体"/>
                <w:color w:val="auto"/>
                <w:highlight w:val="none"/>
                <w:u w:val="single"/>
              </w:rPr>
              <w:t>投标文件符合列于《评标办法前附表》“形式评审标准”“资格评审标准”“响应性评审标准”中所有情形的，为有效投标文件。任一情形不符合均为无效投标文件，经评标委员会认定后，其投标文件将被否决。</w:t>
            </w:r>
          </w:p>
          <w:p>
            <w:pPr>
              <w:spacing w:line="300" w:lineRule="exact"/>
              <w:ind w:left="38" w:leftChars="17" w:hanging="2" w:hangingChars="1"/>
              <w:rPr>
                <w:rFonts w:ascii="宋体" w:hAnsi="宋体"/>
                <w:color w:val="auto"/>
                <w:highlight w:val="none"/>
                <w:u w:val="single"/>
              </w:rPr>
            </w:pPr>
            <w:r>
              <w:rPr>
                <w:rFonts w:hint="eastAsia" w:ascii="宋体" w:hAnsi="宋体"/>
                <w:color w:val="auto"/>
                <w:highlight w:val="none"/>
                <w:u w:val="single"/>
              </w:rPr>
              <w:t>注:评委发现投标文件中含义不明确、对同类问题表述不一致、有明显文字和计算错误的，应当要求投标人作必要的澄清、说明后再判定投标人是否通过有效性审查，不得直接否决投标。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10.5</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招标人拒绝接收其投标文件情况</w:t>
            </w:r>
          </w:p>
        </w:tc>
        <w:tc>
          <w:tcPr>
            <w:tcW w:w="6224" w:type="dxa"/>
            <w:tcBorders>
              <w:top w:val="single" w:color="auto" w:sz="4" w:space="0"/>
              <w:left w:val="nil"/>
              <w:bottom w:val="single" w:color="auto" w:sz="4" w:space="0"/>
              <w:right w:val="single" w:color="auto" w:sz="4" w:space="0"/>
            </w:tcBorders>
            <w:vAlign w:val="center"/>
          </w:tcPr>
          <w:p>
            <w:pPr>
              <w:pStyle w:val="61"/>
              <w:snapToGrid w:val="0"/>
              <w:rPr>
                <w:color w:val="auto"/>
                <w:highlight w:val="none"/>
              </w:rPr>
            </w:pPr>
            <w:r>
              <w:rPr>
                <w:rFonts w:hint="eastAsia"/>
                <w:color w:val="auto"/>
                <w:highlight w:val="none"/>
              </w:rPr>
              <w:t>1、在投标截止期后逾期上传递交电子投标文件的；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10.6</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其他</w:t>
            </w:r>
          </w:p>
        </w:tc>
        <w:tc>
          <w:tcPr>
            <w:tcW w:w="6224" w:type="dxa"/>
            <w:tcBorders>
              <w:top w:val="single" w:color="auto" w:sz="4" w:space="0"/>
              <w:left w:val="nil"/>
              <w:bottom w:val="single" w:color="auto" w:sz="4" w:space="0"/>
              <w:right w:val="single" w:color="auto" w:sz="4" w:space="0"/>
            </w:tcBorders>
            <w:vAlign w:val="center"/>
          </w:tcPr>
          <w:p>
            <w:pPr>
              <w:pStyle w:val="61"/>
              <w:snapToGrid w:val="0"/>
              <w:rPr>
                <w:color w:val="auto"/>
                <w:highlight w:val="none"/>
              </w:rPr>
            </w:pPr>
            <w:r>
              <w:rPr>
                <w:rFonts w:hint="eastAsia" w:cs="Times New Roman"/>
                <w:color w:val="auto"/>
                <w:highlight w:val="none"/>
              </w:rPr>
              <w:t>1、在产生中标候选人后，招标人将中标候选人的投标文件商务部分的电子版（报价清单、方案等涉及商业秘密的内容除外）在</w:t>
            </w:r>
            <w:r>
              <w:rPr>
                <w:rFonts w:hint="eastAsia" w:cs="Times New Roman"/>
                <w:color w:val="auto"/>
                <w:highlight w:val="none"/>
                <w:u w:val="single"/>
              </w:rPr>
              <w:t>广州交易集团有限公司（广州公共资源交易中心）</w:t>
            </w:r>
            <w:r>
              <w:rPr>
                <w:rFonts w:hint="eastAsia" w:cs="Times New Roman"/>
                <w:color w:val="auto"/>
                <w:highlight w:val="none"/>
              </w:rPr>
              <w:t>网站公开。</w:t>
            </w:r>
          </w:p>
          <w:p>
            <w:pPr>
              <w:pStyle w:val="61"/>
              <w:snapToGrid w:val="0"/>
              <w:rPr>
                <w:color w:val="auto"/>
                <w:highlight w:val="none"/>
              </w:rPr>
            </w:pPr>
            <w:r>
              <w:rPr>
                <w:rFonts w:hint="eastAsia" w:cs="Times New Roman"/>
                <w:color w:val="auto"/>
                <w:highlight w:val="none"/>
              </w:rPr>
              <w:t>3、招标公告、招标文件、答疑纪要、图纸等招标资料全部发布在</w:t>
            </w:r>
            <w:r>
              <w:rPr>
                <w:rFonts w:hint="eastAsia" w:cs="Times New Roman"/>
                <w:color w:val="auto"/>
                <w:highlight w:val="none"/>
                <w:u w:val="single"/>
              </w:rPr>
              <w:t>广州交易集团有限公司（广州公共资源交易中心）</w:t>
            </w:r>
            <w:r>
              <w:rPr>
                <w:rFonts w:hint="eastAsia" w:cs="Times New Roman"/>
                <w:color w:val="auto"/>
                <w:highlight w:val="none"/>
              </w:rPr>
              <w:t>网站，由投标人自行下载查阅。</w:t>
            </w:r>
          </w:p>
          <w:p>
            <w:pPr>
              <w:pStyle w:val="61"/>
              <w:snapToGrid w:val="0"/>
              <w:rPr>
                <w:rFonts w:cs="Times New Roman"/>
                <w:color w:val="auto"/>
                <w:highlight w:val="none"/>
              </w:rPr>
            </w:pPr>
            <w:r>
              <w:rPr>
                <w:rFonts w:hint="eastAsia" w:cs="Times New Roman"/>
                <w:color w:val="auto"/>
                <w:highlight w:val="none"/>
              </w:rPr>
              <w:t>4、投标截止时间、开标时间和地点：发布在</w:t>
            </w:r>
            <w:r>
              <w:rPr>
                <w:rFonts w:hint="eastAsia" w:cs="Times New Roman"/>
                <w:color w:val="auto"/>
                <w:highlight w:val="none"/>
                <w:u w:val="single"/>
              </w:rPr>
              <w:t>广州交易集团有限公司（广州公共资源交易中心）</w:t>
            </w:r>
            <w:r>
              <w:rPr>
                <w:rFonts w:hint="eastAsia" w:cs="Times New Roman"/>
                <w:color w:val="auto"/>
                <w:highlight w:val="none"/>
              </w:rPr>
              <w:t>网站（具体在网站主页“服务指南”中“交易活动安排”栏目上以“项目名称”或“项目编号”进行查询）。</w:t>
            </w:r>
          </w:p>
          <w:p>
            <w:pPr>
              <w:pStyle w:val="61"/>
              <w:autoSpaceDE w:val="0"/>
              <w:snapToGrid w:val="0"/>
              <w:rPr>
                <w:color w:val="auto"/>
                <w:highlight w:val="none"/>
              </w:rPr>
            </w:pPr>
            <w:r>
              <w:rPr>
                <w:rFonts w:hint="eastAsia"/>
                <w:color w:val="auto"/>
                <w:highlight w:val="none"/>
              </w:rPr>
              <w:t>5、招标人根据评标委员会递交的评标报告，最终依法审定中标人。但在签订合同前的任何时候，评委、招标人以及其他人员发现投标人在招标过程有弄虚作假、虚报资料情况的，一经查实，立即取消其中标人资格。</w:t>
            </w:r>
          </w:p>
          <w:p>
            <w:pPr>
              <w:pStyle w:val="61"/>
              <w:autoSpaceDE w:val="0"/>
              <w:snapToGrid w:val="0"/>
              <w:rPr>
                <w:color w:val="auto"/>
                <w:highlight w:val="none"/>
              </w:rPr>
            </w:pPr>
            <w:r>
              <w:rPr>
                <w:color w:val="auto"/>
                <w:highlight w:val="none"/>
              </w:rPr>
              <w:t>6、</w:t>
            </w:r>
            <w:r>
              <w:rPr>
                <w:rFonts w:hint="eastAsia"/>
                <w:color w:val="auto"/>
                <w:highlight w:val="none"/>
              </w:rPr>
              <w:t>中标后，中标单位须提交与网上上传电子投标文件完全一致的纸质投标文件（一正四副，加盖公章）给招标单位。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10.7</w:t>
            </w:r>
          </w:p>
        </w:tc>
        <w:tc>
          <w:tcPr>
            <w:tcW w:w="2551"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相关费用</w:t>
            </w:r>
          </w:p>
        </w:tc>
        <w:tc>
          <w:tcPr>
            <w:tcW w:w="6224" w:type="dxa"/>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eastAsia="宋体"/>
                <w:color w:val="auto"/>
                <w:highlight w:val="none"/>
              </w:rPr>
            </w:pPr>
            <w:r>
              <w:rPr>
                <w:rFonts w:hint="eastAsia"/>
                <w:color w:val="auto"/>
                <w:highlight w:val="none"/>
                <w:lang w:val="en-US" w:eastAsia="zh-CN"/>
              </w:rPr>
              <w:t>一、</w:t>
            </w:r>
            <w:r>
              <w:rPr>
                <w:rFonts w:hint="eastAsia"/>
                <w:color w:val="auto"/>
                <w:highlight w:val="none"/>
              </w:rPr>
              <w:t>中标人代缴广州公共资源交易中心交易服务费，其费用包含在中标人报价中，由广州公共资</w:t>
            </w:r>
            <w:r>
              <w:rPr>
                <w:rFonts w:hint="eastAsia" w:ascii="Times New Roman" w:hAnsi="Times New Roman" w:eastAsia="宋体"/>
                <w:color w:val="auto"/>
                <w:highlight w:val="none"/>
              </w:rPr>
              <w:t>源交易中心向中标人开具发票。</w:t>
            </w:r>
          </w:p>
          <w:p>
            <w:pPr>
              <w:widowControl/>
              <w:spacing w:line="360" w:lineRule="auto"/>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二、招标代理服务费：</w:t>
            </w:r>
          </w:p>
          <w:p>
            <w:pPr>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代理费类型：</w:t>
            </w:r>
            <w:r>
              <w:rPr>
                <w:rFonts w:hint="eastAsia" w:ascii="宋体" w:hAnsi="宋体"/>
                <w:color w:val="auto"/>
                <w:szCs w:val="21"/>
                <w:highlight w:val="none"/>
                <w:lang w:val="en-US" w:eastAsia="zh-CN"/>
              </w:rPr>
              <w:t>服务</w:t>
            </w:r>
            <w:r>
              <w:rPr>
                <w:rFonts w:hint="eastAsia" w:ascii="宋体" w:hAnsi="宋体"/>
                <w:color w:val="auto"/>
                <w:szCs w:val="21"/>
                <w:highlight w:val="none"/>
              </w:rPr>
              <w:t>类。</w:t>
            </w:r>
          </w:p>
          <w:p>
            <w:pPr>
              <w:numPr>
                <w:ilvl w:val="0"/>
                <w:numId w:val="2"/>
              </w:numPr>
              <w:spacing w:line="360" w:lineRule="auto"/>
              <w:rPr>
                <w:rFonts w:hint="eastAsia" w:hAnsi="宋体"/>
                <w:b/>
                <w:color w:val="auto"/>
                <w:szCs w:val="21"/>
                <w:highlight w:val="none"/>
                <w:lang w:eastAsia="zh-CN"/>
              </w:rPr>
            </w:pPr>
            <w:r>
              <w:rPr>
                <w:rFonts w:hint="eastAsia" w:hAnsi="宋体"/>
                <w:color w:val="auto"/>
                <w:szCs w:val="21"/>
                <w:highlight w:val="none"/>
              </w:rPr>
              <w:t>招标代理服务费：本项目招标代理费用参照国家计委计价格[2002]1980号文为收费标准，</w:t>
            </w:r>
            <w:r>
              <w:rPr>
                <w:rFonts w:hint="eastAsia" w:hAnsi="宋体"/>
                <w:color w:val="auto"/>
                <w:szCs w:val="21"/>
                <w:highlight w:val="none"/>
                <w:lang w:eastAsia="zh-CN"/>
              </w:rPr>
              <w:t>中标</w:t>
            </w:r>
            <w:r>
              <w:rPr>
                <w:rFonts w:hint="eastAsia" w:hAnsi="宋体"/>
                <w:color w:val="auto"/>
                <w:szCs w:val="21"/>
                <w:highlight w:val="none"/>
                <w:lang w:val="en-US" w:eastAsia="zh-CN"/>
              </w:rPr>
              <w:t>单位</w:t>
            </w:r>
            <w:r>
              <w:rPr>
                <w:rFonts w:hint="eastAsia" w:hAnsi="宋体"/>
                <w:color w:val="auto"/>
                <w:szCs w:val="21"/>
                <w:highlight w:val="none"/>
              </w:rPr>
              <w:t>向</w:t>
            </w:r>
            <w:r>
              <w:rPr>
                <w:rFonts w:hint="eastAsia" w:hAnsi="宋体"/>
                <w:color w:val="auto"/>
                <w:szCs w:val="21"/>
                <w:highlight w:val="none"/>
                <w:lang w:eastAsia="zh-CN"/>
              </w:rPr>
              <w:t>招标</w:t>
            </w:r>
            <w:r>
              <w:rPr>
                <w:rFonts w:hint="eastAsia" w:hAnsi="宋体"/>
                <w:color w:val="auto"/>
                <w:szCs w:val="21"/>
                <w:highlight w:val="none"/>
              </w:rPr>
              <w:t>代理机构</w:t>
            </w:r>
            <w:r>
              <w:rPr>
                <w:rFonts w:hint="eastAsia" w:hAnsi="宋体"/>
                <w:color w:val="auto"/>
                <w:szCs w:val="21"/>
                <w:highlight w:val="none"/>
                <w:lang w:eastAsia="zh-CN"/>
              </w:rPr>
              <w:t>广州竣盛工程造价咨询有限公司</w:t>
            </w:r>
            <w:r>
              <w:rPr>
                <w:rFonts w:hint="eastAsia" w:hAnsi="宋体"/>
                <w:color w:val="auto"/>
                <w:szCs w:val="21"/>
                <w:highlight w:val="none"/>
              </w:rPr>
              <w:t>支付</w:t>
            </w:r>
            <w:r>
              <w:rPr>
                <w:rFonts w:hint="eastAsia" w:hAnsi="宋体"/>
                <w:color w:val="auto"/>
                <w:szCs w:val="21"/>
                <w:highlight w:val="none"/>
                <w:lang w:eastAsia="zh-CN"/>
              </w:rPr>
              <w:t>。</w:t>
            </w:r>
          </w:p>
          <w:p>
            <w:pPr>
              <w:pStyle w:val="14"/>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金额为固定包干价格人民币：36476.20元（大写：</w:t>
            </w:r>
            <w:r>
              <w:rPr>
                <w:rFonts w:hint="eastAsia" w:ascii="宋体" w:hAnsi="宋体" w:eastAsia="宋体" w:cs="宋体"/>
                <w:color w:val="auto"/>
                <w:szCs w:val="21"/>
                <w:highlight w:val="none"/>
                <w:lang w:val="en-US" w:eastAsia="zh-CN"/>
              </w:rPr>
              <w:t>叁万陆仟肆佰柒拾陆元贰角</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3）费用支付方式：</w:t>
            </w:r>
            <w:r>
              <w:rPr>
                <w:rFonts w:hint="eastAsia" w:ascii="宋体" w:hAnsi="宋体" w:eastAsia="宋体" w:cs="宋体"/>
                <w:color w:val="auto"/>
                <w:szCs w:val="21"/>
                <w:highlight w:val="none"/>
                <w:lang w:val="en-US" w:eastAsia="zh-CN"/>
              </w:rPr>
              <w:t>中标单位</w:t>
            </w:r>
            <w:r>
              <w:rPr>
                <w:rFonts w:hint="eastAsia" w:ascii="宋体" w:hAnsi="宋体" w:eastAsia="宋体" w:cs="宋体"/>
                <w:color w:val="auto"/>
                <w:szCs w:val="21"/>
                <w:highlight w:val="none"/>
              </w:rPr>
              <w:t>在领取</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通知书前向</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代理机构</w:t>
            </w:r>
            <w:r>
              <w:rPr>
                <w:rFonts w:hint="eastAsia" w:ascii="宋体" w:hAnsi="宋体" w:eastAsia="宋体" w:cs="宋体"/>
                <w:color w:val="auto"/>
                <w:szCs w:val="21"/>
                <w:highlight w:val="none"/>
                <w:lang w:eastAsia="zh-CN"/>
              </w:rPr>
              <w:t>广州竣盛工程造价咨询有限公司</w:t>
            </w:r>
            <w:r>
              <w:rPr>
                <w:rFonts w:hint="eastAsia" w:ascii="宋体" w:hAnsi="宋体" w:eastAsia="宋体" w:cs="宋体"/>
                <w:color w:val="auto"/>
                <w:szCs w:val="21"/>
                <w:highlight w:val="none"/>
              </w:rPr>
              <w:t>一次性支付。代理机构同时向缴费单位开具发票。</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4）汇款帐号：</w:t>
            </w:r>
          </w:p>
          <w:p>
            <w:pPr>
              <w:pStyle w:val="14"/>
              <w:spacing w:line="360" w:lineRule="auto"/>
              <w:rPr>
                <w:rFonts w:hint="eastAsia" w:ascii="宋体" w:hAnsi="宋体" w:eastAsia="宋体" w:cs="宋体"/>
                <w:b/>
                <w:bCs/>
                <w:color w:val="auto"/>
                <w:szCs w:val="21"/>
                <w:highlight w:val="none"/>
                <w:u w:val="single"/>
                <w:lang w:eastAsia="zh-CN"/>
              </w:rPr>
            </w:pPr>
            <w:r>
              <w:rPr>
                <w:rFonts w:hint="eastAsia" w:ascii="宋体" w:hAnsi="宋体" w:eastAsia="宋体" w:cs="宋体"/>
                <w:color w:val="auto"/>
                <w:szCs w:val="21"/>
                <w:highlight w:val="none"/>
              </w:rPr>
              <w:t>收款单位：</w:t>
            </w:r>
            <w:r>
              <w:rPr>
                <w:rFonts w:hint="eastAsia" w:ascii="宋体" w:hAnsi="宋体" w:eastAsia="宋体" w:cs="宋体"/>
                <w:color w:val="auto"/>
                <w:szCs w:val="21"/>
                <w:highlight w:val="none"/>
                <w:lang w:eastAsia="zh-CN"/>
              </w:rPr>
              <w:t>广州竣盛工程造价咨询有限公司</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开户行：建行广州供电局大厦支行</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银行账号：44001101260052500061</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*2017年7月1日起招标代理业务必须开具增值税发票，为不影响招标代理业务顺利进行，请各单位开票前准备以下资料发送至junshengzb@126.com：</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1、营业执照副本复印件；</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2、国税登记证副本复印件(已办理三证合一的不需提供)；</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3、开户许可证复印件；</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4、一般纳税人证明复印件（或税务事项通知书（认定通知）。</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5、如需开具增值税专用发票，请提供公司名称、纳税人识别号、地址电话、开户行及账号信息。</w:t>
            </w:r>
          </w:p>
          <w:p>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上述资料需加盖公章。</w:t>
            </w:r>
          </w:p>
          <w:p>
            <w:pPr>
              <w:pStyle w:val="61"/>
              <w:autoSpaceDE w:val="0"/>
              <w:snapToGrid w:val="0"/>
              <w:rPr>
                <w:rFonts w:hint="eastAsia"/>
                <w:color w:val="auto"/>
                <w:highlight w:val="none"/>
              </w:rPr>
            </w:pPr>
            <w:r>
              <w:rPr>
                <w:rFonts w:hint="eastAsia" w:ascii="宋体" w:hAnsi="宋体" w:eastAsia="宋体" w:cs="宋体"/>
                <w:color w:val="auto"/>
                <w:szCs w:val="21"/>
                <w:highlight w:val="none"/>
              </w:rPr>
              <w:t>注：由于增值税专用发票抵扣期为自开票之日起360天内（不是</w:t>
            </w: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年），超过360天未抵扣的专用发票不能抵扣不能作废</w:t>
            </w:r>
            <w:r>
              <w:rPr>
                <w:rFonts w:hint="eastAsia" w:ascii="宋体" w:hAnsi="宋体" w:eastAsia="宋体" w:cs="宋体"/>
                <w:color w:val="auto"/>
                <w:szCs w:val="21"/>
                <w:highlight w:val="none"/>
                <w:lang w:eastAsia="zh-CN"/>
              </w:rPr>
              <w:t>。</w:t>
            </w:r>
          </w:p>
        </w:tc>
      </w:tr>
    </w:tbl>
    <w:p>
      <w:pPr>
        <w:spacing w:line="540" w:lineRule="exact"/>
        <w:jc w:val="left"/>
        <w:rPr>
          <w:rFonts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 w:val="24"/>
          <w:szCs w:val="24"/>
          <w:highlight w:val="none"/>
        </w:rPr>
        <w:t xml:space="preserve"> </w:t>
      </w:r>
    </w:p>
    <w:p>
      <w:pPr>
        <w:pStyle w:val="4"/>
        <w:spacing w:line="360" w:lineRule="auto"/>
        <w:rPr>
          <w:rFonts w:ascii="宋体" w:hAnsi="宋体" w:eastAsia="宋体"/>
          <w:color w:val="auto"/>
          <w:highlight w:val="none"/>
        </w:rPr>
      </w:pPr>
      <w:bookmarkStart w:id="37" w:name="_Toc23830"/>
      <w:bookmarkStart w:id="38" w:name="_Toc492300564"/>
      <w:r>
        <w:rPr>
          <w:rFonts w:ascii="宋体" w:hAnsi="宋体" w:eastAsia="宋体"/>
          <w:color w:val="auto"/>
          <w:highlight w:val="none"/>
        </w:rPr>
        <w:t>1. 总则</w:t>
      </w:r>
      <w:bookmarkEnd w:id="37"/>
      <w:bookmarkEnd w:id="38"/>
    </w:p>
    <w:p>
      <w:pPr>
        <w:pStyle w:val="5"/>
        <w:ind w:firstLine="137"/>
        <w:rPr>
          <w:rFonts w:ascii="宋体" w:hAnsi="宋体"/>
          <w:color w:val="auto"/>
          <w:highlight w:val="none"/>
        </w:rPr>
      </w:pPr>
      <w:bookmarkStart w:id="39" w:name="_Toc492300565"/>
      <w:bookmarkStart w:id="40" w:name="_Toc1665"/>
      <w:r>
        <w:rPr>
          <w:rFonts w:ascii="宋体" w:hAnsi="宋体"/>
          <w:color w:val="auto"/>
          <w:highlight w:val="none"/>
        </w:rPr>
        <w:t>1.1 招标项目概况</w:t>
      </w:r>
      <w:bookmarkEnd w:id="39"/>
      <w:bookmarkEnd w:id="40"/>
    </w:p>
    <w:p>
      <w:pPr>
        <w:spacing w:line="360" w:lineRule="auto"/>
        <w:ind w:firstLine="420" w:firstLineChars="200"/>
        <w:rPr>
          <w:rFonts w:ascii="宋体" w:hAnsi="宋体"/>
          <w:color w:val="auto"/>
          <w:highlight w:val="none"/>
        </w:rPr>
      </w:pPr>
      <w:r>
        <w:rPr>
          <w:rFonts w:ascii="宋体" w:hAnsi="宋体"/>
          <w:color w:val="auto"/>
          <w:highlight w:val="none"/>
        </w:rPr>
        <w:t>1.1.1根据《中华人民共和国招标投标法》、《中华人民共和国招标投标法实施条例》等有关法律、法规和规章的规定，本招标项目已具备招标条件，现对工程监理进行招标。</w:t>
      </w:r>
    </w:p>
    <w:p>
      <w:pPr>
        <w:spacing w:line="360" w:lineRule="auto"/>
        <w:ind w:firstLine="420" w:firstLineChars="200"/>
        <w:rPr>
          <w:rFonts w:ascii="宋体" w:hAnsi="宋体"/>
          <w:color w:val="auto"/>
          <w:highlight w:val="none"/>
        </w:rPr>
      </w:pPr>
      <w:r>
        <w:rPr>
          <w:rFonts w:ascii="宋体" w:hAnsi="宋体"/>
          <w:color w:val="auto"/>
          <w:highlight w:val="none"/>
        </w:rPr>
        <w:t>1.1.2招标人：见投标人须知前附表。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1.1.3招标代理机构：见投标人须知前附表。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1.1.4 招标项目名称：见投标人须知前附表。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1.1.5项目建设地点：见投标人须知前附表。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1.1.6 项目建设规模：见投标人须知前附表。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 xml:space="preserve">1.1.7 </w:t>
      </w:r>
      <w:r>
        <w:rPr>
          <w:rFonts w:hint="eastAsia" w:ascii="宋体" w:hAnsi="宋体"/>
          <w:color w:val="auto"/>
          <w:highlight w:val="none"/>
        </w:rPr>
        <w:t>工程项目施工预计开工日期和建设周期：见投标人须知前附表。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 xml:space="preserve">1.1.8 </w:t>
      </w:r>
      <w:r>
        <w:rPr>
          <w:rFonts w:hint="eastAsia" w:ascii="宋体" w:hAnsi="宋体"/>
          <w:color w:val="auto"/>
          <w:highlight w:val="none"/>
        </w:rPr>
        <w:t>建筑安装工程费</w:t>
      </w:r>
      <w:r>
        <w:rPr>
          <w:rFonts w:ascii="宋体" w:hAnsi="宋体"/>
          <w:color w:val="auto"/>
          <w:highlight w:val="none"/>
        </w:rPr>
        <w:t>/</w:t>
      </w:r>
      <w:r>
        <w:rPr>
          <w:rFonts w:hint="eastAsia" w:ascii="宋体" w:hAnsi="宋体"/>
          <w:color w:val="auto"/>
          <w:highlight w:val="none"/>
        </w:rPr>
        <w:t>工程概算：见投标人须知前附表。</w:t>
      </w:r>
    </w:p>
    <w:p>
      <w:pPr>
        <w:pStyle w:val="5"/>
        <w:ind w:firstLine="137"/>
        <w:rPr>
          <w:rFonts w:ascii="宋体" w:hAnsi="宋体"/>
          <w:color w:val="auto"/>
          <w:highlight w:val="none"/>
        </w:rPr>
      </w:pPr>
      <w:bookmarkStart w:id="41" w:name="_Toc26888"/>
      <w:bookmarkStart w:id="42" w:name="_Toc492300566"/>
      <w:r>
        <w:rPr>
          <w:rFonts w:ascii="宋体" w:hAnsi="宋体"/>
          <w:color w:val="auto"/>
          <w:highlight w:val="none"/>
        </w:rPr>
        <w:t>1.2 招标项目的资金来源和落实情况</w:t>
      </w:r>
      <w:bookmarkEnd w:id="41"/>
      <w:bookmarkEnd w:id="42"/>
    </w:p>
    <w:p>
      <w:pPr>
        <w:spacing w:line="360" w:lineRule="auto"/>
        <w:ind w:firstLine="420" w:firstLineChars="200"/>
        <w:rPr>
          <w:rFonts w:ascii="宋体" w:hAnsi="宋体"/>
          <w:color w:val="auto"/>
          <w:highlight w:val="none"/>
        </w:rPr>
      </w:pPr>
      <w:r>
        <w:rPr>
          <w:rFonts w:ascii="宋体" w:hAnsi="宋体"/>
          <w:color w:val="auto"/>
          <w:highlight w:val="none"/>
        </w:rPr>
        <w:t>1.2.1资金来源及比例：见投标人须知前附表。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1.2.2资金落实情况：见投标人须知前附表。</w:t>
      </w:r>
    </w:p>
    <w:p>
      <w:pPr>
        <w:pStyle w:val="5"/>
        <w:ind w:firstLine="137"/>
        <w:rPr>
          <w:rFonts w:ascii="宋体" w:hAnsi="宋体"/>
          <w:color w:val="auto"/>
          <w:highlight w:val="none"/>
        </w:rPr>
      </w:pPr>
      <w:bookmarkStart w:id="43" w:name="_Toc492300567"/>
      <w:bookmarkStart w:id="44" w:name="_Toc29710"/>
      <w:r>
        <w:rPr>
          <w:rFonts w:ascii="宋体" w:hAnsi="宋体"/>
          <w:color w:val="auto"/>
          <w:highlight w:val="none"/>
        </w:rPr>
        <w:t>1.3招标范围、工程监理服务期限和质量标准</w:t>
      </w:r>
      <w:bookmarkEnd w:id="43"/>
      <w:bookmarkEnd w:id="44"/>
    </w:p>
    <w:p>
      <w:pPr>
        <w:spacing w:line="360" w:lineRule="auto"/>
        <w:ind w:firstLine="420" w:firstLineChars="200"/>
        <w:rPr>
          <w:rFonts w:ascii="宋体" w:hAnsi="宋体"/>
          <w:color w:val="auto"/>
          <w:highlight w:val="none"/>
        </w:rPr>
      </w:pPr>
      <w:r>
        <w:rPr>
          <w:rFonts w:ascii="宋体" w:hAnsi="宋体"/>
          <w:color w:val="auto"/>
          <w:highlight w:val="none"/>
        </w:rPr>
        <w:t>1.3.1招标范围：见投标人须知前附表。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1.3.2</w:t>
      </w:r>
      <w:r>
        <w:rPr>
          <w:rFonts w:hint="eastAsia" w:ascii="宋体" w:hAnsi="宋体"/>
          <w:color w:val="auto"/>
          <w:highlight w:val="none"/>
        </w:rPr>
        <w:t>监理</w:t>
      </w:r>
      <w:r>
        <w:rPr>
          <w:rFonts w:ascii="宋体" w:hAnsi="宋体"/>
          <w:color w:val="auto"/>
          <w:highlight w:val="none"/>
        </w:rPr>
        <w:t>服务期限：见投标人须知前附表。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1.3.3 质量标准：见投标人须知前附表。</w:t>
      </w:r>
    </w:p>
    <w:p>
      <w:pPr>
        <w:pStyle w:val="5"/>
        <w:ind w:firstLine="137"/>
        <w:rPr>
          <w:rFonts w:ascii="宋体" w:hAnsi="宋体"/>
          <w:color w:val="auto"/>
          <w:highlight w:val="none"/>
        </w:rPr>
      </w:pPr>
      <w:bookmarkStart w:id="45" w:name="_Toc492300568"/>
      <w:bookmarkStart w:id="46" w:name="_Toc3674"/>
      <w:r>
        <w:rPr>
          <w:rFonts w:ascii="宋体" w:hAnsi="宋体"/>
          <w:color w:val="auto"/>
          <w:highlight w:val="none"/>
        </w:rPr>
        <w:t>1.4投标人资格要求</w:t>
      </w:r>
      <w:bookmarkEnd w:id="45"/>
      <w:bookmarkEnd w:id="46"/>
    </w:p>
    <w:p>
      <w:pPr>
        <w:spacing w:line="360" w:lineRule="auto"/>
        <w:ind w:firstLine="420" w:firstLineChars="200"/>
        <w:rPr>
          <w:rFonts w:ascii="宋体" w:hAnsi="宋体"/>
          <w:color w:val="auto"/>
          <w:highlight w:val="none"/>
        </w:rPr>
      </w:pPr>
      <w:r>
        <w:rPr>
          <w:rFonts w:ascii="宋体" w:hAnsi="宋体"/>
          <w:color w:val="auto"/>
          <w:highlight w:val="none"/>
        </w:rPr>
        <w:t>1.4.1 投标人应具备承担本招标项目资质条件、能力和信誉：</w:t>
      </w:r>
    </w:p>
    <w:p>
      <w:pPr>
        <w:spacing w:line="360" w:lineRule="auto"/>
        <w:ind w:firstLine="315" w:firstLineChars="150"/>
        <w:rPr>
          <w:rFonts w:ascii="宋体" w:hAnsi="宋体"/>
          <w:color w:val="auto"/>
          <w:highlight w:val="none"/>
        </w:rPr>
      </w:pPr>
      <w:r>
        <w:rPr>
          <w:rFonts w:ascii="宋体" w:hAnsi="宋体"/>
          <w:color w:val="auto"/>
          <w:highlight w:val="none"/>
        </w:rPr>
        <w:t>（1）资质要求：见投标人须知前附表；</w:t>
      </w:r>
    </w:p>
    <w:p>
      <w:pPr>
        <w:spacing w:line="360" w:lineRule="auto"/>
        <w:ind w:firstLine="315" w:firstLineChars="150"/>
        <w:rPr>
          <w:rFonts w:ascii="宋体" w:hAnsi="宋体"/>
          <w:color w:val="auto"/>
          <w:highlight w:val="none"/>
        </w:rPr>
      </w:pPr>
      <w:r>
        <w:rPr>
          <w:rFonts w:ascii="宋体" w:hAnsi="宋体"/>
          <w:color w:val="auto"/>
          <w:highlight w:val="none"/>
        </w:rPr>
        <w:t>（2）财务要求：见投标人须知前附表；</w:t>
      </w:r>
    </w:p>
    <w:p>
      <w:pPr>
        <w:spacing w:line="360" w:lineRule="auto"/>
        <w:ind w:firstLine="315" w:firstLineChars="150"/>
        <w:rPr>
          <w:rFonts w:ascii="宋体" w:hAnsi="宋体"/>
          <w:color w:val="auto"/>
          <w:highlight w:val="none"/>
        </w:rPr>
      </w:pPr>
      <w:r>
        <w:rPr>
          <w:rFonts w:ascii="宋体" w:hAnsi="宋体"/>
          <w:color w:val="auto"/>
          <w:highlight w:val="none"/>
        </w:rPr>
        <w:t>（3）业绩要求：见投标人须知前附表；</w:t>
      </w:r>
    </w:p>
    <w:p>
      <w:pPr>
        <w:spacing w:line="360" w:lineRule="auto"/>
        <w:ind w:firstLine="315" w:firstLineChars="150"/>
        <w:rPr>
          <w:rFonts w:ascii="宋体" w:hAnsi="宋体"/>
          <w:color w:val="auto"/>
          <w:highlight w:val="none"/>
        </w:rPr>
      </w:pPr>
      <w:r>
        <w:rPr>
          <w:rFonts w:ascii="宋体" w:hAnsi="宋体"/>
          <w:color w:val="auto"/>
          <w:highlight w:val="none"/>
        </w:rPr>
        <w:t>（4）信誉要求：见投标人须知前附表；</w:t>
      </w:r>
    </w:p>
    <w:p>
      <w:pPr>
        <w:spacing w:line="360" w:lineRule="auto"/>
        <w:ind w:firstLine="315" w:firstLineChars="150"/>
        <w:rPr>
          <w:rFonts w:ascii="宋体" w:hAnsi="宋体"/>
          <w:color w:val="auto"/>
          <w:highlight w:val="none"/>
        </w:rPr>
      </w:pPr>
      <w:r>
        <w:rPr>
          <w:rFonts w:ascii="宋体" w:hAnsi="宋体"/>
          <w:color w:val="auto"/>
          <w:highlight w:val="none"/>
        </w:rPr>
        <w:t>（5）</w:t>
      </w:r>
      <w:r>
        <w:rPr>
          <w:rFonts w:hint="eastAsia" w:ascii="宋体" w:hAnsi="宋体"/>
          <w:color w:val="auto"/>
          <w:highlight w:val="none"/>
        </w:rPr>
        <w:t>总监理工程师的资格要求：</w:t>
      </w:r>
      <w:r>
        <w:rPr>
          <w:rFonts w:ascii="宋体" w:hAnsi="宋体"/>
          <w:color w:val="auto"/>
          <w:highlight w:val="none"/>
        </w:rPr>
        <w:t>具体要求见投标人须知前附表；</w:t>
      </w:r>
    </w:p>
    <w:p>
      <w:pPr>
        <w:spacing w:line="360" w:lineRule="auto"/>
        <w:ind w:firstLine="315" w:firstLineChars="150"/>
        <w:rPr>
          <w:rFonts w:ascii="宋体" w:hAnsi="宋体"/>
          <w:color w:val="auto"/>
          <w:highlight w:val="none"/>
        </w:rPr>
      </w:pPr>
      <w:r>
        <w:rPr>
          <w:rFonts w:ascii="宋体" w:hAnsi="宋体"/>
          <w:color w:val="auto"/>
          <w:highlight w:val="none"/>
        </w:rPr>
        <w:t>（6）其他主要人员要求：见投标人须知前附表。</w:t>
      </w:r>
    </w:p>
    <w:p>
      <w:pPr>
        <w:spacing w:line="360" w:lineRule="auto"/>
        <w:ind w:firstLine="315" w:firstLineChars="150"/>
        <w:rPr>
          <w:rFonts w:ascii="宋体" w:hAnsi="宋体"/>
          <w:color w:val="auto"/>
          <w:highlight w:val="none"/>
        </w:rPr>
      </w:pPr>
      <w:r>
        <w:rPr>
          <w:rFonts w:ascii="宋体" w:hAnsi="宋体"/>
          <w:color w:val="auto"/>
          <w:highlight w:val="none"/>
        </w:rPr>
        <w:t>（7）试验检测仪器设备要求：见投标人须知前附表。</w:t>
      </w:r>
    </w:p>
    <w:p>
      <w:pPr>
        <w:spacing w:line="360" w:lineRule="auto"/>
        <w:ind w:firstLine="315" w:firstLineChars="150"/>
        <w:rPr>
          <w:rFonts w:ascii="宋体" w:hAnsi="宋体"/>
          <w:color w:val="auto"/>
          <w:highlight w:val="none"/>
        </w:rPr>
      </w:pPr>
      <w:r>
        <w:rPr>
          <w:rFonts w:ascii="宋体" w:hAnsi="宋体"/>
          <w:color w:val="auto"/>
          <w:highlight w:val="none"/>
        </w:rPr>
        <w:t>（8）其他要求：见投标人须知前附表。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需要提交的相关证明材料见本章第3.5款的规定。</w:t>
      </w:r>
    </w:p>
    <w:p>
      <w:pPr>
        <w:spacing w:line="360" w:lineRule="auto"/>
        <w:ind w:firstLine="420" w:firstLineChars="200"/>
        <w:rPr>
          <w:rFonts w:ascii="宋体" w:hAnsi="宋体"/>
          <w:color w:val="auto"/>
          <w:highlight w:val="none"/>
        </w:rPr>
      </w:pPr>
      <w:r>
        <w:rPr>
          <w:rFonts w:ascii="宋体" w:hAnsi="宋体"/>
          <w:color w:val="auto"/>
          <w:highlight w:val="none"/>
        </w:rPr>
        <w:t>1.4.3投标人不得存在下列情形之一：</w:t>
      </w:r>
    </w:p>
    <w:p>
      <w:pPr>
        <w:spacing w:line="400" w:lineRule="exact"/>
        <w:ind w:firstLine="420" w:firstLineChars="200"/>
        <w:rPr>
          <w:rFonts w:ascii="宋体" w:hAnsi="宋体"/>
          <w:color w:val="auto"/>
          <w:highlight w:val="none"/>
        </w:rPr>
      </w:pPr>
      <w:bookmarkStart w:id="47" w:name="_Toc492300569"/>
      <w:r>
        <w:rPr>
          <w:rFonts w:hint="eastAsia" w:ascii="宋体" w:hAnsi="宋体"/>
          <w:color w:val="auto"/>
          <w:highlight w:val="none"/>
        </w:rPr>
        <w:t>（1）为招标人不具有独立法人资格的附属机构（单位）；</w:t>
      </w:r>
    </w:p>
    <w:p>
      <w:pPr>
        <w:spacing w:line="400" w:lineRule="exact"/>
        <w:ind w:firstLine="420" w:firstLineChars="200"/>
        <w:rPr>
          <w:rFonts w:ascii="宋体" w:hAnsi="宋体"/>
          <w:color w:val="auto"/>
          <w:highlight w:val="none"/>
        </w:rPr>
      </w:pPr>
      <w:r>
        <w:rPr>
          <w:rFonts w:hint="eastAsia" w:ascii="宋体" w:hAnsi="宋体"/>
          <w:color w:val="auto"/>
          <w:highlight w:val="none"/>
        </w:rPr>
        <w:t>（2）与招标人存在利害关系且可能影响招标公正性；</w:t>
      </w:r>
    </w:p>
    <w:p>
      <w:pPr>
        <w:spacing w:line="400" w:lineRule="exact"/>
        <w:ind w:firstLine="420" w:firstLineChars="200"/>
        <w:rPr>
          <w:rFonts w:ascii="宋体" w:hAnsi="宋体"/>
          <w:color w:val="auto"/>
          <w:highlight w:val="none"/>
        </w:rPr>
      </w:pPr>
      <w:r>
        <w:rPr>
          <w:rFonts w:hint="eastAsia" w:ascii="宋体" w:hAnsi="宋体"/>
          <w:color w:val="auto"/>
          <w:highlight w:val="none"/>
        </w:rPr>
        <w:t>（3）与本招标项目的其他投标人为同一个单位负责人；</w:t>
      </w:r>
    </w:p>
    <w:p>
      <w:pPr>
        <w:spacing w:line="400" w:lineRule="exact"/>
        <w:ind w:firstLine="420" w:firstLineChars="200"/>
        <w:rPr>
          <w:rFonts w:ascii="宋体" w:hAnsi="宋体"/>
          <w:color w:val="auto"/>
          <w:highlight w:val="none"/>
        </w:rPr>
      </w:pPr>
      <w:r>
        <w:rPr>
          <w:rFonts w:hint="eastAsia" w:ascii="宋体" w:hAnsi="宋体"/>
          <w:color w:val="auto"/>
          <w:highlight w:val="none"/>
        </w:rPr>
        <w:t>（4）与本招标项目的其他投标人存在控股、管理关系；</w:t>
      </w:r>
    </w:p>
    <w:p>
      <w:pPr>
        <w:spacing w:line="400" w:lineRule="exact"/>
        <w:ind w:firstLine="420" w:firstLineChars="200"/>
        <w:rPr>
          <w:rFonts w:ascii="宋体" w:hAnsi="宋体"/>
          <w:color w:val="auto"/>
          <w:highlight w:val="none"/>
        </w:rPr>
      </w:pPr>
      <w:r>
        <w:rPr>
          <w:rFonts w:hint="eastAsia" w:ascii="宋体" w:hAnsi="宋体"/>
          <w:color w:val="auto"/>
          <w:highlight w:val="none"/>
        </w:rPr>
        <w:t>（5）为本招标项目的代建人；</w:t>
      </w:r>
    </w:p>
    <w:p>
      <w:pPr>
        <w:spacing w:line="400" w:lineRule="exact"/>
        <w:ind w:firstLine="420" w:firstLineChars="200"/>
        <w:rPr>
          <w:rFonts w:ascii="宋体" w:hAnsi="宋体"/>
          <w:color w:val="auto"/>
          <w:highlight w:val="none"/>
        </w:rPr>
      </w:pPr>
      <w:r>
        <w:rPr>
          <w:rFonts w:hint="eastAsia" w:ascii="宋体" w:hAnsi="宋体"/>
          <w:color w:val="auto"/>
          <w:highlight w:val="none"/>
        </w:rPr>
        <w:t>（6）为本招标项目的招标代理机构；</w:t>
      </w:r>
    </w:p>
    <w:p>
      <w:pPr>
        <w:spacing w:line="400" w:lineRule="exact"/>
        <w:ind w:firstLine="420" w:firstLineChars="200"/>
        <w:rPr>
          <w:rFonts w:ascii="宋体" w:hAnsi="宋体"/>
          <w:color w:val="auto"/>
          <w:highlight w:val="none"/>
        </w:rPr>
      </w:pPr>
      <w:r>
        <w:rPr>
          <w:rFonts w:hint="eastAsia" w:ascii="宋体" w:hAnsi="宋体"/>
          <w:color w:val="auto"/>
          <w:highlight w:val="none"/>
        </w:rPr>
        <w:t>（7）与本招标项目的代建人或招标代理机构同为一个法定代表人；</w:t>
      </w:r>
    </w:p>
    <w:p>
      <w:pPr>
        <w:spacing w:line="400" w:lineRule="exact"/>
        <w:ind w:firstLine="420" w:firstLineChars="200"/>
        <w:rPr>
          <w:rFonts w:ascii="宋体" w:hAnsi="宋体"/>
          <w:color w:val="auto"/>
          <w:highlight w:val="none"/>
        </w:rPr>
      </w:pPr>
      <w:r>
        <w:rPr>
          <w:rFonts w:hint="eastAsia" w:ascii="宋体" w:hAnsi="宋体"/>
          <w:color w:val="auto"/>
          <w:highlight w:val="none"/>
        </w:rPr>
        <w:t>（8）与本招标项目的代建人或招标代理机构存在控股或参股关系；</w:t>
      </w:r>
    </w:p>
    <w:p>
      <w:pPr>
        <w:spacing w:line="400" w:lineRule="exact"/>
        <w:ind w:firstLine="420" w:firstLineChars="200"/>
        <w:rPr>
          <w:rFonts w:ascii="宋体" w:hAnsi="宋体"/>
          <w:color w:val="auto"/>
          <w:highlight w:val="none"/>
        </w:rPr>
      </w:pPr>
      <w:r>
        <w:rPr>
          <w:rFonts w:hint="eastAsia" w:ascii="宋体" w:hAnsi="宋体"/>
          <w:color w:val="auto"/>
          <w:highlight w:val="none"/>
        </w:rPr>
        <w:t>（9）与本招标项目的施工承包人以及建筑材料、建筑构配件和设备供应商有隶属关系或者其他利害关系；</w:t>
      </w:r>
    </w:p>
    <w:p>
      <w:pPr>
        <w:spacing w:line="400" w:lineRule="exact"/>
        <w:ind w:firstLine="420" w:firstLineChars="200"/>
        <w:rPr>
          <w:rFonts w:ascii="宋体" w:hAnsi="宋体"/>
          <w:color w:val="auto"/>
          <w:highlight w:val="none"/>
        </w:rPr>
      </w:pPr>
      <w:r>
        <w:rPr>
          <w:rFonts w:hint="eastAsia" w:ascii="宋体" w:hAnsi="宋体"/>
          <w:color w:val="auto"/>
          <w:highlight w:val="none"/>
        </w:rPr>
        <w:t>（10）被依法暂停或者取消投标资格；</w:t>
      </w:r>
    </w:p>
    <w:p>
      <w:pPr>
        <w:spacing w:line="400" w:lineRule="exact"/>
        <w:ind w:firstLine="420" w:firstLineChars="200"/>
        <w:rPr>
          <w:rFonts w:ascii="宋体" w:hAnsi="宋体"/>
          <w:color w:val="auto"/>
          <w:highlight w:val="none"/>
        </w:rPr>
      </w:pPr>
      <w:r>
        <w:rPr>
          <w:rFonts w:hint="eastAsia" w:ascii="宋体" w:hAnsi="宋体"/>
          <w:color w:val="auto"/>
          <w:highlight w:val="none"/>
        </w:rPr>
        <w:t>（11）被责令停产停业、暂扣或者吊销许可证、暂扣或者吊销执照；</w:t>
      </w:r>
    </w:p>
    <w:p>
      <w:pPr>
        <w:spacing w:line="400" w:lineRule="exact"/>
        <w:ind w:firstLine="420" w:firstLineChars="200"/>
        <w:rPr>
          <w:rFonts w:ascii="宋体" w:hAnsi="宋体"/>
          <w:color w:val="auto"/>
          <w:highlight w:val="none"/>
        </w:rPr>
      </w:pPr>
      <w:r>
        <w:rPr>
          <w:rFonts w:hint="eastAsia" w:ascii="宋体" w:hAnsi="宋体"/>
          <w:color w:val="auto"/>
          <w:highlight w:val="none"/>
        </w:rPr>
        <w:t>（12）进入清算程序，或被宣告破产，或其他丧失履约能力的情形；</w:t>
      </w: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 </w:t>
      </w: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（14）法律法规或投标人须知前附表规定的其他情形。 </w:t>
      </w:r>
    </w:p>
    <w:p>
      <w:pPr>
        <w:pStyle w:val="5"/>
        <w:ind w:firstLine="137"/>
        <w:rPr>
          <w:rFonts w:ascii="宋体" w:hAnsi="宋体"/>
          <w:color w:val="auto"/>
          <w:highlight w:val="none"/>
        </w:rPr>
      </w:pPr>
      <w:bookmarkStart w:id="48" w:name="_Toc21449"/>
      <w:r>
        <w:rPr>
          <w:rFonts w:ascii="宋体" w:hAnsi="宋体"/>
          <w:color w:val="auto"/>
          <w:highlight w:val="none"/>
        </w:rPr>
        <w:t xml:space="preserve">1.5 </w:t>
      </w:r>
      <w:r>
        <w:rPr>
          <w:rFonts w:hint="eastAsia" w:ascii="宋体" w:hAnsi="宋体"/>
          <w:color w:val="auto"/>
          <w:highlight w:val="none"/>
        </w:rPr>
        <w:t>费用承担</w:t>
      </w:r>
      <w:bookmarkEnd w:id="47"/>
      <w:bookmarkEnd w:id="48"/>
    </w:p>
    <w:p>
      <w:pPr>
        <w:spacing w:line="360" w:lineRule="auto"/>
        <w:ind w:firstLine="420" w:firstLineChars="200"/>
        <w:rPr>
          <w:rFonts w:ascii="宋体" w:hAnsi="宋体"/>
          <w:color w:val="auto"/>
          <w:highlight w:val="none"/>
        </w:rPr>
      </w:pPr>
      <w:r>
        <w:rPr>
          <w:rFonts w:ascii="宋体" w:hAnsi="宋体"/>
          <w:color w:val="auto"/>
          <w:highlight w:val="none"/>
        </w:rPr>
        <w:t>投标人准备和参加投标活动发生的费用自理。</w:t>
      </w:r>
    </w:p>
    <w:p>
      <w:pPr>
        <w:pStyle w:val="5"/>
        <w:ind w:firstLine="137"/>
        <w:rPr>
          <w:rFonts w:ascii="宋体" w:hAnsi="宋体"/>
          <w:color w:val="auto"/>
          <w:highlight w:val="none"/>
        </w:rPr>
      </w:pPr>
      <w:bookmarkStart w:id="49" w:name="_Toc13107"/>
      <w:bookmarkStart w:id="50" w:name="_Toc492300570"/>
      <w:r>
        <w:rPr>
          <w:rFonts w:ascii="宋体" w:hAnsi="宋体"/>
          <w:color w:val="auto"/>
          <w:highlight w:val="none"/>
        </w:rPr>
        <w:t>1.6</w:t>
      </w:r>
      <w:r>
        <w:rPr>
          <w:rFonts w:hint="eastAsia" w:ascii="宋体" w:hAnsi="宋体"/>
          <w:color w:val="auto"/>
          <w:highlight w:val="none"/>
        </w:rPr>
        <w:t>保密</w:t>
      </w:r>
      <w:bookmarkEnd w:id="49"/>
      <w:bookmarkEnd w:id="50"/>
    </w:p>
    <w:p>
      <w:pPr>
        <w:spacing w:line="360" w:lineRule="auto"/>
        <w:ind w:firstLine="420" w:firstLineChars="200"/>
        <w:rPr>
          <w:rFonts w:ascii="宋体" w:hAnsi="宋体"/>
          <w:color w:val="auto"/>
          <w:highlight w:val="none"/>
        </w:rPr>
      </w:pPr>
      <w:r>
        <w:rPr>
          <w:rFonts w:ascii="宋体" w:hAnsi="宋体"/>
          <w:color w:val="auto"/>
          <w:highlight w:val="none"/>
        </w:rPr>
        <w:t>参与招标投标活动的各方应对招标文件和投标文件中</w:t>
      </w:r>
      <w:bookmarkStart w:id="51" w:name="_Toc369531519"/>
      <w:bookmarkStart w:id="52" w:name="_Toc5326"/>
      <w:bookmarkStart w:id="53" w:name="_Toc352691477"/>
      <w:bookmarkStart w:id="54" w:name="_Toc384308214"/>
      <w:bookmarkStart w:id="55" w:name="_Toc361508589"/>
      <w:r>
        <w:rPr>
          <w:rFonts w:ascii="宋体" w:hAnsi="宋体"/>
          <w:color w:val="auto"/>
          <w:highlight w:val="none"/>
        </w:rPr>
        <w:t>的商业和技术等秘密保密</w:t>
      </w:r>
      <w:bookmarkEnd w:id="51"/>
      <w:bookmarkEnd w:id="52"/>
      <w:bookmarkEnd w:id="53"/>
      <w:bookmarkEnd w:id="54"/>
      <w:bookmarkEnd w:id="55"/>
      <w:r>
        <w:rPr>
          <w:rFonts w:ascii="宋体" w:hAnsi="宋体"/>
          <w:color w:val="auto"/>
          <w:highlight w:val="none"/>
        </w:rPr>
        <w:t>，否则应承担相应的法律责任。</w:t>
      </w:r>
    </w:p>
    <w:p>
      <w:pPr>
        <w:pStyle w:val="5"/>
        <w:ind w:firstLine="137"/>
        <w:rPr>
          <w:rFonts w:ascii="宋体" w:hAnsi="宋体"/>
          <w:color w:val="auto"/>
          <w:highlight w:val="none"/>
        </w:rPr>
      </w:pPr>
      <w:bookmarkStart w:id="56" w:name="_Toc492300571"/>
      <w:bookmarkStart w:id="57" w:name="_Toc32708"/>
      <w:r>
        <w:rPr>
          <w:rFonts w:ascii="宋体" w:hAnsi="宋体"/>
          <w:color w:val="auto"/>
          <w:highlight w:val="none"/>
        </w:rPr>
        <w:t>1.7语言文字</w:t>
      </w:r>
      <w:bookmarkEnd w:id="56"/>
      <w:bookmarkEnd w:id="57"/>
    </w:p>
    <w:p>
      <w:pPr>
        <w:spacing w:line="360" w:lineRule="auto"/>
        <w:ind w:firstLine="420" w:firstLineChars="200"/>
        <w:rPr>
          <w:rFonts w:ascii="宋体" w:hAnsi="宋体"/>
          <w:color w:val="auto"/>
          <w:highlight w:val="none"/>
        </w:rPr>
      </w:pPr>
      <w:r>
        <w:rPr>
          <w:rFonts w:ascii="宋体" w:hAnsi="宋体"/>
          <w:color w:val="auto"/>
          <w:highlight w:val="none"/>
        </w:rPr>
        <w:t>招标投标文件使用的语言文字为中文。专用术语使用外文的，应附有中文注释。</w:t>
      </w:r>
    </w:p>
    <w:p>
      <w:pPr>
        <w:pStyle w:val="5"/>
        <w:ind w:firstLine="137"/>
        <w:rPr>
          <w:rFonts w:ascii="宋体" w:hAnsi="宋体"/>
          <w:color w:val="auto"/>
          <w:highlight w:val="none"/>
        </w:rPr>
      </w:pPr>
      <w:bookmarkStart w:id="58" w:name="_Toc492300572"/>
      <w:bookmarkStart w:id="59" w:name="_Toc11221"/>
      <w:r>
        <w:rPr>
          <w:rFonts w:ascii="宋体" w:hAnsi="宋体"/>
          <w:color w:val="auto"/>
          <w:highlight w:val="none"/>
        </w:rPr>
        <w:t>1.8计量单位</w:t>
      </w:r>
      <w:bookmarkEnd w:id="58"/>
      <w:bookmarkEnd w:id="59"/>
    </w:p>
    <w:p>
      <w:pPr>
        <w:spacing w:line="360" w:lineRule="auto"/>
        <w:ind w:firstLine="420" w:firstLineChars="200"/>
        <w:rPr>
          <w:rFonts w:ascii="宋体" w:hAnsi="宋体"/>
          <w:color w:val="auto"/>
          <w:highlight w:val="none"/>
        </w:rPr>
      </w:pPr>
      <w:r>
        <w:rPr>
          <w:rFonts w:ascii="宋体" w:hAnsi="宋体"/>
          <w:color w:val="auto"/>
          <w:highlight w:val="none"/>
        </w:rPr>
        <w:t>所有计量均采用中华人民共和国法定计量单位。</w:t>
      </w:r>
    </w:p>
    <w:p>
      <w:pPr>
        <w:pStyle w:val="5"/>
        <w:ind w:firstLine="137"/>
        <w:rPr>
          <w:rFonts w:ascii="宋体" w:hAnsi="宋体"/>
          <w:color w:val="auto"/>
          <w:highlight w:val="none"/>
        </w:rPr>
      </w:pPr>
      <w:bookmarkStart w:id="60" w:name="_Toc15304"/>
      <w:bookmarkStart w:id="61" w:name="_Toc144974507"/>
      <w:bookmarkStart w:id="62" w:name="_Toc152045539"/>
      <w:bookmarkStart w:id="63" w:name="_Toc391393967"/>
      <w:bookmarkStart w:id="64" w:name="_Toc247513962"/>
      <w:bookmarkStart w:id="65" w:name="_Toc300834959"/>
      <w:bookmarkStart w:id="66" w:name="_Toc247527563"/>
      <w:bookmarkStart w:id="67" w:name="_Toc492300573"/>
      <w:bookmarkStart w:id="68" w:name="_Toc384308219"/>
      <w:bookmarkStart w:id="69" w:name="_Toc361508594"/>
      <w:bookmarkStart w:id="70" w:name="_Toc370676289"/>
      <w:bookmarkStart w:id="71" w:name="_Toc482188480"/>
      <w:bookmarkStart w:id="72" w:name="_Toc152042315"/>
      <w:r>
        <w:rPr>
          <w:rFonts w:ascii="宋体" w:hAnsi="宋体"/>
          <w:color w:val="auto"/>
          <w:highlight w:val="none"/>
        </w:rPr>
        <w:t xml:space="preserve">1.9 </w:t>
      </w:r>
      <w:r>
        <w:rPr>
          <w:rFonts w:hint="eastAsia" w:ascii="宋体" w:hAnsi="宋体"/>
          <w:color w:val="auto"/>
          <w:highlight w:val="none"/>
        </w:rPr>
        <w:t>踏勘现场</w:t>
      </w:r>
      <w:bookmarkEnd w:id="60"/>
      <w:bookmarkEnd w:id="61"/>
      <w:bookmarkEnd w:id="62"/>
      <w:bookmarkEnd w:id="63"/>
      <w:bookmarkEnd w:id="64"/>
      <w:bookmarkEnd w:id="65"/>
      <w:bookmarkEnd w:id="66"/>
      <w:bookmarkEnd w:id="67"/>
      <w:bookmarkEnd w:id="68"/>
      <w:bookmarkEnd w:id="69"/>
      <w:bookmarkEnd w:id="70"/>
      <w:bookmarkEnd w:id="71"/>
      <w:bookmarkEnd w:id="72"/>
    </w:p>
    <w:p>
      <w:pPr>
        <w:spacing w:line="360" w:lineRule="auto"/>
        <w:ind w:firstLine="420" w:firstLineChars="200"/>
        <w:rPr>
          <w:rFonts w:ascii="宋体" w:hAnsi="宋体"/>
          <w:color w:val="auto"/>
          <w:highlight w:val="none"/>
        </w:rPr>
      </w:pPr>
      <w:r>
        <w:rPr>
          <w:rFonts w:ascii="宋体" w:hAnsi="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olor w:val="auto"/>
          <w:highlight w:val="none"/>
        </w:rPr>
      </w:pPr>
      <w:r>
        <w:rPr>
          <w:rFonts w:ascii="宋体" w:hAnsi="宋体"/>
          <w:color w:val="auto"/>
          <w:highlight w:val="none"/>
        </w:rPr>
        <w:t>1.9.2 投标人踏勘现场发生的费用自理。</w:t>
      </w:r>
    </w:p>
    <w:p>
      <w:pPr>
        <w:spacing w:line="360" w:lineRule="auto"/>
        <w:ind w:firstLine="420" w:firstLineChars="200"/>
        <w:rPr>
          <w:rFonts w:ascii="宋体" w:hAnsi="宋体"/>
          <w:color w:val="auto"/>
          <w:highlight w:val="none"/>
        </w:rPr>
      </w:pPr>
      <w:r>
        <w:rPr>
          <w:rFonts w:ascii="宋体" w:hAnsi="宋体"/>
          <w:color w:val="auto"/>
          <w:highlight w:val="none"/>
        </w:rPr>
        <w:t>1.9.3 除招标人的原因外，投标人自行负责在踏勘现场中所发生的人员伤亡和财产损失。</w:t>
      </w:r>
    </w:p>
    <w:p>
      <w:pPr>
        <w:spacing w:line="360" w:lineRule="auto"/>
        <w:ind w:firstLine="420" w:firstLineChars="200"/>
        <w:rPr>
          <w:rFonts w:ascii="宋体" w:hAnsi="宋体"/>
          <w:color w:val="auto"/>
          <w:highlight w:val="none"/>
        </w:rPr>
      </w:pPr>
      <w:r>
        <w:rPr>
          <w:rFonts w:ascii="宋体" w:hAnsi="宋体"/>
          <w:color w:val="auto"/>
          <w:highlight w:val="none"/>
        </w:rPr>
        <w:t>1.9.4 招标人在踏勘现场中介绍的工程场地和相关的周边环境情况，供投标人在编制投标文件时参考，招标人不对投标人据此作出的判断和决策负责。</w:t>
      </w:r>
    </w:p>
    <w:p>
      <w:pPr>
        <w:pStyle w:val="5"/>
        <w:ind w:firstLine="137"/>
        <w:rPr>
          <w:rFonts w:ascii="宋体" w:hAnsi="宋体"/>
          <w:color w:val="auto"/>
          <w:highlight w:val="none"/>
        </w:rPr>
      </w:pPr>
      <w:bookmarkStart w:id="73" w:name="_Toc13102"/>
      <w:bookmarkStart w:id="74" w:name="_Toc492300574"/>
      <w:r>
        <w:rPr>
          <w:rFonts w:ascii="宋体" w:hAnsi="宋体"/>
          <w:color w:val="auto"/>
          <w:highlight w:val="none"/>
        </w:rPr>
        <w:t>1.10投标预备会</w:t>
      </w:r>
      <w:bookmarkEnd w:id="73"/>
      <w:bookmarkEnd w:id="74"/>
    </w:p>
    <w:p>
      <w:pPr>
        <w:spacing w:line="360" w:lineRule="auto"/>
        <w:ind w:firstLine="420" w:firstLineChars="200"/>
        <w:rPr>
          <w:rFonts w:ascii="宋体" w:hAnsi="宋体"/>
          <w:color w:val="auto"/>
          <w:highlight w:val="none"/>
        </w:rPr>
      </w:pPr>
      <w:r>
        <w:rPr>
          <w:rFonts w:ascii="宋体" w:hAnsi="宋体"/>
          <w:color w:val="auto"/>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olor w:val="auto"/>
          <w:highlight w:val="none"/>
        </w:rPr>
      </w:pPr>
      <w:r>
        <w:rPr>
          <w:rFonts w:ascii="宋体" w:hAnsi="宋体"/>
          <w:color w:val="auto"/>
          <w:highlight w:val="none"/>
        </w:rPr>
        <w:t>1.10.2 投标人应按投标人须知前附表规定的时间和形式将提出的问题送达招标人，以便招标人在会议期间澄清。</w:t>
      </w:r>
    </w:p>
    <w:p>
      <w:pPr>
        <w:spacing w:line="360" w:lineRule="auto"/>
        <w:ind w:firstLine="420" w:firstLineChars="200"/>
        <w:rPr>
          <w:rFonts w:ascii="宋体" w:hAnsi="宋体"/>
          <w:color w:val="auto"/>
          <w:highlight w:val="none"/>
        </w:rPr>
      </w:pPr>
      <w:r>
        <w:rPr>
          <w:rFonts w:ascii="宋体" w:hAnsi="宋体"/>
          <w:color w:val="auto"/>
          <w:highlight w:val="none"/>
        </w:rPr>
        <w:t>1.10.3 投标预备会后，招标人将对投标人所提问题的澄清，以投标人须知前附表规定的形式通知所有购买招标文件的投标人。该澄清内容为招标文件的组成部分。</w:t>
      </w:r>
    </w:p>
    <w:p>
      <w:pPr>
        <w:pStyle w:val="5"/>
        <w:ind w:firstLine="137"/>
        <w:rPr>
          <w:rFonts w:ascii="宋体" w:hAnsi="宋体"/>
          <w:color w:val="auto"/>
          <w:highlight w:val="none"/>
        </w:rPr>
      </w:pPr>
      <w:bookmarkStart w:id="75" w:name="_Toc27691"/>
      <w:bookmarkStart w:id="76" w:name="_Toc492300575"/>
      <w:r>
        <w:rPr>
          <w:rFonts w:ascii="宋体" w:hAnsi="宋体"/>
          <w:color w:val="auto"/>
          <w:highlight w:val="none"/>
        </w:rPr>
        <w:t>1.11 分包</w:t>
      </w:r>
      <w:bookmarkEnd w:id="75"/>
      <w:bookmarkEnd w:id="76"/>
    </w:p>
    <w:p>
      <w:pPr>
        <w:spacing w:line="360" w:lineRule="auto"/>
        <w:ind w:firstLine="420" w:firstLineChars="200"/>
        <w:rPr>
          <w:rFonts w:ascii="宋体" w:hAnsi="宋体"/>
          <w:color w:val="auto"/>
          <w:highlight w:val="none"/>
        </w:rPr>
      </w:pPr>
      <w:r>
        <w:rPr>
          <w:rFonts w:ascii="宋体" w:hAnsi="宋体"/>
          <w:color w:val="auto"/>
          <w:highlight w:val="none"/>
        </w:rPr>
        <w:t>本项目严禁分包。</w:t>
      </w:r>
    </w:p>
    <w:p>
      <w:pPr>
        <w:pStyle w:val="5"/>
        <w:ind w:firstLine="137"/>
        <w:rPr>
          <w:rFonts w:ascii="宋体" w:hAnsi="宋体"/>
          <w:color w:val="auto"/>
          <w:highlight w:val="none"/>
        </w:rPr>
      </w:pPr>
      <w:bookmarkStart w:id="77" w:name="_Toc25817"/>
      <w:bookmarkStart w:id="78" w:name="_Toc492300576"/>
      <w:r>
        <w:rPr>
          <w:rFonts w:ascii="宋体" w:hAnsi="宋体"/>
          <w:color w:val="auto"/>
          <w:highlight w:val="none"/>
        </w:rPr>
        <w:t>1.12响应和偏差</w:t>
      </w:r>
      <w:bookmarkEnd w:id="77"/>
      <w:bookmarkEnd w:id="78"/>
    </w:p>
    <w:p>
      <w:pPr>
        <w:spacing w:line="360" w:lineRule="auto"/>
        <w:ind w:firstLine="435"/>
        <w:rPr>
          <w:rFonts w:ascii="宋体" w:hAnsi="宋体"/>
          <w:color w:val="auto"/>
          <w:highlight w:val="none"/>
        </w:rPr>
      </w:pPr>
      <w:r>
        <w:rPr>
          <w:rFonts w:ascii="宋体" w:hAnsi="宋体"/>
          <w:color w:val="auto"/>
          <w:highlight w:val="none"/>
        </w:rPr>
        <w:t>1.12.1投标文件应当对招标文件的实质性要求和条件作出满足性或更有利于招标人的响应，否则，投标人的投标将被否决。实质性要求和条件见投标人须知前附表。</w:t>
      </w:r>
    </w:p>
    <w:p>
      <w:pPr>
        <w:spacing w:line="360" w:lineRule="auto"/>
        <w:ind w:firstLine="435"/>
        <w:rPr>
          <w:rFonts w:ascii="宋体" w:hAnsi="宋体"/>
          <w:color w:val="auto"/>
          <w:highlight w:val="none"/>
        </w:rPr>
      </w:pPr>
      <w:r>
        <w:rPr>
          <w:rFonts w:ascii="宋体" w:hAnsi="宋体"/>
          <w:color w:val="auto"/>
          <w:highlight w:val="none"/>
        </w:rPr>
        <w:t>1.12.2 投标人应根据招标文件的要求提供投标</w:t>
      </w:r>
      <w:r>
        <w:rPr>
          <w:rFonts w:hint="eastAsia" w:ascii="宋体" w:hAnsi="宋体"/>
          <w:color w:val="auto"/>
          <w:highlight w:val="none"/>
        </w:rPr>
        <w:t>监理大纲</w:t>
      </w:r>
      <w:r>
        <w:rPr>
          <w:rFonts w:ascii="宋体" w:hAnsi="宋体"/>
          <w:color w:val="auto"/>
          <w:highlight w:val="none"/>
        </w:rPr>
        <w:t>等内容以对招标文件作出响应。</w:t>
      </w:r>
    </w:p>
    <w:p>
      <w:pPr>
        <w:spacing w:line="360" w:lineRule="auto"/>
        <w:ind w:firstLine="435"/>
        <w:rPr>
          <w:rFonts w:ascii="宋体" w:hAnsi="宋体"/>
          <w:color w:val="auto"/>
          <w:highlight w:val="none"/>
        </w:rPr>
      </w:pPr>
      <w:r>
        <w:rPr>
          <w:rFonts w:ascii="宋体" w:hAnsi="宋体"/>
          <w:color w:val="auto"/>
          <w:highlight w:val="none"/>
        </w:rPr>
        <w:t>1.12.3投标人须知前附表允许投标文件偏离招标文件某些要求的，偏差应当符合招标文件规定的偏差范围和幅度。</w:t>
      </w:r>
    </w:p>
    <w:p>
      <w:pPr>
        <w:pStyle w:val="4"/>
        <w:spacing w:line="360" w:lineRule="auto"/>
        <w:rPr>
          <w:rFonts w:ascii="宋体" w:hAnsi="宋体" w:eastAsia="宋体"/>
          <w:color w:val="auto"/>
          <w:highlight w:val="none"/>
        </w:rPr>
      </w:pPr>
      <w:bookmarkStart w:id="79" w:name="_Toc492300577"/>
      <w:bookmarkStart w:id="80" w:name="_Toc19536"/>
      <w:r>
        <w:rPr>
          <w:rFonts w:ascii="宋体" w:hAnsi="宋体" w:eastAsia="宋体"/>
          <w:color w:val="auto"/>
          <w:highlight w:val="none"/>
        </w:rPr>
        <w:t>2. 招标文件</w:t>
      </w:r>
      <w:bookmarkEnd w:id="79"/>
      <w:bookmarkEnd w:id="80"/>
    </w:p>
    <w:p>
      <w:pPr>
        <w:pStyle w:val="5"/>
        <w:ind w:firstLine="137"/>
        <w:rPr>
          <w:rFonts w:ascii="宋体" w:hAnsi="宋体"/>
          <w:color w:val="auto"/>
          <w:highlight w:val="none"/>
        </w:rPr>
      </w:pPr>
      <w:bookmarkStart w:id="81" w:name="_Toc492300578"/>
      <w:bookmarkStart w:id="82" w:name="_Toc11284"/>
      <w:r>
        <w:rPr>
          <w:rFonts w:ascii="宋体" w:hAnsi="宋体"/>
          <w:color w:val="auto"/>
          <w:highlight w:val="none"/>
        </w:rPr>
        <w:t>2.1 招标文件的组成</w:t>
      </w:r>
      <w:bookmarkEnd w:id="81"/>
      <w:bookmarkEnd w:id="82"/>
    </w:p>
    <w:p>
      <w:pPr>
        <w:spacing w:line="360" w:lineRule="auto"/>
        <w:ind w:firstLine="359" w:firstLineChars="171"/>
        <w:rPr>
          <w:rFonts w:ascii="宋体" w:hAnsi="宋体"/>
          <w:color w:val="auto"/>
          <w:highlight w:val="none"/>
        </w:rPr>
      </w:pPr>
      <w:r>
        <w:rPr>
          <w:rFonts w:ascii="宋体" w:hAnsi="宋体"/>
          <w:color w:val="auto"/>
          <w:highlight w:val="none"/>
        </w:rPr>
        <w:t>本招标文件包括：</w:t>
      </w:r>
    </w:p>
    <w:p>
      <w:pPr>
        <w:spacing w:line="360" w:lineRule="auto"/>
        <w:ind w:firstLine="359" w:firstLineChars="171"/>
        <w:rPr>
          <w:rFonts w:ascii="宋体" w:hAnsi="宋体"/>
          <w:color w:val="auto"/>
          <w:highlight w:val="none"/>
        </w:rPr>
      </w:pPr>
      <w:r>
        <w:rPr>
          <w:rFonts w:ascii="宋体" w:hAnsi="宋体"/>
          <w:color w:val="auto"/>
          <w:highlight w:val="none"/>
        </w:rPr>
        <w:t>（1）招标公告（或投标邀请书）；</w:t>
      </w:r>
    </w:p>
    <w:p>
      <w:pPr>
        <w:spacing w:line="360" w:lineRule="auto"/>
        <w:ind w:firstLine="359" w:firstLineChars="171"/>
        <w:rPr>
          <w:rFonts w:ascii="宋体" w:hAnsi="宋体"/>
          <w:color w:val="auto"/>
          <w:highlight w:val="none"/>
        </w:rPr>
      </w:pPr>
      <w:r>
        <w:rPr>
          <w:rFonts w:ascii="宋体" w:hAnsi="宋体"/>
          <w:color w:val="auto"/>
          <w:highlight w:val="none"/>
        </w:rPr>
        <w:t>（2）投标人须知；</w:t>
      </w:r>
    </w:p>
    <w:p>
      <w:pPr>
        <w:spacing w:line="360" w:lineRule="auto"/>
        <w:ind w:firstLine="359" w:firstLineChars="171"/>
        <w:rPr>
          <w:rFonts w:ascii="宋体" w:hAnsi="宋体"/>
          <w:color w:val="auto"/>
          <w:highlight w:val="none"/>
        </w:rPr>
      </w:pPr>
      <w:r>
        <w:rPr>
          <w:rFonts w:ascii="宋体" w:hAnsi="宋体"/>
          <w:color w:val="auto"/>
          <w:highlight w:val="none"/>
        </w:rPr>
        <w:t>（3）评标办法；</w:t>
      </w:r>
    </w:p>
    <w:p>
      <w:pPr>
        <w:spacing w:line="360" w:lineRule="auto"/>
        <w:ind w:firstLine="359" w:firstLineChars="171"/>
        <w:rPr>
          <w:rFonts w:ascii="宋体" w:hAnsi="宋体"/>
          <w:color w:val="auto"/>
          <w:highlight w:val="none"/>
        </w:rPr>
      </w:pPr>
      <w:r>
        <w:rPr>
          <w:rFonts w:ascii="宋体" w:hAnsi="宋体"/>
          <w:color w:val="auto"/>
          <w:highlight w:val="none"/>
        </w:rPr>
        <w:t>（4）合同条款及格式；</w:t>
      </w:r>
    </w:p>
    <w:p>
      <w:pPr>
        <w:spacing w:line="360" w:lineRule="auto"/>
        <w:ind w:firstLine="359" w:firstLineChars="171"/>
        <w:rPr>
          <w:rFonts w:ascii="宋体" w:hAnsi="宋体"/>
          <w:color w:val="auto"/>
          <w:highlight w:val="none"/>
        </w:rPr>
      </w:pPr>
      <w:r>
        <w:rPr>
          <w:rFonts w:ascii="宋体" w:hAnsi="宋体"/>
          <w:color w:val="auto"/>
          <w:highlight w:val="none"/>
        </w:rPr>
        <w:t>（5）委托人要求；</w:t>
      </w:r>
    </w:p>
    <w:p>
      <w:pPr>
        <w:spacing w:line="360" w:lineRule="auto"/>
        <w:ind w:firstLine="359" w:firstLineChars="171"/>
        <w:rPr>
          <w:rFonts w:ascii="宋体" w:hAnsi="宋体"/>
          <w:color w:val="auto"/>
          <w:highlight w:val="none"/>
        </w:rPr>
      </w:pPr>
      <w:r>
        <w:rPr>
          <w:rFonts w:ascii="宋体" w:hAnsi="宋体"/>
          <w:color w:val="auto"/>
          <w:highlight w:val="none"/>
        </w:rPr>
        <w:t>（6）投标文件格式；</w:t>
      </w:r>
    </w:p>
    <w:p>
      <w:pPr>
        <w:spacing w:line="360" w:lineRule="auto"/>
        <w:ind w:firstLine="359" w:firstLineChars="171"/>
        <w:rPr>
          <w:rFonts w:ascii="宋体" w:hAnsi="宋体"/>
          <w:color w:val="auto"/>
          <w:highlight w:val="none"/>
        </w:rPr>
      </w:pPr>
      <w:r>
        <w:rPr>
          <w:rFonts w:ascii="宋体" w:hAnsi="宋体"/>
          <w:color w:val="auto"/>
          <w:highlight w:val="none"/>
        </w:rPr>
        <w:t>（7）投标人须知前附表规定的其他资料。</w:t>
      </w:r>
    </w:p>
    <w:p>
      <w:pPr>
        <w:spacing w:line="360" w:lineRule="auto"/>
        <w:ind w:firstLine="420" w:firstLineChars="200"/>
        <w:rPr>
          <w:rFonts w:ascii="宋体" w:hAnsi="宋体"/>
          <w:color w:val="auto"/>
          <w:highlight w:val="none"/>
        </w:rPr>
      </w:pPr>
      <w:r>
        <w:rPr>
          <w:rFonts w:ascii="宋体" w:hAnsi="宋体"/>
          <w:color w:val="auto"/>
          <w:highlight w:val="none"/>
        </w:rPr>
        <w:t>根据本章第1.10款、第2.2款和第2.3款对招标文件所作的澄清、修改，构成招标文件的组成部分。</w:t>
      </w:r>
    </w:p>
    <w:p>
      <w:pPr>
        <w:pStyle w:val="5"/>
        <w:ind w:firstLine="137"/>
        <w:rPr>
          <w:rFonts w:ascii="宋体" w:hAnsi="宋体"/>
          <w:color w:val="auto"/>
          <w:highlight w:val="none"/>
        </w:rPr>
      </w:pPr>
      <w:bookmarkStart w:id="83" w:name="_Toc27203"/>
      <w:bookmarkStart w:id="84" w:name="_Toc492300579"/>
      <w:r>
        <w:rPr>
          <w:rFonts w:ascii="宋体" w:hAnsi="宋体"/>
          <w:color w:val="auto"/>
          <w:highlight w:val="none"/>
        </w:rPr>
        <w:t>2.2 招标文件的澄清</w:t>
      </w:r>
      <w:bookmarkEnd w:id="83"/>
      <w:bookmarkEnd w:id="84"/>
    </w:p>
    <w:p>
      <w:pPr>
        <w:spacing w:line="360" w:lineRule="auto"/>
        <w:ind w:firstLine="420" w:firstLineChars="200"/>
        <w:rPr>
          <w:rFonts w:ascii="宋体" w:hAnsi="宋体"/>
          <w:color w:val="auto"/>
          <w:highlight w:val="none"/>
        </w:rPr>
      </w:pPr>
      <w:r>
        <w:rPr>
          <w:rFonts w:ascii="宋体" w:hAnsi="宋体"/>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olor w:val="auto"/>
          <w:highlight w:val="none"/>
        </w:rPr>
      </w:pPr>
      <w:r>
        <w:rPr>
          <w:rFonts w:ascii="宋体" w:hAnsi="宋体"/>
          <w:color w:val="auto"/>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20" w:firstLineChars="200"/>
        <w:rPr>
          <w:rFonts w:ascii="宋体" w:hAnsi="宋体"/>
          <w:color w:val="auto"/>
          <w:highlight w:val="none"/>
        </w:rPr>
      </w:pPr>
      <w:r>
        <w:rPr>
          <w:rFonts w:ascii="宋体" w:hAnsi="宋体"/>
          <w:color w:val="auto"/>
          <w:highlight w:val="none"/>
        </w:rPr>
        <w:t>2.2.3投标人在收到澄清后，应按投标人须知前附表规定的时间和形式通知招标人，确认已收到该澄清。</w:t>
      </w:r>
    </w:p>
    <w:p>
      <w:pPr>
        <w:spacing w:line="360" w:lineRule="auto"/>
        <w:ind w:firstLine="420" w:firstLineChars="200"/>
        <w:rPr>
          <w:rFonts w:ascii="宋体" w:hAnsi="宋体"/>
          <w:color w:val="auto"/>
          <w:highlight w:val="none"/>
        </w:rPr>
      </w:pPr>
      <w:r>
        <w:rPr>
          <w:rFonts w:ascii="宋体" w:hAnsi="宋体"/>
          <w:color w:val="auto"/>
          <w:highlight w:val="none"/>
        </w:rPr>
        <w:t>2.2.4除非招标人认为确有必要答复，否则，招标人有权拒绝回复投标人在</w:t>
      </w:r>
      <w:r>
        <w:rPr>
          <w:rFonts w:hint="eastAsia" w:ascii="宋体" w:hAnsi="宋体"/>
          <w:color w:val="auto"/>
          <w:highlight w:val="none"/>
        </w:rPr>
        <w:t>本章第2.2.1项</w:t>
      </w:r>
      <w:r>
        <w:rPr>
          <w:rFonts w:ascii="宋体" w:hAnsi="宋体"/>
          <w:color w:val="auto"/>
          <w:highlight w:val="none"/>
        </w:rPr>
        <w:t>规定的时间后的任何澄清要求。</w:t>
      </w:r>
    </w:p>
    <w:p>
      <w:pPr>
        <w:pStyle w:val="5"/>
        <w:ind w:firstLine="137"/>
        <w:rPr>
          <w:rFonts w:ascii="宋体" w:hAnsi="宋体"/>
          <w:color w:val="auto"/>
          <w:highlight w:val="none"/>
        </w:rPr>
      </w:pPr>
      <w:bookmarkStart w:id="85" w:name="_Toc30582"/>
      <w:bookmarkStart w:id="86" w:name="_Toc492300580"/>
      <w:bookmarkStart w:id="87" w:name="_Toc352691479"/>
      <w:r>
        <w:rPr>
          <w:rFonts w:ascii="宋体" w:hAnsi="宋体"/>
          <w:color w:val="auto"/>
          <w:highlight w:val="none"/>
        </w:rPr>
        <w:t>2.3 招标文件的修</w:t>
      </w:r>
      <w:bookmarkStart w:id="88" w:name="_Toc369531521"/>
      <w:bookmarkStart w:id="89" w:name="_Toc16514"/>
      <w:r>
        <w:rPr>
          <w:rFonts w:ascii="宋体" w:hAnsi="宋体"/>
          <w:color w:val="auto"/>
          <w:highlight w:val="none"/>
        </w:rPr>
        <w:t>改</w:t>
      </w:r>
      <w:bookmarkEnd w:id="85"/>
      <w:bookmarkEnd w:id="86"/>
    </w:p>
    <w:p>
      <w:pPr>
        <w:spacing w:line="360" w:lineRule="auto"/>
        <w:ind w:firstLine="420" w:firstLineChars="200"/>
        <w:rPr>
          <w:rFonts w:ascii="宋体" w:hAnsi="宋体"/>
          <w:color w:val="auto"/>
          <w:highlight w:val="none"/>
        </w:rPr>
      </w:pPr>
      <w:r>
        <w:rPr>
          <w:rFonts w:ascii="宋体" w:hAnsi="宋体"/>
          <w:color w:val="auto"/>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87"/>
    <w:bookmarkEnd w:id="88"/>
    <w:bookmarkEnd w:id="89"/>
    <w:p>
      <w:pPr>
        <w:spacing w:line="360" w:lineRule="auto"/>
        <w:ind w:firstLine="420" w:firstLineChars="200"/>
        <w:rPr>
          <w:rFonts w:ascii="宋体" w:hAnsi="宋体"/>
          <w:color w:val="auto"/>
          <w:highlight w:val="none"/>
        </w:rPr>
      </w:pPr>
      <w:r>
        <w:rPr>
          <w:rFonts w:ascii="宋体" w:hAnsi="宋体"/>
          <w:color w:val="auto"/>
          <w:highlight w:val="none"/>
        </w:rPr>
        <w:t>2.3.2投标人收到修改内容</w:t>
      </w:r>
      <w:bookmarkStart w:id="90" w:name="_Toc300834958"/>
      <w:bookmarkStart w:id="91" w:name="_Toc152042314"/>
      <w:bookmarkStart w:id="92" w:name="_Toc247513961"/>
      <w:bookmarkStart w:id="93" w:name="_Toc152045538"/>
      <w:bookmarkStart w:id="94" w:name="_Toc247527562"/>
      <w:bookmarkStart w:id="95" w:name="_Toc384308218"/>
      <w:bookmarkStart w:id="96" w:name="_Toc361508593"/>
      <w:bookmarkStart w:id="97" w:name="_Toc352691482"/>
      <w:bookmarkStart w:id="98" w:name="_Toc369531524"/>
      <w:bookmarkStart w:id="99" w:name="_Toc24632"/>
      <w:bookmarkStart w:id="100" w:name="_Toc144974506"/>
      <w:r>
        <w:rPr>
          <w:rFonts w:ascii="宋体" w:hAnsi="宋体"/>
          <w:color w:val="auto"/>
          <w:highlight w:val="none"/>
        </w:rPr>
        <w:t>后，</w:t>
      </w:r>
      <w:bookmarkEnd w:id="90"/>
      <w:bookmarkEnd w:id="91"/>
      <w:bookmarkEnd w:id="92"/>
      <w:bookmarkEnd w:id="93"/>
      <w:bookmarkEnd w:id="94"/>
      <w:bookmarkEnd w:id="95"/>
      <w:bookmarkEnd w:id="96"/>
      <w:bookmarkEnd w:id="97"/>
      <w:bookmarkEnd w:id="98"/>
      <w:bookmarkEnd w:id="99"/>
      <w:bookmarkEnd w:id="100"/>
      <w:bookmarkStart w:id="101" w:name="_Toc352691484"/>
      <w:bookmarkStart w:id="102" w:name="_Toc369531526"/>
      <w:bookmarkStart w:id="103" w:name="_Toc361508595"/>
      <w:bookmarkStart w:id="104" w:name="_Toc144974508"/>
      <w:bookmarkStart w:id="105" w:name="_Toc384308220"/>
      <w:bookmarkStart w:id="106" w:name="_Toc152042316"/>
      <w:bookmarkStart w:id="107" w:name="_Toc16623"/>
      <w:bookmarkStart w:id="108" w:name="_Toc300834960"/>
      <w:bookmarkStart w:id="109" w:name="_Toc152045540"/>
      <w:bookmarkStart w:id="110" w:name="_Toc247513963"/>
      <w:bookmarkStart w:id="111" w:name="_Toc247527564"/>
      <w:r>
        <w:rPr>
          <w:rFonts w:ascii="宋体" w:hAnsi="宋体"/>
          <w:color w:val="auto"/>
          <w:highlight w:val="none"/>
        </w:rPr>
        <w:t>应按投标人须知前附表规定的时间和形式通知招标人，确认已收到该修改。</w:t>
      </w:r>
    </w:p>
    <w:p>
      <w:pPr>
        <w:pStyle w:val="5"/>
        <w:ind w:firstLine="137"/>
        <w:rPr>
          <w:rFonts w:ascii="宋体" w:hAnsi="宋体"/>
          <w:color w:val="auto"/>
          <w:highlight w:val="none"/>
        </w:rPr>
      </w:pPr>
      <w:bookmarkStart w:id="112" w:name="_Toc492300581"/>
      <w:bookmarkStart w:id="113" w:name="_Toc6154"/>
      <w:r>
        <w:rPr>
          <w:rFonts w:ascii="宋体" w:hAnsi="宋体"/>
          <w:color w:val="auto"/>
          <w:highlight w:val="none"/>
        </w:rPr>
        <w:t>2.</w:t>
      </w:r>
      <w:bookmarkEnd w:id="101"/>
      <w:bookmarkEnd w:id="102"/>
      <w:bookmarkEnd w:id="103"/>
      <w:bookmarkEnd w:id="104"/>
      <w:bookmarkEnd w:id="105"/>
      <w:bookmarkEnd w:id="106"/>
      <w:bookmarkEnd w:id="107"/>
      <w:bookmarkEnd w:id="108"/>
      <w:bookmarkEnd w:id="109"/>
      <w:bookmarkEnd w:id="110"/>
      <w:bookmarkEnd w:id="111"/>
      <w:r>
        <w:rPr>
          <w:rFonts w:ascii="宋体" w:hAnsi="宋体"/>
          <w:color w:val="auto"/>
          <w:highlight w:val="none"/>
        </w:rPr>
        <w:t>4 招标文件的异议</w:t>
      </w:r>
      <w:bookmarkEnd w:id="112"/>
      <w:bookmarkEnd w:id="113"/>
    </w:p>
    <w:p>
      <w:pPr>
        <w:spacing w:line="360" w:lineRule="auto"/>
        <w:ind w:firstLine="420" w:firstLineChars="200"/>
        <w:rPr>
          <w:rFonts w:ascii="宋体" w:hAnsi="宋体"/>
          <w:color w:val="auto"/>
          <w:highlight w:val="none"/>
        </w:rPr>
      </w:pPr>
      <w:r>
        <w:rPr>
          <w:rFonts w:ascii="宋体" w:hAnsi="宋体"/>
          <w:color w:val="auto"/>
          <w:highlight w:val="none"/>
        </w:rPr>
        <w:t>投标人或者其他利害关系人对招标文件有异议的，应当在投标截止时间10日前以书面形式提出。招标人将在收到异议之日起3日内作出答复；作出答复前，将暂停招标投标活动。</w:t>
      </w:r>
    </w:p>
    <w:p>
      <w:pPr>
        <w:pStyle w:val="4"/>
        <w:spacing w:line="360" w:lineRule="auto"/>
        <w:rPr>
          <w:rFonts w:ascii="宋体" w:hAnsi="宋体" w:eastAsia="宋体"/>
          <w:color w:val="auto"/>
          <w:highlight w:val="none"/>
        </w:rPr>
      </w:pPr>
      <w:bookmarkStart w:id="114" w:name="_Toc16248"/>
      <w:bookmarkStart w:id="115" w:name="_Toc492300582"/>
      <w:r>
        <w:rPr>
          <w:rFonts w:ascii="宋体" w:hAnsi="宋体" w:eastAsia="宋体"/>
          <w:color w:val="auto"/>
          <w:highlight w:val="none"/>
        </w:rPr>
        <w:t>3. 投标文件</w:t>
      </w:r>
      <w:bookmarkEnd w:id="114"/>
      <w:bookmarkEnd w:id="115"/>
    </w:p>
    <w:p>
      <w:pPr>
        <w:pStyle w:val="5"/>
        <w:ind w:firstLine="137"/>
        <w:rPr>
          <w:rFonts w:ascii="宋体" w:hAnsi="宋体"/>
          <w:color w:val="auto"/>
          <w:highlight w:val="none"/>
        </w:rPr>
      </w:pPr>
      <w:bookmarkStart w:id="116" w:name="_Toc18591"/>
      <w:bookmarkStart w:id="117" w:name="_Toc492300583"/>
      <w:r>
        <w:rPr>
          <w:rFonts w:ascii="宋体" w:hAnsi="宋体"/>
          <w:color w:val="auto"/>
          <w:highlight w:val="none"/>
        </w:rPr>
        <w:t>3.1 投标文件的组成</w:t>
      </w:r>
      <w:bookmarkEnd w:id="116"/>
      <w:bookmarkEnd w:id="117"/>
    </w:p>
    <w:p>
      <w:pPr>
        <w:spacing w:line="400" w:lineRule="exact"/>
        <w:ind w:firstLine="420" w:firstLineChars="200"/>
        <w:rPr>
          <w:rFonts w:ascii="宋体" w:hAnsi="宋体"/>
          <w:color w:val="auto"/>
          <w:highlight w:val="none"/>
        </w:rPr>
      </w:pPr>
      <w:r>
        <w:rPr>
          <w:rFonts w:ascii="宋体" w:hAnsi="宋体"/>
          <w:color w:val="auto"/>
          <w:highlight w:val="none"/>
        </w:rPr>
        <w:t>3.1.1投标文件应包括</w:t>
      </w:r>
      <w:r>
        <w:rPr>
          <w:rFonts w:hint="eastAsia" w:ascii="宋体" w:hAnsi="宋体"/>
          <w:color w:val="auto"/>
          <w:highlight w:val="none"/>
        </w:rPr>
        <w:t>第六章投标文件格式内容，</w:t>
      </w:r>
      <w:r>
        <w:rPr>
          <w:rFonts w:ascii="宋体" w:hAnsi="宋体"/>
          <w:color w:val="auto"/>
          <w:highlight w:val="none"/>
        </w:rPr>
        <w:t>投标人在评标过程中作出的符合法律法规和招标文件规定的澄清确认，构成投标文件的组成部分。</w:t>
      </w:r>
    </w:p>
    <w:p>
      <w:pPr>
        <w:spacing w:line="400" w:lineRule="exact"/>
        <w:ind w:firstLine="359" w:firstLineChars="171"/>
        <w:rPr>
          <w:rFonts w:ascii="宋体" w:hAnsi="宋体"/>
          <w:color w:val="auto"/>
          <w:highlight w:val="none"/>
        </w:rPr>
      </w:pPr>
      <w:r>
        <w:rPr>
          <w:rFonts w:ascii="宋体" w:hAnsi="宋体"/>
          <w:color w:val="auto"/>
          <w:highlight w:val="none"/>
        </w:rPr>
        <w:t>3.1.2投标人须知前附表规定不接受联合体投标的，或投标人没有组成联合体的，投标文件不包括本章第3.1.1（3）目所指的联合体协议书。</w:t>
      </w:r>
    </w:p>
    <w:p>
      <w:pPr>
        <w:spacing w:line="400" w:lineRule="exact"/>
        <w:ind w:firstLine="359" w:firstLineChars="171"/>
        <w:rPr>
          <w:rFonts w:ascii="宋体" w:hAnsi="宋体"/>
          <w:color w:val="auto"/>
          <w:highlight w:val="none"/>
        </w:rPr>
      </w:pPr>
      <w:r>
        <w:rPr>
          <w:rFonts w:ascii="宋体" w:hAnsi="宋体"/>
          <w:color w:val="auto"/>
          <w:highlight w:val="none"/>
        </w:rPr>
        <w:t>3.1.3投标人须知前附表未要求提交投标保证金的，投标文件不包括本章第3.1.1（4）目所指的投标保证金。</w:t>
      </w:r>
    </w:p>
    <w:p>
      <w:pPr>
        <w:spacing w:line="360" w:lineRule="auto"/>
        <w:ind w:firstLine="359" w:firstLineChars="171"/>
        <w:rPr>
          <w:rFonts w:ascii="宋体" w:hAnsi="宋体"/>
          <w:color w:val="auto"/>
          <w:highlight w:val="none"/>
        </w:rPr>
      </w:pPr>
    </w:p>
    <w:p>
      <w:pPr>
        <w:pStyle w:val="5"/>
        <w:ind w:firstLine="137"/>
        <w:rPr>
          <w:rFonts w:ascii="宋体" w:hAnsi="宋体"/>
          <w:color w:val="auto"/>
          <w:highlight w:val="none"/>
        </w:rPr>
      </w:pPr>
      <w:bookmarkStart w:id="118" w:name="_Toc492300584"/>
      <w:bookmarkStart w:id="119" w:name="_Toc7683"/>
      <w:r>
        <w:rPr>
          <w:rFonts w:ascii="宋体" w:hAnsi="宋体"/>
          <w:color w:val="auto"/>
          <w:highlight w:val="none"/>
        </w:rPr>
        <w:t>3.2 投标报价</w:t>
      </w:r>
      <w:bookmarkEnd w:id="118"/>
      <w:bookmarkEnd w:id="119"/>
    </w:p>
    <w:p>
      <w:pPr>
        <w:spacing w:line="360" w:lineRule="auto"/>
        <w:ind w:firstLine="420" w:firstLineChars="200"/>
        <w:rPr>
          <w:rFonts w:ascii="宋体" w:hAnsi="宋体"/>
          <w:color w:val="auto"/>
          <w:highlight w:val="none"/>
        </w:rPr>
      </w:pPr>
      <w:r>
        <w:rPr>
          <w:rFonts w:ascii="宋体" w:hAnsi="宋体"/>
          <w:color w:val="auto"/>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firstLine="420" w:firstLineChars="200"/>
        <w:rPr>
          <w:rFonts w:ascii="宋体" w:hAnsi="宋体"/>
          <w:color w:val="auto"/>
          <w:highlight w:val="none"/>
        </w:rPr>
      </w:pPr>
      <w:r>
        <w:rPr>
          <w:rFonts w:ascii="宋体" w:hAnsi="宋体"/>
          <w:color w:val="auto"/>
          <w:highlight w:val="none"/>
        </w:rPr>
        <w:t>3.2.2投标人应充分了解该项目的总体情况以及影响投标报价的其他要素。</w:t>
      </w:r>
    </w:p>
    <w:p>
      <w:pPr>
        <w:spacing w:line="360" w:lineRule="auto"/>
        <w:ind w:firstLine="420" w:firstLineChars="200"/>
        <w:rPr>
          <w:rFonts w:ascii="宋体" w:hAnsi="宋体"/>
          <w:color w:val="auto"/>
          <w:highlight w:val="none"/>
        </w:rPr>
      </w:pPr>
      <w:r>
        <w:rPr>
          <w:rFonts w:ascii="宋体" w:hAnsi="宋体"/>
          <w:color w:val="auto"/>
          <w:highlight w:val="none"/>
        </w:rPr>
        <w:t>3.2.3</w:t>
      </w:r>
      <w:bookmarkStart w:id="120" w:name="_Toc247527568"/>
      <w:bookmarkEnd w:id="120"/>
      <w:bookmarkStart w:id="121" w:name="_Toc144974511"/>
      <w:bookmarkEnd w:id="121"/>
      <w:bookmarkStart w:id="122" w:name="_Toc369531530"/>
      <w:bookmarkEnd w:id="122"/>
      <w:bookmarkStart w:id="123" w:name="_Toc247513967"/>
      <w:bookmarkEnd w:id="123"/>
      <w:bookmarkStart w:id="124" w:name="_Toc300834964"/>
      <w:bookmarkEnd w:id="124"/>
      <w:bookmarkStart w:id="125" w:name="_Toc152045543"/>
      <w:bookmarkEnd w:id="125"/>
      <w:bookmarkStart w:id="126" w:name="_Toc152042319"/>
      <w:bookmarkEnd w:id="126"/>
      <w:bookmarkStart w:id="127" w:name="_Toc361508599"/>
      <w:bookmarkEnd w:id="127"/>
      <w:bookmarkStart w:id="128" w:name="_Toc15242"/>
      <w:bookmarkEnd w:id="128"/>
      <w:bookmarkStart w:id="129" w:name="_Toc384308224"/>
      <w:bookmarkEnd w:id="129"/>
      <w:bookmarkStart w:id="130" w:name="_Toc352691487"/>
      <w:bookmarkEnd w:id="130"/>
      <w:r>
        <w:rPr>
          <w:rFonts w:hint="eastAsia" w:ascii="宋体" w:hAnsi="宋体"/>
          <w:color w:val="auto"/>
          <w:highlight w:val="none"/>
        </w:rPr>
        <w:t>本项目的报价方式见投标人须知前附表。</w:t>
      </w:r>
      <w:r>
        <w:rPr>
          <w:rFonts w:ascii="宋体" w:hAnsi="宋体"/>
          <w:color w:val="auto"/>
          <w:highlight w:val="none"/>
        </w:rPr>
        <w:t>投标人在投标截止时间前修改投标函中的投标报价总额，应同时修改投标文件“监理报酬清单”中的相应报价。</w:t>
      </w:r>
    </w:p>
    <w:p>
      <w:pPr>
        <w:spacing w:line="360" w:lineRule="auto"/>
        <w:ind w:firstLine="420" w:firstLineChars="200"/>
        <w:rPr>
          <w:rFonts w:ascii="宋体" w:hAnsi="宋体"/>
          <w:color w:val="auto"/>
          <w:highlight w:val="none"/>
        </w:rPr>
      </w:pPr>
      <w:r>
        <w:rPr>
          <w:rFonts w:ascii="宋体" w:hAnsi="宋体"/>
          <w:color w:val="auto"/>
          <w:highlight w:val="none"/>
        </w:rPr>
        <w:t>3.2.4招标人设有最高投标限价的，投标人的投标报价不得超过最高投标限价，最高投标限价在投标</w:t>
      </w:r>
      <w:bookmarkStart w:id="131" w:name="_Toc144974512"/>
      <w:bookmarkStart w:id="132" w:name="_Toc247527569"/>
      <w:bookmarkStart w:id="133" w:name="_Toc300834965"/>
      <w:bookmarkStart w:id="134" w:name="_Toc361508600"/>
      <w:bookmarkStart w:id="135" w:name="_Toc10429"/>
      <w:bookmarkStart w:id="136" w:name="_Toc369531531"/>
      <w:bookmarkStart w:id="137" w:name="_Toc352691488"/>
      <w:bookmarkStart w:id="138" w:name="_Toc152045544"/>
      <w:bookmarkStart w:id="139" w:name="_Toc247513968"/>
      <w:bookmarkStart w:id="140" w:name="_Toc384308225"/>
      <w:bookmarkStart w:id="141" w:name="_Toc152042320"/>
      <w:r>
        <w:rPr>
          <w:rFonts w:ascii="宋体" w:hAnsi="宋体"/>
          <w:color w:val="auto"/>
          <w:highlight w:val="none"/>
        </w:rPr>
        <w:t>人须知前附表中载明。</w:t>
      </w:r>
      <w:bookmarkEnd w:id="131"/>
      <w:bookmarkEnd w:id="132"/>
      <w:bookmarkEnd w:id="133"/>
      <w:bookmarkEnd w:id="134"/>
      <w:bookmarkEnd w:id="135"/>
      <w:bookmarkEnd w:id="136"/>
      <w:bookmarkEnd w:id="137"/>
      <w:bookmarkEnd w:id="138"/>
      <w:bookmarkEnd w:id="139"/>
      <w:bookmarkEnd w:id="140"/>
      <w:bookmarkEnd w:id="141"/>
    </w:p>
    <w:p>
      <w:pPr>
        <w:spacing w:line="360" w:lineRule="auto"/>
        <w:ind w:firstLine="420" w:firstLineChars="200"/>
        <w:rPr>
          <w:rFonts w:ascii="宋体" w:hAnsi="宋体"/>
          <w:color w:val="auto"/>
          <w:highlight w:val="none"/>
        </w:rPr>
      </w:pPr>
      <w:r>
        <w:rPr>
          <w:rFonts w:ascii="宋体" w:hAnsi="宋体"/>
          <w:color w:val="auto"/>
          <w:highlight w:val="none"/>
        </w:rPr>
        <w:t>3.2.5 投标报价的其他要求见投标人须知前附表。</w:t>
      </w:r>
    </w:p>
    <w:p>
      <w:pPr>
        <w:pStyle w:val="5"/>
        <w:ind w:firstLine="137"/>
        <w:rPr>
          <w:rFonts w:ascii="宋体" w:hAnsi="宋体"/>
          <w:color w:val="auto"/>
          <w:highlight w:val="none"/>
        </w:rPr>
      </w:pPr>
      <w:bookmarkStart w:id="142" w:name="_Toc492300585"/>
      <w:bookmarkStart w:id="143" w:name="_Toc15802"/>
      <w:r>
        <w:rPr>
          <w:rFonts w:ascii="宋体" w:hAnsi="宋体"/>
          <w:color w:val="auto"/>
          <w:highlight w:val="none"/>
        </w:rPr>
        <w:t>3.3 投标有效期</w:t>
      </w:r>
      <w:bookmarkEnd w:id="142"/>
      <w:bookmarkEnd w:id="143"/>
    </w:p>
    <w:p>
      <w:pPr>
        <w:spacing w:line="360" w:lineRule="auto"/>
        <w:ind w:firstLine="420" w:firstLineChars="200"/>
        <w:rPr>
          <w:rFonts w:ascii="宋体" w:hAnsi="宋体"/>
          <w:color w:val="auto"/>
          <w:highlight w:val="none"/>
        </w:rPr>
      </w:pPr>
      <w:r>
        <w:rPr>
          <w:rFonts w:ascii="宋体" w:hAnsi="宋体"/>
          <w:color w:val="auto"/>
          <w:highlight w:val="none"/>
        </w:rPr>
        <w:t>3.3.1除投标人须知前附表另有规定外，投标有效期为90天。</w:t>
      </w:r>
    </w:p>
    <w:p>
      <w:pPr>
        <w:spacing w:line="360" w:lineRule="auto"/>
        <w:ind w:firstLine="420" w:firstLineChars="200"/>
        <w:rPr>
          <w:rFonts w:ascii="宋体" w:hAnsi="宋体"/>
          <w:color w:val="auto"/>
          <w:highlight w:val="none"/>
        </w:rPr>
      </w:pPr>
      <w:r>
        <w:rPr>
          <w:rFonts w:ascii="宋体" w:hAnsi="宋体"/>
          <w:color w:val="auto"/>
          <w:highlight w:val="none"/>
        </w:rPr>
        <w:t>3.3.2在投标有效期内，投标人撤销投标文件的，应承担招标文件和法律规定的责任。</w:t>
      </w:r>
    </w:p>
    <w:p>
      <w:pPr>
        <w:spacing w:line="360" w:lineRule="auto"/>
        <w:ind w:firstLine="420" w:firstLineChars="200"/>
        <w:rPr>
          <w:rFonts w:ascii="宋体" w:hAnsi="宋体"/>
          <w:color w:val="auto"/>
          <w:highlight w:val="none"/>
        </w:rPr>
      </w:pPr>
      <w:r>
        <w:rPr>
          <w:rFonts w:ascii="宋体" w:hAnsi="宋体"/>
          <w:color w:val="auto"/>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ind w:firstLine="137"/>
        <w:rPr>
          <w:rFonts w:ascii="宋体" w:hAnsi="宋体"/>
          <w:color w:val="auto"/>
          <w:highlight w:val="none"/>
        </w:rPr>
      </w:pPr>
      <w:bookmarkStart w:id="144" w:name="_Toc492300586"/>
      <w:bookmarkStart w:id="145" w:name="_Toc26526"/>
      <w:r>
        <w:rPr>
          <w:rFonts w:ascii="宋体" w:hAnsi="宋体"/>
          <w:color w:val="auto"/>
          <w:highlight w:val="none"/>
        </w:rPr>
        <w:t>3.4 投标保证金</w:t>
      </w:r>
      <w:bookmarkEnd w:id="144"/>
      <w:bookmarkEnd w:id="145"/>
    </w:p>
    <w:p>
      <w:pPr>
        <w:spacing w:line="360" w:lineRule="auto"/>
        <w:ind w:firstLine="420" w:firstLineChars="200"/>
        <w:rPr>
          <w:rFonts w:ascii="宋体" w:hAnsi="宋体"/>
          <w:color w:val="auto"/>
          <w:highlight w:val="none"/>
        </w:rPr>
      </w:pPr>
      <w:r>
        <w:rPr>
          <w:rFonts w:ascii="宋体" w:hAnsi="宋体"/>
          <w:color w:val="auto"/>
          <w:highlight w:val="none"/>
        </w:rPr>
        <w:t>3.4.1投标人在递交投标文件的同时，应按投标人须知前附表规定的金额</w:t>
      </w:r>
      <w:bookmarkStart w:id="146" w:name="_Toc300834966"/>
      <w:bookmarkStart w:id="147" w:name="_Toc4592"/>
      <w:bookmarkStart w:id="148" w:name="_Toc361508601"/>
      <w:bookmarkStart w:id="149" w:name="_Toc152042321"/>
      <w:bookmarkStart w:id="150" w:name="_Toc352691489"/>
      <w:bookmarkStart w:id="151" w:name="_Toc384308226"/>
      <w:bookmarkStart w:id="152" w:name="_Toc247527570"/>
      <w:bookmarkStart w:id="153" w:name="_Toc152045545"/>
      <w:bookmarkStart w:id="154" w:name="_Toc369531532"/>
      <w:bookmarkStart w:id="155" w:name="_Toc144974513"/>
      <w:bookmarkStart w:id="156" w:name="_Toc247513969"/>
      <w:r>
        <w:rPr>
          <w:rFonts w:ascii="宋体" w:hAnsi="宋体"/>
          <w:color w:val="auto"/>
          <w:highlight w:val="none"/>
        </w:rPr>
        <w:t>、形式和第六章“投标文</w:t>
      </w:r>
      <w:bookmarkEnd w:id="146"/>
      <w:bookmarkEnd w:id="147"/>
      <w:bookmarkEnd w:id="148"/>
      <w:bookmarkEnd w:id="149"/>
      <w:bookmarkEnd w:id="150"/>
      <w:bookmarkEnd w:id="151"/>
      <w:bookmarkEnd w:id="152"/>
      <w:bookmarkEnd w:id="153"/>
      <w:bookmarkEnd w:id="154"/>
      <w:bookmarkEnd w:id="155"/>
      <w:bookmarkEnd w:id="156"/>
      <w:r>
        <w:rPr>
          <w:rFonts w:ascii="宋体" w:hAnsi="宋体"/>
          <w:color w:val="auto"/>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20" w:firstLineChars="200"/>
        <w:jc w:val="left"/>
        <w:rPr>
          <w:rFonts w:ascii="宋体" w:hAnsi="宋体"/>
          <w:color w:val="auto"/>
          <w:highlight w:val="none"/>
        </w:rPr>
      </w:pPr>
      <w:r>
        <w:rPr>
          <w:rFonts w:ascii="宋体" w:hAnsi="宋体"/>
          <w:color w:val="auto"/>
          <w:highlight w:val="none"/>
        </w:rPr>
        <w:t>3.4.2投标人不按本章第3.4.1项</w:t>
      </w:r>
      <w:bookmarkStart w:id="157" w:name="_Toc352691490"/>
      <w:bookmarkStart w:id="158" w:name="_Toc384308227"/>
      <w:bookmarkStart w:id="159" w:name="_Toc29025"/>
      <w:bookmarkStart w:id="160" w:name="_Toc369531533"/>
      <w:bookmarkStart w:id="161" w:name="_Toc361508602"/>
      <w:r>
        <w:rPr>
          <w:rFonts w:ascii="宋体" w:hAnsi="宋体"/>
          <w:color w:val="auto"/>
          <w:highlight w:val="none"/>
        </w:rPr>
        <w:t>要求提交投标保证金的，</w:t>
      </w:r>
      <w:bookmarkEnd w:id="157"/>
      <w:bookmarkEnd w:id="158"/>
      <w:bookmarkEnd w:id="159"/>
      <w:bookmarkEnd w:id="160"/>
      <w:bookmarkEnd w:id="161"/>
      <w:r>
        <w:rPr>
          <w:rFonts w:ascii="宋体" w:hAnsi="宋体"/>
          <w:color w:val="auto"/>
          <w:highlight w:val="none"/>
        </w:rPr>
        <w:t>评标委员会将否决其投标。</w:t>
      </w:r>
    </w:p>
    <w:p>
      <w:pPr>
        <w:spacing w:line="360" w:lineRule="auto"/>
        <w:ind w:firstLine="420" w:firstLineChars="200"/>
        <w:rPr>
          <w:rFonts w:ascii="宋体" w:hAnsi="宋体"/>
          <w:color w:val="auto"/>
          <w:highlight w:val="none"/>
        </w:rPr>
      </w:pPr>
      <w:r>
        <w:rPr>
          <w:rFonts w:ascii="宋体" w:hAnsi="宋体"/>
          <w:color w:val="auto"/>
          <w:highlight w:val="none"/>
        </w:rPr>
        <w:t>3.4.3招标人最迟将在与中标人</w:t>
      </w:r>
      <w:bookmarkStart w:id="162" w:name="_Toc300834967"/>
      <w:bookmarkStart w:id="163" w:name="_Toc144974514"/>
      <w:bookmarkStart w:id="164" w:name="_Toc247527571"/>
      <w:bookmarkStart w:id="165" w:name="_Toc352691491"/>
      <w:bookmarkStart w:id="166" w:name="_Toc247513970"/>
      <w:bookmarkStart w:id="167" w:name="_Toc384308228"/>
      <w:bookmarkStart w:id="168" w:name="_Toc369531534"/>
      <w:bookmarkStart w:id="169" w:name="_Toc152045546"/>
      <w:bookmarkStart w:id="170" w:name="_Toc361508603"/>
      <w:bookmarkStart w:id="171" w:name="_Toc152042322"/>
      <w:bookmarkStart w:id="172" w:name="_Toc14751"/>
      <w:r>
        <w:rPr>
          <w:rFonts w:ascii="宋体" w:hAnsi="宋体"/>
          <w:color w:val="auto"/>
          <w:highlight w:val="none"/>
        </w:rPr>
        <w:t>签订合同后5日</w:t>
      </w:r>
      <w:bookmarkEnd w:id="162"/>
      <w:bookmarkEnd w:id="163"/>
      <w:bookmarkEnd w:id="164"/>
      <w:bookmarkEnd w:id="165"/>
      <w:bookmarkEnd w:id="166"/>
      <w:bookmarkEnd w:id="167"/>
      <w:bookmarkEnd w:id="168"/>
      <w:bookmarkEnd w:id="169"/>
      <w:bookmarkEnd w:id="170"/>
      <w:bookmarkEnd w:id="171"/>
      <w:bookmarkEnd w:id="172"/>
      <w:r>
        <w:rPr>
          <w:rFonts w:ascii="宋体" w:hAnsi="宋体"/>
          <w:color w:val="auto"/>
          <w:highlight w:val="none"/>
        </w:rPr>
        <w:t>内</w:t>
      </w:r>
      <w:bookmarkStart w:id="173" w:name="_Toc17952"/>
      <w:bookmarkStart w:id="174" w:name="_Toc300834968"/>
      <w:bookmarkStart w:id="175" w:name="_Toc361508604"/>
      <w:bookmarkStart w:id="176" w:name="_Toc144974515"/>
      <w:bookmarkStart w:id="177" w:name="_Toc352691492"/>
      <w:bookmarkStart w:id="178" w:name="_Toc384308229"/>
      <w:bookmarkStart w:id="179" w:name="_Toc152042323"/>
      <w:bookmarkStart w:id="180" w:name="_Toc247513971"/>
      <w:bookmarkStart w:id="181" w:name="_Toc152045547"/>
      <w:bookmarkStart w:id="182" w:name="_Toc247527572"/>
      <w:bookmarkStart w:id="183" w:name="_Toc369531535"/>
      <w:r>
        <w:rPr>
          <w:rFonts w:ascii="宋体" w:hAnsi="宋体"/>
          <w:color w:val="auto"/>
          <w:highlight w:val="none"/>
        </w:rPr>
        <w:t>，向未中标的投标人和中</w:t>
      </w:r>
      <w:bookmarkEnd w:id="173"/>
      <w:bookmarkEnd w:id="174"/>
      <w:bookmarkEnd w:id="175"/>
      <w:bookmarkEnd w:id="176"/>
      <w:bookmarkEnd w:id="177"/>
      <w:bookmarkEnd w:id="178"/>
      <w:bookmarkEnd w:id="179"/>
      <w:bookmarkEnd w:id="180"/>
      <w:bookmarkEnd w:id="181"/>
      <w:bookmarkEnd w:id="182"/>
      <w:bookmarkEnd w:id="183"/>
      <w:r>
        <w:rPr>
          <w:rFonts w:ascii="宋体" w:hAnsi="宋体"/>
          <w:color w:val="auto"/>
          <w:highlight w:val="none"/>
        </w:rPr>
        <w:t>标人退还投标保证金。投标保证金以现金或者支票形式递交的，还应退还银行同期存款利息。</w:t>
      </w:r>
    </w:p>
    <w:p>
      <w:pPr>
        <w:spacing w:line="360" w:lineRule="auto"/>
        <w:ind w:firstLine="420" w:firstLineChars="200"/>
        <w:rPr>
          <w:rFonts w:ascii="宋体" w:hAnsi="宋体"/>
          <w:color w:val="auto"/>
          <w:highlight w:val="none"/>
        </w:rPr>
      </w:pPr>
      <w:r>
        <w:rPr>
          <w:rFonts w:ascii="宋体" w:hAnsi="宋体"/>
          <w:color w:val="auto"/>
          <w:highlight w:val="none"/>
        </w:rPr>
        <w:t>3.4.4有下列情形之一的，投标保证金将不予退还：</w:t>
      </w:r>
    </w:p>
    <w:p>
      <w:pPr>
        <w:spacing w:line="360" w:lineRule="auto"/>
        <w:ind w:firstLine="315" w:firstLineChars="150"/>
        <w:rPr>
          <w:rFonts w:ascii="宋体" w:hAnsi="宋体"/>
          <w:color w:val="auto"/>
          <w:highlight w:val="none"/>
        </w:rPr>
      </w:pPr>
      <w:r>
        <w:rPr>
          <w:rFonts w:ascii="宋体" w:hAnsi="宋体"/>
          <w:color w:val="auto"/>
          <w:highlight w:val="none"/>
        </w:rPr>
        <w:t>（1）投标人在投标有效期内撤销投标文件；</w:t>
      </w:r>
    </w:p>
    <w:p>
      <w:pPr>
        <w:spacing w:line="360" w:lineRule="auto"/>
        <w:ind w:firstLine="315" w:firstLineChars="150"/>
        <w:rPr>
          <w:rFonts w:ascii="宋体" w:hAnsi="宋体"/>
          <w:color w:val="auto"/>
          <w:highlight w:val="none"/>
        </w:rPr>
      </w:pPr>
      <w:r>
        <w:rPr>
          <w:rFonts w:ascii="宋体" w:hAnsi="宋体"/>
          <w:color w:val="auto"/>
          <w:highlight w:val="none"/>
        </w:rPr>
        <w:t>（2）中标人在收到中标通知书后，无正当理由不与招标人订立合同，在签订合同时向招标人提出附加条件，或者不按照招标文件要求提交履约保证金；</w:t>
      </w:r>
    </w:p>
    <w:p>
      <w:pPr>
        <w:spacing w:line="360" w:lineRule="auto"/>
        <w:ind w:firstLine="315" w:firstLineChars="150"/>
        <w:rPr>
          <w:rFonts w:ascii="宋体" w:hAnsi="宋体"/>
          <w:color w:val="auto"/>
          <w:highlight w:val="none"/>
        </w:rPr>
      </w:pPr>
      <w:r>
        <w:rPr>
          <w:rFonts w:ascii="宋体" w:hAnsi="宋体"/>
          <w:color w:val="auto"/>
          <w:highlight w:val="none"/>
        </w:rPr>
        <w:t>（3）发生投标人须知前附表规定的其他可以不予退还投标保证金的情形。</w:t>
      </w:r>
    </w:p>
    <w:p>
      <w:pPr>
        <w:pStyle w:val="5"/>
        <w:ind w:firstLine="137"/>
        <w:rPr>
          <w:rFonts w:ascii="宋体" w:hAnsi="宋体"/>
          <w:color w:val="auto"/>
          <w:highlight w:val="none"/>
        </w:rPr>
      </w:pPr>
      <w:bookmarkStart w:id="184" w:name="_Toc21703"/>
      <w:bookmarkStart w:id="185" w:name="_Toc492300588"/>
      <w:r>
        <w:rPr>
          <w:rFonts w:ascii="宋体" w:hAnsi="宋体"/>
          <w:color w:val="auto"/>
          <w:highlight w:val="none"/>
        </w:rPr>
        <w:t>3.5 资格审查资料（适用于未进行资格预审的）</w:t>
      </w:r>
      <w:bookmarkEnd w:id="184"/>
      <w:bookmarkEnd w:id="185"/>
    </w:p>
    <w:p>
      <w:pPr>
        <w:spacing w:line="360" w:lineRule="auto"/>
        <w:ind w:firstLine="420" w:firstLineChars="200"/>
        <w:rPr>
          <w:rFonts w:ascii="宋体" w:hAnsi="宋体"/>
          <w:color w:val="auto"/>
          <w:highlight w:val="none"/>
        </w:rPr>
      </w:pPr>
      <w:r>
        <w:rPr>
          <w:rFonts w:ascii="宋体" w:hAnsi="宋体"/>
          <w:color w:val="auto"/>
          <w:highlight w:val="none"/>
        </w:rPr>
        <w:t>除投标人须知前附表另有规定外，投标人应按下列规定提供资格审查资料，以证明其满足本章第1.4款规定的资质、财务、业绩、信誉等要求。</w:t>
      </w:r>
    </w:p>
    <w:p>
      <w:pPr>
        <w:spacing w:line="360" w:lineRule="auto"/>
        <w:ind w:firstLine="420" w:firstLineChars="200"/>
        <w:rPr>
          <w:rFonts w:ascii="宋体" w:hAnsi="宋体"/>
          <w:color w:val="auto"/>
          <w:highlight w:val="none"/>
        </w:rPr>
      </w:pPr>
      <w:r>
        <w:rPr>
          <w:rFonts w:ascii="宋体" w:hAnsi="宋体"/>
          <w:color w:val="auto"/>
          <w:highlight w:val="none"/>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firstLine="420" w:firstLineChars="200"/>
        <w:rPr>
          <w:rFonts w:ascii="宋体" w:hAnsi="宋体"/>
          <w:color w:val="auto"/>
          <w:highlight w:val="none"/>
        </w:rPr>
      </w:pPr>
      <w:r>
        <w:rPr>
          <w:rFonts w:ascii="宋体" w:hAnsi="宋体"/>
          <w:color w:val="auto"/>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20" w:firstLineChars="200"/>
        <w:rPr>
          <w:rFonts w:ascii="宋体" w:hAnsi="宋体"/>
          <w:color w:val="auto"/>
          <w:highlight w:val="none"/>
        </w:rPr>
      </w:pPr>
      <w:r>
        <w:rPr>
          <w:rFonts w:ascii="宋体" w:hAnsi="宋体"/>
          <w:color w:val="auto"/>
          <w:highlight w:val="none"/>
        </w:rPr>
        <w:t>3.5.3 “近年完成的类似监理项目情况表”应附中标通知书和（或）合同协议书、委托人出具的证明文件；具体</w:t>
      </w:r>
      <w:r>
        <w:rPr>
          <w:rFonts w:hint="eastAsia" w:ascii="宋体" w:hAnsi="宋体"/>
          <w:color w:val="auto"/>
          <w:highlight w:val="none"/>
        </w:rPr>
        <w:t>时间</w:t>
      </w:r>
      <w:r>
        <w:rPr>
          <w:rFonts w:ascii="宋体" w:hAnsi="宋体"/>
          <w:color w:val="auto"/>
          <w:highlight w:val="none"/>
        </w:rPr>
        <w:t>要求见投标人须知前附表，每张表格只填写一个项目，并标明序号。</w:t>
      </w:r>
    </w:p>
    <w:p>
      <w:pPr>
        <w:spacing w:line="360" w:lineRule="auto"/>
        <w:ind w:firstLine="420" w:firstLineChars="200"/>
        <w:rPr>
          <w:rFonts w:ascii="宋体" w:hAnsi="宋体"/>
          <w:color w:val="auto"/>
          <w:highlight w:val="none"/>
        </w:rPr>
      </w:pPr>
      <w:r>
        <w:rPr>
          <w:rFonts w:ascii="宋体" w:hAnsi="宋体"/>
          <w:color w:val="auto"/>
          <w:highlight w:val="none"/>
        </w:rPr>
        <w:t>3.5.4 “正在监理和新承接的项目情况表”应附中标通知书和（或）合同协议书复印件。每张表格只填写一个项目，并标明序号。</w:t>
      </w:r>
    </w:p>
    <w:p>
      <w:pPr>
        <w:spacing w:line="360" w:lineRule="auto"/>
        <w:ind w:firstLine="420" w:firstLineChars="200"/>
        <w:rPr>
          <w:rFonts w:ascii="宋体" w:hAnsi="宋体"/>
          <w:color w:val="auto"/>
          <w:highlight w:val="none"/>
        </w:rPr>
      </w:pPr>
      <w:r>
        <w:rPr>
          <w:rFonts w:ascii="宋体" w:hAnsi="宋体"/>
          <w:color w:val="auto"/>
          <w:highlight w:val="none"/>
        </w:rPr>
        <w:t>3.5.5 “近年发生的诉讼及仲裁情况”应说明投标人败诉的监理合同的相关情况，并附法院或仲裁机构作出的判决、裁决等有关法律文书复印件，具体</w:t>
      </w:r>
      <w:r>
        <w:rPr>
          <w:rFonts w:hint="eastAsia" w:ascii="宋体" w:hAnsi="宋体"/>
          <w:color w:val="auto"/>
          <w:highlight w:val="none"/>
        </w:rPr>
        <w:t>时间</w:t>
      </w:r>
      <w:r>
        <w:rPr>
          <w:rFonts w:ascii="宋体" w:hAnsi="宋体"/>
          <w:color w:val="auto"/>
          <w:highlight w:val="none"/>
        </w:rPr>
        <w:t>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3.5.6 “拟委任的主要人员汇总表”应填报满足本章第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pPr>
        <w:spacing w:line="360" w:lineRule="auto"/>
        <w:ind w:firstLine="420" w:firstLineChars="200"/>
        <w:rPr>
          <w:rFonts w:ascii="宋体" w:hAnsi="宋体"/>
          <w:color w:val="auto"/>
          <w:highlight w:val="none"/>
        </w:rPr>
      </w:pPr>
      <w:r>
        <w:rPr>
          <w:rFonts w:ascii="宋体" w:hAnsi="宋体"/>
          <w:color w:val="auto"/>
          <w:highlight w:val="none"/>
        </w:rPr>
        <w:t>3.5.7 “</w:t>
      </w:r>
      <w:r>
        <w:rPr>
          <w:rFonts w:hint="eastAsia" w:ascii="宋体" w:hAnsi="宋体"/>
          <w:color w:val="auto"/>
          <w:highlight w:val="none"/>
        </w:rPr>
        <w:t>拟投入本项目的主要试验检测仪器设备表</w:t>
      </w:r>
      <w:r>
        <w:rPr>
          <w:rFonts w:ascii="宋体" w:hAnsi="宋体"/>
          <w:color w:val="auto"/>
          <w:highlight w:val="none"/>
        </w:rPr>
        <w:t>”应填报满足本章第1.4.1项规定的试验检测仪器设备。</w:t>
      </w:r>
    </w:p>
    <w:p>
      <w:pPr>
        <w:spacing w:line="360" w:lineRule="auto"/>
        <w:ind w:firstLine="420" w:firstLineChars="200"/>
        <w:rPr>
          <w:rFonts w:ascii="宋体" w:hAnsi="宋体"/>
          <w:color w:val="auto"/>
          <w:highlight w:val="none"/>
        </w:rPr>
      </w:pPr>
      <w:r>
        <w:rPr>
          <w:rFonts w:ascii="宋体" w:hAnsi="宋体"/>
          <w:color w:val="auto"/>
          <w:highlight w:val="none"/>
        </w:rPr>
        <w:t>3.5.8 投标人须知前附表规定接受联合体投标的，本章第3.5.1项至第3.5.7项规定的表格和资料应包括联合体各方相关情况。</w:t>
      </w:r>
    </w:p>
    <w:p>
      <w:pPr>
        <w:pStyle w:val="5"/>
        <w:ind w:firstLine="137"/>
        <w:rPr>
          <w:rFonts w:ascii="宋体" w:hAnsi="宋体"/>
          <w:color w:val="auto"/>
          <w:highlight w:val="none"/>
        </w:rPr>
      </w:pPr>
      <w:bookmarkStart w:id="186" w:name="_Toc492300589"/>
      <w:bookmarkStart w:id="187" w:name="_Toc31483"/>
      <w:r>
        <w:rPr>
          <w:rFonts w:ascii="宋体" w:hAnsi="宋体"/>
          <w:color w:val="auto"/>
          <w:highlight w:val="none"/>
        </w:rPr>
        <w:t>3.6 备选投标方案</w:t>
      </w:r>
      <w:bookmarkEnd w:id="186"/>
      <w:bookmarkEnd w:id="187"/>
    </w:p>
    <w:p>
      <w:pPr>
        <w:spacing w:line="360" w:lineRule="auto"/>
        <w:ind w:firstLine="420" w:firstLineChars="200"/>
        <w:rPr>
          <w:rFonts w:ascii="宋体" w:hAnsi="宋体"/>
          <w:color w:val="auto"/>
          <w:highlight w:val="none"/>
        </w:rPr>
      </w:pPr>
      <w:r>
        <w:rPr>
          <w:rFonts w:ascii="宋体" w:hAnsi="宋体"/>
          <w:color w:val="auto"/>
          <w:highlight w:val="none"/>
        </w:rPr>
        <w:t>3.6.1除投标人须知前附表规定允许外，投标人不得递交备选投标方案，否则其投标将被否决。</w:t>
      </w:r>
    </w:p>
    <w:p>
      <w:pPr>
        <w:spacing w:line="360" w:lineRule="auto"/>
        <w:ind w:firstLine="420" w:firstLineChars="200"/>
        <w:rPr>
          <w:rFonts w:ascii="宋体" w:hAnsi="宋体"/>
          <w:color w:val="auto"/>
          <w:highlight w:val="none"/>
        </w:rPr>
      </w:pPr>
      <w:r>
        <w:rPr>
          <w:rFonts w:ascii="宋体" w:hAnsi="宋体"/>
          <w:color w:val="auto"/>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olor w:val="auto"/>
          <w:highlight w:val="none"/>
        </w:rPr>
      </w:pPr>
      <w:r>
        <w:rPr>
          <w:rFonts w:ascii="宋体" w:hAnsi="宋体"/>
          <w:color w:val="auto"/>
          <w:highlight w:val="none"/>
        </w:rPr>
        <w:t>3.6.3投标人提供两个或两个以上投标报价，或者在投标文件中提供一个报价，但同时提供两个或两个以上</w:t>
      </w:r>
      <w:bookmarkStart w:id="188" w:name="_Toc247513974"/>
      <w:bookmarkStart w:id="189" w:name="_Toc152042326"/>
      <w:bookmarkStart w:id="190" w:name="_Toc300834971"/>
      <w:bookmarkStart w:id="191" w:name="_Toc152045550"/>
      <w:bookmarkStart w:id="192" w:name="_Toc384308232"/>
      <w:bookmarkStart w:id="193" w:name="_Toc369531538"/>
      <w:bookmarkStart w:id="194" w:name="_Toc352691495"/>
      <w:bookmarkStart w:id="195" w:name="_Toc361508607"/>
      <w:bookmarkStart w:id="196" w:name="_Toc247527575"/>
      <w:bookmarkStart w:id="197" w:name="_Toc144974518"/>
      <w:bookmarkStart w:id="198" w:name="_Toc29902"/>
      <w:r>
        <w:rPr>
          <w:rFonts w:ascii="宋体" w:hAnsi="宋体"/>
          <w:color w:val="auto"/>
          <w:highlight w:val="none"/>
        </w:rPr>
        <w:t>监理方案的</w:t>
      </w:r>
      <w:bookmarkEnd w:id="188"/>
      <w:bookmarkEnd w:id="189"/>
      <w:bookmarkEnd w:id="190"/>
      <w:bookmarkEnd w:id="191"/>
      <w:bookmarkEnd w:id="192"/>
      <w:bookmarkEnd w:id="193"/>
      <w:bookmarkEnd w:id="194"/>
      <w:bookmarkEnd w:id="195"/>
      <w:bookmarkEnd w:id="196"/>
      <w:bookmarkEnd w:id="197"/>
      <w:bookmarkEnd w:id="198"/>
      <w:r>
        <w:rPr>
          <w:rFonts w:ascii="宋体" w:hAnsi="宋体"/>
          <w:color w:val="auto"/>
          <w:highlight w:val="none"/>
        </w:rPr>
        <w:t>，视为提供备选方案。</w:t>
      </w:r>
    </w:p>
    <w:p>
      <w:pPr>
        <w:pStyle w:val="5"/>
        <w:ind w:firstLine="137"/>
        <w:rPr>
          <w:rFonts w:ascii="宋体" w:hAnsi="宋体"/>
          <w:color w:val="auto"/>
          <w:highlight w:val="none"/>
        </w:rPr>
      </w:pPr>
      <w:bookmarkStart w:id="199" w:name="_Toc492300590"/>
      <w:bookmarkStart w:id="200" w:name="_Toc29892"/>
      <w:r>
        <w:rPr>
          <w:rFonts w:ascii="宋体" w:hAnsi="宋体"/>
          <w:color w:val="auto"/>
          <w:highlight w:val="none"/>
        </w:rPr>
        <w:t>3.7 投标文件的编制</w:t>
      </w:r>
      <w:bookmarkEnd w:id="199"/>
      <w:bookmarkEnd w:id="200"/>
    </w:p>
    <w:p>
      <w:pPr>
        <w:spacing w:line="360" w:lineRule="auto"/>
        <w:ind w:firstLine="420" w:firstLineChars="200"/>
        <w:rPr>
          <w:rFonts w:ascii="宋体" w:hAnsi="宋体"/>
          <w:color w:val="auto"/>
          <w:highlight w:val="none"/>
        </w:rPr>
      </w:pPr>
      <w:r>
        <w:rPr>
          <w:rFonts w:ascii="宋体" w:hAnsi="宋体"/>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olor w:val="auto"/>
          <w:highlight w:val="none"/>
        </w:rPr>
      </w:pPr>
      <w:r>
        <w:rPr>
          <w:rFonts w:ascii="宋体" w:hAnsi="宋体"/>
          <w:color w:val="auto"/>
          <w:highlight w:val="none"/>
        </w:rPr>
        <w:t>3.7.2投标文件应当对招标文件有关服务期限、投标有效期、委托人要求、招标范围等实质性内容作出响应。</w:t>
      </w:r>
    </w:p>
    <w:p>
      <w:pPr>
        <w:spacing w:line="400" w:lineRule="exact"/>
        <w:ind w:firstLine="420" w:firstLineChars="200"/>
        <w:rPr>
          <w:rFonts w:ascii="宋体" w:hAnsi="宋体"/>
          <w:color w:val="auto"/>
          <w:highlight w:val="none"/>
        </w:rPr>
      </w:pPr>
      <w:bookmarkStart w:id="201" w:name="_Toc492300591"/>
      <w:r>
        <w:rPr>
          <w:rFonts w:ascii="宋体" w:hAnsi="宋体"/>
          <w:color w:val="auto"/>
          <w:highlight w:val="none"/>
        </w:rPr>
        <w:t>3.7.3</w:t>
      </w:r>
      <w:r>
        <w:rPr>
          <w:rFonts w:hint="eastAsia" w:ascii="宋体" w:hAnsi="宋体"/>
          <w:color w:val="auto"/>
          <w:highlight w:val="none"/>
        </w:rPr>
        <w:t>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具体要求见投标人须知前附表。</w:t>
      </w:r>
    </w:p>
    <w:p>
      <w:pPr>
        <w:pStyle w:val="4"/>
        <w:spacing w:line="360" w:lineRule="auto"/>
        <w:rPr>
          <w:rFonts w:ascii="宋体" w:hAnsi="宋体" w:eastAsia="宋体"/>
          <w:color w:val="auto"/>
          <w:highlight w:val="none"/>
        </w:rPr>
      </w:pPr>
      <w:bookmarkStart w:id="202" w:name="_Toc25067"/>
      <w:r>
        <w:rPr>
          <w:rFonts w:ascii="宋体" w:hAnsi="宋体" w:eastAsia="宋体"/>
          <w:color w:val="auto"/>
          <w:highlight w:val="none"/>
        </w:rPr>
        <w:t>4. 投标</w:t>
      </w:r>
      <w:bookmarkEnd w:id="201"/>
      <w:bookmarkEnd w:id="202"/>
    </w:p>
    <w:p>
      <w:pPr>
        <w:pStyle w:val="5"/>
        <w:ind w:firstLine="137"/>
        <w:rPr>
          <w:rFonts w:ascii="宋体" w:hAnsi="宋体"/>
          <w:color w:val="auto"/>
          <w:highlight w:val="none"/>
        </w:rPr>
      </w:pPr>
      <w:bookmarkStart w:id="203" w:name="_Toc492300592"/>
      <w:bookmarkStart w:id="204" w:name="_Toc27612"/>
      <w:r>
        <w:rPr>
          <w:rFonts w:ascii="宋体" w:hAnsi="宋体"/>
          <w:color w:val="auto"/>
          <w:highlight w:val="none"/>
        </w:rPr>
        <w:t>4.1 投标文件的密封和标记</w:t>
      </w:r>
      <w:bookmarkEnd w:id="203"/>
      <w:bookmarkEnd w:id="204"/>
    </w:p>
    <w:p>
      <w:pPr>
        <w:spacing w:line="360" w:lineRule="auto"/>
        <w:ind w:firstLine="420" w:firstLineChars="200"/>
        <w:rPr>
          <w:rFonts w:ascii="宋体" w:hAnsi="宋体"/>
          <w:color w:val="auto"/>
          <w:highlight w:val="none"/>
        </w:rPr>
      </w:pPr>
      <w:r>
        <w:rPr>
          <w:rFonts w:ascii="宋体" w:hAnsi="宋体"/>
          <w:color w:val="auto"/>
          <w:highlight w:val="none"/>
        </w:rPr>
        <w:t>4.1.1投标人应当按照招标文件和电子招标投标交易平台的要求加密投标文件，具体要求见投标人须知前附表。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4.1.2</w:t>
      </w:r>
      <w:r>
        <w:rPr>
          <w:rFonts w:hint="eastAsia" w:ascii="宋体" w:hAnsi="宋体"/>
          <w:color w:val="auto"/>
          <w:highlight w:val="none"/>
        </w:rPr>
        <w:t>网上递交的电子投标文件须进行加密。</w:t>
      </w:r>
    </w:p>
    <w:p>
      <w:pPr>
        <w:spacing w:line="360" w:lineRule="auto"/>
        <w:ind w:firstLine="420" w:firstLineChars="200"/>
        <w:rPr>
          <w:rFonts w:ascii="宋体" w:hAnsi="宋体"/>
          <w:color w:val="auto"/>
          <w:highlight w:val="none"/>
        </w:rPr>
      </w:pPr>
      <w:r>
        <w:rPr>
          <w:rFonts w:ascii="宋体" w:hAnsi="宋体"/>
          <w:color w:val="auto"/>
          <w:highlight w:val="none"/>
        </w:rPr>
        <w:t>4.1.3投标文件封套上应写明的内容见投标人须知前附表。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4.1.4</w:t>
      </w:r>
      <w:r>
        <w:rPr>
          <w:rFonts w:ascii="宋体" w:hAnsi="宋体"/>
          <w:color w:val="auto"/>
          <w:highlight w:val="none"/>
        </w:rPr>
        <w:t>未按本章第4.1.1项要求密封的投标文件，招标人将予以拒收。</w:t>
      </w:r>
    </w:p>
    <w:p>
      <w:pPr>
        <w:pStyle w:val="5"/>
        <w:ind w:firstLine="137"/>
        <w:rPr>
          <w:rFonts w:ascii="宋体" w:hAnsi="宋体"/>
          <w:color w:val="auto"/>
          <w:highlight w:val="none"/>
        </w:rPr>
      </w:pPr>
      <w:bookmarkStart w:id="205" w:name="_Toc30475"/>
      <w:bookmarkStart w:id="206" w:name="_Toc492300593"/>
      <w:r>
        <w:rPr>
          <w:rFonts w:ascii="宋体" w:hAnsi="宋体"/>
          <w:color w:val="auto"/>
          <w:highlight w:val="none"/>
        </w:rPr>
        <w:t>4.2 投标文件的递交</w:t>
      </w:r>
      <w:bookmarkEnd w:id="205"/>
      <w:bookmarkEnd w:id="206"/>
    </w:p>
    <w:p>
      <w:pPr>
        <w:spacing w:line="360" w:lineRule="auto"/>
        <w:ind w:firstLine="420" w:firstLineChars="200"/>
        <w:rPr>
          <w:rFonts w:ascii="宋体" w:hAnsi="宋体"/>
          <w:color w:val="auto"/>
          <w:highlight w:val="none"/>
        </w:rPr>
      </w:pPr>
      <w:r>
        <w:rPr>
          <w:rFonts w:ascii="宋体" w:hAnsi="宋体"/>
          <w:color w:val="auto"/>
          <w:highlight w:val="none"/>
        </w:rPr>
        <w:t>4.2.1投标人应在投标人须知前附表规定的投标截止时间前递交投标文件。</w:t>
      </w:r>
    </w:p>
    <w:p>
      <w:pPr>
        <w:spacing w:line="360" w:lineRule="auto"/>
        <w:ind w:firstLine="420" w:firstLineChars="200"/>
        <w:rPr>
          <w:rFonts w:ascii="宋体" w:hAnsi="宋体"/>
          <w:color w:val="auto"/>
          <w:highlight w:val="none"/>
        </w:rPr>
      </w:pPr>
      <w:r>
        <w:rPr>
          <w:rFonts w:ascii="宋体" w:hAnsi="宋体"/>
          <w:color w:val="auto"/>
          <w:highlight w:val="none"/>
        </w:rPr>
        <w:t>4.2.2</w:t>
      </w:r>
      <w:r>
        <w:rPr>
          <w:rFonts w:ascii="宋体" w:hAnsi="宋体"/>
          <w:bCs/>
          <w:iCs/>
          <w:color w:val="auto"/>
          <w:highlight w:val="none"/>
        </w:rPr>
        <w:t>投标人通过下载招标文件的电子招标投标交易平台递交电子投标文件。</w:t>
      </w:r>
    </w:p>
    <w:p>
      <w:pPr>
        <w:spacing w:line="360" w:lineRule="auto"/>
        <w:ind w:firstLine="420" w:firstLineChars="200"/>
        <w:rPr>
          <w:rFonts w:ascii="宋体" w:hAnsi="宋体"/>
          <w:color w:val="auto"/>
          <w:highlight w:val="none"/>
        </w:rPr>
      </w:pPr>
      <w:r>
        <w:rPr>
          <w:rFonts w:ascii="宋体" w:hAnsi="宋体"/>
          <w:color w:val="auto"/>
          <w:highlight w:val="none"/>
        </w:rPr>
        <w:t>4.2.3除投标人须知前附表另有规定外，投标人所递交的投标文件不予退还。</w:t>
      </w:r>
    </w:p>
    <w:p>
      <w:pPr>
        <w:spacing w:line="360" w:lineRule="auto"/>
        <w:ind w:firstLine="420" w:firstLineChars="200"/>
        <w:rPr>
          <w:rFonts w:ascii="宋体" w:hAnsi="宋体"/>
          <w:color w:val="auto"/>
          <w:highlight w:val="none"/>
        </w:rPr>
      </w:pPr>
      <w:r>
        <w:rPr>
          <w:rFonts w:ascii="宋体" w:hAnsi="宋体"/>
          <w:color w:val="auto"/>
          <w:highlight w:val="none"/>
        </w:rPr>
        <w:t>4.2.4投标人完成电子投标文件上传后，</w:t>
      </w:r>
      <w:r>
        <w:rPr>
          <w:rFonts w:ascii="宋体" w:hAnsi="宋体"/>
          <w:bCs/>
          <w:iCs/>
          <w:color w:val="auto"/>
          <w:highlight w:val="none"/>
        </w:rPr>
        <w:t>电子招标投标交易平台</w:t>
      </w:r>
      <w:r>
        <w:rPr>
          <w:rFonts w:ascii="宋体" w:hAnsi="宋体"/>
          <w:color w:val="auto"/>
          <w:highlight w:val="none"/>
        </w:rPr>
        <w:t>即时向投标人发出递交回执通知。递交时间以递交回执通知载明的传输完成时间为准。</w:t>
      </w:r>
    </w:p>
    <w:p>
      <w:pPr>
        <w:spacing w:line="360" w:lineRule="auto"/>
        <w:ind w:firstLine="420" w:firstLineChars="200"/>
        <w:jc w:val="left"/>
        <w:rPr>
          <w:rFonts w:ascii="宋体" w:hAnsi="宋体"/>
          <w:color w:val="auto"/>
          <w:highlight w:val="none"/>
        </w:rPr>
      </w:pPr>
      <w:r>
        <w:rPr>
          <w:rFonts w:ascii="宋体" w:hAnsi="宋体"/>
          <w:color w:val="auto"/>
          <w:highlight w:val="none"/>
        </w:rPr>
        <w:t>4.2.5 逾期送达的投标文件，电子招标投标交易平台将予以拒收。</w:t>
      </w:r>
    </w:p>
    <w:p>
      <w:pPr>
        <w:spacing w:line="360" w:lineRule="auto"/>
        <w:ind w:firstLine="420" w:firstLineChars="200"/>
        <w:rPr>
          <w:rFonts w:ascii="宋体" w:hAnsi="宋体"/>
          <w:color w:val="auto"/>
          <w:highlight w:val="none"/>
        </w:rPr>
      </w:pPr>
    </w:p>
    <w:p>
      <w:pPr>
        <w:pStyle w:val="5"/>
        <w:ind w:firstLine="137"/>
        <w:rPr>
          <w:rFonts w:ascii="宋体" w:hAnsi="宋体"/>
          <w:color w:val="auto"/>
          <w:highlight w:val="none"/>
        </w:rPr>
      </w:pPr>
      <w:bookmarkStart w:id="207" w:name="_Toc17136"/>
      <w:bookmarkStart w:id="208" w:name="_Toc492300594"/>
      <w:r>
        <w:rPr>
          <w:rFonts w:ascii="宋体" w:hAnsi="宋体"/>
          <w:color w:val="auto"/>
          <w:highlight w:val="none"/>
        </w:rPr>
        <w:t>4.3 投标文件的修改与撤回</w:t>
      </w:r>
      <w:bookmarkEnd w:id="207"/>
      <w:bookmarkEnd w:id="208"/>
    </w:p>
    <w:p>
      <w:pPr>
        <w:spacing w:line="360" w:lineRule="auto"/>
        <w:ind w:firstLine="420" w:firstLineChars="200"/>
        <w:rPr>
          <w:rFonts w:ascii="宋体" w:hAnsi="宋体"/>
          <w:color w:val="auto"/>
          <w:highlight w:val="none"/>
        </w:rPr>
      </w:pPr>
      <w:r>
        <w:rPr>
          <w:rFonts w:ascii="宋体" w:hAnsi="宋体"/>
          <w:color w:val="auto"/>
          <w:highlight w:val="none"/>
        </w:rPr>
        <w:t>4.3.1在本章第4.2.1项规定的投标截止时间前，投标人可以修改或撤回已递交的投标文件，但应以书面形式通知招标人。</w:t>
      </w:r>
    </w:p>
    <w:p>
      <w:pPr>
        <w:spacing w:line="360" w:lineRule="auto"/>
        <w:ind w:firstLine="420" w:firstLineChars="200"/>
        <w:rPr>
          <w:rFonts w:ascii="宋体" w:hAnsi="宋体"/>
          <w:color w:val="auto"/>
          <w:highlight w:val="none"/>
        </w:rPr>
      </w:pPr>
      <w:r>
        <w:rPr>
          <w:rFonts w:ascii="宋体" w:hAnsi="宋体"/>
          <w:color w:val="auto"/>
          <w:highlight w:val="none"/>
        </w:rPr>
        <w:t>4.3.2投标人修改或撤回已递交投标文件的通知，应按照本章第3.7.3（B）项的要求加盖电子印章。</w:t>
      </w:r>
      <w:r>
        <w:rPr>
          <w:rFonts w:ascii="宋体" w:hAnsi="宋体"/>
          <w:bCs/>
          <w:iCs/>
          <w:color w:val="auto"/>
          <w:highlight w:val="none"/>
        </w:rPr>
        <w:t>电子招标投标交易平台收到通知后，</w:t>
      </w:r>
      <w:r>
        <w:rPr>
          <w:rFonts w:ascii="宋体" w:hAnsi="宋体"/>
          <w:color w:val="auto"/>
          <w:highlight w:val="none"/>
        </w:rPr>
        <w:t>即时向投标人发出确认回执通知。</w:t>
      </w:r>
    </w:p>
    <w:p>
      <w:pPr>
        <w:spacing w:line="360" w:lineRule="auto"/>
        <w:ind w:firstLine="420" w:firstLineChars="200"/>
        <w:rPr>
          <w:rFonts w:ascii="宋体" w:hAnsi="宋体"/>
          <w:color w:val="auto"/>
          <w:highlight w:val="none"/>
        </w:rPr>
      </w:pPr>
      <w:r>
        <w:rPr>
          <w:rFonts w:ascii="宋体" w:hAnsi="宋体"/>
          <w:color w:val="auto"/>
          <w:highlight w:val="none"/>
        </w:rPr>
        <w:t>4.3.3投标人撤回投标文件的，招标人自收到投标人书面撤回通知之日起5日内退还已收取的投标保证金。</w:t>
      </w:r>
    </w:p>
    <w:p>
      <w:pPr>
        <w:spacing w:line="360" w:lineRule="auto"/>
        <w:ind w:firstLine="420" w:firstLineChars="200"/>
        <w:rPr>
          <w:rFonts w:ascii="宋体" w:hAnsi="宋体"/>
          <w:color w:val="auto"/>
          <w:highlight w:val="none"/>
        </w:rPr>
      </w:pPr>
      <w:r>
        <w:rPr>
          <w:rFonts w:ascii="宋体" w:hAnsi="宋体"/>
          <w:color w:val="auto"/>
          <w:highlight w:val="none"/>
        </w:rPr>
        <w:t>4.3.</w:t>
      </w:r>
      <w:bookmarkStart w:id="209" w:name="_Toc247527578"/>
      <w:bookmarkStart w:id="210" w:name="_Toc352691497"/>
      <w:bookmarkStart w:id="211" w:name="_Toc300834974"/>
      <w:bookmarkStart w:id="212" w:name="_Toc247513977"/>
      <w:bookmarkStart w:id="213" w:name="_Toc152045553"/>
      <w:bookmarkStart w:id="214" w:name="_Toc361508610"/>
      <w:bookmarkStart w:id="215" w:name="_Toc152042329"/>
      <w:bookmarkStart w:id="216" w:name="_Toc144974521"/>
      <w:bookmarkStart w:id="217" w:name="_Toc384308235"/>
      <w:bookmarkStart w:id="218" w:name="_Toc19203"/>
      <w:bookmarkStart w:id="219" w:name="_Toc369531541"/>
      <w:r>
        <w:rPr>
          <w:rFonts w:ascii="宋体" w:hAnsi="宋体"/>
          <w:color w:val="auto"/>
          <w:highlight w:val="none"/>
        </w:rPr>
        <w:t>4修改的内容为投标</w:t>
      </w:r>
      <w:bookmarkEnd w:id="209"/>
      <w:bookmarkEnd w:id="210"/>
      <w:bookmarkEnd w:id="211"/>
      <w:bookmarkEnd w:id="212"/>
      <w:bookmarkEnd w:id="213"/>
      <w:bookmarkEnd w:id="214"/>
      <w:bookmarkEnd w:id="215"/>
      <w:bookmarkEnd w:id="216"/>
      <w:bookmarkEnd w:id="217"/>
      <w:bookmarkEnd w:id="218"/>
      <w:bookmarkEnd w:id="219"/>
      <w:r>
        <w:rPr>
          <w:rFonts w:ascii="宋体" w:hAnsi="宋体"/>
          <w:color w:val="auto"/>
          <w:highlight w:val="none"/>
        </w:rPr>
        <w:t>文件的组成部分。修改的投标文件应按照本章第3条、第4条的规定进行编制、密封、标记和递交，并标明“修改”字样。</w:t>
      </w:r>
    </w:p>
    <w:p>
      <w:pPr>
        <w:pStyle w:val="4"/>
        <w:spacing w:line="360" w:lineRule="auto"/>
        <w:rPr>
          <w:rFonts w:ascii="宋体" w:hAnsi="宋体" w:eastAsia="宋体"/>
          <w:color w:val="auto"/>
          <w:highlight w:val="none"/>
        </w:rPr>
      </w:pPr>
      <w:bookmarkStart w:id="220" w:name="_Toc7579"/>
      <w:bookmarkStart w:id="221" w:name="_Toc492300595"/>
      <w:r>
        <w:rPr>
          <w:rFonts w:ascii="宋体" w:hAnsi="宋体" w:eastAsia="宋体"/>
          <w:color w:val="auto"/>
          <w:highlight w:val="none"/>
        </w:rPr>
        <w:t>5. 开标</w:t>
      </w:r>
      <w:bookmarkEnd w:id="220"/>
      <w:bookmarkEnd w:id="221"/>
    </w:p>
    <w:p>
      <w:pPr>
        <w:pStyle w:val="5"/>
        <w:ind w:firstLine="137"/>
        <w:rPr>
          <w:rFonts w:ascii="宋体" w:hAnsi="宋体"/>
          <w:color w:val="auto"/>
          <w:highlight w:val="none"/>
        </w:rPr>
      </w:pPr>
      <w:bookmarkStart w:id="222" w:name="_Toc492300597"/>
      <w:bookmarkStart w:id="223" w:name="_Toc32378"/>
      <w:r>
        <w:rPr>
          <w:rFonts w:ascii="宋体" w:hAnsi="宋体"/>
          <w:color w:val="auto"/>
          <w:highlight w:val="none"/>
        </w:rPr>
        <w:t>5.1 开标时间和地点</w:t>
      </w:r>
      <w:bookmarkEnd w:id="222"/>
      <w:bookmarkEnd w:id="223"/>
    </w:p>
    <w:p>
      <w:pPr>
        <w:spacing w:line="360" w:lineRule="auto"/>
        <w:ind w:firstLine="420" w:firstLineChars="200"/>
        <w:rPr>
          <w:rFonts w:ascii="宋体" w:hAnsi="宋体"/>
          <w:color w:val="auto"/>
          <w:highlight w:val="none"/>
        </w:rPr>
      </w:pPr>
      <w:r>
        <w:rPr>
          <w:rFonts w:ascii="宋体" w:hAnsi="宋体"/>
          <w:color w:val="auto"/>
          <w:highlight w:val="none"/>
        </w:rPr>
        <w:t>招标人在本章第4.2.1项规定的投标截止时间（开标时间）,通过电子招标投标交易平台公开开标，所有投标人的法定代表人或其委托代理人应当准时参加。</w:t>
      </w:r>
    </w:p>
    <w:p>
      <w:pPr>
        <w:pStyle w:val="5"/>
        <w:ind w:firstLine="137"/>
        <w:rPr>
          <w:rFonts w:ascii="宋体" w:hAnsi="宋体"/>
          <w:color w:val="auto"/>
          <w:highlight w:val="none"/>
        </w:rPr>
      </w:pPr>
      <w:bookmarkStart w:id="224" w:name="_Toc492300598"/>
      <w:bookmarkStart w:id="225" w:name="_Toc17768"/>
      <w:r>
        <w:rPr>
          <w:rFonts w:ascii="宋体" w:hAnsi="宋体"/>
          <w:color w:val="auto"/>
          <w:highlight w:val="none"/>
        </w:rPr>
        <w:t>5.2 开标程序</w:t>
      </w:r>
      <w:bookmarkEnd w:id="224"/>
      <w:bookmarkEnd w:id="225"/>
    </w:p>
    <w:p>
      <w:pPr>
        <w:spacing w:line="360" w:lineRule="auto"/>
        <w:ind w:firstLine="420" w:firstLineChars="200"/>
        <w:rPr>
          <w:rFonts w:ascii="宋体" w:hAnsi="宋体"/>
          <w:color w:val="auto"/>
          <w:highlight w:val="none"/>
        </w:rPr>
      </w:pPr>
      <w:r>
        <w:rPr>
          <w:rFonts w:ascii="宋体" w:hAnsi="宋体"/>
          <w:color w:val="auto"/>
          <w:highlight w:val="none"/>
        </w:rPr>
        <w:t>主持人按下列程序进行开标：</w:t>
      </w:r>
    </w:p>
    <w:p>
      <w:pPr>
        <w:spacing w:line="360" w:lineRule="auto"/>
        <w:ind w:firstLine="420" w:firstLineChars="200"/>
        <w:rPr>
          <w:rFonts w:ascii="宋体" w:hAnsi="宋体"/>
          <w:color w:val="auto"/>
          <w:highlight w:val="none"/>
        </w:rPr>
      </w:pPr>
      <w:r>
        <w:rPr>
          <w:rFonts w:ascii="宋体" w:hAnsi="宋体"/>
          <w:color w:val="auto"/>
          <w:highlight w:val="none"/>
        </w:rPr>
        <w:t>（1）宣布开标纪律；</w:t>
      </w:r>
    </w:p>
    <w:p>
      <w:pPr>
        <w:spacing w:line="360" w:lineRule="auto"/>
        <w:ind w:firstLine="420" w:firstLineChars="200"/>
        <w:rPr>
          <w:rFonts w:ascii="宋体" w:hAnsi="宋体"/>
          <w:color w:val="auto"/>
          <w:highlight w:val="none"/>
        </w:rPr>
      </w:pPr>
      <w:r>
        <w:rPr>
          <w:rFonts w:ascii="宋体" w:hAnsi="宋体"/>
          <w:color w:val="auto"/>
          <w:highlight w:val="none"/>
        </w:rPr>
        <w:t>（2）公布在投标截止时间前递交投标文件的投标人名称；</w:t>
      </w:r>
    </w:p>
    <w:p>
      <w:pPr>
        <w:spacing w:line="360" w:lineRule="auto"/>
        <w:ind w:firstLine="420" w:firstLineChars="200"/>
        <w:rPr>
          <w:rFonts w:ascii="宋体" w:hAnsi="宋体"/>
          <w:color w:val="auto"/>
          <w:highlight w:val="none"/>
        </w:rPr>
      </w:pPr>
      <w:r>
        <w:rPr>
          <w:rFonts w:ascii="宋体" w:hAnsi="宋体"/>
          <w:color w:val="auto"/>
          <w:highlight w:val="none"/>
        </w:rPr>
        <w:t>（3）宣布</w:t>
      </w:r>
      <w:bookmarkStart w:id="226" w:name="_Toc22119"/>
      <w:bookmarkStart w:id="227" w:name="_Toc361508611"/>
      <w:bookmarkStart w:id="228" w:name="_Toc247527579"/>
      <w:bookmarkStart w:id="229" w:name="_Toc352691498"/>
      <w:bookmarkStart w:id="230" w:name="_Toc152042330"/>
      <w:bookmarkStart w:id="231" w:name="_Toc144974522"/>
      <w:bookmarkStart w:id="232" w:name="_Toc384308236"/>
      <w:bookmarkStart w:id="233" w:name="_Toc247513978"/>
      <w:bookmarkStart w:id="234" w:name="_Toc152045554"/>
      <w:bookmarkStart w:id="235" w:name="_Toc369531542"/>
      <w:bookmarkStart w:id="236" w:name="_Toc300834975"/>
      <w:r>
        <w:rPr>
          <w:rFonts w:ascii="宋体" w:hAnsi="宋体"/>
          <w:color w:val="auto"/>
          <w:highlight w:val="none"/>
        </w:rPr>
        <w:t>开标人、唱标人、记录人</w:t>
      </w:r>
      <w:bookmarkEnd w:id="226"/>
      <w:bookmarkEnd w:id="227"/>
      <w:bookmarkEnd w:id="228"/>
      <w:bookmarkEnd w:id="229"/>
      <w:bookmarkEnd w:id="230"/>
      <w:bookmarkEnd w:id="231"/>
      <w:bookmarkEnd w:id="232"/>
      <w:bookmarkEnd w:id="233"/>
      <w:bookmarkEnd w:id="234"/>
      <w:bookmarkEnd w:id="235"/>
      <w:bookmarkEnd w:id="236"/>
      <w:r>
        <w:rPr>
          <w:rFonts w:ascii="宋体" w:hAnsi="宋体"/>
          <w:color w:val="auto"/>
          <w:highlight w:val="none"/>
        </w:rPr>
        <w:t>、监标人等有关人员姓名；</w:t>
      </w:r>
    </w:p>
    <w:p>
      <w:pPr>
        <w:spacing w:line="360" w:lineRule="auto"/>
        <w:ind w:firstLine="420" w:firstLineChars="200"/>
        <w:rPr>
          <w:rFonts w:ascii="宋体" w:hAnsi="宋体"/>
          <w:color w:val="auto"/>
          <w:highlight w:val="none"/>
        </w:rPr>
      </w:pPr>
      <w:r>
        <w:rPr>
          <w:rFonts w:ascii="宋体" w:hAnsi="宋体"/>
          <w:color w:val="auto"/>
          <w:highlight w:val="none"/>
        </w:rPr>
        <w:t>（4）投标人通过电子招标投标交易平台对已递交的电子投标文件进行解密，公布招标项目名称、投标人名称、投标保证金的递交情况、投标报价、监理服务期限及其他内容，并记录在案；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20" w:firstLineChars="200"/>
        <w:rPr>
          <w:rFonts w:ascii="宋体" w:hAnsi="宋体"/>
          <w:color w:val="auto"/>
          <w:highlight w:val="none"/>
        </w:rPr>
      </w:pPr>
      <w:r>
        <w:rPr>
          <w:rFonts w:ascii="宋体" w:hAnsi="宋体"/>
          <w:color w:val="auto"/>
          <w:highlight w:val="none"/>
        </w:rPr>
        <w:t>（5）投标人代表、招标人代表、监标人、记录人等有关人员使用本人的电子印章在开标记录上签字确认；</w:t>
      </w:r>
    </w:p>
    <w:p>
      <w:pPr>
        <w:spacing w:line="360" w:lineRule="auto"/>
        <w:ind w:firstLine="420" w:firstLineChars="200"/>
        <w:rPr>
          <w:rFonts w:ascii="宋体" w:hAnsi="宋体"/>
          <w:color w:val="auto"/>
          <w:highlight w:val="none"/>
        </w:rPr>
      </w:pPr>
      <w:r>
        <w:rPr>
          <w:rFonts w:ascii="宋体" w:hAnsi="宋体"/>
          <w:color w:val="auto"/>
          <w:highlight w:val="none"/>
        </w:rPr>
        <w:t>（6）开标结束。</w:t>
      </w:r>
    </w:p>
    <w:p>
      <w:pPr>
        <w:pStyle w:val="5"/>
        <w:ind w:firstLine="137"/>
        <w:rPr>
          <w:rFonts w:ascii="宋体" w:hAnsi="宋体"/>
          <w:color w:val="auto"/>
          <w:highlight w:val="none"/>
        </w:rPr>
      </w:pPr>
      <w:bookmarkStart w:id="237" w:name="_Toc492300599"/>
      <w:bookmarkStart w:id="238" w:name="_Toc16234"/>
      <w:r>
        <w:rPr>
          <w:rFonts w:ascii="宋体" w:hAnsi="宋体"/>
          <w:color w:val="auto"/>
          <w:highlight w:val="none"/>
        </w:rPr>
        <w:t>5.3 开标异议</w:t>
      </w:r>
      <w:bookmarkEnd w:id="237"/>
      <w:bookmarkEnd w:id="238"/>
    </w:p>
    <w:p>
      <w:pPr>
        <w:spacing w:line="360" w:lineRule="auto"/>
        <w:ind w:firstLine="359" w:firstLineChars="171"/>
        <w:rPr>
          <w:rFonts w:ascii="宋体" w:hAnsi="宋体"/>
          <w:color w:val="auto"/>
          <w:highlight w:val="none"/>
        </w:rPr>
      </w:pPr>
      <w:r>
        <w:rPr>
          <w:rFonts w:ascii="宋体" w:hAnsi="宋体"/>
          <w:color w:val="auto"/>
          <w:highlight w:val="none"/>
        </w:rPr>
        <w:t>投标人对开标有异议的，应当在开标现场提出，招标人当场作出答复，并制作记录。</w:t>
      </w:r>
    </w:p>
    <w:p>
      <w:pPr>
        <w:pStyle w:val="4"/>
        <w:spacing w:line="360" w:lineRule="auto"/>
        <w:rPr>
          <w:rFonts w:ascii="宋体" w:hAnsi="宋体" w:eastAsia="宋体"/>
          <w:color w:val="auto"/>
          <w:highlight w:val="none"/>
        </w:rPr>
      </w:pPr>
      <w:bookmarkStart w:id="239" w:name="_Toc492300600"/>
      <w:bookmarkStart w:id="240" w:name="_Toc690"/>
      <w:r>
        <w:rPr>
          <w:rFonts w:ascii="宋体" w:hAnsi="宋体" w:eastAsia="宋体"/>
          <w:color w:val="auto"/>
          <w:highlight w:val="none"/>
        </w:rPr>
        <w:t>6. 评标</w:t>
      </w:r>
      <w:bookmarkEnd w:id="239"/>
      <w:bookmarkEnd w:id="240"/>
    </w:p>
    <w:p>
      <w:pPr>
        <w:pStyle w:val="5"/>
        <w:ind w:firstLine="137"/>
        <w:rPr>
          <w:rFonts w:ascii="宋体" w:hAnsi="宋体"/>
          <w:color w:val="auto"/>
          <w:highlight w:val="none"/>
        </w:rPr>
      </w:pPr>
      <w:bookmarkStart w:id="241" w:name="_Toc3042"/>
      <w:bookmarkStart w:id="242" w:name="_Toc492300601"/>
      <w:r>
        <w:rPr>
          <w:rFonts w:ascii="宋体" w:hAnsi="宋体"/>
          <w:color w:val="auto"/>
          <w:highlight w:val="none"/>
        </w:rPr>
        <w:t>6.1 评标委员会</w:t>
      </w:r>
      <w:bookmarkEnd w:id="241"/>
      <w:bookmarkEnd w:id="242"/>
    </w:p>
    <w:p>
      <w:pPr>
        <w:spacing w:line="360" w:lineRule="auto"/>
        <w:ind w:firstLine="420" w:firstLineChars="200"/>
        <w:rPr>
          <w:rFonts w:ascii="宋体" w:hAnsi="宋体"/>
          <w:color w:val="auto"/>
          <w:highlight w:val="none"/>
        </w:rPr>
      </w:pPr>
      <w:r>
        <w:rPr>
          <w:rFonts w:ascii="宋体" w:hAnsi="宋体"/>
          <w:color w:val="auto"/>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rPr>
          <w:rFonts w:ascii="宋体" w:hAnsi="宋体"/>
          <w:color w:val="auto"/>
          <w:highlight w:val="none"/>
        </w:rPr>
      </w:pPr>
      <w:r>
        <w:rPr>
          <w:rFonts w:ascii="宋体" w:hAnsi="宋体"/>
          <w:color w:val="auto"/>
          <w:highlight w:val="none"/>
        </w:rPr>
        <w:t>6.1.2评标委员会成员有下列情形之一的，应当回避：</w:t>
      </w:r>
    </w:p>
    <w:p>
      <w:pPr>
        <w:spacing w:line="360" w:lineRule="auto"/>
        <w:ind w:firstLine="718" w:firstLineChars="342"/>
        <w:rPr>
          <w:rFonts w:ascii="宋体" w:hAnsi="宋体"/>
          <w:color w:val="auto"/>
          <w:highlight w:val="none"/>
        </w:rPr>
      </w:pPr>
      <w:r>
        <w:rPr>
          <w:rFonts w:ascii="宋体" w:hAnsi="宋体"/>
          <w:color w:val="auto"/>
          <w:highlight w:val="none"/>
        </w:rPr>
        <w:t>（1）投标人或投标人主要负责人的近亲属；</w:t>
      </w:r>
    </w:p>
    <w:p>
      <w:pPr>
        <w:spacing w:line="360" w:lineRule="auto"/>
        <w:ind w:firstLine="718" w:firstLineChars="342"/>
        <w:rPr>
          <w:rFonts w:ascii="宋体" w:hAnsi="宋体"/>
          <w:color w:val="auto"/>
          <w:highlight w:val="none"/>
        </w:rPr>
      </w:pPr>
      <w:r>
        <w:rPr>
          <w:rFonts w:ascii="宋体" w:hAnsi="宋体"/>
          <w:color w:val="auto"/>
          <w:highlight w:val="none"/>
        </w:rPr>
        <w:t>（2）项目主管部门或者行政监督部门的人员；</w:t>
      </w:r>
    </w:p>
    <w:p>
      <w:pPr>
        <w:spacing w:line="360" w:lineRule="auto"/>
        <w:ind w:firstLine="718" w:firstLineChars="342"/>
        <w:rPr>
          <w:rFonts w:ascii="宋体" w:hAnsi="宋体"/>
          <w:color w:val="auto"/>
          <w:highlight w:val="none"/>
        </w:rPr>
      </w:pPr>
      <w:r>
        <w:rPr>
          <w:rFonts w:ascii="宋体" w:hAnsi="宋体"/>
          <w:color w:val="auto"/>
          <w:highlight w:val="none"/>
        </w:rPr>
        <w:t>（3）与投标人有经济利益关系，可能影响对投标公正评审的；</w:t>
      </w:r>
    </w:p>
    <w:p>
      <w:pPr>
        <w:spacing w:line="360" w:lineRule="auto"/>
        <w:ind w:firstLine="718" w:firstLineChars="342"/>
        <w:rPr>
          <w:rFonts w:ascii="宋体" w:hAnsi="宋体"/>
          <w:color w:val="auto"/>
          <w:highlight w:val="none"/>
        </w:rPr>
      </w:pPr>
      <w:r>
        <w:rPr>
          <w:rFonts w:ascii="宋体" w:hAnsi="宋体"/>
          <w:color w:val="auto"/>
          <w:highlight w:val="none"/>
        </w:rPr>
        <w:t>（4）曾因在招标、评</w:t>
      </w:r>
      <w:bookmarkStart w:id="243" w:name="_Toc352691499"/>
      <w:bookmarkStart w:id="244" w:name="_Toc144974523"/>
      <w:bookmarkStart w:id="245" w:name="_Toc384308237"/>
      <w:bookmarkStart w:id="246" w:name="_Toc247527580"/>
      <w:bookmarkStart w:id="247" w:name="_Toc152045555"/>
      <w:bookmarkStart w:id="248" w:name="_Toc369531543"/>
      <w:bookmarkStart w:id="249" w:name="_Toc152042331"/>
      <w:bookmarkStart w:id="250" w:name="_Toc300834976"/>
      <w:bookmarkStart w:id="251" w:name="_Toc247513979"/>
      <w:bookmarkStart w:id="252" w:name="_Toc6230"/>
      <w:bookmarkStart w:id="253" w:name="_Toc361508612"/>
      <w:r>
        <w:rPr>
          <w:rFonts w:ascii="宋体" w:hAnsi="宋体"/>
          <w:color w:val="auto"/>
          <w:highlight w:val="none"/>
        </w:rPr>
        <w:t>标以及其他</w:t>
      </w:r>
      <w:bookmarkEnd w:id="243"/>
      <w:bookmarkEnd w:id="244"/>
      <w:bookmarkEnd w:id="245"/>
      <w:bookmarkEnd w:id="246"/>
      <w:bookmarkEnd w:id="247"/>
      <w:bookmarkEnd w:id="248"/>
      <w:bookmarkEnd w:id="249"/>
      <w:bookmarkEnd w:id="250"/>
      <w:bookmarkEnd w:id="251"/>
      <w:bookmarkEnd w:id="252"/>
      <w:bookmarkEnd w:id="253"/>
      <w:r>
        <w:rPr>
          <w:rFonts w:ascii="宋体" w:hAnsi="宋体"/>
          <w:color w:val="auto"/>
          <w:highlight w:val="none"/>
        </w:rPr>
        <w:t>与</w:t>
      </w:r>
      <w:bookmarkStart w:id="254" w:name="_Toc17703"/>
      <w:bookmarkStart w:id="255" w:name="_Toc352691500"/>
      <w:bookmarkStart w:id="256" w:name="_Toc152045556"/>
      <w:bookmarkStart w:id="257" w:name="_Toc247527581"/>
      <w:bookmarkStart w:id="258" w:name="_Toc247513980"/>
      <w:bookmarkStart w:id="259" w:name="_Toc361508613"/>
      <w:bookmarkStart w:id="260" w:name="_Toc384308238"/>
      <w:bookmarkStart w:id="261" w:name="_Toc369531544"/>
      <w:bookmarkStart w:id="262" w:name="_Toc300834977"/>
      <w:bookmarkStart w:id="263" w:name="_Toc144974524"/>
      <w:bookmarkStart w:id="264" w:name="_Toc152042332"/>
      <w:r>
        <w:rPr>
          <w:rFonts w:ascii="宋体" w:hAnsi="宋体"/>
          <w:color w:val="auto"/>
          <w:highlight w:val="none"/>
        </w:rPr>
        <w:t>招标投标有关活动中从事违法行</w:t>
      </w:r>
      <w:bookmarkEnd w:id="254"/>
      <w:bookmarkEnd w:id="255"/>
      <w:bookmarkEnd w:id="256"/>
      <w:bookmarkEnd w:id="257"/>
      <w:bookmarkEnd w:id="258"/>
      <w:bookmarkEnd w:id="259"/>
      <w:bookmarkEnd w:id="260"/>
      <w:bookmarkEnd w:id="261"/>
      <w:bookmarkEnd w:id="262"/>
      <w:bookmarkEnd w:id="263"/>
      <w:bookmarkEnd w:id="264"/>
      <w:r>
        <w:rPr>
          <w:rFonts w:ascii="宋体" w:hAnsi="宋体"/>
          <w:color w:val="auto"/>
          <w:highlight w:val="none"/>
        </w:rPr>
        <w:t>为而受过行政处罚或刑事处罚的；</w:t>
      </w:r>
    </w:p>
    <w:p>
      <w:pPr>
        <w:spacing w:line="360" w:lineRule="auto"/>
        <w:ind w:firstLine="718" w:firstLineChars="342"/>
        <w:rPr>
          <w:rFonts w:ascii="宋体" w:hAnsi="宋体"/>
          <w:color w:val="auto"/>
          <w:highlight w:val="none"/>
        </w:rPr>
      </w:pPr>
      <w:r>
        <w:rPr>
          <w:rFonts w:ascii="宋体" w:hAnsi="宋体"/>
          <w:color w:val="auto"/>
          <w:highlight w:val="none"/>
        </w:rPr>
        <w:t>（5）与投标人有其他利害关系。</w:t>
      </w:r>
    </w:p>
    <w:p>
      <w:pPr>
        <w:spacing w:line="360" w:lineRule="auto"/>
        <w:ind w:firstLine="420" w:firstLineChars="200"/>
        <w:rPr>
          <w:rFonts w:ascii="宋体" w:hAnsi="宋体"/>
          <w:color w:val="auto"/>
          <w:highlight w:val="none"/>
        </w:rPr>
      </w:pPr>
      <w:r>
        <w:rPr>
          <w:rFonts w:ascii="宋体" w:hAnsi="宋体"/>
          <w:color w:val="auto"/>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5"/>
        <w:ind w:firstLine="137"/>
        <w:rPr>
          <w:rFonts w:ascii="宋体" w:hAnsi="宋体"/>
          <w:color w:val="auto"/>
          <w:highlight w:val="none"/>
        </w:rPr>
      </w:pPr>
      <w:bookmarkStart w:id="265" w:name="_Toc614"/>
      <w:bookmarkStart w:id="266" w:name="_Toc492300602"/>
      <w:r>
        <w:rPr>
          <w:rFonts w:ascii="宋体" w:hAnsi="宋体"/>
          <w:color w:val="auto"/>
          <w:highlight w:val="none"/>
        </w:rPr>
        <w:t>6.2 评标原则</w:t>
      </w:r>
      <w:bookmarkEnd w:id="265"/>
      <w:bookmarkEnd w:id="266"/>
    </w:p>
    <w:p>
      <w:pPr>
        <w:spacing w:line="360" w:lineRule="auto"/>
        <w:ind w:firstLine="420" w:firstLineChars="200"/>
        <w:rPr>
          <w:rFonts w:ascii="宋体" w:hAnsi="宋体"/>
          <w:color w:val="auto"/>
          <w:highlight w:val="none"/>
        </w:rPr>
      </w:pPr>
      <w:r>
        <w:rPr>
          <w:rFonts w:ascii="宋体" w:hAnsi="宋体"/>
          <w:color w:val="auto"/>
          <w:highlight w:val="none"/>
        </w:rPr>
        <w:t>评标活动遵循公平、公正、科学和择优的原</w:t>
      </w:r>
      <w:bookmarkStart w:id="267" w:name="_Toc152042333"/>
      <w:bookmarkStart w:id="268" w:name="_Toc369531545"/>
      <w:bookmarkStart w:id="269" w:name="_Toc144974525"/>
      <w:bookmarkStart w:id="270" w:name="_Toc352691501"/>
      <w:bookmarkStart w:id="271" w:name="_Toc384308239"/>
      <w:bookmarkStart w:id="272" w:name="_Toc300834978"/>
      <w:bookmarkStart w:id="273" w:name="_Toc152045557"/>
      <w:bookmarkStart w:id="274" w:name="_Toc247527582"/>
      <w:bookmarkStart w:id="275" w:name="_Toc18949"/>
      <w:bookmarkStart w:id="276" w:name="_Toc247513981"/>
      <w:bookmarkStart w:id="277" w:name="_Toc361508614"/>
      <w:r>
        <w:rPr>
          <w:rFonts w:ascii="宋体" w:hAnsi="宋体"/>
          <w:color w:val="auto"/>
          <w:highlight w:val="none"/>
        </w:rPr>
        <w:t>则。</w:t>
      </w:r>
    </w:p>
    <w:p>
      <w:pPr>
        <w:pStyle w:val="5"/>
        <w:ind w:firstLine="137"/>
        <w:rPr>
          <w:rFonts w:ascii="宋体" w:hAnsi="宋体"/>
          <w:color w:val="auto"/>
          <w:highlight w:val="none"/>
        </w:rPr>
      </w:pPr>
      <w:bookmarkStart w:id="278" w:name="_Toc492300603"/>
      <w:bookmarkStart w:id="279" w:name="_Toc1805"/>
      <w:r>
        <w:rPr>
          <w:rFonts w:ascii="宋体" w:hAnsi="宋体"/>
          <w:color w:val="auto"/>
          <w:highlight w:val="none"/>
        </w:rPr>
        <w:t>6.3 评标</w:t>
      </w:r>
      <w:bookmarkEnd w:id="278"/>
      <w:bookmarkEnd w:id="279"/>
    </w:p>
    <w:p>
      <w:pPr>
        <w:spacing w:line="360" w:lineRule="auto"/>
        <w:ind w:firstLine="420" w:firstLineChars="200"/>
        <w:rPr>
          <w:rFonts w:ascii="宋体" w:hAnsi="宋体"/>
          <w:color w:val="auto"/>
          <w:highlight w:val="none"/>
        </w:rPr>
      </w:pPr>
      <w:r>
        <w:rPr>
          <w:rFonts w:ascii="宋体" w:hAnsi="宋体"/>
          <w:color w:val="auto"/>
          <w:highlight w:val="none"/>
        </w:rPr>
        <w:t>6</w:t>
      </w:r>
      <w:bookmarkEnd w:id="267"/>
      <w:bookmarkEnd w:id="268"/>
      <w:bookmarkEnd w:id="269"/>
      <w:bookmarkEnd w:id="270"/>
      <w:bookmarkEnd w:id="271"/>
      <w:bookmarkEnd w:id="272"/>
      <w:bookmarkEnd w:id="273"/>
      <w:bookmarkEnd w:id="274"/>
      <w:bookmarkEnd w:id="275"/>
      <w:bookmarkEnd w:id="276"/>
      <w:bookmarkEnd w:id="277"/>
      <w:r>
        <w:rPr>
          <w:rFonts w:ascii="宋体" w:hAnsi="宋体"/>
          <w:color w:val="auto"/>
          <w:highlight w:val="none"/>
        </w:rPr>
        <w:t>.3.1评标委员会按照第三章“评标办法”规定的方法、评审因素、标准和程序对投标文件进行评审。第三章“评标办法”没有规定的方法、评审因素和标准，不作为评标依据。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olor w:val="auto"/>
          <w:highlight w:val="none"/>
        </w:rPr>
      </w:pPr>
      <w:r>
        <w:rPr>
          <w:rFonts w:ascii="宋体" w:hAnsi="宋体"/>
          <w:color w:val="auto"/>
          <w:highlight w:val="none"/>
        </w:rPr>
        <w:t>6.3.2评标完成后，评标委员会应当向招标人提交书面评标报告和中标候选人名单。评标委员会推荐中标</w:t>
      </w:r>
      <w:bookmarkStart w:id="280" w:name="_Toc384308240"/>
      <w:bookmarkStart w:id="281" w:name="_Toc361508615"/>
      <w:bookmarkStart w:id="282" w:name="_Toc247513982"/>
      <w:bookmarkStart w:id="283" w:name="_Toc247527583"/>
      <w:bookmarkStart w:id="284" w:name="_Toc144974526"/>
      <w:bookmarkStart w:id="285" w:name="_Toc369531546"/>
      <w:bookmarkStart w:id="286" w:name="_Toc300834979"/>
      <w:bookmarkStart w:id="287" w:name="_Toc12259"/>
      <w:bookmarkStart w:id="288" w:name="_Toc152045558"/>
      <w:bookmarkStart w:id="289" w:name="_Toc352691502"/>
      <w:bookmarkStart w:id="290" w:name="_Toc152042334"/>
      <w:r>
        <w:rPr>
          <w:rFonts w:ascii="宋体" w:hAnsi="宋体"/>
          <w:color w:val="auto"/>
          <w:highlight w:val="none"/>
        </w:rPr>
        <w:t>候选人的人数见投标人须知前附</w:t>
      </w:r>
      <w:bookmarkEnd w:id="280"/>
      <w:bookmarkEnd w:id="281"/>
      <w:bookmarkEnd w:id="282"/>
      <w:bookmarkEnd w:id="283"/>
      <w:bookmarkEnd w:id="284"/>
      <w:bookmarkEnd w:id="285"/>
      <w:bookmarkEnd w:id="286"/>
      <w:bookmarkEnd w:id="287"/>
      <w:bookmarkEnd w:id="288"/>
      <w:bookmarkEnd w:id="289"/>
      <w:bookmarkEnd w:id="290"/>
      <w:r>
        <w:rPr>
          <w:rFonts w:ascii="宋体" w:hAnsi="宋体"/>
          <w:color w:val="auto"/>
          <w:highlight w:val="none"/>
        </w:rPr>
        <w:t>表。</w:t>
      </w:r>
    </w:p>
    <w:p>
      <w:pPr>
        <w:pStyle w:val="4"/>
        <w:spacing w:line="360" w:lineRule="auto"/>
        <w:rPr>
          <w:rFonts w:ascii="宋体" w:hAnsi="宋体" w:eastAsia="宋体"/>
          <w:color w:val="auto"/>
          <w:highlight w:val="none"/>
        </w:rPr>
      </w:pPr>
      <w:bookmarkStart w:id="291" w:name="_Toc492300604"/>
      <w:bookmarkStart w:id="292" w:name="_Toc9525"/>
      <w:r>
        <w:rPr>
          <w:rFonts w:ascii="宋体" w:hAnsi="宋体" w:eastAsia="宋体"/>
          <w:color w:val="auto"/>
          <w:highlight w:val="none"/>
        </w:rPr>
        <w:t>7. 合同授予</w:t>
      </w:r>
      <w:bookmarkEnd w:id="291"/>
      <w:bookmarkEnd w:id="292"/>
    </w:p>
    <w:p>
      <w:pPr>
        <w:pStyle w:val="5"/>
        <w:ind w:firstLine="137"/>
        <w:rPr>
          <w:rFonts w:ascii="宋体" w:hAnsi="宋体"/>
          <w:color w:val="auto"/>
          <w:highlight w:val="none"/>
        </w:rPr>
      </w:pPr>
      <w:bookmarkStart w:id="293" w:name="_Toc492300605"/>
      <w:bookmarkStart w:id="294" w:name="_Toc22617"/>
      <w:r>
        <w:rPr>
          <w:rFonts w:ascii="宋体" w:hAnsi="宋体"/>
          <w:color w:val="auto"/>
          <w:highlight w:val="none"/>
        </w:rPr>
        <w:t>7.1 中标候选人公示</w:t>
      </w:r>
      <w:bookmarkEnd w:id="293"/>
      <w:bookmarkEnd w:id="294"/>
    </w:p>
    <w:p>
      <w:pPr>
        <w:spacing w:line="360" w:lineRule="auto"/>
        <w:ind w:firstLine="420" w:firstLineChars="200"/>
        <w:rPr>
          <w:rFonts w:ascii="宋体" w:hAnsi="宋体"/>
          <w:color w:val="auto"/>
          <w:highlight w:val="none"/>
        </w:rPr>
      </w:pPr>
      <w:r>
        <w:rPr>
          <w:rFonts w:ascii="宋体" w:hAnsi="宋体"/>
          <w:color w:val="auto"/>
          <w:highlight w:val="none"/>
        </w:rPr>
        <w:t>招标人在收到评标报告之日起3日内，按照投标人须知前附表规定的公示媒介和期限公示中标候选人，公示期不得少于3天。</w:t>
      </w:r>
    </w:p>
    <w:p>
      <w:pPr>
        <w:pStyle w:val="5"/>
        <w:ind w:firstLine="137"/>
        <w:rPr>
          <w:rFonts w:ascii="宋体" w:hAnsi="宋体"/>
          <w:color w:val="auto"/>
          <w:highlight w:val="none"/>
        </w:rPr>
      </w:pPr>
      <w:bookmarkStart w:id="295" w:name="_Toc492300606"/>
      <w:bookmarkStart w:id="296" w:name="_Toc8263"/>
      <w:r>
        <w:rPr>
          <w:rFonts w:ascii="宋体" w:hAnsi="宋体"/>
          <w:color w:val="auto"/>
          <w:highlight w:val="none"/>
        </w:rPr>
        <w:t>7.2 评标结果异议</w:t>
      </w:r>
      <w:bookmarkEnd w:id="295"/>
      <w:bookmarkEnd w:id="296"/>
    </w:p>
    <w:p>
      <w:pPr>
        <w:spacing w:line="360" w:lineRule="auto"/>
        <w:ind w:firstLine="420" w:firstLineChars="200"/>
        <w:rPr>
          <w:rFonts w:ascii="宋体" w:hAnsi="宋体"/>
          <w:color w:val="auto"/>
          <w:highlight w:val="none"/>
        </w:rPr>
      </w:pPr>
      <w:r>
        <w:rPr>
          <w:rFonts w:ascii="宋体" w:hAnsi="宋体"/>
          <w:color w:val="auto"/>
          <w:highlight w:val="none"/>
        </w:rPr>
        <w:t>投标人或者其他利</w:t>
      </w:r>
      <w:bookmarkStart w:id="297" w:name="_Toc384308243"/>
      <w:bookmarkStart w:id="298" w:name="_Toc152045561"/>
      <w:bookmarkStart w:id="299" w:name="_Toc352691505"/>
      <w:bookmarkStart w:id="300" w:name="_Toc152042337"/>
      <w:bookmarkStart w:id="301" w:name="_Toc30095"/>
      <w:bookmarkStart w:id="302" w:name="_Toc361508618"/>
      <w:bookmarkStart w:id="303" w:name="_Toc369531549"/>
      <w:bookmarkStart w:id="304" w:name="_Toc144974529"/>
      <w:bookmarkStart w:id="305" w:name="_Toc300834982"/>
      <w:bookmarkStart w:id="306" w:name="_Toc247527586"/>
      <w:bookmarkStart w:id="307" w:name="_Toc247513985"/>
      <w:r>
        <w:rPr>
          <w:rFonts w:ascii="宋体" w:hAnsi="宋体"/>
          <w:color w:val="auto"/>
          <w:highlight w:val="none"/>
        </w:rPr>
        <w:t>害关系人对评标结</w:t>
      </w:r>
      <w:bookmarkEnd w:id="297"/>
      <w:bookmarkEnd w:id="298"/>
      <w:bookmarkEnd w:id="299"/>
      <w:bookmarkEnd w:id="300"/>
      <w:bookmarkEnd w:id="301"/>
      <w:bookmarkEnd w:id="302"/>
      <w:bookmarkEnd w:id="303"/>
      <w:bookmarkEnd w:id="304"/>
      <w:bookmarkEnd w:id="305"/>
      <w:bookmarkEnd w:id="306"/>
      <w:bookmarkEnd w:id="307"/>
      <w:r>
        <w:rPr>
          <w:rFonts w:ascii="宋体" w:hAnsi="宋体"/>
          <w:color w:val="auto"/>
          <w:highlight w:val="none"/>
        </w:rPr>
        <w:t>果有异议的，应当在中标候选人公示期间提出。招标人将在收到异议之日起3日内作出答复；作出答复前，将暂停招标投标活动。</w:t>
      </w:r>
    </w:p>
    <w:p>
      <w:pPr>
        <w:pStyle w:val="5"/>
        <w:ind w:firstLine="137"/>
        <w:rPr>
          <w:rFonts w:ascii="宋体" w:hAnsi="宋体"/>
          <w:color w:val="auto"/>
          <w:highlight w:val="none"/>
        </w:rPr>
      </w:pPr>
      <w:bookmarkStart w:id="308" w:name="_Toc492300607"/>
      <w:bookmarkStart w:id="309" w:name="_Toc17888"/>
      <w:r>
        <w:rPr>
          <w:rFonts w:ascii="宋体" w:hAnsi="宋体"/>
          <w:color w:val="auto"/>
          <w:highlight w:val="none"/>
        </w:rPr>
        <w:t>7.3 中标候选人履约能力审查</w:t>
      </w:r>
      <w:bookmarkEnd w:id="308"/>
      <w:bookmarkEnd w:id="309"/>
    </w:p>
    <w:p>
      <w:pPr>
        <w:spacing w:line="360" w:lineRule="auto"/>
        <w:ind w:firstLine="420" w:firstLineChars="200"/>
        <w:rPr>
          <w:rFonts w:ascii="宋体" w:hAnsi="宋体"/>
          <w:color w:val="auto"/>
          <w:highlight w:val="none"/>
        </w:rPr>
      </w:pPr>
      <w:r>
        <w:rPr>
          <w:rFonts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ind w:firstLine="137"/>
        <w:rPr>
          <w:rFonts w:ascii="宋体" w:hAnsi="宋体"/>
          <w:color w:val="auto"/>
          <w:highlight w:val="none"/>
        </w:rPr>
      </w:pPr>
      <w:bookmarkStart w:id="310" w:name="_Toc492300608"/>
      <w:bookmarkStart w:id="311" w:name="_Toc14489"/>
      <w:r>
        <w:rPr>
          <w:rFonts w:ascii="宋体" w:hAnsi="宋体"/>
          <w:color w:val="auto"/>
          <w:highlight w:val="none"/>
        </w:rPr>
        <w:t>7.4 定标</w:t>
      </w:r>
      <w:bookmarkEnd w:id="310"/>
      <w:bookmarkEnd w:id="311"/>
    </w:p>
    <w:p>
      <w:pPr>
        <w:spacing w:line="360" w:lineRule="auto"/>
        <w:ind w:firstLine="420" w:firstLineChars="200"/>
        <w:rPr>
          <w:rFonts w:ascii="宋体" w:hAnsi="宋体"/>
          <w:color w:val="auto"/>
          <w:highlight w:val="none"/>
        </w:rPr>
      </w:pPr>
      <w:r>
        <w:rPr>
          <w:rFonts w:ascii="宋体" w:hAnsi="宋体"/>
          <w:color w:val="auto"/>
          <w:highlight w:val="none"/>
        </w:rPr>
        <w:t>按照投标人须知前附表的规定，招标人或招标人授权的评标委员会依法确定中标人。</w:t>
      </w:r>
    </w:p>
    <w:p>
      <w:pPr>
        <w:pStyle w:val="5"/>
        <w:ind w:firstLine="137"/>
        <w:rPr>
          <w:rFonts w:ascii="宋体" w:hAnsi="宋体"/>
          <w:color w:val="auto"/>
          <w:highlight w:val="none"/>
        </w:rPr>
      </w:pPr>
      <w:bookmarkStart w:id="312" w:name="_Toc492300609"/>
      <w:bookmarkStart w:id="313" w:name="_Toc25291"/>
      <w:r>
        <w:rPr>
          <w:rFonts w:ascii="宋体" w:hAnsi="宋体"/>
          <w:color w:val="auto"/>
          <w:highlight w:val="none"/>
        </w:rPr>
        <w:t>7.5 中标通知</w:t>
      </w:r>
      <w:bookmarkEnd w:id="312"/>
      <w:bookmarkEnd w:id="313"/>
    </w:p>
    <w:p>
      <w:pPr>
        <w:spacing w:line="360" w:lineRule="auto"/>
        <w:ind w:firstLine="420" w:firstLineChars="200"/>
        <w:rPr>
          <w:rFonts w:ascii="宋体" w:hAnsi="宋体"/>
          <w:color w:val="auto"/>
          <w:highlight w:val="none"/>
        </w:rPr>
      </w:pPr>
      <w:r>
        <w:rPr>
          <w:rFonts w:ascii="宋体" w:hAnsi="宋体"/>
          <w:color w:val="auto"/>
          <w:highlight w:val="none"/>
        </w:rPr>
        <w:t>在本章第3.3款规定的投标有效期内，招标人以书面形式向中标人发出中标</w:t>
      </w:r>
      <w:bookmarkStart w:id="314" w:name="_Toc384308244"/>
      <w:bookmarkStart w:id="315" w:name="_Toc5668"/>
      <w:bookmarkStart w:id="316" w:name="_Toc300834983"/>
      <w:bookmarkStart w:id="317" w:name="_Toc352691506"/>
      <w:bookmarkStart w:id="318" w:name="_Toc361508619"/>
      <w:bookmarkStart w:id="319" w:name="_Toc369531550"/>
      <w:r>
        <w:rPr>
          <w:rFonts w:ascii="宋体" w:hAnsi="宋体"/>
          <w:color w:val="auto"/>
          <w:highlight w:val="none"/>
        </w:rPr>
        <w:t>通知书，同时将中</w:t>
      </w:r>
      <w:bookmarkEnd w:id="314"/>
      <w:bookmarkEnd w:id="315"/>
      <w:bookmarkEnd w:id="316"/>
      <w:bookmarkEnd w:id="317"/>
      <w:bookmarkEnd w:id="318"/>
      <w:bookmarkEnd w:id="319"/>
      <w:r>
        <w:rPr>
          <w:rFonts w:ascii="宋体" w:hAnsi="宋体"/>
          <w:color w:val="auto"/>
          <w:highlight w:val="none"/>
        </w:rPr>
        <w:t>标结果通知未中标的投标人。</w:t>
      </w:r>
    </w:p>
    <w:p>
      <w:pPr>
        <w:pStyle w:val="5"/>
        <w:ind w:firstLine="137"/>
        <w:rPr>
          <w:rFonts w:ascii="宋体" w:hAnsi="宋体"/>
          <w:color w:val="auto"/>
          <w:highlight w:val="none"/>
        </w:rPr>
      </w:pPr>
      <w:bookmarkStart w:id="320" w:name="_Toc492300610"/>
      <w:bookmarkStart w:id="321" w:name="_Toc5712"/>
      <w:r>
        <w:rPr>
          <w:rFonts w:ascii="宋体" w:hAnsi="宋体"/>
          <w:color w:val="auto"/>
          <w:highlight w:val="none"/>
        </w:rPr>
        <w:t>7.6 履约保证金</w:t>
      </w:r>
      <w:bookmarkEnd w:id="320"/>
      <w:bookmarkEnd w:id="321"/>
    </w:p>
    <w:p>
      <w:pPr>
        <w:spacing w:line="360" w:lineRule="auto"/>
        <w:ind w:firstLine="420" w:firstLineChars="200"/>
        <w:rPr>
          <w:rFonts w:ascii="宋体" w:hAnsi="宋体"/>
          <w:color w:val="auto"/>
          <w:highlight w:val="none"/>
        </w:rPr>
      </w:pPr>
      <w:r>
        <w:rPr>
          <w:rFonts w:ascii="宋体" w:hAnsi="宋体"/>
          <w:color w:val="auto"/>
          <w:highlight w:val="none"/>
        </w:rPr>
        <w:t>7.6.1</w:t>
      </w:r>
      <w:r>
        <w:rPr>
          <w:rFonts w:hint="eastAsia" w:ascii="宋体" w:hAnsi="宋体"/>
          <w:color w:val="auto"/>
          <w:highlight w:val="none"/>
        </w:rPr>
        <w:t>在签订合同前，</w:t>
      </w:r>
      <w:r>
        <w:rPr>
          <w:rFonts w:ascii="宋体" w:hAnsi="宋体"/>
          <w:color w:val="auto"/>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20" w:firstLineChars="200"/>
        <w:rPr>
          <w:rFonts w:ascii="宋体" w:hAnsi="宋体"/>
          <w:color w:val="auto"/>
          <w:highlight w:val="none"/>
        </w:rPr>
      </w:pPr>
      <w:r>
        <w:rPr>
          <w:rFonts w:ascii="宋体" w:hAnsi="宋体"/>
          <w:color w:val="auto"/>
          <w:highlight w:val="none"/>
        </w:rPr>
        <w:t>7.6.2中标人不能按本章第7.6.1项要求提交履约保证金的，视为放弃中标，其投标保证金不予退还，给招标人造成的损失超过投标保证金数额的，中标人还应当对超过部分予以赔偿。</w:t>
      </w:r>
    </w:p>
    <w:p>
      <w:pPr>
        <w:pStyle w:val="5"/>
        <w:ind w:firstLine="137"/>
        <w:rPr>
          <w:rFonts w:ascii="宋体" w:hAnsi="宋体"/>
          <w:color w:val="auto"/>
          <w:highlight w:val="none"/>
        </w:rPr>
      </w:pPr>
      <w:bookmarkStart w:id="322" w:name="_Toc31201"/>
      <w:bookmarkStart w:id="323" w:name="_Toc492300611"/>
      <w:r>
        <w:rPr>
          <w:rFonts w:ascii="宋体" w:hAnsi="宋体"/>
          <w:color w:val="auto"/>
          <w:highlight w:val="none"/>
        </w:rPr>
        <w:t>7.7 签订合同</w:t>
      </w:r>
      <w:bookmarkEnd w:id="322"/>
      <w:bookmarkEnd w:id="323"/>
    </w:p>
    <w:p>
      <w:pPr>
        <w:spacing w:line="360" w:lineRule="auto"/>
        <w:ind w:firstLine="420" w:firstLineChars="200"/>
        <w:rPr>
          <w:rFonts w:ascii="宋体" w:hAnsi="宋体"/>
          <w:color w:val="auto"/>
          <w:highlight w:val="none"/>
        </w:rPr>
      </w:pPr>
      <w:r>
        <w:rPr>
          <w:rFonts w:ascii="宋体" w:hAnsi="宋体"/>
          <w:color w:val="auto"/>
          <w:highlight w:val="none"/>
        </w:rPr>
        <w:t>7.7.1招标人和中标人应当在中标通知书发出之日起30日内，根据招标文件和中标人的投标文件订立书面合同。中标人无正当理由</w:t>
      </w:r>
      <w:r>
        <w:rPr>
          <w:rFonts w:hint="eastAsia" w:ascii="宋体" w:hAnsi="宋体"/>
          <w:color w:val="auto"/>
          <w:highlight w:val="none"/>
        </w:rPr>
        <w:t>拒签</w:t>
      </w:r>
      <w:r>
        <w:rPr>
          <w:rFonts w:ascii="宋体" w:hAnsi="宋体"/>
          <w:color w:val="auto"/>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color w:val="auto"/>
          <w:highlight w:val="none"/>
        </w:rPr>
      </w:pPr>
      <w:r>
        <w:rPr>
          <w:rFonts w:ascii="宋体" w:hAnsi="宋体"/>
          <w:color w:val="auto"/>
          <w:highlight w:val="none"/>
        </w:rPr>
        <w:t>7.7.2发出中标通知书后，招标人无正当理由拒签合同，或者在签订合同时</w:t>
      </w:r>
      <w:r>
        <w:rPr>
          <w:rFonts w:hint="eastAsia" w:ascii="宋体" w:hAnsi="宋体"/>
          <w:color w:val="auto"/>
          <w:highlight w:val="none"/>
        </w:rPr>
        <w:t>向中标人</w:t>
      </w:r>
      <w:r>
        <w:rPr>
          <w:rFonts w:ascii="宋体" w:hAnsi="宋体"/>
          <w:color w:val="auto"/>
          <w:highlight w:val="none"/>
        </w:rPr>
        <w:t>提出附加条件的，招标人向中标人退还投标保证金；给中标人造成损失的，还应当赔偿损失。</w:t>
      </w:r>
    </w:p>
    <w:p>
      <w:pPr>
        <w:spacing w:line="360" w:lineRule="auto"/>
        <w:ind w:firstLine="420" w:firstLineChars="200"/>
        <w:rPr>
          <w:rFonts w:ascii="宋体" w:hAnsi="宋体"/>
          <w:color w:val="auto"/>
          <w:highlight w:val="none"/>
        </w:rPr>
      </w:pPr>
      <w:r>
        <w:rPr>
          <w:rFonts w:ascii="宋体" w:hAnsi="宋体"/>
          <w:color w:val="auto"/>
          <w:highlight w:val="none"/>
        </w:rPr>
        <w:t>7.7.3联合体中标的，联合体各方应当共同与招标人签订合同，就中标项目向招标人承担连带责任。</w:t>
      </w:r>
    </w:p>
    <w:p>
      <w:pPr>
        <w:pStyle w:val="4"/>
        <w:spacing w:line="360" w:lineRule="auto"/>
        <w:rPr>
          <w:rFonts w:ascii="宋体" w:hAnsi="宋体" w:eastAsia="宋体"/>
          <w:color w:val="auto"/>
          <w:highlight w:val="none"/>
        </w:rPr>
      </w:pPr>
      <w:bookmarkStart w:id="324" w:name="_Toc384308252"/>
      <w:bookmarkStart w:id="325" w:name="_Toc24067"/>
      <w:bookmarkStart w:id="326" w:name="_Toc361508627"/>
      <w:bookmarkStart w:id="327" w:name="_Toc22396"/>
      <w:bookmarkStart w:id="328" w:name="_Toc492300612"/>
      <w:bookmarkStart w:id="329" w:name="_Toc300834991"/>
      <w:bookmarkStart w:id="330" w:name="_Toc144974536"/>
      <w:bookmarkStart w:id="331" w:name="_Toc152045568"/>
      <w:bookmarkStart w:id="332" w:name="_Toc247527593"/>
      <w:bookmarkStart w:id="333" w:name="_Toc152042344"/>
      <w:bookmarkStart w:id="334" w:name="_Toc247513992"/>
      <w:r>
        <w:rPr>
          <w:rFonts w:ascii="宋体" w:hAnsi="宋体" w:eastAsia="宋体"/>
          <w:color w:val="auto"/>
          <w:highlight w:val="none"/>
        </w:rPr>
        <w:t>8.</w:t>
      </w:r>
      <w:bookmarkEnd w:id="324"/>
      <w:bookmarkEnd w:id="325"/>
      <w:bookmarkEnd w:id="326"/>
      <w:r>
        <w:rPr>
          <w:rFonts w:ascii="宋体" w:hAnsi="宋体" w:eastAsia="宋体"/>
          <w:color w:val="auto"/>
          <w:highlight w:val="none"/>
        </w:rPr>
        <w:t>纪律和监督</w:t>
      </w:r>
      <w:bookmarkEnd w:id="327"/>
      <w:bookmarkEnd w:id="328"/>
    </w:p>
    <w:p>
      <w:pPr>
        <w:pStyle w:val="5"/>
        <w:ind w:firstLine="137"/>
        <w:rPr>
          <w:rFonts w:ascii="宋体" w:hAnsi="宋体"/>
          <w:color w:val="auto"/>
          <w:highlight w:val="none"/>
        </w:rPr>
      </w:pPr>
      <w:bookmarkStart w:id="335" w:name="_Toc23988"/>
      <w:bookmarkStart w:id="336" w:name="_Toc492300613"/>
      <w:r>
        <w:rPr>
          <w:rFonts w:ascii="宋体" w:hAnsi="宋体"/>
          <w:color w:val="auto"/>
          <w:highlight w:val="none"/>
        </w:rPr>
        <w:t>8.1 对招标人的纪律要求</w:t>
      </w:r>
      <w:bookmarkEnd w:id="335"/>
      <w:bookmarkEnd w:id="336"/>
    </w:p>
    <w:p>
      <w:pPr>
        <w:spacing w:line="360" w:lineRule="auto"/>
        <w:ind w:firstLine="420" w:firstLineChars="200"/>
        <w:rPr>
          <w:rFonts w:ascii="宋体" w:hAnsi="宋体"/>
          <w:color w:val="auto"/>
          <w:highlight w:val="none"/>
        </w:rPr>
      </w:pPr>
      <w:r>
        <w:rPr>
          <w:rFonts w:ascii="宋体" w:hAnsi="宋体"/>
          <w:color w:val="auto"/>
          <w:highlight w:val="none"/>
        </w:rPr>
        <w:t>招标人不得泄露招标投标活动中应当保密的情况和资料，不得与投标人串通损害国家利益、社会公共利益或者他人合法权益。</w:t>
      </w:r>
    </w:p>
    <w:p>
      <w:pPr>
        <w:pStyle w:val="5"/>
        <w:ind w:firstLine="137"/>
        <w:rPr>
          <w:rFonts w:ascii="宋体" w:hAnsi="宋体"/>
          <w:color w:val="auto"/>
          <w:highlight w:val="none"/>
        </w:rPr>
      </w:pPr>
      <w:bookmarkStart w:id="337" w:name="_Toc492300614"/>
      <w:bookmarkStart w:id="338" w:name="_Toc1571"/>
      <w:r>
        <w:rPr>
          <w:rFonts w:ascii="宋体" w:hAnsi="宋体"/>
          <w:color w:val="auto"/>
          <w:highlight w:val="none"/>
        </w:rPr>
        <w:t>8.2 对投标人的纪律要求</w:t>
      </w:r>
      <w:bookmarkEnd w:id="337"/>
      <w:bookmarkEnd w:id="338"/>
    </w:p>
    <w:p>
      <w:pPr>
        <w:spacing w:line="360" w:lineRule="auto"/>
        <w:ind w:firstLine="420" w:firstLineChars="200"/>
        <w:rPr>
          <w:rFonts w:ascii="宋体" w:hAnsi="宋体"/>
          <w:color w:val="auto"/>
          <w:highlight w:val="none"/>
        </w:rPr>
      </w:pPr>
      <w:r>
        <w:rPr>
          <w:rFonts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ind w:firstLine="137"/>
        <w:rPr>
          <w:rFonts w:ascii="宋体" w:hAnsi="宋体"/>
          <w:color w:val="auto"/>
          <w:highlight w:val="none"/>
        </w:rPr>
      </w:pPr>
      <w:bookmarkStart w:id="339" w:name="_Toc492300615"/>
      <w:bookmarkStart w:id="340" w:name="_Toc21250"/>
      <w:r>
        <w:rPr>
          <w:rFonts w:ascii="宋体" w:hAnsi="宋体"/>
          <w:color w:val="auto"/>
          <w:highlight w:val="none"/>
        </w:rPr>
        <w:t>8.3 对评标委员会成员的纪律要求</w:t>
      </w:r>
      <w:bookmarkEnd w:id="339"/>
      <w:bookmarkEnd w:id="340"/>
    </w:p>
    <w:p>
      <w:pPr>
        <w:spacing w:line="360" w:lineRule="auto"/>
        <w:ind w:firstLine="420" w:firstLineChars="200"/>
        <w:rPr>
          <w:rFonts w:ascii="宋体" w:hAnsi="宋体"/>
          <w:color w:val="auto"/>
          <w:highlight w:val="none"/>
        </w:rPr>
      </w:pPr>
      <w:r>
        <w:rPr>
          <w:rFonts w:ascii="宋体" w:hAnsi="宋体"/>
          <w:color w:val="auto"/>
          <w:highlight w:val="none"/>
        </w:rPr>
        <w:t>评标委员会成员不得收受他人的财物或者其他好处，不得向他人透露对投标文件的评审</w:t>
      </w:r>
      <w:bookmarkStart w:id="341" w:name="_Toc13644"/>
      <w:bookmarkStart w:id="342" w:name="_Toc352691515"/>
      <w:bookmarkStart w:id="343" w:name="_Toc361508628"/>
      <w:bookmarkStart w:id="344" w:name="_Toc369531559"/>
      <w:bookmarkStart w:id="345" w:name="_Toc384308253"/>
      <w:r>
        <w:rPr>
          <w:rFonts w:ascii="宋体" w:hAnsi="宋体"/>
          <w:color w:val="auto"/>
          <w:highlight w:val="none"/>
        </w:rPr>
        <w:t>和比较、中标候选人</w:t>
      </w:r>
      <w:bookmarkEnd w:id="329"/>
      <w:bookmarkEnd w:id="330"/>
      <w:bookmarkEnd w:id="331"/>
      <w:bookmarkEnd w:id="332"/>
      <w:bookmarkEnd w:id="333"/>
      <w:bookmarkEnd w:id="334"/>
      <w:bookmarkEnd w:id="341"/>
      <w:bookmarkEnd w:id="342"/>
      <w:bookmarkEnd w:id="343"/>
      <w:bookmarkEnd w:id="344"/>
      <w:bookmarkEnd w:id="345"/>
      <w:r>
        <w:rPr>
          <w:rFonts w:ascii="宋体" w:hAnsi="宋体"/>
          <w:color w:val="auto"/>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ind w:firstLine="137"/>
        <w:rPr>
          <w:rFonts w:ascii="宋体" w:hAnsi="宋体"/>
          <w:color w:val="auto"/>
          <w:highlight w:val="none"/>
        </w:rPr>
      </w:pPr>
      <w:bookmarkStart w:id="346" w:name="_Toc492300616"/>
      <w:bookmarkStart w:id="347" w:name="_Toc29587"/>
      <w:r>
        <w:rPr>
          <w:rFonts w:ascii="宋体" w:hAnsi="宋体"/>
          <w:color w:val="auto"/>
          <w:highlight w:val="none"/>
        </w:rPr>
        <w:t>8.4 对与评标活动有关的工作人员的纪律要求</w:t>
      </w:r>
      <w:bookmarkEnd w:id="346"/>
      <w:bookmarkEnd w:id="347"/>
    </w:p>
    <w:p>
      <w:pPr>
        <w:spacing w:line="360" w:lineRule="auto"/>
        <w:ind w:firstLine="420" w:firstLineChars="200"/>
        <w:rPr>
          <w:rFonts w:ascii="宋体" w:hAnsi="宋体"/>
          <w:color w:val="auto"/>
          <w:highlight w:val="none"/>
        </w:rPr>
      </w:pPr>
      <w:r>
        <w:rPr>
          <w:rFonts w:ascii="宋体" w:hAnsi="宋体"/>
          <w:color w:val="auto"/>
          <w:highlight w:val="none"/>
        </w:rPr>
        <w:t>与评标活动有关的工作人员不得收受他人的财物或者其他好处，不得向他人透露对投标文件</w:t>
      </w:r>
      <w:bookmarkStart w:id="348" w:name="_Toc300834992"/>
      <w:bookmarkStart w:id="349" w:name="_Toc361508629"/>
      <w:bookmarkStart w:id="350" w:name="_Toc152042345"/>
      <w:bookmarkStart w:id="351" w:name="_Toc152045569"/>
      <w:bookmarkStart w:id="352" w:name="_Toc369531560"/>
      <w:bookmarkStart w:id="353" w:name="_Toc19429"/>
      <w:bookmarkStart w:id="354" w:name="_Toc247527594"/>
      <w:bookmarkStart w:id="355" w:name="_Toc384308254"/>
      <w:bookmarkStart w:id="356" w:name="_Toc144974537"/>
      <w:bookmarkStart w:id="357" w:name="_Toc247513993"/>
      <w:bookmarkStart w:id="358" w:name="_Toc352691516"/>
      <w:r>
        <w:rPr>
          <w:rFonts w:ascii="宋体" w:hAnsi="宋体"/>
          <w:color w:val="auto"/>
          <w:highlight w:val="none"/>
        </w:rPr>
        <w:t>的评审和比较、中标</w:t>
      </w:r>
      <w:bookmarkEnd w:id="348"/>
      <w:bookmarkEnd w:id="349"/>
      <w:bookmarkEnd w:id="350"/>
      <w:bookmarkEnd w:id="351"/>
      <w:bookmarkEnd w:id="352"/>
      <w:bookmarkEnd w:id="353"/>
      <w:bookmarkEnd w:id="354"/>
      <w:bookmarkEnd w:id="355"/>
      <w:bookmarkEnd w:id="356"/>
      <w:bookmarkEnd w:id="357"/>
      <w:bookmarkEnd w:id="358"/>
      <w:r>
        <w:rPr>
          <w:rFonts w:ascii="宋体" w:hAnsi="宋体"/>
          <w:color w:val="auto"/>
          <w:highlight w:val="none"/>
        </w:rPr>
        <w:t>候选人的推荐情况以及评标有关的其他情况。在评标活动中，与评标活动有关的工作人员不得擅离职守，影响评标程序正常进行。</w:t>
      </w:r>
    </w:p>
    <w:p>
      <w:pPr>
        <w:pStyle w:val="5"/>
        <w:ind w:firstLine="137"/>
        <w:rPr>
          <w:rFonts w:ascii="宋体" w:hAnsi="宋体"/>
          <w:color w:val="auto"/>
          <w:highlight w:val="none"/>
        </w:rPr>
      </w:pPr>
      <w:bookmarkStart w:id="359" w:name="_Toc492300617"/>
      <w:bookmarkStart w:id="360" w:name="_Toc12097"/>
      <w:r>
        <w:rPr>
          <w:rFonts w:ascii="宋体" w:hAnsi="宋体"/>
          <w:color w:val="auto"/>
          <w:highlight w:val="none"/>
        </w:rPr>
        <w:t>8.5 投诉</w:t>
      </w:r>
      <w:bookmarkEnd w:id="359"/>
      <w:bookmarkEnd w:id="360"/>
    </w:p>
    <w:p>
      <w:pPr>
        <w:spacing w:line="360" w:lineRule="auto"/>
        <w:ind w:firstLine="420" w:firstLineChars="200"/>
        <w:rPr>
          <w:rFonts w:ascii="宋体" w:hAnsi="宋体"/>
          <w:color w:val="auto"/>
          <w:highlight w:val="none"/>
        </w:rPr>
      </w:pPr>
      <w:r>
        <w:rPr>
          <w:rFonts w:ascii="宋体" w:hAnsi="宋体"/>
          <w:color w:val="auto"/>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20" w:firstLineChars="200"/>
        <w:rPr>
          <w:rFonts w:ascii="宋体" w:hAnsi="宋体"/>
          <w:color w:val="auto"/>
          <w:highlight w:val="none"/>
        </w:rPr>
      </w:pPr>
      <w:r>
        <w:rPr>
          <w:rFonts w:ascii="宋体" w:hAnsi="宋体"/>
          <w:color w:val="auto"/>
          <w:highlight w:val="none"/>
        </w:rPr>
        <w:t>8.5.2 投标人或者其他利害关系人对招标文件、开标和评标结果提出投诉的，应当按照投标人须知第2.4款、第5.3款和第7.2款的规定先向招标人提出异议。异议答复期间</w:t>
      </w:r>
      <w:bookmarkStart w:id="361" w:name="_Toc300834993"/>
      <w:bookmarkStart w:id="362" w:name="_Toc247527595"/>
      <w:bookmarkStart w:id="363" w:name="_Toc352691517"/>
      <w:bookmarkStart w:id="364" w:name="_Toc152042346"/>
      <w:bookmarkStart w:id="365" w:name="_Toc152045570"/>
      <w:bookmarkStart w:id="366" w:name="_Toc369531561"/>
      <w:bookmarkStart w:id="367" w:name="_Toc12776"/>
      <w:bookmarkStart w:id="368" w:name="_Toc361508630"/>
      <w:bookmarkStart w:id="369" w:name="_Toc384308255"/>
      <w:bookmarkStart w:id="370" w:name="_Toc144974538"/>
      <w:bookmarkStart w:id="371" w:name="_Toc247513994"/>
      <w:r>
        <w:rPr>
          <w:rFonts w:ascii="宋体" w:hAnsi="宋体"/>
          <w:color w:val="auto"/>
          <w:highlight w:val="none"/>
        </w:rPr>
        <w:t>不计算在第8.5.</w:t>
      </w:r>
      <w:bookmarkEnd w:id="361"/>
      <w:bookmarkEnd w:id="362"/>
      <w:bookmarkEnd w:id="363"/>
      <w:bookmarkEnd w:id="364"/>
      <w:bookmarkEnd w:id="365"/>
      <w:bookmarkEnd w:id="366"/>
      <w:bookmarkEnd w:id="367"/>
      <w:bookmarkEnd w:id="368"/>
      <w:bookmarkEnd w:id="369"/>
      <w:bookmarkEnd w:id="370"/>
      <w:bookmarkEnd w:id="371"/>
      <w:r>
        <w:rPr>
          <w:rFonts w:ascii="宋体" w:hAnsi="宋体"/>
          <w:color w:val="auto"/>
          <w:highlight w:val="none"/>
        </w:rPr>
        <w:t>1项规定的期限内。</w:t>
      </w:r>
    </w:p>
    <w:p>
      <w:pPr>
        <w:pStyle w:val="4"/>
        <w:spacing w:line="360" w:lineRule="auto"/>
        <w:rPr>
          <w:rFonts w:ascii="宋体" w:hAnsi="宋体" w:eastAsia="宋体"/>
          <w:color w:val="auto"/>
          <w:highlight w:val="none"/>
        </w:rPr>
      </w:pPr>
      <w:bookmarkStart w:id="372" w:name="_Toc477134992"/>
      <w:bookmarkStart w:id="373" w:name="_Toc492300618"/>
      <w:bookmarkStart w:id="374" w:name="_Toc19272"/>
      <w:r>
        <w:rPr>
          <w:rFonts w:ascii="宋体" w:hAnsi="宋体" w:eastAsia="宋体"/>
          <w:color w:val="auto"/>
          <w:highlight w:val="none"/>
        </w:rPr>
        <w:t>9. 是否采用电子招标投标</w:t>
      </w:r>
      <w:bookmarkEnd w:id="372"/>
      <w:bookmarkEnd w:id="373"/>
      <w:bookmarkEnd w:id="374"/>
    </w:p>
    <w:p>
      <w:pPr>
        <w:spacing w:line="360" w:lineRule="auto"/>
        <w:ind w:firstLine="420" w:firstLineChars="200"/>
        <w:rPr>
          <w:rFonts w:ascii="宋体" w:hAnsi="宋体"/>
          <w:color w:val="auto"/>
          <w:highlight w:val="none"/>
        </w:rPr>
      </w:pPr>
      <w:r>
        <w:rPr>
          <w:rFonts w:ascii="宋体" w:hAnsi="宋体"/>
          <w:color w:val="auto"/>
          <w:highlight w:val="none"/>
        </w:rPr>
        <w:t>本招标项目是否采用电子招标投标方式，见投标人须知前附表。</w:t>
      </w:r>
    </w:p>
    <w:p>
      <w:pPr>
        <w:pStyle w:val="4"/>
        <w:spacing w:line="360" w:lineRule="auto"/>
        <w:rPr>
          <w:rFonts w:ascii="宋体" w:hAnsi="宋体" w:eastAsia="宋体"/>
          <w:color w:val="auto"/>
          <w:highlight w:val="none"/>
        </w:rPr>
      </w:pPr>
      <w:bookmarkStart w:id="375" w:name="_Toc492300619"/>
      <w:bookmarkStart w:id="376" w:name="_Toc21618"/>
      <w:r>
        <w:rPr>
          <w:rFonts w:ascii="宋体" w:hAnsi="宋体" w:eastAsia="宋体"/>
          <w:color w:val="auto"/>
          <w:highlight w:val="none"/>
        </w:rPr>
        <w:t>10. 需要补充的其他内容</w:t>
      </w:r>
      <w:bookmarkEnd w:id="375"/>
      <w:bookmarkEnd w:id="376"/>
    </w:p>
    <w:p>
      <w:pPr>
        <w:spacing w:line="360" w:lineRule="auto"/>
        <w:ind w:firstLine="560"/>
        <w:rPr>
          <w:rFonts w:ascii="宋体" w:hAnsi="宋体"/>
          <w:color w:val="auto"/>
          <w:sz w:val="28"/>
          <w:szCs w:val="28"/>
          <w:highlight w:val="none"/>
        </w:rPr>
      </w:pPr>
      <w:r>
        <w:rPr>
          <w:rFonts w:ascii="宋体" w:hAnsi="宋体"/>
          <w:color w:val="auto"/>
          <w:highlight w:val="none"/>
        </w:rPr>
        <w:t>需要补充的其他内容：见投标人须知前附表。</w:t>
      </w:r>
    </w:p>
    <w:p>
      <w:pPr>
        <w:widowControl/>
        <w:spacing w:beforeAutospacing="1" w:afterAutospacing="1" w:line="312" w:lineRule="auto"/>
        <w:ind w:firstLine="560" w:firstLineChars="200"/>
        <w:jc w:val="left"/>
        <w:rPr>
          <w:rFonts w:ascii="宋体" w:hAnsi="宋体" w:cs="宋体"/>
          <w:color w:val="auto"/>
          <w:sz w:val="28"/>
          <w:szCs w:val="28"/>
          <w:highlight w:val="none"/>
        </w:rPr>
        <w:sectPr>
          <w:pgSz w:w="11907" w:h="16840"/>
          <w:pgMar w:top="1134" w:right="1134" w:bottom="1134" w:left="1134" w:header="720" w:footer="720" w:gutter="0"/>
          <w:cols w:space="720" w:num="1"/>
        </w:sectPr>
      </w:pPr>
      <w:bookmarkStart w:id="377" w:name="_Toc20776"/>
      <w:bookmarkEnd w:id="377"/>
      <w:bookmarkStart w:id="378" w:name="_Toc9855"/>
      <w:bookmarkEnd w:id="378"/>
      <w:bookmarkStart w:id="379" w:name="_Toc25165"/>
      <w:bookmarkEnd w:id="379"/>
      <w:bookmarkStart w:id="380" w:name="_Toc30533"/>
      <w:bookmarkEnd w:id="380"/>
      <w:bookmarkStart w:id="381" w:name="_Toc13444"/>
      <w:bookmarkEnd w:id="381"/>
      <w:bookmarkStart w:id="382" w:name="_Toc514170121"/>
      <w:bookmarkEnd w:id="382"/>
    </w:p>
    <w:p>
      <w:pPr>
        <w:rPr>
          <w:rFonts w:ascii="宋体" w:hAnsi="宋体"/>
          <w:color w:val="auto"/>
          <w:sz w:val="28"/>
          <w:szCs w:val="28"/>
          <w:highlight w:val="none"/>
        </w:rPr>
      </w:pPr>
      <w:r>
        <w:rPr>
          <w:rFonts w:hint="eastAsia" w:ascii="宋体" w:hAnsi="宋体"/>
          <w:color w:val="auto"/>
          <w:sz w:val="28"/>
          <w:szCs w:val="28"/>
          <w:highlight w:val="none"/>
        </w:rPr>
        <w:t>附件一：开标记录表（按广州交易集团有限公司（广州公共资源交易中心）系统导出为准）</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before="12"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383" w:lineRule="exact"/>
        <w:ind w:right="-20"/>
        <w:jc w:val="left"/>
        <w:rPr>
          <w:rFonts w:ascii="宋体" w:hAnsi="宋体"/>
          <w:color w:val="auto"/>
          <w:sz w:val="28"/>
          <w:szCs w:val="28"/>
          <w:highlight w:val="none"/>
        </w:rPr>
      </w:pPr>
      <w:r>
        <w:rPr>
          <w:rFonts w:hint="eastAsia" w:ascii="宋体" w:hAnsi="宋体"/>
          <w:color w:val="auto"/>
          <w:highlight w:val="none"/>
        </w:rPr>
        <w:br w:type="page"/>
      </w:r>
      <w:r>
        <w:rPr>
          <w:rFonts w:hint="eastAsia" w:ascii="宋体" w:hAnsi="宋体"/>
          <w:color w:val="auto"/>
          <w:sz w:val="28"/>
          <w:szCs w:val="28"/>
          <w:highlight w:val="none"/>
        </w:rPr>
        <w:t>附件二：问题澄清通知</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373" w:lineRule="exact"/>
        <w:ind w:left="2556" w:right="40" w:hanging="4619" w:hangingChars="1278"/>
        <w:jc w:val="center"/>
        <w:rPr>
          <w:rFonts w:ascii="宋体" w:hAnsi="宋体"/>
          <w:color w:val="auto"/>
          <w:sz w:val="28"/>
          <w:highlight w:val="none"/>
        </w:rPr>
      </w:pPr>
      <w:r>
        <w:rPr>
          <w:rFonts w:ascii="宋体" w:hAnsi="宋体" w:cs="䅂䍄䕅⯋컌"/>
          <w:b/>
          <w:bCs/>
          <w:color w:val="auto"/>
          <w:kern w:val="0"/>
          <w:sz w:val="36"/>
          <w:szCs w:val="36"/>
          <w:highlight w:val="none"/>
          <w:lang w:bidi="ar"/>
        </w:rPr>
        <w:t>（按广州公共资源交易中心格式）</w:t>
      </w:r>
    </w:p>
    <w:p>
      <w:pPr>
        <w:spacing w:line="383" w:lineRule="exact"/>
        <w:ind w:left="237" w:right="-20" w:firstLine="560" w:firstLineChars="200"/>
        <w:jc w:val="left"/>
        <w:rPr>
          <w:rFonts w:ascii="宋体" w:hAnsi="宋体"/>
          <w:color w:val="auto"/>
          <w:sz w:val="28"/>
          <w:szCs w:val="28"/>
          <w:highlight w:val="none"/>
        </w:rPr>
      </w:pPr>
    </w:p>
    <w:p>
      <w:pPr>
        <w:spacing w:line="383" w:lineRule="exact"/>
        <w:ind w:left="237" w:right="-20" w:firstLine="560" w:firstLineChars="200"/>
        <w:jc w:val="left"/>
        <w:rPr>
          <w:rFonts w:ascii="宋体" w:hAnsi="宋体"/>
          <w:color w:val="auto"/>
          <w:sz w:val="28"/>
          <w:szCs w:val="28"/>
          <w:highlight w:val="none"/>
        </w:rPr>
      </w:pPr>
    </w:p>
    <w:p>
      <w:pPr>
        <w:spacing w:line="383" w:lineRule="exact"/>
        <w:ind w:right="-20"/>
        <w:jc w:val="left"/>
        <w:rPr>
          <w:rFonts w:ascii="宋体" w:hAnsi="宋体"/>
          <w:color w:val="auto"/>
          <w:sz w:val="28"/>
          <w:szCs w:val="28"/>
          <w:highlight w:val="none"/>
        </w:rPr>
      </w:pPr>
      <w:r>
        <w:rPr>
          <w:rFonts w:hint="eastAsia" w:ascii="宋体" w:hAnsi="宋体"/>
          <w:color w:val="auto"/>
          <w:sz w:val="28"/>
          <w:szCs w:val="28"/>
          <w:highlight w:val="none"/>
        </w:rPr>
        <w:t>附件三：问题的澄清</w:t>
      </w:r>
    </w:p>
    <w:p>
      <w:pPr>
        <w:spacing w:before="9" w:line="170" w:lineRule="exact"/>
        <w:ind w:firstLine="340" w:firstLineChars="200"/>
        <w:jc w:val="left"/>
        <w:rPr>
          <w:rFonts w:ascii="宋体" w:hAnsi="宋体"/>
          <w:color w:val="auto"/>
          <w:sz w:val="17"/>
          <w:szCs w:val="17"/>
          <w:highlight w:val="none"/>
        </w:rPr>
      </w:pPr>
      <w:r>
        <w:rPr>
          <w:rFonts w:hint="eastAsia" w:ascii="宋体" w:hAnsi="宋体"/>
          <w:color w:val="auto"/>
          <w:sz w:val="17"/>
          <w:szCs w:val="17"/>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643" w:firstLineChars="200"/>
        <w:jc w:val="center"/>
        <w:rPr>
          <w:rFonts w:ascii="宋体" w:hAnsi="宋体"/>
          <w:b/>
          <w:bCs/>
          <w:color w:val="auto"/>
          <w:sz w:val="32"/>
          <w:szCs w:val="32"/>
          <w:highlight w:val="none"/>
        </w:rPr>
      </w:pPr>
    </w:p>
    <w:p>
      <w:pPr>
        <w:widowControl/>
        <w:spacing w:line="360" w:lineRule="auto"/>
        <w:jc w:val="center"/>
        <w:rPr>
          <w:rFonts w:ascii="宋体" w:hAnsi="宋体"/>
          <w:color w:val="auto"/>
          <w:highlight w:val="none"/>
        </w:rPr>
      </w:pPr>
      <w:bookmarkStart w:id="383" w:name="_Toc16484"/>
      <w:bookmarkEnd w:id="383"/>
      <w:bookmarkStart w:id="384" w:name="_Toc19513"/>
      <w:bookmarkEnd w:id="384"/>
      <w:bookmarkStart w:id="385" w:name="_Toc514170131"/>
      <w:bookmarkEnd w:id="385"/>
      <w:bookmarkStart w:id="386" w:name="_Toc10286"/>
      <w:bookmarkEnd w:id="386"/>
      <w:bookmarkStart w:id="387" w:name="_Toc27162"/>
      <w:bookmarkEnd w:id="387"/>
      <w:bookmarkStart w:id="388" w:name="_Toc15544"/>
      <w:bookmarkEnd w:id="388"/>
      <w:bookmarkStart w:id="389" w:name="_Toc393961876"/>
      <w:bookmarkEnd w:id="389"/>
      <w:bookmarkStart w:id="390" w:name="_Toc10780"/>
      <w:bookmarkEnd w:id="390"/>
      <w:bookmarkStart w:id="391" w:name="_Toc2468"/>
      <w:r>
        <w:rPr>
          <w:rFonts w:ascii="宋体" w:hAnsi="宋体" w:cs="䅂䍄䕅⯋컌"/>
          <w:b/>
          <w:bCs/>
          <w:color w:val="auto"/>
          <w:kern w:val="0"/>
          <w:sz w:val="36"/>
          <w:szCs w:val="36"/>
          <w:highlight w:val="none"/>
          <w:lang w:bidi="ar"/>
        </w:rPr>
        <w:t>（按广州公共资源交易中心格式）</w:t>
      </w:r>
    </w:p>
    <w:p>
      <w:pPr>
        <w:spacing w:line="463" w:lineRule="exact"/>
        <w:ind w:left="100" w:right="-20" w:firstLine="480" w:firstLineChars="200"/>
        <w:jc w:val="center"/>
        <w:rPr>
          <w:rFonts w:ascii="宋体" w:hAnsi="宋体"/>
          <w:color w:val="auto"/>
          <w:sz w:val="24"/>
          <w:szCs w:val="24"/>
          <w:highlight w:val="none"/>
        </w:rPr>
      </w:pPr>
    </w:p>
    <w:p>
      <w:pPr>
        <w:rPr>
          <w:color w:val="auto"/>
          <w:highlight w:val="none"/>
        </w:rPr>
      </w:pPr>
      <w:bookmarkStart w:id="392" w:name="_Toc530640830"/>
      <w:bookmarkStart w:id="393" w:name="_Toc179"/>
      <w:r>
        <w:rPr>
          <w:color w:val="auto"/>
          <w:highlight w:val="none"/>
        </w:rPr>
        <w:br w:type="textWrapping"/>
      </w:r>
    </w:p>
    <w:p>
      <w:pPr>
        <w:spacing w:line="383" w:lineRule="exact"/>
        <w:ind w:right="-20"/>
        <w:jc w:val="left"/>
        <w:rPr>
          <w:rFonts w:ascii="宋体" w:hAnsi="宋体"/>
          <w:color w:val="auto"/>
          <w:position w:val="-4"/>
          <w:sz w:val="28"/>
          <w:highlight w:val="none"/>
        </w:rPr>
      </w:pPr>
      <w:r>
        <w:rPr>
          <w:rFonts w:ascii="宋体" w:hAnsi="宋体"/>
          <w:color w:val="auto"/>
          <w:position w:val="-4"/>
          <w:sz w:val="28"/>
          <w:highlight w:val="none"/>
        </w:rPr>
        <w:t>附件四：中标通知书</w:t>
      </w:r>
    </w:p>
    <w:p>
      <w:pPr>
        <w:spacing w:line="383" w:lineRule="exact"/>
        <w:ind w:left="237" w:right="-20"/>
        <w:jc w:val="left"/>
        <w:rPr>
          <w:rFonts w:ascii="宋体" w:hAnsi="宋体"/>
          <w:color w:val="auto"/>
          <w:position w:val="-4"/>
          <w:sz w:val="28"/>
          <w:highlight w:val="none"/>
        </w:rPr>
      </w:pPr>
    </w:p>
    <w:p>
      <w:pPr>
        <w:spacing w:line="383" w:lineRule="exact"/>
        <w:ind w:left="237" w:right="-20"/>
        <w:jc w:val="center"/>
        <w:rPr>
          <w:rFonts w:ascii="宋体" w:hAnsi="宋体"/>
          <w:color w:val="auto"/>
          <w:position w:val="-4"/>
          <w:sz w:val="28"/>
          <w:szCs w:val="22"/>
          <w:highlight w:val="none"/>
        </w:rPr>
      </w:pPr>
      <w:r>
        <w:rPr>
          <w:rFonts w:ascii="宋体" w:hAnsi="宋体" w:cs="䅂䍄䕅⯋컌"/>
          <w:b/>
          <w:bCs/>
          <w:color w:val="auto"/>
          <w:kern w:val="0"/>
          <w:sz w:val="36"/>
          <w:szCs w:val="36"/>
          <w:highlight w:val="none"/>
          <w:lang w:bidi="ar"/>
        </w:rPr>
        <w:t>（按广州公共资源交易中心格式）</w:t>
      </w:r>
    </w:p>
    <w:p>
      <w:pPr>
        <w:pStyle w:val="4"/>
        <w:ind w:firstLine="643" w:firstLineChars="200"/>
        <w:jc w:val="center"/>
        <w:rPr>
          <w:rFonts w:ascii="宋体" w:hAnsi="宋体" w:eastAsia="宋体"/>
          <w:color w:val="auto"/>
          <w:highlight w:val="none"/>
        </w:rPr>
      </w:pPr>
      <w:r>
        <w:rPr>
          <w:rFonts w:hint="eastAsia" w:ascii="宋体" w:hAnsi="宋体" w:eastAsia="宋体"/>
          <w:color w:val="auto"/>
          <w:highlight w:val="none"/>
        </w:rPr>
        <w:br w:type="page"/>
      </w:r>
      <w:bookmarkStart w:id="394" w:name="_Toc484"/>
      <w:r>
        <w:rPr>
          <w:rFonts w:hint="eastAsia" w:ascii="宋体" w:hAnsi="宋体" w:eastAsia="宋体"/>
          <w:color w:val="auto"/>
          <w:highlight w:val="none"/>
        </w:rPr>
        <w:t>第三章  评标办法（综合评估法）</w:t>
      </w:r>
      <w:bookmarkEnd w:id="392"/>
      <w:bookmarkEnd w:id="393"/>
      <w:bookmarkEnd w:id="394"/>
    </w:p>
    <w:p>
      <w:pPr>
        <w:pStyle w:val="4"/>
        <w:jc w:val="center"/>
        <w:rPr>
          <w:rFonts w:ascii="宋体" w:hAnsi="宋体" w:eastAsia="宋体" w:cs="宋体"/>
          <w:color w:val="auto"/>
          <w:sz w:val="28"/>
          <w:szCs w:val="28"/>
          <w:highlight w:val="none"/>
        </w:rPr>
      </w:pPr>
      <w:r>
        <w:rPr>
          <w:rFonts w:hint="eastAsia" w:ascii="宋体" w:hAnsi="宋体"/>
          <w:color w:val="auto"/>
          <w:highlight w:val="none"/>
        </w:rPr>
        <w:t>评标办法前附表</w:t>
      </w:r>
      <w:bookmarkStart w:id="395" w:name="_Toc19290"/>
      <w:bookmarkEnd w:id="395"/>
      <w:bookmarkStart w:id="396" w:name="_Toc514170133"/>
      <w:bookmarkEnd w:id="396"/>
      <w:bookmarkStart w:id="397" w:name="_Toc24248"/>
      <w:bookmarkEnd w:id="397"/>
      <w:bookmarkStart w:id="398" w:name="_Toc12886"/>
      <w:bookmarkEnd w:id="398"/>
      <w:bookmarkStart w:id="399" w:name="_Toc22155"/>
      <w:bookmarkEnd w:id="399"/>
      <w:bookmarkStart w:id="400" w:name="_Toc13470"/>
      <w:bookmarkEnd w:id="400"/>
    </w:p>
    <w:tbl>
      <w:tblPr>
        <w:tblStyle w:val="2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857"/>
        <w:gridCol w:w="131"/>
        <w:gridCol w:w="952"/>
        <w:gridCol w:w="8"/>
        <w:gridCol w:w="2359"/>
        <w:gridCol w:w="4832"/>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4"/>
            <w:noWrap w:val="0"/>
            <w:vAlign w:val="center"/>
          </w:tcPr>
          <w:p>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367" w:type="dxa"/>
            <w:gridSpan w:val="2"/>
            <w:noWrap w:val="0"/>
            <w:vAlign w:val="center"/>
          </w:tcPr>
          <w:p>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4862" w:type="dxa"/>
            <w:gridSpan w:val="2"/>
            <w:noWrap w:val="0"/>
            <w:vAlign w:val="center"/>
          </w:tcPr>
          <w:p>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68"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083"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评标方法</w:t>
            </w: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中标候选人排序方法</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u w:val="none"/>
              </w:rPr>
              <w:t>本次评标采用综合评估法。评标委员会对满足招标文件实质性要求的投标文件，按照本章第2.2款规定的评分标准进行打分，</w:t>
            </w:r>
            <w:r>
              <w:rPr>
                <w:rFonts w:hint="eastAsia"/>
                <w:color w:val="auto"/>
                <w:sz w:val="21"/>
                <w:szCs w:val="21"/>
                <w:highlight w:val="none"/>
              </w:rPr>
              <w:t>按得分由高到低进行排序，向招标人推荐不超过3名中标候选人，其中得分最高者为第一中标候选人，次高者为第二中标候选人，第三高者为第三中标候选人，如此类推。总得分相同的，以监理大纲得分高的排前；总分与监理大纲得分均相同的投标文件，以投标报价较低的排前；如仍存在相同情况，则对具有相同情况的投标人，由评标委员会采用记名投票方式，确定中标候选人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restart"/>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2.1.1</w:t>
            </w:r>
          </w:p>
        </w:tc>
        <w:tc>
          <w:tcPr>
            <w:tcW w:w="1083" w:type="dxa"/>
            <w:gridSpan w:val="2"/>
            <w:vMerge w:val="restart"/>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投标人名称</w:t>
            </w:r>
          </w:p>
        </w:tc>
        <w:tc>
          <w:tcPr>
            <w:tcW w:w="4862" w:type="dxa"/>
            <w:gridSpan w:val="2"/>
            <w:noWrap w:val="0"/>
            <w:vAlign w:val="center"/>
          </w:tcPr>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投标函及投标函附录签字盖章</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有法定代表人或被授权人签字或盖章或加盖单位章。由法定代表人签字或盖章的，应附法定代表人身份证明，由被授权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符合第六章“投标文件格式”格式一“投标函及投标函附录”的规定；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联合体投标人</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备选投标方案</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投标人机器码</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restart"/>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2.1.2</w:t>
            </w:r>
          </w:p>
        </w:tc>
        <w:tc>
          <w:tcPr>
            <w:tcW w:w="1083" w:type="dxa"/>
            <w:gridSpan w:val="2"/>
            <w:vMerge w:val="restart"/>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营业执照和组织机构代码证</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资质要求</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财务要求</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业绩要求</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信誉要求</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总监理工程师</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其他主要人员</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试验检测仪器设备</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其他要求</w:t>
            </w:r>
          </w:p>
        </w:tc>
        <w:tc>
          <w:tcPr>
            <w:tcW w:w="4862" w:type="dxa"/>
            <w:gridSpan w:val="2"/>
            <w:noWrap w:val="0"/>
            <w:vAlign w:val="center"/>
          </w:tcPr>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联合体投标人</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不存在禁止投标的情形</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restart"/>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2.1.3</w:t>
            </w:r>
          </w:p>
        </w:tc>
        <w:tc>
          <w:tcPr>
            <w:tcW w:w="1083" w:type="dxa"/>
            <w:gridSpan w:val="2"/>
            <w:vMerge w:val="restart"/>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响应性评审标准</w:t>
            </w: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投标文件</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投标文件所列投标人名称、项目负责人（总监）与投标登记时一致；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投标报价</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符合第二章“投标人须知”第3.2款规定，对同一招标项目没有出现两个或以上的投标报价，且修正无依据；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投标内容</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符合第二章“投标人须知”第1.3.1项规定，投标文件按规定的格式填写，内容齐全或关键字迹清晰、容易辩认；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监理服务期限</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质量标准</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投标有效期</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投标保证金</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8" w:type="dxa"/>
            <w:gridSpan w:val="2"/>
            <w:vMerge w:val="continue"/>
            <w:noWrap w:val="0"/>
            <w:vAlign w:val="center"/>
          </w:tcPr>
          <w:p>
            <w:pPr>
              <w:widowControl/>
              <w:jc w:val="left"/>
              <w:rPr>
                <w:rFonts w:ascii="宋体" w:hAnsi="宋体" w:cs="宋体"/>
                <w:color w:val="auto"/>
                <w:sz w:val="21"/>
                <w:szCs w:val="21"/>
                <w:highlight w:val="none"/>
              </w:rPr>
            </w:pPr>
          </w:p>
        </w:tc>
        <w:tc>
          <w:tcPr>
            <w:tcW w:w="1083" w:type="dxa"/>
            <w:gridSpan w:val="2"/>
            <w:vMerge w:val="continue"/>
            <w:noWrap w:val="0"/>
            <w:vAlign w:val="center"/>
          </w:tcPr>
          <w:p>
            <w:pPr>
              <w:widowControl/>
              <w:jc w:val="left"/>
              <w:rPr>
                <w:rFonts w:ascii="宋体" w:hAnsi="宋体" w:cs="宋体"/>
                <w:color w:val="auto"/>
                <w:sz w:val="21"/>
                <w:szCs w:val="21"/>
                <w:highlight w:val="none"/>
              </w:rPr>
            </w:pPr>
          </w:p>
        </w:tc>
        <w:tc>
          <w:tcPr>
            <w:tcW w:w="2367" w:type="dxa"/>
            <w:gridSpan w:val="2"/>
            <w:noWrap w:val="0"/>
            <w:vAlign w:val="center"/>
          </w:tcPr>
          <w:p>
            <w:pPr>
              <w:jc w:val="center"/>
              <w:rPr>
                <w:color w:val="auto"/>
                <w:sz w:val="21"/>
                <w:szCs w:val="21"/>
                <w:highlight w:val="none"/>
              </w:rPr>
            </w:pPr>
            <w:r>
              <w:rPr>
                <w:rFonts w:hint="eastAsia"/>
                <w:color w:val="auto"/>
                <w:sz w:val="21"/>
                <w:szCs w:val="21"/>
                <w:highlight w:val="none"/>
              </w:rPr>
              <w:t>串通投标情形</w:t>
            </w:r>
          </w:p>
        </w:tc>
        <w:tc>
          <w:tcPr>
            <w:tcW w:w="4862" w:type="dxa"/>
            <w:gridSpan w:val="2"/>
            <w:noWrap w:val="0"/>
            <w:vAlign w:val="center"/>
          </w:tcPr>
          <w:p>
            <w:pPr>
              <w:rPr>
                <w:color w:val="auto"/>
                <w:sz w:val="21"/>
                <w:szCs w:val="21"/>
                <w:highlight w:val="none"/>
              </w:rPr>
            </w:pPr>
            <w:r>
              <w:rPr>
                <w:rFonts w:hint="eastAsia" w:ascii="宋体" w:hAnsi="宋体" w:cs="宋体"/>
                <w:color w:val="auto"/>
                <w:sz w:val="21"/>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51" w:type="dxa"/>
            <w:gridSpan w:val="4"/>
            <w:noWrap w:val="0"/>
            <w:vAlign w:val="center"/>
          </w:tcPr>
          <w:p>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367" w:type="dxa"/>
            <w:gridSpan w:val="2"/>
            <w:noWrap w:val="0"/>
            <w:vAlign w:val="center"/>
          </w:tcPr>
          <w:p>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条款内容</w:t>
            </w:r>
          </w:p>
        </w:tc>
        <w:tc>
          <w:tcPr>
            <w:tcW w:w="4862" w:type="dxa"/>
            <w:gridSpan w:val="2"/>
            <w:noWrap w:val="0"/>
            <w:vAlign w:val="center"/>
          </w:tcPr>
          <w:p>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951" w:type="dxa"/>
            <w:gridSpan w:val="4"/>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2.2.1</w:t>
            </w: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分值构成</w:t>
            </w:r>
          </w:p>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资信业绩部分：4</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xml:space="preserve"> 分；</w:t>
            </w:r>
          </w:p>
          <w:p>
            <w:pPr>
              <w:rPr>
                <w:rFonts w:ascii="宋体" w:hAnsi="宋体" w:cs="宋体"/>
                <w:color w:val="auto"/>
                <w:sz w:val="21"/>
                <w:szCs w:val="21"/>
                <w:highlight w:val="none"/>
              </w:rPr>
            </w:pPr>
            <w:r>
              <w:rPr>
                <w:rFonts w:hint="eastAsia" w:ascii="宋体" w:hAnsi="宋体" w:cs="宋体"/>
                <w:color w:val="auto"/>
                <w:sz w:val="21"/>
                <w:szCs w:val="21"/>
                <w:highlight w:val="none"/>
              </w:rPr>
              <w:t>监理大纲部分：3</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xml:space="preserve"> 分；</w:t>
            </w:r>
          </w:p>
          <w:p>
            <w:pPr>
              <w:rPr>
                <w:rFonts w:ascii="宋体" w:hAnsi="宋体" w:cs="宋体"/>
                <w:color w:val="auto"/>
                <w:sz w:val="21"/>
                <w:szCs w:val="21"/>
                <w:highlight w:val="none"/>
              </w:rPr>
            </w:pPr>
            <w:r>
              <w:rPr>
                <w:rFonts w:hint="eastAsia" w:ascii="宋体" w:hAnsi="宋体" w:cs="宋体"/>
                <w:color w:val="auto"/>
                <w:sz w:val="21"/>
                <w:szCs w:val="21"/>
                <w:highlight w:val="none"/>
              </w:rPr>
              <w:t>投标报价：</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 分；</w:t>
            </w:r>
          </w:p>
          <w:p>
            <w:pPr>
              <w:rPr>
                <w:rFonts w:ascii="宋体" w:hAnsi="宋体" w:cs="宋体"/>
                <w:color w:val="auto"/>
                <w:sz w:val="21"/>
                <w:szCs w:val="21"/>
                <w:highlight w:val="none"/>
              </w:rPr>
            </w:pPr>
            <w:r>
              <w:rPr>
                <w:rFonts w:hint="eastAsia" w:ascii="宋体" w:hAnsi="宋体" w:cs="宋体"/>
                <w:color w:val="auto"/>
                <w:sz w:val="21"/>
                <w:szCs w:val="21"/>
                <w:highlight w:val="none"/>
              </w:rPr>
              <w:t>其他评分因素：0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gridSpan w:val="4"/>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2.2.2</w:t>
            </w: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w:t>
            </w:r>
          </w:p>
        </w:tc>
        <w:tc>
          <w:tcPr>
            <w:tcW w:w="4862" w:type="dxa"/>
            <w:gridSpan w:val="2"/>
            <w:noWrap w:val="0"/>
            <w:vAlign w:val="center"/>
          </w:tcPr>
          <w:p>
            <w:pPr>
              <w:rPr>
                <w:rFonts w:ascii="宋体" w:hAnsi="宋体" w:cs="宋体"/>
                <w:bCs/>
                <w:color w:val="auto"/>
                <w:sz w:val="21"/>
                <w:szCs w:val="21"/>
                <w:highlight w:val="none"/>
              </w:rPr>
            </w:pPr>
            <w:r>
              <w:rPr>
                <w:rFonts w:hint="eastAsia" w:ascii="宋体" w:hAnsi="宋体" w:cs="宋体"/>
                <w:color w:val="auto"/>
                <w:sz w:val="21"/>
                <w:szCs w:val="21"/>
                <w:highlight w:val="none"/>
              </w:rPr>
              <w:t>当通过初步评审在位于[最高投标限价×</w:t>
            </w:r>
            <w:r>
              <w:rPr>
                <w:rFonts w:ascii="宋体" w:hAnsi="宋体" w:cs="宋体"/>
                <w:color w:val="auto"/>
                <w:sz w:val="21"/>
                <w:szCs w:val="21"/>
                <w:highlight w:val="none"/>
              </w:rPr>
              <w:t>80</w:t>
            </w:r>
            <w:r>
              <w:rPr>
                <w:rFonts w:hint="eastAsia" w:ascii="宋体" w:hAnsi="宋体" w:cs="宋体"/>
                <w:color w:val="auto"/>
                <w:sz w:val="21"/>
                <w:szCs w:val="21"/>
                <w:highlight w:val="none"/>
              </w:rPr>
              <w:t>%，最高投标限价]区间的投标价中的有效投标人大于5名时，去掉一个最高价和一个最低价，</w:t>
            </w:r>
            <w:r>
              <w:rPr>
                <w:rFonts w:hint="eastAsia" w:hAnsi="宋体" w:cs="宋体"/>
                <w:color w:val="auto"/>
                <w:kern w:val="2"/>
                <w:sz w:val="21"/>
                <w:szCs w:val="21"/>
                <w:highlight w:val="none"/>
                <w:lang w:val="en-US" w:eastAsia="zh-CN"/>
              </w:rPr>
              <w:t>如果出现并列最高或最低价，则只去掉1个最高或最低价，</w:t>
            </w:r>
            <w:r>
              <w:rPr>
                <w:rFonts w:hint="eastAsia" w:ascii="宋体" w:hAnsi="宋体" w:cs="宋体"/>
                <w:color w:val="auto"/>
                <w:sz w:val="21"/>
                <w:szCs w:val="21"/>
                <w:highlight w:val="none"/>
              </w:rPr>
              <w:t>取余下有效投标价的算术平均值的作为评标基准价。当通过初步评审在位于[最高投标限价×</w:t>
            </w:r>
            <w:r>
              <w:rPr>
                <w:rFonts w:ascii="宋体" w:hAnsi="宋体" w:cs="宋体"/>
                <w:color w:val="auto"/>
                <w:sz w:val="21"/>
                <w:szCs w:val="21"/>
                <w:highlight w:val="none"/>
              </w:rPr>
              <w:t>80</w:t>
            </w:r>
            <w:r>
              <w:rPr>
                <w:rFonts w:hint="eastAsia" w:ascii="宋体" w:hAnsi="宋体" w:cs="宋体"/>
                <w:color w:val="auto"/>
                <w:sz w:val="21"/>
                <w:szCs w:val="21"/>
                <w:highlight w:val="none"/>
              </w:rPr>
              <w:t>%，最高投标限价]区间的投标价中的有效投标人小于或等于5名时，取所有入围的有效投标价的算术平均值的作为评标基准价。若当通过初步评审没有投标价位于[最高投标限价×</w:t>
            </w:r>
            <w:r>
              <w:rPr>
                <w:rFonts w:ascii="宋体" w:hAnsi="宋体" w:cs="宋体"/>
                <w:color w:val="auto"/>
                <w:sz w:val="21"/>
                <w:szCs w:val="21"/>
                <w:highlight w:val="none"/>
              </w:rPr>
              <w:t>80</w:t>
            </w:r>
            <w:r>
              <w:rPr>
                <w:rFonts w:hint="eastAsia" w:ascii="宋体" w:hAnsi="宋体" w:cs="宋体"/>
                <w:color w:val="auto"/>
                <w:sz w:val="21"/>
                <w:szCs w:val="21"/>
                <w:highlight w:val="none"/>
              </w:rPr>
              <w:t>%，最高投标限价]区间的有效投标人，所有投标人的报价得分为0分</w:t>
            </w:r>
            <w:r>
              <w:rPr>
                <w:rFonts w:hint="eastAsia" w:hAnsi="宋体" w:cs="宋体"/>
                <w:color w:val="auto"/>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gridSpan w:val="4"/>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2.2.3</w:t>
            </w:r>
          </w:p>
        </w:tc>
        <w:tc>
          <w:tcPr>
            <w:tcW w:w="2367" w:type="dxa"/>
            <w:gridSpan w:val="2"/>
            <w:noWrap w:val="0"/>
            <w:vAlign w:val="center"/>
          </w:tcPr>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投标报价的偏差率</w:t>
            </w:r>
          </w:p>
          <w:p>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计算公式</w:t>
            </w:r>
          </w:p>
        </w:tc>
        <w:tc>
          <w:tcPr>
            <w:tcW w:w="4862" w:type="dxa"/>
            <w:gridSpan w:val="2"/>
            <w:noWrap w:val="0"/>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偏差率=100% ×|（投标人投标价-评标基准价）|/评标基准价</w:t>
            </w:r>
          </w:p>
          <w:p>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（偏差率以四舍五入保留1位小数点）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4"/>
            <w:noWrap/>
            <w:vAlign w:val="center"/>
          </w:tcPr>
          <w:p>
            <w:pPr>
              <w:spacing w:line="4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367" w:type="dxa"/>
            <w:gridSpan w:val="2"/>
            <w:noWrap/>
            <w:vAlign w:val="center"/>
          </w:tcPr>
          <w:p>
            <w:pPr>
              <w:spacing w:line="4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评分因素（偏差率）</w:t>
            </w:r>
          </w:p>
        </w:tc>
        <w:tc>
          <w:tcPr>
            <w:tcW w:w="4862" w:type="dxa"/>
            <w:gridSpan w:val="2"/>
            <w:noWrap/>
            <w:vAlign w:val="center"/>
          </w:tcPr>
          <w:p>
            <w:pPr>
              <w:spacing w:line="4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90" w:hRule="atLeast"/>
        </w:trPr>
        <w:tc>
          <w:tcPr>
            <w:tcW w:w="988" w:type="dxa"/>
            <w:gridSpan w:val="2"/>
            <w:vMerge w:val="restart"/>
            <w:noWrap w:val="0"/>
            <w:vAlign w:val="center"/>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2.2.4（1）</w:t>
            </w:r>
          </w:p>
        </w:tc>
        <w:tc>
          <w:tcPr>
            <w:tcW w:w="960" w:type="dxa"/>
            <w:gridSpan w:val="2"/>
            <w:vMerge w:val="restart"/>
            <w:noWrap w:val="0"/>
            <w:vAlign w:val="center"/>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资信业绩评分标准（4</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2359" w:type="dxa"/>
            <w:noWrap w:val="0"/>
            <w:vAlign w:val="center"/>
          </w:tcPr>
          <w:p>
            <w:pPr>
              <w:spacing w:before="100" w:beforeAutospacing="1" w:after="100" w:afterAutospacing="1"/>
              <w:jc w:val="center"/>
              <w:rPr>
                <w:rFonts w:ascii="宋体" w:hAnsi="宋体" w:cs="宋体"/>
                <w:color w:val="auto"/>
                <w:sz w:val="21"/>
                <w:szCs w:val="21"/>
                <w:highlight w:val="none"/>
              </w:rPr>
            </w:pPr>
            <w:r>
              <w:rPr>
                <w:rFonts w:hint="eastAsia" w:ascii="宋体" w:hAnsi="宋体" w:cs="宋体"/>
                <w:color w:val="auto"/>
                <w:sz w:val="21"/>
                <w:szCs w:val="21"/>
                <w:highlight w:val="none"/>
              </w:rPr>
              <w:t>企业综合能力及信誉（</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分）</w:t>
            </w:r>
          </w:p>
        </w:tc>
        <w:tc>
          <w:tcPr>
            <w:tcW w:w="4832" w:type="dxa"/>
            <w:noWrap w:val="0"/>
            <w:vAlign w:val="center"/>
          </w:tcPr>
          <w:p>
            <w:pPr>
              <w:ind w:leftChars="-10" w:hanging="21" w:hangingChars="10"/>
              <w:jc w:val="left"/>
              <w:rPr>
                <w:rFonts w:ascii="宋体" w:hAnsi="宋体" w:cs="宋体"/>
                <w:color w:val="auto"/>
                <w:sz w:val="21"/>
                <w:szCs w:val="21"/>
                <w:highlight w:val="none"/>
              </w:rPr>
            </w:pPr>
            <w:r>
              <w:rPr>
                <w:rFonts w:hint="eastAsia" w:ascii="宋体" w:hAnsi="宋体" w:cs="宋体"/>
                <w:color w:val="auto"/>
                <w:sz w:val="21"/>
                <w:szCs w:val="21"/>
                <w:highlight w:val="none"/>
              </w:rPr>
              <w:t>1、ISO认证（</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r>
              <w:rPr>
                <w:rFonts w:hint="eastAsia" w:ascii="宋体" w:hAnsi="宋体"/>
                <w:color w:val="auto"/>
                <w:sz w:val="21"/>
                <w:szCs w:val="21"/>
                <w:highlight w:val="none"/>
              </w:rPr>
              <w:t>获得环境管理体系认证的得</w:t>
            </w:r>
            <w:r>
              <w:rPr>
                <w:rFonts w:hint="eastAsia" w:ascii="宋体" w:hAnsi="宋体"/>
                <w:color w:val="auto"/>
                <w:sz w:val="21"/>
                <w:szCs w:val="21"/>
                <w:highlight w:val="none"/>
                <w:u w:val="single"/>
              </w:rPr>
              <w:t xml:space="preserve"> 1</w:t>
            </w:r>
            <w:r>
              <w:rPr>
                <w:rFonts w:hint="eastAsia" w:ascii="宋体" w:hAnsi="宋体"/>
                <w:color w:val="auto"/>
                <w:sz w:val="21"/>
                <w:szCs w:val="21"/>
                <w:highlight w:val="none"/>
              </w:rPr>
              <w:t>分、职业健康安全管理体系认证的得</w:t>
            </w:r>
            <w:r>
              <w:rPr>
                <w:rFonts w:hint="eastAsia" w:ascii="宋体" w:hAnsi="宋体"/>
                <w:color w:val="auto"/>
                <w:sz w:val="21"/>
                <w:szCs w:val="21"/>
                <w:highlight w:val="none"/>
                <w:u w:val="single"/>
              </w:rPr>
              <w:t xml:space="preserve"> 1</w:t>
            </w:r>
            <w:r>
              <w:rPr>
                <w:rFonts w:hint="eastAsia" w:ascii="宋体" w:hAnsi="宋体"/>
                <w:color w:val="auto"/>
                <w:sz w:val="21"/>
                <w:szCs w:val="21"/>
                <w:highlight w:val="none"/>
              </w:rPr>
              <w:t>分、质量管理体系认证的得</w:t>
            </w:r>
            <w:r>
              <w:rPr>
                <w:rFonts w:hint="eastAsia" w:ascii="宋体" w:hAnsi="宋体"/>
                <w:color w:val="auto"/>
                <w:sz w:val="21"/>
                <w:szCs w:val="21"/>
                <w:highlight w:val="none"/>
                <w:u w:val="single"/>
              </w:rPr>
              <w:t xml:space="preserve"> 1</w:t>
            </w:r>
            <w:r>
              <w:rPr>
                <w:rFonts w:hint="eastAsia" w:ascii="宋体" w:hAnsi="宋体"/>
                <w:color w:val="auto"/>
                <w:sz w:val="21"/>
                <w:szCs w:val="21"/>
                <w:highlight w:val="none"/>
              </w:rPr>
              <w:t>分</w:t>
            </w:r>
            <w:r>
              <w:rPr>
                <w:rFonts w:hint="eastAsia"/>
                <w:color w:val="auto"/>
                <w:sz w:val="21"/>
                <w:szCs w:val="21"/>
                <w:highlight w:val="none"/>
              </w:rPr>
              <w:t>，除上述</w:t>
            </w:r>
            <w:r>
              <w:rPr>
                <w:rFonts w:hint="eastAsia"/>
                <w:color w:val="auto"/>
                <w:sz w:val="21"/>
                <w:szCs w:val="21"/>
                <w:highlight w:val="none"/>
                <w:lang w:val="en-US" w:eastAsia="zh-CN"/>
              </w:rPr>
              <w:t>3</w:t>
            </w:r>
            <w:r>
              <w:rPr>
                <w:rFonts w:hint="eastAsia"/>
                <w:color w:val="auto"/>
                <w:sz w:val="21"/>
                <w:szCs w:val="21"/>
                <w:highlight w:val="none"/>
              </w:rPr>
              <w:t>项管理体系认证证书外的每增加一项管理体系认证证书的加</w:t>
            </w:r>
            <w:r>
              <w:rPr>
                <w:color w:val="auto"/>
                <w:sz w:val="21"/>
                <w:szCs w:val="21"/>
                <w:highlight w:val="none"/>
              </w:rPr>
              <w:t>1</w:t>
            </w:r>
            <w:r>
              <w:rPr>
                <w:rFonts w:hint="eastAsia"/>
                <w:color w:val="auto"/>
                <w:sz w:val="21"/>
                <w:szCs w:val="21"/>
                <w:highlight w:val="none"/>
              </w:rPr>
              <w:t>分，最多加</w:t>
            </w:r>
            <w:r>
              <w:rPr>
                <w:rFonts w:hint="eastAsia"/>
                <w:color w:val="auto"/>
                <w:sz w:val="21"/>
                <w:szCs w:val="21"/>
                <w:highlight w:val="none"/>
                <w:lang w:val="en-US" w:eastAsia="zh-CN"/>
              </w:rPr>
              <w:t>5</w:t>
            </w:r>
            <w:r>
              <w:rPr>
                <w:rFonts w:hint="eastAsia"/>
                <w:color w:val="auto"/>
                <w:sz w:val="21"/>
                <w:szCs w:val="21"/>
                <w:highlight w:val="none"/>
              </w:rPr>
              <w:t>分，最多得</w:t>
            </w:r>
            <w:r>
              <w:rPr>
                <w:color w:val="auto"/>
                <w:sz w:val="21"/>
                <w:szCs w:val="21"/>
                <w:highlight w:val="none"/>
              </w:rPr>
              <w:t>8</w:t>
            </w:r>
            <w:r>
              <w:rPr>
                <w:rFonts w:hint="eastAsia"/>
                <w:color w:val="auto"/>
                <w:sz w:val="21"/>
                <w:szCs w:val="21"/>
                <w:highlight w:val="none"/>
              </w:rPr>
              <w:t>分</w:t>
            </w:r>
            <w:r>
              <w:rPr>
                <w:rFonts w:hint="eastAsia" w:ascii="宋体" w:hAnsi="宋体" w:cs="宋体"/>
                <w:color w:val="auto"/>
                <w:sz w:val="21"/>
                <w:szCs w:val="21"/>
                <w:highlight w:val="none"/>
              </w:rPr>
              <w:t>。</w:t>
            </w:r>
          </w:p>
          <w:p>
            <w:pPr>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2、A级纳税人（</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分）：投标人曾经连续获得过“纳税信用A级纳税人”称号（须含202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评审年度）的：连续获得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个年度的</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分；连续获得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个年度的，得2分；获得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个年度的，得1分；其他不得分。最多得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pPr>
              <w:contextualSpacing/>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3、企业信誉（4分）：</w:t>
            </w:r>
          </w:p>
          <w:p>
            <w:pPr>
              <w:contextualSpacing/>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投标人连续（必须含</w:t>
            </w:r>
            <w:r>
              <w:rPr>
                <w:rFonts w:hint="eastAsia" w:ascii="宋体" w:hAnsi="宋体" w:cs="宋体"/>
                <w:color w:val="auto"/>
                <w:sz w:val="21"/>
                <w:szCs w:val="21"/>
                <w:highlight w:val="none"/>
                <w:lang w:val="en-US" w:eastAsia="zh-CN"/>
              </w:rPr>
              <w:t>2022年</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年（含）以上被评为省级或以上“诚信示范企业”或“诚信兴商”单位得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pPr>
              <w:contextualSpacing/>
              <w:jc w:val="left"/>
              <w:rPr>
                <w:rFonts w:hint="eastAsia"/>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投标人连续（必须含</w:t>
            </w:r>
            <w:r>
              <w:rPr>
                <w:rFonts w:hint="eastAsia" w:ascii="宋体" w:hAnsi="宋体" w:cs="宋体"/>
                <w:color w:val="auto"/>
                <w:sz w:val="21"/>
                <w:szCs w:val="21"/>
                <w:highlight w:val="none"/>
                <w:lang w:val="en-US" w:eastAsia="zh-CN"/>
              </w:rPr>
              <w:t>2022年</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年（含）以上被评为省级或以上“诚信示范企业”或“诚信兴商”单位得2分；</w:t>
            </w:r>
          </w:p>
          <w:p>
            <w:pPr>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投标人连续（必须含</w:t>
            </w:r>
            <w:r>
              <w:rPr>
                <w:rFonts w:hint="eastAsia" w:ascii="宋体" w:hAnsi="宋体" w:eastAsia="宋体" w:cs="宋体"/>
                <w:color w:val="auto"/>
                <w:sz w:val="21"/>
                <w:szCs w:val="21"/>
                <w:highlight w:val="none"/>
                <w:lang w:val="en-US" w:eastAsia="zh-CN"/>
              </w:rPr>
              <w:t>2022年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含）以下被评为省级或以上“诚信示范企业”或“诚信兴商”单位得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contextualSpacing/>
              <w:jc w:val="left"/>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4、企业创新能力（2分）：投标人被认定为“高新技术企业”且在有效期内的得2分，没有不得分。</w:t>
            </w:r>
            <w:r>
              <w:rPr>
                <w:rFonts w:hint="eastAsia" w:ascii="宋体" w:hAnsi="宋体" w:eastAsia="宋体" w:cs="宋体"/>
                <w:color w:val="auto"/>
                <w:sz w:val="21"/>
                <w:szCs w:val="21"/>
                <w:highlight w:val="none"/>
              </w:rPr>
              <w:t>最多得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2571"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vAlign w:val="center"/>
          </w:tcPr>
          <w:p>
            <w:pPr>
              <w:widowControl/>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项目业绩及获奖</w:t>
            </w:r>
          </w:p>
          <w:p>
            <w:pPr>
              <w:widowControl/>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4832" w:type="dxa"/>
            <w:noWrap w:val="0"/>
            <w:vAlign w:val="center"/>
          </w:tcPr>
          <w:p>
            <w:pPr>
              <w:ind w:leftChars="-10" w:hanging="21" w:hangingChars="10"/>
              <w:jc w:val="left"/>
              <w:rPr>
                <w:color w:val="auto"/>
                <w:sz w:val="21"/>
                <w:szCs w:val="21"/>
                <w:highlight w:val="none"/>
              </w:rPr>
            </w:pPr>
            <w:r>
              <w:rPr>
                <w:rFonts w:hint="eastAsia"/>
                <w:color w:val="auto"/>
                <w:sz w:val="21"/>
                <w:szCs w:val="21"/>
                <w:highlight w:val="none"/>
              </w:rPr>
              <w:t>1、监理业绩：自2019年1月1日至今完成过质量合格的类似工程监理业绩，每项得</w:t>
            </w:r>
            <w:r>
              <w:rPr>
                <w:rFonts w:hint="eastAsia"/>
                <w:color w:val="auto"/>
                <w:sz w:val="21"/>
                <w:szCs w:val="21"/>
                <w:highlight w:val="none"/>
                <w:lang w:val="en-US" w:eastAsia="zh-CN"/>
              </w:rPr>
              <w:t>0.5</w:t>
            </w:r>
            <w:r>
              <w:rPr>
                <w:rFonts w:hint="eastAsia"/>
                <w:color w:val="auto"/>
                <w:sz w:val="21"/>
                <w:szCs w:val="21"/>
                <w:highlight w:val="none"/>
              </w:rPr>
              <w:t>分，最多得</w:t>
            </w:r>
            <w:r>
              <w:rPr>
                <w:rFonts w:hint="eastAsia"/>
                <w:color w:val="auto"/>
                <w:sz w:val="21"/>
                <w:szCs w:val="21"/>
                <w:highlight w:val="none"/>
                <w:lang w:val="en-US" w:eastAsia="zh-CN"/>
              </w:rPr>
              <w:t>2</w:t>
            </w:r>
            <w:r>
              <w:rPr>
                <w:rFonts w:hint="eastAsia"/>
                <w:color w:val="auto"/>
                <w:sz w:val="21"/>
                <w:szCs w:val="21"/>
                <w:highlight w:val="none"/>
              </w:rPr>
              <w:t>分。</w:t>
            </w:r>
          </w:p>
          <w:p>
            <w:pPr>
              <w:ind w:leftChars="-10" w:hanging="21" w:hangingChars="10"/>
              <w:jc w:val="left"/>
              <w:rPr>
                <w:color w:val="auto"/>
                <w:sz w:val="21"/>
                <w:szCs w:val="21"/>
                <w:highlight w:val="none"/>
              </w:rPr>
            </w:pPr>
            <w:r>
              <w:rPr>
                <w:rFonts w:hint="eastAsia"/>
                <w:color w:val="auto"/>
                <w:sz w:val="21"/>
                <w:szCs w:val="21"/>
                <w:highlight w:val="none"/>
              </w:rPr>
              <w:t>2、获奖监理业绩：</w:t>
            </w:r>
            <w:r>
              <w:rPr>
                <w:rFonts w:hint="eastAsia"/>
                <w:color w:val="auto"/>
                <w:sz w:val="21"/>
                <w:szCs w:val="21"/>
                <w:highlight w:val="none"/>
                <w:lang w:val="zh-CN"/>
              </w:rPr>
              <w:t>自201</w:t>
            </w:r>
            <w:r>
              <w:rPr>
                <w:rFonts w:hint="eastAsia"/>
                <w:color w:val="auto"/>
                <w:sz w:val="21"/>
                <w:szCs w:val="21"/>
                <w:highlight w:val="none"/>
              </w:rPr>
              <w:t>9</w:t>
            </w:r>
            <w:r>
              <w:rPr>
                <w:rFonts w:hint="eastAsia"/>
                <w:color w:val="auto"/>
                <w:sz w:val="21"/>
                <w:szCs w:val="21"/>
                <w:highlight w:val="none"/>
                <w:lang w:val="zh-CN"/>
              </w:rPr>
              <w:t>年1月1日至今完成过的</w:t>
            </w:r>
            <w:r>
              <w:rPr>
                <w:rFonts w:hint="eastAsia"/>
                <w:color w:val="auto"/>
                <w:sz w:val="21"/>
                <w:szCs w:val="21"/>
                <w:highlight w:val="none"/>
              </w:rPr>
              <w:t>房屋建筑</w:t>
            </w:r>
            <w:r>
              <w:rPr>
                <w:rFonts w:hint="eastAsia"/>
                <w:color w:val="auto"/>
                <w:sz w:val="21"/>
                <w:szCs w:val="21"/>
                <w:highlight w:val="none"/>
                <w:lang w:val="zh-CN"/>
              </w:rPr>
              <w:t>工程获得国家级奖项的，每项得</w:t>
            </w:r>
            <w:r>
              <w:rPr>
                <w:rFonts w:hint="eastAsia"/>
                <w:color w:val="auto"/>
                <w:sz w:val="21"/>
                <w:szCs w:val="21"/>
                <w:highlight w:val="none"/>
              </w:rPr>
              <w:t>2</w:t>
            </w:r>
            <w:r>
              <w:rPr>
                <w:rFonts w:hint="eastAsia"/>
                <w:color w:val="auto"/>
                <w:sz w:val="21"/>
                <w:szCs w:val="21"/>
                <w:highlight w:val="none"/>
                <w:lang w:val="zh-CN"/>
              </w:rPr>
              <w:t>分；获得省级奖项的，每项得</w:t>
            </w:r>
            <w:r>
              <w:rPr>
                <w:rFonts w:hint="eastAsia"/>
                <w:color w:val="auto"/>
                <w:sz w:val="21"/>
                <w:szCs w:val="21"/>
                <w:highlight w:val="none"/>
              </w:rPr>
              <w:t>1</w:t>
            </w:r>
            <w:r>
              <w:rPr>
                <w:rFonts w:hint="eastAsia"/>
                <w:color w:val="auto"/>
                <w:sz w:val="21"/>
                <w:szCs w:val="21"/>
                <w:highlight w:val="none"/>
                <w:lang w:val="zh-CN"/>
              </w:rPr>
              <w:t>分；获得市级奖项的，每项得</w:t>
            </w:r>
            <w:r>
              <w:rPr>
                <w:rFonts w:hint="eastAsia"/>
                <w:color w:val="auto"/>
                <w:sz w:val="21"/>
                <w:szCs w:val="21"/>
                <w:highlight w:val="none"/>
              </w:rPr>
              <w:t>0.5</w:t>
            </w:r>
            <w:r>
              <w:rPr>
                <w:rFonts w:hint="eastAsia"/>
                <w:color w:val="auto"/>
                <w:sz w:val="21"/>
                <w:szCs w:val="21"/>
                <w:highlight w:val="none"/>
                <w:lang w:val="zh-CN"/>
              </w:rPr>
              <w:t>分，最多得</w:t>
            </w:r>
            <w:r>
              <w:rPr>
                <w:rFonts w:hint="eastAsia"/>
                <w:color w:val="auto"/>
                <w:sz w:val="21"/>
                <w:szCs w:val="21"/>
                <w:highlight w:val="none"/>
                <w:lang w:val="en-US" w:eastAsia="zh-CN"/>
              </w:rPr>
              <w:t>8</w:t>
            </w:r>
            <w:r>
              <w:rPr>
                <w:rFonts w:hint="eastAsia"/>
                <w:color w:val="auto"/>
                <w:sz w:val="21"/>
                <w:szCs w:val="21"/>
                <w:highlight w:val="none"/>
                <w:lang w:val="zh-CN"/>
              </w:rPr>
              <w:t>分。</w:t>
            </w:r>
          </w:p>
          <w:p>
            <w:pPr>
              <w:ind w:leftChars="-10" w:hanging="21" w:hangingChars="10"/>
              <w:jc w:val="left"/>
              <w:rPr>
                <w:color w:val="auto"/>
                <w:sz w:val="21"/>
                <w:szCs w:val="21"/>
                <w:highlight w:val="none"/>
              </w:rPr>
            </w:pPr>
            <w:r>
              <w:rPr>
                <w:rFonts w:hint="eastAsia"/>
                <w:color w:val="auto"/>
                <w:sz w:val="21"/>
                <w:szCs w:val="21"/>
                <w:highlight w:val="none"/>
              </w:rPr>
              <w:t>本项最多得</w:t>
            </w:r>
            <w:r>
              <w:rPr>
                <w:rFonts w:hint="eastAsia"/>
                <w:color w:val="auto"/>
                <w:sz w:val="21"/>
                <w:szCs w:val="21"/>
                <w:highlight w:val="none"/>
                <w:lang w:val="en-US" w:eastAsia="zh-CN"/>
              </w:rPr>
              <w:t>10</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1879"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总监理工程师资历</w:t>
            </w:r>
          </w:p>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w:t>
            </w:r>
          </w:p>
        </w:tc>
        <w:tc>
          <w:tcPr>
            <w:tcW w:w="4832" w:type="dxa"/>
            <w:noWrap w:val="0"/>
            <w:vAlign w:val="center"/>
          </w:tcPr>
          <w:p>
            <w:pPr>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zh-CN"/>
              </w:rPr>
              <w:t>1、</w:t>
            </w:r>
            <w:r>
              <w:rPr>
                <w:rFonts w:hint="eastAsia" w:ascii="宋体" w:hAnsi="宋体"/>
                <w:color w:val="auto"/>
                <w:sz w:val="21"/>
                <w:szCs w:val="21"/>
                <w:highlight w:val="none"/>
                <w:lang w:val="en-US" w:eastAsia="zh-CN"/>
              </w:rPr>
              <w:t xml:space="preserve">具有高级或以上技术职称的，得2分，中级技术职称得1分； </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hint="eastAsia" w:ascii="宋体" w:hAnsi="宋体"/>
                <w:color w:val="auto"/>
                <w:sz w:val="21"/>
                <w:szCs w:val="21"/>
                <w:highlight w:val="none"/>
                <w:lang w:val="zh-CN"/>
              </w:rPr>
              <w:t>具有以下有效证书之一的，得1分：</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（1）</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lang w:val="zh-CN"/>
              </w:rPr>
              <w:t>级注册造价工程师；</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（2）咨询工程师（投资）；</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（3）一级注册建造师；</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（4）注册安全工程师证书；</w:t>
            </w:r>
          </w:p>
          <w:p>
            <w:pPr>
              <w:jc w:val="left"/>
              <w:rPr>
                <w:rFonts w:ascii="宋体" w:hAnsi="宋体"/>
                <w:color w:val="auto"/>
                <w:sz w:val="21"/>
                <w:szCs w:val="21"/>
                <w:highlight w:val="none"/>
                <w:lang w:val="zh-CN"/>
              </w:rPr>
            </w:pPr>
            <w:r>
              <w:rPr>
                <w:rFonts w:hint="eastAsia" w:ascii="宋体" w:hAnsi="宋体"/>
                <w:color w:val="auto"/>
                <w:sz w:val="21"/>
                <w:szCs w:val="21"/>
                <w:highlight w:val="none"/>
                <w:lang w:val="zh-CN"/>
              </w:rPr>
              <w:t>（备注：上述证书的注册单位须为投标人单位。）</w:t>
            </w:r>
          </w:p>
          <w:p>
            <w:pPr>
              <w:spacing w:line="380" w:lineRule="exact"/>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、自2019年1月1日至今</w:t>
            </w:r>
            <w:r>
              <w:rPr>
                <w:rFonts w:hint="eastAsia" w:ascii="宋体" w:hAnsi="宋体"/>
                <w:color w:val="auto"/>
                <w:sz w:val="21"/>
                <w:szCs w:val="21"/>
                <w:highlight w:val="none"/>
                <w:lang w:val="en-US" w:eastAsia="zh-CN"/>
              </w:rPr>
              <w:t>作为</w:t>
            </w:r>
            <w:r>
              <w:rPr>
                <w:rFonts w:hint="eastAsia" w:ascii="宋体" w:hAnsi="宋体"/>
                <w:color w:val="auto"/>
                <w:sz w:val="21"/>
                <w:szCs w:val="21"/>
                <w:highlight w:val="none"/>
              </w:rPr>
              <w:t>总监理工程师完成过质量合格的类似工程获得过国家级奖项的得</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完成过质量合格的类似工程获得过</w:t>
            </w:r>
            <w:r>
              <w:rPr>
                <w:rFonts w:hint="eastAsia" w:ascii="宋体" w:hAnsi="宋体"/>
                <w:color w:val="auto"/>
                <w:sz w:val="21"/>
                <w:szCs w:val="21"/>
                <w:highlight w:val="none"/>
                <w:lang w:val="en-US" w:eastAsia="zh-CN"/>
              </w:rPr>
              <w:t>省</w:t>
            </w:r>
            <w:r>
              <w:rPr>
                <w:rFonts w:hint="eastAsia" w:ascii="宋体" w:hAnsi="宋体"/>
                <w:color w:val="auto"/>
                <w:sz w:val="21"/>
                <w:szCs w:val="21"/>
                <w:highlight w:val="none"/>
              </w:rPr>
              <w:t>级奖项的得</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备注：本项按最高项目奖项计一次，不累计加分</w:t>
            </w:r>
            <w:r>
              <w:rPr>
                <w:rFonts w:hint="eastAsia" w:ascii="宋体" w:hAnsi="宋体"/>
                <w:color w:val="auto"/>
                <w:sz w:val="21"/>
                <w:szCs w:val="21"/>
                <w:highlight w:val="none"/>
                <w:lang w:eastAsia="zh-CN"/>
              </w:rPr>
              <w:t>）</w:t>
            </w:r>
          </w:p>
          <w:p>
            <w:pPr>
              <w:jc w:val="left"/>
              <w:rPr>
                <w:rFonts w:hint="eastAsia"/>
                <w:color w:val="auto"/>
                <w:sz w:val="21"/>
                <w:szCs w:val="21"/>
                <w:highlight w:val="none"/>
                <w:lang w:eastAsia="zh-CN"/>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val="zh-CN"/>
              </w:rPr>
              <w:t>自</w:t>
            </w:r>
            <w:r>
              <w:rPr>
                <w:rFonts w:hint="eastAsia" w:ascii="宋体" w:hAnsi="宋体"/>
                <w:color w:val="auto"/>
                <w:sz w:val="21"/>
                <w:szCs w:val="21"/>
                <w:highlight w:val="none"/>
              </w:rPr>
              <w:t>2019年1月1日至今获得过市级</w:t>
            </w:r>
            <w:r>
              <w:rPr>
                <w:rFonts w:hint="eastAsia" w:ascii="宋体" w:hAnsi="宋体"/>
                <w:color w:val="auto"/>
                <w:sz w:val="21"/>
                <w:szCs w:val="21"/>
                <w:highlight w:val="none"/>
                <w:lang w:val="en-US" w:eastAsia="zh-CN"/>
              </w:rPr>
              <w:t>或以上</w:t>
            </w:r>
            <w:r>
              <w:rPr>
                <w:rFonts w:hint="eastAsia" w:ascii="宋体" w:hAnsi="宋体"/>
                <w:color w:val="auto"/>
                <w:sz w:val="21"/>
                <w:szCs w:val="21"/>
                <w:highlight w:val="none"/>
              </w:rPr>
              <w:t>优秀总监理工程师称号的</w:t>
            </w:r>
            <w:r>
              <w:rPr>
                <w:rFonts w:hint="eastAsia" w:ascii="宋体" w:hAnsi="宋体"/>
                <w:color w:val="auto"/>
                <w:sz w:val="21"/>
                <w:szCs w:val="21"/>
                <w:highlight w:val="none"/>
                <w:lang w:val="zh-CN"/>
              </w:rPr>
              <w:t>，得</w:t>
            </w:r>
            <w:r>
              <w:rPr>
                <w:rFonts w:hint="eastAsia" w:ascii="宋体" w:hAnsi="宋体"/>
                <w:color w:val="auto"/>
                <w:sz w:val="21"/>
                <w:szCs w:val="21"/>
                <w:highlight w:val="none"/>
              </w:rPr>
              <w:t>1</w:t>
            </w:r>
            <w:r>
              <w:rPr>
                <w:rFonts w:hint="eastAsia" w:ascii="宋体" w:hAnsi="宋体"/>
                <w:color w:val="auto"/>
                <w:sz w:val="21"/>
                <w:szCs w:val="21"/>
                <w:highlight w:val="none"/>
                <w:lang w:val="zh-CN"/>
              </w:rPr>
              <w:t>分。</w:t>
            </w:r>
          </w:p>
          <w:p>
            <w:pPr>
              <w:ind w:left="-21" w:leftChars="-10"/>
              <w:jc w:val="left"/>
              <w:rPr>
                <w:rFonts w:ascii="宋体" w:hAnsi="宋体" w:cs="宋体"/>
                <w:color w:val="auto"/>
                <w:sz w:val="21"/>
                <w:szCs w:val="21"/>
                <w:highlight w:val="none"/>
              </w:rPr>
            </w:pPr>
            <w:r>
              <w:rPr>
                <w:rFonts w:hint="eastAsia" w:ascii="宋体" w:hAnsi="宋体"/>
                <w:color w:val="auto"/>
                <w:sz w:val="21"/>
                <w:szCs w:val="21"/>
                <w:highlight w:val="none"/>
                <w:lang w:val="en-US" w:eastAsia="zh-CN"/>
              </w:rPr>
              <w:t>本项最多得7分。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1833"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总监代表资历</w:t>
            </w:r>
          </w:p>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4832" w:type="dxa"/>
            <w:noWrap w:val="0"/>
            <w:vAlign w:val="center"/>
          </w:tcPr>
          <w:p>
            <w:pPr>
              <w:numPr>
                <w:ilvl w:val="0"/>
                <w:numId w:val="3"/>
              </w:numPr>
              <w:jc w:val="left"/>
              <w:rPr>
                <w:rFonts w:hint="eastAsia" w:ascii="宋体" w:hAnsi="宋体"/>
                <w:color w:val="auto"/>
                <w:sz w:val="21"/>
                <w:szCs w:val="21"/>
                <w:highlight w:val="none"/>
              </w:rPr>
            </w:pPr>
            <w:r>
              <w:rPr>
                <w:rFonts w:hint="eastAsia" w:ascii="宋体" w:hAnsi="宋体"/>
                <w:color w:val="auto"/>
                <w:sz w:val="21"/>
                <w:szCs w:val="21"/>
                <w:highlight w:val="none"/>
              </w:rPr>
              <w:t>具有高级或以上技术职称的，得</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w:t>
            </w:r>
            <w:r>
              <w:rPr>
                <w:rFonts w:hint="eastAsia" w:ascii="宋体" w:hAnsi="宋体"/>
                <w:color w:val="auto"/>
                <w:sz w:val="21"/>
                <w:szCs w:val="21"/>
                <w:highlight w:val="none"/>
                <w:lang w:val="en-US" w:eastAsia="zh-CN"/>
              </w:rPr>
              <w:t>，中级技术职称得1分</w:t>
            </w:r>
            <w:r>
              <w:rPr>
                <w:rFonts w:hint="eastAsia" w:ascii="宋体" w:hAnsi="宋体"/>
                <w:color w:val="auto"/>
                <w:sz w:val="21"/>
                <w:szCs w:val="21"/>
                <w:highlight w:val="none"/>
              </w:rPr>
              <w:t>；</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hint="eastAsia" w:ascii="宋体" w:hAnsi="宋体"/>
                <w:color w:val="auto"/>
                <w:sz w:val="21"/>
                <w:szCs w:val="21"/>
                <w:highlight w:val="none"/>
                <w:lang w:val="zh-CN"/>
              </w:rPr>
              <w:t>具有以下有效证书之一的，得1分：</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（1）</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lang w:val="zh-CN"/>
              </w:rPr>
              <w:t>级注册造价工程师；</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（2）咨询工程师（投资）；</w:t>
            </w:r>
          </w:p>
          <w:p>
            <w:pPr>
              <w:jc w:val="left"/>
              <w:rPr>
                <w:rFonts w:hint="eastAsia" w:ascii="宋体" w:hAnsi="宋体"/>
                <w:color w:val="auto"/>
                <w:sz w:val="21"/>
                <w:szCs w:val="21"/>
                <w:highlight w:val="none"/>
                <w:lang w:val="zh-CN"/>
              </w:rPr>
            </w:pPr>
            <w:r>
              <w:rPr>
                <w:rFonts w:hint="eastAsia" w:ascii="宋体" w:hAnsi="宋体"/>
                <w:color w:val="auto"/>
                <w:sz w:val="21"/>
                <w:szCs w:val="21"/>
                <w:highlight w:val="none"/>
                <w:lang w:val="zh-CN"/>
              </w:rPr>
              <w:t>（3）一级注册建造师；</w:t>
            </w:r>
          </w:p>
          <w:p>
            <w:pPr>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zh-CN"/>
              </w:rPr>
              <w:t>（4）注册安全工程师证书。</w:t>
            </w:r>
          </w:p>
          <w:p>
            <w:pPr>
              <w:jc w:val="left"/>
              <w:rPr>
                <w:color w:val="auto"/>
                <w:sz w:val="21"/>
                <w:szCs w:val="21"/>
                <w:highlight w:val="none"/>
              </w:rPr>
            </w:pPr>
            <w:r>
              <w:rPr>
                <w:rFonts w:hint="eastAsia" w:ascii="宋体" w:hAnsi="宋体"/>
                <w:color w:val="auto"/>
                <w:sz w:val="21"/>
                <w:szCs w:val="21"/>
                <w:highlight w:val="none"/>
                <w:lang w:val="zh-CN"/>
              </w:rPr>
              <w:t>（备注：上述证书的注册单位须为投标人单位。）</w:t>
            </w:r>
          </w:p>
          <w:p>
            <w:pPr>
              <w:spacing w:line="38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color w:val="auto"/>
                <w:sz w:val="21"/>
                <w:szCs w:val="21"/>
                <w:highlight w:val="none"/>
                <w:lang w:val="zh-CN"/>
              </w:rPr>
              <w:t>自</w:t>
            </w:r>
            <w:r>
              <w:rPr>
                <w:rFonts w:hint="eastAsia" w:ascii="宋体" w:hAnsi="宋体"/>
                <w:color w:val="auto"/>
                <w:sz w:val="21"/>
                <w:szCs w:val="21"/>
                <w:highlight w:val="none"/>
              </w:rPr>
              <w:t>2019年1月1日至今</w:t>
            </w:r>
            <w:r>
              <w:rPr>
                <w:rFonts w:hint="eastAsia" w:ascii="宋体" w:hAnsi="宋体"/>
                <w:color w:val="auto"/>
                <w:sz w:val="21"/>
                <w:szCs w:val="21"/>
                <w:highlight w:val="none"/>
                <w:lang w:val="en-US" w:eastAsia="zh-CN"/>
              </w:rPr>
              <w:t>获得过</w:t>
            </w:r>
            <w:r>
              <w:rPr>
                <w:rFonts w:hint="eastAsia" w:ascii="宋体" w:hAnsi="宋体"/>
                <w:color w:val="auto"/>
                <w:sz w:val="21"/>
                <w:szCs w:val="21"/>
                <w:highlight w:val="none"/>
              </w:rPr>
              <w:t>市级</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或以上）</w:t>
            </w:r>
            <w:r>
              <w:rPr>
                <w:rFonts w:hint="eastAsia" w:ascii="宋体" w:hAnsi="宋体"/>
                <w:color w:val="auto"/>
                <w:sz w:val="21"/>
                <w:szCs w:val="21"/>
                <w:highlight w:val="none"/>
              </w:rPr>
              <w:t>优秀监理工程师或</w:t>
            </w:r>
            <w:r>
              <w:rPr>
                <w:rFonts w:hint="eastAsia" w:ascii="宋体" w:hAnsi="宋体"/>
                <w:color w:val="auto"/>
                <w:sz w:val="21"/>
                <w:szCs w:val="21"/>
                <w:highlight w:val="none"/>
                <w:lang w:val="en-US" w:eastAsia="zh-CN"/>
              </w:rPr>
              <w:t>市级</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或以上）</w:t>
            </w:r>
            <w:r>
              <w:rPr>
                <w:rFonts w:hint="eastAsia" w:ascii="宋体" w:hAnsi="宋体"/>
                <w:color w:val="auto"/>
                <w:sz w:val="21"/>
                <w:szCs w:val="21"/>
                <w:highlight w:val="none"/>
              </w:rPr>
              <w:t>优秀总监理工程师称号的得</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w:t>
            </w:r>
          </w:p>
          <w:p>
            <w:pPr>
              <w:ind w:leftChars="-10" w:hanging="21" w:hangingChars="10"/>
              <w:jc w:val="left"/>
              <w:rPr>
                <w:rFonts w:ascii="宋体" w:hAnsi="宋体" w:cs="宋体"/>
                <w:color w:val="auto"/>
                <w:sz w:val="21"/>
                <w:szCs w:val="21"/>
                <w:highlight w:val="none"/>
              </w:rPr>
            </w:pPr>
            <w:r>
              <w:rPr>
                <w:rFonts w:hint="eastAsia" w:ascii="宋体" w:hAnsi="宋体"/>
                <w:color w:val="auto"/>
                <w:sz w:val="21"/>
                <w:szCs w:val="21"/>
                <w:highlight w:val="none"/>
                <w:lang w:val="en-US" w:eastAsia="zh-CN"/>
              </w:rPr>
              <w:t>本项最多得4分。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2275"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其他主要人员资历</w:t>
            </w:r>
          </w:p>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4832" w:type="dxa"/>
            <w:noWrap w:val="0"/>
            <w:vAlign w:val="center"/>
          </w:tcPr>
          <w:p>
            <w:pPr>
              <w:ind w:leftChars="-10" w:hanging="21" w:hangingChars="10"/>
              <w:jc w:val="left"/>
              <w:rPr>
                <w:rFonts w:ascii="宋体" w:hAnsi="宋体" w:cs="宋体"/>
                <w:color w:val="auto"/>
                <w:sz w:val="21"/>
                <w:szCs w:val="21"/>
                <w:highlight w:val="none"/>
              </w:rPr>
            </w:pPr>
            <w:r>
              <w:rPr>
                <w:rFonts w:hint="eastAsia" w:ascii="宋体" w:hAnsi="宋体" w:cs="宋体"/>
                <w:color w:val="auto"/>
                <w:sz w:val="21"/>
                <w:szCs w:val="21"/>
                <w:highlight w:val="none"/>
              </w:rPr>
              <w:t>1、人员的配备满足本招标</w:t>
            </w:r>
            <w:r>
              <w:rPr>
                <w:rFonts w:hint="eastAsia" w:ascii="宋体" w:hAnsi="宋体" w:cs="宋体"/>
                <w:color w:val="auto"/>
                <w:sz w:val="21"/>
                <w:szCs w:val="21"/>
                <w:highlight w:val="none"/>
                <w:lang w:val="en-US" w:eastAsia="zh-CN"/>
              </w:rPr>
              <w:t>文件</w:t>
            </w:r>
            <w:r>
              <w:rPr>
                <w:rFonts w:hint="eastAsia" w:ascii="宋体" w:hAnsi="宋体" w:cs="宋体"/>
                <w:color w:val="auto"/>
                <w:sz w:val="21"/>
                <w:szCs w:val="21"/>
                <w:highlight w:val="none"/>
              </w:rPr>
              <w:t>委托人要求中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监理机构人员配备要求表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施工阶段监理人员各配置</w:t>
            </w:r>
            <w:r>
              <w:rPr>
                <w:rFonts w:hint="eastAsia" w:ascii="宋体" w:hAnsi="宋体" w:cs="宋体"/>
                <w:color w:val="auto"/>
                <w:sz w:val="21"/>
                <w:szCs w:val="21"/>
                <w:highlight w:val="none"/>
                <w:lang w:val="en-US" w:eastAsia="zh-CN"/>
              </w:rPr>
              <w:t>表》</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分，不满足不得分；</w:t>
            </w:r>
          </w:p>
          <w:p>
            <w:pPr>
              <w:ind w:leftChars="-10" w:hanging="21" w:hangingChars="1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2、配备的人员中（总监、总监代表除外）具有注册监理工程师或高级（或以上）工程师</w:t>
            </w:r>
            <w:r>
              <w:rPr>
                <w:rFonts w:hint="eastAsia" w:ascii="宋体" w:hAnsi="宋体" w:cs="宋体"/>
                <w:color w:val="auto"/>
                <w:sz w:val="21"/>
                <w:szCs w:val="21"/>
                <w:highlight w:val="none"/>
                <w:lang w:val="en-US" w:eastAsia="zh-CN"/>
              </w:rPr>
              <w:t>职称</w:t>
            </w:r>
            <w:r>
              <w:rPr>
                <w:rFonts w:hint="eastAsia" w:ascii="宋体" w:hAnsi="宋体" w:cs="宋体"/>
                <w:color w:val="auto"/>
                <w:sz w:val="21"/>
                <w:szCs w:val="21"/>
                <w:highlight w:val="none"/>
              </w:rPr>
              <w:t>的每人加</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分，最高得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ind w:leftChars="-10" w:hanging="21" w:hangingChars="10"/>
              <w:jc w:val="left"/>
              <w:rPr>
                <w:rFonts w:ascii="宋体" w:hAnsi="宋体" w:cs="宋体"/>
                <w:color w:val="auto"/>
                <w:sz w:val="21"/>
                <w:szCs w:val="21"/>
                <w:highlight w:val="none"/>
              </w:rPr>
            </w:pPr>
            <w:r>
              <w:rPr>
                <w:rFonts w:hint="eastAsia" w:ascii="宋体" w:hAnsi="宋体" w:cs="宋体"/>
                <w:color w:val="auto"/>
                <w:sz w:val="21"/>
                <w:szCs w:val="21"/>
                <w:highlight w:val="none"/>
              </w:rPr>
              <w:t>本项最高得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669" w:hRule="atLeast"/>
        </w:trPr>
        <w:tc>
          <w:tcPr>
            <w:tcW w:w="988" w:type="dxa"/>
            <w:gridSpan w:val="2"/>
            <w:vMerge w:val="restart"/>
            <w:noWrap w:val="0"/>
            <w:vAlign w:val="center"/>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2.2.4（2）</w:t>
            </w:r>
          </w:p>
        </w:tc>
        <w:tc>
          <w:tcPr>
            <w:tcW w:w="960" w:type="dxa"/>
            <w:gridSpan w:val="2"/>
            <w:vMerge w:val="restart"/>
            <w:noWrap w:val="0"/>
            <w:vAlign w:val="center"/>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监理大纲评分标准（3</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2359" w:type="dxa"/>
            <w:noWrap w:val="0"/>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质量控制措施（4分）</w:t>
            </w:r>
          </w:p>
        </w:tc>
        <w:tc>
          <w:tcPr>
            <w:tcW w:w="4832" w:type="dxa"/>
            <w:noWrap w:val="0"/>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要求目标明确、方法合理可行、措施具体、针对性强。方案为优得4分；良得3分；一般得2分；差不得分；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942"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进度控制措施（4分）</w:t>
            </w:r>
          </w:p>
        </w:tc>
        <w:tc>
          <w:tcPr>
            <w:tcW w:w="4832" w:type="dxa"/>
            <w:noWrap w:val="0"/>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要求目标明确、方法合理可行、措施具体、针对性强。方案为优得4分；良得 3分；一般得2分；差不得分；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1002"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投资控制措施（4分）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要求目标明确、方法合理可行、措施具体、针对性强。方案为优得4分；良得 3分；一般得2分；差不得分；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1094"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合同管理、信息管理</w:t>
            </w:r>
          </w:p>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合同管理、信息管理方法、针对性强、措施具体、针对性强。方案为优得</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分；良得</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分；一般得</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 xml:space="preserve">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972"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组织协调（</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协调方法清晰合理，有具体措施。方案为优得</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分；良得 </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分；一般得</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927"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安全、文明施工管理</w:t>
            </w:r>
          </w:p>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安全、文明施工管理。方案为优得3分；良得2分；一般得1分；差不得分；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729"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监理工作程序和制度</w:t>
            </w:r>
          </w:p>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有清晰的工作流程图、工作准则。方案为优得2分；良得 1分；一般得0.5分；差不得分；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699"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会议制度（2分）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建立完善的工地会议制度。方案为优得2分；良得 1分；一般得0.5分；差不得分。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987"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工程进度款、工程结算的管理（2分）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管理方法合理有效、有具体措施。方案为优得2分；良得 1分；一般得0.5分；差不得分。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714"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监理工作重点、难点分析（</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要求针对性强、措施具体、可操作。优得</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 xml:space="preserve">分；中得 </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分；差得</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972" w:hRule="atLeast"/>
        </w:trPr>
        <w:tc>
          <w:tcPr>
            <w:tcW w:w="988" w:type="dxa"/>
            <w:gridSpan w:val="2"/>
            <w:vMerge w:val="continue"/>
            <w:noWrap w:val="0"/>
            <w:vAlign w:val="center"/>
          </w:tcPr>
          <w:p>
            <w:pPr>
              <w:widowControl/>
              <w:jc w:val="left"/>
              <w:rPr>
                <w:rFonts w:ascii="宋体" w:hAnsi="宋体" w:cs="宋体"/>
                <w:color w:val="auto"/>
                <w:sz w:val="21"/>
                <w:szCs w:val="21"/>
                <w:highlight w:val="none"/>
              </w:rPr>
            </w:pPr>
          </w:p>
        </w:tc>
        <w:tc>
          <w:tcPr>
            <w:tcW w:w="960" w:type="dxa"/>
            <w:gridSpan w:val="2"/>
            <w:vMerge w:val="continue"/>
            <w:noWrap w:val="0"/>
            <w:vAlign w:val="center"/>
          </w:tcPr>
          <w:p>
            <w:pPr>
              <w:widowControl/>
              <w:jc w:val="left"/>
              <w:rPr>
                <w:rFonts w:ascii="宋体" w:hAnsi="宋体" w:cs="宋体"/>
                <w:color w:val="auto"/>
                <w:sz w:val="21"/>
                <w:szCs w:val="21"/>
                <w:highlight w:val="none"/>
              </w:rPr>
            </w:pPr>
          </w:p>
        </w:tc>
        <w:tc>
          <w:tcPr>
            <w:tcW w:w="2359" w:type="dxa"/>
            <w:noWrap w:val="0"/>
            <w:tcMar>
              <w:top w:w="0" w:type="dxa"/>
              <w:left w:w="57" w:type="dxa"/>
              <w:bottom w:w="0" w:type="dxa"/>
              <w:right w:w="57" w:type="dxa"/>
            </w:tcMar>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合理化建议</w:t>
            </w:r>
          </w:p>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分）</w:t>
            </w:r>
          </w:p>
        </w:tc>
        <w:tc>
          <w:tcPr>
            <w:tcW w:w="4832" w:type="dxa"/>
            <w:noWrap w:val="0"/>
            <w:tcMar>
              <w:top w:w="0" w:type="dxa"/>
              <w:left w:w="57" w:type="dxa"/>
              <w:bottom w:w="0" w:type="dxa"/>
              <w:right w:w="57" w:type="dxa"/>
            </w:tcMar>
            <w:vAlign w:val="center"/>
          </w:tcPr>
          <w:p>
            <w:pPr>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具有科学、合理、可行及具体措施的建议并经评委分析论证认同的。优得</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分；中得</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分；差得 </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Height w:val="1470" w:hRule="atLeast"/>
        </w:trPr>
        <w:tc>
          <w:tcPr>
            <w:tcW w:w="988" w:type="dxa"/>
            <w:gridSpan w:val="2"/>
            <w:noWrap w:val="0"/>
            <w:vAlign w:val="center"/>
          </w:tcPr>
          <w:p>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2.2.4</w:t>
            </w:r>
          </w:p>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960" w:type="dxa"/>
            <w:gridSpan w:val="2"/>
            <w:noWrap w:val="0"/>
            <w:vAlign w:val="center"/>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投标报价评分标准（</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7191" w:type="dxa"/>
            <w:gridSpan w:val="2"/>
            <w:noWrap w:val="0"/>
            <w:vAlign w:val="center"/>
          </w:tcPr>
          <w:p>
            <w:pPr>
              <w:spacing w:line="34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以评标基准价作为计算各投标价得分的基础，当投标报价等于评标基准价时得</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分；投标报价与评标基准价偏差率，每上偏1%扣0.5分，下偏1%扣0.3分。（最多扣</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30" w:type="dxa"/>
        </w:trPr>
        <w:tc>
          <w:tcPr>
            <w:tcW w:w="988" w:type="dxa"/>
            <w:gridSpan w:val="2"/>
            <w:noWrap w:val="0"/>
            <w:vAlign w:val="top"/>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2.2.4</w:t>
            </w:r>
          </w:p>
        </w:tc>
        <w:tc>
          <w:tcPr>
            <w:tcW w:w="960" w:type="dxa"/>
            <w:gridSpan w:val="2"/>
            <w:noWrap w:val="0"/>
            <w:vAlign w:val="top"/>
          </w:tcPr>
          <w:p>
            <w:pPr>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说明</w:t>
            </w:r>
          </w:p>
        </w:tc>
        <w:tc>
          <w:tcPr>
            <w:tcW w:w="7191" w:type="dxa"/>
            <w:gridSpan w:val="2"/>
            <w:noWrap w:val="0"/>
            <w:vAlign w:val="center"/>
          </w:tcPr>
          <w:p>
            <w:pPr>
              <w:spacing w:line="360" w:lineRule="auto"/>
              <w:ind w:right="10" w:rightChars="5"/>
              <w:jc w:val="left"/>
              <w:rPr>
                <w:rFonts w:ascii="宋体" w:hAnsi="宋体"/>
                <w:color w:val="auto"/>
                <w:sz w:val="21"/>
                <w:szCs w:val="21"/>
                <w:highlight w:val="none"/>
              </w:rPr>
            </w:pPr>
            <w:r>
              <w:rPr>
                <w:rFonts w:hint="eastAsia" w:ascii="宋体" w:hAnsi="宋体"/>
                <w:color w:val="auto"/>
                <w:sz w:val="21"/>
                <w:szCs w:val="21"/>
                <w:highlight w:val="none"/>
              </w:rPr>
              <w:t>1、类似工程是指：是指招标公告中第</w:t>
            </w:r>
            <w:r>
              <w:rPr>
                <w:rFonts w:ascii="宋体" w:hAnsi="宋体"/>
                <w:color w:val="auto"/>
                <w:sz w:val="21"/>
                <w:szCs w:val="21"/>
                <w:highlight w:val="none"/>
              </w:rPr>
              <w:t>3条投标人资格要求所述资质方能承接的房屋建筑工程，需同时提供中标通知书或免招标的相关证明、施工监理合同、竣工验收报告或竣工验收证明</w:t>
            </w:r>
            <w:r>
              <w:rPr>
                <w:rFonts w:hint="eastAsia" w:ascii="宋体" w:hAnsi="宋体" w:cs="宋体"/>
                <w:color w:val="auto"/>
                <w:kern w:val="0"/>
                <w:sz w:val="21"/>
                <w:szCs w:val="21"/>
                <w:highlight w:val="none"/>
              </w:rPr>
              <w:t>，业绩时间以</w:t>
            </w:r>
            <w:r>
              <w:rPr>
                <w:rFonts w:hint="eastAsia" w:ascii="宋体" w:hAnsi="宋体"/>
                <w:color w:val="auto"/>
                <w:sz w:val="21"/>
                <w:szCs w:val="21"/>
                <w:highlight w:val="none"/>
              </w:rPr>
              <w:t>竣工验收报告或竣工验收证明出具的时间为准。</w:t>
            </w:r>
          </w:p>
          <w:p>
            <w:pPr>
              <w:spacing w:line="360" w:lineRule="auto"/>
              <w:ind w:right="10" w:rightChars="5"/>
              <w:jc w:val="left"/>
              <w:rPr>
                <w:rFonts w:ascii="宋体" w:hAnsi="宋体"/>
                <w:color w:val="auto"/>
                <w:sz w:val="21"/>
                <w:szCs w:val="21"/>
                <w:highlight w:val="none"/>
              </w:rPr>
            </w:pPr>
            <w:r>
              <w:rPr>
                <w:rFonts w:hint="eastAsia" w:ascii="宋体" w:hAnsi="宋体"/>
                <w:color w:val="auto"/>
                <w:sz w:val="21"/>
                <w:szCs w:val="21"/>
                <w:highlight w:val="none"/>
              </w:rPr>
              <w:t>2、获奖监理业绩：国家级奖指鲁班奖、国家优质工程奖、中国土木工程詹天佑大奖、金质奖、银质奖、中国钢结构金奖等；省级奖指省建设工程结构优质奖、省建设工程优质奖、省级双优工地等质量奖项；市级奖指市级优良样板工程、市级建设项目结构优良样板工程、市建设工程优质奖、市安全生产文明施工示范工地等质量奖项。“子项”中的各奖项对同一工程项目按最高奖项计取，不重复计分。日期以发证日期为准。</w:t>
            </w:r>
          </w:p>
          <w:p>
            <w:pPr>
              <w:spacing w:line="360" w:lineRule="auto"/>
              <w:ind w:right="-130" w:rightChars="-62"/>
              <w:jc w:val="left"/>
              <w:rPr>
                <w:rFonts w:hint="eastAsia" w:ascii="宋体" w:hAnsi="宋体"/>
                <w:color w:val="auto"/>
                <w:sz w:val="21"/>
                <w:szCs w:val="21"/>
                <w:highlight w:val="none"/>
              </w:rPr>
            </w:pPr>
            <w:r>
              <w:rPr>
                <w:rFonts w:hint="eastAsia" w:ascii="宋体" w:hAnsi="宋体"/>
                <w:color w:val="auto"/>
                <w:sz w:val="21"/>
                <w:szCs w:val="21"/>
                <w:highlight w:val="none"/>
              </w:rPr>
              <w:t>3、总监理工程师业绩：需同时提供中标通知书或免招标的相关证明、施工监理合同、竣工验收报告或竣工验收证明。时间以竣工验收时间为准。</w:t>
            </w:r>
          </w:p>
          <w:p>
            <w:pPr>
              <w:spacing w:line="360" w:lineRule="auto"/>
              <w:ind w:right="-130" w:rightChars="-62"/>
              <w:jc w:val="left"/>
              <w:rPr>
                <w:rStyle w:val="68"/>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4、</w:t>
            </w:r>
            <w:r>
              <w:rPr>
                <w:rFonts w:hint="eastAsia" w:ascii="宋体" w:hAnsi="宋体" w:cs="宋体"/>
                <w:color w:val="auto"/>
                <w:sz w:val="21"/>
                <w:szCs w:val="21"/>
                <w:highlight w:val="none"/>
              </w:rPr>
              <w:t>优秀专业监理工程师或优秀总监理工程师称号以经民政部门批准成立的</w:t>
            </w:r>
            <w:r>
              <w:rPr>
                <w:rStyle w:val="68"/>
                <w:rFonts w:hint="eastAsia" w:ascii="宋体" w:hAnsi="宋体" w:cs="宋体"/>
                <w:color w:val="auto"/>
                <w:sz w:val="21"/>
                <w:szCs w:val="21"/>
                <w:highlight w:val="none"/>
              </w:rPr>
              <w:t>监理协会颁发的为准，同时须提供颁发协会在“中国社会组织政务服务平台”有登记的网页查询截图（网址：</w:t>
            </w:r>
            <w:r>
              <w:rPr>
                <w:rStyle w:val="32"/>
                <w:rFonts w:hint="eastAsia" w:ascii="宋体" w:hAnsi="宋体" w:cs="宋体"/>
                <w:color w:val="auto"/>
                <w:sz w:val="21"/>
                <w:szCs w:val="21"/>
                <w:highlight w:val="none"/>
              </w:rPr>
              <w:t>https://chinanpo.mca.gov.cn/),证明其有登记备案。时间以证书显示为准</w:t>
            </w:r>
            <w:r>
              <w:rPr>
                <w:rStyle w:val="32"/>
                <w:rFonts w:hint="eastAsia" w:ascii="宋体" w:hAnsi="宋体" w:cs="宋体"/>
                <w:color w:val="auto"/>
                <w:sz w:val="21"/>
                <w:szCs w:val="21"/>
                <w:highlight w:val="none"/>
                <w:lang w:eastAsia="zh-CN"/>
              </w:rPr>
              <w:t>。</w:t>
            </w:r>
          </w:p>
          <w:p>
            <w:pPr>
              <w:pStyle w:val="24"/>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监理人员专业以职称证书或毕业证书或注册类证书或岗位证书为准</w:t>
            </w:r>
            <w:r>
              <w:rPr>
                <w:rFonts w:hint="eastAsia" w:ascii="宋体" w:hAnsi="宋体" w:eastAsia="宋体" w:cs="宋体"/>
                <w:color w:val="auto"/>
                <w:sz w:val="21"/>
                <w:szCs w:val="21"/>
                <w:highlight w:val="none"/>
                <w:lang w:eastAsia="zh-CN"/>
              </w:rPr>
              <w:t>。</w:t>
            </w:r>
          </w:p>
          <w:p>
            <w:pPr>
              <w:spacing w:line="360" w:lineRule="auto"/>
              <w:ind w:right="-130" w:rightChars="-62"/>
              <w:jc w:val="left"/>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纳税信用等级：A 级纳税人称号情况以省级或以上税务局官网查询的相关截图为准，纳税人等级只计算投标人自身（不计算投标人的分公司和子公司）。投标人须提供在上述官网的查询结果网页截图（不符合条件或无提交上述截图的不计分）。时间以省级或以上国家税务局官网公布的获奖年度（评价年度）为准。</w:t>
            </w:r>
          </w:p>
          <w:p>
            <w:pPr>
              <w:tabs>
                <w:tab w:val="left" w:pos="540"/>
              </w:tabs>
              <w:snapToGrid w:val="0"/>
              <w:spacing w:line="360" w:lineRule="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、“诚信示范企业”或“诚信兴商”证书</w:t>
            </w:r>
            <w:r>
              <w:rPr>
                <w:rFonts w:hint="eastAsia" w:ascii="宋体" w:hAnsi="宋体" w:cs="宋体"/>
                <w:color w:val="auto"/>
                <w:sz w:val="21"/>
                <w:szCs w:val="21"/>
                <w:highlight w:val="none"/>
              </w:rPr>
              <w:t>须提供政府部门或行业协会颁发的证书为准（如为行业协会颁发，需提供其在“中国社会组织公共服务平台”网站查询结果的网页打印页）</w:t>
            </w:r>
            <w:r>
              <w:rPr>
                <w:rFonts w:hint="eastAsia" w:ascii="宋体" w:hAnsi="宋体"/>
                <w:color w:val="auto"/>
                <w:sz w:val="21"/>
                <w:szCs w:val="21"/>
                <w:highlight w:val="none"/>
              </w:rPr>
              <w:t>。</w:t>
            </w:r>
          </w:p>
          <w:p>
            <w:pPr>
              <w:tabs>
                <w:tab w:val="left" w:pos="540"/>
              </w:tabs>
              <w:snapToGrid w:val="0"/>
              <w:spacing w:line="360" w:lineRule="auto"/>
              <w:rPr>
                <w:rFonts w:ascii="宋体" w:hAnsi="宋体" w:eastAsia="宋体" w:cs="Times New Roman"/>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、投标人提供的人员须为投标人在职员工，需按评分要求提供相关证明文件及2023年</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月份至投标截止以来任一个月份的社保缴纳证明原件清晰彩色扫描件或网上查询打印件。</w:t>
            </w:r>
          </w:p>
          <w:p>
            <w:pPr>
              <w:tabs>
                <w:tab w:val="left" w:pos="540"/>
              </w:tabs>
              <w:snapToGrid w:val="0"/>
              <w:spacing w:line="360" w:lineRule="auto"/>
              <w:rPr>
                <w:rFonts w:ascii="宋体" w:hAnsi="宋体"/>
                <w:color w:val="auto"/>
                <w:sz w:val="21"/>
                <w:szCs w:val="21"/>
                <w:highlight w:val="none"/>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、管理</w:t>
            </w:r>
            <w:r>
              <w:rPr>
                <w:rFonts w:ascii="宋体" w:hAnsi="宋体" w:eastAsia="宋体" w:cs="Times New Roman"/>
                <w:color w:val="auto"/>
                <w:sz w:val="21"/>
                <w:szCs w:val="21"/>
                <w:highlight w:val="none"/>
              </w:rPr>
              <w:t>体系认证证明须同时提供认证证书以及国家认证认可监督管理委员会信息中心认证认可业务信息统一查询平台（http://cx.cnca.cn/）查询结果网页截图。</w:t>
            </w:r>
            <w:r>
              <w:rPr>
                <w:rFonts w:hint="eastAsia" w:ascii="宋体" w:hAnsi="宋体" w:eastAsia="宋体" w:cs="Times New Roman"/>
                <w:color w:val="auto"/>
                <w:sz w:val="21"/>
                <w:szCs w:val="21"/>
                <w:highlight w:val="none"/>
              </w:rPr>
              <w:t>认证证书须在有效期内且官网查询证书状态为“有效”</w:t>
            </w:r>
            <w:r>
              <w:rPr>
                <w:rFonts w:ascii="宋体" w:hAnsi="宋体" w:eastAsia="宋体" w:cs="Times New Roman"/>
                <w:color w:val="auto"/>
                <w:sz w:val="21"/>
                <w:szCs w:val="21"/>
                <w:highlight w:val="none"/>
              </w:rPr>
              <w:t>，否则</w:t>
            </w:r>
            <w:r>
              <w:rPr>
                <w:rFonts w:ascii="宋体" w:hAnsi="宋体"/>
                <w:color w:val="auto"/>
                <w:sz w:val="21"/>
                <w:szCs w:val="21"/>
                <w:highlight w:val="none"/>
              </w:rPr>
              <w:t>不得分。</w:t>
            </w:r>
          </w:p>
          <w:p>
            <w:pPr>
              <w:spacing w:line="360" w:lineRule="auto"/>
              <w:ind w:firstLine="284"/>
              <w:rPr>
                <w:rFonts w:ascii="宋体" w:hAnsi="宋体" w:cs="宋体"/>
                <w:color w:val="auto"/>
                <w:sz w:val="21"/>
                <w:szCs w:val="21"/>
                <w:highlight w:val="none"/>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、投标人的综合得分为各评委的评分计取的算术平均分（分数出现小数点时，保留小数点后二位，第三位小数四舍五入）。</w:t>
            </w:r>
          </w:p>
        </w:tc>
      </w:tr>
    </w:tbl>
    <w:p>
      <w:pPr>
        <w:rPr>
          <w:color w:val="auto"/>
          <w:highlight w:val="none"/>
        </w:rPr>
      </w:pPr>
    </w:p>
    <w:p>
      <w:pPr>
        <w:rPr>
          <w:color w:val="auto"/>
          <w:highlight w:val="none"/>
        </w:rPr>
      </w:pPr>
    </w:p>
    <w:p>
      <w:pPr>
        <w:rPr>
          <w:color w:val="auto"/>
          <w:highlight w:val="none"/>
        </w:rPr>
      </w:pPr>
    </w:p>
    <w:p>
      <w:pPr>
        <w:pStyle w:val="4"/>
        <w:rPr>
          <w:rFonts w:ascii="宋体" w:hAnsi="宋体" w:eastAsia="宋体"/>
          <w:color w:val="auto"/>
          <w:highlight w:val="none"/>
        </w:rPr>
      </w:pPr>
      <w:bookmarkStart w:id="401" w:name="_Toc10509"/>
      <w:bookmarkStart w:id="402" w:name="_Toc492300628"/>
      <w:r>
        <w:rPr>
          <w:rFonts w:ascii="宋体" w:hAnsi="宋体" w:eastAsia="宋体"/>
          <w:color w:val="auto"/>
          <w:highlight w:val="none"/>
        </w:rPr>
        <w:t>1. 评标方法</w:t>
      </w:r>
      <w:bookmarkEnd w:id="401"/>
      <w:bookmarkEnd w:id="402"/>
    </w:p>
    <w:p>
      <w:pPr>
        <w:spacing w:line="360" w:lineRule="auto"/>
        <w:ind w:firstLine="420" w:firstLineChars="200"/>
        <w:rPr>
          <w:rFonts w:ascii="宋体" w:hAnsi="宋体"/>
          <w:color w:val="auto"/>
          <w:highlight w:val="none"/>
        </w:rPr>
      </w:pPr>
      <w:r>
        <w:rPr>
          <w:rFonts w:ascii="宋体" w:hAnsi="宋体"/>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03" w:name="_Toc152045598"/>
      <w:bookmarkStart w:id="404" w:name="_Toc247514022"/>
      <w:bookmarkStart w:id="405" w:name="_Toc361508646"/>
      <w:bookmarkStart w:id="406" w:name="_Toc384308272"/>
      <w:bookmarkStart w:id="407" w:name="_Toc247527623"/>
      <w:bookmarkStart w:id="408" w:name="_Toc144974565"/>
      <w:bookmarkStart w:id="409" w:name="_Toc300835008"/>
      <w:bookmarkStart w:id="410" w:name="_Toc152042375"/>
      <w:bookmarkStart w:id="411" w:name="_Toc369531577"/>
      <w:bookmarkStart w:id="412" w:name="_Toc352691533"/>
      <w:bookmarkStart w:id="413" w:name="_Toc4497"/>
      <w:r>
        <w:rPr>
          <w:rFonts w:ascii="宋体" w:hAnsi="宋体"/>
          <w:color w:val="auto"/>
          <w:highlight w:val="none"/>
        </w:rPr>
        <w:t>外。综合评分相等</w:t>
      </w:r>
      <w:bookmarkEnd w:id="403"/>
      <w:bookmarkEnd w:id="404"/>
      <w:bookmarkEnd w:id="405"/>
      <w:bookmarkEnd w:id="406"/>
      <w:bookmarkEnd w:id="407"/>
      <w:bookmarkEnd w:id="408"/>
      <w:bookmarkEnd w:id="409"/>
      <w:bookmarkEnd w:id="410"/>
      <w:r>
        <w:rPr>
          <w:rFonts w:ascii="宋体" w:hAnsi="宋体"/>
          <w:color w:val="auto"/>
          <w:highlight w:val="none"/>
        </w:rPr>
        <w:t>时，以投标报价低的</w:t>
      </w:r>
      <w:bookmarkEnd w:id="411"/>
      <w:bookmarkEnd w:id="412"/>
      <w:bookmarkEnd w:id="413"/>
      <w:r>
        <w:rPr>
          <w:rFonts w:ascii="宋体" w:hAnsi="宋体"/>
          <w:color w:val="auto"/>
          <w:highlight w:val="none"/>
        </w:rPr>
        <w:t>优</w:t>
      </w:r>
      <w:bookmarkStart w:id="414" w:name="_Toc247527624"/>
      <w:bookmarkStart w:id="415" w:name="_Toc247514023"/>
      <w:bookmarkStart w:id="416" w:name="_Toc152042376"/>
      <w:bookmarkStart w:id="417" w:name="_Toc384308273"/>
      <w:bookmarkStart w:id="418" w:name="_Toc300835009"/>
      <w:bookmarkStart w:id="419" w:name="_Toc144974566"/>
      <w:bookmarkStart w:id="420" w:name="_Toc369531578"/>
      <w:bookmarkStart w:id="421" w:name="_Toc352691534"/>
      <w:bookmarkStart w:id="422" w:name="_Toc361508647"/>
      <w:bookmarkStart w:id="423" w:name="_Toc39"/>
      <w:bookmarkStart w:id="424" w:name="_Toc152045599"/>
      <w:r>
        <w:rPr>
          <w:rFonts w:ascii="宋体" w:hAnsi="宋体"/>
          <w:color w:val="auto"/>
          <w:highlight w:val="none"/>
        </w:rPr>
        <w:t>先；投标报价也相等</w:t>
      </w:r>
      <w:bookmarkEnd w:id="414"/>
      <w:bookmarkEnd w:id="415"/>
      <w:bookmarkEnd w:id="416"/>
      <w:bookmarkEnd w:id="417"/>
      <w:bookmarkEnd w:id="418"/>
      <w:bookmarkEnd w:id="419"/>
      <w:bookmarkEnd w:id="420"/>
      <w:bookmarkEnd w:id="421"/>
      <w:bookmarkEnd w:id="422"/>
      <w:bookmarkEnd w:id="423"/>
      <w:bookmarkEnd w:id="424"/>
      <w:r>
        <w:rPr>
          <w:rFonts w:ascii="宋体" w:hAnsi="宋体"/>
          <w:color w:val="auto"/>
          <w:highlight w:val="none"/>
        </w:rPr>
        <w:t>的</w:t>
      </w:r>
      <w:r>
        <w:rPr>
          <w:rFonts w:hint="eastAsia" w:ascii="宋体" w:hAnsi="宋体"/>
          <w:color w:val="auto"/>
          <w:highlight w:val="none"/>
        </w:rPr>
        <w:t>，以监理大纲</w:t>
      </w:r>
      <w:r>
        <w:rPr>
          <w:rFonts w:ascii="宋体" w:hAnsi="宋体"/>
          <w:color w:val="auto"/>
          <w:highlight w:val="none"/>
        </w:rPr>
        <w:t>得分高的优先</w:t>
      </w:r>
      <w:r>
        <w:rPr>
          <w:rFonts w:hint="eastAsia" w:ascii="宋体" w:hAnsi="宋体"/>
          <w:color w:val="auto"/>
          <w:highlight w:val="none"/>
        </w:rPr>
        <w:t>；</w:t>
      </w:r>
      <w:r>
        <w:rPr>
          <w:rFonts w:ascii="宋体" w:hAnsi="宋体"/>
          <w:color w:val="auto"/>
          <w:highlight w:val="none"/>
        </w:rPr>
        <w:t>如果</w:t>
      </w:r>
      <w:r>
        <w:rPr>
          <w:rFonts w:hint="eastAsia" w:ascii="宋体" w:hAnsi="宋体"/>
          <w:color w:val="auto"/>
          <w:highlight w:val="none"/>
        </w:rPr>
        <w:t>监理大纲</w:t>
      </w:r>
      <w:r>
        <w:rPr>
          <w:rFonts w:ascii="宋体" w:hAnsi="宋体"/>
          <w:color w:val="auto"/>
          <w:highlight w:val="none"/>
        </w:rPr>
        <w:t>得分也相</w:t>
      </w:r>
      <w:r>
        <w:rPr>
          <w:rFonts w:hint="eastAsia" w:ascii="宋体" w:hAnsi="宋体"/>
          <w:color w:val="auto"/>
          <w:highlight w:val="none"/>
        </w:rPr>
        <w:t>等</w:t>
      </w:r>
      <w:r>
        <w:rPr>
          <w:rFonts w:ascii="宋体" w:hAnsi="宋体"/>
          <w:color w:val="auto"/>
          <w:highlight w:val="none"/>
        </w:rPr>
        <w:t>，按照评标办法前附表的规定确定中标候选人顺序。</w:t>
      </w:r>
    </w:p>
    <w:p>
      <w:pPr>
        <w:pStyle w:val="4"/>
        <w:rPr>
          <w:rFonts w:ascii="宋体" w:hAnsi="宋体" w:eastAsia="宋体"/>
          <w:color w:val="auto"/>
          <w:highlight w:val="none"/>
        </w:rPr>
      </w:pPr>
      <w:bookmarkStart w:id="425" w:name="_Toc6941"/>
      <w:bookmarkStart w:id="426" w:name="_Toc492300629"/>
      <w:r>
        <w:rPr>
          <w:rFonts w:ascii="宋体" w:hAnsi="宋体" w:eastAsia="宋体"/>
          <w:color w:val="auto"/>
          <w:highlight w:val="none"/>
        </w:rPr>
        <w:t>2. 评审标准</w:t>
      </w:r>
      <w:bookmarkEnd w:id="425"/>
      <w:bookmarkEnd w:id="426"/>
    </w:p>
    <w:p>
      <w:pPr>
        <w:pStyle w:val="5"/>
        <w:spacing w:line="240" w:lineRule="auto"/>
        <w:ind w:firstLine="137"/>
        <w:rPr>
          <w:rFonts w:ascii="宋体" w:hAnsi="宋体"/>
          <w:color w:val="auto"/>
          <w:highlight w:val="none"/>
        </w:rPr>
      </w:pPr>
      <w:bookmarkStart w:id="427" w:name="_Toc14133"/>
      <w:bookmarkStart w:id="428" w:name="_Toc492300630"/>
      <w:r>
        <w:rPr>
          <w:rFonts w:ascii="宋体" w:hAnsi="宋体"/>
          <w:color w:val="auto"/>
          <w:highlight w:val="none"/>
        </w:rPr>
        <w:t>2.1 初步评审标准</w:t>
      </w:r>
      <w:bookmarkEnd w:id="427"/>
      <w:bookmarkEnd w:id="428"/>
    </w:p>
    <w:p>
      <w:pPr>
        <w:spacing w:line="400" w:lineRule="exact"/>
        <w:ind w:firstLine="420" w:firstLineChars="200"/>
        <w:rPr>
          <w:rFonts w:ascii="宋体" w:hAnsi="宋体"/>
          <w:color w:val="auto"/>
          <w:highlight w:val="none"/>
        </w:rPr>
      </w:pPr>
      <w:r>
        <w:rPr>
          <w:rFonts w:ascii="宋体" w:hAnsi="宋体"/>
          <w:color w:val="auto"/>
          <w:highlight w:val="none"/>
        </w:rPr>
        <w:t>2.1.1形式评审标准：见评标办法前附表。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2.1.2资格评审标准：见评标办法前附表。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2.1.3响应性评审标准：见评标办法前附表。</w:t>
      </w:r>
    </w:p>
    <w:p>
      <w:pPr>
        <w:pStyle w:val="5"/>
        <w:spacing w:line="240" w:lineRule="auto"/>
        <w:ind w:firstLine="137"/>
        <w:rPr>
          <w:rFonts w:ascii="宋体" w:hAnsi="宋体"/>
          <w:color w:val="auto"/>
          <w:highlight w:val="none"/>
        </w:rPr>
      </w:pPr>
      <w:bookmarkStart w:id="429" w:name="_Toc1282"/>
      <w:bookmarkStart w:id="430" w:name="_Toc492300631"/>
      <w:r>
        <w:rPr>
          <w:rFonts w:ascii="宋体" w:hAnsi="宋体"/>
          <w:color w:val="auto"/>
          <w:highlight w:val="none"/>
        </w:rPr>
        <w:t>2.2 分值构成与评分标准</w:t>
      </w:r>
      <w:bookmarkEnd w:id="429"/>
      <w:bookmarkEnd w:id="430"/>
    </w:p>
    <w:p>
      <w:pPr>
        <w:spacing w:line="400" w:lineRule="exact"/>
        <w:ind w:firstLine="420" w:firstLineChars="200"/>
        <w:rPr>
          <w:rFonts w:ascii="宋体" w:hAnsi="宋体"/>
          <w:color w:val="auto"/>
          <w:highlight w:val="none"/>
        </w:rPr>
      </w:pPr>
      <w:r>
        <w:rPr>
          <w:rFonts w:ascii="宋体" w:hAnsi="宋体"/>
          <w:color w:val="auto"/>
          <w:highlight w:val="none"/>
        </w:rPr>
        <w:t>2.2.1分值构成</w:t>
      </w:r>
    </w:p>
    <w:p>
      <w:pPr>
        <w:spacing w:line="400" w:lineRule="exact"/>
        <w:ind w:firstLine="420" w:firstLineChars="200"/>
        <w:rPr>
          <w:rFonts w:ascii="宋体" w:hAnsi="宋体"/>
          <w:color w:val="auto"/>
          <w:highlight w:val="none"/>
        </w:rPr>
      </w:pPr>
      <w:r>
        <w:rPr>
          <w:rFonts w:hint="eastAsia" w:ascii="宋体" w:hAnsi="宋体"/>
          <w:color w:val="auto"/>
          <w:highlight w:val="none"/>
        </w:rPr>
        <w:t>（1）资信业绩部分：见评标办法前附表；</w:t>
      </w:r>
    </w:p>
    <w:p>
      <w:pPr>
        <w:spacing w:line="400" w:lineRule="exact"/>
        <w:ind w:firstLine="420" w:firstLineChars="200"/>
        <w:rPr>
          <w:rFonts w:ascii="宋体" w:hAnsi="宋体"/>
          <w:color w:val="auto"/>
          <w:highlight w:val="none"/>
        </w:rPr>
      </w:pPr>
      <w:r>
        <w:rPr>
          <w:rFonts w:hint="eastAsia" w:ascii="宋体" w:hAnsi="宋体"/>
          <w:color w:val="auto"/>
          <w:highlight w:val="none"/>
        </w:rPr>
        <w:t>（2）监理大纲部分：见评标办法前附表；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（3）投标报价：见评标办法前附表；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（4）其他评分因素：见评标办法前附表。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2.2.2评标基准价计算</w:t>
      </w:r>
    </w:p>
    <w:p>
      <w:pPr>
        <w:spacing w:line="400" w:lineRule="exact"/>
        <w:ind w:firstLine="420" w:firstLineChars="200"/>
        <w:rPr>
          <w:rFonts w:ascii="宋体" w:hAnsi="宋体"/>
          <w:color w:val="auto"/>
          <w:highlight w:val="none"/>
        </w:rPr>
      </w:pPr>
      <w:r>
        <w:rPr>
          <w:rFonts w:ascii="宋体" w:hAnsi="宋体"/>
          <w:color w:val="auto"/>
          <w:highlight w:val="none"/>
        </w:rPr>
        <w:t>评标基准价计算方法：见评标办法前附表。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2.2.3投标报价的偏差率计算</w:t>
      </w:r>
    </w:p>
    <w:p>
      <w:pPr>
        <w:spacing w:line="400" w:lineRule="exact"/>
        <w:ind w:firstLine="420" w:firstLineChars="200"/>
        <w:rPr>
          <w:rFonts w:ascii="宋体" w:hAnsi="宋体"/>
          <w:color w:val="auto"/>
          <w:highlight w:val="none"/>
        </w:rPr>
      </w:pPr>
      <w:r>
        <w:rPr>
          <w:rFonts w:ascii="宋体" w:hAnsi="宋体"/>
          <w:color w:val="auto"/>
          <w:highlight w:val="none"/>
        </w:rPr>
        <w:t>投标报价的偏差率计算公式：见评标办法前附表。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2.2.4评分标准</w:t>
      </w:r>
    </w:p>
    <w:p>
      <w:pPr>
        <w:spacing w:line="400" w:lineRule="exact"/>
        <w:ind w:firstLine="420" w:firstLineChars="200"/>
        <w:rPr>
          <w:rFonts w:ascii="宋体" w:hAnsi="宋体"/>
          <w:color w:val="auto"/>
          <w:highlight w:val="none"/>
        </w:rPr>
      </w:pPr>
      <w:r>
        <w:rPr>
          <w:rFonts w:hint="eastAsia" w:ascii="宋体" w:hAnsi="宋体"/>
          <w:color w:val="auto"/>
          <w:highlight w:val="none"/>
        </w:rPr>
        <w:t>（1）资信业绩评分标准：见评标办法前附表；</w:t>
      </w:r>
    </w:p>
    <w:p>
      <w:pPr>
        <w:spacing w:line="400" w:lineRule="exact"/>
        <w:ind w:firstLine="420" w:firstLineChars="200"/>
        <w:rPr>
          <w:rFonts w:ascii="宋体" w:hAnsi="宋体"/>
          <w:color w:val="auto"/>
          <w:highlight w:val="none"/>
        </w:rPr>
      </w:pPr>
      <w:r>
        <w:rPr>
          <w:rFonts w:hint="eastAsia" w:ascii="宋体" w:hAnsi="宋体"/>
          <w:color w:val="auto"/>
          <w:highlight w:val="none"/>
        </w:rPr>
        <w:t>（2）监理大纲评分标准：见评标办法前附表；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（3）投标报价评分标准：见评标办法前附表；</w:t>
      </w:r>
    </w:p>
    <w:p>
      <w:pPr>
        <w:spacing w:line="400" w:lineRule="exact"/>
        <w:ind w:firstLine="420" w:firstLineChars="200"/>
        <w:rPr>
          <w:rFonts w:ascii="宋体" w:hAnsi="宋体"/>
          <w:color w:val="auto"/>
          <w:highlight w:val="none"/>
        </w:rPr>
      </w:pPr>
      <w:r>
        <w:rPr>
          <w:rFonts w:ascii="宋体" w:hAnsi="宋体"/>
          <w:color w:val="auto"/>
          <w:highlight w:val="none"/>
        </w:rPr>
        <w:t>（4）其他因素评分标准：见评标办法前附表。</w:t>
      </w:r>
    </w:p>
    <w:p>
      <w:pPr>
        <w:pStyle w:val="4"/>
        <w:rPr>
          <w:rFonts w:ascii="宋体" w:hAnsi="宋体" w:eastAsia="宋体"/>
          <w:color w:val="auto"/>
          <w:highlight w:val="none"/>
        </w:rPr>
      </w:pPr>
      <w:bookmarkStart w:id="431" w:name="_Toc492300632"/>
      <w:bookmarkStart w:id="432" w:name="_Toc2704"/>
      <w:r>
        <w:rPr>
          <w:rFonts w:ascii="宋体" w:hAnsi="宋体" w:eastAsia="宋体"/>
          <w:color w:val="auto"/>
          <w:highlight w:val="none"/>
        </w:rPr>
        <w:t>3. 评标程序</w:t>
      </w:r>
      <w:bookmarkEnd w:id="431"/>
      <w:bookmarkEnd w:id="432"/>
    </w:p>
    <w:p>
      <w:pPr>
        <w:pStyle w:val="5"/>
        <w:spacing w:line="240" w:lineRule="auto"/>
        <w:ind w:firstLine="137"/>
        <w:rPr>
          <w:rFonts w:ascii="宋体" w:hAnsi="宋体"/>
          <w:color w:val="auto"/>
          <w:highlight w:val="none"/>
        </w:rPr>
      </w:pPr>
      <w:bookmarkStart w:id="433" w:name="_Toc492300633"/>
      <w:bookmarkStart w:id="434" w:name="_Toc28022"/>
      <w:r>
        <w:rPr>
          <w:rFonts w:ascii="宋体" w:hAnsi="宋体"/>
          <w:color w:val="auto"/>
          <w:highlight w:val="none"/>
        </w:rPr>
        <w:t>3.1 初步评审</w:t>
      </w:r>
      <w:bookmarkEnd w:id="433"/>
      <w:bookmarkEnd w:id="434"/>
    </w:p>
    <w:p>
      <w:pPr>
        <w:spacing w:line="400" w:lineRule="exact"/>
        <w:ind w:firstLine="420" w:firstLineChars="200"/>
        <w:rPr>
          <w:rFonts w:ascii="宋体" w:hAnsi="宋体"/>
          <w:color w:val="auto"/>
          <w:highlight w:val="none"/>
        </w:rPr>
      </w:pPr>
      <w:r>
        <w:rPr>
          <w:rFonts w:ascii="宋体" w:hAnsi="宋体"/>
          <w:color w:val="auto"/>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rFonts w:ascii="宋体" w:hAnsi="宋体"/>
          <w:color w:val="auto"/>
          <w:highlight w:val="none"/>
        </w:rPr>
      </w:pPr>
      <w:r>
        <w:rPr>
          <w:rFonts w:ascii="宋体" w:hAnsi="宋体"/>
          <w:color w:val="auto"/>
          <w:highlight w:val="none"/>
        </w:rPr>
        <w:t>3.1.2投标人有以下情形之一的，评标委员会应当否决其投标：</w:t>
      </w:r>
    </w:p>
    <w:p>
      <w:pPr>
        <w:spacing w:line="400" w:lineRule="exact"/>
        <w:ind w:firstLine="420" w:firstLineChars="200"/>
        <w:rPr>
          <w:rFonts w:ascii="宋体" w:hAnsi="宋体"/>
          <w:color w:val="auto"/>
          <w:highlight w:val="none"/>
        </w:rPr>
      </w:pPr>
      <w:r>
        <w:rPr>
          <w:rFonts w:ascii="宋体" w:hAnsi="宋体"/>
          <w:color w:val="auto"/>
          <w:highlight w:val="none"/>
        </w:rPr>
        <w:t>（1）投标文件没有对招标文件的实质性要求和条件作出响应，或者对招标文件的偏差超出招标文件规定的偏差范围或最高项数；</w:t>
      </w:r>
    </w:p>
    <w:p>
      <w:pPr>
        <w:spacing w:line="400" w:lineRule="exact"/>
        <w:ind w:firstLine="420" w:firstLineChars="200"/>
        <w:rPr>
          <w:rFonts w:ascii="宋体" w:hAnsi="宋体"/>
          <w:color w:val="auto"/>
          <w:highlight w:val="none"/>
        </w:rPr>
      </w:pPr>
      <w:r>
        <w:rPr>
          <w:rFonts w:ascii="宋体" w:hAnsi="宋体"/>
          <w:color w:val="auto"/>
          <w:highlight w:val="none"/>
        </w:rPr>
        <w:t>（2）有串通投标、弄虚作假、行贿等违法行为。</w:t>
      </w:r>
    </w:p>
    <w:p>
      <w:pPr>
        <w:spacing w:line="400" w:lineRule="exact"/>
        <w:ind w:firstLine="420" w:firstLineChars="200"/>
        <w:rPr>
          <w:rFonts w:ascii="宋体" w:hAnsi="宋体"/>
          <w:color w:val="auto"/>
          <w:highlight w:val="none"/>
        </w:rPr>
      </w:pPr>
      <w:r>
        <w:rPr>
          <w:rFonts w:ascii="宋体" w:hAnsi="宋体"/>
          <w:color w:val="auto"/>
          <w:highlight w:val="none"/>
        </w:rPr>
        <w:t>3.1.3投标报价有算术错误及其他错误的，评标委员会按以下原则要求投标人对投标报价进</w:t>
      </w:r>
      <w:bookmarkStart w:id="435" w:name="_Toc144974570"/>
      <w:bookmarkStart w:id="436" w:name="_Toc361508651"/>
      <w:bookmarkStart w:id="437" w:name="_Toc247514027"/>
      <w:bookmarkStart w:id="438" w:name="_Toc247527628"/>
      <w:bookmarkStart w:id="439" w:name="_Toc152042380"/>
      <w:bookmarkStart w:id="440" w:name="_Toc352691538"/>
      <w:bookmarkStart w:id="441" w:name="_Toc384308277"/>
      <w:bookmarkStart w:id="442" w:name="_Toc300835013"/>
      <w:bookmarkStart w:id="443" w:name="_Toc2907"/>
      <w:bookmarkStart w:id="444" w:name="_Toc369531582"/>
      <w:bookmarkStart w:id="445" w:name="_Toc152045603"/>
      <w:r>
        <w:rPr>
          <w:rFonts w:ascii="宋体" w:hAnsi="宋体"/>
          <w:color w:val="auto"/>
          <w:highlight w:val="none"/>
        </w:rPr>
        <w:t>行修正，并要求投标人书面澄清确认。</w:t>
      </w:r>
      <w:bookmarkEnd w:id="435"/>
      <w:bookmarkEnd w:id="436"/>
      <w:bookmarkEnd w:id="437"/>
      <w:bookmarkEnd w:id="438"/>
      <w:bookmarkEnd w:id="439"/>
      <w:bookmarkEnd w:id="440"/>
      <w:bookmarkEnd w:id="441"/>
      <w:bookmarkEnd w:id="442"/>
      <w:bookmarkEnd w:id="443"/>
      <w:bookmarkEnd w:id="444"/>
      <w:bookmarkEnd w:id="445"/>
      <w:r>
        <w:rPr>
          <w:rFonts w:ascii="宋体" w:hAnsi="宋体"/>
          <w:color w:val="auto"/>
          <w:highlight w:val="none"/>
        </w:rPr>
        <w:t>投标人拒不澄清确认的，评标委员会应当否决其投标：</w:t>
      </w:r>
    </w:p>
    <w:p>
      <w:pPr>
        <w:spacing w:line="400" w:lineRule="exact"/>
        <w:ind w:firstLine="420" w:firstLineChars="200"/>
        <w:rPr>
          <w:rFonts w:ascii="宋体" w:hAnsi="宋体"/>
          <w:color w:val="auto"/>
          <w:highlight w:val="none"/>
        </w:rPr>
      </w:pPr>
      <w:r>
        <w:rPr>
          <w:rFonts w:ascii="宋体" w:hAnsi="宋体"/>
          <w:color w:val="auto"/>
          <w:highlight w:val="none"/>
        </w:rPr>
        <w:t>（1）投标文件中的大写金额与小写金额不一致的，以大写金额为准；</w:t>
      </w:r>
    </w:p>
    <w:p>
      <w:pPr>
        <w:spacing w:line="400" w:lineRule="exact"/>
        <w:ind w:firstLine="420" w:firstLineChars="200"/>
        <w:rPr>
          <w:rFonts w:ascii="宋体" w:hAnsi="宋体"/>
          <w:color w:val="auto"/>
          <w:highlight w:val="none"/>
        </w:rPr>
      </w:pPr>
      <w:r>
        <w:rPr>
          <w:rFonts w:ascii="宋体" w:hAnsi="宋体"/>
          <w:color w:val="auto"/>
          <w:highlight w:val="none"/>
        </w:rPr>
        <w:t>（2）总价金额与单价金额不一致的，以单价金额为准，但单价金额小数点有明显错误的除外</w:t>
      </w:r>
      <w:r>
        <w:rPr>
          <w:rFonts w:hint="eastAsia" w:ascii="宋体" w:hAnsi="宋体"/>
          <w:color w:val="auto"/>
          <w:highlight w:val="none"/>
        </w:rPr>
        <w:t>。</w:t>
      </w:r>
    </w:p>
    <w:p>
      <w:pPr>
        <w:pStyle w:val="5"/>
        <w:spacing w:line="240" w:lineRule="auto"/>
        <w:ind w:firstLine="137"/>
        <w:rPr>
          <w:rFonts w:ascii="宋体" w:hAnsi="宋体"/>
          <w:color w:val="auto"/>
          <w:highlight w:val="none"/>
        </w:rPr>
      </w:pPr>
      <w:bookmarkStart w:id="446" w:name="_Toc492300634"/>
      <w:bookmarkStart w:id="447" w:name="_Toc26820"/>
      <w:r>
        <w:rPr>
          <w:rFonts w:ascii="宋体" w:hAnsi="宋体"/>
          <w:color w:val="auto"/>
          <w:highlight w:val="none"/>
        </w:rPr>
        <w:t>3.2 详细评审</w:t>
      </w:r>
      <w:bookmarkEnd w:id="446"/>
      <w:bookmarkEnd w:id="447"/>
    </w:p>
    <w:p>
      <w:pPr>
        <w:spacing w:line="400" w:lineRule="exact"/>
        <w:ind w:firstLine="420" w:firstLineChars="200"/>
        <w:rPr>
          <w:rFonts w:ascii="宋体" w:hAnsi="宋体"/>
          <w:color w:val="auto"/>
          <w:highlight w:val="none"/>
        </w:rPr>
      </w:pPr>
      <w:r>
        <w:rPr>
          <w:rFonts w:ascii="宋体" w:hAnsi="宋体"/>
          <w:color w:val="auto"/>
          <w:highlight w:val="none"/>
        </w:rPr>
        <w:t>3.2.1评标委员会按本章第2.2款规定的量化因素和分值进行打分，并计算出综合评估得分。</w:t>
      </w:r>
    </w:p>
    <w:p>
      <w:pPr>
        <w:spacing w:line="400" w:lineRule="exact"/>
        <w:ind w:firstLine="420" w:firstLineChars="200"/>
        <w:rPr>
          <w:rFonts w:ascii="宋体" w:hAnsi="宋体"/>
          <w:color w:val="auto"/>
          <w:highlight w:val="none"/>
        </w:rPr>
      </w:pPr>
      <w:r>
        <w:rPr>
          <w:rFonts w:hint="eastAsia" w:ascii="宋体" w:hAnsi="宋体"/>
          <w:color w:val="auto"/>
          <w:highlight w:val="none"/>
        </w:rPr>
        <w:t>（1）按本章第 2.2.4（1）目规定的评审因素和分值对资信业绩部分计算出得分 A；</w:t>
      </w:r>
    </w:p>
    <w:p>
      <w:pPr>
        <w:spacing w:line="400" w:lineRule="exact"/>
        <w:ind w:firstLine="420" w:firstLineChars="200"/>
        <w:rPr>
          <w:rFonts w:ascii="宋体" w:hAnsi="宋体"/>
          <w:color w:val="auto"/>
          <w:highlight w:val="none"/>
        </w:rPr>
      </w:pPr>
      <w:r>
        <w:rPr>
          <w:rFonts w:hint="eastAsia" w:ascii="宋体" w:hAnsi="宋体"/>
          <w:color w:val="auto"/>
          <w:highlight w:val="none"/>
        </w:rPr>
        <w:t>（2）按本章第 2.2.4（2）目规定的评审因素和分值对监理大纲部分计算出得分 B；</w:t>
      </w:r>
    </w:p>
    <w:p>
      <w:pPr>
        <w:spacing w:line="400" w:lineRule="exact"/>
        <w:ind w:firstLine="420" w:firstLineChars="200"/>
        <w:rPr>
          <w:rFonts w:ascii="宋体" w:hAnsi="宋体"/>
          <w:color w:val="auto"/>
          <w:highlight w:val="none"/>
        </w:rPr>
      </w:pPr>
      <w:r>
        <w:rPr>
          <w:rFonts w:ascii="宋体" w:hAnsi="宋体"/>
          <w:color w:val="auto"/>
          <w:highlight w:val="none"/>
        </w:rPr>
        <w:t>（3）按本章第2.2.4（3）目规定的评审因素和</w:t>
      </w:r>
      <w:bookmarkStart w:id="448" w:name="_Toc144974571"/>
      <w:bookmarkStart w:id="449" w:name="_Toc247527629"/>
      <w:bookmarkStart w:id="450" w:name="_Toc369531583"/>
      <w:bookmarkStart w:id="451" w:name="_Toc300835014"/>
      <w:bookmarkStart w:id="452" w:name="_Toc152042381"/>
      <w:bookmarkStart w:id="453" w:name="_Toc152045604"/>
      <w:bookmarkStart w:id="454" w:name="_Toc24330"/>
      <w:bookmarkStart w:id="455" w:name="_Toc384308278"/>
      <w:bookmarkStart w:id="456" w:name="_Toc247514028"/>
      <w:bookmarkStart w:id="457" w:name="_Toc361508652"/>
      <w:bookmarkStart w:id="458" w:name="_Toc352691539"/>
      <w:r>
        <w:rPr>
          <w:rFonts w:ascii="宋体" w:hAnsi="宋体"/>
          <w:color w:val="auto"/>
          <w:highlight w:val="none"/>
        </w:rPr>
        <w:t>分值对投标报价</w:t>
      </w:r>
      <w:bookmarkEnd w:id="448"/>
      <w:bookmarkEnd w:id="449"/>
      <w:bookmarkEnd w:id="450"/>
      <w:bookmarkEnd w:id="451"/>
      <w:bookmarkEnd w:id="452"/>
      <w:bookmarkEnd w:id="453"/>
      <w:bookmarkEnd w:id="454"/>
      <w:bookmarkEnd w:id="455"/>
      <w:bookmarkEnd w:id="456"/>
      <w:bookmarkEnd w:id="457"/>
      <w:bookmarkEnd w:id="458"/>
      <w:r>
        <w:rPr>
          <w:rFonts w:ascii="宋体" w:hAnsi="宋体"/>
          <w:color w:val="auto"/>
          <w:highlight w:val="none"/>
        </w:rPr>
        <w:t>计</w:t>
      </w:r>
      <w:bookmarkStart w:id="459" w:name="_Toc247527630"/>
      <w:bookmarkStart w:id="460" w:name="_Toc352691540"/>
      <w:bookmarkStart w:id="461" w:name="_Toc18141"/>
      <w:bookmarkStart w:id="462" w:name="_Toc152042382"/>
      <w:bookmarkStart w:id="463" w:name="_Toc247514029"/>
      <w:bookmarkStart w:id="464" w:name="_Toc369531584"/>
      <w:bookmarkStart w:id="465" w:name="_Toc361508653"/>
      <w:bookmarkStart w:id="466" w:name="_Toc300835015"/>
      <w:bookmarkStart w:id="467" w:name="_Toc384308279"/>
      <w:bookmarkStart w:id="468" w:name="_Toc144974572"/>
      <w:bookmarkStart w:id="469" w:name="_Toc152045605"/>
      <w:r>
        <w:rPr>
          <w:rFonts w:ascii="宋体" w:hAnsi="宋体"/>
          <w:color w:val="auto"/>
          <w:highlight w:val="none"/>
        </w:rPr>
        <w:t>算出得分C；</w:t>
      </w:r>
    </w:p>
    <w:p>
      <w:pPr>
        <w:spacing w:line="400" w:lineRule="exact"/>
        <w:ind w:firstLine="420" w:firstLineChars="200"/>
        <w:rPr>
          <w:rFonts w:ascii="宋体" w:hAnsi="宋体"/>
          <w:color w:val="auto"/>
          <w:highlight w:val="none"/>
        </w:rPr>
      </w:pPr>
      <w:r>
        <w:rPr>
          <w:rFonts w:ascii="宋体" w:hAnsi="宋体"/>
          <w:color w:val="auto"/>
          <w:highlight w:val="none"/>
        </w:rPr>
        <w:t>（</w:t>
      </w:r>
      <w:bookmarkEnd w:id="459"/>
      <w:bookmarkEnd w:id="460"/>
      <w:bookmarkEnd w:id="461"/>
      <w:bookmarkEnd w:id="462"/>
      <w:bookmarkEnd w:id="463"/>
      <w:bookmarkEnd w:id="464"/>
      <w:bookmarkEnd w:id="465"/>
      <w:bookmarkEnd w:id="466"/>
      <w:bookmarkEnd w:id="467"/>
      <w:bookmarkEnd w:id="468"/>
      <w:bookmarkEnd w:id="469"/>
      <w:r>
        <w:rPr>
          <w:rFonts w:ascii="宋体" w:hAnsi="宋体"/>
          <w:color w:val="auto"/>
          <w:highlight w:val="none"/>
        </w:rPr>
        <w:t>4）按本章第2.2.4（4）目规定的评审因素和分值对其他部分计算出得分D。</w:t>
      </w:r>
    </w:p>
    <w:p>
      <w:pPr>
        <w:spacing w:line="400" w:lineRule="exact"/>
        <w:ind w:firstLine="420" w:firstLineChars="200"/>
        <w:rPr>
          <w:rFonts w:ascii="宋体" w:hAnsi="宋体"/>
          <w:color w:val="auto"/>
          <w:highlight w:val="none"/>
        </w:rPr>
      </w:pPr>
      <w:r>
        <w:rPr>
          <w:rFonts w:ascii="宋体" w:hAnsi="宋体"/>
          <w:color w:val="auto"/>
          <w:highlight w:val="none"/>
        </w:rPr>
        <w:t>3.2.2评分分值计算保留小数点后两位，小数点后第三位“四舍五入”。</w:t>
      </w:r>
    </w:p>
    <w:p>
      <w:pPr>
        <w:spacing w:line="400" w:lineRule="exact"/>
        <w:ind w:firstLine="420" w:firstLineChars="200"/>
        <w:rPr>
          <w:rFonts w:ascii="宋体" w:hAnsi="宋体"/>
          <w:color w:val="auto"/>
          <w:highlight w:val="none"/>
        </w:rPr>
      </w:pPr>
      <w:r>
        <w:rPr>
          <w:rFonts w:ascii="宋体" w:hAnsi="宋体"/>
          <w:color w:val="auto"/>
          <w:highlight w:val="none"/>
        </w:rPr>
        <w:t>3.2.3投标人得分=A+B+C+D。</w:t>
      </w:r>
    </w:p>
    <w:p>
      <w:pPr>
        <w:spacing w:line="400" w:lineRule="exact"/>
        <w:ind w:firstLine="420" w:firstLineChars="200"/>
        <w:rPr>
          <w:rFonts w:ascii="宋体" w:hAnsi="宋体"/>
          <w:color w:val="auto"/>
          <w:highlight w:val="none"/>
        </w:rPr>
      </w:pPr>
      <w:r>
        <w:rPr>
          <w:rFonts w:ascii="宋体" w:hAnsi="宋体"/>
          <w:color w:val="auto"/>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line="240" w:lineRule="auto"/>
        <w:ind w:firstLine="137"/>
        <w:rPr>
          <w:rFonts w:ascii="宋体" w:hAnsi="宋体"/>
          <w:color w:val="auto"/>
          <w:highlight w:val="none"/>
        </w:rPr>
      </w:pPr>
      <w:bookmarkStart w:id="470" w:name="_Toc20170"/>
      <w:bookmarkStart w:id="471" w:name="_Toc492300635"/>
      <w:r>
        <w:rPr>
          <w:rFonts w:ascii="宋体" w:hAnsi="宋体"/>
          <w:color w:val="auto"/>
          <w:highlight w:val="none"/>
        </w:rPr>
        <w:t>3.3 投标文件的澄清</w:t>
      </w:r>
      <w:bookmarkEnd w:id="470"/>
      <w:bookmarkEnd w:id="471"/>
    </w:p>
    <w:p>
      <w:pPr>
        <w:spacing w:line="400" w:lineRule="exact"/>
        <w:ind w:firstLine="420" w:firstLineChars="200"/>
        <w:rPr>
          <w:rFonts w:ascii="宋体" w:hAnsi="宋体"/>
          <w:color w:val="auto"/>
          <w:highlight w:val="none"/>
        </w:rPr>
      </w:pPr>
      <w:r>
        <w:rPr>
          <w:rFonts w:ascii="宋体" w:hAnsi="宋体"/>
          <w:color w:val="auto"/>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20" w:firstLineChars="200"/>
        <w:rPr>
          <w:rFonts w:ascii="宋体" w:hAnsi="宋体"/>
          <w:color w:val="auto"/>
          <w:highlight w:val="none"/>
        </w:rPr>
      </w:pPr>
      <w:r>
        <w:rPr>
          <w:rFonts w:ascii="宋体" w:hAnsi="宋体"/>
          <w:color w:val="auto"/>
          <w:highlight w:val="none"/>
        </w:rPr>
        <w:t>3.3.2澄清、说明或补正不得超出投标文件的范围且不得改变投标文件的实质性内容，并构成投标文件的组成部分。</w:t>
      </w:r>
    </w:p>
    <w:p>
      <w:pPr>
        <w:spacing w:line="400" w:lineRule="exact"/>
        <w:ind w:firstLine="420" w:firstLineChars="200"/>
        <w:rPr>
          <w:rFonts w:ascii="宋体" w:hAnsi="宋体"/>
          <w:color w:val="auto"/>
          <w:highlight w:val="none"/>
        </w:rPr>
      </w:pPr>
      <w:r>
        <w:rPr>
          <w:rFonts w:ascii="宋体" w:hAnsi="宋体"/>
          <w:color w:val="auto"/>
          <w:highlight w:val="none"/>
        </w:rPr>
        <w:t>3.3.3评标委员会对投标人提交的澄清、说明或补正有疑问的，可以要求投标人进一步澄清、说明或补正，直至满足评标委员会的要求。</w:t>
      </w:r>
    </w:p>
    <w:p>
      <w:pPr>
        <w:pStyle w:val="5"/>
        <w:spacing w:line="240" w:lineRule="auto"/>
        <w:ind w:firstLine="137"/>
        <w:rPr>
          <w:rFonts w:ascii="宋体" w:hAnsi="宋体"/>
          <w:color w:val="auto"/>
          <w:highlight w:val="none"/>
        </w:rPr>
      </w:pPr>
      <w:bookmarkStart w:id="472" w:name="_Toc2330"/>
      <w:bookmarkStart w:id="473" w:name="_Toc492300636"/>
      <w:r>
        <w:rPr>
          <w:rFonts w:ascii="宋体" w:hAnsi="宋体"/>
          <w:color w:val="auto"/>
          <w:highlight w:val="none"/>
        </w:rPr>
        <w:t>3.4 评标结果</w:t>
      </w:r>
      <w:bookmarkEnd w:id="472"/>
      <w:bookmarkEnd w:id="473"/>
    </w:p>
    <w:p>
      <w:pPr>
        <w:spacing w:line="400" w:lineRule="exact"/>
        <w:ind w:firstLine="420" w:firstLineChars="200"/>
        <w:rPr>
          <w:rFonts w:ascii="宋体" w:hAnsi="宋体"/>
          <w:color w:val="auto"/>
          <w:highlight w:val="none"/>
        </w:rPr>
      </w:pPr>
      <w:r>
        <w:rPr>
          <w:rFonts w:ascii="宋体" w:hAnsi="宋体"/>
          <w:color w:val="auto"/>
          <w:highlight w:val="none"/>
        </w:rPr>
        <w:t>3.4.1除第二章“投标人须知”前附表授权直接确定中标人外，评标委员会按照得分由高到低的顺序推荐中标候选人，并标明排序。</w:t>
      </w:r>
    </w:p>
    <w:p>
      <w:pPr>
        <w:spacing w:line="400" w:lineRule="exact"/>
        <w:ind w:firstLine="420" w:firstLineChars="200"/>
        <w:rPr>
          <w:rFonts w:ascii="宋体" w:hAnsi="宋体"/>
          <w:color w:val="auto"/>
          <w:highlight w:val="none"/>
        </w:rPr>
      </w:pPr>
      <w:r>
        <w:rPr>
          <w:rFonts w:ascii="宋体" w:hAnsi="宋体"/>
          <w:color w:val="auto"/>
          <w:highlight w:val="none"/>
        </w:rPr>
        <w:t>3.4.2评标委员会完成评标后，应当向招标人提交书面评标报告和中标候选人名单。</w:t>
      </w:r>
    </w:p>
    <w:p>
      <w:pPr>
        <w:rPr>
          <w:color w:val="auto"/>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br w:type="page"/>
      </w:r>
      <w:bookmarkEnd w:id="391"/>
      <w:bookmarkStart w:id="474" w:name="_Toc10735"/>
      <w:bookmarkEnd w:id="474"/>
      <w:bookmarkStart w:id="475" w:name="_Toc28889"/>
      <w:bookmarkEnd w:id="475"/>
    </w:p>
    <w:p>
      <w:pPr>
        <w:jc w:val="center"/>
        <w:rPr>
          <w:rFonts w:ascii="宋体" w:hAnsi="宋体"/>
          <w:color w:val="auto"/>
          <w:sz w:val="28"/>
          <w:szCs w:val="28"/>
          <w:highlight w:val="none"/>
        </w:rPr>
      </w:pPr>
      <w:r>
        <w:rPr>
          <w:rFonts w:hint="eastAsia" w:ascii="宋体" w:hAnsi="宋体"/>
          <w:color w:val="auto"/>
          <w:sz w:val="28"/>
          <w:szCs w:val="28"/>
          <w:highlight w:val="none"/>
        </w:rPr>
        <w:t xml:space="preserve"> </w:t>
      </w:r>
      <w:bookmarkStart w:id="476" w:name="_Toc27723"/>
      <w:bookmarkEnd w:id="476"/>
      <w:bookmarkStart w:id="477" w:name="_Toc28296"/>
      <w:bookmarkEnd w:id="477"/>
      <w:bookmarkStart w:id="478" w:name="_Toc21368"/>
      <w:bookmarkEnd w:id="478"/>
      <w:bookmarkStart w:id="479" w:name="_Toc8500"/>
      <w:bookmarkStart w:id="480" w:name="_Toc530640833"/>
      <w:r>
        <w:rPr>
          <w:rFonts w:hint="eastAsia" w:ascii="宋体" w:hAnsi="宋体"/>
          <w:color w:val="auto"/>
          <w:sz w:val="28"/>
          <w:szCs w:val="28"/>
          <w:highlight w:val="none"/>
        </w:rPr>
        <w:t>第四章  合同条款及格式</w:t>
      </w:r>
      <w:bookmarkEnd w:id="479"/>
      <w:bookmarkEnd w:id="480"/>
    </w:p>
    <w:p>
      <w:pPr>
        <w:jc w:val="center"/>
        <w:rPr>
          <w:rFonts w:ascii="宋体" w:hAnsi="宋体"/>
          <w:color w:val="auto"/>
          <w:sz w:val="28"/>
          <w:szCs w:val="28"/>
          <w:highlight w:val="none"/>
        </w:rPr>
      </w:pPr>
      <w:r>
        <w:rPr>
          <w:rFonts w:hint="eastAsia" w:ascii="宋体" w:hAnsi="宋体"/>
          <w:color w:val="auto"/>
          <w:sz w:val="28"/>
          <w:szCs w:val="28"/>
          <w:highlight w:val="none"/>
        </w:rPr>
        <w:t>（另册）</w:t>
      </w:r>
    </w:p>
    <w:p>
      <w:pPr>
        <w:ind w:firstLine="422" w:firstLineChars="200"/>
        <w:rPr>
          <w:rFonts w:ascii="宋体" w:hAnsi="宋体"/>
          <w:b/>
          <w:bCs/>
          <w:color w:val="auto"/>
          <w:highlight w:val="none"/>
        </w:rPr>
      </w:pPr>
      <w:r>
        <w:rPr>
          <w:rFonts w:hint="eastAsia" w:ascii="宋体" w:hAnsi="宋体"/>
          <w:b/>
          <w:bCs/>
          <w:color w:val="auto"/>
          <w:highlight w:val="none"/>
        </w:rPr>
        <w:t xml:space="preserve"> </w:t>
      </w:r>
    </w:p>
    <w:p>
      <w:pPr>
        <w:ind w:firstLine="422" w:firstLineChars="200"/>
        <w:rPr>
          <w:rFonts w:ascii="宋体" w:hAnsi="宋体"/>
          <w:b/>
          <w:bCs/>
          <w:color w:val="auto"/>
          <w:highlight w:val="none"/>
        </w:rPr>
      </w:pPr>
      <w:r>
        <w:rPr>
          <w:rFonts w:hint="eastAsia" w:ascii="宋体" w:hAnsi="宋体"/>
          <w:b/>
          <w:bCs/>
          <w:color w:val="auto"/>
          <w:highlight w:val="none"/>
        </w:rPr>
        <w:t xml:space="preserve"> </w:t>
      </w: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ind w:firstLine="422" w:firstLineChars="200"/>
        <w:rPr>
          <w:rFonts w:ascii="宋体" w:hAnsi="宋体"/>
          <w:b/>
          <w:bCs/>
          <w:color w:val="auto"/>
          <w:highlight w:val="none"/>
        </w:rPr>
      </w:pPr>
    </w:p>
    <w:p>
      <w:pPr>
        <w:jc w:val="center"/>
        <w:rPr>
          <w:rFonts w:ascii="宋体" w:hAnsi="宋体"/>
          <w:b/>
          <w:bCs/>
          <w:color w:val="auto"/>
          <w:highlight w:val="none"/>
        </w:rPr>
      </w:pPr>
      <w:r>
        <w:rPr>
          <w:rFonts w:hint="eastAsia" w:ascii="宋体" w:hAnsi="宋体"/>
          <w:b/>
          <w:bCs/>
          <w:color w:val="auto"/>
          <w:sz w:val="52"/>
          <w:szCs w:val="52"/>
          <w:highlight w:val="none"/>
        </w:rPr>
        <w:t>第二卷</w:t>
      </w:r>
    </w:p>
    <w:p>
      <w:pPr>
        <w:ind w:firstLine="422" w:firstLineChars="200"/>
        <w:jc w:val="center"/>
        <w:rPr>
          <w:rFonts w:ascii="宋体" w:hAnsi="宋体"/>
          <w:b/>
          <w:bCs/>
          <w:color w:val="auto"/>
          <w:highlight w:val="none"/>
        </w:rPr>
      </w:pPr>
      <w:r>
        <w:rPr>
          <w:rFonts w:hint="eastAsia" w:ascii="宋体" w:hAnsi="宋体"/>
          <w:b/>
          <w:bCs/>
          <w:color w:val="auto"/>
          <w:highlight w:val="none"/>
        </w:rPr>
        <w:br w:type="page"/>
      </w:r>
      <w:bookmarkStart w:id="481" w:name="_Toc19059"/>
      <w:bookmarkEnd w:id="481"/>
      <w:bookmarkStart w:id="482" w:name="_Toc1562"/>
      <w:bookmarkEnd w:id="482"/>
      <w:bookmarkStart w:id="483" w:name="_Toc8835"/>
      <w:bookmarkEnd w:id="483"/>
      <w:bookmarkStart w:id="484" w:name="_Toc530640834"/>
      <w:bookmarkStart w:id="485" w:name="_Toc530640835"/>
    </w:p>
    <w:p>
      <w:pPr>
        <w:ind w:firstLine="720" w:firstLineChars="200"/>
        <w:jc w:val="center"/>
        <w:rPr>
          <w:rFonts w:ascii="宋体" w:hAnsi="宋体"/>
          <w:color w:val="auto"/>
          <w:sz w:val="36"/>
          <w:szCs w:val="36"/>
          <w:highlight w:val="none"/>
        </w:rPr>
      </w:pPr>
      <w:r>
        <w:rPr>
          <w:rFonts w:hint="eastAsia" w:ascii="宋体" w:hAnsi="宋体"/>
          <w:color w:val="auto"/>
          <w:sz w:val="36"/>
          <w:szCs w:val="36"/>
          <w:highlight w:val="none"/>
        </w:rPr>
        <w:t>第五章  委托人要求</w:t>
      </w:r>
      <w:bookmarkEnd w:id="484"/>
      <w:bookmarkEnd w:id="485"/>
    </w:p>
    <w:p>
      <w:pPr>
        <w:ind w:firstLine="720" w:firstLineChars="200"/>
        <w:jc w:val="center"/>
        <w:rPr>
          <w:rFonts w:ascii="宋体" w:hAnsi="宋体"/>
          <w:color w:val="auto"/>
          <w:sz w:val="36"/>
          <w:szCs w:val="36"/>
          <w:highlight w:val="none"/>
        </w:rPr>
      </w:pPr>
    </w:p>
    <w:p>
      <w:pPr>
        <w:spacing w:line="360" w:lineRule="auto"/>
        <w:ind w:firstLine="482" w:firstLineChars="200"/>
        <w:rPr>
          <w:rFonts w:ascii="仿宋_GB2312" w:eastAsia="仿宋_GB2312"/>
          <w:b/>
          <w:bCs/>
          <w:color w:val="auto"/>
          <w:sz w:val="24"/>
          <w:szCs w:val="24"/>
          <w:highlight w:val="none"/>
        </w:rPr>
      </w:pPr>
      <w:bookmarkStart w:id="486" w:name="_Toc393961883"/>
      <w:bookmarkEnd w:id="486"/>
      <w:bookmarkStart w:id="487" w:name="_Toc28731"/>
      <w:bookmarkEnd w:id="487"/>
      <w:bookmarkStart w:id="488" w:name="_Toc514170140"/>
      <w:bookmarkEnd w:id="488"/>
      <w:bookmarkStart w:id="489" w:name="_Toc18043"/>
      <w:bookmarkEnd w:id="489"/>
      <w:bookmarkStart w:id="490" w:name="_Toc2044"/>
      <w:bookmarkEnd w:id="490"/>
      <w:bookmarkStart w:id="491" w:name="_Toc12619"/>
      <w:bookmarkEnd w:id="491"/>
      <w:bookmarkStart w:id="492" w:name="_Toc32612"/>
      <w:bookmarkEnd w:id="492"/>
      <w:bookmarkStart w:id="493" w:name="_Toc9576"/>
      <w:bookmarkEnd w:id="493"/>
      <w:bookmarkStart w:id="494" w:name="_Toc28976"/>
      <w:bookmarkEnd w:id="494"/>
      <w:bookmarkStart w:id="495" w:name="_Toc32471"/>
      <w:bookmarkEnd w:id="495"/>
      <w:bookmarkStart w:id="496" w:name="_Toc32030"/>
      <w:bookmarkEnd w:id="496"/>
      <w:bookmarkStart w:id="497" w:name="_Toc528076699"/>
      <w:r>
        <w:rPr>
          <w:rFonts w:hint="eastAsia" w:ascii="仿宋_GB2312" w:eastAsia="仿宋_GB2312"/>
          <w:b/>
          <w:bCs/>
          <w:color w:val="auto"/>
          <w:sz w:val="24"/>
          <w:szCs w:val="24"/>
          <w:highlight w:val="none"/>
        </w:rPr>
        <w:t>一、工程概况：</w:t>
      </w:r>
    </w:p>
    <w:p>
      <w:pPr>
        <w:spacing w:line="360" w:lineRule="auto"/>
        <w:ind w:firstLine="480" w:firstLineChars="200"/>
        <w:rPr>
          <w:color w:val="auto"/>
          <w:sz w:val="24"/>
          <w:szCs w:val="24"/>
          <w:highlight w:val="none"/>
        </w:rPr>
      </w:pPr>
      <w:r>
        <w:rPr>
          <w:rFonts w:hint="eastAsia"/>
          <w:color w:val="auto"/>
          <w:sz w:val="24"/>
          <w:szCs w:val="24"/>
          <w:highlight w:val="none"/>
        </w:rPr>
        <w:t>具体详见合同条款约定。</w:t>
      </w:r>
    </w:p>
    <w:p>
      <w:pPr>
        <w:spacing w:line="360" w:lineRule="auto"/>
        <w:ind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二、监理招标范围</w:t>
      </w:r>
      <w:bookmarkEnd w:id="497"/>
      <w:r>
        <w:rPr>
          <w:rFonts w:hint="eastAsia" w:ascii="仿宋_GB2312" w:eastAsia="仿宋_GB2312"/>
          <w:b/>
          <w:bCs/>
          <w:color w:val="auto"/>
          <w:sz w:val="24"/>
          <w:szCs w:val="24"/>
          <w:highlight w:val="none"/>
        </w:rPr>
        <w:t>及工作内容</w:t>
      </w:r>
    </w:p>
    <w:p>
      <w:pPr>
        <w:spacing w:line="360" w:lineRule="auto"/>
        <w:ind w:firstLine="480" w:firstLineChars="200"/>
        <w:rPr>
          <w:color w:val="auto"/>
          <w:sz w:val="24"/>
          <w:szCs w:val="24"/>
          <w:highlight w:val="none"/>
        </w:rPr>
      </w:pPr>
      <w:bookmarkStart w:id="498" w:name="_Toc528076700"/>
      <w:r>
        <w:rPr>
          <w:rFonts w:hint="eastAsia"/>
          <w:color w:val="auto"/>
          <w:sz w:val="24"/>
          <w:szCs w:val="24"/>
          <w:highlight w:val="none"/>
        </w:rPr>
        <w:t>具体详见合同条款约定。</w:t>
      </w:r>
    </w:p>
    <w:p>
      <w:pPr>
        <w:spacing w:line="360" w:lineRule="auto"/>
        <w:ind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三、监理服务期</w:t>
      </w:r>
    </w:p>
    <w:p>
      <w:pPr>
        <w:spacing w:line="360" w:lineRule="auto"/>
        <w:ind w:firstLine="480" w:firstLineChars="200"/>
        <w:rPr>
          <w:color w:val="auto"/>
          <w:sz w:val="24"/>
          <w:szCs w:val="24"/>
          <w:highlight w:val="none"/>
        </w:rPr>
      </w:pPr>
      <w:r>
        <w:rPr>
          <w:rFonts w:hint="eastAsia"/>
          <w:color w:val="auto"/>
          <w:sz w:val="24"/>
          <w:szCs w:val="24"/>
          <w:highlight w:val="none"/>
        </w:rPr>
        <w:t>具体详见合同条款约定。</w:t>
      </w:r>
    </w:p>
    <w:p>
      <w:pPr>
        <w:spacing w:line="360" w:lineRule="auto"/>
        <w:ind w:firstLine="480" w:firstLineChars="200"/>
        <w:rPr>
          <w:rFonts w:ascii="仿宋_GB2312" w:eastAsia="仿宋_GB2312"/>
          <w:b/>
          <w:bCs/>
          <w:color w:val="auto"/>
          <w:sz w:val="24"/>
          <w:szCs w:val="24"/>
          <w:highlight w:val="none"/>
        </w:rPr>
      </w:pPr>
      <w:r>
        <w:rPr>
          <w:rFonts w:hint="eastAsia"/>
          <w:color w:val="auto"/>
          <w:sz w:val="24"/>
          <w:szCs w:val="24"/>
          <w:highlight w:val="none"/>
        </w:rPr>
        <w:t xml:space="preserve"> </w:t>
      </w:r>
      <w:bookmarkEnd w:id="498"/>
      <w:r>
        <w:rPr>
          <w:rFonts w:hint="eastAsia" w:ascii="仿宋_GB2312" w:eastAsia="仿宋_GB2312"/>
          <w:b/>
          <w:bCs/>
          <w:color w:val="auto"/>
          <w:sz w:val="24"/>
          <w:szCs w:val="24"/>
          <w:highlight w:val="none"/>
        </w:rPr>
        <w:t>四、质量目标</w:t>
      </w:r>
    </w:p>
    <w:p>
      <w:pPr>
        <w:spacing w:line="360" w:lineRule="auto"/>
        <w:ind w:firstLine="480" w:firstLineChars="200"/>
        <w:rPr>
          <w:color w:val="auto"/>
          <w:sz w:val="24"/>
          <w:szCs w:val="24"/>
          <w:highlight w:val="none"/>
        </w:rPr>
      </w:pPr>
      <w:r>
        <w:rPr>
          <w:rFonts w:hint="eastAsia"/>
          <w:color w:val="auto"/>
          <w:sz w:val="24"/>
          <w:szCs w:val="24"/>
          <w:highlight w:val="none"/>
        </w:rPr>
        <w:t>具体详见合同条款约定。</w:t>
      </w:r>
    </w:p>
    <w:p>
      <w:pPr>
        <w:pStyle w:val="10"/>
        <w:numPr>
          <w:ilvl w:val="0"/>
          <w:numId w:val="4"/>
        </w:numPr>
        <w:ind w:firstLine="549" w:firstLineChars="228"/>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人员配备要求</w:t>
      </w:r>
    </w:p>
    <w:p>
      <w:pPr>
        <w:jc w:val="cente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监理机构人员配备要求</w:t>
      </w:r>
      <w:r>
        <w:rPr>
          <w:rFonts w:hint="eastAsia" w:ascii="宋体" w:hAnsi="宋体"/>
          <w:b/>
          <w:bCs/>
          <w:color w:val="auto"/>
          <w:sz w:val="24"/>
          <w:szCs w:val="24"/>
          <w:highlight w:val="none"/>
          <w:lang w:val="en-US" w:eastAsia="zh-CN"/>
        </w:rPr>
        <w:t>表</w:t>
      </w:r>
    </w:p>
    <w:tbl>
      <w:tblPr>
        <w:tblStyle w:val="2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412"/>
        <w:gridCol w:w="840"/>
        <w:gridCol w:w="3034"/>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岗位</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人员要求</w:t>
            </w:r>
          </w:p>
        </w:tc>
        <w:tc>
          <w:tcPr>
            <w:tcW w:w="6104"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Cs/>
                <w:color w:val="auto"/>
                <w:sz w:val="24"/>
                <w:szCs w:val="24"/>
                <w:highlight w:val="none"/>
              </w:rPr>
            </w:pPr>
            <w:r>
              <w:rPr>
                <w:rFonts w:hint="eastAsia" w:ascii="宋体" w:hAnsi="宋体"/>
                <w:bCs/>
                <w:color w:val="auto"/>
                <w:sz w:val="24"/>
                <w:szCs w:val="24"/>
                <w:highlight w:val="none"/>
              </w:rPr>
              <w:t>总监理工程师</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名</w:t>
            </w:r>
          </w:p>
        </w:tc>
        <w:tc>
          <w:tcPr>
            <w:tcW w:w="6104"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Cs/>
                <w:color w:val="auto"/>
                <w:sz w:val="24"/>
                <w:szCs w:val="24"/>
                <w:highlight w:val="none"/>
              </w:rPr>
            </w:pPr>
            <w:r>
              <w:rPr>
                <w:rFonts w:hint="eastAsia" w:ascii="宋体" w:hAnsi="宋体"/>
                <w:bCs/>
                <w:color w:val="auto"/>
                <w:sz w:val="24"/>
                <w:szCs w:val="24"/>
                <w:highlight w:val="none"/>
              </w:rPr>
              <w:t>要求为注册监理工程师、注册专业为房屋建筑工程，并具有本科或以上的学历。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Cs/>
                <w:color w:val="auto"/>
                <w:sz w:val="24"/>
                <w:szCs w:val="24"/>
                <w:highlight w:val="none"/>
              </w:rPr>
            </w:pPr>
            <w:r>
              <w:rPr>
                <w:rFonts w:hint="eastAsia" w:ascii="宋体" w:hAnsi="宋体"/>
                <w:bCs/>
                <w:color w:val="auto"/>
                <w:sz w:val="24"/>
                <w:szCs w:val="24"/>
                <w:highlight w:val="none"/>
              </w:rPr>
              <w:t>总监理工程师</w:t>
            </w:r>
          </w:p>
          <w:p>
            <w:pPr>
              <w:spacing w:line="380" w:lineRule="exact"/>
              <w:ind w:firstLine="480" w:firstLineChars="200"/>
              <w:jc w:val="center"/>
              <w:rPr>
                <w:rFonts w:ascii="宋体" w:hAnsi="宋体"/>
                <w:bCs/>
                <w:color w:val="auto"/>
                <w:sz w:val="24"/>
                <w:szCs w:val="24"/>
                <w:highlight w:val="none"/>
              </w:rPr>
            </w:pPr>
            <w:r>
              <w:rPr>
                <w:rFonts w:hint="eastAsia" w:ascii="宋体" w:hAnsi="宋体"/>
                <w:bCs/>
                <w:color w:val="auto"/>
                <w:sz w:val="24"/>
                <w:szCs w:val="24"/>
                <w:highlight w:val="none"/>
              </w:rPr>
              <w:t>代表</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名</w:t>
            </w:r>
          </w:p>
        </w:tc>
        <w:tc>
          <w:tcPr>
            <w:tcW w:w="6104"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Cs/>
                <w:color w:val="auto"/>
                <w:sz w:val="24"/>
                <w:szCs w:val="24"/>
                <w:highlight w:val="none"/>
              </w:rPr>
            </w:pPr>
            <w:r>
              <w:rPr>
                <w:rFonts w:hint="eastAsia" w:ascii="宋体" w:hAnsi="宋体"/>
                <w:bCs/>
                <w:color w:val="auto"/>
                <w:sz w:val="24"/>
                <w:szCs w:val="24"/>
                <w:highlight w:val="none"/>
              </w:rPr>
              <w:t>要求为注册监理工程师、注册专业为房屋建筑工程。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762" w:type="dxa"/>
            <w:noWrap w:val="0"/>
            <w:vAlign w:val="center"/>
          </w:tcPr>
          <w:p>
            <w:pPr>
              <w:spacing w:line="380" w:lineRule="exact"/>
              <w:jc w:val="center"/>
              <w:rPr>
                <w:rFonts w:ascii="宋体" w:hAnsi="宋体"/>
                <w:bCs/>
                <w:color w:val="auto"/>
                <w:sz w:val="24"/>
                <w:szCs w:val="24"/>
                <w:highlight w:val="none"/>
              </w:rPr>
            </w:pPr>
            <w:r>
              <w:rPr>
                <w:rFonts w:hint="eastAsia" w:ascii="宋体" w:hAnsi="宋体"/>
                <w:bCs/>
                <w:color w:val="auto"/>
                <w:sz w:val="24"/>
                <w:szCs w:val="24"/>
                <w:highlight w:val="none"/>
              </w:rPr>
              <w:t>专业监理工程师（工程师职称或以上）</w:t>
            </w:r>
          </w:p>
        </w:tc>
        <w:tc>
          <w:tcPr>
            <w:tcW w:w="1412" w:type="dxa"/>
            <w:noWrap w:val="0"/>
            <w:vAlign w:val="center"/>
          </w:tcPr>
          <w:p>
            <w:pPr>
              <w:keepNext/>
              <w:keepLines/>
              <w:spacing w:line="276" w:lineRule="auto"/>
              <w:jc w:val="left"/>
              <w:rPr>
                <w:rFonts w:ascii="宋体" w:hAnsi="宋体"/>
                <w:b/>
                <w:bCs/>
                <w:color w:val="auto"/>
                <w:sz w:val="24"/>
                <w:szCs w:val="24"/>
                <w:highlight w:val="none"/>
              </w:rPr>
            </w:pPr>
            <w:r>
              <w:rPr>
                <w:rFonts w:hint="eastAsia" w:ascii="宋体" w:hAnsi="宋体"/>
                <w:color w:val="auto"/>
                <w:sz w:val="24"/>
                <w:szCs w:val="24"/>
                <w:highlight w:val="none"/>
              </w:rPr>
              <w:t>不少于</w:t>
            </w:r>
            <w:r>
              <w:rPr>
                <w:rFonts w:hint="eastAsia" w:ascii="宋体" w:hAnsi="宋体"/>
                <w:color w:val="auto"/>
                <w:sz w:val="24"/>
                <w:szCs w:val="24"/>
                <w:highlight w:val="none"/>
                <w:u w:val="single"/>
              </w:rPr>
              <w:t>3</w:t>
            </w:r>
            <w:r>
              <w:rPr>
                <w:rFonts w:hint="eastAsia" w:ascii="宋体" w:hAnsi="宋体"/>
                <w:color w:val="auto"/>
                <w:sz w:val="24"/>
                <w:szCs w:val="24"/>
                <w:highlight w:val="none"/>
              </w:rPr>
              <w:t>名</w:t>
            </w:r>
          </w:p>
        </w:tc>
        <w:tc>
          <w:tcPr>
            <w:tcW w:w="840" w:type="dxa"/>
            <w:noWrap w:val="0"/>
            <w:vAlign w:val="center"/>
          </w:tcPr>
          <w:p>
            <w:pPr>
              <w:keepNext/>
              <w:keepLines/>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建筑工程专业</w:t>
            </w:r>
          </w:p>
        </w:tc>
        <w:tc>
          <w:tcPr>
            <w:tcW w:w="3034" w:type="dxa"/>
            <w:noWrap w:val="0"/>
            <w:vAlign w:val="center"/>
          </w:tcPr>
          <w:p>
            <w:pPr>
              <w:keepNext/>
              <w:keepLines/>
              <w:spacing w:line="276" w:lineRule="auto"/>
              <w:jc w:val="left"/>
              <w:rPr>
                <w:rFonts w:ascii="宋体" w:hAnsi="宋体"/>
                <w:color w:val="auto"/>
                <w:sz w:val="24"/>
                <w:szCs w:val="24"/>
                <w:highlight w:val="none"/>
              </w:rPr>
            </w:pPr>
            <w:r>
              <w:rPr>
                <w:rFonts w:ascii="宋体" w:hAnsi="宋体" w:cs="宋体"/>
                <w:color w:val="auto"/>
                <w:sz w:val="24"/>
                <w:szCs w:val="24"/>
                <w:highlight w:val="none"/>
              </w:rPr>
              <w:sym w:font="Wingdings" w:char="00FE"/>
            </w:r>
            <w:r>
              <w:rPr>
                <w:rFonts w:hint="eastAsia" w:ascii="宋体" w:hAnsi="宋体"/>
                <w:color w:val="auto"/>
                <w:sz w:val="24"/>
                <w:szCs w:val="24"/>
                <w:highlight w:val="none"/>
              </w:rPr>
              <w:t>土建（建筑、土木）</w:t>
            </w:r>
            <w:r>
              <w:rPr>
                <w:rFonts w:hint="eastAsia" w:ascii="宋体" w:hAnsi="宋体"/>
                <w:color w:val="auto"/>
                <w:sz w:val="24"/>
                <w:szCs w:val="24"/>
                <w:highlight w:val="none"/>
                <w:u w:val="single"/>
              </w:rPr>
              <w:t>1</w:t>
            </w:r>
            <w:r>
              <w:rPr>
                <w:rFonts w:hint="eastAsia" w:ascii="宋体" w:hAnsi="宋体"/>
                <w:color w:val="auto"/>
                <w:sz w:val="24"/>
                <w:szCs w:val="24"/>
                <w:highlight w:val="none"/>
              </w:rPr>
              <w:t>名、</w:t>
            </w:r>
          </w:p>
          <w:p>
            <w:pPr>
              <w:keepNext/>
              <w:keepLines/>
              <w:spacing w:line="276" w:lineRule="auto"/>
              <w:jc w:val="left"/>
              <w:rPr>
                <w:rFonts w:ascii="宋体" w:hAnsi="宋体"/>
                <w:color w:val="auto"/>
                <w:sz w:val="24"/>
                <w:szCs w:val="24"/>
                <w:highlight w:val="none"/>
              </w:rPr>
            </w:pPr>
            <w:r>
              <w:rPr>
                <w:rFonts w:ascii="宋体" w:hAnsi="宋体" w:cs="宋体"/>
                <w:color w:val="auto"/>
                <w:sz w:val="24"/>
                <w:szCs w:val="24"/>
                <w:highlight w:val="none"/>
              </w:rPr>
              <w:sym w:font="Wingdings" w:char="00FE"/>
            </w:r>
            <w:r>
              <w:rPr>
                <w:rFonts w:hint="eastAsia"/>
                <w:color w:val="auto"/>
                <w:sz w:val="24"/>
                <w:szCs w:val="24"/>
                <w:highlight w:val="none"/>
              </w:rPr>
              <w:t>电气</w:t>
            </w:r>
            <w:r>
              <w:rPr>
                <w:rFonts w:hint="eastAsia" w:ascii="宋体" w:hAnsi="宋体"/>
                <w:color w:val="auto"/>
                <w:sz w:val="24"/>
                <w:szCs w:val="24"/>
                <w:highlight w:val="none"/>
                <w:u w:val="single"/>
              </w:rPr>
              <w:t>1</w:t>
            </w:r>
            <w:r>
              <w:rPr>
                <w:rFonts w:hint="eastAsia" w:ascii="宋体" w:hAnsi="宋体"/>
                <w:color w:val="auto"/>
                <w:sz w:val="24"/>
                <w:szCs w:val="24"/>
                <w:highlight w:val="none"/>
              </w:rPr>
              <w:t>名</w:t>
            </w:r>
          </w:p>
          <w:p>
            <w:pPr>
              <w:pStyle w:val="24"/>
              <w:spacing w:before="156"/>
              <w:ind w:firstLine="0" w:firstLineChars="0"/>
              <w:rPr>
                <w:rFonts w:ascii="宋体" w:hAnsi="宋体" w:cs="宋体"/>
                <w:color w:val="auto"/>
                <w:sz w:val="24"/>
                <w:szCs w:val="24"/>
                <w:highlight w:val="none"/>
                <w:lang w:val="en-US" w:eastAsia="zh-CN"/>
              </w:rPr>
            </w:pPr>
            <w:r>
              <w:rPr>
                <w:rFonts w:ascii="宋体" w:hAnsi="宋体" w:cs="宋体"/>
                <w:color w:val="auto"/>
                <w:sz w:val="24"/>
                <w:szCs w:val="24"/>
                <w:highlight w:val="none"/>
                <w:lang w:val="en-US" w:eastAsia="zh-CN"/>
              </w:rPr>
              <w:sym w:font="Wingdings" w:char="00FE"/>
            </w:r>
            <w:r>
              <w:rPr>
                <w:rFonts w:hint="eastAsia" w:ascii="宋体" w:hAnsi="宋体" w:cs="宋体"/>
                <w:color w:val="auto"/>
                <w:sz w:val="24"/>
                <w:szCs w:val="24"/>
                <w:highlight w:val="none"/>
                <w:lang w:val="en-US" w:eastAsia="zh-CN"/>
              </w:rPr>
              <w:t>建筑装修装饰</w:t>
            </w:r>
            <w:r>
              <w:rPr>
                <w:rFonts w:ascii="宋体" w:hAnsi="宋体" w:cs="宋体"/>
                <w:color w:val="auto"/>
                <w:sz w:val="24"/>
                <w:szCs w:val="24"/>
                <w:highlight w:val="none"/>
                <w:lang w:val="en-US" w:eastAsia="zh-CN"/>
              </w:rPr>
              <w:t>1名</w:t>
            </w:r>
          </w:p>
        </w:tc>
        <w:tc>
          <w:tcPr>
            <w:tcW w:w="2230" w:type="dxa"/>
            <w:noWrap w:val="0"/>
            <w:vAlign w:val="center"/>
          </w:tcPr>
          <w:p>
            <w:pPr>
              <w:spacing w:line="240" w:lineRule="atLeast"/>
              <w:jc w:val="center"/>
              <w:rPr>
                <w:rFonts w:ascii="宋体" w:hAnsi="宋体"/>
                <w:color w:val="auto"/>
                <w:sz w:val="24"/>
                <w:szCs w:val="24"/>
                <w:highlight w:val="none"/>
              </w:rPr>
            </w:pPr>
            <w:r>
              <w:rPr>
                <w:rFonts w:hint="eastAsia" w:ascii="宋体" w:hAnsi="宋体"/>
                <w:color w:val="auto"/>
                <w:sz w:val="24"/>
                <w:szCs w:val="24"/>
                <w:highlight w:val="none"/>
              </w:rPr>
              <w:t>专业以监理工程师注册证或专业监理工程师证或注册资格证或职称证或毕业证中的专业名称（含相近专业）为准；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62" w:type="dxa"/>
            <w:noWrap w:val="0"/>
            <w:vAlign w:val="center"/>
          </w:tcPr>
          <w:p>
            <w:pPr>
              <w:spacing w:line="380" w:lineRule="exact"/>
              <w:jc w:val="center"/>
              <w:rPr>
                <w:rFonts w:ascii="宋体" w:hAnsi="宋体"/>
                <w:bCs/>
                <w:color w:val="auto"/>
                <w:sz w:val="24"/>
                <w:szCs w:val="24"/>
                <w:highlight w:val="none"/>
              </w:rPr>
            </w:pPr>
            <w:r>
              <w:rPr>
                <w:rFonts w:hint="eastAsia" w:ascii="宋体" w:hAnsi="宋体"/>
                <w:bCs/>
                <w:color w:val="auto"/>
                <w:sz w:val="24"/>
                <w:szCs w:val="24"/>
                <w:highlight w:val="none"/>
              </w:rPr>
              <w:t>资料员</w:t>
            </w:r>
          </w:p>
        </w:tc>
        <w:tc>
          <w:tcPr>
            <w:tcW w:w="1412" w:type="dxa"/>
            <w:noWrap w:val="0"/>
            <w:vAlign w:val="center"/>
          </w:tcPr>
          <w:p>
            <w:pPr>
              <w:keepNext/>
              <w:keepLines/>
              <w:spacing w:line="276" w:lineRule="auto"/>
              <w:jc w:val="left"/>
              <w:rPr>
                <w:rFonts w:ascii="宋体" w:hAnsi="宋体"/>
                <w:color w:val="auto"/>
                <w:sz w:val="24"/>
                <w:szCs w:val="24"/>
                <w:highlight w:val="none"/>
                <w:u w:val="single"/>
              </w:rPr>
            </w:pPr>
            <w:r>
              <w:rPr>
                <w:rFonts w:hint="eastAsia" w:ascii="宋体" w:hAnsi="宋体"/>
                <w:color w:val="auto"/>
                <w:sz w:val="24"/>
                <w:szCs w:val="24"/>
                <w:highlight w:val="none"/>
              </w:rPr>
              <w:t>不少于</w:t>
            </w:r>
            <w:r>
              <w:rPr>
                <w:rFonts w:ascii="宋体" w:hAnsi="宋体"/>
                <w:color w:val="auto"/>
                <w:sz w:val="24"/>
                <w:szCs w:val="24"/>
                <w:highlight w:val="none"/>
                <w:u w:val="single"/>
              </w:rPr>
              <w:t>1</w:t>
            </w:r>
            <w:r>
              <w:rPr>
                <w:rFonts w:hint="eastAsia" w:ascii="宋体" w:hAnsi="宋体"/>
                <w:color w:val="auto"/>
                <w:sz w:val="24"/>
                <w:szCs w:val="24"/>
                <w:highlight w:val="none"/>
                <w:u w:val="single"/>
              </w:rPr>
              <w:t>名</w:t>
            </w:r>
          </w:p>
        </w:tc>
        <w:tc>
          <w:tcPr>
            <w:tcW w:w="6104" w:type="dxa"/>
            <w:gridSpan w:val="3"/>
            <w:noWrap w:val="0"/>
            <w:vAlign w:val="center"/>
          </w:tcPr>
          <w:p>
            <w:pPr>
              <w:keepNext/>
              <w:keepLines/>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具有助理工程师（或以上）职称证或监理员证。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62" w:type="dxa"/>
            <w:noWrap w:val="0"/>
            <w:vAlign w:val="center"/>
          </w:tcPr>
          <w:p>
            <w:pPr>
              <w:spacing w:line="38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造价工程师</w:t>
            </w:r>
          </w:p>
        </w:tc>
        <w:tc>
          <w:tcPr>
            <w:tcW w:w="1412" w:type="dxa"/>
            <w:noWrap w:val="0"/>
            <w:vAlign w:val="center"/>
          </w:tcPr>
          <w:p>
            <w:pPr>
              <w:keepNext/>
              <w:keepLines/>
              <w:spacing w:line="276" w:lineRule="auto"/>
              <w:jc w:val="left"/>
              <w:rPr>
                <w:rFonts w:hint="eastAsia" w:ascii="宋体" w:hAnsi="宋体"/>
                <w:color w:val="auto"/>
                <w:sz w:val="24"/>
                <w:szCs w:val="24"/>
                <w:highlight w:val="none"/>
              </w:rPr>
            </w:pPr>
            <w:r>
              <w:rPr>
                <w:rFonts w:hint="eastAsia" w:ascii="宋体" w:hAnsi="宋体"/>
                <w:color w:val="auto"/>
                <w:sz w:val="24"/>
                <w:szCs w:val="24"/>
                <w:highlight w:val="none"/>
              </w:rPr>
              <w:t>不少于</w:t>
            </w:r>
            <w:r>
              <w:rPr>
                <w:rFonts w:hint="eastAsia" w:ascii="宋体" w:hAnsi="宋体"/>
                <w:color w:val="auto"/>
                <w:sz w:val="24"/>
                <w:szCs w:val="24"/>
                <w:highlight w:val="none"/>
                <w:u w:val="single"/>
              </w:rPr>
              <w:t>1</w:t>
            </w:r>
            <w:r>
              <w:rPr>
                <w:rFonts w:hint="eastAsia" w:ascii="宋体" w:hAnsi="宋体"/>
                <w:color w:val="auto"/>
                <w:sz w:val="24"/>
                <w:szCs w:val="24"/>
                <w:highlight w:val="none"/>
              </w:rPr>
              <w:t>名（无需驻场）</w:t>
            </w:r>
          </w:p>
        </w:tc>
        <w:tc>
          <w:tcPr>
            <w:tcW w:w="6104" w:type="dxa"/>
            <w:gridSpan w:val="3"/>
            <w:noWrap w:val="0"/>
            <w:vAlign w:val="center"/>
          </w:tcPr>
          <w:p>
            <w:pPr>
              <w:keepNext/>
              <w:keepLines/>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具有国家注册造价工程师执业资格证或一级注册造价工程师职业资格证。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62" w:type="dxa"/>
            <w:noWrap w:val="0"/>
            <w:vAlign w:val="center"/>
          </w:tcPr>
          <w:p>
            <w:pPr>
              <w:spacing w:line="380" w:lineRule="exact"/>
              <w:jc w:val="center"/>
              <w:rPr>
                <w:rFonts w:ascii="宋体" w:hAnsi="宋体"/>
                <w:bCs/>
                <w:color w:val="auto"/>
                <w:sz w:val="24"/>
                <w:szCs w:val="24"/>
                <w:highlight w:val="none"/>
              </w:rPr>
            </w:pPr>
            <w:r>
              <w:rPr>
                <w:rFonts w:hint="eastAsia" w:ascii="宋体" w:hAnsi="宋体"/>
                <w:bCs/>
                <w:color w:val="auto"/>
                <w:sz w:val="24"/>
                <w:szCs w:val="24"/>
                <w:highlight w:val="none"/>
              </w:rPr>
              <w:t>总计</w:t>
            </w:r>
          </w:p>
        </w:tc>
        <w:tc>
          <w:tcPr>
            <w:tcW w:w="1412" w:type="dxa"/>
            <w:noWrap w:val="0"/>
            <w:vAlign w:val="center"/>
          </w:tcPr>
          <w:p>
            <w:pPr>
              <w:keepNext/>
              <w:keepLines/>
              <w:spacing w:line="276" w:lineRule="auto"/>
              <w:jc w:val="left"/>
              <w:rPr>
                <w:rFonts w:ascii="宋体" w:hAnsi="宋体"/>
                <w:b/>
                <w:bCs/>
                <w:color w:val="auto"/>
                <w:sz w:val="24"/>
                <w:szCs w:val="24"/>
                <w:highlight w:val="none"/>
              </w:rPr>
            </w:pPr>
            <w:r>
              <w:rPr>
                <w:rFonts w:hint="eastAsia" w:ascii="宋体" w:hAnsi="宋体"/>
                <w:color w:val="auto"/>
                <w:sz w:val="24"/>
                <w:szCs w:val="24"/>
                <w:highlight w:val="none"/>
              </w:rPr>
              <w:t>不少于</w:t>
            </w:r>
            <w:r>
              <w:rPr>
                <w:rFonts w:hint="eastAsia" w:ascii="宋体" w:hAnsi="宋体"/>
                <w:color w:val="auto"/>
                <w:sz w:val="24"/>
                <w:szCs w:val="24"/>
                <w:highlight w:val="none"/>
                <w:u w:val="single"/>
              </w:rPr>
              <w:t>7</w:t>
            </w:r>
            <w:r>
              <w:rPr>
                <w:rFonts w:hint="eastAsia" w:ascii="宋体" w:hAnsi="宋体"/>
                <w:color w:val="auto"/>
                <w:sz w:val="24"/>
                <w:szCs w:val="24"/>
                <w:highlight w:val="none"/>
              </w:rPr>
              <w:t>名</w:t>
            </w:r>
          </w:p>
        </w:tc>
        <w:tc>
          <w:tcPr>
            <w:tcW w:w="6104" w:type="dxa"/>
            <w:gridSpan w:val="3"/>
            <w:noWrap w:val="0"/>
            <w:vAlign w:val="center"/>
          </w:tcPr>
          <w:p>
            <w:pPr>
              <w:keepNext/>
              <w:keepLines/>
              <w:spacing w:line="276" w:lineRule="auto"/>
              <w:jc w:val="left"/>
              <w:rPr>
                <w:rFonts w:ascii="宋体" w:hAnsi="宋体"/>
                <w:color w:val="auto"/>
                <w:sz w:val="24"/>
                <w:szCs w:val="24"/>
                <w:highlight w:val="none"/>
              </w:rPr>
            </w:pPr>
          </w:p>
        </w:tc>
      </w:tr>
    </w:tbl>
    <w:p>
      <w:pPr>
        <w:spacing w:line="380" w:lineRule="exact"/>
        <w:ind w:firstLine="480" w:firstLineChars="200"/>
        <w:rPr>
          <w:rFonts w:hint="eastAsia" w:ascii="宋体" w:hAnsi="宋体"/>
          <w:color w:val="auto"/>
          <w:sz w:val="24"/>
          <w:szCs w:val="24"/>
          <w:highlight w:val="none"/>
        </w:rPr>
      </w:pPr>
    </w:p>
    <w:tbl>
      <w:tblPr>
        <w:tblStyle w:val="26"/>
        <w:tblW w:w="4999" w:type="pct"/>
        <w:tblInd w:w="0" w:type="dxa"/>
        <w:tblLayout w:type="autofit"/>
        <w:tblCellMar>
          <w:top w:w="0" w:type="dxa"/>
          <w:left w:w="108" w:type="dxa"/>
          <w:bottom w:w="0" w:type="dxa"/>
          <w:right w:w="108" w:type="dxa"/>
        </w:tblCellMar>
      </w:tblPr>
      <w:tblGrid>
        <w:gridCol w:w="1896"/>
        <w:gridCol w:w="1323"/>
        <w:gridCol w:w="549"/>
        <w:gridCol w:w="735"/>
        <w:gridCol w:w="735"/>
        <w:gridCol w:w="688"/>
        <w:gridCol w:w="735"/>
        <w:gridCol w:w="709"/>
        <w:gridCol w:w="530"/>
        <w:gridCol w:w="696"/>
        <w:gridCol w:w="485"/>
        <w:gridCol w:w="772"/>
      </w:tblGrid>
      <w:tr>
        <w:tblPrEx>
          <w:tblCellMar>
            <w:top w:w="0" w:type="dxa"/>
            <w:left w:w="108" w:type="dxa"/>
            <w:bottom w:w="0" w:type="dxa"/>
            <w:right w:w="108" w:type="dxa"/>
          </w:tblCellMar>
        </w:tblPrEx>
        <w:trPr>
          <w:trHeight w:val="555" w:hRule="atLeast"/>
        </w:trPr>
        <w:tc>
          <w:tcPr>
            <w:tcW w:w="4598" w:type="pct"/>
            <w:gridSpan w:val="11"/>
            <w:tcBorders>
              <w:top w:val="nil"/>
              <w:left w:val="nil"/>
              <w:bottom w:val="nil"/>
              <w:right w:val="nil"/>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施工阶段监理人员各配置表(评审)</w:t>
            </w:r>
          </w:p>
        </w:tc>
        <w:tc>
          <w:tcPr>
            <w:tcW w:w="401" w:type="pct"/>
            <w:tcBorders>
              <w:top w:val="nil"/>
              <w:left w:val="nil"/>
              <w:bottom w:val="nil"/>
              <w:right w:val="nil"/>
            </w:tcBorders>
            <w:noWrap/>
            <w:vAlign w:val="center"/>
          </w:tcPr>
          <w:p>
            <w:pPr>
              <w:rPr>
                <w:rFonts w:hint="eastAsia" w:ascii="宋体" w:hAnsi="宋体" w:cs="宋体"/>
                <w:color w:val="auto"/>
                <w:sz w:val="24"/>
                <w:szCs w:val="24"/>
                <w:highlight w:val="none"/>
              </w:rPr>
            </w:pPr>
          </w:p>
        </w:tc>
      </w:tr>
      <w:tr>
        <w:tblPrEx>
          <w:tblCellMar>
            <w:top w:w="0" w:type="dxa"/>
            <w:left w:w="108" w:type="dxa"/>
            <w:bottom w:w="0" w:type="dxa"/>
            <w:right w:w="108" w:type="dxa"/>
          </w:tblCellMar>
        </w:tblPrEx>
        <w:trPr>
          <w:trHeight w:val="720" w:hRule="atLeast"/>
        </w:trPr>
        <w:tc>
          <w:tcPr>
            <w:tcW w:w="8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施工阶段</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计划时间</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总监</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总监代表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土建监理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安全监理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机电监理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装修监理</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资料员</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造价师（无需驻场）</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月数</w:t>
            </w:r>
          </w:p>
        </w:tc>
        <w:tc>
          <w:tcPr>
            <w:tcW w:w="4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备注</w:t>
            </w:r>
          </w:p>
        </w:tc>
      </w:tr>
      <w:tr>
        <w:tblPrEx>
          <w:tblCellMar>
            <w:top w:w="0" w:type="dxa"/>
            <w:left w:w="108" w:type="dxa"/>
            <w:bottom w:w="0" w:type="dxa"/>
            <w:right w:w="108" w:type="dxa"/>
          </w:tblCellMar>
        </w:tblPrEx>
        <w:trPr>
          <w:trHeight w:val="720" w:hRule="atLeast"/>
        </w:trPr>
        <w:tc>
          <w:tcPr>
            <w:tcW w:w="89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土方及基坑支护</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2023年12月-2024年9月</w:t>
            </w:r>
          </w:p>
        </w:tc>
        <w:tc>
          <w:tcPr>
            <w:tcW w:w="2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p>
        </w:tc>
        <w:tc>
          <w:tcPr>
            <w:tcW w:w="3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27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250"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10</w:t>
            </w:r>
          </w:p>
        </w:tc>
        <w:tc>
          <w:tcPr>
            <w:tcW w:w="40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r>
      <w:tr>
        <w:tblPrEx>
          <w:tblCellMar>
            <w:top w:w="0" w:type="dxa"/>
            <w:left w:w="108" w:type="dxa"/>
            <w:bottom w:w="0" w:type="dxa"/>
            <w:right w:w="108" w:type="dxa"/>
          </w:tblCellMar>
        </w:tblPrEx>
        <w:trPr>
          <w:trHeight w:val="720" w:hRule="atLeast"/>
        </w:trPr>
        <w:tc>
          <w:tcPr>
            <w:tcW w:w="89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主体结构</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2024年9月-2025年8月</w:t>
            </w:r>
          </w:p>
        </w:tc>
        <w:tc>
          <w:tcPr>
            <w:tcW w:w="2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27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250"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11</w:t>
            </w:r>
          </w:p>
        </w:tc>
        <w:tc>
          <w:tcPr>
            <w:tcW w:w="40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r>
      <w:tr>
        <w:tblPrEx>
          <w:tblCellMar>
            <w:top w:w="0" w:type="dxa"/>
            <w:left w:w="108" w:type="dxa"/>
            <w:bottom w:w="0" w:type="dxa"/>
            <w:right w:w="108" w:type="dxa"/>
          </w:tblCellMar>
        </w:tblPrEx>
        <w:trPr>
          <w:trHeight w:val="720" w:hRule="atLeast"/>
        </w:trPr>
        <w:tc>
          <w:tcPr>
            <w:tcW w:w="89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机电、建筑装饰及室外工程</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2025年8月-2026年9月</w:t>
            </w:r>
          </w:p>
        </w:tc>
        <w:tc>
          <w:tcPr>
            <w:tcW w:w="2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27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250"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13</w:t>
            </w:r>
          </w:p>
        </w:tc>
        <w:tc>
          <w:tcPr>
            <w:tcW w:w="40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r>
      <w:tr>
        <w:tblPrEx>
          <w:tblCellMar>
            <w:top w:w="0" w:type="dxa"/>
            <w:left w:w="108" w:type="dxa"/>
            <w:bottom w:w="0" w:type="dxa"/>
            <w:right w:w="108" w:type="dxa"/>
          </w:tblCellMar>
        </w:tblPrEx>
        <w:trPr>
          <w:trHeight w:val="720" w:hRule="atLeast"/>
        </w:trPr>
        <w:tc>
          <w:tcPr>
            <w:tcW w:w="895"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室内精装修</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2026年9月-2027年6月</w:t>
            </w:r>
          </w:p>
        </w:tc>
        <w:tc>
          <w:tcPr>
            <w:tcW w:w="2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27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3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250"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9</w:t>
            </w:r>
          </w:p>
        </w:tc>
        <w:tc>
          <w:tcPr>
            <w:tcW w:w="40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r>
      <w:tr>
        <w:tblPrEx>
          <w:tblCellMar>
            <w:top w:w="0" w:type="dxa"/>
            <w:left w:w="108" w:type="dxa"/>
            <w:bottom w:w="0" w:type="dxa"/>
            <w:right w:w="108" w:type="dxa"/>
          </w:tblCellMar>
        </w:tblPrEx>
        <w:trPr>
          <w:trHeight w:val="729" w:hRule="atLeast"/>
        </w:trPr>
        <w:tc>
          <w:tcPr>
            <w:tcW w:w="89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总计</w:t>
            </w:r>
          </w:p>
        </w:tc>
        <w:tc>
          <w:tcPr>
            <w:tcW w:w="2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369"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27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32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c>
          <w:tcPr>
            <w:tcW w:w="250"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43</w:t>
            </w:r>
          </w:p>
        </w:tc>
        <w:tc>
          <w:tcPr>
            <w:tcW w:w="40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4"/>
                <w:szCs w:val="24"/>
                <w:highlight w:val="none"/>
              </w:rPr>
            </w:pPr>
          </w:p>
        </w:tc>
      </w:tr>
    </w:tbl>
    <w:p>
      <w:pPr>
        <w:spacing w:line="380" w:lineRule="exact"/>
        <w:ind w:firstLine="420" w:firstLineChars="200"/>
        <w:rPr>
          <w:rFonts w:hint="eastAsia" w:ascii="宋体" w:hAnsi="宋体"/>
          <w:color w:val="auto"/>
          <w:sz w:val="21"/>
          <w:szCs w:val="21"/>
          <w:highlight w:val="none"/>
        </w:rPr>
      </w:pPr>
    </w:p>
    <w:p>
      <w:pPr>
        <w:spacing w:line="3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注：1、表中所列人员配备为最低限度要求，投标人所投入人员不满足本要求的则在评分表中相应评分项不得分，中标单位可根据实际工作需要及时投入人员，所有监理人员均须身体健康。投标人提供的人员须为投标人在职员工，并提供2023年</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月份</w:t>
      </w:r>
      <w:r>
        <w:rPr>
          <w:rFonts w:hint="eastAsia" w:ascii="宋体" w:hAnsi="宋体"/>
          <w:color w:val="auto"/>
          <w:sz w:val="21"/>
          <w:szCs w:val="21"/>
          <w:highlight w:val="none"/>
          <w:u w:val="single"/>
        </w:rPr>
        <w:t>至投标截止</w:t>
      </w:r>
      <w:r>
        <w:rPr>
          <w:rFonts w:hint="eastAsia" w:ascii="宋体" w:hAnsi="宋体"/>
          <w:color w:val="auto"/>
          <w:sz w:val="21"/>
          <w:szCs w:val="21"/>
          <w:highlight w:val="none"/>
        </w:rPr>
        <w:t>以来任一个月份的社保缴纳证明。</w:t>
      </w:r>
    </w:p>
    <w:p>
      <w:pPr>
        <w:numPr>
          <w:ilvl w:val="0"/>
          <w:numId w:val="5"/>
        </w:numPr>
        <w:spacing w:line="3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注册造价工程师指根据原人事部、原建设部发布的《造价工程师执业资格制度暂行规定》（人发〔1996〕77号）取得的造价工程师执业资格，并经注册且在有效期内；一级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spacing w:line="380" w:lineRule="exact"/>
        <w:ind w:firstLine="420" w:firstLineChars="200"/>
        <w:rPr>
          <w:color w:val="auto"/>
          <w:sz w:val="21"/>
          <w:szCs w:val="21"/>
          <w:highlight w:val="none"/>
        </w:rPr>
      </w:pPr>
      <w:r>
        <w:rPr>
          <w:rFonts w:hint="eastAsia" w:ascii="宋体" w:hAnsi="宋体"/>
          <w:color w:val="auto"/>
          <w:sz w:val="21"/>
          <w:szCs w:val="21"/>
          <w:highlight w:val="none"/>
        </w:rPr>
        <w:t>3、</w:t>
      </w:r>
      <w:r>
        <w:rPr>
          <w:rFonts w:hint="eastAsia" w:ascii="宋体" w:hAnsi="宋体"/>
          <w:bCs/>
          <w:color w:val="auto"/>
          <w:sz w:val="21"/>
          <w:szCs w:val="21"/>
          <w:highlight w:val="none"/>
        </w:rPr>
        <w:t>本表不作为形式评审、资格评审、响应性评审的审查依据，只作为综合评分表中“其他</w:t>
      </w:r>
      <w:r>
        <w:rPr>
          <w:rFonts w:hint="eastAsia" w:ascii="宋体" w:hAnsi="宋体"/>
          <w:bCs/>
          <w:color w:val="auto"/>
          <w:sz w:val="21"/>
          <w:szCs w:val="21"/>
          <w:highlight w:val="none"/>
          <w:lang w:val="en-US" w:eastAsia="zh-CN"/>
        </w:rPr>
        <w:t>主要</w:t>
      </w:r>
      <w:r>
        <w:rPr>
          <w:rFonts w:hint="eastAsia" w:ascii="宋体" w:hAnsi="宋体"/>
          <w:bCs/>
          <w:color w:val="auto"/>
          <w:sz w:val="21"/>
          <w:szCs w:val="21"/>
          <w:highlight w:val="none"/>
        </w:rPr>
        <w:t>人员资历”的评审依据。</w:t>
      </w:r>
    </w:p>
    <w:p>
      <w:pPr>
        <w:spacing w:line="380" w:lineRule="exact"/>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、香港企业独立参加投标的，须提供香港测量师注册管理局注册的建筑测量组别的专业测量师证书扫描件并提供在广东省住房和城乡建设主管部门备案证明材料清晰彩色扫描件。</w:t>
      </w:r>
    </w:p>
    <w:p>
      <w:pPr>
        <w:rPr>
          <w:color w:val="auto"/>
          <w:highlight w:val="none"/>
        </w:rPr>
      </w:pPr>
    </w:p>
    <w:p>
      <w:pPr>
        <w:numPr>
          <w:ilvl w:val="0"/>
          <w:numId w:val="6"/>
        </w:numPr>
        <w:spacing w:line="360" w:lineRule="auto"/>
        <w:ind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工期节点要求</w:t>
      </w:r>
    </w:p>
    <w:p>
      <w:pPr>
        <w:spacing w:line="360" w:lineRule="auto"/>
        <w:ind w:firstLine="1200" w:firstLineChars="500"/>
        <w:rPr>
          <w:rFonts w:ascii="Calibri" w:hAnsi="Calibri"/>
          <w:color w:val="auto"/>
          <w:kern w:val="0"/>
          <w:sz w:val="24"/>
          <w:szCs w:val="24"/>
          <w:highlight w:val="none"/>
        </w:rPr>
      </w:pPr>
      <w:r>
        <w:rPr>
          <w:rFonts w:hint="eastAsia" w:ascii="Calibri" w:hAnsi="Calibri"/>
          <w:color w:val="auto"/>
          <w:kern w:val="0"/>
          <w:sz w:val="24"/>
          <w:szCs w:val="24"/>
          <w:highlight w:val="none"/>
        </w:rPr>
        <w:t>详见合同条款约定。</w:t>
      </w:r>
    </w:p>
    <w:p>
      <w:pPr>
        <w:numPr>
          <w:ilvl w:val="0"/>
          <w:numId w:val="6"/>
        </w:numPr>
        <w:spacing w:line="360" w:lineRule="auto"/>
        <w:ind w:firstLine="482" w:firstLineChars="200"/>
        <w:rPr>
          <w:rFonts w:ascii="宋体" w:hAnsi="宋体" w:cs="宋体"/>
          <w:color w:val="auto"/>
          <w:sz w:val="24"/>
          <w:szCs w:val="24"/>
          <w:highlight w:val="none"/>
        </w:rPr>
      </w:pPr>
      <w:r>
        <w:rPr>
          <w:rFonts w:hint="eastAsia" w:ascii="仿宋_GB2312" w:eastAsia="仿宋_GB2312"/>
          <w:b/>
          <w:bCs/>
          <w:color w:val="auto"/>
          <w:sz w:val="24"/>
          <w:szCs w:val="24"/>
          <w:highlight w:val="none"/>
        </w:rPr>
        <w:t>其他要求</w:t>
      </w:r>
    </w:p>
    <w:p>
      <w:pPr>
        <w:pStyle w:val="4"/>
        <w:ind w:firstLine="480" w:firstLineChars="200"/>
        <w:rPr>
          <w:rFonts w:ascii="宋体" w:hAnsi="宋体" w:cs="华文细黑"/>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499" w:name="_Toc30836"/>
      <w:r>
        <w:rPr>
          <w:rFonts w:hint="eastAsia" w:ascii="Calibri" w:hAnsi="Calibri" w:eastAsia="宋体"/>
          <w:b w:val="0"/>
          <w:bCs w:val="0"/>
          <w:color w:val="auto"/>
          <w:sz w:val="24"/>
          <w:szCs w:val="24"/>
          <w:highlight w:val="none"/>
        </w:rPr>
        <w:t>详见合同条款。</w:t>
      </w:r>
      <w:bookmarkEnd w:id="499"/>
    </w:p>
    <w:p>
      <w:pPr>
        <w:pStyle w:val="10"/>
        <w:ind w:firstLine="478" w:firstLineChars="228"/>
        <w:rPr>
          <w:color w:val="auto"/>
          <w:sz w:val="21"/>
          <w:highlight w:val="none"/>
        </w:rPr>
        <w:sectPr>
          <w:pgSz w:w="11907" w:h="16840"/>
          <w:pgMar w:top="1134" w:right="1134" w:bottom="1134" w:left="1134" w:header="720" w:footer="720" w:gutter="0"/>
          <w:cols w:space="720" w:num="1"/>
          <w:docGrid w:linePitch="286" w:charSpace="0"/>
        </w:sectPr>
      </w:pPr>
    </w:p>
    <w:p>
      <w:pPr>
        <w:autoSpaceDE w:val="0"/>
        <w:autoSpaceDN w:val="0"/>
        <w:adjustRightInd w:val="0"/>
        <w:spacing w:line="360" w:lineRule="auto"/>
        <w:ind w:firstLine="420" w:firstLineChars="200"/>
        <w:jc w:val="left"/>
        <w:rPr>
          <w:rFonts w:ascii="宋体" w:hAnsi="宋体"/>
          <w:color w:val="auto"/>
          <w:highlight w:val="none"/>
        </w:rPr>
      </w:pPr>
      <w:bookmarkStart w:id="500" w:name="_Toc530640837"/>
      <w:bookmarkStart w:id="501" w:name="_Toc530640836"/>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jc w:val="center"/>
        <w:rPr>
          <w:rFonts w:ascii="宋体" w:hAnsi="宋体"/>
          <w:color w:val="auto"/>
          <w:highlight w:val="none"/>
        </w:rPr>
      </w:pPr>
      <w:r>
        <w:rPr>
          <w:rFonts w:hint="eastAsia" w:ascii="宋体" w:hAnsi="宋体"/>
          <w:b/>
          <w:bCs/>
          <w:color w:val="auto"/>
          <w:sz w:val="52"/>
          <w:szCs w:val="52"/>
          <w:highlight w:val="none"/>
        </w:rPr>
        <w:t>第三卷</w:t>
      </w: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p>
    <w:p>
      <w:pPr>
        <w:autoSpaceDE w:val="0"/>
        <w:autoSpaceDN w:val="0"/>
        <w:adjustRightInd w:val="0"/>
        <w:spacing w:line="360" w:lineRule="auto"/>
        <w:ind w:firstLine="420" w:firstLineChars="200"/>
        <w:jc w:val="center"/>
        <w:rPr>
          <w:rFonts w:ascii="宋体" w:hAnsi="宋体"/>
          <w:color w:val="auto"/>
          <w:highlight w:val="none"/>
        </w:rPr>
      </w:pPr>
      <w:r>
        <w:rPr>
          <w:rFonts w:ascii="宋体" w:hAnsi="宋体"/>
          <w:color w:val="auto"/>
          <w:highlight w:val="none"/>
        </w:rPr>
        <w:br w:type="page"/>
      </w:r>
    </w:p>
    <w:p>
      <w:pPr>
        <w:pStyle w:val="4"/>
        <w:ind w:firstLine="643" w:firstLineChars="200"/>
        <w:jc w:val="center"/>
        <w:rPr>
          <w:rFonts w:ascii="宋体" w:hAnsi="宋体" w:eastAsia="宋体"/>
          <w:color w:val="auto"/>
          <w:highlight w:val="none"/>
        </w:rPr>
      </w:pPr>
      <w:bookmarkStart w:id="502" w:name="_Toc25912"/>
      <w:r>
        <w:rPr>
          <w:rFonts w:hint="eastAsia" w:ascii="宋体" w:hAnsi="宋体" w:eastAsia="宋体"/>
          <w:color w:val="auto"/>
          <w:highlight w:val="none"/>
        </w:rPr>
        <w:t>第六章  投标文件格式</w:t>
      </w:r>
      <w:bookmarkEnd w:id="500"/>
      <w:bookmarkEnd w:id="501"/>
      <w:bookmarkEnd w:id="502"/>
    </w:p>
    <w:p>
      <w:pPr>
        <w:ind w:firstLine="420" w:firstLineChars="200"/>
        <w:rPr>
          <w:rFonts w:ascii="宋体" w:hAnsi="宋体"/>
          <w:color w:val="auto"/>
          <w:highlight w:val="none"/>
        </w:rPr>
      </w:pPr>
      <w:r>
        <w:rPr>
          <w:rFonts w:hint="eastAsia" w:ascii="宋体" w:hAnsi="宋体"/>
          <w:color w:val="auto"/>
          <w:highlight w:val="none"/>
        </w:rPr>
        <w:t xml:space="preserve"> </w:t>
      </w:r>
    </w:p>
    <w:p>
      <w:pPr>
        <w:spacing w:line="200" w:lineRule="exact"/>
        <w:ind w:firstLine="420" w:firstLineChars="200"/>
        <w:jc w:val="left"/>
        <w:rPr>
          <w:rFonts w:ascii="宋体" w:hAnsi="宋体"/>
          <w:color w:val="auto"/>
          <w:sz w:val="20"/>
          <w:szCs w:val="20"/>
          <w:highlight w:val="none"/>
        </w:rPr>
      </w:pPr>
      <w:r>
        <w:rPr>
          <w:rFonts w:hint="eastAsia" w:ascii="宋体" w:hAnsi="宋体"/>
          <w:color w:val="auto"/>
          <w:highlight w:val="none"/>
        </w:rPr>
        <w:br w:type="page"/>
      </w:r>
    </w:p>
    <w:p>
      <w:pPr>
        <w:spacing w:line="341" w:lineRule="exact"/>
        <w:ind w:right="-20"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spacing w:line="341" w:lineRule="exact"/>
        <w:ind w:right="-20"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spacing w:line="341" w:lineRule="exact"/>
        <w:ind w:right="-20" w:firstLine="643" w:firstLineChars="200"/>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lang w:eastAsia="zh-CN"/>
        </w:rPr>
        <w:t>广州电力建设有限公司电建大楼项目工程监理服务</w:t>
      </w:r>
    </w:p>
    <w:p>
      <w:pPr>
        <w:spacing w:before="7" w:line="100" w:lineRule="exact"/>
        <w:ind w:firstLine="200" w:firstLineChars="200"/>
        <w:jc w:val="left"/>
        <w:rPr>
          <w:rFonts w:ascii="宋体" w:hAnsi="宋体"/>
          <w:color w:val="auto"/>
          <w:sz w:val="10"/>
          <w:szCs w:val="10"/>
          <w:highlight w:val="none"/>
        </w:rPr>
      </w:pPr>
      <w:r>
        <w:rPr>
          <w:rFonts w:hint="eastAsia" w:ascii="宋体" w:hAnsi="宋体"/>
          <w:color w:val="auto"/>
          <w:sz w:val="10"/>
          <w:szCs w:val="1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549" w:lineRule="exact"/>
        <w:ind w:left="3138" w:right="3116" w:firstLine="880" w:firstLineChars="200"/>
        <w:jc w:val="center"/>
        <w:rPr>
          <w:rFonts w:ascii="宋体" w:hAnsi="宋体"/>
          <w:color w:val="auto"/>
          <w:sz w:val="44"/>
          <w:szCs w:val="44"/>
          <w:highlight w:val="none"/>
        </w:rPr>
      </w:pPr>
      <w:r>
        <w:rPr>
          <w:rFonts w:hint="eastAsia" w:ascii="宋体" w:hAnsi="宋体"/>
          <w:color w:val="auto"/>
          <w:sz w:val="44"/>
          <w:szCs w:val="44"/>
          <w:highlight w:val="none"/>
        </w:rPr>
        <w:t>投标文件</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before="17" w:line="2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 </w:t>
      </w:r>
    </w:p>
    <w:p>
      <w:pPr>
        <w:spacing w:line="540" w:lineRule="atLeast"/>
        <w:ind w:left="1201" w:right="85"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rPr>
        <w:tab/>
      </w:r>
      <w:r>
        <w:rPr>
          <w:rFonts w:hint="eastAsia" w:ascii="宋体" w:hAnsi="宋体"/>
          <w:color w:val="auto"/>
          <w:sz w:val="28"/>
          <w:szCs w:val="28"/>
          <w:highlight w:val="none"/>
          <w:u w:val="single"/>
        </w:rPr>
        <w:tab/>
      </w:r>
      <w:r>
        <w:rPr>
          <w:rFonts w:hint="eastAsia" w:ascii="宋体" w:hAnsi="宋体"/>
          <w:color w:val="auto"/>
          <w:sz w:val="28"/>
          <w:szCs w:val="28"/>
          <w:highlight w:val="none"/>
        </w:rPr>
        <w:t xml:space="preserve">（盖单位章） </w:t>
      </w:r>
    </w:p>
    <w:p>
      <w:pPr>
        <w:spacing w:line="540" w:lineRule="atLeast"/>
        <w:ind w:left="1201" w:right="85"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rPr>
        <w:tab/>
      </w:r>
      <w:r>
        <w:rPr>
          <w:rFonts w:hint="eastAsia" w:ascii="宋体" w:hAnsi="宋体"/>
          <w:color w:val="auto"/>
          <w:sz w:val="28"/>
          <w:szCs w:val="28"/>
          <w:highlight w:val="none"/>
        </w:rPr>
        <w:t>（签字）</w:t>
      </w:r>
    </w:p>
    <w:p>
      <w:pPr>
        <w:spacing w:before="5" w:line="130" w:lineRule="exact"/>
        <w:ind w:firstLine="260" w:firstLineChars="200"/>
        <w:jc w:val="left"/>
        <w:rPr>
          <w:rFonts w:ascii="宋体" w:hAnsi="宋体"/>
          <w:color w:val="auto"/>
          <w:sz w:val="13"/>
          <w:szCs w:val="13"/>
          <w:highlight w:val="none"/>
        </w:rPr>
      </w:pPr>
      <w:r>
        <w:rPr>
          <w:rFonts w:hint="eastAsia" w:ascii="宋体" w:hAnsi="宋体"/>
          <w:color w:val="auto"/>
          <w:sz w:val="13"/>
          <w:szCs w:val="13"/>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200" w:lineRule="exact"/>
        <w:ind w:firstLine="400" w:firstLineChars="200"/>
        <w:jc w:val="left"/>
        <w:rPr>
          <w:rFonts w:ascii="宋体" w:hAnsi="宋体"/>
          <w:color w:val="auto"/>
          <w:sz w:val="20"/>
          <w:szCs w:val="20"/>
          <w:highlight w:val="none"/>
        </w:rPr>
      </w:pPr>
      <w:r>
        <w:rPr>
          <w:rFonts w:hint="eastAsia" w:ascii="宋体" w:hAnsi="宋体"/>
          <w:color w:val="auto"/>
          <w:sz w:val="20"/>
          <w:szCs w:val="20"/>
          <w:highlight w:val="none"/>
        </w:rPr>
        <w:t xml:space="preserve"> </w:t>
      </w:r>
    </w:p>
    <w:p>
      <w:pPr>
        <w:spacing w:line="373" w:lineRule="exact"/>
        <w:ind w:left="2877" w:right="-20" w:firstLine="560" w:firstLineChars="200"/>
        <w:jc w:val="left"/>
        <w:rPr>
          <w:color w:val="auto"/>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rPr>
        <w:tab/>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rPr>
        <w:tab/>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rPr>
        <w:tab/>
      </w:r>
      <w:r>
        <w:rPr>
          <w:rFonts w:hint="eastAsia" w:ascii="宋体" w:hAnsi="宋体"/>
          <w:color w:val="auto"/>
          <w:sz w:val="28"/>
          <w:szCs w:val="28"/>
          <w:highlight w:val="none"/>
        </w:rPr>
        <w:t>日</w:t>
      </w:r>
    </w:p>
    <w:p>
      <w:pPr>
        <w:widowControl/>
        <w:spacing w:beforeAutospacing="1" w:afterAutospacing="1"/>
        <w:ind w:firstLine="640" w:firstLineChars="200"/>
        <w:jc w:val="left"/>
        <w:rPr>
          <w:rFonts w:ascii="宋体" w:hAnsi="宋体" w:cs="宋体"/>
          <w:color w:val="auto"/>
          <w:sz w:val="32"/>
          <w:szCs w:val="32"/>
          <w:highlight w:val="none"/>
        </w:rPr>
        <w:sectPr>
          <w:pgSz w:w="11907" w:h="16840"/>
          <w:pgMar w:top="1134" w:right="1134" w:bottom="1134" w:left="1134" w:header="720" w:footer="720" w:gutter="0"/>
          <w:cols w:space="720" w:num="1"/>
        </w:sectPr>
      </w:pPr>
    </w:p>
    <w:p>
      <w:pPr>
        <w:jc w:val="center"/>
        <w:rPr>
          <w:color w:val="auto"/>
          <w:highlight w:val="none"/>
        </w:rPr>
      </w:pPr>
      <w:bookmarkStart w:id="503" w:name="_Toc35981565"/>
      <w:r>
        <w:rPr>
          <w:rFonts w:hint="eastAsia"/>
          <w:color w:val="auto"/>
          <w:highlight w:val="none"/>
        </w:rPr>
        <w:t>目录</w:t>
      </w:r>
      <w:bookmarkEnd w:id="503"/>
    </w:p>
    <w:p>
      <w:pPr>
        <w:rPr>
          <w:color w:val="auto"/>
          <w:highlight w:val="none"/>
        </w:rPr>
      </w:pPr>
    </w:p>
    <w:p>
      <w:pPr>
        <w:rPr>
          <w:color w:val="auto"/>
          <w:highlight w:val="none"/>
        </w:rPr>
      </w:pPr>
      <w:r>
        <w:rPr>
          <w:rFonts w:hint="eastAsia"/>
          <w:color w:val="auto"/>
          <w:highlight w:val="none"/>
        </w:rPr>
        <w:t>一、投标函及投标函附录</w:t>
      </w:r>
    </w:p>
    <w:p>
      <w:pPr>
        <w:rPr>
          <w:color w:val="auto"/>
          <w:highlight w:val="none"/>
        </w:rPr>
      </w:pPr>
      <w:r>
        <w:rPr>
          <w:rFonts w:hint="eastAsia"/>
          <w:color w:val="auto"/>
          <w:highlight w:val="none"/>
        </w:rPr>
        <w:t>二、法定代表人身份证明（适用于无委托代理人的情况）</w:t>
      </w:r>
    </w:p>
    <w:p>
      <w:pPr>
        <w:rPr>
          <w:color w:val="auto"/>
          <w:highlight w:val="none"/>
        </w:rPr>
      </w:pPr>
      <w:r>
        <w:rPr>
          <w:rFonts w:hint="eastAsia"/>
          <w:color w:val="auto"/>
          <w:highlight w:val="none"/>
        </w:rPr>
        <w:t>三、授权委托书（适用于有委托代理人的情况）</w:t>
      </w:r>
    </w:p>
    <w:p>
      <w:pPr>
        <w:rPr>
          <w:color w:val="auto"/>
          <w:highlight w:val="none"/>
        </w:rPr>
      </w:pPr>
      <w:r>
        <w:rPr>
          <w:rFonts w:hint="eastAsia"/>
          <w:color w:val="auto"/>
          <w:highlight w:val="none"/>
        </w:rPr>
        <w:t>四、投标保证金</w:t>
      </w:r>
    </w:p>
    <w:p>
      <w:pPr>
        <w:rPr>
          <w:color w:val="auto"/>
          <w:highlight w:val="none"/>
        </w:rPr>
      </w:pPr>
      <w:r>
        <w:rPr>
          <w:rFonts w:hint="eastAsia"/>
          <w:color w:val="auto"/>
          <w:highlight w:val="none"/>
        </w:rPr>
        <w:t>五、监理报酬清单</w:t>
      </w:r>
    </w:p>
    <w:p>
      <w:pPr>
        <w:rPr>
          <w:color w:val="auto"/>
          <w:highlight w:val="none"/>
        </w:rPr>
      </w:pPr>
      <w:r>
        <w:rPr>
          <w:rFonts w:hint="eastAsia"/>
          <w:color w:val="auto"/>
          <w:highlight w:val="none"/>
        </w:rPr>
        <w:t>六、资格审查资料</w:t>
      </w:r>
    </w:p>
    <w:p>
      <w:pPr>
        <w:rPr>
          <w:color w:val="auto"/>
          <w:highlight w:val="none"/>
        </w:rPr>
      </w:pPr>
      <w:r>
        <w:rPr>
          <w:rFonts w:hint="eastAsia"/>
          <w:color w:val="auto"/>
          <w:highlight w:val="none"/>
        </w:rPr>
        <w:t>七、监理大纲</w:t>
      </w:r>
    </w:p>
    <w:p>
      <w:pPr>
        <w:rPr>
          <w:color w:val="auto"/>
          <w:highlight w:val="none"/>
        </w:rPr>
      </w:pPr>
      <w:bookmarkStart w:id="504" w:name="_Toc7039"/>
      <w:bookmarkStart w:id="505" w:name="_Toc352691655"/>
      <w:bookmarkStart w:id="506" w:name="_Toc369531691"/>
      <w:r>
        <w:rPr>
          <w:rFonts w:hint="eastAsia"/>
          <w:color w:val="auto"/>
          <w:highlight w:val="none"/>
        </w:rPr>
        <w:t>八、其他资料</w:t>
      </w:r>
    </w:p>
    <w:p>
      <w:pPr>
        <w:spacing w:line="540" w:lineRule="exact"/>
        <w:rPr>
          <w:rFonts w:ascii="宋体" w:hAnsi="宋体" w:cs="宋体"/>
          <w:color w:val="auto"/>
          <w:sz w:val="20"/>
          <w:szCs w:val="22"/>
          <w:highlight w:val="none"/>
        </w:rPr>
      </w:pPr>
    </w:p>
    <w:p>
      <w:pPr>
        <w:spacing w:line="540" w:lineRule="exact"/>
        <w:rPr>
          <w:rFonts w:ascii="宋体" w:hAnsi="宋体" w:cs="宋体"/>
          <w:color w:val="auto"/>
          <w:sz w:val="20"/>
          <w:szCs w:val="22"/>
          <w:highlight w:val="none"/>
        </w:rPr>
      </w:pPr>
    </w:p>
    <w:p>
      <w:pPr>
        <w:spacing w:line="540" w:lineRule="exact"/>
        <w:rPr>
          <w:rFonts w:ascii="宋体" w:hAnsi="宋体" w:cs="宋体"/>
          <w:color w:val="auto"/>
          <w:sz w:val="20"/>
          <w:szCs w:val="22"/>
          <w:highlight w:val="none"/>
        </w:rPr>
      </w:pPr>
    </w:p>
    <w:p>
      <w:pPr>
        <w:spacing w:line="540" w:lineRule="exact"/>
        <w:rPr>
          <w:rFonts w:ascii="宋体" w:hAnsi="宋体" w:cs="宋体"/>
          <w:color w:val="auto"/>
          <w:sz w:val="20"/>
          <w:szCs w:val="22"/>
          <w:highlight w:val="none"/>
        </w:rPr>
      </w:pPr>
    </w:p>
    <w:p>
      <w:pPr>
        <w:spacing w:line="540" w:lineRule="exact"/>
        <w:rPr>
          <w:rFonts w:ascii="宋体" w:hAnsi="宋体" w:cs="宋体"/>
          <w:color w:val="auto"/>
          <w:sz w:val="20"/>
          <w:szCs w:val="22"/>
          <w:highlight w:val="none"/>
        </w:rPr>
      </w:pPr>
    </w:p>
    <w:p>
      <w:pPr>
        <w:spacing w:line="540" w:lineRule="exact"/>
        <w:rPr>
          <w:rFonts w:ascii="宋体" w:hAnsi="宋体" w:cs="宋体"/>
          <w:color w:val="auto"/>
          <w:sz w:val="20"/>
          <w:szCs w:val="22"/>
          <w:highlight w:val="none"/>
        </w:rPr>
      </w:pPr>
    </w:p>
    <w:p>
      <w:pPr>
        <w:spacing w:line="540" w:lineRule="exact"/>
        <w:rPr>
          <w:rFonts w:ascii="宋体" w:hAnsi="宋体" w:cs="宋体"/>
          <w:color w:val="auto"/>
          <w:sz w:val="20"/>
          <w:szCs w:val="22"/>
          <w:highlight w:val="none"/>
        </w:rPr>
      </w:pPr>
    </w:p>
    <w:p>
      <w:pPr>
        <w:rPr>
          <w:rFonts w:ascii="宋体" w:hAnsi="宋体" w:cs="宋体"/>
          <w:color w:val="auto"/>
          <w:szCs w:val="22"/>
          <w:highlight w:val="none"/>
        </w:rPr>
      </w:pPr>
      <w:r>
        <w:rPr>
          <w:rFonts w:hint="eastAsia" w:ascii="宋体" w:hAnsi="宋体" w:cs="宋体"/>
          <w:color w:val="auto"/>
          <w:szCs w:val="22"/>
          <w:highlight w:val="none"/>
        </w:rPr>
        <w:br w:type="page"/>
      </w:r>
    </w:p>
    <w:bookmarkEnd w:id="504"/>
    <w:bookmarkEnd w:id="505"/>
    <w:bookmarkEnd w:id="506"/>
    <w:p>
      <w:pPr>
        <w:spacing w:before="260" w:after="260"/>
        <w:jc w:val="center"/>
        <w:outlineLvl w:val="1"/>
        <w:rPr>
          <w:rFonts w:ascii="宋体" w:hAnsi="宋体" w:cs="宋体"/>
          <w:b/>
          <w:color w:val="auto"/>
          <w:sz w:val="32"/>
          <w:szCs w:val="20"/>
          <w:highlight w:val="none"/>
        </w:rPr>
      </w:pPr>
      <w:bookmarkStart w:id="507" w:name="_Toc28003"/>
      <w:bookmarkStart w:id="508" w:name="_Toc526786507"/>
      <w:r>
        <w:rPr>
          <w:rFonts w:hint="eastAsia" w:ascii="宋体" w:hAnsi="宋体" w:cs="宋体"/>
          <w:b/>
          <w:color w:val="auto"/>
          <w:sz w:val="32"/>
          <w:szCs w:val="20"/>
          <w:highlight w:val="none"/>
        </w:rPr>
        <w:t>一、投标</w:t>
      </w:r>
      <w:bookmarkStart w:id="509" w:name="_Toc369531692"/>
      <w:bookmarkStart w:id="510" w:name="_Toc352691656"/>
      <w:bookmarkStart w:id="511" w:name="_Toc6931"/>
      <w:r>
        <w:rPr>
          <w:rFonts w:hint="eastAsia" w:ascii="宋体" w:hAnsi="宋体" w:cs="宋体"/>
          <w:b/>
          <w:color w:val="auto"/>
          <w:sz w:val="32"/>
          <w:szCs w:val="20"/>
          <w:highlight w:val="none"/>
        </w:rPr>
        <w:t>函及投标函附录</w:t>
      </w:r>
      <w:bookmarkEnd w:id="507"/>
      <w:bookmarkEnd w:id="508"/>
    </w:p>
    <w:bookmarkEnd w:id="509"/>
    <w:bookmarkEnd w:id="510"/>
    <w:bookmarkEnd w:id="511"/>
    <w:p>
      <w:pPr>
        <w:spacing w:before="260" w:after="260"/>
        <w:ind w:firstLine="137" w:firstLineChars="49"/>
        <w:outlineLvl w:val="2"/>
        <w:rPr>
          <w:rFonts w:ascii="宋体" w:hAnsi="宋体" w:cs="宋体"/>
          <w:color w:val="auto"/>
          <w:sz w:val="28"/>
          <w:szCs w:val="20"/>
          <w:highlight w:val="none"/>
        </w:rPr>
      </w:pPr>
      <w:bookmarkStart w:id="512" w:name="_Toc359594235"/>
      <w:bookmarkStart w:id="513" w:name="_Toc11438"/>
      <w:bookmarkStart w:id="514" w:name="_Toc391394111"/>
      <w:bookmarkStart w:id="515" w:name="_Toc370676426"/>
      <w:bookmarkStart w:id="516" w:name="_Toc526786508"/>
      <w:bookmarkStart w:id="517" w:name="_Toc482188651"/>
      <w:bookmarkStart w:id="518" w:name="_Toc385943065"/>
      <w:r>
        <w:rPr>
          <w:rFonts w:hint="eastAsia" w:ascii="宋体" w:hAnsi="宋体" w:cs="宋体"/>
          <w:color w:val="auto"/>
          <w:sz w:val="28"/>
          <w:szCs w:val="20"/>
          <w:highlight w:val="none"/>
        </w:rPr>
        <w:t>（一）投标函</w:t>
      </w:r>
      <w:bookmarkEnd w:id="512"/>
      <w:bookmarkEnd w:id="513"/>
      <w:bookmarkEnd w:id="514"/>
      <w:bookmarkEnd w:id="515"/>
      <w:bookmarkEnd w:id="516"/>
      <w:bookmarkEnd w:id="517"/>
      <w:bookmarkEnd w:id="518"/>
    </w:p>
    <w:p>
      <w:pPr>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（招标人名称）：</w:t>
      </w:r>
    </w:p>
    <w:p>
      <w:pPr>
        <w:spacing w:line="440" w:lineRule="exact"/>
        <w:ind w:firstLine="405"/>
        <w:rPr>
          <w:rFonts w:ascii="宋体" w:hAnsi="宋体" w:cs="宋体"/>
          <w:color w:val="auto"/>
          <w:highlight w:val="none"/>
        </w:rPr>
      </w:pPr>
      <w:r>
        <w:rPr>
          <w:rFonts w:hint="eastAsia" w:ascii="宋体" w:hAnsi="宋体" w:cs="宋体"/>
          <w:color w:val="auto"/>
          <w:highlight w:val="none"/>
        </w:rPr>
        <w:t>1．我方已仔细研究了</w:t>
      </w:r>
      <w:r>
        <w:rPr>
          <w:rFonts w:hint="eastAsia" w:ascii="宋体" w:hAnsi="宋体" w:cs="宋体"/>
          <w:color w:val="auto"/>
          <w:highlight w:val="none"/>
          <w:u w:val="single"/>
        </w:rPr>
        <w:t xml:space="preserve">                  </w:t>
      </w:r>
      <w:r>
        <w:rPr>
          <w:rFonts w:hint="eastAsia" w:ascii="宋体" w:hAnsi="宋体" w:cs="宋体"/>
          <w:color w:val="auto"/>
          <w:highlight w:val="none"/>
        </w:rPr>
        <w:t>（项目名称）监理招标项目招标文件的全部内容，愿意以人民币（大写）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）的投标总报价，按合同约定完成监理工作。</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 我方的投标文件包括下列内容：</w:t>
      </w:r>
    </w:p>
    <w:p>
      <w:pPr>
        <w:spacing w:line="400" w:lineRule="exact"/>
        <w:ind w:firstLine="405"/>
        <w:rPr>
          <w:rFonts w:ascii="宋体" w:hAnsi="宋体" w:cs="宋体"/>
          <w:color w:val="auto"/>
          <w:highlight w:val="none"/>
        </w:rPr>
      </w:pPr>
      <w:r>
        <w:rPr>
          <w:rFonts w:hint="eastAsia" w:ascii="宋体" w:hAnsi="宋体" w:cs="宋体"/>
          <w:color w:val="auto"/>
          <w:highlight w:val="none"/>
        </w:rPr>
        <w:t>（1）投标函</w:t>
      </w:r>
      <w:r>
        <w:rPr>
          <w:rFonts w:hint="eastAsia" w:ascii="宋体" w:hAnsi="宋体" w:cs="宋体"/>
          <w:color w:val="auto"/>
          <w:szCs w:val="22"/>
          <w:highlight w:val="none"/>
        </w:rPr>
        <w:t>及投标函附录</w:t>
      </w:r>
      <w:r>
        <w:rPr>
          <w:rFonts w:hint="eastAsia" w:ascii="宋体" w:hAnsi="宋体" w:cs="宋体"/>
          <w:color w:val="auto"/>
          <w:highlight w:val="none"/>
        </w:rPr>
        <w:t>；</w:t>
      </w:r>
    </w:p>
    <w:p>
      <w:pPr>
        <w:spacing w:line="400" w:lineRule="exact"/>
        <w:ind w:firstLine="405"/>
        <w:rPr>
          <w:rFonts w:ascii="宋体" w:hAnsi="宋体" w:cs="宋体"/>
          <w:color w:val="auto"/>
          <w:highlight w:val="none"/>
        </w:rPr>
      </w:pPr>
      <w:r>
        <w:rPr>
          <w:rFonts w:hint="eastAsia" w:ascii="宋体" w:hAnsi="宋体" w:cs="宋体"/>
          <w:color w:val="auto"/>
          <w:highlight w:val="none"/>
        </w:rPr>
        <w:t>（2）法定代表人身份证明或授权委托书；</w:t>
      </w:r>
    </w:p>
    <w:p>
      <w:pPr>
        <w:spacing w:line="400" w:lineRule="exact"/>
        <w:ind w:firstLine="405"/>
        <w:rPr>
          <w:rFonts w:ascii="宋体" w:hAnsi="宋体" w:cs="宋体"/>
          <w:color w:val="auto"/>
          <w:highlight w:val="none"/>
        </w:rPr>
      </w:pPr>
      <w:r>
        <w:rPr>
          <w:rFonts w:hint="eastAsia" w:ascii="宋体" w:hAnsi="宋体" w:cs="宋体"/>
          <w:color w:val="auto"/>
          <w:highlight w:val="none"/>
        </w:rPr>
        <w:t>（3）投标保证金；</w:t>
      </w:r>
    </w:p>
    <w:p>
      <w:pPr>
        <w:spacing w:line="400" w:lineRule="exact"/>
        <w:ind w:firstLine="405"/>
        <w:rPr>
          <w:rFonts w:ascii="宋体" w:hAnsi="宋体" w:cs="宋体"/>
          <w:color w:val="auto"/>
          <w:highlight w:val="none"/>
        </w:rPr>
      </w:pPr>
      <w:r>
        <w:rPr>
          <w:rFonts w:hint="eastAsia" w:ascii="宋体" w:hAnsi="宋体" w:cs="宋体"/>
          <w:color w:val="auto"/>
          <w:highlight w:val="none"/>
        </w:rPr>
        <w:t>（4）监理报酬清单；</w:t>
      </w:r>
    </w:p>
    <w:p>
      <w:pPr>
        <w:spacing w:line="400" w:lineRule="exact"/>
        <w:ind w:firstLine="405"/>
        <w:rPr>
          <w:rFonts w:ascii="宋体" w:hAnsi="宋体" w:cs="宋体"/>
          <w:color w:val="auto"/>
          <w:highlight w:val="none"/>
        </w:rPr>
      </w:pPr>
      <w:r>
        <w:rPr>
          <w:rFonts w:hint="eastAsia" w:ascii="宋体" w:hAnsi="宋体" w:cs="宋体"/>
          <w:color w:val="auto"/>
          <w:highlight w:val="none"/>
        </w:rPr>
        <w:t>（5）资格审查资料；</w:t>
      </w:r>
    </w:p>
    <w:p>
      <w:pPr>
        <w:spacing w:line="400" w:lineRule="exact"/>
        <w:ind w:firstLine="405"/>
        <w:rPr>
          <w:rFonts w:ascii="宋体" w:hAnsi="宋体" w:cs="宋体"/>
          <w:color w:val="auto"/>
          <w:highlight w:val="none"/>
        </w:rPr>
      </w:pPr>
      <w:r>
        <w:rPr>
          <w:rFonts w:hint="eastAsia" w:ascii="宋体" w:hAnsi="宋体" w:cs="宋体"/>
          <w:color w:val="auto"/>
          <w:highlight w:val="none"/>
        </w:rPr>
        <w:t>（6）</w:t>
      </w:r>
      <w:r>
        <w:rPr>
          <w:rFonts w:hint="eastAsia" w:ascii="宋体" w:hAnsi="宋体"/>
          <w:color w:val="auto"/>
          <w:highlight w:val="none"/>
        </w:rPr>
        <w:t>监理大纲</w:t>
      </w:r>
      <w:r>
        <w:rPr>
          <w:rFonts w:hint="eastAsia" w:ascii="宋体" w:hAnsi="宋体" w:cs="宋体"/>
          <w:color w:val="auto"/>
          <w:highlight w:val="none"/>
        </w:rPr>
        <w:t>；</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（7）其他资料。</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投标文件的上述组成部分如存在内容不一致的，以投标函为准。</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3．我方承诺在招标文件规定的投标有效期内不撤销投标文件。</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4．如我方中标，我方承诺：</w:t>
      </w:r>
    </w:p>
    <w:p>
      <w:pPr>
        <w:spacing w:line="440" w:lineRule="exact"/>
        <w:ind w:left="945" w:leftChars="400" w:hanging="105" w:hangingChars="50"/>
        <w:rPr>
          <w:rFonts w:ascii="宋体" w:hAnsi="宋体" w:cs="宋体"/>
          <w:color w:val="auto"/>
          <w:highlight w:val="none"/>
        </w:rPr>
      </w:pPr>
      <w:r>
        <w:rPr>
          <w:rFonts w:hint="eastAsia" w:ascii="宋体" w:hAnsi="宋体" w:cs="宋体"/>
          <w:color w:val="auto"/>
          <w:highlight w:val="none"/>
        </w:rPr>
        <w:t>（1）在收到中标通知书后，30日内与你方签订合同；</w:t>
      </w:r>
    </w:p>
    <w:p>
      <w:pPr>
        <w:spacing w:line="440" w:lineRule="exact"/>
        <w:ind w:left="945" w:leftChars="400" w:hanging="105" w:hangingChars="50"/>
        <w:rPr>
          <w:rFonts w:ascii="宋体" w:hAnsi="宋体" w:cs="宋体"/>
          <w:color w:val="auto"/>
          <w:highlight w:val="none"/>
        </w:rPr>
      </w:pPr>
      <w:r>
        <w:rPr>
          <w:rFonts w:hint="eastAsia" w:ascii="宋体" w:hAnsi="宋体" w:cs="宋体"/>
          <w:color w:val="auto"/>
          <w:highlight w:val="none"/>
        </w:rPr>
        <w:t>（2）无条件接受你方的合同条件，在签订合同时不向你方提出附加条件；</w:t>
      </w:r>
    </w:p>
    <w:p>
      <w:pPr>
        <w:spacing w:line="440" w:lineRule="exact"/>
        <w:ind w:left="945" w:leftChars="400" w:hanging="105" w:hangingChars="50"/>
        <w:rPr>
          <w:rFonts w:ascii="宋体" w:hAnsi="宋体" w:cs="宋体"/>
          <w:color w:val="auto"/>
          <w:highlight w:val="none"/>
        </w:rPr>
      </w:pPr>
      <w:r>
        <w:rPr>
          <w:rFonts w:hint="eastAsia" w:ascii="宋体" w:hAnsi="宋体" w:cs="宋体"/>
          <w:color w:val="auto"/>
          <w:highlight w:val="none"/>
        </w:rPr>
        <w:t>（3）按照招标文件要求提交履约保证金；</w:t>
      </w:r>
      <w:bookmarkStart w:id="519" w:name="_Toc1187"/>
      <w:bookmarkStart w:id="520" w:name="_Toc352691658"/>
      <w:bookmarkStart w:id="521" w:name="_Toc369531694"/>
    </w:p>
    <w:p>
      <w:pPr>
        <w:spacing w:line="440" w:lineRule="exact"/>
        <w:ind w:left="945" w:leftChars="400" w:hanging="105" w:hangingChars="50"/>
        <w:rPr>
          <w:rFonts w:ascii="宋体" w:hAnsi="宋体" w:cs="宋体"/>
          <w:color w:val="auto"/>
          <w:highlight w:val="none"/>
        </w:rPr>
      </w:pPr>
      <w:r>
        <w:rPr>
          <w:rFonts w:hint="eastAsia" w:ascii="宋体" w:hAnsi="宋体" w:cs="宋体"/>
          <w:color w:val="auto"/>
          <w:highlight w:val="none"/>
        </w:rPr>
        <w:t>（4）在合</w:t>
      </w:r>
      <w:bookmarkEnd w:id="519"/>
      <w:bookmarkEnd w:id="520"/>
      <w:bookmarkEnd w:id="521"/>
      <w:r>
        <w:rPr>
          <w:rFonts w:hint="eastAsia" w:ascii="宋体" w:hAnsi="宋体" w:cs="宋体"/>
          <w:color w:val="auto"/>
          <w:highlight w:val="none"/>
        </w:rPr>
        <w:t>同约定的期限内完成合同规定的全部义务。</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5．我方在此声明，所递交的投标文件及有关资料内容完整、真实和准确，且不存在第二章“投标人须知”第1.4.3项规定的任何一种情形。</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（其他补充说明）。</w:t>
      </w:r>
    </w:p>
    <w:p>
      <w:pPr>
        <w:spacing w:line="440" w:lineRule="exact"/>
        <w:ind w:firstLine="2520" w:firstLineChars="1200"/>
        <w:jc w:val="left"/>
        <w:rPr>
          <w:rFonts w:ascii="宋体" w:hAnsi="宋体" w:cs="宋体"/>
          <w:color w:val="auto"/>
          <w:highlight w:val="none"/>
        </w:rPr>
      </w:pPr>
      <w:bookmarkStart w:id="522" w:name="_Toc352691660"/>
      <w:bookmarkEnd w:id="522"/>
      <w:bookmarkStart w:id="523" w:name="_Toc369531695"/>
      <w:bookmarkEnd w:id="523"/>
      <w:bookmarkStart w:id="524" w:name="_Toc369531696"/>
      <w:bookmarkEnd w:id="524"/>
      <w:bookmarkStart w:id="525" w:name="_Toc16824"/>
      <w:bookmarkEnd w:id="525"/>
      <w:bookmarkStart w:id="526" w:name="_Toc352691659"/>
      <w:bookmarkEnd w:id="526"/>
      <w:bookmarkStart w:id="527" w:name="_Toc16568"/>
      <w:bookmarkEnd w:id="527"/>
      <w:r>
        <w:rPr>
          <w:rFonts w:hint="eastAsia" w:ascii="宋体" w:hAnsi="宋体" w:cs="宋体"/>
          <w:color w:val="auto"/>
          <w:highlight w:val="none"/>
        </w:rPr>
        <w:t>投 标 人：</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（盖单位章）</w:t>
      </w:r>
    </w:p>
    <w:p>
      <w:pPr>
        <w:spacing w:line="440" w:lineRule="exact"/>
        <w:jc w:val="left"/>
        <w:rPr>
          <w:rFonts w:ascii="宋体" w:hAnsi="宋体" w:cs="宋体"/>
          <w:color w:val="auto"/>
          <w:highlight w:val="none"/>
        </w:rPr>
      </w:pPr>
      <w:r>
        <w:rPr>
          <w:rFonts w:hint="eastAsia" w:ascii="宋体" w:hAnsi="宋体" w:cs="宋体"/>
          <w:color w:val="auto"/>
          <w:szCs w:val="22"/>
          <w:highlight w:val="none"/>
        </w:rPr>
        <w:t xml:space="preserve">                        法定代表人</w:t>
      </w:r>
      <w:r>
        <w:rPr>
          <w:rFonts w:hint="eastAsia" w:ascii="宋体" w:hAnsi="宋体" w:cs="宋体"/>
          <w:color w:val="auto"/>
          <w:highlight w:val="none"/>
        </w:rPr>
        <w:t>或其委托代理人：</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（签字）</w:t>
      </w:r>
    </w:p>
    <w:p>
      <w:pPr>
        <w:spacing w:line="440" w:lineRule="exact"/>
        <w:ind w:firstLine="2520" w:firstLineChars="1200"/>
        <w:jc w:val="left"/>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pPr>
        <w:spacing w:line="440" w:lineRule="exact"/>
        <w:ind w:firstLine="2520" w:firstLineChars="1200"/>
        <w:jc w:val="left"/>
        <w:rPr>
          <w:rFonts w:ascii="宋体" w:hAnsi="宋体" w:cs="宋体"/>
          <w:color w:val="auto"/>
          <w:highlight w:val="none"/>
        </w:rPr>
      </w:pPr>
      <w:r>
        <w:rPr>
          <w:rFonts w:hint="eastAsia" w:ascii="宋体" w:hAnsi="宋体" w:cs="宋体"/>
          <w:color w:val="auto"/>
          <w:highlight w:val="none"/>
        </w:rPr>
        <w:t>网    址：</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p>
    <w:p>
      <w:pPr>
        <w:spacing w:line="440" w:lineRule="exact"/>
        <w:ind w:firstLine="2520" w:firstLineChars="1200"/>
        <w:jc w:val="left"/>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p>
    <w:p>
      <w:pPr>
        <w:spacing w:line="440" w:lineRule="exact"/>
        <w:ind w:firstLine="2520" w:firstLineChars="1200"/>
        <w:jc w:val="left"/>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p>
    <w:p>
      <w:pPr>
        <w:spacing w:line="440" w:lineRule="exact"/>
        <w:ind w:firstLine="2520" w:firstLineChars="1200"/>
        <w:jc w:val="left"/>
        <w:rPr>
          <w:rFonts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p>
    <w:p>
      <w:pPr>
        <w:spacing w:line="440" w:lineRule="exact"/>
        <w:ind w:firstLine="4725" w:firstLineChars="2250"/>
        <w:jc w:val="right"/>
        <w:rPr>
          <w:rFonts w:ascii="宋体" w:hAnsi="宋体" w:cs="宋体"/>
          <w:color w:val="auto"/>
          <w:highlight w:val="none"/>
        </w:rPr>
      </w:pPr>
      <w:r>
        <w:rPr>
          <w:rFonts w:hint="eastAsia" w:ascii="宋体" w:hAnsi="宋体" w:cs="宋体"/>
          <w:color w:val="auto"/>
          <w:szCs w:val="22"/>
          <w:highlight w:val="none"/>
          <w:u w:val="single"/>
        </w:rPr>
        <w:t xml:space="preserve">      </w:t>
      </w:r>
      <w:r>
        <w:rPr>
          <w:rFonts w:hint="eastAsia" w:ascii="宋体" w:hAnsi="宋体" w:cs="宋体"/>
          <w:color w:val="auto"/>
          <w:highlight w:val="none"/>
        </w:rPr>
        <w:t>年</w:t>
      </w:r>
      <w:r>
        <w:rPr>
          <w:rFonts w:hint="eastAsia" w:ascii="宋体" w:hAnsi="宋体" w:cs="宋体"/>
          <w:color w:val="auto"/>
          <w:szCs w:val="22"/>
          <w:highlight w:val="none"/>
          <w:u w:val="single"/>
        </w:rPr>
        <w:t xml:space="preserve">      </w:t>
      </w:r>
      <w:r>
        <w:rPr>
          <w:rFonts w:hint="eastAsia" w:ascii="宋体" w:hAnsi="宋体" w:cs="宋体"/>
          <w:color w:val="auto"/>
          <w:highlight w:val="none"/>
        </w:rPr>
        <w:t>月</w:t>
      </w:r>
      <w:r>
        <w:rPr>
          <w:rFonts w:hint="eastAsia" w:ascii="宋体" w:hAnsi="宋体" w:cs="宋体"/>
          <w:color w:val="auto"/>
          <w:szCs w:val="22"/>
          <w:highlight w:val="none"/>
          <w:u w:val="single"/>
        </w:rPr>
        <w:t xml:space="preserve">      </w:t>
      </w:r>
      <w:r>
        <w:rPr>
          <w:rFonts w:hint="eastAsia" w:ascii="宋体" w:hAnsi="宋体" w:cs="宋体"/>
          <w:color w:val="auto"/>
          <w:highlight w:val="none"/>
        </w:rPr>
        <w:t>日</w:t>
      </w:r>
      <w:bookmarkStart w:id="528" w:name="_Toc144974856"/>
      <w:bookmarkStart w:id="529" w:name="_Toc17960"/>
      <w:bookmarkStart w:id="530" w:name="_Toc369531697"/>
      <w:bookmarkStart w:id="531" w:name="_Toc384308375"/>
      <w:bookmarkStart w:id="532" w:name="_Toc247527827"/>
      <w:bookmarkStart w:id="533" w:name="_Toc152045787"/>
      <w:bookmarkStart w:id="534" w:name="_Toc352691661"/>
      <w:bookmarkStart w:id="535" w:name="_Toc247514246"/>
      <w:bookmarkStart w:id="536" w:name="_Toc361508752"/>
      <w:bookmarkStart w:id="537" w:name="_Toc300835209"/>
      <w:bookmarkStart w:id="538" w:name="_Toc152042576"/>
    </w:p>
    <w:p>
      <w:pPr>
        <w:spacing w:line="440" w:lineRule="exact"/>
        <w:rPr>
          <w:rFonts w:ascii="宋体" w:hAnsi="宋体" w:cs="宋体"/>
          <w:color w:val="auto"/>
          <w:szCs w:val="22"/>
          <w:highlight w:val="none"/>
        </w:rPr>
      </w:pPr>
      <w:r>
        <w:rPr>
          <w:rFonts w:hint="eastAsia" w:ascii="宋体" w:hAnsi="宋体" w:cs="宋体"/>
          <w:color w:val="auto"/>
          <w:sz w:val="20"/>
          <w:szCs w:val="22"/>
          <w:highlight w:val="none"/>
        </w:rPr>
        <w:br w:type="page"/>
      </w:r>
      <w:bookmarkStart w:id="539" w:name="_Toc359594236"/>
      <w:bookmarkStart w:id="540" w:name="_Toc370676427"/>
      <w:bookmarkStart w:id="541" w:name="_Toc526786509"/>
      <w:bookmarkStart w:id="542" w:name="_Toc482188652"/>
      <w:bookmarkStart w:id="543" w:name="_Toc385943066"/>
      <w:bookmarkStart w:id="544" w:name="_Toc391394112"/>
      <w:r>
        <w:rPr>
          <w:rFonts w:hint="eastAsia" w:ascii="宋体" w:hAnsi="宋体" w:cs="宋体"/>
          <w:color w:val="auto"/>
          <w:szCs w:val="22"/>
          <w:highlight w:val="none"/>
        </w:rPr>
        <w:t>（二）投标函附录</w:t>
      </w:r>
      <w:bookmarkEnd w:id="539"/>
      <w:bookmarkEnd w:id="540"/>
      <w:bookmarkEnd w:id="541"/>
      <w:bookmarkEnd w:id="542"/>
      <w:bookmarkEnd w:id="543"/>
      <w:bookmarkEnd w:id="54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3641"/>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序号</w:t>
            </w: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条款名称</w:t>
            </w:r>
          </w:p>
        </w:tc>
        <w:tc>
          <w:tcPr>
            <w:tcW w:w="3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约定内容</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1</w:t>
            </w: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总监理工程师</w:t>
            </w:r>
          </w:p>
        </w:tc>
        <w:tc>
          <w:tcPr>
            <w:tcW w:w="36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r>
              <w:rPr>
                <w:rFonts w:hint="eastAsia" w:ascii="宋体" w:hAnsi="宋体" w:cs="宋体"/>
                <w:b/>
                <w:color w:val="auto"/>
                <w:highlight w:val="none"/>
              </w:rPr>
              <w:t>姓名：</w:t>
            </w:r>
            <w:r>
              <w:rPr>
                <w:rFonts w:hint="eastAsia" w:ascii="宋体" w:hAnsi="宋体" w:cs="宋体"/>
                <w:b/>
                <w:color w:val="auto"/>
                <w:highlight w:val="none"/>
                <w:u w:val="single"/>
              </w:rPr>
              <w:t xml:space="preserve">                         </w:t>
            </w:r>
          </w:p>
          <w:p>
            <w:pPr>
              <w:rPr>
                <w:rFonts w:ascii="宋体" w:hAnsi="宋体" w:cs="宋体"/>
                <w:b/>
                <w:color w:val="auto"/>
                <w:highlight w:val="none"/>
              </w:rPr>
            </w:pPr>
            <w:r>
              <w:rPr>
                <w:rFonts w:hint="eastAsia" w:ascii="宋体" w:hAnsi="宋体" w:cs="宋体"/>
                <w:b/>
                <w:color w:val="auto"/>
                <w:highlight w:val="none"/>
              </w:rPr>
              <w:t>技术职称：</w:t>
            </w:r>
            <w:r>
              <w:rPr>
                <w:rFonts w:hint="eastAsia" w:ascii="宋体" w:hAnsi="宋体" w:cs="宋体"/>
                <w:b/>
                <w:color w:val="auto"/>
                <w:highlight w:val="none"/>
                <w:u w:val="single"/>
              </w:rPr>
              <w:t xml:space="preserve">                    </w:t>
            </w:r>
          </w:p>
          <w:p>
            <w:pPr>
              <w:rPr>
                <w:rFonts w:ascii="宋体" w:hAnsi="宋体" w:cs="宋体"/>
                <w:b/>
                <w:color w:val="auto"/>
                <w:highlight w:val="none"/>
              </w:rPr>
            </w:pPr>
            <w:r>
              <w:rPr>
                <w:rFonts w:hint="eastAsia" w:ascii="宋体" w:hAnsi="宋体" w:cs="宋体"/>
                <w:b/>
                <w:color w:val="auto"/>
                <w:highlight w:val="none"/>
              </w:rPr>
              <w:t>注册证号：</w:t>
            </w:r>
            <w:r>
              <w:rPr>
                <w:rFonts w:hint="eastAsia" w:ascii="宋体" w:hAnsi="宋体" w:cs="宋体"/>
                <w:b/>
                <w:color w:val="auto"/>
                <w:highlight w:val="none"/>
                <w:u w:val="single"/>
              </w:rPr>
              <w:t xml:space="preserve">                    </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2</w:t>
            </w: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监理服务期限</w:t>
            </w:r>
          </w:p>
        </w:tc>
        <w:tc>
          <w:tcPr>
            <w:tcW w:w="3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3</w:t>
            </w: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合同价款确定方式</w:t>
            </w:r>
          </w:p>
        </w:tc>
        <w:tc>
          <w:tcPr>
            <w:tcW w:w="3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按合同约定</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4</w:t>
            </w: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质量标准</w:t>
            </w:r>
          </w:p>
        </w:tc>
        <w:tc>
          <w:tcPr>
            <w:tcW w:w="3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5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
                <w:color w:val="auto"/>
                <w:highlight w:val="none"/>
                <w:lang w:eastAsia="zh-CN"/>
              </w:rPr>
            </w:pPr>
            <w:r>
              <w:rPr>
                <w:rFonts w:hint="eastAsia" w:ascii="宋体" w:hAnsi="宋体" w:cs="宋体"/>
                <w:b/>
                <w:color w:val="auto"/>
                <w:highlight w:val="none"/>
                <w:lang w:val="en-US" w:eastAsia="zh-CN"/>
              </w:rPr>
              <w:t>5</w:t>
            </w:r>
          </w:p>
        </w:tc>
        <w:tc>
          <w:tcPr>
            <w:tcW w:w="2161" w:type="dxa"/>
            <w:vMerge w:val="restart"/>
            <w:tcBorders>
              <w:top w:val="single" w:color="auto" w:sz="4" w:space="0"/>
              <w:left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投标总报价</w:t>
            </w:r>
          </w:p>
        </w:tc>
        <w:tc>
          <w:tcPr>
            <w:tcW w:w="3641" w:type="dxa"/>
            <w:tcBorders>
              <w:top w:val="single" w:color="auto" w:sz="4" w:space="0"/>
              <w:left w:val="single" w:color="auto" w:sz="4" w:space="0"/>
              <w:bottom w:val="single" w:color="auto" w:sz="4" w:space="0"/>
              <w:right w:val="single" w:color="auto" w:sz="4" w:space="0"/>
            </w:tcBorders>
            <w:vAlign w:val="center"/>
          </w:tcPr>
          <w:p>
            <w:pPr>
              <w:bidi w:val="0"/>
              <w:rPr>
                <w:color w:val="auto"/>
                <w:highlight w:val="none"/>
              </w:rPr>
            </w:pPr>
            <w:r>
              <w:rPr>
                <w:rFonts w:hint="eastAsia"/>
                <w:b/>
                <w:bCs/>
                <w:color w:val="auto"/>
                <w:highlight w:val="none"/>
              </w:rPr>
              <w:t>投标总报价（元）：</w:t>
            </w:r>
            <w:r>
              <w:rPr>
                <w:rFonts w:hint="eastAsia" w:ascii="宋体" w:hAnsi="宋体" w:cs="宋体"/>
                <w:b/>
                <w:color w:val="auto"/>
                <w:highlight w:val="none"/>
                <w:u w:val="single"/>
              </w:rPr>
              <w:t xml:space="preserve">         </w:t>
            </w:r>
          </w:p>
        </w:tc>
        <w:tc>
          <w:tcPr>
            <w:tcW w:w="1117" w:type="dxa"/>
            <w:vMerge w:val="restart"/>
            <w:tcBorders>
              <w:top w:val="single" w:color="auto" w:sz="4" w:space="0"/>
              <w:left w:val="single" w:color="auto" w:sz="4" w:space="0"/>
              <w:right w:val="single" w:color="auto" w:sz="4" w:space="0"/>
            </w:tcBorders>
            <w:vAlign w:val="center"/>
          </w:tcPr>
          <w:p>
            <w:pPr>
              <w:jc w:val="cente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54" w:type="dxa"/>
            <w:vMerge w:val="continue"/>
            <w:tcBorders>
              <w:left w:val="single" w:color="auto" w:sz="4" w:space="0"/>
              <w:bottom w:val="single" w:color="auto" w:sz="4" w:space="0"/>
              <w:right w:val="single" w:color="auto" w:sz="4" w:space="0"/>
            </w:tcBorders>
            <w:vAlign w:val="center"/>
          </w:tcPr>
          <w:p>
            <w:pPr>
              <w:bidi w:val="0"/>
              <w:rPr>
                <w:color w:val="auto"/>
                <w:highlight w:val="none"/>
              </w:rPr>
            </w:pPr>
          </w:p>
        </w:tc>
        <w:tc>
          <w:tcPr>
            <w:tcW w:w="2161" w:type="dxa"/>
            <w:vMerge w:val="continue"/>
            <w:tcBorders>
              <w:left w:val="single" w:color="auto" w:sz="4" w:space="0"/>
              <w:bottom w:val="single" w:color="auto" w:sz="4" w:space="0"/>
              <w:right w:val="single" w:color="auto" w:sz="4" w:space="0"/>
            </w:tcBorders>
            <w:vAlign w:val="center"/>
          </w:tcPr>
          <w:p>
            <w:pPr>
              <w:bidi w:val="0"/>
              <w:rPr>
                <w:color w:val="auto"/>
                <w:highlight w:val="none"/>
              </w:rPr>
            </w:pPr>
          </w:p>
        </w:tc>
        <w:tc>
          <w:tcPr>
            <w:tcW w:w="3641" w:type="dxa"/>
            <w:tcBorders>
              <w:top w:val="single" w:color="auto" w:sz="4" w:space="0"/>
              <w:left w:val="single" w:color="auto" w:sz="4" w:space="0"/>
              <w:bottom w:val="single" w:color="auto" w:sz="4" w:space="0"/>
              <w:right w:val="single" w:color="auto" w:sz="4" w:space="0"/>
            </w:tcBorders>
            <w:vAlign w:val="center"/>
          </w:tcPr>
          <w:p>
            <w:pPr>
              <w:bidi w:val="0"/>
              <w:rPr>
                <w:rFonts w:hint="eastAsia"/>
                <w:b/>
                <w:bCs/>
                <w:color w:val="auto"/>
                <w:highlight w:val="none"/>
              </w:rPr>
            </w:pPr>
            <w:r>
              <w:rPr>
                <w:rFonts w:hint="eastAsia"/>
                <w:b/>
                <w:bCs/>
                <w:color w:val="auto"/>
                <w:highlight w:val="none"/>
              </w:rPr>
              <w:t>投标综合单价（元/平方米）：</w:t>
            </w:r>
            <w:r>
              <w:rPr>
                <w:rFonts w:hint="eastAsia" w:ascii="宋体" w:hAnsi="宋体" w:cs="宋体"/>
                <w:b/>
                <w:color w:val="auto"/>
                <w:highlight w:val="none"/>
                <w:u w:val="single"/>
              </w:rPr>
              <w:t xml:space="preserve">       </w:t>
            </w:r>
          </w:p>
        </w:tc>
        <w:tc>
          <w:tcPr>
            <w:tcW w:w="1117" w:type="dxa"/>
            <w:vMerge w:val="continue"/>
            <w:tcBorders>
              <w:left w:val="single" w:color="auto" w:sz="4" w:space="0"/>
              <w:bottom w:val="single" w:color="auto" w:sz="4" w:space="0"/>
              <w:right w:val="single" w:color="auto" w:sz="4" w:space="0"/>
            </w:tcBorders>
            <w:vAlign w:val="center"/>
          </w:tcPr>
          <w:p>
            <w:pPr>
              <w:bidi w:val="0"/>
              <w:rPr>
                <w:rFonts w:hint="eastAsia"/>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lang w:eastAsia="zh-CN"/>
              </w:rPr>
            </w:pPr>
            <w:r>
              <w:rPr>
                <w:rFonts w:hint="eastAsia" w:ascii="宋体" w:hAnsi="宋体" w:cs="宋体"/>
                <w:b/>
                <w:color w:val="auto"/>
                <w:highlight w:val="none"/>
                <w:lang w:val="en-US" w:eastAsia="zh-CN"/>
              </w:rPr>
              <w:t>6</w:t>
            </w: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法 人 营 业</w:t>
            </w:r>
          </w:p>
          <w:p>
            <w:pPr>
              <w:jc w:val="center"/>
              <w:rPr>
                <w:rFonts w:ascii="宋体" w:hAnsi="宋体" w:cs="宋体"/>
                <w:b/>
                <w:color w:val="auto"/>
                <w:highlight w:val="none"/>
              </w:rPr>
            </w:pPr>
            <w:r>
              <w:rPr>
                <w:rFonts w:hint="eastAsia" w:ascii="宋体" w:hAnsi="宋体" w:cs="宋体"/>
                <w:b/>
                <w:color w:val="auto"/>
                <w:highlight w:val="none"/>
              </w:rPr>
              <w:t>执 照 证 号</w:t>
            </w:r>
          </w:p>
        </w:tc>
        <w:tc>
          <w:tcPr>
            <w:tcW w:w="36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r>
              <w:rPr>
                <w:rFonts w:hint="eastAsia" w:ascii="宋体" w:hAnsi="宋体" w:cs="宋体"/>
                <w:b/>
                <w:color w:val="auto"/>
                <w:highlight w:val="none"/>
              </w:rPr>
              <w:t>法 人 营 业</w:t>
            </w:r>
          </w:p>
          <w:p>
            <w:pPr>
              <w:rPr>
                <w:rFonts w:ascii="宋体" w:hAnsi="宋体" w:cs="宋体"/>
                <w:b/>
                <w:color w:val="auto"/>
                <w:highlight w:val="none"/>
              </w:rPr>
            </w:pPr>
            <w:r>
              <w:rPr>
                <w:rFonts w:hint="eastAsia" w:ascii="宋体" w:hAnsi="宋体" w:cs="宋体"/>
                <w:b/>
                <w:color w:val="auto"/>
                <w:highlight w:val="none"/>
              </w:rPr>
              <w:t>执 照 证 号：</w:t>
            </w:r>
            <w:r>
              <w:rPr>
                <w:rFonts w:hint="eastAsia" w:ascii="宋体" w:hAnsi="宋体"/>
                <w:color w:val="auto"/>
                <w:sz w:val="24"/>
                <w:szCs w:val="24"/>
                <w:highlight w:val="none"/>
                <w:u w:val="single"/>
              </w:rPr>
              <w:t xml:space="preserve">               </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highlight w:val="none"/>
                <w:lang w:eastAsia="zh-CN"/>
              </w:rPr>
            </w:pPr>
            <w:r>
              <w:rPr>
                <w:rFonts w:hint="eastAsia" w:ascii="宋体" w:hAnsi="宋体" w:cs="宋体"/>
                <w:b/>
                <w:color w:val="auto"/>
                <w:highlight w:val="none"/>
                <w:lang w:val="en-US" w:eastAsia="zh-CN"/>
              </w:rPr>
              <w:t>7</w:t>
            </w: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r>
              <w:rPr>
                <w:rFonts w:hint="eastAsia" w:ascii="宋体" w:hAnsi="宋体" w:cs="宋体"/>
                <w:b/>
                <w:color w:val="auto"/>
                <w:highlight w:val="none"/>
              </w:rPr>
              <w:t>资 质 等 级</w:t>
            </w:r>
          </w:p>
          <w:p>
            <w:pPr>
              <w:jc w:val="center"/>
              <w:rPr>
                <w:rFonts w:ascii="宋体" w:hAnsi="宋体" w:cs="宋体"/>
                <w:bCs/>
                <w:color w:val="auto"/>
                <w:sz w:val="28"/>
                <w:szCs w:val="28"/>
                <w:highlight w:val="none"/>
              </w:rPr>
            </w:pPr>
            <w:r>
              <w:rPr>
                <w:rFonts w:hint="eastAsia" w:ascii="宋体" w:hAnsi="宋体" w:cs="宋体"/>
                <w:b/>
                <w:color w:val="auto"/>
                <w:highlight w:val="none"/>
              </w:rPr>
              <w:t>及 证 书 号</w:t>
            </w:r>
          </w:p>
        </w:tc>
        <w:tc>
          <w:tcPr>
            <w:tcW w:w="36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highlight w:val="none"/>
              </w:rPr>
            </w:pPr>
            <w:r>
              <w:rPr>
                <w:rFonts w:hint="eastAsia" w:ascii="宋体" w:hAnsi="宋体" w:cs="宋体"/>
                <w:b/>
                <w:color w:val="auto"/>
                <w:highlight w:val="none"/>
              </w:rPr>
              <w:t>资质等级：</w:t>
            </w:r>
            <w:r>
              <w:rPr>
                <w:rFonts w:hint="eastAsia" w:ascii="宋体" w:hAnsi="宋体"/>
                <w:color w:val="auto"/>
                <w:sz w:val="24"/>
                <w:szCs w:val="24"/>
                <w:highlight w:val="none"/>
                <w:u w:val="single"/>
              </w:rPr>
              <w:t xml:space="preserve">               </w:t>
            </w:r>
          </w:p>
          <w:p>
            <w:pPr>
              <w:rPr>
                <w:rFonts w:ascii="宋体" w:hAnsi="宋体" w:cs="宋体"/>
                <w:b/>
                <w:color w:val="auto"/>
                <w:highlight w:val="none"/>
              </w:rPr>
            </w:pPr>
            <w:r>
              <w:rPr>
                <w:rFonts w:hint="eastAsia" w:ascii="宋体" w:hAnsi="宋体" w:cs="宋体"/>
                <w:b/>
                <w:color w:val="auto"/>
                <w:highlight w:val="none"/>
              </w:rPr>
              <w:t>资质证书号：</w:t>
            </w:r>
            <w:r>
              <w:rPr>
                <w:rFonts w:hint="eastAsia" w:ascii="宋体" w:hAnsi="宋体"/>
                <w:color w:val="auto"/>
                <w:sz w:val="24"/>
                <w:szCs w:val="24"/>
                <w:highlight w:val="none"/>
                <w:u w:val="single"/>
              </w:rPr>
              <w:t xml:space="preserve">               </w:t>
            </w: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c>
          <w:tcPr>
            <w:tcW w:w="3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rPr>
            </w:pPr>
          </w:p>
        </w:tc>
      </w:tr>
    </w:tbl>
    <w:p>
      <w:pPr>
        <w:spacing w:line="440" w:lineRule="exact"/>
        <w:ind w:firstLine="2520" w:firstLineChars="1200"/>
        <w:jc w:val="left"/>
        <w:rPr>
          <w:rFonts w:ascii="宋体" w:hAnsi="宋体" w:cs="宋体"/>
          <w:color w:val="auto"/>
          <w:highlight w:val="none"/>
        </w:rPr>
      </w:pPr>
    </w:p>
    <w:p>
      <w:pPr>
        <w:spacing w:line="440" w:lineRule="exact"/>
        <w:ind w:firstLine="2520" w:firstLineChars="1200"/>
        <w:jc w:val="left"/>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（盖单位章）</w:t>
      </w:r>
    </w:p>
    <w:p>
      <w:pPr>
        <w:spacing w:line="440" w:lineRule="exact"/>
        <w:jc w:val="left"/>
        <w:rPr>
          <w:rFonts w:ascii="宋体" w:hAnsi="宋体" w:cs="宋体"/>
          <w:color w:val="auto"/>
          <w:highlight w:val="none"/>
        </w:rPr>
      </w:pPr>
      <w:r>
        <w:rPr>
          <w:rFonts w:hint="eastAsia" w:ascii="宋体" w:hAnsi="宋体" w:cs="宋体"/>
          <w:color w:val="auto"/>
          <w:szCs w:val="22"/>
          <w:highlight w:val="none"/>
        </w:rPr>
        <w:t xml:space="preserve">                        法定代表人</w:t>
      </w:r>
      <w:r>
        <w:rPr>
          <w:rFonts w:hint="eastAsia" w:ascii="宋体" w:hAnsi="宋体" w:cs="宋体"/>
          <w:color w:val="auto"/>
          <w:highlight w:val="none"/>
        </w:rPr>
        <w:t>或其委托代理人：</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（签字）</w:t>
      </w:r>
    </w:p>
    <w:p>
      <w:pPr>
        <w:spacing w:line="440" w:lineRule="exact"/>
        <w:ind w:firstLine="4725" w:firstLineChars="2250"/>
        <w:jc w:val="right"/>
        <w:rPr>
          <w:rFonts w:ascii="宋体" w:hAnsi="宋体" w:cs="宋体"/>
          <w:color w:val="auto"/>
          <w:highlight w:val="none"/>
        </w:rPr>
      </w:pPr>
      <w:r>
        <w:rPr>
          <w:rFonts w:hint="eastAsia" w:ascii="宋体" w:hAnsi="宋体" w:cs="宋体"/>
          <w:color w:val="auto"/>
          <w:szCs w:val="22"/>
          <w:highlight w:val="none"/>
          <w:u w:val="single"/>
        </w:rPr>
        <w:t xml:space="preserve">      </w:t>
      </w:r>
      <w:r>
        <w:rPr>
          <w:rFonts w:hint="eastAsia" w:ascii="宋体" w:hAnsi="宋体" w:cs="宋体"/>
          <w:color w:val="auto"/>
          <w:highlight w:val="none"/>
        </w:rPr>
        <w:t>年</w:t>
      </w:r>
      <w:r>
        <w:rPr>
          <w:rFonts w:hint="eastAsia" w:ascii="宋体" w:hAnsi="宋体" w:cs="宋体"/>
          <w:color w:val="auto"/>
          <w:szCs w:val="22"/>
          <w:highlight w:val="none"/>
          <w:u w:val="single"/>
        </w:rPr>
        <w:t xml:space="preserve">      </w:t>
      </w:r>
      <w:r>
        <w:rPr>
          <w:rFonts w:hint="eastAsia" w:ascii="宋体" w:hAnsi="宋体" w:cs="宋体"/>
          <w:color w:val="auto"/>
          <w:highlight w:val="none"/>
        </w:rPr>
        <w:t>月</w:t>
      </w:r>
      <w:r>
        <w:rPr>
          <w:rFonts w:hint="eastAsia" w:ascii="宋体" w:hAnsi="宋体" w:cs="宋体"/>
          <w:color w:val="auto"/>
          <w:szCs w:val="22"/>
          <w:highlight w:val="none"/>
          <w:u w:val="single"/>
        </w:rPr>
        <w:t xml:space="preserve">      </w:t>
      </w:r>
      <w:r>
        <w:rPr>
          <w:rFonts w:hint="eastAsia" w:ascii="宋体" w:hAnsi="宋体" w:cs="宋体"/>
          <w:color w:val="auto"/>
          <w:highlight w:val="none"/>
        </w:rPr>
        <w:t>日</w:t>
      </w:r>
    </w:p>
    <w:p>
      <w:pPr>
        <w:spacing w:line="440" w:lineRule="exact"/>
        <w:rPr>
          <w:rFonts w:ascii="宋体" w:hAnsi="宋体" w:cs="宋体"/>
          <w:color w:val="auto"/>
          <w:highlight w:val="none"/>
        </w:rPr>
      </w:pPr>
    </w:p>
    <w:p>
      <w:pPr>
        <w:spacing w:line="440" w:lineRule="exact"/>
        <w:ind w:firstLine="420" w:firstLineChars="200"/>
        <w:rPr>
          <w:rFonts w:ascii="宋体" w:hAnsi="宋体" w:cs="宋体"/>
          <w:color w:val="auto"/>
          <w:highlight w:val="none"/>
        </w:rPr>
      </w:pPr>
    </w:p>
    <w:p>
      <w:pPr>
        <w:spacing w:line="440" w:lineRule="exact"/>
        <w:ind w:firstLine="420" w:firstLineChars="200"/>
        <w:rPr>
          <w:rFonts w:ascii="宋体" w:hAnsi="宋体" w:cs="宋体"/>
          <w:color w:val="auto"/>
          <w:highlight w:val="none"/>
        </w:rPr>
      </w:pPr>
    </w:p>
    <w:p>
      <w:pPr>
        <w:spacing w:line="440" w:lineRule="exact"/>
        <w:ind w:firstLine="420" w:firstLineChars="200"/>
        <w:rPr>
          <w:rFonts w:ascii="宋体" w:hAnsi="宋体" w:cs="宋体"/>
          <w:color w:val="auto"/>
          <w:highlight w:val="none"/>
        </w:rPr>
      </w:pPr>
    </w:p>
    <w:p>
      <w:pPr>
        <w:spacing w:line="440" w:lineRule="exact"/>
        <w:ind w:firstLine="420" w:firstLineChars="200"/>
        <w:rPr>
          <w:rFonts w:ascii="宋体" w:hAnsi="宋体" w:cs="宋体"/>
          <w:color w:val="auto"/>
          <w:highlight w:val="none"/>
        </w:rPr>
      </w:pPr>
    </w:p>
    <w:p>
      <w:pPr>
        <w:spacing w:line="440" w:lineRule="exact"/>
        <w:ind w:firstLine="420" w:firstLineChars="200"/>
        <w:rPr>
          <w:rFonts w:ascii="宋体" w:hAnsi="宋体" w:cs="宋体"/>
          <w:color w:val="auto"/>
          <w:highlight w:val="none"/>
        </w:rPr>
      </w:pPr>
    </w:p>
    <w:p>
      <w:pPr>
        <w:spacing w:line="440" w:lineRule="exact"/>
        <w:rPr>
          <w:rFonts w:ascii="宋体" w:hAnsi="宋体" w:cs="宋体"/>
          <w:color w:val="auto"/>
          <w:highlight w:val="none"/>
        </w:rPr>
      </w:pPr>
    </w:p>
    <w:p>
      <w:pPr>
        <w:spacing w:line="440" w:lineRule="exact"/>
        <w:rPr>
          <w:rFonts w:ascii="宋体" w:hAnsi="宋体" w:cs="宋体"/>
          <w:color w:val="auto"/>
          <w:highlight w:val="none"/>
        </w:rPr>
      </w:pPr>
    </w:p>
    <w:p>
      <w:pPr>
        <w:spacing w:line="440" w:lineRule="exact"/>
        <w:rPr>
          <w:rFonts w:ascii="宋体" w:hAnsi="宋体" w:cs="宋体"/>
          <w:color w:val="auto"/>
          <w:highlight w:val="none"/>
        </w:rPr>
      </w:pPr>
    </w:p>
    <w:p>
      <w:pPr>
        <w:spacing w:line="440" w:lineRule="exact"/>
        <w:rPr>
          <w:rFonts w:ascii="宋体" w:hAnsi="宋体" w:cs="宋体"/>
          <w:color w:val="auto"/>
          <w:highlight w:val="none"/>
        </w:rPr>
      </w:pPr>
    </w:p>
    <w:p>
      <w:pPr>
        <w:spacing w:before="260" w:after="260" w:line="410" w:lineRule="auto"/>
        <w:jc w:val="center"/>
        <w:outlineLvl w:val="1"/>
        <w:rPr>
          <w:rFonts w:ascii="宋体" w:hAnsi="宋体" w:cs="宋体"/>
          <w:b/>
          <w:color w:val="auto"/>
          <w:sz w:val="32"/>
          <w:szCs w:val="20"/>
          <w:highlight w:val="none"/>
        </w:rPr>
      </w:pPr>
      <w:r>
        <w:rPr>
          <w:rFonts w:hint="eastAsia" w:ascii="宋体" w:hAnsi="宋体" w:eastAsia="黑体" w:cs="宋体"/>
          <w:color w:val="auto"/>
          <w:sz w:val="32"/>
          <w:szCs w:val="20"/>
          <w:highlight w:val="none"/>
        </w:rPr>
        <w:br w:type="page"/>
      </w:r>
      <w:bookmarkStart w:id="545" w:name="_Toc24026"/>
      <w:bookmarkStart w:id="546" w:name="_Toc526786510"/>
      <w:r>
        <w:rPr>
          <w:rFonts w:hint="eastAsia" w:ascii="宋体" w:hAnsi="宋体" w:cs="宋体"/>
          <w:b/>
          <w:color w:val="auto"/>
          <w:sz w:val="32"/>
          <w:szCs w:val="20"/>
          <w:highlight w:val="none"/>
        </w:rPr>
        <w:t>二</w:t>
      </w:r>
      <w:bookmarkEnd w:id="528"/>
      <w:bookmarkEnd w:id="529"/>
      <w:bookmarkEnd w:id="530"/>
      <w:bookmarkEnd w:id="531"/>
      <w:bookmarkEnd w:id="532"/>
      <w:bookmarkEnd w:id="533"/>
      <w:bookmarkEnd w:id="534"/>
      <w:bookmarkEnd w:id="535"/>
      <w:bookmarkEnd w:id="536"/>
      <w:bookmarkEnd w:id="537"/>
      <w:bookmarkEnd w:id="538"/>
      <w:r>
        <w:rPr>
          <w:rFonts w:hint="eastAsia" w:ascii="宋体" w:hAnsi="宋体" w:cs="宋体"/>
          <w:b/>
          <w:color w:val="auto"/>
          <w:sz w:val="32"/>
          <w:szCs w:val="20"/>
          <w:highlight w:val="none"/>
        </w:rPr>
        <w:t>、法定代表人身份证明</w:t>
      </w:r>
      <w:bookmarkEnd w:id="545"/>
      <w:bookmarkEnd w:id="546"/>
    </w:p>
    <w:p>
      <w:pPr>
        <w:spacing w:line="440" w:lineRule="exact"/>
        <w:rPr>
          <w:rFonts w:ascii="宋体" w:hAnsi="宋体" w:cs="宋体"/>
          <w:color w:val="auto"/>
          <w:sz w:val="20"/>
          <w:szCs w:val="22"/>
          <w:highlight w:val="none"/>
        </w:rPr>
      </w:pP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r>
        <w:rPr>
          <w:rFonts w:hint="eastAsia" w:ascii="宋体" w:hAnsi="宋体" w:cs="宋体"/>
          <w:color w:val="auto"/>
          <w:szCs w:val="22"/>
          <w:highlight w:val="none"/>
        </w:rPr>
        <w:t>投标人名称：</w:t>
      </w:r>
      <w:r>
        <w:rPr>
          <w:rFonts w:hint="eastAsia" w:ascii="宋体" w:hAnsi="宋体" w:cs="宋体"/>
          <w:color w:val="auto"/>
          <w:szCs w:val="22"/>
          <w:highlight w:val="none"/>
          <w:u w:val="single"/>
        </w:rPr>
        <w:t xml:space="preserve">                        </w:t>
      </w:r>
    </w:p>
    <w:p>
      <w:pPr>
        <w:spacing w:line="440" w:lineRule="exact"/>
        <w:rPr>
          <w:rFonts w:ascii="宋体" w:hAnsi="宋体" w:cs="宋体"/>
          <w:color w:val="auto"/>
          <w:szCs w:val="22"/>
          <w:highlight w:val="none"/>
        </w:rPr>
      </w:pPr>
      <w:r>
        <w:rPr>
          <w:rFonts w:hint="eastAsia" w:ascii="宋体" w:hAnsi="宋体" w:cs="宋体"/>
          <w:color w:val="auto"/>
          <w:szCs w:val="22"/>
          <w:highlight w:val="none"/>
        </w:rPr>
        <w:t>姓名：</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性别：</w:t>
      </w:r>
      <w:bookmarkStart w:id="547" w:name="_Toc369531698"/>
      <w:bookmarkStart w:id="548" w:name="_Toc27897"/>
      <w:bookmarkStart w:id="549" w:name="_Toc352691662"/>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年</w:t>
      </w:r>
      <w:bookmarkEnd w:id="547"/>
      <w:bookmarkEnd w:id="548"/>
      <w:bookmarkEnd w:id="549"/>
      <w:r>
        <w:rPr>
          <w:rFonts w:hint="eastAsia" w:ascii="宋体" w:hAnsi="宋体" w:cs="宋体"/>
          <w:color w:val="auto"/>
          <w:szCs w:val="22"/>
          <w:highlight w:val="none"/>
        </w:rPr>
        <w:t>龄</w:t>
      </w:r>
      <w:bookmarkStart w:id="550" w:name="_Toc384308377"/>
      <w:bookmarkStart w:id="551" w:name="_Toc144974858"/>
      <w:bookmarkStart w:id="552" w:name="_Toc300835211"/>
      <w:bookmarkStart w:id="553" w:name="_Toc361508754"/>
      <w:bookmarkStart w:id="554" w:name="_Toc352691663"/>
      <w:bookmarkStart w:id="555" w:name="_Toc152045789"/>
      <w:bookmarkStart w:id="556" w:name="_Toc247514248"/>
      <w:bookmarkStart w:id="557" w:name="_Toc15573"/>
      <w:bookmarkStart w:id="558" w:name="_Toc369531699"/>
      <w:bookmarkStart w:id="559" w:name="_Toc247527829"/>
      <w:bookmarkStart w:id="560" w:name="_Toc152042578"/>
      <w:r>
        <w:rPr>
          <w:rFonts w:hint="eastAsia" w:ascii="宋体" w:hAnsi="宋体" w:cs="宋体"/>
          <w:color w:val="auto"/>
          <w:szCs w:val="22"/>
          <w:highlight w:val="none"/>
        </w:rPr>
        <w:t>：</w:t>
      </w:r>
      <w:bookmarkEnd w:id="550"/>
      <w:bookmarkEnd w:id="551"/>
      <w:bookmarkEnd w:id="552"/>
      <w:bookmarkEnd w:id="553"/>
      <w:bookmarkEnd w:id="554"/>
      <w:bookmarkEnd w:id="555"/>
      <w:bookmarkEnd w:id="556"/>
      <w:bookmarkEnd w:id="557"/>
      <w:bookmarkEnd w:id="558"/>
      <w:bookmarkEnd w:id="559"/>
      <w:bookmarkEnd w:id="560"/>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职务：</w:t>
      </w:r>
      <w:r>
        <w:rPr>
          <w:rFonts w:hint="eastAsia" w:ascii="宋体" w:hAnsi="宋体" w:cs="宋体"/>
          <w:color w:val="auto"/>
          <w:szCs w:val="22"/>
          <w:highlight w:val="none"/>
          <w:u w:val="single"/>
        </w:rPr>
        <w:t xml:space="preserve">        </w:t>
      </w:r>
    </w:p>
    <w:p>
      <w:pPr>
        <w:spacing w:line="440" w:lineRule="exact"/>
        <w:rPr>
          <w:rFonts w:ascii="宋体" w:hAnsi="宋体" w:cs="宋体"/>
          <w:color w:val="auto"/>
          <w:szCs w:val="22"/>
          <w:highlight w:val="none"/>
        </w:rPr>
      </w:pPr>
      <w:r>
        <w:rPr>
          <w:rFonts w:hint="eastAsia" w:ascii="宋体" w:hAnsi="宋体" w:cs="宋体"/>
          <w:color w:val="auto"/>
          <w:szCs w:val="22"/>
          <w:highlight w:val="none"/>
        </w:rPr>
        <w:t>系</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（投标人名称）的法定代表人。</w:t>
      </w:r>
    </w:p>
    <w:p>
      <w:pPr>
        <w:spacing w:line="440" w:lineRule="exact"/>
        <w:ind w:firstLine="420" w:firstLineChars="200"/>
        <w:rPr>
          <w:rFonts w:ascii="宋体" w:hAnsi="宋体" w:cs="宋体"/>
          <w:color w:val="auto"/>
          <w:szCs w:val="22"/>
          <w:highlight w:val="none"/>
        </w:rPr>
      </w:pPr>
      <w:r>
        <w:rPr>
          <w:rFonts w:hint="eastAsia" w:ascii="宋体" w:hAnsi="宋体" w:cs="宋体"/>
          <w:color w:val="auto"/>
          <w:szCs w:val="22"/>
          <w:highlight w:val="none"/>
        </w:rPr>
        <w:t>特此证明。</w:t>
      </w: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r>
        <w:rPr>
          <w:rFonts w:hint="eastAsia" w:ascii="宋体" w:hAnsi="宋体" w:cs="宋体"/>
          <w:color w:val="auto"/>
          <w:szCs w:val="22"/>
          <w:highlight w:val="none"/>
        </w:rPr>
        <w:t>附：法定代表人身份证复印件。</w:t>
      </w: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r>
        <w:rPr>
          <w:rFonts w:hint="eastAsia" w:ascii="宋体" w:hAnsi="宋体" w:cs="宋体"/>
          <w:color w:val="auto"/>
          <w:szCs w:val="22"/>
          <w:highlight w:val="none"/>
        </w:rPr>
        <w:t>注：本身份证明需由投标人加盖单位公章。</w:t>
      </w: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p>
    <w:p>
      <w:pPr>
        <w:spacing w:line="440" w:lineRule="exact"/>
        <w:jc w:val="center"/>
        <w:rPr>
          <w:rFonts w:ascii="宋体" w:hAnsi="宋体" w:cs="宋体"/>
          <w:color w:val="auto"/>
          <w:szCs w:val="22"/>
          <w:highlight w:val="none"/>
        </w:rPr>
      </w:pPr>
      <w:r>
        <w:rPr>
          <w:rFonts w:hint="eastAsia" w:ascii="宋体" w:hAnsi="宋体" w:cs="宋体"/>
          <w:color w:val="auto"/>
          <w:szCs w:val="22"/>
          <w:highlight w:val="none"/>
        </w:rPr>
        <w:t xml:space="preserve">                              投标人：</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zCs w:val="22"/>
          <w:highlight w:val="none"/>
        </w:rPr>
        <w:t>（盖单位章）</w:t>
      </w:r>
    </w:p>
    <w:p>
      <w:pPr>
        <w:spacing w:line="440" w:lineRule="exact"/>
        <w:rPr>
          <w:rFonts w:ascii="宋体" w:hAnsi="宋体" w:cs="宋体"/>
          <w:color w:val="auto"/>
          <w:szCs w:val="22"/>
          <w:highlight w:val="none"/>
        </w:rPr>
      </w:pPr>
    </w:p>
    <w:p>
      <w:pPr>
        <w:spacing w:line="440" w:lineRule="exact"/>
        <w:ind w:firstLine="4620" w:firstLineChars="2200"/>
        <w:rPr>
          <w:rFonts w:ascii="宋体" w:hAnsi="宋体" w:cs="宋体"/>
          <w:color w:val="auto"/>
          <w:szCs w:val="22"/>
          <w:highlight w:val="none"/>
        </w:rPr>
      </w:pP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月</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日</w:t>
      </w:r>
    </w:p>
    <w:p>
      <w:pPr>
        <w:spacing w:line="440" w:lineRule="exact"/>
        <w:rPr>
          <w:rFonts w:ascii="宋体" w:hAnsi="宋体" w:cs="宋体"/>
          <w:color w:val="auto"/>
          <w:sz w:val="20"/>
          <w:szCs w:val="22"/>
          <w:highlight w:val="none"/>
        </w:rPr>
      </w:pPr>
    </w:p>
    <w:p>
      <w:pPr>
        <w:spacing w:line="440" w:lineRule="exact"/>
        <w:rPr>
          <w:rFonts w:ascii="宋体" w:hAnsi="宋体" w:cs="宋体"/>
          <w:color w:val="auto"/>
          <w:sz w:val="20"/>
          <w:szCs w:val="22"/>
          <w:highlight w:val="none"/>
        </w:rPr>
      </w:pPr>
    </w:p>
    <w:p>
      <w:pPr>
        <w:spacing w:line="440" w:lineRule="exact"/>
        <w:rPr>
          <w:rFonts w:ascii="宋体" w:hAnsi="宋体" w:cs="宋体"/>
          <w:color w:val="auto"/>
          <w:sz w:val="20"/>
          <w:szCs w:val="22"/>
          <w:highlight w:val="none"/>
        </w:rPr>
      </w:pPr>
    </w:p>
    <w:p>
      <w:pPr>
        <w:spacing w:line="440" w:lineRule="exact"/>
        <w:rPr>
          <w:rFonts w:ascii="宋体" w:hAnsi="宋体" w:cs="宋体"/>
          <w:color w:val="auto"/>
          <w:sz w:val="20"/>
          <w:szCs w:val="22"/>
          <w:highlight w:val="none"/>
        </w:rPr>
      </w:pPr>
    </w:p>
    <w:p>
      <w:pPr>
        <w:spacing w:line="440" w:lineRule="exact"/>
        <w:rPr>
          <w:rFonts w:ascii="宋体" w:hAnsi="宋体" w:cs="宋体"/>
          <w:color w:val="auto"/>
          <w:sz w:val="20"/>
          <w:szCs w:val="22"/>
          <w:highlight w:val="none"/>
        </w:rPr>
      </w:pPr>
    </w:p>
    <w:p>
      <w:pPr>
        <w:spacing w:line="440" w:lineRule="exact"/>
        <w:rPr>
          <w:rFonts w:ascii="宋体" w:hAnsi="宋体" w:cs="宋体"/>
          <w:color w:val="auto"/>
          <w:sz w:val="20"/>
          <w:szCs w:val="22"/>
          <w:highlight w:val="none"/>
        </w:rPr>
      </w:pPr>
    </w:p>
    <w:p>
      <w:pPr>
        <w:spacing w:line="440" w:lineRule="exact"/>
        <w:rPr>
          <w:rFonts w:ascii="宋体" w:hAnsi="宋体" w:cs="宋体"/>
          <w:color w:val="auto"/>
          <w:sz w:val="20"/>
          <w:szCs w:val="22"/>
          <w:highlight w:val="none"/>
        </w:rPr>
      </w:pPr>
      <w:r>
        <w:rPr>
          <w:rFonts w:hint="eastAsia" w:ascii="宋体" w:hAnsi="宋体" w:cs="宋体"/>
          <w:color w:val="auto"/>
          <w:sz w:val="20"/>
          <w:szCs w:val="22"/>
          <w:highlight w:val="none"/>
        </w:rPr>
        <w:br w:type="page"/>
      </w:r>
    </w:p>
    <w:p>
      <w:pPr>
        <w:spacing w:before="260" w:after="260" w:line="410" w:lineRule="auto"/>
        <w:jc w:val="center"/>
        <w:outlineLvl w:val="1"/>
        <w:rPr>
          <w:rFonts w:ascii="宋体" w:hAnsi="宋体" w:cs="宋体"/>
          <w:b/>
          <w:color w:val="auto"/>
          <w:sz w:val="32"/>
          <w:szCs w:val="20"/>
          <w:highlight w:val="none"/>
        </w:rPr>
      </w:pPr>
      <w:bookmarkStart w:id="561" w:name="_Toc526786511"/>
      <w:bookmarkStart w:id="562" w:name="_Toc23000"/>
      <w:r>
        <w:rPr>
          <w:rFonts w:hint="eastAsia" w:ascii="宋体" w:hAnsi="宋体" w:cs="宋体"/>
          <w:b/>
          <w:color w:val="auto"/>
          <w:sz w:val="32"/>
          <w:szCs w:val="20"/>
          <w:highlight w:val="none"/>
        </w:rPr>
        <w:t>三、授权委托书</w:t>
      </w:r>
      <w:bookmarkEnd w:id="561"/>
      <w:bookmarkEnd w:id="562"/>
    </w:p>
    <w:p>
      <w:pPr>
        <w:spacing w:line="440" w:lineRule="exact"/>
        <w:rPr>
          <w:rFonts w:ascii="宋体" w:hAnsi="宋体" w:cs="宋体"/>
          <w:color w:val="auto"/>
          <w:szCs w:val="22"/>
          <w:highlight w:val="none"/>
        </w:rPr>
      </w:pPr>
    </w:p>
    <w:p>
      <w:pPr>
        <w:topLinePunct/>
        <w:spacing w:line="440" w:lineRule="exact"/>
        <w:ind w:firstLine="420" w:firstLineChars="200"/>
        <w:rPr>
          <w:rFonts w:ascii="宋体" w:hAnsi="宋体" w:cs="宋体"/>
          <w:color w:val="auto"/>
          <w:szCs w:val="22"/>
          <w:highlight w:val="none"/>
        </w:rPr>
      </w:pPr>
      <w:r>
        <w:rPr>
          <w:rFonts w:hint="eastAsia" w:ascii="宋体" w:hAnsi="宋体" w:cs="宋体"/>
          <w:color w:val="auto"/>
          <w:szCs w:val="22"/>
          <w:highlight w:val="none"/>
        </w:rPr>
        <w:t>本人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（姓名）系</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（投标人名称）的法定代表人，现委托</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（姓名）为我方代理人。代理人根据授权，以我方名义签署、澄清确认、递交、撤回、修改监理招标项目投标文件、签订合同和处理有关事宜，其法律后果由我方承担。</w:t>
      </w:r>
    </w:p>
    <w:p>
      <w:pPr>
        <w:spacing w:line="440" w:lineRule="exact"/>
        <w:rPr>
          <w:rFonts w:ascii="宋体" w:hAnsi="宋体" w:cs="宋体"/>
          <w:color w:val="auto"/>
          <w:szCs w:val="22"/>
          <w:highlight w:val="none"/>
        </w:rPr>
      </w:pPr>
      <w:r>
        <w:rPr>
          <w:rFonts w:hint="eastAsia" w:ascii="宋体" w:hAnsi="宋体" w:cs="宋体"/>
          <w:color w:val="auto"/>
          <w:szCs w:val="22"/>
          <w:highlight w:val="none"/>
        </w:rPr>
        <w:t>委托期限：</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pPr>
        <w:spacing w:line="440" w:lineRule="exact"/>
        <w:ind w:firstLine="420" w:firstLineChars="200"/>
        <w:rPr>
          <w:rFonts w:ascii="宋体" w:hAnsi="宋体" w:cs="宋体"/>
          <w:color w:val="auto"/>
          <w:szCs w:val="22"/>
          <w:highlight w:val="none"/>
        </w:rPr>
      </w:pPr>
      <w:r>
        <w:rPr>
          <w:rFonts w:hint="eastAsia" w:ascii="宋体" w:hAnsi="宋体" w:cs="宋体"/>
          <w:color w:val="auto"/>
          <w:szCs w:val="22"/>
          <w:highlight w:val="none"/>
        </w:rPr>
        <w:t>代理人无转委托权。</w:t>
      </w:r>
    </w:p>
    <w:p>
      <w:pPr>
        <w:spacing w:line="440" w:lineRule="exact"/>
        <w:ind w:firstLine="420" w:firstLineChars="200"/>
        <w:rPr>
          <w:rFonts w:ascii="宋体" w:hAnsi="宋体" w:cs="宋体"/>
          <w:color w:val="auto"/>
          <w:szCs w:val="22"/>
          <w:highlight w:val="none"/>
        </w:rPr>
      </w:pPr>
    </w:p>
    <w:p>
      <w:pPr>
        <w:spacing w:line="440" w:lineRule="exact"/>
        <w:rPr>
          <w:rFonts w:ascii="宋体" w:hAnsi="宋体" w:cs="宋体"/>
          <w:color w:val="auto"/>
          <w:szCs w:val="22"/>
          <w:highlight w:val="none"/>
        </w:rPr>
      </w:pPr>
      <w:r>
        <w:rPr>
          <w:rFonts w:hint="eastAsia" w:ascii="宋体" w:hAnsi="宋体" w:cs="宋体"/>
          <w:color w:val="auto"/>
          <w:szCs w:val="22"/>
          <w:highlight w:val="none"/>
        </w:rPr>
        <w:t>附：法定代表人身份证复印件及委托代理人身份证复印件</w:t>
      </w: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r>
        <w:rPr>
          <w:rFonts w:hint="eastAsia" w:ascii="宋体" w:hAnsi="宋体" w:cs="宋体"/>
          <w:color w:val="auto"/>
          <w:szCs w:val="22"/>
          <w:highlight w:val="none"/>
        </w:rPr>
        <w:t>注：本授权委托书需由投标人加盖单位公章并由其法定代表人和委托代理人签字。</w:t>
      </w:r>
    </w:p>
    <w:p>
      <w:pPr>
        <w:spacing w:line="440" w:lineRule="exact"/>
        <w:rPr>
          <w:rFonts w:ascii="宋体" w:hAnsi="宋体" w:cs="宋体"/>
          <w:color w:val="auto"/>
          <w:szCs w:val="22"/>
          <w:highlight w:val="none"/>
        </w:rPr>
      </w:pPr>
    </w:p>
    <w:p>
      <w:pPr>
        <w:spacing w:line="440" w:lineRule="exact"/>
        <w:ind w:firstLine="2692" w:firstLineChars="1282"/>
        <w:rPr>
          <w:rFonts w:ascii="宋体" w:hAnsi="宋体" w:cs="宋体"/>
          <w:color w:val="auto"/>
          <w:szCs w:val="22"/>
          <w:highlight w:val="none"/>
        </w:rPr>
      </w:pPr>
      <w:r>
        <w:rPr>
          <w:rFonts w:hint="eastAsia" w:ascii="宋体" w:hAnsi="宋体" w:cs="宋体"/>
          <w:color w:val="auto"/>
          <w:szCs w:val="22"/>
          <w:highlight w:val="none"/>
        </w:rPr>
        <w:t>投  标  人：</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zCs w:val="22"/>
          <w:highlight w:val="none"/>
        </w:rPr>
        <w:t>（盖单位章）</w:t>
      </w:r>
    </w:p>
    <w:p>
      <w:pPr>
        <w:spacing w:line="440" w:lineRule="exact"/>
        <w:ind w:firstLine="2692" w:firstLineChars="1282"/>
        <w:rPr>
          <w:rFonts w:ascii="宋体" w:hAnsi="宋体" w:cs="宋体"/>
          <w:color w:val="auto"/>
          <w:szCs w:val="22"/>
          <w:highlight w:val="none"/>
        </w:rPr>
      </w:pPr>
    </w:p>
    <w:p>
      <w:pPr>
        <w:spacing w:line="440" w:lineRule="exact"/>
        <w:ind w:firstLine="2690" w:firstLineChars="1281"/>
        <w:jc w:val="left"/>
        <w:rPr>
          <w:rFonts w:ascii="宋体" w:hAnsi="宋体" w:cs="宋体"/>
          <w:color w:val="auto"/>
          <w:szCs w:val="22"/>
          <w:highlight w:val="none"/>
        </w:rPr>
      </w:pPr>
      <w:r>
        <w:rPr>
          <w:rFonts w:hint="eastAsia" w:ascii="宋体" w:hAnsi="宋体" w:cs="宋体"/>
          <w:color w:val="auto"/>
          <w:szCs w:val="22"/>
          <w:highlight w:val="none"/>
        </w:rPr>
        <w:t>法定代表人：</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zCs w:val="22"/>
          <w:highlight w:val="none"/>
        </w:rPr>
        <w:t>（签字）</w:t>
      </w:r>
    </w:p>
    <w:p>
      <w:pPr>
        <w:spacing w:line="440" w:lineRule="exact"/>
        <w:ind w:firstLine="2692" w:firstLineChars="1282"/>
        <w:rPr>
          <w:rFonts w:ascii="宋体" w:hAnsi="宋体" w:cs="宋体"/>
          <w:color w:val="auto"/>
          <w:szCs w:val="22"/>
          <w:highlight w:val="none"/>
        </w:rPr>
      </w:pPr>
    </w:p>
    <w:p>
      <w:pPr>
        <w:spacing w:line="440" w:lineRule="exact"/>
        <w:ind w:firstLine="2692" w:firstLineChars="1282"/>
        <w:rPr>
          <w:rFonts w:ascii="宋体" w:hAnsi="宋体" w:cs="宋体"/>
          <w:color w:val="auto"/>
          <w:szCs w:val="22"/>
          <w:highlight w:val="none"/>
        </w:rPr>
      </w:pPr>
      <w:r>
        <w:rPr>
          <w:rFonts w:hint="eastAsia" w:ascii="宋体" w:hAnsi="宋体" w:cs="宋体"/>
          <w:color w:val="auto"/>
          <w:szCs w:val="22"/>
          <w:highlight w:val="none"/>
        </w:rPr>
        <w:t>身份证号码：</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pPr>
        <w:spacing w:line="440" w:lineRule="exact"/>
        <w:ind w:firstLine="2692" w:firstLineChars="1282"/>
        <w:rPr>
          <w:rFonts w:ascii="宋体" w:hAnsi="宋体" w:cs="宋体"/>
          <w:color w:val="auto"/>
          <w:szCs w:val="22"/>
          <w:highlight w:val="none"/>
        </w:rPr>
      </w:pPr>
    </w:p>
    <w:p>
      <w:pPr>
        <w:spacing w:line="440" w:lineRule="exact"/>
        <w:ind w:firstLine="2692" w:firstLineChars="1282"/>
        <w:rPr>
          <w:rFonts w:ascii="宋体" w:hAnsi="宋体" w:cs="宋体"/>
          <w:color w:val="auto"/>
          <w:szCs w:val="22"/>
          <w:highlight w:val="none"/>
        </w:rPr>
      </w:pPr>
      <w:r>
        <w:rPr>
          <w:rFonts w:hint="eastAsia" w:ascii="宋体" w:hAnsi="宋体" w:cs="宋体"/>
          <w:color w:val="auto"/>
          <w:szCs w:val="22"/>
          <w:highlight w:val="none"/>
        </w:rPr>
        <w:t>委托代理人：</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szCs w:val="22"/>
          <w:highlight w:val="none"/>
        </w:rPr>
        <w:t>（签字）</w:t>
      </w:r>
    </w:p>
    <w:p>
      <w:pPr>
        <w:spacing w:line="440" w:lineRule="exact"/>
        <w:ind w:firstLine="2692" w:firstLineChars="1282"/>
        <w:rPr>
          <w:rFonts w:ascii="宋体" w:hAnsi="宋体" w:cs="宋体"/>
          <w:color w:val="auto"/>
          <w:szCs w:val="22"/>
          <w:highlight w:val="none"/>
        </w:rPr>
      </w:pPr>
    </w:p>
    <w:p>
      <w:pPr>
        <w:spacing w:line="440" w:lineRule="exact"/>
        <w:ind w:firstLine="2692" w:firstLineChars="1282"/>
        <w:rPr>
          <w:rFonts w:ascii="宋体" w:hAnsi="宋体" w:cs="宋体"/>
          <w:color w:val="auto"/>
          <w:szCs w:val="22"/>
          <w:highlight w:val="none"/>
        </w:rPr>
      </w:pPr>
      <w:r>
        <w:rPr>
          <w:rFonts w:hint="eastAsia" w:ascii="宋体" w:hAnsi="宋体" w:cs="宋体"/>
          <w:color w:val="auto"/>
          <w:szCs w:val="22"/>
          <w:highlight w:val="none"/>
        </w:rPr>
        <w:t>身份证号码：</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p>
    <w:p>
      <w:pPr>
        <w:spacing w:line="440" w:lineRule="exact"/>
        <w:ind w:firstLine="2692" w:firstLineChars="1282"/>
        <w:rPr>
          <w:rFonts w:ascii="宋体" w:hAnsi="宋体" w:cs="宋体"/>
          <w:color w:val="auto"/>
          <w:szCs w:val="22"/>
          <w:highlight w:val="none"/>
        </w:rPr>
      </w:pPr>
    </w:p>
    <w:p>
      <w:pPr>
        <w:spacing w:line="440" w:lineRule="exact"/>
        <w:ind w:firstLine="2692" w:firstLineChars="1282"/>
        <w:rPr>
          <w:rFonts w:ascii="宋体" w:hAnsi="宋体" w:cs="宋体"/>
          <w:color w:val="auto"/>
          <w:szCs w:val="22"/>
          <w:highlight w:val="none"/>
        </w:rPr>
      </w:pPr>
    </w:p>
    <w:p>
      <w:pPr>
        <w:spacing w:line="440" w:lineRule="exact"/>
        <w:ind w:firstLine="4057" w:firstLineChars="1932"/>
        <w:jc w:val="right"/>
        <w:rPr>
          <w:rFonts w:ascii="宋体" w:hAnsi="宋体" w:cs="宋体"/>
          <w:color w:val="auto"/>
          <w:szCs w:val="22"/>
          <w:highlight w:val="none"/>
        </w:rPr>
      </w:pP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月</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日</w:t>
      </w:r>
    </w:p>
    <w:p>
      <w:pPr>
        <w:spacing w:line="440" w:lineRule="exact"/>
        <w:ind w:firstLine="4057" w:firstLineChars="1932"/>
        <w:jc w:val="right"/>
        <w:rPr>
          <w:rFonts w:ascii="宋体" w:hAnsi="宋体" w:cs="宋体"/>
          <w:color w:val="auto"/>
          <w:szCs w:val="22"/>
          <w:highlight w:val="none"/>
        </w:rPr>
      </w:pPr>
    </w:p>
    <w:p>
      <w:pPr>
        <w:rPr>
          <w:rFonts w:ascii="宋体" w:hAnsi="宋体" w:cs="宋体"/>
          <w:color w:val="auto"/>
          <w:szCs w:val="22"/>
          <w:highlight w:val="none"/>
        </w:rPr>
      </w:pPr>
    </w:p>
    <w:p>
      <w:pPr>
        <w:spacing w:before="260" w:after="260" w:line="410" w:lineRule="auto"/>
        <w:jc w:val="center"/>
        <w:outlineLvl w:val="1"/>
        <w:rPr>
          <w:rFonts w:ascii="宋体" w:hAnsi="宋体" w:cs="宋体"/>
          <w:b/>
          <w:color w:val="auto"/>
          <w:sz w:val="32"/>
          <w:szCs w:val="20"/>
          <w:highlight w:val="none"/>
        </w:rPr>
      </w:pPr>
      <w:r>
        <w:rPr>
          <w:rFonts w:hint="eastAsia" w:ascii="宋体" w:hAnsi="宋体" w:eastAsia="黑体" w:cs="宋体"/>
          <w:color w:val="auto"/>
          <w:sz w:val="32"/>
          <w:szCs w:val="20"/>
          <w:highlight w:val="none"/>
        </w:rPr>
        <w:br w:type="page"/>
      </w:r>
      <w:bookmarkStart w:id="563" w:name="_Toc24906"/>
      <w:bookmarkStart w:id="564" w:name="_Toc526786512"/>
      <w:r>
        <w:rPr>
          <w:rFonts w:hint="eastAsia" w:ascii="宋体" w:hAnsi="宋体" w:cs="宋体"/>
          <w:b/>
          <w:color w:val="auto"/>
          <w:sz w:val="32"/>
          <w:szCs w:val="20"/>
          <w:highlight w:val="none"/>
        </w:rPr>
        <w:t>四、</w:t>
      </w:r>
      <w:bookmarkStart w:id="565" w:name="_Toc369531702"/>
      <w:bookmarkStart w:id="566" w:name="_Toc13469"/>
      <w:bookmarkStart w:id="567" w:name="_Toc152045792"/>
      <w:bookmarkStart w:id="568" w:name="_Toc247527832"/>
      <w:bookmarkStart w:id="569" w:name="_Toc352691666"/>
      <w:bookmarkStart w:id="570" w:name="_Toc247514284"/>
      <w:bookmarkStart w:id="571" w:name="_Toc300835214"/>
      <w:bookmarkStart w:id="572" w:name="_Toc144974861"/>
      <w:bookmarkStart w:id="573" w:name="_Toc361508757"/>
      <w:bookmarkStart w:id="574" w:name="_Toc384308381"/>
      <w:bookmarkStart w:id="575" w:name="_Toc152042581"/>
      <w:r>
        <w:rPr>
          <w:rFonts w:hint="eastAsia" w:ascii="宋体" w:hAnsi="宋体" w:cs="宋体"/>
          <w:b/>
          <w:color w:val="auto"/>
          <w:sz w:val="32"/>
          <w:szCs w:val="20"/>
          <w:highlight w:val="none"/>
        </w:rPr>
        <w:t>投标保证金</w:t>
      </w:r>
      <w:bookmarkEnd w:id="563"/>
      <w:bookmarkEnd w:id="564"/>
    </w:p>
    <w:bookmarkEnd w:id="565"/>
    <w:bookmarkEnd w:id="566"/>
    <w:bookmarkEnd w:id="567"/>
    <w:bookmarkEnd w:id="568"/>
    <w:bookmarkEnd w:id="569"/>
    <w:bookmarkEnd w:id="570"/>
    <w:bookmarkEnd w:id="571"/>
    <w:bookmarkEnd w:id="572"/>
    <w:bookmarkEnd w:id="573"/>
    <w:bookmarkEnd w:id="574"/>
    <w:bookmarkEnd w:id="575"/>
    <w:p>
      <w:pPr>
        <w:spacing w:line="440" w:lineRule="exact"/>
        <w:rPr>
          <w:rFonts w:ascii="宋体" w:hAnsi="宋体"/>
          <w:color w:val="auto"/>
          <w:highlight w:val="none"/>
          <w:u w:val="single"/>
        </w:rPr>
      </w:pPr>
      <w:r>
        <w:rPr>
          <w:rFonts w:hint="eastAsia" w:ascii="宋体" w:hAnsi="宋体"/>
          <w:color w:val="auto"/>
          <w:highlight w:val="none"/>
        </w:rPr>
        <w:t>1、如采用现金或者支票形式提交的，由</w:t>
      </w:r>
      <w:r>
        <w:rPr>
          <w:rFonts w:hint="eastAsia"/>
          <w:color w:val="auto"/>
          <w:highlight w:val="none"/>
        </w:rPr>
        <w:t>广州交易集团有限公司</w:t>
      </w:r>
      <w:r>
        <w:rPr>
          <w:rFonts w:hint="eastAsia" w:ascii="宋体" w:hAnsi="宋体"/>
          <w:color w:val="auto"/>
          <w:highlight w:val="none"/>
        </w:rPr>
        <w:t>代收投标保证金，其缴纳情况以</w:t>
      </w:r>
      <w:r>
        <w:rPr>
          <w:rFonts w:hint="eastAsia" w:ascii="宋体" w:hAnsi="宋体"/>
          <w:color w:val="auto"/>
          <w:highlight w:val="none"/>
          <w:u w:val="single"/>
        </w:rPr>
        <w:t>广州交易集团有限公司</w:t>
      </w:r>
      <w:r>
        <w:rPr>
          <w:rFonts w:hint="eastAsia" w:ascii="宋体" w:hAnsi="宋体" w:cs="宋体"/>
          <w:color w:val="auto"/>
          <w:highlight w:val="none"/>
          <w:u w:val="single"/>
        </w:rPr>
        <w:t>（广州公共资源交易中心）</w:t>
      </w:r>
      <w:r>
        <w:rPr>
          <w:rFonts w:hint="eastAsia" w:ascii="宋体" w:hAnsi="宋体"/>
          <w:color w:val="auto"/>
          <w:highlight w:val="none"/>
        </w:rPr>
        <w:t>数据库记录的信息为准。</w:t>
      </w:r>
    </w:p>
    <w:p>
      <w:pPr>
        <w:spacing w:line="440" w:lineRule="exact"/>
        <w:rPr>
          <w:rFonts w:ascii="宋体" w:hAnsi="宋体"/>
          <w:color w:val="auto"/>
          <w:highlight w:val="none"/>
        </w:rPr>
      </w:pPr>
      <w:r>
        <w:rPr>
          <w:rFonts w:hint="eastAsia" w:ascii="宋体" w:hAnsi="宋体"/>
          <w:color w:val="auto"/>
          <w:highlight w:val="none"/>
        </w:rPr>
        <w:t>2、如投标人采用投标保函或投标保证保险的形式提交投标保证金的，投标人应在投标文件中提交投标保函或投标保证保险文本的复印件并加盖投标人电子印章。</w:t>
      </w:r>
      <w:r>
        <w:rPr>
          <w:rFonts w:hint="eastAsia" w:ascii="宋体" w:hAnsi="宋体"/>
          <w:color w:val="auto"/>
          <w:highlight w:val="none"/>
        </w:rPr>
        <w:br w:type="page"/>
      </w:r>
    </w:p>
    <w:p>
      <w:pPr>
        <w:spacing w:line="440" w:lineRule="exact"/>
        <w:ind w:firstLine="2158" w:firstLineChars="1028"/>
        <w:rPr>
          <w:rFonts w:ascii="宋体" w:hAnsi="宋体" w:cs="宋体"/>
          <w:color w:val="auto"/>
          <w:szCs w:val="22"/>
          <w:highlight w:val="none"/>
        </w:rPr>
      </w:pPr>
    </w:p>
    <w:p>
      <w:pPr>
        <w:spacing w:before="260" w:after="260" w:line="410" w:lineRule="auto"/>
        <w:jc w:val="center"/>
        <w:outlineLvl w:val="1"/>
        <w:rPr>
          <w:rFonts w:ascii="宋体" w:hAnsi="宋体" w:cs="宋体"/>
          <w:b/>
          <w:color w:val="auto"/>
          <w:sz w:val="32"/>
          <w:szCs w:val="20"/>
          <w:highlight w:val="none"/>
        </w:rPr>
      </w:pPr>
      <w:bookmarkStart w:id="576" w:name="_Toc526786513"/>
      <w:bookmarkStart w:id="577" w:name="_Toc6882"/>
      <w:r>
        <w:rPr>
          <w:rFonts w:hint="eastAsia" w:ascii="宋体" w:hAnsi="宋体" w:cs="宋体"/>
          <w:b/>
          <w:color w:val="auto"/>
          <w:sz w:val="32"/>
          <w:szCs w:val="20"/>
          <w:highlight w:val="none"/>
        </w:rPr>
        <w:t>五、</w:t>
      </w:r>
      <w:r>
        <w:rPr>
          <w:rFonts w:hint="eastAsia" w:ascii="宋体" w:hAnsi="宋体" w:cs="宋体"/>
          <w:color w:val="auto"/>
          <w:sz w:val="32"/>
          <w:szCs w:val="20"/>
          <w:highlight w:val="none"/>
        </w:rPr>
        <w:t>监理报酬清单</w:t>
      </w:r>
      <w:bookmarkEnd w:id="576"/>
      <w:bookmarkEnd w:id="57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highlight w:val="none"/>
              </w:rPr>
            </w:pPr>
            <w:bookmarkStart w:id="578" w:name="_Toc361508760"/>
            <w:r>
              <w:rPr>
                <w:rFonts w:hint="eastAsia" w:ascii="宋体" w:hAnsi="宋体" w:cs="宋体"/>
                <w:b/>
                <w:color w:val="auto"/>
                <w:kern w:val="0"/>
                <w:highlight w:val="none"/>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highlight w:val="none"/>
              </w:rPr>
            </w:pPr>
            <w:r>
              <w:rPr>
                <w:rFonts w:hint="eastAsia" w:ascii="宋体" w:hAnsi="宋体" w:cs="宋体"/>
                <w:b/>
                <w:color w:val="auto"/>
                <w:kern w:val="0"/>
                <w:highlight w:val="none"/>
              </w:rPr>
              <w:t>监理报酬分项名称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highlight w:val="none"/>
              </w:rPr>
            </w:pPr>
            <w:r>
              <w:rPr>
                <w:rFonts w:hint="eastAsia" w:ascii="宋体" w:hAnsi="宋体" w:cs="宋体"/>
                <w:b/>
                <w:color w:val="auto"/>
                <w:kern w:val="0"/>
                <w:highlight w:val="none"/>
              </w:rPr>
              <w:t>计算依据、过程和公式</w:t>
            </w: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highlight w:val="none"/>
              </w:rPr>
            </w:pPr>
            <w:r>
              <w:rPr>
                <w:rFonts w:hint="eastAsia" w:ascii="宋体" w:hAnsi="宋体" w:cs="宋体"/>
                <w:b/>
                <w:color w:val="auto"/>
                <w:kern w:val="0"/>
                <w:highlight w:val="none"/>
              </w:rPr>
              <w:t>金额（万元）</w:t>
            </w:r>
          </w:p>
        </w:tc>
        <w:tc>
          <w:tcPr>
            <w:tcW w:w="19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highlight w:val="none"/>
              </w:rPr>
            </w:pPr>
            <w:r>
              <w:rPr>
                <w:rFonts w:hint="eastAsia" w:ascii="宋体" w:hAnsi="宋体" w:cs="宋体"/>
                <w:b/>
                <w:color w:val="auto"/>
                <w:kern w:val="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highlight w:val="none"/>
              </w:rPr>
            </w:pPr>
            <w:r>
              <w:rPr>
                <w:rFonts w:hint="eastAsia" w:ascii="宋体" w:hAnsi="宋体" w:cs="宋体"/>
                <w:color w:val="auto"/>
                <w:kern w:val="0"/>
                <w:highlight w:val="none"/>
              </w:rPr>
              <w:t>……</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highlight w:val="none"/>
              </w:rPr>
            </w:pPr>
            <w:r>
              <w:rPr>
                <w:rFonts w:hint="eastAsia" w:ascii="宋体" w:hAnsi="宋体" w:cs="宋体"/>
                <w:color w:val="auto"/>
                <w:kern w:val="0"/>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highlight w:val="none"/>
              </w:rPr>
            </w:pPr>
            <w:r>
              <w:rPr>
                <w:rFonts w:hint="eastAsia" w:ascii="宋体" w:hAnsi="宋体" w:cs="宋体"/>
                <w:b/>
                <w:color w:val="auto"/>
                <w:kern w:val="0"/>
                <w:highlight w:val="none"/>
              </w:rPr>
              <w:t>合计报价</w:t>
            </w:r>
          </w:p>
        </w:tc>
        <w:tc>
          <w:tcPr>
            <w:tcW w:w="1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c>
          <w:tcPr>
            <w:tcW w:w="1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p>
        </w:tc>
      </w:tr>
    </w:tbl>
    <w:p>
      <w:pPr>
        <w:pStyle w:val="64"/>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注：合计费用应与投标书的监理费报价一致。</w:t>
      </w:r>
    </w:p>
    <w:p>
      <w:pPr>
        <w:spacing w:line="400" w:lineRule="exact"/>
        <w:rPr>
          <w:rFonts w:ascii="宋体" w:hAnsi="宋体" w:cs="宋体"/>
          <w:snapToGrid w:val="0"/>
          <w:color w:val="auto"/>
          <w:spacing w:val="4"/>
          <w:kern w:val="0"/>
          <w:sz w:val="24"/>
          <w:szCs w:val="24"/>
          <w:highlight w:val="none"/>
        </w:rPr>
      </w:pPr>
    </w:p>
    <w:p>
      <w:pPr>
        <w:spacing w:line="400" w:lineRule="exact"/>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spacing w:line="440" w:lineRule="exact"/>
        <w:ind w:firstLine="2520" w:firstLineChars="1200"/>
        <w:jc w:val="left"/>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（盖单位章）</w:t>
      </w:r>
    </w:p>
    <w:p>
      <w:pPr>
        <w:spacing w:line="440" w:lineRule="exact"/>
        <w:jc w:val="left"/>
        <w:rPr>
          <w:rFonts w:ascii="宋体" w:hAnsi="宋体" w:cs="宋体"/>
          <w:color w:val="auto"/>
          <w:highlight w:val="none"/>
        </w:rPr>
      </w:pPr>
      <w:r>
        <w:rPr>
          <w:rFonts w:hint="eastAsia" w:ascii="宋体" w:hAnsi="宋体" w:cs="宋体"/>
          <w:color w:val="auto"/>
          <w:szCs w:val="22"/>
          <w:highlight w:val="none"/>
        </w:rPr>
        <w:t xml:space="preserve">                        法定代表人</w:t>
      </w:r>
      <w:r>
        <w:rPr>
          <w:rFonts w:hint="eastAsia" w:ascii="宋体" w:hAnsi="宋体" w:cs="宋体"/>
          <w:color w:val="auto"/>
          <w:highlight w:val="none"/>
        </w:rPr>
        <w:t>或其委托代理人：</w:t>
      </w:r>
      <w:r>
        <w:rPr>
          <w:rFonts w:hint="eastAsia" w:ascii="宋体" w:hAnsi="宋体" w:cs="宋体"/>
          <w:color w:val="auto"/>
          <w:highlight w:val="none"/>
          <w:u w:val="single"/>
        </w:rPr>
        <w:t xml:space="preserve">       </w:t>
      </w:r>
      <w:r>
        <w:rPr>
          <w:rFonts w:hint="eastAsia" w:ascii="宋体" w:hAnsi="宋体" w:cs="宋体"/>
          <w:color w:val="auto"/>
          <w:highlight w:val="none"/>
          <w:u w:val="single"/>
        </w:rPr>
        <w:tab/>
      </w:r>
      <w:r>
        <w:rPr>
          <w:rFonts w:hint="eastAsia" w:ascii="宋体" w:hAnsi="宋体" w:cs="宋体"/>
          <w:color w:val="auto"/>
          <w:highlight w:val="none"/>
        </w:rPr>
        <w:t>（签字）</w:t>
      </w:r>
    </w:p>
    <w:p>
      <w:pPr>
        <w:spacing w:line="440" w:lineRule="exact"/>
        <w:ind w:firstLine="4725" w:firstLineChars="2250"/>
        <w:jc w:val="right"/>
        <w:rPr>
          <w:rFonts w:ascii="宋体" w:hAnsi="宋体" w:cs="宋体"/>
          <w:color w:val="auto"/>
          <w:highlight w:val="none"/>
        </w:rPr>
      </w:pPr>
      <w:r>
        <w:rPr>
          <w:rFonts w:hint="eastAsia" w:ascii="宋体" w:hAnsi="宋体" w:cs="宋体"/>
          <w:color w:val="auto"/>
          <w:szCs w:val="22"/>
          <w:highlight w:val="none"/>
          <w:u w:val="single"/>
        </w:rPr>
        <w:t xml:space="preserve">      </w:t>
      </w:r>
      <w:r>
        <w:rPr>
          <w:rFonts w:hint="eastAsia" w:ascii="宋体" w:hAnsi="宋体" w:cs="宋体"/>
          <w:color w:val="auto"/>
          <w:highlight w:val="none"/>
        </w:rPr>
        <w:t>年</w:t>
      </w:r>
      <w:r>
        <w:rPr>
          <w:rFonts w:hint="eastAsia" w:ascii="宋体" w:hAnsi="宋体" w:cs="宋体"/>
          <w:color w:val="auto"/>
          <w:szCs w:val="22"/>
          <w:highlight w:val="none"/>
          <w:u w:val="single"/>
        </w:rPr>
        <w:t xml:space="preserve">      </w:t>
      </w:r>
      <w:r>
        <w:rPr>
          <w:rFonts w:hint="eastAsia" w:ascii="宋体" w:hAnsi="宋体" w:cs="宋体"/>
          <w:color w:val="auto"/>
          <w:highlight w:val="none"/>
        </w:rPr>
        <w:t>月</w:t>
      </w:r>
      <w:r>
        <w:rPr>
          <w:rFonts w:hint="eastAsia" w:ascii="宋体" w:hAnsi="宋体" w:cs="宋体"/>
          <w:color w:val="auto"/>
          <w:szCs w:val="22"/>
          <w:highlight w:val="none"/>
          <w:u w:val="single"/>
        </w:rPr>
        <w:t xml:space="preserve">      </w:t>
      </w:r>
      <w:r>
        <w:rPr>
          <w:rFonts w:hint="eastAsia" w:ascii="宋体" w:hAnsi="宋体" w:cs="宋体"/>
          <w:color w:val="auto"/>
          <w:highlight w:val="none"/>
        </w:rPr>
        <w:t>日</w:t>
      </w:r>
    </w:p>
    <w:p>
      <w:pPr>
        <w:spacing w:before="260" w:line="410" w:lineRule="auto"/>
        <w:jc w:val="center"/>
        <w:outlineLvl w:val="1"/>
        <w:rPr>
          <w:rFonts w:ascii="宋体" w:hAnsi="宋体" w:cs="宋体"/>
          <w:b/>
          <w:color w:val="auto"/>
          <w:sz w:val="32"/>
          <w:szCs w:val="20"/>
          <w:highlight w:val="none"/>
        </w:rPr>
      </w:pPr>
      <w:r>
        <w:rPr>
          <w:rFonts w:hint="eastAsia" w:ascii="宋体" w:hAnsi="宋体" w:eastAsia="黑体" w:cs="宋体"/>
          <w:color w:val="auto"/>
          <w:sz w:val="32"/>
          <w:szCs w:val="20"/>
          <w:highlight w:val="none"/>
        </w:rPr>
        <w:br w:type="page"/>
      </w:r>
      <w:bookmarkStart w:id="579" w:name="_Toc526786514"/>
      <w:bookmarkStart w:id="580" w:name="_Toc30652"/>
      <w:r>
        <w:rPr>
          <w:rFonts w:hint="eastAsia" w:ascii="宋体" w:hAnsi="宋体" w:cs="宋体"/>
          <w:b/>
          <w:color w:val="auto"/>
          <w:sz w:val="32"/>
          <w:szCs w:val="20"/>
          <w:highlight w:val="none"/>
        </w:rPr>
        <w:t>六、资格审查资料</w:t>
      </w:r>
      <w:bookmarkEnd w:id="579"/>
      <w:bookmarkEnd w:id="580"/>
    </w:p>
    <w:p>
      <w:pPr>
        <w:spacing w:before="20" w:line="410" w:lineRule="auto"/>
        <w:ind w:firstLine="137" w:firstLineChars="49"/>
        <w:outlineLvl w:val="2"/>
        <w:rPr>
          <w:rFonts w:ascii="宋体" w:hAnsi="宋体" w:cs="宋体"/>
          <w:color w:val="auto"/>
          <w:sz w:val="28"/>
          <w:szCs w:val="20"/>
          <w:highlight w:val="none"/>
        </w:rPr>
      </w:pPr>
      <w:bookmarkStart w:id="581" w:name="_Toc6139"/>
      <w:bookmarkStart w:id="582" w:name="_Toc526786515"/>
      <w:r>
        <w:rPr>
          <w:rFonts w:hint="eastAsia" w:ascii="宋体" w:hAnsi="宋体" w:cs="宋体"/>
          <w:color w:val="auto"/>
          <w:sz w:val="28"/>
          <w:szCs w:val="20"/>
          <w:highlight w:val="none"/>
        </w:rPr>
        <w:t>（一）基本情况表</w:t>
      </w:r>
      <w:bookmarkEnd w:id="581"/>
      <w:bookmarkEnd w:id="582"/>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s="宋体"/>
                <w:color w:val="auto"/>
                <w:highlight w:val="none"/>
              </w:rPr>
            </w:pPr>
            <w:r>
              <w:rPr>
                <w:rFonts w:hint="eastAsia" w:ascii="宋体" w:hAnsi="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s="宋体"/>
                <w:color w:val="auto"/>
                <w:highlight w:val="none"/>
              </w:rPr>
            </w:pPr>
            <w:r>
              <w:rPr>
                <w:rFonts w:hint="eastAsia" w:ascii="宋体" w:hAnsi="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414" w:type="dxa"/>
            <w:vMerge w:val="restart"/>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cs="宋体"/>
                <w:color w:val="auto"/>
                <w:highlight w:val="none"/>
              </w:rPr>
            </w:pPr>
            <w:r>
              <w:rPr>
                <w:rFonts w:hint="eastAsia" w:ascii="宋体" w:hAnsi="宋体" w:cs="宋体"/>
                <w:color w:val="auto"/>
                <w:highlight w:val="none"/>
              </w:rPr>
              <w:t>经营范围</w:t>
            </w:r>
          </w:p>
        </w:tc>
        <w:tc>
          <w:tcPr>
            <w:tcW w:w="6840"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00" w:lineRule="exact"/>
              <w:jc w:val="center"/>
              <w:rPr>
                <w:rFonts w:ascii="宋体" w:hAnsi="宋体" w:cs="宋体"/>
                <w:color w:val="auto"/>
                <w:highlight w:val="none"/>
              </w:rPr>
            </w:pPr>
            <w:r>
              <w:rPr>
                <w:rFonts w:hint="eastAsia" w:ascii="宋体" w:hAnsi="宋体" w:cs="宋体"/>
                <w:color w:val="auto"/>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p>
        </w:tc>
      </w:tr>
    </w:tbl>
    <w:p>
      <w:pPr>
        <w:spacing w:line="400" w:lineRule="exact"/>
        <w:rPr>
          <w:rFonts w:ascii="宋体" w:hAnsi="宋体" w:cs="宋体"/>
          <w:color w:val="auto"/>
          <w:szCs w:val="22"/>
          <w:highlight w:val="none"/>
        </w:rPr>
      </w:pPr>
      <w:r>
        <w:rPr>
          <w:rFonts w:hint="eastAsia" w:ascii="宋体" w:hAnsi="宋体" w:cs="宋体"/>
          <w:color w:val="auto"/>
          <w:szCs w:val="22"/>
          <w:highlight w:val="none"/>
        </w:rPr>
        <w:t>注：投标人应根据投标人须知第3.5.1项的要求在本表后附相关证明材料。境内投标人以现金或者支票形式提交投标保证金的，还应附基本账户开户许可证复印件。</w:t>
      </w:r>
    </w:p>
    <w:p>
      <w:pPr>
        <w:spacing w:line="400" w:lineRule="exact"/>
        <w:rPr>
          <w:rFonts w:ascii="宋体" w:hAnsi="宋体" w:cs="宋体"/>
          <w:color w:val="auto"/>
          <w:szCs w:val="22"/>
          <w:highlight w:val="none"/>
        </w:rPr>
      </w:pPr>
      <w:r>
        <w:rPr>
          <w:rFonts w:ascii="宋体" w:hAnsi="宋体" w:cs="宋体"/>
          <w:color w:val="auto"/>
          <w:szCs w:val="22"/>
          <w:highlight w:val="none"/>
        </w:rPr>
        <w:br w:type="page"/>
      </w:r>
    </w:p>
    <w:p>
      <w:pPr>
        <w:spacing w:before="260" w:after="260" w:line="410" w:lineRule="auto"/>
        <w:ind w:firstLine="137" w:firstLineChars="49"/>
        <w:outlineLvl w:val="2"/>
        <w:rPr>
          <w:rFonts w:ascii="宋体" w:hAnsi="宋体" w:cs="宋体"/>
          <w:color w:val="auto"/>
          <w:sz w:val="28"/>
          <w:szCs w:val="20"/>
          <w:highlight w:val="none"/>
        </w:rPr>
      </w:pPr>
      <w:bookmarkStart w:id="583" w:name="_Toc526786516"/>
      <w:bookmarkStart w:id="584" w:name="_Toc22473"/>
      <w:r>
        <w:rPr>
          <w:rFonts w:hint="eastAsia" w:ascii="宋体" w:hAnsi="宋体" w:cs="宋体"/>
          <w:color w:val="auto"/>
          <w:sz w:val="28"/>
          <w:szCs w:val="20"/>
          <w:highlight w:val="none"/>
        </w:rPr>
        <w:t>（二）近年财务状况表</w:t>
      </w:r>
      <w:bookmarkEnd w:id="583"/>
      <w:bookmarkEnd w:id="584"/>
      <w:r>
        <w:rPr>
          <w:rFonts w:hint="eastAsia" w:ascii="宋体" w:hAnsi="宋体" w:cs="宋体"/>
          <w:color w:val="auto"/>
          <w:sz w:val="28"/>
          <w:szCs w:val="20"/>
          <w:highlight w:val="none"/>
        </w:rPr>
        <w:t>（本项目资格审查阶段不要求提供）</w:t>
      </w:r>
    </w:p>
    <w:p>
      <w:pPr>
        <w:topLinePunct/>
        <w:spacing w:line="440" w:lineRule="exact"/>
        <w:ind w:firstLine="420" w:firstLineChars="200"/>
        <w:rPr>
          <w:rFonts w:ascii="宋体" w:hAnsi="宋体" w:cs="宋体"/>
          <w:color w:val="auto"/>
          <w:szCs w:val="22"/>
          <w:highlight w:val="none"/>
        </w:rPr>
      </w:pPr>
      <w:r>
        <w:rPr>
          <w:rFonts w:hint="eastAsia" w:ascii="宋体" w:hAnsi="宋体" w:cs="宋体"/>
          <w:color w:val="auto"/>
          <w:szCs w:val="22"/>
          <w:highlight w:val="none"/>
        </w:rPr>
        <w:t>本项目资格审查不需要提供此内容。</w:t>
      </w:r>
    </w:p>
    <w:p>
      <w:pPr>
        <w:topLinePunct/>
        <w:spacing w:line="440" w:lineRule="exact"/>
        <w:ind w:firstLine="420" w:firstLineChars="200"/>
        <w:rPr>
          <w:rFonts w:ascii="宋体" w:hAnsi="宋体" w:cs="宋体"/>
          <w:color w:val="auto"/>
          <w:szCs w:val="22"/>
          <w:highlight w:val="none"/>
        </w:rPr>
      </w:pPr>
      <w:r>
        <w:rPr>
          <w:rFonts w:hint="eastAsia" w:ascii="宋体" w:hAnsi="宋体" w:cs="宋体"/>
          <w:color w:val="auto"/>
          <w:szCs w:val="22"/>
          <w:highlight w:val="none"/>
        </w:rPr>
        <w:br w:type="page"/>
      </w:r>
    </w:p>
    <w:p>
      <w:pPr>
        <w:spacing w:before="260" w:after="260" w:line="410" w:lineRule="auto"/>
        <w:ind w:firstLine="137" w:firstLineChars="49"/>
        <w:outlineLvl w:val="2"/>
        <w:rPr>
          <w:rFonts w:ascii="宋体" w:hAnsi="宋体" w:cs="宋体"/>
          <w:color w:val="auto"/>
          <w:sz w:val="28"/>
          <w:szCs w:val="20"/>
          <w:highlight w:val="none"/>
        </w:rPr>
      </w:pPr>
      <w:bookmarkStart w:id="585" w:name="_Toc10222"/>
      <w:bookmarkStart w:id="586" w:name="_Toc526786517"/>
      <w:r>
        <w:rPr>
          <w:rFonts w:hint="eastAsia" w:ascii="宋体" w:hAnsi="宋体" w:cs="宋体"/>
          <w:color w:val="auto"/>
          <w:sz w:val="28"/>
          <w:szCs w:val="20"/>
          <w:highlight w:val="none"/>
        </w:rPr>
        <w:t>（三）近年完成的类似项目情况表</w:t>
      </w:r>
      <w:bookmarkEnd w:id="585"/>
      <w:bookmarkEnd w:id="58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监理服务期限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监理内容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总监理工程师</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bl>
    <w:p>
      <w:pPr>
        <w:spacing w:line="440" w:lineRule="exact"/>
        <w:rPr>
          <w:rFonts w:ascii="宋体" w:hAnsi="宋体" w:cs="宋体"/>
          <w:color w:val="auto"/>
          <w:szCs w:val="22"/>
          <w:highlight w:val="none"/>
        </w:rPr>
      </w:pPr>
      <w:r>
        <w:rPr>
          <w:rFonts w:hint="eastAsia" w:ascii="宋体" w:hAnsi="宋体" w:cs="宋体"/>
          <w:color w:val="auto"/>
          <w:szCs w:val="22"/>
          <w:highlight w:val="none"/>
        </w:rPr>
        <w:t>注：投标人应根据投标人须知第3.5.3项的要求在本表后附相关证明材料。</w:t>
      </w: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r>
        <w:rPr>
          <w:rFonts w:hint="eastAsia" w:ascii="宋体" w:hAnsi="宋体" w:cs="宋体"/>
          <w:color w:val="auto"/>
          <w:szCs w:val="22"/>
          <w:highlight w:val="none"/>
        </w:rPr>
        <w:br w:type="page"/>
      </w:r>
    </w:p>
    <w:p>
      <w:pPr>
        <w:rPr>
          <w:rFonts w:ascii="宋体" w:hAnsi="宋体" w:cs="宋体"/>
          <w:color w:val="auto"/>
          <w:sz w:val="28"/>
          <w:szCs w:val="20"/>
          <w:highlight w:val="none"/>
        </w:rPr>
      </w:pPr>
      <w:bookmarkStart w:id="587" w:name="_Toc247514302"/>
      <w:bookmarkStart w:id="588" w:name="_Toc361508766"/>
      <w:bookmarkStart w:id="589" w:name="_Toc526786518"/>
      <w:bookmarkStart w:id="590" w:name="_Toc247527850"/>
      <w:bookmarkStart w:id="591" w:name="_Toc144974878"/>
      <w:bookmarkStart w:id="592" w:name="_Toc370676438"/>
      <w:bookmarkStart w:id="593" w:name="_Toc359594247"/>
      <w:bookmarkStart w:id="594" w:name="_Toc152045810"/>
      <w:bookmarkStart w:id="595" w:name="_Toc152042599"/>
      <w:bookmarkStart w:id="596" w:name="_Toc300835226"/>
      <w:bookmarkStart w:id="597" w:name="_Toc384308388"/>
      <w:bookmarkStart w:id="598" w:name="_Toc247527851"/>
      <w:bookmarkStart w:id="599" w:name="_Toc152042600"/>
      <w:bookmarkStart w:id="600" w:name="_Toc247514303"/>
      <w:bookmarkStart w:id="601" w:name="_Toc144974879"/>
      <w:bookmarkStart w:id="602" w:name="_Toc152045811"/>
      <w:r>
        <w:rPr>
          <w:rFonts w:hint="eastAsia" w:ascii="宋体" w:hAnsi="宋体" w:cs="宋体"/>
          <w:color w:val="auto"/>
          <w:sz w:val="28"/>
          <w:szCs w:val="20"/>
          <w:highlight w:val="none"/>
        </w:rPr>
        <w:t>（四）正在监理和新承接的项目情况表</w:t>
      </w:r>
      <w:bookmarkEnd w:id="587"/>
      <w:bookmarkEnd w:id="588"/>
      <w:bookmarkEnd w:id="589"/>
      <w:bookmarkEnd w:id="590"/>
      <w:bookmarkEnd w:id="591"/>
      <w:bookmarkEnd w:id="592"/>
      <w:bookmarkEnd w:id="593"/>
      <w:bookmarkEnd w:id="594"/>
      <w:bookmarkEnd w:id="595"/>
      <w:bookmarkEnd w:id="596"/>
      <w:bookmarkEnd w:id="597"/>
      <w:r>
        <w:rPr>
          <w:rFonts w:hint="eastAsia" w:ascii="宋体" w:hAnsi="宋体" w:cs="宋体"/>
          <w:color w:val="auto"/>
          <w:sz w:val="28"/>
          <w:szCs w:val="20"/>
          <w:highlight w:val="none"/>
        </w:rPr>
        <w:t>（本项目资格审查阶段不要求提供）</w:t>
      </w:r>
    </w:p>
    <w:p>
      <w:pPr>
        <w:rPr>
          <w:rFonts w:ascii="宋体" w:hAnsi="宋体" w:cs="宋体"/>
          <w:color w:val="auto"/>
          <w:sz w:val="28"/>
          <w:szCs w:val="2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签约合同价</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监理服务期限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监理内容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总监理工程师</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highlight w:val="none"/>
              </w:rPr>
            </w:pPr>
            <w:r>
              <w:rPr>
                <w:rFonts w:hint="eastAsia" w:ascii="宋体" w:hAnsi="宋体" w:cs="宋体"/>
                <w:color w:val="auto"/>
                <w:highlight w:val="none"/>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宋体" w:hAnsi="宋体" w:cs="宋体"/>
                <w:color w:val="auto"/>
                <w:highlight w:val="none"/>
              </w:rPr>
            </w:pPr>
          </w:p>
        </w:tc>
      </w:tr>
      <w:bookmarkEnd w:id="598"/>
      <w:bookmarkEnd w:id="599"/>
      <w:bookmarkEnd w:id="600"/>
      <w:bookmarkEnd w:id="601"/>
      <w:bookmarkEnd w:id="602"/>
    </w:tbl>
    <w:p>
      <w:pPr>
        <w:spacing w:line="440" w:lineRule="exact"/>
        <w:rPr>
          <w:rFonts w:ascii="宋体" w:hAnsi="宋体" w:cs="宋体"/>
          <w:color w:val="auto"/>
          <w:szCs w:val="22"/>
          <w:highlight w:val="none"/>
        </w:rPr>
      </w:pPr>
      <w:r>
        <w:rPr>
          <w:rFonts w:hint="eastAsia" w:ascii="宋体" w:hAnsi="宋体" w:cs="宋体"/>
          <w:color w:val="auto"/>
          <w:szCs w:val="22"/>
          <w:highlight w:val="none"/>
        </w:rPr>
        <w:t>注：投标人应根据投标人须知第3.5.4项的要求在本表后附相关证明材料。</w:t>
      </w: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r>
        <w:rPr>
          <w:rFonts w:ascii="宋体" w:hAnsi="宋体" w:cs="宋体"/>
          <w:color w:val="auto"/>
          <w:szCs w:val="22"/>
          <w:highlight w:val="none"/>
        </w:rPr>
        <w:br w:type="page"/>
      </w:r>
    </w:p>
    <w:bookmarkEnd w:id="578"/>
    <w:p>
      <w:pPr>
        <w:spacing w:before="260" w:after="260" w:line="440" w:lineRule="exact"/>
        <w:ind w:firstLine="137" w:firstLineChars="49"/>
        <w:outlineLvl w:val="2"/>
        <w:rPr>
          <w:rFonts w:ascii="宋体" w:hAnsi="宋体" w:cs="宋体"/>
          <w:color w:val="auto"/>
          <w:sz w:val="28"/>
          <w:szCs w:val="20"/>
          <w:highlight w:val="none"/>
        </w:rPr>
      </w:pPr>
      <w:bookmarkStart w:id="603" w:name="_Toc526786519"/>
      <w:bookmarkStart w:id="604" w:name="_Toc30015"/>
      <w:r>
        <w:rPr>
          <w:rFonts w:hint="eastAsia" w:ascii="宋体" w:hAnsi="宋体" w:cs="宋体"/>
          <w:color w:val="auto"/>
          <w:sz w:val="28"/>
          <w:szCs w:val="20"/>
          <w:highlight w:val="none"/>
        </w:rPr>
        <w:t>（五）近年发生的诉讼及仲裁情况</w:t>
      </w:r>
      <w:bookmarkEnd w:id="603"/>
      <w:bookmarkEnd w:id="604"/>
      <w:r>
        <w:rPr>
          <w:rFonts w:hint="eastAsia" w:ascii="宋体" w:hAnsi="宋体" w:cs="宋体"/>
          <w:color w:val="auto"/>
          <w:sz w:val="28"/>
          <w:szCs w:val="20"/>
          <w:highlight w:val="none"/>
        </w:rPr>
        <w:t>（本项目资格审查阶段不要求提供）</w:t>
      </w:r>
    </w:p>
    <w:p>
      <w:pPr>
        <w:spacing w:line="440" w:lineRule="exact"/>
        <w:rPr>
          <w:rFonts w:ascii="宋体" w:hAnsi="宋体" w:cs="宋体"/>
          <w:color w:val="auto"/>
          <w:szCs w:val="22"/>
          <w:highlight w:val="none"/>
        </w:rPr>
      </w:pPr>
      <w:r>
        <w:rPr>
          <w:rFonts w:hint="eastAsia" w:ascii="宋体" w:hAnsi="宋体" w:cs="宋体"/>
          <w:color w:val="auto"/>
          <w:szCs w:val="22"/>
          <w:highlight w:val="none"/>
        </w:rPr>
        <w:t>本项目不需要提供。</w:t>
      </w:r>
    </w:p>
    <w:p>
      <w:pPr>
        <w:rPr>
          <w:rFonts w:ascii="宋体" w:hAnsi="宋体" w:cs="宋体"/>
          <w:color w:val="auto"/>
          <w:szCs w:val="22"/>
          <w:highlight w:val="none"/>
        </w:rPr>
      </w:pPr>
      <w:r>
        <w:rPr>
          <w:rFonts w:hint="eastAsia" w:ascii="宋体" w:hAnsi="宋体" w:cs="宋体"/>
          <w:color w:val="auto"/>
          <w:szCs w:val="22"/>
          <w:highlight w:val="none"/>
        </w:rPr>
        <w:br w:type="page"/>
      </w:r>
    </w:p>
    <w:p>
      <w:pPr>
        <w:spacing w:before="260" w:after="260" w:line="410" w:lineRule="auto"/>
        <w:outlineLvl w:val="2"/>
        <w:rPr>
          <w:rFonts w:ascii="宋体" w:hAnsi="宋体" w:cs="宋体"/>
          <w:color w:val="auto"/>
          <w:sz w:val="28"/>
          <w:szCs w:val="20"/>
          <w:highlight w:val="none"/>
        </w:rPr>
      </w:pPr>
      <w:bookmarkStart w:id="605" w:name="_Toc20159"/>
      <w:bookmarkStart w:id="606" w:name="_Toc526786520"/>
      <w:bookmarkStart w:id="607" w:name="_Toc482188667"/>
      <w:r>
        <w:rPr>
          <w:rFonts w:hint="eastAsia" w:ascii="宋体" w:hAnsi="宋体" w:cs="宋体"/>
          <w:color w:val="auto"/>
          <w:sz w:val="28"/>
          <w:szCs w:val="20"/>
          <w:highlight w:val="none"/>
        </w:rPr>
        <w:t>（六）拟委任的主要人员汇总表</w:t>
      </w:r>
      <w:bookmarkEnd w:id="605"/>
      <w:bookmarkEnd w:id="606"/>
      <w:bookmarkEnd w:id="60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序号</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本项目任职</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姓名</w:t>
            </w:r>
          </w:p>
        </w:tc>
        <w:tc>
          <w:tcPr>
            <w:tcW w:w="60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职称</w:t>
            </w:r>
          </w:p>
        </w:tc>
        <w:tc>
          <w:tcPr>
            <w:tcW w:w="48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专业</w:t>
            </w:r>
          </w:p>
        </w:tc>
        <w:tc>
          <w:tcPr>
            <w:tcW w:w="271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执业或职业资格证明</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p>
        </w:tc>
        <w:tc>
          <w:tcPr>
            <w:tcW w:w="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证书名称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级别</w:t>
            </w:r>
          </w:p>
        </w:tc>
        <w:tc>
          <w:tcPr>
            <w:tcW w:w="87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证号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60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48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7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bl>
    <w:p>
      <w:pPr>
        <w:spacing w:line="440" w:lineRule="exact"/>
        <w:rPr>
          <w:rFonts w:ascii="宋体" w:hAnsi="宋体" w:cs="宋体"/>
          <w:color w:val="auto"/>
          <w:szCs w:val="22"/>
          <w:highlight w:val="none"/>
        </w:rPr>
      </w:pPr>
      <w:bookmarkStart w:id="608" w:name="_Toc152042594"/>
      <w:bookmarkStart w:id="609" w:name="_Toc152045805"/>
      <w:bookmarkStart w:id="610" w:name="_Toc179632825"/>
      <w:bookmarkStart w:id="611" w:name="_Toc144974873"/>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p>
    <w:p>
      <w:pPr>
        <w:spacing w:line="440" w:lineRule="exact"/>
        <w:rPr>
          <w:rFonts w:ascii="宋体" w:hAnsi="宋体" w:cs="宋体"/>
          <w:color w:val="auto"/>
          <w:szCs w:val="22"/>
          <w:highlight w:val="none"/>
        </w:rPr>
      </w:pPr>
    </w:p>
    <w:p>
      <w:pPr>
        <w:rPr>
          <w:rFonts w:ascii="宋体" w:hAnsi="宋体" w:cs="宋体"/>
          <w:color w:val="auto"/>
          <w:szCs w:val="22"/>
          <w:highlight w:val="none"/>
        </w:rPr>
      </w:pPr>
    </w:p>
    <w:p>
      <w:pPr>
        <w:spacing w:before="260" w:after="260" w:line="410" w:lineRule="auto"/>
        <w:ind w:firstLine="137" w:firstLineChars="49"/>
        <w:outlineLvl w:val="2"/>
        <w:rPr>
          <w:rFonts w:ascii="宋体" w:hAnsi="宋体" w:cs="宋体"/>
          <w:color w:val="auto"/>
          <w:sz w:val="28"/>
          <w:szCs w:val="20"/>
          <w:highlight w:val="none"/>
        </w:rPr>
      </w:pPr>
      <w:r>
        <w:rPr>
          <w:rFonts w:hint="eastAsia" w:ascii="宋体" w:hAnsi="宋体" w:eastAsia="黑体" w:cs="宋体"/>
          <w:color w:val="auto"/>
          <w:sz w:val="28"/>
          <w:szCs w:val="20"/>
          <w:highlight w:val="none"/>
        </w:rPr>
        <w:br w:type="page"/>
      </w:r>
      <w:bookmarkStart w:id="612" w:name="_Toc300835232"/>
      <w:bookmarkStart w:id="613" w:name="_Toc482188668"/>
      <w:bookmarkStart w:id="614" w:name="_Toc526786521"/>
      <w:bookmarkStart w:id="615" w:name="_Toc359594249"/>
      <w:bookmarkStart w:id="616" w:name="_Toc19924"/>
      <w:bookmarkStart w:id="617" w:name="_Toc384308390"/>
      <w:bookmarkStart w:id="618" w:name="_Toc370676440"/>
      <w:bookmarkStart w:id="619" w:name="_Toc391394125"/>
      <w:bookmarkStart w:id="620" w:name="_Toc385943079"/>
      <w:r>
        <w:rPr>
          <w:rFonts w:hint="eastAsia" w:ascii="宋体" w:hAnsi="宋体" w:cs="宋体"/>
          <w:color w:val="auto"/>
          <w:sz w:val="28"/>
          <w:szCs w:val="20"/>
          <w:highlight w:val="none"/>
        </w:rPr>
        <w:t>（七）主要人员简历表</w:t>
      </w:r>
      <w:bookmarkEnd w:id="608"/>
      <w:bookmarkEnd w:id="609"/>
      <w:bookmarkEnd w:id="610"/>
      <w:bookmarkEnd w:id="611"/>
      <w:bookmarkEnd w:id="612"/>
      <w:bookmarkEnd w:id="613"/>
      <w:bookmarkEnd w:id="614"/>
      <w:bookmarkEnd w:id="615"/>
      <w:bookmarkEnd w:id="616"/>
      <w:bookmarkEnd w:id="617"/>
      <w:bookmarkEnd w:id="618"/>
      <w:bookmarkEnd w:id="619"/>
      <w:bookmarkEnd w:id="620"/>
    </w:p>
    <w:p>
      <w:pPr>
        <w:topLinePunct/>
        <w:spacing w:line="440" w:lineRule="exact"/>
        <w:jc w:val="center"/>
        <w:rPr>
          <w:rFonts w:ascii="宋体" w:hAnsi="宋体" w:cs="宋体"/>
          <w:color w:val="auto"/>
          <w:sz w:val="23"/>
          <w:szCs w:val="22"/>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姓  名</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年龄</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236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执业资格证书（或上岗证书）名称</w:t>
            </w:r>
          </w:p>
        </w:tc>
        <w:tc>
          <w:tcPr>
            <w:tcW w:w="1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职  称</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学历</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236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拟在本项目任职</w:t>
            </w:r>
          </w:p>
        </w:tc>
        <w:tc>
          <w:tcPr>
            <w:tcW w:w="1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工作年限</w:t>
            </w:r>
          </w:p>
        </w:tc>
        <w:tc>
          <w:tcPr>
            <w:tcW w:w="3071"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236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从事监理工作年限</w:t>
            </w:r>
          </w:p>
        </w:tc>
        <w:tc>
          <w:tcPr>
            <w:tcW w:w="1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毕业学校</w:t>
            </w:r>
          </w:p>
        </w:tc>
        <w:tc>
          <w:tcPr>
            <w:tcW w:w="7335" w:type="dxa"/>
            <w:gridSpan w:val="8"/>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ind w:firstLine="1155" w:firstLineChars="550"/>
              <w:rPr>
                <w:rFonts w:ascii="宋体" w:hAnsi="宋体" w:cs="宋体"/>
                <w:color w:val="auto"/>
                <w:highlight w:val="none"/>
              </w:rPr>
            </w:pPr>
            <w:r>
              <w:rPr>
                <w:rFonts w:hint="eastAsia" w:ascii="宋体" w:hAnsi="宋体" w:cs="宋体"/>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left"/>
              <w:rPr>
                <w:rFonts w:ascii="宋体" w:hAnsi="宋体" w:cs="宋体"/>
                <w:color w:val="auto"/>
                <w:highlight w:val="none"/>
              </w:rPr>
            </w:pPr>
            <w:r>
              <w:rPr>
                <w:rFonts w:hint="eastAsia" w:ascii="宋体" w:hAnsi="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担任职务</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宋体" w:hAnsi="宋体" w:cs="宋体"/>
                <w:color w:val="auto"/>
                <w:highlight w:val="none"/>
              </w:rPr>
            </w:pPr>
            <w:r>
              <w:rPr>
                <w:rFonts w:hint="eastAsia" w:ascii="宋体" w:hAnsi="宋体" w:cs="宋体"/>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2297"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2297"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c>
          <w:tcPr>
            <w:tcW w:w="2297"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p>
        </w:tc>
      </w:tr>
    </w:tbl>
    <w:p>
      <w:pPr>
        <w:spacing w:line="440" w:lineRule="exact"/>
        <w:rPr>
          <w:rFonts w:ascii="宋体" w:hAnsi="宋体" w:cs="宋体"/>
          <w:color w:val="auto"/>
          <w:szCs w:val="22"/>
          <w:highlight w:val="none"/>
        </w:rPr>
      </w:pPr>
      <w:r>
        <w:rPr>
          <w:rFonts w:hint="eastAsia" w:ascii="宋体" w:hAnsi="宋体" w:cs="宋体"/>
          <w:color w:val="auto"/>
          <w:szCs w:val="22"/>
          <w:highlight w:val="none"/>
        </w:rPr>
        <w:t>注：投标人应根据投标人须知第3.5.6项的要求在本表后附相关证明材料。须提供社保缴费证明文件。</w:t>
      </w:r>
    </w:p>
    <w:p>
      <w:pPr>
        <w:spacing w:line="440" w:lineRule="exact"/>
        <w:rPr>
          <w:rFonts w:ascii="宋体" w:hAnsi="宋体" w:cs="宋体"/>
          <w:color w:val="auto"/>
          <w:szCs w:val="22"/>
          <w:highlight w:val="none"/>
        </w:rPr>
      </w:pPr>
      <w:bookmarkStart w:id="621" w:name="_Toc352703741"/>
      <w:bookmarkStart w:id="622" w:name="_Toc300835229"/>
    </w:p>
    <w:p>
      <w:pPr>
        <w:rPr>
          <w:rFonts w:ascii="宋体" w:hAnsi="宋体" w:cs="宋体"/>
          <w:color w:val="auto"/>
          <w:szCs w:val="22"/>
          <w:highlight w:val="none"/>
        </w:rPr>
      </w:pPr>
    </w:p>
    <w:bookmarkEnd w:id="621"/>
    <w:bookmarkEnd w:id="622"/>
    <w:p>
      <w:pPr>
        <w:spacing w:before="260" w:after="260" w:line="410" w:lineRule="auto"/>
        <w:ind w:firstLine="137" w:firstLineChars="49"/>
        <w:outlineLvl w:val="2"/>
        <w:rPr>
          <w:rFonts w:ascii="宋体" w:hAnsi="宋体" w:cs="宋体"/>
          <w:color w:val="auto"/>
          <w:sz w:val="28"/>
          <w:szCs w:val="20"/>
          <w:highlight w:val="none"/>
        </w:rPr>
      </w:pPr>
      <w:r>
        <w:rPr>
          <w:rFonts w:hint="eastAsia" w:ascii="宋体" w:hAnsi="宋体" w:eastAsia="黑体" w:cs="宋体"/>
          <w:color w:val="auto"/>
          <w:sz w:val="28"/>
          <w:szCs w:val="20"/>
          <w:highlight w:val="none"/>
        </w:rPr>
        <w:br w:type="page"/>
      </w:r>
      <w:bookmarkStart w:id="623" w:name="_Toc482188666"/>
      <w:bookmarkStart w:id="624" w:name="_Toc32259"/>
      <w:bookmarkStart w:id="625" w:name="_Toc526786522"/>
      <w:r>
        <w:rPr>
          <w:rFonts w:hint="eastAsia" w:ascii="宋体" w:hAnsi="宋体" w:cs="宋体"/>
          <w:color w:val="auto"/>
          <w:sz w:val="28"/>
          <w:szCs w:val="20"/>
          <w:highlight w:val="none"/>
        </w:rPr>
        <w:t>（八）拟投入本项目的主要</w:t>
      </w:r>
      <w:bookmarkEnd w:id="623"/>
      <w:r>
        <w:rPr>
          <w:rFonts w:hint="eastAsia" w:ascii="宋体" w:hAnsi="宋体" w:cs="宋体"/>
          <w:color w:val="auto"/>
          <w:sz w:val="28"/>
          <w:szCs w:val="20"/>
          <w:highlight w:val="none"/>
        </w:rPr>
        <w:t>试验检测仪器设备表</w:t>
      </w:r>
      <w:bookmarkEnd w:id="624"/>
      <w:bookmarkEnd w:id="625"/>
      <w:r>
        <w:rPr>
          <w:rFonts w:hint="eastAsia" w:ascii="宋体" w:hAnsi="宋体" w:cs="宋体"/>
          <w:color w:val="auto"/>
          <w:sz w:val="28"/>
          <w:szCs w:val="20"/>
          <w:highlight w:val="none"/>
        </w:rPr>
        <w:t>（本项目资格审查阶段不要求提供）</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highlight w:val="none"/>
              </w:rPr>
            </w:pPr>
            <w:r>
              <w:rPr>
                <w:rFonts w:hint="eastAsia" w:ascii="宋体" w:hAnsi="宋体" w:cs="宋体"/>
                <w:color w:val="auto"/>
                <w:highlight w:val="none"/>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仪器设备</w:t>
            </w:r>
          </w:p>
          <w:p>
            <w:pPr>
              <w:spacing w:line="440" w:lineRule="exact"/>
              <w:jc w:val="center"/>
              <w:rPr>
                <w:rFonts w:ascii="宋体" w:hAnsi="宋体" w:cs="宋体"/>
                <w:color w:val="auto"/>
                <w:highlight w:val="none"/>
              </w:rPr>
            </w:pPr>
            <w:r>
              <w:rPr>
                <w:rFonts w:hint="eastAsia" w:ascii="宋体" w:hAnsi="宋体" w:cs="宋体"/>
                <w:color w:val="auto"/>
                <w:highlight w:val="none"/>
              </w:rPr>
              <w:t>名称</w:t>
            </w:r>
          </w:p>
        </w:tc>
        <w:tc>
          <w:tcPr>
            <w:tcW w:w="9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型号</w:t>
            </w:r>
          </w:p>
          <w:p>
            <w:pPr>
              <w:spacing w:line="440" w:lineRule="exact"/>
              <w:jc w:val="center"/>
              <w:rPr>
                <w:rFonts w:ascii="宋体" w:hAnsi="宋体" w:cs="宋体"/>
                <w:color w:val="auto"/>
                <w:highlight w:val="none"/>
              </w:rPr>
            </w:pPr>
            <w:r>
              <w:rPr>
                <w:rFonts w:hint="eastAsia" w:ascii="宋体" w:hAnsi="宋体" w:cs="宋体"/>
                <w:color w:val="auto"/>
                <w:highlight w:val="none"/>
              </w:rPr>
              <w:t>规格</w:t>
            </w:r>
          </w:p>
        </w:tc>
        <w:tc>
          <w:tcPr>
            <w:tcW w:w="7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数量</w:t>
            </w:r>
          </w:p>
        </w:tc>
        <w:tc>
          <w:tcPr>
            <w:tcW w:w="8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国别</w:t>
            </w:r>
          </w:p>
          <w:p>
            <w:pPr>
              <w:spacing w:line="440" w:lineRule="exact"/>
              <w:jc w:val="center"/>
              <w:rPr>
                <w:rFonts w:ascii="宋体" w:hAnsi="宋体" w:cs="宋体"/>
                <w:color w:val="auto"/>
                <w:highlight w:val="none"/>
              </w:rPr>
            </w:pPr>
            <w:r>
              <w:rPr>
                <w:rFonts w:hint="eastAsia" w:ascii="宋体" w:hAnsi="宋体" w:cs="宋体"/>
                <w:color w:val="auto"/>
                <w:highlight w:val="none"/>
              </w:rPr>
              <w:t>产地</w:t>
            </w: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制造</w:t>
            </w:r>
          </w:p>
          <w:p>
            <w:pPr>
              <w:spacing w:line="440" w:lineRule="exact"/>
              <w:jc w:val="center"/>
              <w:rPr>
                <w:rFonts w:ascii="宋体" w:hAnsi="宋体" w:cs="宋体"/>
                <w:color w:val="auto"/>
                <w:highlight w:val="none"/>
              </w:rPr>
            </w:pPr>
            <w:r>
              <w:rPr>
                <w:rFonts w:hint="eastAsia" w:ascii="宋体" w:hAnsi="宋体" w:cs="宋体"/>
                <w:color w:val="auto"/>
                <w:highlight w:val="none"/>
              </w:rPr>
              <w:t>年份</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用途</w:t>
            </w:r>
          </w:p>
        </w:tc>
        <w:tc>
          <w:tcPr>
            <w:tcW w:w="116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2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3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7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4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c>
          <w:tcPr>
            <w:tcW w:w="116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color w:val="auto"/>
                <w:highlight w:val="none"/>
              </w:rPr>
            </w:pPr>
          </w:p>
        </w:tc>
      </w:tr>
    </w:tbl>
    <w:p>
      <w:pPr>
        <w:rPr>
          <w:rFonts w:ascii="宋体" w:hAnsi="宋体" w:cs="宋体"/>
          <w:color w:val="auto"/>
          <w:szCs w:val="22"/>
          <w:highlight w:val="none"/>
        </w:rPr>
      </w:pPr>
    </w:p>
    <w:p>
      <w:pPr>
        <w:spacing w:before="20" w:line="410" w:lineRule="auto"/>
        <w:outlineLvl w:val="2"/>
        <w:rPr>
          <w:rFonts w:ascii="宋体" w:hAnsi="宋体"/>
          <w:b/>
          <w:bCs/>
          <w:color w:val="auto"/>
          <w:sz w:val="28"/>
          <w:szCs w:val="28"/>
          <w:highlight w:val="none"/>
        </w:rPr>
      </w:pPr>
      <w:r>
        <w:rPr>
          <w:rFonts w:ascii="宋体" w:hAnsi="宋体" w:cs="宋体"/>
          <w:color w:val="auto"/>
          <w:sz w:val="28"/>
          <w:szCs w:val="28"/>
          <w:highlight w:val="none"/>
        </w:rPr>
        <w:br w:type="page"/>
      </w:r>
      <w:bookmarkStart w:id="626" w:name="_Toc13472"/>
      <w:r>
        <w:rPr>
          <w:rFonts w:hint="eastAsia" w:ascii="宋体" w:hAnsi="宋体"/>
          <w:b/>
          <w:bCs/>
          <w:color w:val="auto"/>
          <w:sz w:val="28"/>
          <w:szCs w:val="28"/>
          <w:highlight w:val="none"/>
        </w:rPr>
        <w:t>（九）投标人声明格式</w:t>
      </w:r>
      <w:bookmarkEnd w:id="626"/>
    </w:p>
    <w:p>
      <w:pPr>
        <w:topLinePunct/>
        <w:spacing w:line="360" w:lineRule="auto"/>
        <w:rPr>
          <w:rFonts w:ascii="宋体" w:hAnsi="宋体"/>
          <w:color w:val="auto"/>
          <w:spacing w:val="18"/>
          <w:sz w:val="24"/>
          <w:szCs w:val="24"/>
          <w:highlight w:val="none"/>
        </w:rPr>
      </w:pPr>
      <w:r>
        <w:rPr>
          <w:rFonts w:hint="eastAsia" w:ascii="宋体" w:hAnsi="宋体"/>
          <w:color w:val="auto"/>
          <w:spacing w:val="18"/>
          <w:sz w:val="24"/>
          <w:szCs w:val="24"/>
          <w:highlight w:val="none"/>
        </w:rPr>
        <w:t xml:space="preserve"> </w:t>
      </w:r>
      <w:r>
        <w:rPr>
          <w:rFonts w:hint="eastAsia" w:ascii="宋体" w:hAnsi="宋体"/>
          <w:color w:val="auto"/>
          <w:spacing w:val="4"/>
          <w:kern w:val="0"/>
          <w:sz w:val="24"/>
          <w:szCs w:val="24"/>
          <w:highlight w:val="none"/>
        </w:rPr>
        <w:t>（格式详见招标公告附件一）</w:t>
      </w:r>
    </w:p>
    <w:p>
      <w:pPr>
        <w:rPr>
          <w:rFonts w:ascii="宋体" w:hAnsi="宋体" w:cs="宋体"/>
          <w:color w:val="auto"/>
          <w:szCs w:val="22"/>
          <w:highlight w:val="none"/>
        </w:rPr>
      </w:pPr>
      <w:r>
        <w:rPr>
          <w:rFonts w:hint="eastAsia" w:ascii="宋体" w:hAnsi="宋体" w:cs="宋体"/>
          <w:color w:val="auto"/>
          <w:sz w:val="28"/>
          <w:szCs w:val="28"/>
          <w:highlight w:val="none"/>
        </w:rPr>
        <w:br w:type="page"/>
      </w:r>
    </w:p>
    <w:p>
      <w:pPr>
        <w:spacing w:before="260" w:line="410" w:lineRule="auto"/>
        <w:jc w:val="center"/>
        <w:outlineLvl w:val="1"/>
        <w:rPr>
          <w:rFonts w:ascii="宋体" w:hAnsi="宋体" w:cs="宋体"/>
          <w:b/>
          <w:color w:val="auto"/>
          <w:sz w:val="32"/>
          <w:szCs w:val="20"/>
          <w:highlight w:val="none"/>
        </w:rPr>
      </w:pPr>
      <w:bookmarkStart w:id="627" w:name="_Toc526786523"/>
      <w:bookmarkStart w:id="628" w:name="_Toc3326"/>
      <w:r>
        <w:rPr>
          <w:rFonts w:hint="eastAsia" w:ascii="宋体" w:hAnsi="宋体" w:cs="宋体"/>
          <w:b/>
          <w:color w:val="auto"/>
          <w:sz w:val="32"/>
          <w:szCs w:val="20"/>
          <w:highlight w:val="none"/>
        </w:rPr>
        <w:t>七、</w:t>
      </w:r>
      <w:bookmarkEnd w:id="627"/>
      <w:r>
        <w:rPr>
          <w:rFonts w:hint="eastAsia" w:ascii="宋体" w:hAnsi="宋体" w:cs="宋体"/>
          <w:b/>
          <w:color w:val="auto"/>
          <w:sz w:val="32"/>
          <w:szCs w:val="20"/>
          <w:highlight w:val="none"/>
        </w:rPr>
        <w:t>监理大纲</w:t>
      </w:r>
      <w:bookmarkEnd w:id="628"/>
    </w:p>
    <w:p>
      <w:pPr>
        <w:spacing w:line="360" w:lineRule="auto"/>
        <w:ind w:firstLine="474" w:firstLineChars="226"/>
        <w:rPr>
          <w:rFonts w:ascii="宋体" w:hAnsi="宋体" w:cs="宋体"/>
          <w:color w:val="auto"/>
          <w:highlight w:val="none"/>
        </w:rPr>
      </w:pPr>
      <w:r>
        <w:rPr>
          <w:rFonts w:hint="eastAsia" w:ascii="宋体" w:hAnsi="宋体" w:cs="宋体"/>
          <w:color w:val="auto"/>
          <w:highlight w:val="none"/>
        </w:rPr>
        <w:t>监理大纲应包括（但不限于）下列内容（投标单位可根据评分表自行增加或调整内容）：</w:t>
      </w:r>
    </w:p>
    <w:p>
      <w:pPr>
        <w:spacing w:line="360" w:lineRule="auto"/>
        <w:ind w:firstLine="474" w:firstLineChars="226"/>
        <w:rPr>
          <w:rFonts w:ascii="宋体" w:hAnsi="宋体" w:cs="宋体"/>
          <w:color w:val="auto"/>
          <w:highlight w:val="none"/>
        </w:rPr>
      </w:pPr>
      <w:r>
        <w:rPr>
          <w:rFonts w:hint="eastAsia" w:ascii="宋体" w:hAnsi="宋体" w:cs="宋体"/>
          <w:color w:val="auto"/>
          <w:highlight w:val="none"/>
        </w:rPr>
        <w:t>一、监理工程概况；</w:t>
      </w:r>
    </w:p>
    <w:p>
      <w:pPr>
        <w:spacing w:line="360" w:lineRule="auto"/>
        <w:ind w:firstLine="474" w:firstLineChars="226"/>
        <w:rPr>
          <w:rFonts w:ascii="宋体" w:hAnsi="宋体" w:cs="宋体"/>
          <w:color w:val="auto"/>
          <w:highlight w:val="none"/>
        </w:rPr>
      </w:pPr>
      <w:r>
        <w:rPr>
          <w:rFonts w:hint="eastAsia" w:ascii="宋体" w:hAnsi="宋体" w:cs="宋体"/>
          <w:color w:val="auto"/>
          <w:highlight w:val="none"/>
        </w:rPr>
        <w:t>二、监理范围、监理内容；</w:t>
      </w:r>
    </w:p>
    <w:p>
      <w:pPr>
        <w:spacing w:line="360" w:lineRule="auto"/>
        <w:ind w:firstLine="474" w:firstLineChars="226"/>
        <w:rPr>
          <w:rFonts w:hint="eastAsia" w:ascii="宋体" w:hAnsi="宋体" w:cs="宋体"/>
          <w:color w:val="auto"/>
          <w:highlight w:val="none"/>
          <w:lang w:val="en-US" w:eastAsia="zh-CN"/>
        </w:rPr>
      </w:pPr>
      <w:r>
        <w:rPr>
          <w:rFonts w:hint="eastAsia" w:ascii="宋体" w:hAnsi="宋体" w:cs="宋体"/>
          <w:color w:val="auto"/>
          <w:highlight w:val="none"/>
          <w:lang w:val="en-US" w:eastAsia="zh-CN"/>
        </w:rPr>
        <w:t>三、监理机构设置与岗位职责；</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szCs w:val="22"/>
          <w:highlight w:val="none"/>
        </w:rPr>
        <w:t>质量控制措施</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五、</w:t>
      </w:r>
      <w:r>
        <w:rPr>
          <w:rFonts w:hint="eastAsia" w:ascii="宋体" w:hAnsi="宋体" w:cs="宋体"/>
          <w:color w:val="auto"/>
          <w:szCs w:val="22"/>
          <w:highlight w:val="none"/>
        </w:rPr>
        <w:t>进度控制措施</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六、</w:t>
      </w:r>
      <w:r>
        <w:rPr>
          <w:rFonts w:hint="eastAsia" w:ascii="宋体" w:hAnsi="宋体" w:cs="宋体"/>
          <w:color w:val="auto"/>
          <w:szCs w:val="22"/>
          <w:highlight w:val="none"/>
        </w:rPr>
        <w:t>投资控制措施</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七、</w:t>
      </w:r>
      <w:r>
        <w:rPr>
          <w:rFonts w:hint="eastAsia" w:ascii="宋体" w:hAnsi="宋体" w:cs="宋体"/>
          <w:color w:val="auto"/>
          <w:szCs w:val="22"/>
          <w:highlight w:val="none"/>
        </w:rPr>
        <w:t>合同管理、信息管理</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八、</w:t>
      </w:r>
      <w:r>
        <w:rPr>
          <w:rFonts w:hint="eastAsia" w:ascii="宋体" w:hAnsi="宋体" w:cs="宋体"/>
          <w:color w:val="auto"/>
          <w:szCs w:val="22"/>
          <w:highlight w:val="none"/>
        </w:rPr>
        <w:t>组织协调</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九、</w:t>
      </w:r>
      <w:r>
        <w:rPr>
          <w:rFonts w:hint="eastAsia" w:ascii="宋体" w:hAnsi="宋体" w:cs="宋体"/>
          <w:color w:val="auto"/>
          <w:szCs w:val="22"/>
          <w:highlight w:val="none"/>
        </w:rPr>
        <w:t>安全、文明施工管理</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十、</w:t>
      </w:r>
      <w:r>
        <w:rPr>
          <w:rFonts w:hint="eastAsia" w:ascii="宋体" w:hAnsi="宋体" w:cs="宋体"/>
          <w:color w:val="auto"/>
          <w:szCs w:val="22"/>
          <w:highlight w:val="none"/>
        </w:rPr>
        <w:t>监理工作程序和制度</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十一、</w:t>
      </w:r>
      <w:r>
        <w:rPr>
          <w:rFonts w:hint="eastAsia" w:ascii="宋体" w:hAnsi="宋体" w:cs="宋体"/>
          <w:color w:val="auto"/>
          <w:szCs w:val="22"/>
          <w:highlight w:val="none"/>
        </w:rPr>
        <w:t>会议制度</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十二、</w:t>
      </w:r>
      <w:r>
        <w:rPr>
          <w:rFonts w:hint="eastAsia" w:ascii="宋体" w:hAnsi="宋体" w:cs="宋体"/>
          <w:color w:val="auto"/>
          <w:szCs w:val="22"/>
          <w:highlight w:val="none"/>
        </w:rPr>
        <w:t>工程进度款、工程结算的管理</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十三、</w:t>
      </w:r>
      <w:r>
        <w:rPr>
          <w:rFonts w:hint="eastAsia" w:ascii="宋体" w:hAnsi="宋体" w:cs="宋体"/>
          <w:color w:val="auto"/>
          <w:szCs w:val="22"/>
          <w:highlight w:val="none"/>
        </w:rPr>
        <w:t>监理工作重点、难点分析</w:t>
      </w:r>
      <w:r>
        <w:rPr>
          <w:rFonts w:hint="eastAsia" w:ascii="宋体" w:hAnsi="宋体" w:cs="宋体"/>
          <w:color w:val="auto"/>
          <w:szCs w:val="22"/>
          <w:highlight w:val="none"/>
          <w:lang w:eastAsia="zh-CN"/>
        </w:rPr>
        <w:t>；</w:t>
      </w:r>
    </w:p>
    <w:p>
      <w:pPr>
        <w:spacing w:line="360" w:lineRule="auto"/>
        <w:ind w:firstLine="474" w:firstLineChars="226"/>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十四、</w:t>
      </w:r>
      <w:r>
        <w:rPr>
          <w:rFonts w:hint="eastAsia" w:ascii="宋体" w:hAnsi="宋体" w:cs="宋体"/>
          <w:color w:val="auto"/>
          <w:szCs w:val="22"/>
          <w:highlight w:val="none"/>
        </w:rPr>
        <w:t>合理化建议</w:t>
      </w:r>
      <w:r>
        <w:rPr>
          <w:rFonts w:hint="eastAsia" w:ascii="宋体" w:hAnsi="宋体" w:cs="宋体"/>
          <w:color w:val="auto"/>
          <w:szCs w:val="22"/>
          <w:highlight w:val="none"/>
          <w:lang w:eastAsia="zh-CN"/>
        </w:rPr>
        <w:t>。</w:t>
      </w: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rPr>
          <w:rFonts w:ascii="宋体" w:hAnsi="宋体" w:cs="宋体"/>
          <w:color w:val="auto"/>
          <w:szCs w:val="22"/>
          <w:highlight w:val="none"/>
        </w:rPr>
      </w:pPr>
    </w:p>
    <w:p>
      <w:pPr>
        <w:spacing w:before="260" w:line="410" w:lineRule="auto"/>
        <w:jc w:val="center"/>
        <w:outlineLvl w:val="1"/>
        <w:rPr>
          <w:rFonts w:ascii="宋体" w:hAnsi="宋体" w:cs="宋体"/>
          <w:b/>
          <w:color w:val="auto"/>
          <w:sz w:val="32"/>
          <w:szCs w:val="20"/>
          <w:highlight w:val="none"/>
        </w:rPr>
      </w:pPr>
      <w:r>
        <w:rPr>
          <w:rFonts w:hint="eastAsia" w:ascii="宋体" w:hAnsi="宋体" w:eastAsia="黑体" w:cs="宋体"/>
          <w:color w:val="auto"/>
          <w:sz w:val="32"/>
          <w:szCs w:val="20"/>
          <w:highlight w:val="none"/>
        </w:rPr>
        <w:br w:type="page"/>
      </w:r>
      <w:bookmarkStart w:id="629" w:name="_Toc23090"/>
      <w:bookmarkStart w:id="630" w:name="_Toc526786524"/>
      <w:r>
        <w:rPr>
          <w:rFonts w:hint="eastAsia" w:ascii="宋体" w:hAnsi="宋体" w:cs="宋体"/>
          <w:b/>
          <w:color w:val="auto"/>
          <w:sz w:val="32"/>
          <w:szCs w:val="20"/>
          <w:highlight w:val="none"/>
        </w:rPr>
        <w:t>八、其他资料</w:t>
      </w:r>
      <w:bookmarkEnd w:id="629"/>
      <w:bookmarkEnd w:id="630"/>
    </w:p>
    <w:p>
      <w:pPr>
        <w:rPr>
          <w:rFonts w:ascii="宋体" w:hAnsi="宋体" w:cs="宋体"/>
          <w:color w:val="auto"/>
          <w:szCs w:val="22"/>
          <w:highlight w:val="none"/>
        </w:rPr>
      </w:pPr>
    </w:p>
    <w:p>
      <w:pPr>
        <w:jc w:val="center"/>
        <w:rPr>
          <w:rFonts w:ascii="宋体" w:hAnsi="宋体" w:cs="宋体"/>
          <w:color w:val="auto"/>
          <w:szCs w:val="22"/>
          <w:highlight w:val="none"/>
        </w:rPr>
      </w:pPr>
      <w:r>
        <w:rPr>
          <w:rFonts w:hint="eastAsia" w:ascii="宋体" w:hAnsi="宋体" w:cs="宋体"/>
          <w:color w:val="auto"/>
          <w:szCs w:val="22"/>
          <w:highlight w:val="none"/>
        </w:rPr>
        <w:t>投标人认为有必要提交的其他资料，格式自定。</w:t>
      </w:r>
    </w:p>
    <w:p>
      <w:pPr>
        <w:spacing w:line="427" w:lineRule="exact"/>
        <w:ind w:right="4013" w:firstLine="420" w:firstLineChars="200"/>
        <w:jc w:val="center"/>
        <w:rPr>
          <w:rFonts w:ascii="宋体" w:hAnsi="宋体"/>
          <w:color w:val="auto"/>
          <w:highlight w:val="none"/>
        </w:rPr>
      </w:pPr>
    </w:p>
    <w:bookmarkEnd w:id="631"/>
    <w:sectPr>
      <w:headerReference r:id="rId6" w:type="first"/>
      <w:headerReference r:id="rId4" w:type="default"/>
      <w:footerReference r:id="rId7" w:type="default"/>
      <w:headerReference r:id="rId5" w:type="even"/>
      <w:footerReference r:id="rId8" w:type="even"/>
      <w:pgSz w:w="11907" w:h="1684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宋体u萀">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䅂䍄䕅⯋컌">
    <w:altName w:val="微软雅黑"/>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 PAGE   \* MERGEFORMAT </w:instrText>
    </w:r>
    <w:r>
      <w:fldChar w:fldCharType="separate"/>
    </w:r>
    <w:r>
      <w:rPr>
        <w:lang w:val="zh-CN"/>
      </w:rPr>
      <w:t>33</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58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fldChar w:fldCharType="begin"/>
    </w:r>
    <w:r>
      <w:rPr>
        <w:rStyle w:val="30"/>
      </w:rPr>
      <w:instrText xml:space="preserve">PAGE  </w:instrTex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FA1F3"/>
    <w:multiLevelType w:val="singleLevel"/>
    <w:tmpl w:val="90EFA1F3"/>
    <w:lvl w:ilvl="0" w:tentative="0">
      <w:start w:val="5"/>
      <w:numFmt w:val="chineseCounting"/>
      <w:suff w:val="nothing"/>
      <w:lvlText w:val="%1、"/>
      <w:lvlJc w:val="left"/>
      <w:rPr>
        <w:rFonts w:hint="eastAsia"/>
      </w:rPr>
    </w:lvl>
  </w:abstractNum>
  <w:abstractNum w:abstractNumId="1">
    <w:nsid w:val="99F2CC8A"/>
    <w:multiLevelType w:val="singleLevel"/>
    <w:tmpl w:val="99F2CC8A"/>
    <w:lvl w:ilvl="0" w:tentative="0">
      <w:start w:val="6"/>
      <w:numFmt w:val="chineseCounting"/>
      <w:suff w:val="nothing"/>
      <w:lvlText w:val="%1、"/>
      <w:lvlJc w:val="left"/>
      <w:rPr>
        <w:rFonts w:hint="eastAsia"/>
      </w:rPr>
    </w:lvl>
  </w:abstractNum>
  <w:abstractNum w:abstractNumId="2">
    <w:nsid w:val="CFAA76BC"/>
    <w:multiLevelType w:val="singleLevel"/>
    <w:tmpl w:val="CFAA76BC"/>
    <w:lvl w:ilvl="0" w:tentative="0">
      <w:start w:val="2"/>
      <w:numFmt w:val="decimal"/>
      <w:suff w:val="nothing"/>
      <w:lvlText w:val="%1、"/>
      <w:lvlJc w:val="left"/>
    </w:lvl>
  </w:abstractNum>
  <w:abstractNum w:abstractNumId="3">
    <w:nsid w:val="396A8AE2"/>
    <w:multiLevelType w:val="singleLevel"/>
    <w:tmpl w:val="396A8AE2"/>
    <w:lvl w:ilvl="0" w:tentative="0">
      <w:start w:val="1"/>
      <w:numFmt w:val="decimal"/>
      <w:suff w:val="nothing"/>
      <w:lvlText w:val="%1、"/>
      <w:lvlJc w:val="left"/>
    </w:lvl>
  </w:abstractNum>
  <w:abstractNum w:abstractNumId="4">
    <w:nsid w:val="6BFA89AF"/>
    <w:multiLevelType w:val="singleLevel"/>
    <w:tmpl w:val="6BFA89AF"/>
    <w:lvl w:ilvl="0" w:tentative="0">
      <w:start w:val="1"/>
      <w:numFmt w:val="decimal"/>
      <w:suff w:val="nothing"/>
      <w:lvlText w:val="%1）"/>
      <w:lvlJc w:val="left"/>
      <w:rPr>
        <w:rFonts w:hint="default"/>
        <w:b w:val="0"/>
        <w:bCs w:val="0"/>
      </w:rPr>
    </w:lvl>
  </w:abstractNum>
  <w:abstractNum w:abstractNumId="5">
    <w:nsid w:val="7A36661B"/>
    <w:multiLevelType w:val="singleLevel"/>
    <w:tmpl w:val="7A36661B"/>
    <w:lvl w:ilvl="0" w:tentative="0">
      <w:start w:val="1"/>
      <w:numFmt w:val="decimal"/>
      <w:suff w:val="nothing"/>
      <w:lvlText w:val="（%1）"/>
      <w:lvlJc w:val="left"/>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DM5Mzc5M2VlZDZlZTI4MTQxNzllMzQyMTg5ZjMifQ=="/>
  </w:docVars>
  <w:rsids>
    <w:rsidRoot w:val="00423383"/>
    <w:rsid w:val="000004B5"/>
    <w:rsid w:val="000021E8"/>
    <w:rsid w:val="00004B29"/>
    <w:rsid w:val="00006C5B"/>
    <w:rsid w:val="00012E0D"/>
    <w:rsid w:val="000140F2"/>
    <w:rsid w:val="000144CD"/>
    <w:rsid w:val="00016645"/>
    <w:rsid w:val="00020F48"/>
    <w:rsid w:val="00020F5F"/>
    <w:rsid w:val="000223F6"/>
    <w:rsid w:val="000237B4"/>
    <w:rsid w:val="00024475"/>
    <w:rsid w:val="00024B65"/>
    <w:rsid w:val="00024F19"/>
    <w:rsid w:val="00025A21"/>
    <w:rsid w:val="00025CCC"/>
    <w:rsid w:val="00026E03"/>
    <w:rsid w:val="000308D1"/>
    <w:rsid w:val="0003251F"/>
    <w:rsid w:val="000376FE"/>
    <w:rsid w:val="00040D9B"/>
    <w:rsid w:val="000418F4"/>
    <w:rsid w:val="00043E2B"/>
    <w:rsid w:val="000462A8"/>
    <w:rsid w:val="00046EF0"/>
    <w:rsid w:val="000532C6"/>
    <w:rsid w:val="00054853"/>
    <w:rsid w:val="00061CA9"/>
    <w:rsid w:val="00064605"/>
    <w:rsid w:val="00065758"/>
    <w:rsid w:val="00070C6B"/>
    <w:rsid w:val="00072060"/>
    <w:rsid w:val="000728AD"/>
    <w:rsid w:val="000731B1"/>
    <w:rsid w:val="00073951"/>
    <w:rsid w:val="00074BF6"/>
    <w:rsid w:val="00075EBD"/>
    <w:rsid w:val="000828F3"/>
    <w:rsid w:val="00083398"/>
    <w:rsid w:val="00086A0F"/>
    <w:rsid w:val="0009594A"/>
    <w:rsid w:val="000A05C4"/>
    <w:rsid w:val="000A2534"/>
    <w:rsid w:val="000A2FD1"/>
    <w:rsid w:val="000A60D3"/>
    <w:rsid w:val="000A645D"/>
    <w:rsid w:val="000A69F0"/>
    <w:rsid w:val="000A7337"/>
    <w:rsid w:val="000B0510"/>
    <w:rsid w:val="000B4C30"/>
    <w:rsid w:val="000B6B03"/>
    <w:rsid w:val="000B721C"/>
    <w:rsid w:val="000C0F1E"/>
    <w:rsid w:val="000C1004"/>
    <w:rsid w:val="000C39AF"/>
    <w:rsid w:val="000C70AB"/>
    <w:rsid w:val="000C7A2F"/>
    <w:rsid w:val="000D0440"/>
    <w:rsid w:val="000D3434"/>
    <w:rsid w:val="000E1C53"/>
    <w:rsid w:val="000E5841"/>
    <w:rsid w:val="000E6ED6"/>
    <w:rsid w:val="000E7E8F"/>
    <w:rsid w:val="000E7E9B"/>
    <w:rsid w:val="000F2C91"/>
    <w:rsid w:val="000F35D0"/>
    <w:rsid w:val="000F4BF5"/>
    <w:rsid w:val="000F6BC2"/>
    <w:rsid w:val="00100F5D"/>
    <w:rsid w:val="00101ACD"/>
    <w:rsid w:val="00104A9E"/>
    <w:rsid w:val="00106550"/>
    <w:rsid w:val="00111E22"/>
    <w:rsid w:val="0011348D"/>
    <w:rsid w:val="00122331"/>
    <w:rsid w:val="0012359D"/>
    <w:rsid w:val="001261EF"/>
    <w:rsid w:val="001268D8"/>
    <w:rsid w:val="00130464"/>
    <w:rsid w:val="00133CD5"/>
    <w:rsid w:val="00136DBD"/>
    <w:rsid w:val="0014112B"/>
    <w:rsid w:val="00141246"/>
    <w:rsid w:val="00144C20"/>
    <w:rsid w:val="001472F9"/>
    <w:rsid w:val="0015348B"/>
    <w:rsid w:val="0015437F"/>
    <w:rsid w:val="00156A24"/>
    <w:rsid w:val="00157AEE"/>
    <w:rsid w:val="0016206C"/>
    <w:rsid w:val="00163349"/>
    <w:rsid w:val="00164E2A"/>
    <w:rsid w:val="0016599A"/>
    <w:rsid w:val="00166A6F"/>
    <w:rsid w:val="001821C2"/>
    <w:rsid w:val="00182FAC"/>
    <w:rsid w:val="00183872"/>
    <w:rsid w:val="00185526"/>
    <w:rsid w:val="00191767"/>
    <w:rsid w:val="00197A29"/>
    <w:rsid w:val="00197F59"/>
    <w:rsid w:val="001A7CD7"/>
    <w:rsid w:val="001A7D32"/>
    <w:rsid w:val="001B19E9"/>
    <w:rsid w:val="001B545A"/>
    <w:rsid w:val="001C0E02"/>
    <w:rsid w:val="001C7C9C"/>
    <w:rsid w:val="001D6743"/>
    <w:rsid w:val="001D6AA3"/>
    <w:rsid w:val="001D6E77"/>
    <w:rsid w:val="001D770F"/>
    <w:rsid w:val="001E09B6"/>
    <w:rsid w:val="001E10E6"/>
    <w:rsid w:val="001E7FB5"/>
    <w:rsid w:val="001F04D5"/>
    <w:rsid w:val="001F16BA"/>
    <w:rsid w:val="001F2077"/>
    <w:rsid w:val="001F7363"/>
    <w:rsid w:val="00201927"/>
    <w:rsid w:val="00201F03"/>
    <w:rsid w:val="00202098"/>
    <w:rsid w:val="00211335"/>
    <w:rsid w:val="00214D55"/>
    <w:rsid w:val="00216988"/>
    <w:rsid w:val="00220BE3"/>
    <w:rsid w:val="00222EB9"/>
    <w:rsid w:val="00225BB7"/>
    <w:rsid w:val="002262C1"/>
    <w:rsid w:val="00240183"/>
    <w:rsid w:val="00241E24"/>
    <w:rsid w:val="002427CD"/>
    <w:rsid w:val="002447FB"/>
    <w:rsid w:val="00245D10"/>
    <w:rsid w:val="00250437"/>
    <w:rsid w:val="00250826"/>
    <w:rsid w:val="00251C3A"/>
    <w:rsid w:val="00252498"/>
    <w:rsid w:val="0025348F"/>
    <w:rsid w:val="002541ED"/>
    <w:rsid w:val="002550BC"/>
    <w:rsid w:val="00256BF6"/>
    <w:rsid w:val="00261BB4"/>
    <w:rsid w:val="00283FA4"/>
    <w:rsid w:val="0028519D"/>
    <w:rsid w:val="00286385"/>
    <w:rsid w:val="0028651D"/>
    <w:rsid w:val="002871D9"/>
    <w:rsid w:val="00287BFE"/>
    <w:rsid w:val="00291B84"/>
    <w:rsid w:val="00291DAD"/>
    <w:rsid w:val="002932EF"/>
    <w:rsid w:val="00293AC0"/>
    <w:rsid w:val="00293EB7"/>
    <w:rsid w:val="00294F17"/>
    <w:rsid w:val="00297350"/>
    <w:rsid w:val="002A53E8"/>
    <w:rsid w:val="002A718C"/>
    <w:rsid w:val="002B64CC"/>
    <w:rsid w:val="002B7810"/>
    <w:rsid w:val="002C1013"/>
    <w:rsid w:val="002C1982"/>
    <w:rsid w:val="002D194A"/>
    <w:rsid w:val="002D27D0"/>
    <w:rsid w:val="002D2862"/>
    <w:rsid w:val="002D2F8B"/>
    <w:rsid w:val="002D347E"/>
    <w:rsid w:val="002E02C4"/>
    <w:rsid w:val="002E1078"/>
    <w:rsid w:val="002E6E8D"/>
    <w:rsid w:val="002F02B4"/>
    <w:rsid w:val="002F03F7"/>
    <w:rsid w:val="002F0601"/>
    <w:rsid w:val="002F3853"/>
    <w:rsid w:val="002F3D00"/>
    <w:rsid w:val="002F627F"/>
    <w:rsid w:val="0030100F"/>
    <w:rsid w:val="00302B54"/>
    <w:rsid w:val="003116CE"/>
    <w:rsid w:val="00314584"/>
    <w:rsid w:val="00316785"/>
    <w:rsid w:val="00316E01"/>
    <w:rsid w:val="00320C47"/>
    <w:rsid w:val="0032254B"/>
    <w:rsid w:val="00322F01"/>
    <w:rsid w:val="0032359A"/>
    <w:rsid w:val="00327D43"/>
    <w:rsid w:val="00331B0F"/>
    <w:rsid w:val="003334D8"/>
    <w:rsid w:val="003446E8"/>
    <w:rsid w:val="00345609"/>
    <w:rsid w:val="003458D3"/>
    <w:rsid w:val="00350A6E"/>
    <w:rsid w:val="00351BD5"/>
    <w:rsid w:val="00356CEA"/>
    <w:rsid w:val="00357CA1"/>
    <w:rsid w:val="00363903"/>
    <w:rsid w:val="00371DB4"/>
    <w:rsid w:val="003720B7"/>
    <w:rsid w:val="0037377B"/>
    <w:rsid w:val="0037467E"/>
    <w:rsid w:val="00374799"/>
    <w:rsid w:val="00375149"/>
    <w:rsid w:val="00376C2C"/>
    <w:rsid w:val="00377234"/>
    <w:rsid w:val="00380E0C"/>
    <w:rsid w:val="0038178F"/>
    <w:rsid w:val="00384854"/>
    <w:rsid w:val="003871E0"/>
    <w:rsid w:val="00387361"/>
    <w:rsid w:val="00391545"/>
    <w:rsid w:val="00396ED8"/>
    <w:rsid w:val="00397416"/>
    <w:rsid w:val="00397F35"/>
    <w:rsid w:val="003A2097"/>
    <w:rsid w:val="003A222F"/>
    <w:rsid w:val="003A3DAC"/>
    <w:rsid w:val="003A3FDD"/>
    <w:rsid w:val="003A45F2"/>
    <w:rsid w:val="003A527E"/>
    <w:rsid w:val="003A5A70"/>
    <w:rsid w:val="003A6D04"/>
    <w:rsid w:val="003A7BF8"/>
    <w:rsid w:val="003B016D"/>
    <w:rsid w:val="003B0198"/>
    <w:rsid w:val="003B0DFE"/>
    <w:rsid w:val="003B1792"/>
    <w:rsid w:val="003B29E2"/>
    <w:rsid w:val="003B5FFD"/>
    <w:rsid w:val="003C02E0"/>
    <w:rsid w:val="003C20F3"/>
    <w:rsid w:val="003C26F7"/>
    <w:rsid w:val="003C28A7"/>
    <w:rsid w:val="003C54DF"/>
    <w:rsid w:val="003D584B"/>
    <w:rsid w:val="003E349E"/>
    <w:rsid w:val="003E4484"/>
    <w:rsid w:val="003E469B"/>
    <w:rsid w:val="003E6C01"/>
    <w:rsid w:val="003F679E"/>
    <w:rsid w:val="00403AD4"/>
    <w:rsid w:val="00404376"/>
    <w:rsid w:val="00405C4E"/>
    <w:rsid w:val="00405E67"/>
    <w:rsid w:val="0040628B"/>
    <w:rsid w:val="00410622"/>
    <w:rsid w:val="00410DC4"/>
    <w:rsid w:val="004124AC"/>
    <w:rsid w:val="00412F5B"/>
    <w:rsid w:val="00414280"/>
    <w:rsid w:val="00414FB0"/>
    <w:rsid w:val="004151A5"/>
    <w:rsid w:val="004169AB"/>
    <w:rsid w:val="004203A0"/>
    <w:rsid w:val="00422C9B"/>
    <w:rsid w:val="00423383"/>
    <w:rsid w:val="00424F23"/>
    <w:rsid w:val="00425739"/>
    <w:rsid w:val="00426392"/>
    <w:rsid w:val="00426753"/>
    <w:rsid w:val="004271D7"/>
    <w:rsid w:val="0043247E"/>
    <w:rsid w:val="00435880"/>
    <w:rsid w:val="004362CF"/>
    <w:rsid w:val="004371BB"/>
    <w:rsid w:val="00437B5A"/>
    <w:rsid w:val="00441DF7"/>
    <w:rsid w:val="00443F13"/>
    <w:rsid w:val="00444909"/>
    <w:rsid w:val="0044777F"/>
    <w:rsid w:val="00450824"/>
    <w:rsid w:val="004521F6"/>
    <w:rsid w:val="00453220"/>
    <w:rsid w:val="00453A1A"/>
    <w:rsid w:val="00457158"/>
    <w:rsid w:val="00457613"/>
    <w:rsid w:val="004604EE"/>
    <w:rsid w:val="00460E1C"/>
    <w:rsid w:val="00464922"/>
    <w:rsid w:val="0046665E"/>
    <w:rsid w:val="00466748"/>
    <w:rsid w:val="00467BD2"/>
    <w:rsid w:val="00467D97"/>
    <w:rsid w:val="00471D66"/>
    <w:rsid w:val="00474166"/>
    <w:rsid w:val="00475E04"/>
    <w:rsid w:val="00477BF8"/>
    <w:rsid w:val="00480159"/>
    <w:rsid w:val="00481934"/>
    <w:rsid w:val="0048304D"/>
    <w:rsid w:val="004834CA"/>
    <w:rsid w:val="00484052"/>
    <w:rsid w:val="00484E9C"/>
    <w:rsid w:val="00486ED8"/>
    <w:rsid w:val="0049196C"/>
    <w:rsid w:val="004A00E8"/>
    <w:rsid w:val="004A515B"/>
    <w:rsid w:val="004A76E1"/>
    <w:rsid w:val="004A7B66"/>
    <w:rsid w:val="004A7C98"/>
    <w:rsid w:val="004B07B6"/>
    <w:rsid w:val="004B1315"/>
    <w:rsid w:val="004B157B"/>
    <w:rsid w:val="004B4C19"/>
    <w:rsid w:val="004B6533"/>
    <w:rsid w:val="004C1E4D"/>
    <w:rsid w:val="004C3624"/>
    <w:rsid w:val="004C3B0F"/>
    <w:rsid w:val="004C5C24"/>
    <w:rsid w:val="004C61AF"/>
    <w:rsid w:val="004D05E6"/>
    <w:rsid w:val="004D146A"/>
    <w:rsid w:val="004D25FD"/>
    <w:rsid w:val="004D35B3"/>
    <w:rsid w:val="004D5BA9"/>
    <w:rsid w:val="004E4386"/>
    <w:rsid w:val="004F2101"/>
    <w:rsid w:val="004F26EA"/>
    <w:rsid w:val="004F63EA"/>
    <w:rsid w:val="004F66CE"/>
    <w:rsid w:val="00500772"/>
    <w:rsid w:val="005014E5"/>
    <w:rsid w:val="005032D0"/>
    <w:rsid w:val="00507B5C"/>
    <w:rsid w:val="00510211"/>
    <w:rsid w:val="00510D7D"/>
    <w:rsid w:val="00510D92"/>
    <w:rsid w:val="00512170"/>
    <w:rsid w:val="00516920"/>
    <w:rsid w:val="00517894"/>
    <w:rsid w:val="00517D18"/>
    <w:rsid w:val="00520722"/>
    <w:rsid w:val="00523D75"/>
    <w:rsid w:val="0052406C"/>
    <w:rsid w:val="005249E8"/>
    <w:rsid w:val="00524C5F"/>
    <w:rsid w:val="00527E04"/>
    <w:rsid w:val="00531068"/>
    <w:rsid w:val="00531388"/>
    <w:rsid w:val="00531A58"/>
    <w:rsid w:val="0053327D"/>
    <w:rsid w:val="00534436"/>
    <w:rsid w:val="00534C07"/>
    <w:rsid w:val="00534C3E"/>
    <w:rsid w:val="005404ED"/>
    <w:rsid w:val="00540DBC"/>
    <w:rsid w:val="00541558"/>
    <w:rsid w:val="00544918"/>
    <w:rsid w:val="0054587B"/>
    <w:rsid w:val="00552174"/>
    <w:rsid w:val="00553303"/>
    <w:rsid w:val="005561A5"/>
    <w:rsid w:val="00556DD3"/>
    <w:rsid w:val="0055788E"/>
    <w:rsid w:val="00557F1E"/>
    <w:rsid w:val="0056269B"/>
    <w:rsid w:val="00563BF3"/>
    <w:rsid w:val="00563E8B"/>
    <w:rsid w:val="0056519F"/>
    <w:rsid w:val="00567343"/>
    <w:rsid w:val="00567652"/>
    <w:rsid w:val="00567835"/>
    <w:rsid w:val="0057053F"/>
    <w:rsid w:val="0057083A"/>
    <w:rsid w:val="00570FD5"/>
    <w:rsid w:val="00571800"/>
    <w:rsid w:val="0057401E"/>
    <w:rsid w:val="005745B6"/>
    <w:rsid w:val="00584C8C"/>
    <w:rsid w:val="00584D81"/>
    <w:rsid w:val="00586075"/>
    <w:rsid w:val="005917E6"/>
    <w:rsid w:val="00592A0D"/>
    <w:rsid w:val="00593A37"/>
    <w:rsid w:val="005968FF"/>
    <w:rsid w:val="005A00D8"/>
    <w:rsid w:val="005A08EA"/>
    <w:rsid w:val="005A261F"/>
    <w:rsid w:val="005A3268"/>
    <w:rsid w:val="005A7B67"/>
    <w:rsid w:val="005B4277"/>
    <w:rsid w:val="005B65D2"/>
    <w:rsid w:val="005B76AE"/>
    <w:rsid w:val="005C4281"/>
    <w:rsid w:val="005C5531"/>
    <w:rsid w:val="005D2C96"/>
    <w:rsid w:val="005D689B"/>
    <w:rsid w:val="005D6952"/>
    <w:rsid w:val="005D7AA9"/>
    <w:rsid w:val="005E256F"/>
    <w:rsid w:val="005E37AA"/>
    <w:rsid w:val="005E38D6"/>
    <w:rsid w:val="005E566C"/>
    <w:rsid w:val="005E6B29"/>
    <w:rsid w:val="005F0B98"/>
    <w:rsid w:val="005F20F5"/>
    <w:rsid w:val="005F264C"/>
    <w:rsid w:val="005F3887"/>
    <w:rsid w:val="005F455B"/>
    <w:rsid w:val="005F5826"/>
    <w:rsid w:val="005F5B6C"/>
    <w:rsid w:val="005F6EE1"/>
    <w:rsid w:val="005F763F"/>
    <w:rsid w:val="005F794A"/>
    <w:rsid w:val="00600362"/>
    <w:rsid w:val="00604BD9"/>
    <w:rsid w:val="0060597F"/>
    <w:rsid w:val="00607A7E"/>
    <w:rsid w:val="0061130E"/>
    <w:rsid w:val="00613484"/>
    <w:rsid w:val="00617004"/>
    <w:rsid w:val="0061770B"/>
    <w:rsid w:val="00621603"/>
    <w:rsid w:val="00624771"/>
    <w:rsid w:val="00626005"/>
    <w:rsid w:val="00626680"/>
    <w:rsid w:val="00627FA2"/>
    <w:rsid w:val="0063315A"/>
    <w:rsid w:val="00634AF3"/>
    <w:rsid w:val="00635D22"/>
    <w:rsid w:val="006365B3"/>
    <w:rsid w:val="00637D38"/>
    <w:rsid w:val="0064018E"/>
    <w:rsid w:val="006421E1"/>
    <w:rsid w:val="00643F21"/>
    <w:rsid w:val="00644776"/>
    <w:rsid w:val="006458B7"/>
    <w:rsid w:val="00645972"/>
    <w:rsid w:val="00647DEF"/>
    <w:rsid w:val="00653197"/>
    <w:rsid w:val="00653836"/>
    <w:rsid w:val="00653ED7"/>
    <w:rsid w:val="00654F5D"/>
    <w:rsid w:val="006578CA"/>
    <w:rsid w:val="0066302C"/>
    <w:rsid w:val="00665026"/>
    <w:rsid w:val="0066654F"/>
    <w:rsid w:val="00666CB7"/>
    <w:rsid w:val="00667E8E"/>
    <w:rsid w:val="0067272E"/>
    <w:rsid w:val="00673A12"/>
    <w:rsid w:val="00675387"/>
    <w:rsid w:val="00676841"/>
    <w:rsid w:val="00676C39"/>
    <w:rsid w:val="0068042A"/>
    <w:rsid w:val="0069053E"/>
    <w:rsid w:val="00694004"/>
    <w:rsid w:val="006B2AE5"/>
    <w:rsid w:val="006B4226"/>
    <w:rsid w:val="006B4B7C"/>
    <w:rsid w:val="006B56D6"/>
    <w:rsid w:val="006B60D3"/>
    <w:rsid w:val="006C44BA"/>
    <w:rsid w:val="006D0D23"/>
    <w:rsid w:val="006D0DA0"/>
    <w:rsid w:val="006D21C5"/>
    <w:rsid w:val="006D3255"/>
    <w:rsid w:val="006E09B3"/>
    <w:rsid w:val="006E43C1"/>
    <w:rsid w:val="006E4EE1"/>
    <w:rsid w:val="006F039E"/>
    <w:rsid w:val="006F2A71"/>
    <w:rsid w:val="006F3A17"/>
    <w:rsid w:val="006F5936"/>
    <w:rsid w:val="006F7232"/>
    <w:rsid w:val="0070080C"/>
    <w:rsid w:val="00704760"/>
    <w:rsid w:val="00705E70"/>
    <w:rsid w:val="007063DC"/>
    <w:rsid w:val="00710CB8"/>
    <w:rsid w:val="007116D9"/>
    <w:rsid w:val="00712083"/>
    <w:rsid w:val="00712500"/>
    <w:rsid w:val="00715673"/>
    <w:rsid w:val="00717C2E"/>
    <w:rsid w:val="007239C0"/>
    <w:rsid w:val="007240B3"/>
    <w:rsid w:val="00725F56"/>
    <w:rsid w:val="00730741"/>
    <w:rsid w:val="00731633"/>
    <w:rsid w:val="007329C8"/>
    <w:rsid w:val="00734133"/>
    <w:rsid w:val="00735FA3"/>
    <w:rsid w:val="00741BBD"/>
    <w:rsid w:val="00744A7F"/>
    <w:rsid w:val="00747E8A"/>
    <w:rsid w:val="00750947"/>
    <w:rsid w:val="007520AB"/>
    <w:rsid w:val="007534E2"/>
    <w:rsid w:val="007538DB"/>
    <w:rsid w:val="0075433B"/>
    <w:rsid w:val="00754852"/>
    <w:rsid w:val="00754B7E"/>
    <w:rsid w:val="00757447"/>
    <w:rsid w:val="0076473C"/>
    <w:rsid w:val="00764A5E"/>
    <w:rsid w:val="007653B2"/>
    <w:rsid w:val="007654DD"/>
    <w:rsid w:val="00765CC6"/>
    <w:rsid w:val="0077007A"/>
    <w:rsid w:val="00771D57"/>
    <w:rsid w:val="00772BB9"/>
    <w:rsid w:val="00776CD1"/>
    <w:rsid w:val="007778C5"/>
    <w:rsid w:val="0078098C"/>
    <w:rsid w:val="007810A3"/>
    <w:rsid w:val="00782002"/>
    <w:rsid w:val="0078259D"/>
    <w:rsid w:val="007853F1"/>
    <w:rsid w:val="00787910"/>
    <w:rsid w:val="00790265"/>
    <w:rsid w:val="00790CD5"/>
    <w:rsid w:val="00791ED8"/>
    <w:rsid w:val="0079212F"/>
    <w:rsid w:val="00793407"/>
    <w:rsid w:val="00794650"/>
    <w:rsid w:val="00794A57"/>
    <w:rsid w:val="00794C68"/>
    <w:rsid w:val="00794E44"/>
    <w:rsid w:val="007958F6"/>
    <w:rsid w:val="00796628"/>
    <w:rsid w:val="007968E4"/>
    <w:rsid w:val="00796DD8"/>
    <w:rsid w:val="0079713A"/>
    <w:rsid w:val="007976D9"/>
    <w:rsid w:val="007A0749"/>
    <w:rsid w:val="007A6D03"/>
    <w:rsid w:val="007B0350"/>
    <w:rsid w:val="007C140D"/>
    <w:rsid w:val="007C14A3"/>
    <w:rsid w:val="007C36BD"/>
    <w:rsid w:val="007C5C93"/>
    <w:rsid w:val="007C77B3"/>
    <w:rsid w:val="007C792B"/>
    <w:rsid w:val="007D37E2"/>
    <w:rsid w:val="007D46D2"/>
    <w:rsid w:val="007E1580"/>
    <w:rsid w:val="007E2629"/>
    <w:rsid w:val="007E2EAE"/>
    <w:rsid w:val="007E4D25"/>
    <w:rsid w:val="007F04DC"/>
    <w:rsid w:val="007F6646"/>
    <w:rsid w:val="00802613"/>
    <w:rsid w:val="008049FE"/>
    <w:rsid w:val="008052E7"/>
    <w:rsid w:val="008064F2"/>
    <w:rsid w:val="00812404"/>
    <w:rsid w:val="00812E3A"/>
    <w:rsid w:val="00817BCE"/>
    <w:rsid w:val="00823A40"/>
    <w:rsid w:val="00823EAB"/>
    <w:rsid w:val="00824435"/>
    <w:rsid w:val="00824FE5"/>
    <w:rsid w:val="0082559B"/>
    <w:rsid w:val="0082632B"/>
    <w:rsid w:val="00832DA4"/>
    <w:rsid w:val="008342EF"/>
    <w:rsid w:val="00836195"/>
    <w:rsid w:val="008365D1"/>
    <w:rsid w:val="00836B48"/>
    <w:rsid w:val="00840259"/>
    <w:rsid w:val="00842252"/>
    <w:rsid w:val="008423D5"/>
    <w:rsid w:val="00843B27"/>
    <w:rsid w:val="00843ED6"/>
    <w:rsid w:val="00845B75"/>
    <w:rsid w:val="008465BC"/>
    <w:rsid w:val="00850245"/>
    <w:rsid w:val="008513C2"/>
    <w:rsid w:val="0085567E"/>
    <w:rsid w:val="00860CBA"/>
    <w:rsid w:val="00862148"/>
    <w:rsid w:val="00862F4A"/>
    <w:rsid w:val="00865773"/>
    <w:rsid w:val="00865A56"/>
    <w:rsid w:val="00865C07"/>
    <w:rsid w:val="0087049C"/>
    <w:rsid w:val="008707C4"/>
    <w:rsid w:val="00871022"/>
    <w:rsid w:val="00871707"/>
    <w:rsid w:val="00871E56"/>
    <w:rsid w:val="0087437B"/>
    <w:rsid w:val="00874E80"/>
    <w:rsid w:val="00877368"/>
    <w:rsid w:val="0088020A"/>
    <w:rsid w:val="008840D7"/>
    <w:rsid w:val="00884860"/>
    <w:rsid w:val="0088718C"/>
    <w:rsid w:val="00887E19"/>
    <w:rsid w:val="008A0FCA"/>
    <w:rsid w:val="008A1F86"/>
    <w:rsid w:val="008A3A41"/>
    <w:rsid w:val="008A4951"/>
    <w:rsid w:val="008B0344"/>
    <w:rsid w:val="008B0410"/>
    <w:rsid w:val="008B0BD8"/>
    <w:rsid w:val="008B442C"/>
    <w:rsid w:val="008B45C8"/>
    <w:rsid w:val="008B6261"/>
    <w:rsid w:val="008B733F"/>
    <w:rsid w:val="008B76C8"/>
    <w:rsid w:val="008C31B1"/>
    <w:rsid w:val="008C3D41"/>
    <w:rsid w:val="008C52D8"/>
    <w:rsid w:val="008C66AB"/>
    <w:rsid w:val="008D4748"/>
    <w:rsid w:val="008D528C"/>
    <w:rsid w:val="008D774E"/>
    <w:rsid w:val="008D7BC8"/>
    <w:rsid w:val="008E2E08"/>
    <w:rsid w:val="008E597B"/>
    <w:rsid w:val="008F35BC"/>
    <w:rsid w:val="008F4FA0"/>
    <w:rsid w:val="008F7B07"/>
    <w:rsid w:val="008F7B58"/>
    <w:rsid w:val="00901DA5"/>
    <w:rsid w:val="00902B6A"/>
    <w:rsid w:val="00904517"/>
    <w:rsid w:val="009048BD"/>
    <w:rsid w:val="00907973"/>
    <w:rsid w:val="009108D1"/>
    <w:rsid w:val="00912AB3"/>
    <w:rsid w:val="00915A67"/>
    <w:rsid w:val="00916BEE"/>
    <w:rsid w:val="00917C8D"/>
    <w:rsid w:val="009215A1"/>
    <w:rsid w:val="00921ED2"/>
    <w:rsid w:val="00924D6B"/>
    <w:rsid w:val="00925B0A"/>
    <w:rsid w:val="009261CE"/>
    <w:rsid w:val="00926E41"/>
    <w:rsid w:val="009278F9"/>
    <w:rsid w:val="00927A82"/>
    <w:rsid w:val="0093295B"/>
    <w:rsid w:val="00932E80"/>
    <w:rsid w:val="009340DD"/>
    <w:rsid w:val="0093621B"/>
    <w:rsid w:val="00936D79"/>
    <w:rsid w:val="0093769E"/>
    <w:rsid w:val="00937797"/>
    <w:rsid w:val="00940B87"/>
    <w:rsid w:val="009417F3"/>
    <w:rsid w:val="00943403"/>
    <w:rsid w:val="00944142"/>
    <w:rsid w:val="00947F55"/>
    <w:rsid w:val="00951A78"/>
    <w:rsid w:val="0095399A"/>
    <w:rsid w:val="00954DF0"/>
    <w:rsid w:val="0095550B"/>
    <w:rsid w:val="009555AD"/>
    <w:rsid w:val="00956ADC"/>
    <w:rsid w:val="009658A8"/>
    <w:rsid w:val="00966B06"/>
    <w:rsid w:val="00972168"/>
    <w:rsid w:val="009775B0"/>
    <w:rsid w:val="00980966"/>
    <w:rsid w:val="00986122"/>
    <w:rsid w:val="00990A74"/>
    <w:rsid w:val="009A179B"/>
    <w:rsid w:val="009A58BA"/>
    <w:rsid w:val="009A7AE9"/>
    <w:rsid w:val="009B0FE6"/>
    <w:rsid w:val="009B3873"/>
    <w:rsid w:val="009B5DA4"/>
    <w:rsid w:val="009B60D6"/>
    <w:rsid w:val="009C1C52"/>
    <w:rsid w:val="009C21DB"/>
    <w:rsid w:val="009C23BD"/>
    <w:rsid w:val="009C7EBC"/>
    <w:rsid w:val="009D0ABC"/>
    <w:rsid w:val="009D2CBC"/>
    <w:rsid w:val="009D31E4"/>
    <w:rsid w:val="009D3C39"/>
    <w:rsid w:val="009D4A97"/>
    <w:rsid w:val="009D6392"/>
    <w:rsid w:val="009E411A"/>
    <w:rsid w:val="009F1461"/>
    <w:rsid w:val="009F2371"/>
    <w:rsid w:val="009F448B"/>
    <w:rsid w:val="009F5AC8"/>
    <w:rsid w:val="00A00EB7"/>
    <w:rsid w:val="00A02384"/>
    <w:rsid w:val="00A02DCF"/>
    <w:rsid w:val="00A05173"/>
    <w:rsid w:val="00A14B34"/>
    <w:rsid w:val="00A163AC"/>
    <w:rsid w:val="00A16C0A"/>
    <w:rsid w:val="00A20023"/>
    <w:rsid w:val="00A20D2E"/>
    <w:rsid w:val="00A240A5"/>
    <w:rsid w:val="00A243BE"/>
    <w:rsid w:val="00A26DFE"/>
    <w:rsid w:val="00A279EE"/>
    <w:rsid w:val="00A349F3"/>
    <w:rsid w:val="00A4334E"/>
    <w:rsid w:val="00A43FB6"/>
    <w:rsid w:val="00A47564"/>
    <w:rsid w:val="00A476AD"/>
    <w:rsid w:val="00A47B42"/>
    <w:rsid w:val="00A51240"/>
    <w:rsid w:val="00A52433"/>
    <w:rsid w:val="00A5412C"/>
    <w:rsid w:val="00A55224"/>
    <w:rsid w:val="00A579A4"/>
    <w:rsid w:val="00A61E50"/>
    <w:rsid w:val="00A62612"/>
    <w:rsid w:val="00A6395E"/>
    <w:rsid w:val="00A70795"/>
    <w:rsid w:val="00A8354E"/>
    <w:rsid w:val="00A856EC"/>
    <w:rsid w:val="00A87541"/>
    <w:rsid w:val="00A90E4B"/>
    <w:rsid w:val="00A923A0"/>
    <w:rsid w:val="00A92600"/>
    <w:rsid w:val="00A94B75"/>
    <w:rsid w:val="00A96CC1"/>
    <w:rsid w:val="00AA09FC"/>
    <w:rsid w:val="00AA138A"/>
    <w:rsid w:val="00AA2B01"/>
    <w:rsid w:val="00AA4147"/>
    <w:rsid w:val="00AB1852"/>
    <w:rsid w:val="00AB1F98"/>
    <w:rsid w:val="00AB2709"/>
    <w:rsid w:val="00AB274E"/>
    <w:rsid w:val="00AB556C"/>
    <w:rsid w:val="00AB5619"/>
    <w:rsid w:val="00AC169F"/>
    <w:rsid w:val="00AC1A0F"/>
    <w:rsid w:val="00AC6163"/>
    <w:rsid w:val="00AC7C50"/>
    <w:rsid w:val="00AD0956"/>
    <w:rsid w:val="00AD1065"/>
    <w:rsid w:val="00AE0BED"/>
    <w:rsid w:val="00AE5A6D"/>
    <w:rsid w:val="00AE6BF7"/>
    <w:rsid w:val="00AF7389"/>
    <w:rsid w:val="00B00D9C"/>
    <w:rsid w:val="00B0530C"/>
    <w:rsid w:val="00B068BE"/>
    <w:rsid w:val="00B06A70"/>
    <w:rsid w:val="00B07E28"/>
    <w:rsid w:val="00B153B6"/>
    <w:rsid w:val="00B16318"/>
    <w:rsid w:val="00B17F91"/>
    <w:rsid w:val="00B20A57"/>
    <w:rsid w:val="00B215A1"/>
    <w:rsid w:val="00B218D9"/>
    <w:rsid w:val="00B224BA"/>
    <w:rsid w:val="00B244B5"/>
    <w:rsid w:val="00B25EE5"/>
    <w:rsid w:val="00B271A4"/>
    <w:rsid w:val="00B30F17"/>
    <w:rsid w:val="00B32687"/>
    <w:rsid w:val="00B335B9"/>
    <w:rsid w:val="00B3382A"/>
    <w:rsid w:val="00B34911"/>
    <w:rsid w:val="00B353C1"/>
    <w:rsid w:val="00B356EE"/>
    <w:rsid w:val="00B400A9"/>
    <w:rsid w:val="00B40D1C"/>
    <w:rsid w:val="00B4253E"/>
    <w:rsid w:val="00B43787"/>
    <w:rsid w:val="00B45383"/>
    <w:rsid w:val="00B45C01"/>
    <w:rsid w:val="00B465EF"/>
    <w:rsid w:val="00B51208"/>
    <w:rsid w:val="00B52912"/>
    <w:rsid w:val="00B5574D"/>
    <w:rsid w:val="00B57B89"/>
    <w:rsid w:val="00B60A76"/>
    <w:rsid w:val="00B62960"/>
    <w:rsid w:val="00B62B53"/>
    <w:rsid w:val="00B6471C"/>
    <w:rsid w:val="00B654FC"/>
    <w:rsid w:val="00B74D9A"/>
    <w:rsid w:val="00B74E7D"/>
    <w:rsid w:val="00B7522F"/>
    <w:rsid w:val="00B75CC6"/>
    <w:rsid w:val="00B80507"/>
    <w:rsid w:val="00B8236D"/>
    <w:rsid w:val="00B82FB1"/>
    <w:rsid w:val="00B83844"/>
    <w:rsid w:val="00B85F75"/>
    <w:rsid w:val="00B87224"/>
    <w:rsid w:val="00B8766B"/>
    <w:rsid w:val="00B90F20"/>
    <w:rsid w:val="00B92B9B"/>
    <w:rsid w:val="00B94E37"/>
    <w:rsid w:val="00B961AB"/>
    <w:rsid w:val="00BA21DB"/>
    <w:rsid w:val="00BA7175"/>
    <w:rsid w:val="00BB1013"/>
    <w:rsid w:val="00BB1232"/>
    <w:rsid w:val="00BB17D1"/>
    <w:rsid w:val="00BB1E8B"/>
    <w:rsid w:val="00BB30EE"/>
    <w:rsid w:val="00BB36D7"/>
    <w:rsid w:val="00BB39EF"/>
    <w:rsid w:val="00BB400F"/>
    <w:rsid w:val="00BB60E0"/>
    <w:rsid w:val="00BB7F2B"/>
    <w:rsid w:val="00BD2024"/>
    <w:rsid w:val="00BD3B53"/>
    <w:rsid w:val="00BD6C80"/>
    <w:rsid w:val="00BD7390"/>
    <w:rsid w:val="00BE0046"/>
    <w:rsid w:val="00BE12D2"/>
    <w:rsid w:val="00BF1DC1"/>
    <w:rsid w:val="00BF4BE0"/>
    <w:rsid w:val="00BF4ECF"/>
    <w:rsid w:val="00C002BC"/>
    <w:rsid w:val="00C01D33"/>
    <w:rsid w:val="00C06322"/>
    <w:rsid w:val="00C11B5A"/>
    <w:rsid w:val="00C1311D"/>
    <w:rsid w:val="00C14724"/>
    <w:rsid w:val="00C14D05"/>
    <w:rsid w:val="00C17302"/>
    <w:rsid w:val="00C22473"/>
    <w:rsid w:val="00C24A80"/>
    <w:rsid w:val="00C25E78"/>
    <w:rsid w:val="00C30CD4"/>
    <w:rsid w:val="00C3469C"/>
    <w:rsid w:val="00C34C67"/>
    <w:rsid w:val="00C36D95"/>
    <w:rsid w:val="00C41464"/>
    <w:rsid w:val="00C423A2"/>
    <w:rsid w:val="00C432BC"/>
    <w:rsid w:val="00C43C0D"/>
    <w:rsid w:val="00C451D7"/>
    <w:rsid w:val="00C5081C"/>
    <w:rsid w:val="00C51011"/>
    <w:rsid w:val="00C5157B"/>
    <w:rsid w:val="00C54566"/>
    <w:rsid w:val="00C57490"/>
    <w:rsid w:val="00C57CEF"/>
    <w:rsid w:val="00C63591"/>
    <w:rsid w:val="00C72C5F"/>
    <w:rsid w:val="00C734BD"/>
    <w:rsid w:val="00C7559A"/>
    <w:rsid w:val="00C80F30"/>
    <w:rsid w:val="00C815E7"/>
    <w:rsid w:val="00C8569B"/>
    <w:rsid w:val="00C87B83"/>
    <w:rsid w:val="00C903DE"/>
    <w:rsid w:val="00C90D5E"/>
    <w:rsid w:val="00C91434"/>
    <w:rsid w:val="00C92E29"/>
    <w:rsid w:val="00C9585F"/>
    <w:rsid w:val="00C97CA1"/>
    <w:rsid w:val="00CA0C90"/>
    <w:rsid w:val="00CA3558"/>
    <w:rsid w:val="00CA3CDB"/>
    <w:rsid w:val="00CA60F3"/>
    <w:rsid w:val="00CB303F"/>
    <w:rsid w:val="00CB4D3B"/>
    <w:rsid w:val="00CC0878"/>
    <w:rsid w:val="00CC1DED"/>
    <w:rsid w:val="00CC2241"/>
    <w:rsid w:val="00CC27E5"/>
    <w:rsid w:val="00CC2D52"/>
    <w:rsid w:val="00CC394D"/>
    <w:rsid w:val="00CC4310"/>
    <w:rsid w:val="00CC45CA"/>
    <w:rsid w:val="00CC6A0C"/>
    <w:rsid w:val="00CD3F69"/>
    <w:rsid w:val="00CD432D"/>
    <w:rsid w:val="00CF057E"/>
    <w:rsid w:val="00CF2EA4"/>
    <w:rsid w:val="00CF3B50"/>
    <w:rsid w:val="00CF7657"/>
    <w:rsid w:val="00D01DFA"/>
    <w:rsid w:val="00D022E5"/>
    <w:rsid w:val="00D04555"/>
    <w:rsid w:val="00D05B2B"/>
    <w:rsid w:val="00D12F2D"/>
    <w:rsid w:val="00D16923"/>
    <w:rsid w:val="00D17B7B"/>
    <w:rsid w:val="00D20426"/>
    <w:rsid w:val="00D2054A"/>
    <w:rsid w:val="00D21513"/>
    <w:rsid w:val="00D22A17"/>
    <w:rsid w:val="00D23192"/>
    <w:rsid w:val="00D25AC2"/>
    <w:rsid w:val="00D25F0A"/>
    <w:rsid w:val="00D27AF5"/>
    <w:rsid w:val="00D35248"/>
    <w:rsid w:val="00D36CC8"/>
    <w:rsid w:val="00D36CE5"/>
    <w:rsid w:val="00D41EDD"/>
    <w:rsid w:val="00D43842"/>
    <w:rsid w:val="00D43EF3"/>
    <w:rsid w:val="00D47111"/>
    <w:rsid w:val="00D47B12"/>
    <w:rsid w:val="00D508C3"/>
    <w:rsid w:val="00D51D6C"/>
    <w:rsid w:val="00D54439"/>
    <w:rsid w:val="00D5543D"/>
    <w:rsid w:val="00D55DB7"/>
    <w:rsid w:val="00D56D51"/>
    <w:rsid w:val="00D64D6D"/>
    <w:rsid w:val="00D64FDD"/>
    <w:rsid w:val="00D6681E"/>
    <w:rsid w:val="00D66AD9"/>
    <w:rsid w:val="00D72528"/>
    <w:rsid w:val="00D73DED"/>
    <w:rsid w:val="00D768A4"/>
    <w:rsid w:val="00D77DCD"/>
    <w:rsid w:val="00D818C2"/>
    <w:rsid w:val="00D8430D"/>
    <w:rsid w:val="00D8703C"/>
    <w:rsid w:val="00D901B1"/>
    <w:rsid w:val="00DA101C"/>
    <w:rsid w:val="00DA13CF"/>
    <w:rsid w:val="00DA565C"/>
    <w:rsid w:val="00DA5896"/>
    <w:rsid w:val="00DA5BC1"/>
    <w:rsid w:val="00DB3283"/>
    <w:rsid w:val="00DB37F9"/>
    <w:rsid w:val="00DC1579"/>
    <w:rsid w:val="00DC25FC"/>
    <w:rsid w:val="00DC3B78"/>
    <w:rsid w:val="00DD00C9"/>
    <w:rsid w:val="00DD2441"/>
    <w:rsid w:val="00DD46BC"/>
    <w:rsid w:val="00DD541C"/>
    <w:rsid w:val="00DD724B"/>
    <w:rsid w:val="00DE0B84"/>
    <w:rsid w:val="00DF0641"/>
    <w:rsid w:val="00DF07E1"/>
    <w:rsid w:val="00DF30B5"/>
    <w:rsid w:val="00DF3299"/>
    <w:rsid w:val="00DF55F8"/>
    <w:rsid w:val="00E005F4"/>
    <w:rsid w:val="00E02F72"/>
    <w:rsid w:val="00E031BF"/>
    <w:rsid w:val="00E0529B"/>
    <w:rsid w:val="00E12B3F"/>
    <w:rsid w:val="00E12B6D"/>
    <w:rsid w:val="00E1423C"/>
    <w:rsid w:val="00E15A39"/>
    <w:rsid w:val="00E15B1A"/>
    <w:rsid w:val="00E16C48"/>
    <w:rsid w:val="00E17FEF"/>
    <w:rsid w:val="00E203A6"/>
    <w:rsid w:val="00E21322"/>
    <w:rsid w:val="00E22AF0"/>
    <w:rsid w:val="00E23626"/>
    <w:rsid w:val="00E247F6"/>
    <w:rsid w:val="00E24907"/>
    <w:rsid w:val="00E267D6"/>
    <w:rsid w:val="00E30E37"/>
    <w:rsid w:val="00E31463"/>
    <w:rsid w:val="00E33E52"/>
    <w:rsid w:val="00E34B12"/>
    <w:rsid w:val="00E37B5C"/>
    <w:rsid w:val="00E426E7"/>
    <w:rsid w:val="00E42750"/>
    <w:rsid w:val="00E43AE6"/>
    <w:rsid w:val="00E47EC6"/>
    <w:rsid w:val="00E505E8"/>
    <w:rsid w:val="00E556CB"/>
    <w:rsid w:val="00E56DB6"/>
    <w:rsid w:val="00E57D81"/>
    <w:rsid w:val="00E60D4B"/>
    <w:rsid w:val="00E646BF"/>
    <w:rsid w:val="00E7393F"/>
    <w:rsid w:val="00E75850"/>
    <w:rsid w:val="00E76584"/>
    <w:rsid w:val="00E8182A"/>
    <w:rsid w:val="00E8434F"/>
    <w:rsid w:val="00E92940"/>
    <w:rsid w:val="00E93852"/>
    <w:rsid w:val="00E953D9"/>
    <w:rsid w:val="00E96BB8"/>
    <w:rsid w:val="00EA031C"/>
    <w:rsid w:val="00EA49F7"/>
    <w:rsid w:val="00EA65D3"/>
    <w:rsid w:val="00EB214B"/>
    <w:rsid w:val="00EB2420"/>
    <w:rsid w:val="00EB36FA"/>
    <w:rsid w:val="00EB5CF0"/>
    <w:rsid w:val="00EC1609"/>
    <w:rsid w:val="00EC51A2"/>
    <w:rsid w:val="00EC574B"/>
    <w:rsid w:val="00EC64C0"/>
    <w:rsid w:val="00EC71EE"/>
    <w:rsid w:val="00EC7963"/>
    <w:rsid w:val="00EC7C2E"/>
    <w:rsid w:val="00ED12C0"/>
    <w:rsid w:val="00ED3989"/>
    <w:rsid w:val="00ED44B0"/>
    <w:rsid w:val="00ED4DE5"/>
    <w:rsid w:val="00ED5714"/>
    <w:rsid w:val="00ED6521"/>
    <w:rsid w:val="00ED764E"/>
    <w:rsid w:val="00ED7A4B"/>
    <w:rsid w:val="00EE0E68"/>
    <w:rsid w:val="00EE12AA"/>
    <w:rsid w:val="00EE236C"/>
    <w:rsid w:val="00EE2A11"/>
    <w:rsid w:val="00EE2AD9"/>
    <w:rsid w:val="00EE39D7"/>
    <w:rsid w:val="00EE778E"/>
    <w:rsid w:val="00EF036A"/>
    <w:rsid w:val="00EF1DA5"/>
    <w:rsid w:val="00EF3114"/>
    <w:rsid w:val="00EF580D"/>
    <w:rsid w:val="00EF7034"/>
    <w:rsid w:val="00EF718A"/>
    <w:rsid w:val="00F07637"/>
    <w:rsid w:val="00F12325"/>
    <w:rsid w:val="00F14D1A"/>
    <w:rsid w:val="00F153C7"/>
    <w:rsid w:val="00F16080"/>
    <w:rsid w:val="00F200DA"/>
    <w:rsid w:val="00F20825"/>
    <w:rsid w:val="00F26341"/>
    <w:rsid w:val="00F30200"/>
    <w:rsid w:val="00F31D54"/>
    <w:rsid w:val="00F35861"/>
    <w:rsid w:val="00F35D22"/>
    <w:rsid w:val="00F35FD3"/>
    <w:rsid w:val="00F373C6"/>
    <w:rsid w:val="00F40AA0"/>
    <w:rsid w:val="00F44B3C"/>
    <w:rsid w:val="00F46A70"/>
    <w:rsid w:val="00F52B13"/>
    <w:rsid w:val="00F60148"/>
    <w:rsid w:val="00F608D8"/>
    <w:rsid w:val="00F6149C"/>
    <w:rsid w:val="00F61F4B"/>
    <w:rsid w:val="00F674AF"/>
    <w:rsid w:val="00F714FA"/>
    <w:rsid w:val="00F72A88"/>
    <w:rsid w:val="00F77F05"/>
    <w:rsid w:val="00F866B4"/>
    <w:rsid w:val="00F9243E"/>
    <w:rsid w:val="00F96730"/>
    <w:rsid w:val="00FA2293"/>
    <w:rsid w:val="00FA4E7F"/>
    <w:rsid w:val="00FA6F94"/>
    <w:rsid w:val="00FB0302"/>
    <w:rsid w:val="00FB3C53"/>
    <w:rsid w:val="00FB5F2E"/>
    <w:rsid w:val="00FB70DC"/>
    <w:rsid w:val="00FB7131"/>
    <w:rsid w:val="00FB7D09"/>
    <w:rsid w:val="00FC5AF4"/>
    <w:rsid w:val="00FC5FD8"/>
    <w:rsid w:val="00FC6E40"/>
    <w:rsid w:val="00FC7D00"/>
    <w:rsid w:val="00FE051F"/>
    <w:rsid w:val="00FE1AC7"/>
    <w:rsid w:val="00FE778C"/>
    <w:rsid w:val="00FF0B9C"/>
    <w:rsid w:val="00FF3390"/>
    <w:rsid w:val="00FF45A7"/>
    <w:rsid w:val="00FF5578"/>
    <w:rsid w:val="01B71147"/>
    <w:rsid w:val="025260D3"/>
    <w:rsid w:val="03DB5B0A"/>
    <w:rsid w:val="03F11C32"/>
    <w:rsid w:val="03F9217A"/>
    <w:rsid w:val="04355F86"/>
    <w:rsid w:val="05B564F3"/>
    <w:rsid w:val="05C14372"/>
    <w:rsid w:val="06C07A46"/>
    <w:rsid w:val="06C84210"/>
    <w:rsid w:val="06FD3DDC"/>
    <w:rsid w:val="073D3672"/>
    <w:rsid w:val="08F013B5"/>
    <w:rsid w:val="0CD345CA"/>
    <w:rsid w:val="0D8D7829"/>
    <w:rsid w:val="0F4210B7"/>
    <w:rsid w:val="0FC00000"/>
    <w:rsid w:val="10074FF3"/>
    <w:rsid w:val="107A7324"/>
    <w:rsid w:val="108C21A8"/>
    <w:rsid w:val="11181D95"/>
    <w:rsid w:val="11A27605"/>
    <w:rsid w:val="11F84D47"/>
    <w:rsid w:val="12406085"/>
    <w:rsid w:val="13C506DD"/>
    <w:rsid w:val="13F2267C"/>
    <w:rsid w:val="14C22F61"/>
    <w:rsid w:val="16105F47"/>
    <w:rsid w:val="1703785A"/>
    <w:rsid w:val="18944C85"/>
    <w:rsid w:val="1AEA7636"/>
    <w:rsid w:val="1B793716"/>
    <w:rsid w:val="1BDA5FED"/>
    <w:rsid w:val="1BE0372A"/>
    <w:rsid w:val="1CB22D3B"/>
    <w:rsid w:val="1CC161ED"/>
    <w:rsid w:val="1DBB3A11"/>
    <w:rsid w:val="1EBA3929"/>
    <w:rsid w:val="1FA871F0"/>
    <w:rsid w:val="20150C7D"/>
    <w:rsid w:val="20405B3E"/>
    <w:rsid w:val="20983367"/>
    <w:rsid w:val="20E03FF2"/>
    <w:rsid w:val="20F2514B"/>
    <w:rsid w:val="21494A03"/>
    <w:rsid w:val="221B39E9"/>
    <w:rsid w:val="22A44D46"/>
    <w:rsid w:val="23CC7F5B"/>
    <w:rsid w:val="249F573A"/>
    <w:rsid w:val="25075FFB"/>
    <w:rsid w:val="253D60D8"/>
    <w:rsid w:val="258B70CB"/>
    <w:rsid w:val="269B6DE2"/>
    <w:rsid w:val="26C55C17"/>
    <w:rsid w:val="28976736"/>
    <w:rsid w:val="28ED2B9A"/>
    <w:rsid w:val="295D729E"/>
    <w:rsid w:val="29884733"/>
    <w:rsid w:val="2A112249"/>
    <w:rsid w:val="2DCB5FAC"/>
    <w:rsid w:val="2E4F2177"/>
    <w:rsid w:val="321124AD"/>
    <w:rsid w:val="32931F82"/>
    <w:rsid w:val="32F733A7"/>
    <w:rsid w:val="345B7FBD"/>
    <w:rsid w:val="34965153"/>
    <w:rsid w:val="35187470"/>
    <w:rsid w:val="3531039C"/>
    <w:rsid w:val="35BE665A"/>
    <w:rsid w:val="35D11127"/>
    <w:rsid w:val="360F5030"/>
    <w:rsid w:val="36F010DE"/>
    <w:rsid w:val="36FD25ED"/>
    <w:rsid w:val="37385BD0"/>
    <w:rsid w:val="38AA1430"/>
    <w:rsid w:val="38EB1732"/>
    <w:rsid w:val="39164781"/>
    <w:rsid w:val="397A6507"/>
    <w:rsid w:val="39921977"/>
    <w:rsid w:val="3A6A1AD4"/>
    <w:rsid w:val="3A995B3F"/>
    <w:rsid w:val="3AFC00EE"/>
    <w:rsid w:val="3B976A87"/>
    <w:rsid w:val="3C773A67"/>
    <w:rsid w:val="3E395B0C"/>
    <w:rsid w:val="3E690EFA"/>
    <w:rsid w:val="3E946E66"/>
    <w:rsid w:val="3EC94364"/>
    <w:rsid w:val="3F823162"/>
    <w:rsid w:val="3FD23610"/>
    <w:rsid w:val="40010A93"/>
    <w:rsid w:val="42BC2FBE"/>
    <w:rsid w:val="44742CA9"/>
    <w:rsid w:val="448B472B"/>
    <w:rsid w:val="460C08D1"/>
    <w:rsid w:val="4788401D"/>
    <w:rsid w:val="48434B11"/>
    <w:rsid w:val="4896297B"/>
    <w:rsid w:val="48B36A3F"/>
    <w:rsid w:val="4906702A"/>
    <w:rsid w:val="4908647C"/>
    <w:rsid w:val="491F3D1B"/>
    <w:rsid w:val="492A30D4"/>
    <w:rsid w:val="499222AC"/>
    <w:rsid w:val="4AD7281F"/>
    <w:rsid w:val="4B1D01E3"/>
    <w:rsid w:val="4D6A10ED"/>
    <w:rsid w:val="4D75797B"/>
    <w:rsid w:val="4DD42359"/>
    <w:rsid w:val="4E125FF9"/>
    <w:rsid w:val="4E9538C3"/>
    <w:rsid w:val="4EBF7AAA"/>
    <w:rsid w:val="4ED66C85"/>
    <w:rsid w:val="50606008"/>
    <w:rsid w:val="50DF6AED"/>
    <w:rsid w:val="515E05A0"/>
    <w:rsid w:val="51D661FD"/>
    <w:rsid w:val="5210644D"/>
    <w:rsid w:val="526A6160"/>
    <w:rsid w:val="52985912"/>
    <w:rsid w:val="54A740F5"/>
    <w:rsid w:val="55B73947"/>
    <w:rsid w:val="56B33153"/>
    <w:rsid w:val="56C14901"/>
    <w:rsid w:val="57661368"/>
    <w:rsid w:val="57CC6A8D"/>
    <w:rsid w:val="599D046A"/>
    <w:rsid w:val="59D522F0"/>
    <w:rsid w:val="5B4346E3"/>
    <w:rsid w:val="5C674E53"/>
    <w:rsid w:val="5DE11DB0"/>
    <w:rsid w:val="5E520165"/>
    <w:rsid w:val="5E5D7567"/>
    <w:rsid w:val="5E9F71FF"/>
    <w:rsid w:val="5EDD0181"/>
    <w:rsid w:val="5FA97E40"/>
    <w:rsid w:val="5FB81068"/>
    <w:rsid w:val="602952E9"/>
    <w:rsid w:val="614435F6"/>
    <w:rsid w:val="62431D25"/>
    <w:rsid w:val="631E4253"/>
    <w:rsid w:val="63827812"/>
    <w:rsid w:val="638D19EE"/>
    <w:rsid w:val="641A130C"/>
    <w:rsid w:val="642A183C"/>
    <w:rsid w:val="652644C6"/>
    <w:rsid w:val="658A6463"/>
    <w:rsid w:val="659118B3"/>
    <w:rsid w:val="67085F89"/>
    <w:rsid w:val="676817B7"/>
    <w:rsid w:val="681E3934"/>
    <w:rsid w:val="68793721"/>
    <w:rsid w:val="6897394B"/>
    <w:rsid w:val="68F21FBA"/>
    <w:rsid w:val="69561522"/>
    <w:rsid w:val="69D71579"/>
    <w:rsid w:val="6A0E6EBA"/>
    <w:rsid w:val="6A3539B3"/>
    <w:rsid w:val="6B594FD7"/>
    <w:rsid w:val="6BE0395B"/>
    <w:rsid w:val="6C2B3FD0"/>
    <w:rsid w:val="6D472ACD"/>
    <w:rsid w:val="6D4C41F5"/>
    <w:rsid w:val="6E3336F6"/>
    <w:rsid w:val="6EA75ABC"/>
    <w:rsid w:val="700E66A8"/>
    <w:rsid w:val="702E23C7"/>
    <w:rsid w:val="706305D2"/>
    <w:rsid w:val="70D06009"/>
    <w:rsid w:val="712C2190"/>
    <w:rsid w:val="72574999"/>
    <w:rsid w:val="72895FDA"/>
    <w:rsid w:val="75761E82"/>
    <w:rsid w:val="761E6E1B"/>
    <w:rsid w:val="76C816F9"/>
    <w:rsid w:val="76CE4F60"/>
    <w:rsid w:val="779C7E96"/>
    <w:rsid w:val="77A10067"/>
    <w:rsid w:val="78107A00"/>
    <w:rsid w:val="79066DAE"/>
    <w:rsid w:val="7922650F"/>
    <w:rsid w:val="79684D0E"/>
    <w:rsid w:val="79737577"/>
    <w:rsid w:val="79E72A4A"/>
    <w:rsid w:val="7A2A2B9F"/>
    <w:rsid w:val="7A556362"/>
    <w:rsid w:val="7A6879A0"/>
    <w:rsid w:val="7B735335"/>
    <w:rsid w:val="7D245BFB"/>
    <w:rsid w:val="7E9E2E0E"/>
    <w:rsid w:val="7F236DAD"/>
    <w:rsid w:val="7F364DF4"/>
    <w:rsid w:val="7F8B4E03"/>
    <w:rsid w:val="7FA2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9"/>
    <w:pPr>
      <w:keepNext/>
      <w:keepLines/>
      <w:spacing w:line="408" w:lineRule="auto"/>
      <w:outlineLvl w:val="1"/>
    </w:pPr>
    <w:rPr>
      <w:rFonts w:ascii="Arial" w:hAnsi="Arial" w:eastAsia="黑体"/>
      <w:b/>
      <w:bCs/>
      <w:kern w:val="0"/>
      <w:sz w:val="32"/>
      <w:szCs w:val="32"/>
    </w:rPr>
  </w:style>
  <w:style w:type="paragraph" w:styleId="5">
    <w:name w:val="heading 3"/>
    <w:basedOn w:val="1"/>
    <w:next w:val="1"/>
    <w:link w:val="37"/>
    <w:qFormat/>
    <w:uiPriority w:val="99"/>
    <w:pPr>
      <w:keepNext/>
      <w:keepLines/>
      <w:spacing w:line="360" w:lineRule="auto"/>
      <w:outlineLvl w:val="2"/>
    </w:pPr>
    <w:rPr>
      <w:b/>
      <w:bCs/>
      <w:kern w:val="0"/>
      <w:sz w:val="24"/>
      <w:szCs w:val="24"/>
    </w:rPr>
  </w:style>
  <w:style w:type="paragraph" w:styleId="6">
    <w:name w:val="heading 4"/>
    <w:basedOn w:val="1"/>
    <w:next w:val="1"/>
    <w:link w:val="38"/>
    <w:qFormat/>
    <w:uiPriority w:val="99"/>
    <w:pPr>
      <w:keepNext/>
      <w:keepLines/>
      <w:spacing w:line="360" w:lineRule="auto"/>
      <w:outlineLvl w:val="3"/>
    </w:pPr>
    <w:rPr>
      <w:rFonts w:ascii="Arial" w:hAnsi="Arial"/>
      <w:b/>
      <w:bCs/>
      <w:kern w:val="0"/>
      <w:sz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cs="Times New Roman"/>
      <w:szCs w:val="24"/>
    </w:rPr>
  </w:style>
  <w:style w:type="paragraph" w:styleId="7">
    <w:name w:val="Document Map"/>
    <w:basedOn w:val="1"/>
    <w:link w:val="39"/>
    <w:unhideWhenUsed/>
    <w:qFormat/>
    <w:uiPriority w:val="99"/>
    <w:rPr>
      <w:rFonts w:ascii="宋体"/>
      <w:sz w:val="18"/>
      <w:szCs w:val="18"/>
    </w:rPr>
  </w:style>
  <w:style w:type="paragraph" w:styleId="8">
    <w:name w:val="annotation text"/>
    <w:basedOn w:val="1"/>
    <w:link w:val="40"/>
    <w:unhideWhenUsed/>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link w:val="41"/>
    <w:unhideWhenUsed/>
    <w:qFormat/>
    <w:uiPriority w:val="99"/>
    <w:pPr>
      <w:spacing w:before="100" w:beforeAutospacing="1"/>
    </w:pPr>
    <w:rPr>
      <w:kern w:val="0"/>
      <w:sz w:val="20"/>
    </w:rPr>
  </w:style>
  <w:style w:type="paragraph" w:styleId="11">
    <w:name w:val="Body Text Indent"/>
    <w:basedOn w:val="1"/>
    <w:link w:val="42"/>
    <w:unhideWhenUsed/>
    <w:qFormat/>
    <w:uiPriority w:val="99"/>
    <w:pPr>
      <w:autoSpaceDE w:val="0"/>
      <w:autoSpaceDN w:val="0"/>
      <w:adjustRightInd w:val="0"/>
      <w:spacing w:line="0" w:lineRule="atLeast"/>
      <w:ind w:firstLine="525"/>
      <w:textAlignment w:val="top"/>
    </w:pPr>
    <w:rPr>
      <w:rFonts w:ascii="宋体" w:hAnsi="宋体"/>
      <w:color w:val="000000"/>
      <w:kern w:val="0"/>
      <w:sz w:val="20"/>
    </w:rPr>
  </w:style>
  <w:style w:type="paragraph" w:styleId="12">
    <w:name w:val="Block Text"/>
    <w:basedOn w:val="1"/>
    <w:unhideWhenUsed/>
    <w:qFormat/>
    <w:uiPriority w:val="99"/>
    <w:pPr>
      <w:adjustRightInd w:val="0"/>
      <w:spacing w:before="100" w:beforeAutospacing="1" w:after="100" w:afterAutospacing="1"/>
      <w:ind w:left="420" w:right="33"/>
      <w:jc w:val="left"/>
      <w:textAlignment w:val="baseline"/>
    </w:pPr>
    <w:rPr>
      <w:kern w:val="0"/>
      <w:sz w:val="24"/>
      <w:szCs w:val="24"/>
    </w:rPr>
  </w:style>
  <w:style w:type="paragraph" w:styleId="13">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next w:val="1"/>
    <w:link w:val="43"/>
    <w:qFormat/>
    <w:uiPriority w:val="0"/>
    <w:rPr>
      <w:rFonts w:ascii="宋体" w:hAnsi="Courier New" w:eastAsia="楷体_GB2312"/>
      <w:szCs w:val="24"/>
    </w:rPr>
  </w:style>
  <w:style w:type="paragraph" w:styleId="15">
    <w:name w:val="Balloon Text"/>
    <w:basedOn w:val="1"/>
    <w:link w:val="44"/>
    <w:unhideWhenUsed/>
    <w:qFormat/>
    <w:uiPriority w:val="99"/>
    <w:rPr>
      <w:sz w:val="18"/>
      <w:szCs w:val="18"/>
    </w:rPr>
  </w:style>
  <w:style w:type="paragraph" w:styleId="16">
    <w:name w:val="footer"/>
    <w:basedOn w:val="1"/>
    <w:link w:val="45"/>
    <w:unhideWhenUsed/>
    <w:qFormat/>
    <w:uiPriority w:val="99"/>
    <w:pPr>
      <w:snapToGrid w:val="0"/>
      <w:jc w:val="left"/>
    </w:pPr>
    <w:rPr>
      <w:kern w:val="0"/>
      <w:sz w:val="18"/>
      <w:szCs w:val="18"/>
    </w:rPr>
  </w:style>
  <w:style w:type="paragraph" w:styleId="17">
    <w:name w:val="header"/>
    <w:basedOn w:val="1"/>
    <w:link w:val="46"/>
    <w:unhideWhenUsed/>
    <w:qFormat/>
    <w:uiPriority w:val="0"/>
    <w:pPr>
      <w:snapToGrid w:val="0"/>
    </w:pPr>
    <w:rPr>
      <w:kern w:val="0"/>
      <w:sz w:val="18"/>
      <w:szCs w:val="18"/>
    </w:rPr>
  </w:style>
  <w:style w:type="paragraph" w:styleId="18">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9">
    <w:name w:val="Body Text Indent 3"/>
    <w:basedOn w:val="1"/>
    <w:link w:val="47"/>
    <w:qFormat/>
    <w:uiPriority w:val="0"/>
    <w:pPr>
      <w:spacing w:after="120"/>
      <w:ind w:left="420" w:leftChars="200"/>
    </w:pPr>
    <w:rPr>
      <w:sz w:val="16"/>
      <w:szCs w:val="16"/>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Body Text 2"/>
    <w:basedOn w:val="1"/>
    <w:link w:val="48"/>
    <w:unhideWhenUsed/>
    <w:qFormat/>
    <w:uiPriority w:val="99"/>
    <w:rPr>
      <w:kern w:val="0"/>
      <w:sz w:val="44"/>
      <w:szCs w:val="44"/>
    </w:rPr>
  </w:style>
  <w:style w:type="paragraph" w:styleId="22">
    <w:name w:val="Title"/>
    <w:basedOn w:val="1"/>
    <w:link w:val="4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3">
    <w:name w:val="annotation subject"/>
    <w:basedOn w:val="8"/>
    <w:next w:val="8"/>
    <w:link w:val="50"/>
    <w:unhideWhenUsed/>
    <w:qFormat/>
    <w:uiPriority w:val="99"/>
    <w:rPr>
      <w:b/>
      <w:bCs/>
    </w:rPr>
  </w:style>
  <w:style w:type="paragraph" w:styleId="24">
    <w:name w:val="Body Text First Indent"/>
    <w:basedOn w:val="10"/>
    <w:next w:val="25"/>
    <w:link w:val="51"/>
    <w:unhideWhenUsed/>
    <w:qFormat/>
    <w:uiPriority w:val="0"/>
    <w:pPr>
      <w:ind w:firstLine="420" w:firstLineChars="100"/>
    </w:pPr>
  </w:style>
  <w:style w:type="paragraph" w:styleId="25">
    <w:name w:val="Body Text First Indent 2"/>
    <w:basedOn w:val="11"/>
    <w:link w:val="52"/>
    <w:unhideWhenUsed/>
    <w:qFormat/>
    <w:uiPriority w:val="0"/>
    <w:pPr>
      <w:ind w:firstLine="420" w:firstLineChars="200"/>
    </w:pPr>
    <w:rPr>
      <w:rFonts w:ascii="Calibri" w:hAnsi="Calibri"/>
      <w:color w:val="auto"/>
      <w:kern w:val="2"/>
      <w:sz w:val="21"/>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rPr>
  </w:style>
  <w:style w:type="character" w:styleId="30">
    <w:name w:val="page number"/>
    <w:qFormat/>
    <w:uiPriority w:val="0"/>
  </w:style>
  <w:style w:type="character" w:styleId="31">
    <w:name w:val="FollowedHyperlink"/>
    <w:unhideWhenUsed/>
    <w:qFormat/>
    <w:uiPriority w:val="99"/>
    <w:rPr>
      <w:color w:val="800080"/>
      <w:u w:val="none"/>
    </w:rPr>
  </w:style>
  <w:style w:type="character" w:styleId="32">
    <w:name w:val="Hyperlink"/>
    <w:unhideWhenUsed/>
    <w:qFormat/>
    <w:uiPriority w:val="99"/>
    <w:rPr>
      <w:color w:val="0000FF"/>
      <w:u w:val="none"/>
    </w:rPr>
  </w:style>
  <w:style w:type="character" w:styleId="33">
    <w:name w:val="annotation reference"/>
    <w:unhideWhenUsed/>
    <w:qFormat/>
    <w:uiPriority w:val="0"/>
    <w:rPr>
      <w:sz w:val="21"/>
      <w:szCs w:val="21"/>
    </w:rPr>
  </w:style>
  <w:style w:type="paragraph" w:customStyle="1" w:styleId="34">
    <w:name w:val="Default"/>
    <w:qFormat/>
    <w:uiPriority w:val="99"/>
    <w:pPr>
      <w:widowControl w:val="0"/>
      <w:autoSpaceDE w:val="0"/>
      <w:autoSpaceDN w:val="0"/>
      <w:adjustRightInd w:val="0"/>
    </w:pPr>
    <w:rPr>
      <w:rFonts w:ascii="宋体u萀" w:hAnsi="Times New Roman" w:eastAsia="宋体u萀" w:cs="宋体u萀"/>
      <w:color w:val="000000"/>
      <w:sz w:val="24"/>
      <w:szCs w:val="24"/>
      <w:lang w:val="en-US" w:eastAsia="zh-CN" w:bidi="ar-SA"/>
    </w:rPr>
  </w:style>
  <w:style w:type="character" w:customStyle="1" w:styleId="35">
    <w:name w:val="标题 1 Char"/>
    <w:link w:val="3"/>
    <w:qFormat/>
    <w:uiPriority w:val="9"/>
    <w:rPr>
      <w:rFonts w:ascii="Times New Roman" w:hAnsi="Times New Roman"/>
      <w:b/>
      <w:bCs/>
      <w:kern w:val="44"/>
      <w:sz w:val="44"/>
      <w:szCs w:val="44"/>
    </w:rPr>
  </w:style>
  <w:style w:type="character" w:customStyle="1" w:styleId="36">
    <w:name w:val="标题 2 Char"/>
    <w:link w:val="4"/>
    <w:qFormat/>
    <w:uiPriority w:val="99"/>
    <w:rPr>
      <w:rFonts w:ascii="Arial" w:hAnsi="Arial" w:eastAsia="黑体" w:cs="Arial"/>
      <w:b/>
      <w:bCs/>
      <w:sz w:val="32"/>
      <w:szCs w:val="32"/>
    </w:rPr>
  </w:style>
  <w:style w:type="character" w:customStyle="1" w:styleId="37">
    <w:name w:val="标题 3 Char"/>
    <w:link w:val="5"/>
    <w:qFormat/>
    <w:uiPriority w:val="99"/>
    <w:rPr>
      <w:rFonts w:ascii="Times New Roman" w:hAnsi="Times New Roman" w:eastAsia="宋体" w:cs="Times New Roman"/>
      <w:b/>
      <w:bCs/>
      <w:sz w:val="24"/>
      <w:szCs w:val="24"/>
    </w:rPr>
  </w:style>
  <w:style w:type="character" w:customStyle="1" w:styleId="38">
    <w:name w:val="标题 4 Char"/>
    <w:link w:val="6"/>
    <w:qFormat/>
    <w:uiPriority w:val="99"/>
    <w:rPr>
      <w:rFonts w:ascii="Arial" w:hAnsi="Arial" w:eastAsia="宋体" w:cs="Arial"/>
      <w:b/>
      <w:bCs/>
      <w:szCs w:val="21"/>
    </w:rPr>
  </w:style>
  <w:style w:type="character" w:customStyle="1" w:styleId="39">
    <w:name w:val="文档结构图 Char"/>
    <w:link w:val="7"/>
    <w:semiHidden/>
    <w:qFormat/>
    <w:uiPriority w:val="99"/>
    <w:rPr>
      <w:rFonts w:ascii="宋体"/>
      <w:kern w:val="2"/>
      <w:sz w:val="18"/>
      <w:szCs w:val="18"/>
    </w:rPr>
  </w:style>
  <w:style w:type="character" w:customStyle="1" w:styleId="40">
    <w:name w:val="批注文字 Char"/>
    <w:link w:val="8"/>
    <w:qFormat/>
    <w:uiPriority w:val="0"/>
    <w:rPr>
      <w:kern w:val="2"/>
      <w:sz w:val="21"/>
      <w:szCs w:val="21"/>
    </w:rPr>
  </w:style>
  <w:style w:type="character" w:customStyle="1" w:styleId="41">
    <w:name w:val="正文文本 Char"/>
    <w:link w:val="10"/>
    <w:qFormat/>
    <w:uiPriority w:val="99"/>
    <w:rPr>
      <w:rFonts w:ascii="Times New Roman" w:hAnsi="Times New Roman" w:eastAsia="宋体" w:cs="Times New Roman"/>
      <w:szCs w:val="21"/>
    </w:rPr>
  </w:style>
  <w:style w:type="character" w:customStyle="1" w:styleId="42">
    <w:name w:val="正文文本缩进 Char"/>
    <w:link w:val="11"/>
    <w:qFormat/>
    <w:uiPriority w:val="99"/>
    <w:rPr>
      <w:rFonts w:ascii="宋体" w:hAnsi="宋体" w:eastAsia="宋体" w:cs="宋体"/>
      <w:color w:val="000000"/>
      <w:szCs w:val="21"/>
    </w:rPr>
  </w:style>
  <w:style w:type="character" w:customStyle="1" w:styleId="43">
    <w:name w:val="纯文本 Char"/>
    <w:link w:val="14"/>
    <w:qFormat/>
    <w:locked/>
    <w:uiPriority w:val="0"/>
    <w:rPr>
      <w:rFonts w:ascii="宋体" w:hAnsi="Courier New" w:eastAsia="楷体_GB2312"/>
      <w:kern w:val="2"/>
      <w:sz w:val="21"/>
      <w:szCs w:val="24"/>
    </w:rPr>
  </w:style>
  <w:style w:type="character" w:customStyle="1" w:styleId="44">
    <w:name w:val="批注框文本 Char"/>
    <w:link w:val="15"/>
    <w:qFormat/>
    <w:uiPriority w:val="99"/>
    <w:rPr>
      <w:rFonts w:ascii="Times New Roman" w:hAnsi="Times New Roman"/>
      <w:kern w:val="2"/>
      <w:sz w:val="18"/>
      <w:szCs w:val="18"/>
    </w:rPr>
  </w:style>
  <w:style w:type="character" w:customStyle="1" w:styleId="45">
    <w:name w:val="页脚 Char"/>
    <w:link w:val="16"/>
    <w:qFormat/>
    <w:uiPriority w:val="99"/>
    <w:rPr>
      <w:rFonts w:ascii="Times New Roman" w:hAnsi="Times New Roman" w:eastAsia="宋体" w:cs="Times New Roman"/>
      <w:sz w:val="18"/>
      <w:szCs w:val="18"/>
    </w:rPr>
  </w:style>
  <w:style w:type="character" w:customStyle="1" w:styleId="46">
    <w:name w:val="页眉 Char"/>
    <w:link w:val="17"/>
    <w:qFormat/>
    <w:uiPriority w:val="0"/>
    <w:rPr>
      <w:rFonts w:ascii="Times New Roman" w:hAnsi="Times New Roman" w:eastAsia="宋体" w:cs="Times New Roman"/>
      <w:sz w:val="18"/>
      <w:szCs w:val="18"/>
    </w:rPr>
  </w:style>
  <w:style w:type="character" w:customStyle="1" w:styleId="47">
    <w:name w:val="正文文本缩进 3 Char"/>
    <w:link w:val="19"/>
    <w:qFormat/>
    <w:uiPriority w:val="0"/>
    <w:rPr>
      <w:kern w:val="2"/>
      <w:sz w:val="16"/>
      <w:szCs w:val="16"/>
    </w:rPr>
  </w:style>
  <w:style w:type="character" w:customStyle="1" w:styleId="48">
    <w:name w:val="正文文本 2 Char"/>
    <w:link w:val="21"/>
    <w:qFormat/>
    <w:uiPriority w:val="99"/>
    <w:rPr>
      <w:rFonts w:ascii="Times New Roman" w:hAnsi="Times New Roman" w:eastAsia="宋体" w:cs="Times New Roman"/>
      <w:sz w:val="44"/>
      <w:szCs w:val="44"/>
    </w:rPr>
  </w:style>
  <w:style w:type="character" w:customStyle="1" w:styleId="49">
    <w:name w:val="标题 Char"/>
    <w:link w:val="22"/>
    <w:qFormat/>
    <w:uiPriority w:val="0"/>
    <w:rPr>
      <w:rFonts w:ascii="Arial" w:hAnsi="Arial"/>
      <w:b/>
      <w:sz w:val="32"/>
    </w:rPr>
  </w:style>
  <w:style w:type="character" w:customStyle="1" w:styleId="50">
    <w:name w:val="批注主题 Char"/>
    <w:link w:val="23"/>
    <w:semiHidden/>
    <w:qFormat/>
    <w:uiPriority w:val="99"/>
    <w:rPr>
      <w:b/>
      <w:bCs/>
      <w:kern w:val="2"/>
      <w:sz w:val="21"/>
      <w:szCs w:val="21"/>
    </w:rPr>
  </w:style>
  <w:style w:type="character" w:customStyle="1" w:styleId="51">
    <w:name w:val="正文首行缩进 Char"/>
    <w:link w:val="24"/>
    <w:qFormat/>
    <w:uiPriority w:val="0"/>
  </w:style>
  <w:style w:type="character" w:customStyle="1" w:styleId="52">
    <w:name w:val="正文首行缩进 2 Char"/>
    <w:link w:val="25"/>
    <w:qFormat/>
    <w:uiPriority w:val="0"/>
    <w:rPr>
      <w:rFonts w:hint="default" w:ascii="Calibri" w:hAnsi="Calibri" w:eastAsia="宋体" w:cs="Times New Roman"/>
      <w:kern w:val="2"/>
      <w:sz w:val="21"/>
      <w:szCs w:val="22"/>
    </w:rPr>
  </w:style>
  <w:style w:type="character" w:customStyle="1" w:styleId="53">
    <w:name w:val="标题 Char1"/>
    <w:qFormat/>
    <w:uiPriority w:val="10"/>
    <w:rPr>
      <w:rFonts w:ascii="Cambria" w:hAnsi="Cambria" w:cs="Times New Roman"/>
      <w:b/>
      <w:bCs/>
      <w:kern w:val="2"/>
      <w:sz w:val="32"/>
      <w:szCs w:val="32"/>
    </w:rPr>
  </w:style>
  <w:style w:type="character" w:customStyle="1" w:styleId="54">
    <w:name w:val="15"/>
    <w:qFormat/>
    <w:uiPriority w:val="0"/>
    <w:rPr>
      <w:rFonts w:hint="default" w:ascii="Times New Roman" w:hAnsi="Times New Roman" w:cs="Times New Roman"/>
      <w:color w:val="12477D"/>
      <w:sz w:val="21"/>
      <w:szCs w:val="21"/>
    </w:rPr>
  </w:style>
  <w:style w:type="character" w:customStyle="1" w:styleId="55">
    <w:name w:val="16"/>
    <w:qFormat/>
    <w:uiPriority w:val="0"/>
    <w:rPr>
      <w:rFonts w:hint="default" w:ascii="Times New Roman" w:hAnsi="Times New Roman" w:cs="Times New Roman"/>
      <w:i/>
      <w:iCs/>
    </w:rPr>
  </w:style>
  <w:style w:type="character" w:customStyle="1" w:styleId="56">
    <w:name w:val="10"/>
    <w:qFormat/>
    <w:uiPriority w:val="0"/>
    <w:rPr>
      <w:rFonts w:hint="default" w:ascii="Times New Roman" w:hAnsi="Times New Roman" w:cs="Times New Roman"/>
    </w:rPr>
  </w:style>
  <w:style w:type="character" w:customStyle="1" w:styleId="57">
    <w:name w:val="纯文本 字符"/>
    <w:semiHidden/>
    <w:qFormat/>
    <w:uiPriority w:val="99"/>
    <w:rPr>
      <w:rFonts w:ascii="宋体" w:hAnsi="Courier New" w:cs="Courier New"/>
      <w:kern w:val="2"/>
      <w:sz w:val="21"/>
      <w:szCs w:val="21"/>
    </w:rPr>
  </w:style>
  <w:style w:type="character" w:customStyle="1" w:styleId="58">
    <w:name w:val="文一 Char"/>
    <w:link w:val="59"/>
    <w:qFormat/>
    <w:uiPriority w:val="0"/>
    <w:rPr>
      <w:snapToGrid w:val="0"/>
      <w:spacing w:val="4"/>
      <w:sz w:val="24"/>
      <w:szCs w:val="24"/>
    </w:rPr>
  </w:style>
  <w:style w:type="paragraph" w:customStyle="1" w:styleId="59">
    <w:name w:val="文一"/>
    <w:basedOn w:val="1"/>
    <w:link w:val="58"/>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60">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文二"/>
    <w:basedOn w:val="1"/>
    <w:qFormat/>
    <w:uiPriority w:val="0"/>
    <w:pPr>
      <w:jc w:val="left"/>
    </w:pPr>
    <w:rPr>
      <w:rFonts w:ascii="宋体" w:hAnsi="宋体" w:cs="宋体"/>
    </w:rPr>
  </w:style>
  <w:style w:type="paragraph" w:customStyle="1" w:styleId="62">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3">
    <w:name w:val="_Style 60"/>
    <w:unhideWhenUsed/>
    <w:qFormat/>
    <w:uiPriority w:val="99"/>
    <w:rPr>
      <w:rFonts w:ascii="Times New Roman" w:hAnsi="Times New Roman" w:eastAsia="宋体" w:cs="Times New Roman"/>
      <w:kern w:val="2"/>
      <w:sz w:val="21"/>
      <w:szCs w:val="21"/>
      <w:lang w:val="en-US" w:eastAsia="zh-CN" w:bidi="ar-SA"/>
    </w:rPr>
  </w:style>
  <w:style w:type="paragraph" w:customStyle="1" w:styleId="6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5">
    <w:name w:val="表格文字"/>
    <w:basedOn w:val="1"/>
    <w:next w:val="1"/>
    <w:qFormat/>
    <w:uiPriority w:val="0"/>
    <w:pPr>
      <w:snapToGrid w:val="0"/>
      <w:spacing w:line="360" w:lineRule="atLeast"/>
      <w:jc w:val="center"/>
    </w:pPr>
    <w:rPr>
      <w:rFonts w:ascii="宋体" w:eastAsia="幼圆"/>
      <w:szCs w:val="20"/>
    </w:rPr>
  </w:style>
  <w:style w:type="paragraph" w:customStyle="1" w:styleId="66">
    <w:name w:val="_Style 63"/>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7">
    <w:name w:val="样式1-正文"/>
    <w:basedOn w:val="1"/>
    <w:qFormat/>
    <w:uiPriority w:val="0"/>
    <w:pPr>
      <w:autoSpaceDE w:val="0"/>
      <w:autoSpaceDN w:val="0"/>
      <w:adjustRightInd w:val="0"/>
      <w:spacing w:line="360" w:lineRule="auto"/>
      <w:ind w:firstLine="600" w:firstLineChars="200"/>
      <w:jc w:val="left"/>
    </w:pPr>
    <w:rPr>
      <w:rFonts w:eastAsia="仿宋_GB2312"/>
      <w:color w:val="000000"/>
      <w:kern w:val="0"/>
      <w:sz w:val="24"/>
      <w:szCs w:val="32"/>
    </w:rPr>
  </w:style>
  <w:style w:type="character" w:customStyle="1" w:styleId="6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5233</Words>
  <Characters>29831</Characters>
  <Lines>248</Lines>
  <Paragraphs>69</Paragraphs>
  <TotalTime>6</TotalTime>
  <ScaleCrop>false</ScaleCrop>
  <LinksUpToDate>false</LinksUpToDate>
  <CharactersWithSpaces>34995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2023-09-21T08:46:00Z</dcterms:created>
  <dc:creator>Administrator</dc:creator>
  <cp:lastModifiedBy>huangzijie</cp:lastModifiedBy>
  <cp:lastPrinted>2020-12-02T02:52:00Z</cp:lastPrinted>
  <dcterms:modified xsi:type="dcterms:W3CDTF">2023-11-13T07:40:46Z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8B47FDD6874D47BDB40F37A8EFB11C58_13</vt:lpwstr>
  </property>
</Properties>
</file>