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宋体" w:hAnsi="宋体"/>
          <w:color w:val="auto"/>
          <w:sz w:val="36"/>
          <w:szCs w:val="36"/>
          <w:highlight w:val="none"/>
        </w:rPr>
      </w:pPr>
    </w:p>
    <w:p>
      <w:pPr>
        <w:ind w:firstLine="720" w:firstLineChars="200"/>
        <w:jc w:val="center"/>
        <w:rPr>
          <w:rFonts w:ascii="宋体" w:hAnsi="宋体"/>
          <w:color w:val="auto"/>
          <w:sz w:val="36"/>
          <w:szCs w:val="36"/>
          <w:highlight w:val="none"/>
        </w:rPr>
      </w:pPr>
      <w:r>
        <w:rPr>
          <w:rFonts w:hint="eastAsia" w:ascii="宋体" w:hAnsi="宋体"/>
          <w:color w:val="auto"/>
          <w:sz w:val="36"/>
          <w:szCs w:val="36"/>
          <w:highlight w:val="none"/>
        </w:rPr>
        <w:t xml:space="preserve"> </w:t>
      </w:r>
    </w:p>
    <w:p>
      <w:pPr>
        <w:jc w:val="center"/>
        <w:rPr>
          <w:rFonts w:hint="eastAsia" w:ascii="宋体" w:hAnsi="宋体" w:eastAsia="宋体"/>
          <w:color w:val="auto"/>
          <w:sz w:val="32"/>
          <w:szCs w:val="32"/>
          <w:highlight w:val="none"/>
          <w:lang w:eastAsia="zh-CN"/>
        </w:rPr>
      </w:pPr>
      <w:r>
        <w:rPr>
          <w:rFonts w:hint="eastAsia" w:ascii="宋体" w:hAnsi="宋体"/>
          <w:color w:val="auto"/>
          <w:sz w:val="44"/>
          <w:szCs w:val="44"/>
          <w:highlight w:val="none"/>
          <w:lang w:eastAsia="zh-CN"/>
        </w:rPr>
        <w:t>广州电力建设有限公司电建大楼项目工程监理服务</w:t>
      </w:r>
    </w:p>
    <w:p>
      <w:pPr>
        <w:ind w:firstLine="640" w:firstLineChars="200"/>
        <w:jc w:val="center"/>
        <w:rPr>
          <w:rFonts w:ascii="宋体" w:hAnsi="宋体"/>
          <w:color w:val="auto"/>
          <w:sz w:val="32"/>
          <w:szCs w:val="32"/>
          <w:highlight w:val="none"/>
        </w:rPr>
      </w:pPr>
      <w:r>
        <w:rPr>
          <w:rFonts w:hint="eastAsia" w:ascii="宋体" w:hAnsi="宋体"/>
          <w:color w:val="auto"/>
          <w:sz w:val="32"/>
          <w:szCs w:val="32"/>
          <w:highlight w:val="none"/>
        </w:rPr>
        <w:t xml:space="preserve"> </w:t>
      </w:r>
    </w:p>
    <w:p>
      <w:pPr>
        <w:jc w:val="center"/>
        <w:rPr>
          <w:rFonts w:ascii="宋体" w:hAnsi="宋体"/>
          <w:color w:val="auto"/>
          <w:sz w:val="32"/>
          <w:szCs w:val="32"/>
          <w:highlight w:val="none"/>
        </w:rPr>
      </w:pPr>
    </w:p>
    <w:p>
      <w:pPr>
        <w:ind w:firstLine="720" w:firstLineChars="200"/>
        <w:rPr>
          <w:rFonts w:ascii="宋体" w:hAnsi="宋体"/>
          <w:color w:val="auto"/>
          <w:sz w:val="36"/>
          <w:szCs w:val="36"/>
          <w:highlight w:val="none"/>
        </w:rPr>
      </w:pPr>
      <w:r>
        <w:rPr>
          <w:rFonts w:hint="eastAsia" w:ascii="宋体" w:hAnsi="宋体"/>
          <w:color w:val="auto"/>
          <w:sz w:val="36"/>
          <w:szCs w:val="36"/>
          <w:highlight w:val="none"/>
        </w:rPr>
        <w:t xml:space="preserve"> </w:t>
      </w:r>
    </w:p>
    <w:p>
      <w:pPr>
        <w:ind w:firstLine="1687" w:firstLineChars="200"/>
        <w:rPr>
          <w:rStyle w:val="46"/>
          <w:rFonts w:ascii="宋体" w:hAnsi="宋体"/>
          <w:b/>
          <w:bCs/>
          <w:i w:val="0"/>
          <w:iCs w:val="0"/>
          <w:color w:val="auto"/>
          <w:sz w:val="84"/>
          <w:szCs w:val="84"/>
          <w:highlight w:val="none"/>
        </w:rPr>
      </w:pPr>
      <w:bookmarkStart w:id="0" w:name="_资格预审文件"/>
      <w:bookmarkEnd w:id="0"/>
      <w:bookmarkStart w:id="1" w:name="_Toc536411629"/>
      <w:bookmarkEnd w:id="1"/>
      <w:bookmarkStart w:id="2" w:name="_Toc5875285"/>
      <w:r>
        <w:rPr>
          <w:rStyle w:val="46"/>
          <w:rFonts w:hint="eastAsia" w:ascii="宋体" w:hAnsi="宋体"/>
          <w:b/>
          <w:bCs/>
          <w:i w:val="0"/>
          <w:iCs w:val="0"/>
          <w:color w:val="auto"/>
          <w:sz w:val="84"/>
          <w:szCs w:val="84"/>
          <w:highlight w:val="none"/>
        </w:rPr>
        <w:t xml:space="preserve"> </w:t>
      </w:r>
      <w:bookmarkEnd w:id="2"/>
      <w:r>
        <w:rPr>
          <w:rStyle w:val="46"/>
          <w:rFonts w:hint="eastAsia" w:ascii="宋体" w:hAnsi="宋体"/>
          <w:b/>
          <w:bCs/>
          <w:i w:val="0"/>
          <w:iCs w:val="0"/>
          <w:color w:val="auto"/>
          <w:sz w:val="84"/>
          <w:szCs w:val="84"/>
          <w:highlight w:val="none"/>
        </w:rPr>
        <w:t xml:space="preserve"> </w:t>
      </w:r>
    </w:p>
    <w:p>
      <w:pPr>
        <w:jc w:val="center"/>
        <w:rPr>
          <w:color w:val="auto"/>
          <w:highlight w:val="none"/>
        </w:rPr>
      </w:pPr>
      <w:r>
        <w:rPr>
          <w:rStyle w:val="46"/>
          <w:rFonts w:hint="eastAsia" w:ascii="宋体" w:hAnsi="宋体"/>
          <w:b/>
          <w:bCs/>
          <w:i w:val="0"/>
          <w:iCs w:val="0"/>
          <w:color w:val="auto"/>
          <w:sz w:val="84"/>
          <w:szCs w:val="84"/>
          <w:highlight w:val="none"/>
        </w:rPr>
        <w:t>招</w:t>
      </w:r>
      <w:r>
        <w:rPr>
          <w:rStyle w:val="46"/>
          <w:rFonts w:hint="eastAsia" w:ascii="宋体" w:hAnsi="宋体"/>
          <w:b/>
          <w:bCs/>
          <w:i w:val="0"/>
          <w:iCs w:val="0"/>
          <w:color w:val="auto"/>
          <w:sz w:val="52"/>
          <w:szCs w:val="52"/>
          <w:highlight w:val="none"/>
        </w:rPr>
        <w:t xml:space="preserve"> </w:t>
      </w:r>
      <w:r>
        <w:rPr>
          <w:rStyle w:val="46"/>
          <w:rFonts w:hint="eastAsia" w:ascii="宋体" w:hAnsi="宋体"/>
          <w:b/>
          <w:bCs/>
          <w:i w:val="0"/>
          <w:iCs w:val="0"/>
          <w:color w:val="auto"/>
          <w:sz w:val="84"/>
          <w:szCs w:val="84"/>
          <w:highlight w:val="none"/>
        </w:rPr>
        <w:t>标</w:t>
      </w:r>
      <w:r>
        <w:rPr>
          <w:rStyle w:val="46"/>
          <w:rFonts w:hint="eastAsia" w:ascii="宋体" w:hAnsi="宋体"/>
          <w:b/>
          <w:bCs/>
          <w:i w:val="0"/>
          <w:iCs w:val="0"/>
          <w:color w:val="auto"/>
          <w:sz w:val="52"/>
          <w:szCs w:val="52"/>
          <w:highlight w:val="none"/>
        </w:rPr>
        <w:t xml:space="preserve"> </w:t>
      </w:r>
      <w:r>
        <w:rPr>
          <w:rStyle w:val="46"/>
          <w:rFonts w:hint="eastAsia" w:ascii="宋体" w:hAnsi="宋体"/>
          <w:b/>
          <w:bCs/>
          <w:i w:val="0"/>
          <w:iCs w:val="0"/>
          <w:color w:val="auto"/>
          <w:sz w:val="84"/>
          <w:szCs w:val="84"/>
          <w:highlight w:val="none"/>
        </w:rPr>
        <w:t>公</w:t>
      </w:r>
      <w:r>
        <w:rPr>
          <w:rStyle w:val="46"/>
          <w:rFonts w:hint="eastAsia" w:ascii="宋体" w:hAnsi="宋体"/>
          <w:b/>
          <w:bCs/>
          <w:i w:val="0"/>
          <w:iCs w:val="0"/>
          <w:color w:val="auto"/>
          <w:sz w:val="52"/>
          <w:szCs w:val="52"/>
          <w:highlight w:val="none"/>
        </w:rPr>
        <w:t xml:space="preserve"> </w:t>
      </w:r>
      <w:r>
        <w:rPr>
          <w:rStyle w:val="46"/>
          <w:rFonts w:hint="eastAsia" w:ascii="宋体" w:hAnsi="宋体"/>
          <w:b/>
          <w:bCs/>
          <w:i w:val="0"/>
          <w:iCs w:val="0"/>
          <w:color w:val="auto"/>
          <w:sz w:val="84"/>
          <w:szCs w:val="84"/>
          <w:highlight w:val="none"/>
        </w:rPr>
        <w:t>告</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jc w:val="center"/>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ind w:firstLine="643" w:firstLineChars="200"/>
        <w:rPr>
          <w:rFonts w:ascii="宋体" w:hAnsi="宋体"/>
          <w:bCs/>
          <w:color w:val="auto"/>
          <w:sz w:val="28"/>
          <w:szCs w:val="28"/>
          <w:highlight w:val="none"/>
        </w:rPr>
      </w:pPr>
      <w:r>
        <w:rPr>
          <w:rFonts w:hint="eastAsia" w:ascii="宋体" w:hAnsi="宋体"/>
          <w:b/>
          <w:bCs/>
          <w:color w:val="auto"/>
          <w:sz w:val="32"/>
          <w:szCs w:val="32"/>
          <w:highlight w:val="none"/>
        </w:rPr>
        <w:t xml:space="preserve"> </w:t>
      </w:r>
      <w:r>
        <w:rPr>
          <w:rFonts w:hint="eastAsia" w:ascii="宋体" w:hAnsi="宋体"/>
          <w:bCs/>
          <w:color w:val="auto"/>
          <w:sz w:val="28"/>
          <w:szCs w:val="28"/>
          <w:highlight w:val="none"/>
        </w:rPr>
        <w:t xml:space="preserve"> </w:t>
      </w:r>
    </w:p>
    <w:p>
      <w:pPr>
        <w:snapToGrid w:val="0"/>
        <w:spacing w:line="360" w:lineRule="auto"/>
        <w:jc w:val="center"/>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rPr>
        <w:t>招 标 人：</w:t>
      </w:r>
      <w:r>
        <w:rPr>
          <w:rFonts w:hint="eastAsia" w:ascii="宋体" w:hAnsi="宋体"/>
          <w:bCs/>
          <w:color w:val="auto"/>
          <w:sz w:val="28"/>
          <w:szCs w:val="28"/>
          <w:highlight w:val="none"/>
          <w:lang w:eastAsia="zh-CN"/>
        </w:rPr>
        <w:t>广州合锦嘉泓房地产投资有限公司</w:t>
      </w:r>
    </w:p>
    <w:p>
      <w:pPr>
        <w:snapToGrid w:val="0"/>
        <w:spacing w:line="360" w:lineRule="auto"/>
        <w:jc w:val="center"/>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rPr>
        <w:t>招标代理机构：</w:t>
      </w:r>
      <w:r>
        <w:rPr>
          <w:rFonts w:hint="eastAsia" w:ascii="宋体" w:hAnsi="宋体"/>
          <w:bCs/>
          <w:color w:val="auto"/>
          <w:sz w:val="28"/>
          <w:szCs w:val="28"/>
          <w:highlight w:val="none"/>
          <w:lang w:eastAsia="zh-CN"/>
        </w:rPr>
        <w:t>广州竣盛工程造价咨询有限公司</w:t>
      </w:r>
    </w:p>
    <w:p>
      <w:pPr>
        <w:snapToGrid w:val="0"/>
        <w:spacing w:line="360" w:lineRule="auto"/>
        <w:jc w:val="center"/>
        <w:rPr>
          <w:rFonts w:ascii="宋体" w:hAnsi="宋体"/>
          <w:bCs/>
          <w:color w:val="auto"/>
          <w:sz w:val="28"/>
          <w:szCs w:val="28"/>
          <w:highlight w:val="none"/>
        </w:rPr>
      </w:pPr>
      <w:r>
        <w:rPr>
          <w:rFonts w:hint="eastAsia" w:ascii="宋体" w:hAnsi="宋体"/>
          <w:bCs/>
          <w:color w:val="auto"/>
          <w:sz w:val="28"/>
          <w:szCs w:val="28"/>
          <w:highlight w:val="none"/>
        </w:rPr>
        <w:t>2023年</w:t>
      </w:r>
      <w:r>
        <w:rPr>
          <w:rFonts w:hint="eastAsia" w:ascii="宋体" w:hAnsi="宋体"/>
          <w:bCs/>
          <w:color w:val="auto"/>
          <w:sz w:val="28"/>
          <w:szCs w:val="28"/>
          <w:highlight w:val="none"/>
          <w:lang w:val="en-US" w:eastAsia="zh-CN"/>
        </w:rPr>
        <w:t>11</w:t>
      </w:r>
      <w:r>
        <w:rPr>
          <w:rFonts w:hint="eastAsia" w:ascii="宋体" w:hAnsi="宋体"/>
          <w:bCs/>
          <w:color w:val="auto"/>
          <w:sz w:val="28"/>
          <w:szCs w:val="28"/>
          <w:highlight w:val="none"/>
        </w:rPr>
        <w:t>月</w:t>
      </w:r>
    </w:p>
    <w:p>
      <w:pPr>
        <w:spacing w:line="360" w:lineRule="auto"/>
        <w:jc w:val="center"/>
        <w:rPr>
          <w:rFonts w:ascii="宋体" w:hAnsi="宋体" w:cs="黑体"/>
          <w:b/>
          <w:bCs/>
          <w:color w:val="auto"/>
          <w:sz w:val="32"/>
          <w:szCs w:val="32"/>
          <w:highlight w:val="none"/>
        </w:rPr>
        <w:sectPr>
          <w:pgSz w:w="11906" w:h="16838"/>
          <w:pgMar w:top="1417" w:right="1417" w:bottom="1417" w:left="1417" w:header="851" w:footer="992" w:gutter="0"/>
          <w:cols w:space="720" w:num="1"/>
          <w:docGrid w:type="lines" w:linePitch="312" w:charSpace="0"/>
        </w:sectPr>
      </w:pPr>
    </w:p>
    <w:p>
      <w:pPr>
        <w:spacing w:line="360" w:lineRule="auto"/>
        <w:jc w:val="center"/>
        <w:rPr>
          <w:rFonts w:hint="eastAsia" w:ascii="宋体" w:hAnsi="宋体" w:eastAsia="宋体" w:cs="黑体"/>
          <w:b/>
          <w:bCs/>
          <w:color w:val="auto"/>
          <w:sz w:val="32"/>
          <w:szCs w:val="32"/>
          <w:highlight w:val="none"/>
          <w:lang w:eastAsia="zh-CN"/>
        </w:rPr>
      </w:pPr>
      <w:r>
        <w:rPr>
          <w:rFonts w:hint="eastAsia" w:ascii="宋体" w:hAnsi="宋体" w:cs="黑体"/>
          <w:b/>
          <w:bCs/>
          <w:color w:val="auto"/>
          <w:sz w:val="32"/>
          <w:szCs w:val="32"/>
          <w:highlight w:val="none"/>
          <w:lang w:eastAsia="zh-CN"/>
        </w:rPr>
        <w:t>广州电力建设有限公司电建大楼项目工程监理服务</w:t>
      </w:r>
    </w:p>
    <w:p>
      <w:pPr>
        <w:spacing w:line="360" w:lineRule="auto"/>
        <w:jc w:val="center"/>
        <w:rPr>
          <w:rFonts w:ascii="宋体" w:hAnsi="宋体"/>
          <w:color w:val="auto"/>
          <w:sz w:val="20"/>
          <w:highlight w:val="none"/>
        </w:rPr>
      </w:pPr>
      <w:r>
        <w:rPr>
          <w:rFonts w:hint="eastAsia" w:ascii="宋体" w:hAnsi="宋体" w:cs="黑体"/>
          <w:b/>
          <w:bCs/>
          <w:color w:val="auto"/>
          <w:sz w:val="32"/>
          <w:szCs w:val="32"/>
          <w:highlight w:val="none"/>
        </w:rPr>
        <w:t>招标公告</w:t>
      </w:r>
    </w:p>
    <w:p>
      <w:pPr>
        <w:pStyle w:val="3"/>
        <w:keepNext w:val="0"/>
        <w:keepLines w:val="0"/>
        <w:adjustRightInd w:val="0"/>
        <w:spacing w:before="0" w:after="0" w:line="360" w:lineRule="auto"/>
        <w:rPr>
          <w:rFonts w:ascii="宋体" w:hAnsi="宋体" w:eastAsia="宋体"/>
          <w:color w:val="auto"/>
          <w:highlight w:val="none"/>
        </w:rPr>
      </w:pPr>
      <w:bookmarkStart w:id="3" w:name="_Toc515033010"/>
      <w:bookmarkStart w:id="4" w:name="_Toc511557025"/>
      <w:r>
        <w:rPr>
          <w:rFonts w:ascii="宋体" w:hAnsi="宋体" w:eastAsia="宋体"/>
          <w:color w:val="auto"/>
          <w:highlight w:val="none"/>
        </w:rPr>
        <w:t>1. 招标条件</w:t>
      </w:r>
      <w:bookmarkEnd w:id="3"/>
      <w:bookmarkEnd w:id="4"/>
    </w:p>
    <w:p>
      <w:pPr>
        <w:adjustRightInd w:val="0"/>
        <w:spacing w:line="360" w:lineRule="auto"/>
        <w:ind w:firstLine="480" w:firstLineChars="200"/>
        <w:jc w:val="left"/>
        <w:rPr>
          <w:rFonts w:ascii="宋体" w:hAnsi="宋体" w:cs="宋体"/>
          <w:b/>
          <w:bCs/>
          <w:color w:val="auto"/>
          <w:sz w:val="24"/>
          <w:szCs w:val="24"/>
          <w:highlight w:val="none"/>
          <w:u w:val="single"/>
        </w:rPr>
      </w:pPr>
      <w:r>
        <w:rPr>
          <w:rFonts w:hint="eastAsia" w:ascii="宋体" w:hAnsi="宋体" w:cs="宋体"/>
          <w:color w:val="auto"/>
          <w:sz w:val="24"/>
          <w:szCs w:val="24"/>
          <w:highlight w:val="none"/>
        </w:rPr>
        <w:t>本招标项目</w:t>
      </w:r>
      <w:r>
        <w:rPr>
          <w:rFonts w:hint="eastAsia" w:ascii="宋体" w:hAnsi="宋体" w:cs="宋体"/>
          <w:b/>
          <w:bCs/>
          <w:color w:val="auto"/>
          <w:sz w:val="24"/>
          <w:szCs w:val="24"/>
          <w:highlight w:val="none"/>
          <w:u w:val="single"/>
          <w:lang w:eastAsia="zh-CN"/>
        </w:rPr>
        <w:t>广州电力建设有限公司电建大楼项目工程监理服务</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黄埔区发展和改革局</w:t>
      </w:r>
      <w:r>
        <w:rPr>
          <w:rFonts w:hint="eastAsia" w:ascii="宋体" w:hAnsi="宋体" w:cs="宋体"/>
          <w:color w:val="auto"/>
          <w:sz w:val="24"/>
          <w:szCs w:val="24"/>
          <w:highlight w:val="none"/>
        </w:rPr>
        <w:t>以</w:t>
      </w:r>
      <w:r>
        <w:rPr>
          <w:rFonts w:hint="eastAsia" w:ascii="宋体" w:hAnsi="宋体" w:cs="宋体"/>
          <w:color w:val="auto"/>
          <w:sz w:val="24"/>
          <w:highlight w:val="none"/>
          <w:u w:val="single"/>
        </w:rPr>
        <w:t>《广东省企业投资项目备案证》</w:t>
      </w:r>
      <w:r>
        <w:rPr>
          <w:rFonts w:hint="eastAsia" w:ascii="宋体" w:hAnsi="宋体" w:cs="宋体"/>
          <w:color w:val="auto"/>
          <w:sz w:val="24"/>
          <w:szCs w:val="24"/>
          <w:highlight w:val="none"/>
          <w:u w:val="single"/>
        </w:rPr>
        <w:t>2303-440112-04-01-938641号</w:t>
      </w:r>
      <w:r>
        <w:rPr>
          <w:rFonts w:hint="eastAsia" w:ascii="宋体" w:hAnsi="宋体" w:cs="宋体"/>
          <w:color w:val="auto"/>
          <w:sz w:val="24"/>
          <w:szCs w:val="24"/>
          <w:highlight w:val="none"/>
        </w:rPr>
        <w:t>批准建设，项目业主为</w:t>
      </w:r>
      <w:r>
        <w:rPr>
          <w:rFonts w:hint="eastAsia" w:ascii="宋体" w:hAnsi="宋体" w:cs="宋体"/>
          <w:b/>
          <w:bCs/>
          <w:color w:val="auto"/>
          <w:sz w:val="24"/>
          <w:szCs w:val="24"/>
          <w:highlight w:val="none"/>
          <w:u w:val="single"/>
          <w:lang w:eastAsia="zh-CN"/>
        </w:rPr>
        <w:t>广州合锦嘉泓房地产投资有限公司</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自筹资金及银行贷款</w:t>
      </w:r>
      <w:r>
        <w:rPr>
          <w:rFonts w:hint="eastAsia" w:ascii="宋体" w:hAnsi="宋体" w:cs="宋体"/>
          <w:color w:val="auto"/>
          <w:sz w:val="24"/>
          <w:szCs w:val="24"/>
          <w:highlight w:val="none"/>
        </w:rPr>
        <w:t>，出资比例为</w:t>
      </w:r>
      <w:r>
        <w:rPr>
          <w:rFonts w:hint="eastAsia" w:ascii="宋体" w:hAnsi="宋体" w:cs="宋体"/>
          <w:color w:val="auto"/>
          <w:sz w:val="24"/>
          <w:highlight w:val="none"/>
          <w:u w:val="single"/>
        </w:rPr>
        <w:t>100%，</w:t>
      </w:r>
      <w:r>
        <w:rPr>
          <w:rFonts w:hint="eastAsia" w:ascii="宋体" w:hAnsi="宋体" w:cs="宋体"/>
          <w:bCs/>
          <w:color w:val="auto"/>
          <w:sz w:val="24"/>
          <w:szCs w:val="24"/>
          <w:highlight w:val="none"/>
        </w:rPr>
        <w:t>招标人为</w:t>
      </w:r>
      <w:r>
        <w:rPr>
          <w:rFonts w:hint="eastAsia" w:ascii="宋体" w:hAnsi="宋体" w:cs="宋体"/>
          <w:b/>
          <w:bCs/>
          <w:color w:val="auto"/>
          <w:sz w:val="24"/>
          <w:szCs w:val="24"/>
          <w:highlight w:val="none"/>
          <w:u w:val="single"/>
          <w:lang w:eastAsia="zh-CN"/>
        </w:rPr>
        <w:t>广州合锦嘉泓房地产投资有限公司</w:t>
      </w:r>
      <w:r>
        <w:rPr>
          <w:rFonts w:hint="eastAsia" w:ascii="宋体" w:hAnsi="宋体" w:cs="宋体"/>
          <w:color w:val="auto"/>
          <w:sz w:val="24"/>
          <w:szCs w:val="24"/>
          <w:highlight w:val="none"/>
        </w:rPr>
        <w:t>。项目已具备招标条件，现对该项目的工程施工监理进行公开招标。</w:t>
      </w:r>
    </w:p>
    <w:p>
      <w:pPr>
        <w:pStyle w:val="3"/>
        <w:keepNext w:val="0"/>
        <w:keepLines w:val="0"/>
        <w:adjustRightInd w:val="0"/>
        <w:spacing w:before="0" w:after="0" w:line="360" w:lineRule="auto"/>
        <w:rPr>
          <w:rFonts w:ascii="宋体" w:hAnsi="宋体" w:eastAsia="宋体"/>
          <w:color w:val="auto"/>
          <w:highlight w:val="none"/>
        </w:rPr>
      </w:pPr>
      <w:bookmarkStart w:id="5" w:name="_Toc511557026"/>
      <w:bookmarkStart w:id="6" w:name="_Toc515033011"/>
      <w:r>
        <w:rPr>
          <w:rFonts w:ascii="宋体" w:hAnsi="宋体" w:eastAsia="宋体"/>
          <w:color w:val="auto"/>
          <w:highlight w:val="none"/>
        </w:rPr>
        <w:t>2. 项目概况与招标范围</w:t>
      </w:r>
      <w:bookmarkEnd w:id="5"/>
      <w:bookmarkEnd w:id="6"/>
    </w:p>
    <w:p>
      <w:pPr>
        <w:adjustRightIn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2.1招标项目概况</w:t>
      </w:r>
    </w:p>
    <w:p>
      <w:pPr>
        <w:adjustRightInd w:val="0"/>
        <w:spacing w:line="360" w:lineRule="auto"/>
        <w:ind w:firstLine="480" w:firstLineChars="200"/>
        <w:jc w:val="left"/>
        <w:rPr>
          <w:rFonts w:hint="eastAsia" w:ascii="宋体" w:hAnsi="宋体" w:eastAsia="宋体" w:cs="宋体"/>
          <w:b/>
          <w:bCs/>
          <w:color w:val="auto"/>
          <w:sz w:val="24"/>
          <w:szCs w:val="24"/>
          <w:highlight w:val="none"/>
          <w:u w:val="single"/>
          <w:lang w:eastAsia="zh-CN"/>
        </w:rPr>
      </w:pPr>
      <w:r>
        <w:rPr>
          <w:rFonts w:hint="eastAsia" w:ascii="宋体" w:hAnsi="宋体"/>
          <w:color w:val="auto"/>
          <w:sz w:val="24"/>
          <w:szCs w:val="24"/>
          <w:highlight w:val="none"/>
        </w:rPr>
        <w:t>2.1.1招标项目名称：</w:t>
      </w:r>
      <w:r>
        <w:rPr>
          <w:rFonts w:hint="eastAsia" w:ascii="宋体" w:hAnsi="宋体" w:cs="宋体"/>
          <w:b/>
          <w:bCs/>
          <w:color w:val="auto"/>
          <w:sz w:val="24"/>
          <w:szCs w:val="24"/>
          <w:highlight w:val="none"/>
          <w:u w:val="single"/>
          <w:lang w:eastAsia="zh-CN"/>
        </w:rPr>
        <w:t>广州电力建设有限公司电建大楼项目工程监理服务</w:t>
      </w:r>
    </w:p>
    <w:p>
      <w:pPr>
        <w:adjustRightInd w:val="0"/>
        <w:spacing w:line="360" w:lineRule="auto"/>
        <w:ind w:firstLine="480" w:firstLineChars="200"/>
        <w:jc w:val="left"/>
        <w:rPr>
          <w:rFonts w:hint="eastAsia" w:ascii="宋体" w:hAnsi="宋体" w:eastAsia="宋体" w:cs="宋体"/>
          <w:b/>
          <w:bCs/>
          <w:color w:val="auto"/>
          <w:sz w:val="24"/>
          <w:szCs w:val="24"/>
          <w:highlight w:val="none"/>
          <w:u w:val="singl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1.2工程建设地点：</w:t>
      </w:r>
      <w:r>
        <w:rPr>
          <w:rFonts w:hint="eastAsia" w:ascii="宋体" w:hAnsi="宋体"/>
          <w:color w:val="auto"/>
          <w:sz w:val="24"/>
          <w:szCs w:val="24"/>
          <w:highlight w:val="none"/>
          <w:u w:val="single"/>
        </w:rPr>
        <w:t>广州市黄埔区氢能产业园园区二路以南、开达路南延线以西</w:t>
      </w:r>
      <w:r>
        <w:rPr>
          <w:rFonts w:hint="eastAsia" w:ascii="宋体" w:hAnsi="宋体"/>
          <w:color w:val="auto"/>
          <w:sz w:val="24"/>
          <w:szCs w:val="24"/>
          <w:highlight w:val="none"/>
          <w:u w:val="single"/>
          <w:lang w:eastAsia="zh-CN"/>
        </w:rPr>
        <w:t>。</w:t>
      </w:r>
    </w:p>
    <w:p>
      <w:pPr>
        <w:adjustRightInd w:val="0"/>
        <w:spacing w:line="360" w:lineRule="auto"/>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rPr>
        <w:t>1.3工程建设规模：</w:t>
      </w:r>
      <w:r>
        <w:rPr>
          <w:rFonts w:hint="eastAsia" w:ascii="宋体" w:hAnsi="宋体"/>
          <w:color w:val="auto"/>
          <w:sz w:val="24"/>
          <w:szCs w:val="24"/>
          <w:highlight w:val="none"/>
          <w:u w:val="single"/>
        </w:rPr>
        <w:t>为满足广州电力建设有限公司传统业务及新兴业务开展需要，拟在广州国际氢能产业园内，建设生产材料仓储、业务开展、应急抢修、新型工业化建筑材料研发等于一体的一栋生产大楼（单体建筑），以及符合国家及省、市及区规定的地下停车库及室外工程等。项目规划可建设用地面积5096㎡，建筑高度约59.8m，规划总建筑面积32683.91㎡，其中计容建筑面积20383.55㎡（含厂房17326.55㎡、配套3057.00 ㎡），不计容建筑面积12300.36㎡（地下停车库，兼顾人防及设备用房）；地上建筑分为生产主楼16157.00㎡，生产副楼4226.55㎡；以及室外广场道路、绿化及其他配套设施等。</w:t>
      </w:r>
    </w:p>
    <w:p>
      <w:pPr>
        <w:adjustRightIn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2.1.4 工程投资额：</w:t>
      </w:r>
      <w:r>
        <w:rPr>
          <w:rFonts w:hint="eastAsia" w:ascii="宋体" w:hAnsi="宋体" w:cs="宋体"/>
          <w:color w:val="auto"/>
          <w:sz w:val="24"/>
          <w:szCs w:val="24"/>
          <w:highlight w:val="none"/>
          <w:u w:val="single"/>
        </w:rPr>
        <w:t>项目总投资32401.00万元，其中建安工程费24476.6738万元。</w:t>
      </w:r>
    </w:p>
    <w:p>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2.2招标范围</w:t>
      </w:r>
    </w:p>
    <w:p>
      <w:pPr>
        <w:adjustRightIn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highlight w:val="none"/>
        </w:rPr>
        <w:t>2.2.1标段划分：</w:t>
      </w:r>
      <w:r>
        <w:rPr>
          <w:rFonts w:hint="eastAsia" w:ascii="宋体" w:hAnsi="宋体"/>
          <w:color w:val="auto"/>
          <w:sz w:val="24"/>
          <w:szCs w:val="24"/>
          <w:highlight w:val="none"/>
          <w:u w:val="single"/>
        </w:rPr>
        <w:t>本项目设1个标段。</w:t>
      </w:r>
    </w:p>
    <w:p>
      <w:pPr>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2.2.2监理范围：</w:t>
      </w:r>
    </w:p>
    <w:p>
      <w:pPr>
        <w:snapToGrid w:val="0"/>
        <w:spacing w:line="360" w:lineRule="auto"/>
        <w:ind w:firstLine="480" w:firstLineChars="200"/>
        <w:rPr>
          <w:rFonts w:ascii="宋体" w:hAnsi="宋体"/>
          <w:snapToGrid w:val="0"/>
          <w:color w:val="auto"/>
          <w:spacing w:val="4"/>
          <w:sz w:val="24"/>
          <w:szCs w:val="24"/>
          <w:highlight w:val="none"/>
        </w:rPr>
      </w:pPr>
      <w:r>
        <w:rPr>
          <w:rFonts w:hint="eastAsia" w:ascii="宋体" w:hAnsi="宋体"/>
          <w:color w:val="auto"/>
          <w:kern w:val="0"/>
          <w:sz w:val="24"/>
          <w:szCs w:val="24"/>
          <w:highlight w:val="none"/>
        </w:rPr>
        <w:t>服务内容包括负责设计方案评审、施工图纸的交底会审、施工阶段的质量监督、进度控制、信息管理、组织协调、档案资料的管理、安全生产和文明施工的监督以及对已完工程量的审核；以及组织协调工程建设项目有关各方关系等施工监理任务。</w:t>
      </w:r>
    </w:p>
    <w:p>
      <w:pPr>
        <w:adjustRightInd w:val="0"/>
        <w:spacing w:line="360" w:lineRule="auto"/>
        <w:ind w:firstLine="480" w:firstLineChars="200"/>
        <w:jc w:val="left"/>
        <w:rPr>
          <w:rFonts w:ascii="宋体" w:hAnsi="宋体"/>
          <w:color w:val="auto"/>
          <w:sz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hint="eastAsia" w:ascii="宋体" w:hAnsi="宋体"/>
          <w:color w:val="auto"/>
          <w:sz w:val="24"/>
          <w:highlight w:val="none"/>
        </w:rPr>
        <w:t>3监理服务</w:t>
      </w:r>
      <w:r>
        <w:rPr>
          <w:rFonts w:hint="eastAsia" w:ascii="宋体" w:hAnsi="宋体"/>
          <w:color w:val="auto"/>
          <w:sz w:val="24"/>
          <w:highlight w:val="none"/>
          <w:lang w:val="en-US" w:eastAsia="zh-CN"/>
        </w:rPr>
        <w:t>期</w:t>
      </w:r>
      <w:r>
        <w:rPr>
          <w:rFonts w:hint="eastAsia" w:ascii="宋体" w:hAnsi="宋体"/>
          <w:color w:val="auto"/>
          <w:sz w:val="24"/>
          <w:highlight w:val="none"/>
          <w:lang w:val="en-US" w:eastAsia="zh-CN"/>
        </w:rPr>
        <w:t>限</w:t>
      </w:r>
      <w:r>
        <w:rPr>
          <w:rFonts w:hint="eastAsia" w:ascii="宋体" w:hAnsi="宋体"/>
          <w:color w:val="auto"/>
          <w:sz w:val="24"/>
          <w:highlight w:val="none"/>
        </w:rPr>
        <w:t>：</w:t>
      </w:r>
    </w:p>
    <w:p>
      <w:pPr>
        <w:adjustRightInd w:val="0"/>
        <w:snapToGrid w:val="0"/>
        <w:spacing w:line="360" w:lineRule="auto"/>
        <w:ind w:firstLine="480" w:firstLineChars="200"/>
        <w:textAlignment w:val="baseline"/>
        <w:rPr>
          <w:rFonts w:hint="eastAsia" w:ascii="宋体" w:hAnsi="宋体"/>
          <w:color w:val="auto"/>
          <w:kern w:val="0"/>
          <w:sz w:val="24"/>
          <w:szCs w:val="24"/>
          <w:highlight w:val="none"/>
        </w:rPr>
      </w:pPr>
      <w:r>
        <w:rPr>
          <w:rFonts w:hint="eastAsia" w:ascii="宋体" w:hAnsi="宋体"/>
          <w:color w:val="auto"/>
          <w:kern w:val="0"/>
          <w:sz w:val="24"/>
          <w:szCs w:val="24"/>
          <w:highlight w:val="none"/>
        </w:rPr>
        <w:t>暂定从2023年12月开始至2027年6月，监理服务期从委托人书面通知监理人进场之日起算，至本工程所有保修期结束且按委托人要求办结竣工结算止，包括本工程的施工准备阶段、施工阶段、竣工验收阶段、竣工结算阶段和质量保修阶段，监理人须提供全过程监理服务。</w:t>
      </w:r>
    </w:p>
    <w:p>
      <w:pPr>
        <w:adjustRightInd w:val="0"/>
        <w:snapToGrid w:val="0"/>
        <w:spacing w:line="360" w:lineRule="auto"/>
        <w:ind w:firstLine="480" w:firstLineChars="200"/>
        <w:textAlignment w:val="baseline"/>
        <w:rPr>
          <w:rFonts w:ascii="宋体" w:hAnsi="宋体"/>
          <w:color w:val="auto"/>
          <w:kern w:val="0"/>
          <w:sz w:val="24"/>
          <w:szCs w:val="24"/>
          <w:highlight w:val="none"/>
        </w:rPr>
      </w:pPr>
      <w:r>
        <w:rPr>
          <w:rFonts w:hint="eastAsia" w:ascii="宋体" w:hAnsi="宋体"/>
          <w:color w:val="auto"/>
          <w:kern w:val="0"/>
          <w:sz w:val="24"/>
          <w:szCs w:val="24"/>
          <w:highlight w:val="none"/>
        </w:rPr>
        <w:t>其中施工准备阶段、施工阶段、竣工验收阶段监理服务期暂定43个月（指监理人必须驻场履行监理工作的时间段）；竣工结算阶段服务期以委托人要求时间为准；质量保修阶段监理服务期与本工程质量保修时间一致。</w:t>
      </w:r>
    </w:p>
    <w:p>
      <w:pPr>
        <w:adjustRightInd w:val="0"/>
        <w:spacing w:line="360" w:lineRule="auto"/>
        <w:ind w:firstLine="480" w:firstLineChars="200"/>
        <w:jc w:val="left"/>
        <w:rPr>
          <w:rFonts w:hint="eastAsia" w:ascii="宋体" w:hAnsi="宋体" w:cs="宋体"/>
          <w:color w:val="auto"/>
          <w:sz w:val="24"/>
          <w:szCs w:val="24"/>
          <w:highlight w:val="none"/>
          <w:u w:val="none"/>
        </w:rPr>
      </w:pPr>
      <w:r>
        <w:rPr>
          <w:rFonts w:hint="eastAsia" w:ascii="宋体" w:hAnsi="宋体"/>
          <w:color w:val="auto"/>
          <w:sz w:val="24"/>
          <w:szCs w:val="24"/>
          <w:highlight w:val="none"/>
        </w:rPr>
        <w:t>2.2.</w:t>
      </w:r>
      <w:r>
        <w:rPr>
          <w:rFonts w:hint="eastAsia" w:ascii="宋体" w:hAnsi="宋体"/>
          <w:color w:val="auto"/>
          <w:sz w:val="24"/>
          <w:highlight w:val="none"/>
        </w:rPr>
        <w:t>4</w:t>
      </w:r>
      <w:r>
        <w:rPr>
          <w:rFonts w:hint="eastAsia" w:ascii="宋体" w:hAnsi="宋体" w:cs="宋体"/>
          <w:color w:val="auto"/>
          <w:sz w:val="24"/>
          <w:szCs w:val="24"/>
          <w:highlight w:val="none"/>
          <w:u w:val="none"/>
        </w:rPr>
        <w:t>最高投标限价：本次招标最高限价为人民币305.225万元，包含施工阶段全过程监理费、报告编制费、管理费、利润、规费、税费及风险费等所有为完成本合同服务所需要发生的费用。其中：</w:t>
      </w:r>
    </w:p>
    <w:p>
      <w:pPr>
        <w:adjustRightInd w:val="0"/>
        <w:spacing w:line="360" w:lineRule="auto"/>
        <w:ind w:firstLine="480" w:firstLineChars="200"/>
        <w:jc w:val="left"/>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（1）最高投标限价为人民币305.225万元。</w:t>
      </w:r>
    </w:p>
    <w:p>
      <w:pPr>
        <w:adjustRightInd w:val="0"/>
        <w:spacing w:line="360" w:lineRule="auto"/>
        <w:ind w:firstLine="480" w:firstLineChars="200"/>
        <w:jc w:val="left"/>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（2）综合单价限价为人民币93.39元/平方米。</w:t>
      </w:r>
    </w:p>
    <w:p>
      <w:pPr>
        <w:adjustRightInd w:val="0"/>
        <w:spacing w:line="360" w:lineRule="auto"/>
        <w:ind w:firstLine="480" w:firstLineChars="200"/>
        <w:jc w:val="left"/>
        <w:rPr>
          <w:rFonts w:hint="eastAsia" w:ascii="宋体" w:hAnsi="宋体" w:cs="宋体"/>
          <w:color w:val="auto"/>
          <w:sz w:val="24"/>
          <w:szCs w:val="24"/>
          <w:highlight w:val="none"/>
          <w:u w:val="none"/>
        </w:rPr>
      </w:pPr>
      <w:r>
        <w:rPr>
          <w:rFonts w:hint="eastAsia" w:ascii="宋体" w:hAnsi="宋体" w:eastAsia="宋体" w:cs="宋体"/>
          <w:color w:val="auto"/>
          <w:sz w:val="24"/>
          <w:szCs w:val="24"/>
          <w:highlight w:val="none"/>
          <w:u w:val="none"/>
        </w:rPr>
        <w:t>投标人未按要求报价或投标报价（含投标总报价、</w:t>
      </w:r>
      <w:r>
        <w:rPr>
          <w:rFonts w:hint="eastAsia" w:ascii="宋体" w:hAnsi="宋体" w:eastAsia="宋体" w:cs="宋体"/>
          <w:color w:val="auto"/>
          <w:sz w:val="24"/>
          <w:szCs w:val="24"/>
          <w:highlight w:val="none"/>
          <w:u w:val="none"/>
          <w:lang w:val="en-US" w:eastAsia="zh-CN"/>
        </w:rPr>
        <w:t>综合单价</w:t>
      </w:r>
      <w:r>
        <w:rPr>
          <w:rFonts w:hint="eastAsia" w:ascii="宋体" w:hAnsi="宋体" w:eastAsia="宋体" w:cs="宋体"/>
          <w:color w:val="auto"/>
          <w:sz w:val="24"/>
          <w:szCs w:val="24"/>
          <w:highlight w:val="none"/>
          <w:u w:val="none"/>
        </w:rPr>
        <w:t>）超过上述相应最高投标限价的为无效标。</w:t>
      </w:r>
    </w:p>
    <w:p>
      <w:pPr>
        <w:pStyle w:val="3"/>
        <w:keepNext w:val="0"/>
        <w:keepLines w:val="0"/>
        <w:adjustRightInd w:val="0"/>
        <w:spacing w:before="0" w:after="0" w:line="360" w:lineRule="auto"/>
        <w:rPr>
          <w:rFonts w:ascii="宋体" w:hAnsi="宋体" w:eastAsia="宋体"/>
          <w:color w:val="auto"/>
          <w:highlight w:val="none"/>
        </w:rPr>
      </w:pPr>
      <w:bookmarkStart w:id="7" w:name="_Toc515033012"/>
      <w:bookmarkStart w:id="8" w:name="_Toc511557027"/>
      <w:r>
        <w:rPr>
          <w:rFonts w:ascii="宋体" w:hAnsi="宋体" w:eastAsia="宋体"/>
          <w:color w:val="auto"/>
          <w:highlight w:val="none"/>
        </w:rPr>
        <w:t>3. 投标人资格要求</w:t>
      </w:r>
      <w:bookmarkEnd w:id="7"/>
      <w:bookmarkEnd w:id="8"/>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.1投标人须具备建设行政主管部门颁发的工程监理综合资质或房屋建筑工程监理专业甲级资质；香港企业参加投标的，须在广东省住房和城乡建设主管部门备案且备案的业务范围满足本项目招标文件要求。</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①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住房和城乡建设部或广东省各级住房城乡建设主管部门核发的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.2投标人自2019年1月1日至今完成过质量合格的类似工程监理业绩（类似工程是指第</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.1点所述资质方能承接的房屋建筑工程）。需同时提供中标通知书或免招标的相关证明、施工监理合同、竣工验收报告或竣工验收证明，业绩时间以竣工验收报告或竣工验收证明出具时间为准, 验收文件至少具有建设单位、设计、施工和监理单位盖章；</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 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拟派项目总监理工程师须具有建设部2006年4月1日后颁发的中华人民共和国注册监理工程师注册执业证书，且其注册专业为房屋建筑工程，注册执业单位为本公司，并具备本科或以上学历；或在广东省住房和城乡建设主管部门备案且备案的资格满足本项目总监理工程师的资格要求的香港专业人士。</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.5其他要求： </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①投标人参加投标的意思表达清楚，投标人代表被授权有效。</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②投标人均具有独立法人资格，持有市场监督（工商行政）管理部门核发的法人营业执照或事业单位法人证书，按国家法律经营。香港企业具有在香港公司注册证书及商业登记证。</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③投标人已按规定格式签名盖章《投标人声明》（详见附件一）。</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④投标人在广州市住房和城乡建设局建立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http://zfcj.gz.gov.cn/zwgk/zsdwxxgkzl/gzsjzyglfwzx/bszy/content/post_8073953.html）</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⑤未被列入拖欠农民工工资失信联合惩戒对象名单。（投标人无需提供资料，按交易系统比对的结果进行评审）</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⑥投标人未在以往工程中因不诚信行为或不充分履约行为被本项目招标人书面拒绝投标的（暂无被本项目招标人书面拒绝投标的单位）。</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⑦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注：未在招标公告第3条单列的投标人资格要求条件，不作为资审不合格的依据。</w:t>
      </w:r>
    </w:p>
    <w:p>
      <w:pPr>
        <w:pStyle w:val="3"/>
        <w:keepNext w:val="0"/>
        <w:keepLines w:val="0"/>
        <w:adjustRightInd w:val="0"/>
        <w:spacing w:before="0" w:after="0" w:line="360" w:lineRule="auto"/>
        <w:rPr>
          <w:rFonts w:ascii="宋体" w:hAnsi="宋体" w:eastAsia="宋体"/>
          <w:color w:val="auto"/>
          <w:highlight w:val="none"/>
        </w:rPr>
      </w:pPr>
      <w:bookmarkStart w:id="9" w:name="_Toc515033013"/>
      <w:bookmarkStart w:id="10" w:name="_Toc511557028"/>
      <w:r>
        <w:rPr>
          <w:rFonts w:ascii="宋体" w:hAnsi="宋体" w:eastAsia="宋体"/>
          <w:color w:val="auto"/>
          <w:highlight w:val="none"/>
        </w:rPr>
        <w:t>4. 招标文件的获取</w:t>
      </w:r>
      <w:bookmarkEnd w:id="9"/>
      <w:bookmarkEnd w:id="10"/>
    </w:p>
    <w:p>
      <w:pPr>
        <w:wordWrap w:val="0"/>
        <w:spacing w:line="360" w:lineRule="auto"/>
        <w:ind w:firstLine="480" w:firstLineChars="200"/>
        <w:rPr>
          <w:rFonts w:ascii="宋体" w:hAnsi="宋体"/>
          <w:color w:val="auto"/>
          <w:sz w:val="24"/>
          <w:szCs w:val="24"/>
          <w:highlight w:val="none"/>
        </w:rPr>
      </w:pPr>
      <w:bookmarkStart w:id="11" w:name="_Toc3471142"/>
      <w:bookmarkStart w:id="12" w:name="_Toc514099628"/>
      <w:r>
        <w:rPr>
          <w:rFonts w:hint="eastAsia" w:ascii="宋体" w:cs="宋体"/>
          <w:color w:val="auto"/>
          <w:sz w:val="24"/>
          <w:szCs w:val="24"/>
          <w:highlight w:val="none"/>
        </w:rPr>
        <w:t>4.1凡有意参加投标者，请于</w:t>
      </w:r>
      <w:r>
        <w:rPr>
          <w:rFonts w:hint="eastAsia" w:ascii="宋体" w:cs="宋体"/>
          <w:color w:val="auto"/>
          <w:sz w:val="24"/>
          <w:szCs w:val="24"/>
          <w:highlight w:val="none"/>
          <w:u w:val="single"/>
        </w:rPr>
        <w:t>202</w:t>
      </w:r>
      <w:r>
        <w:rPr>
          <w:rFonts w:ascii="宋体" w:cs="宋体"/>
          <w:color w:val="auto"/>
          <w:sz w:val="24"/>
          <w:szCs w:val="24"/>
          <w:highlight w:val="none"/>
          <w:u w:val="single"/>
        </w:rPr>
        <w:t>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rPr>
        <w:t>202</w:t>
      </w:r>
      <w:r>
        <w:rPr>
          <w:rFonts w:ascii="宋体" w:cs="宋体"/>
          <w:color w:val="auto"/>
          <w:sz w:val="24"/>
          <w:szCs w:val="24"/>
          <w:highlight w:val="none"/>
          <w:u w:val="single"/>
        </w:rPr>
        <w:t>3</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cs="宋体"/>
          <w:color w:val="auto"/>
          <w:sz w:val="24"/>
          <w:szCs w:val="24"/>
          <w:highlight w:val="none"/>
          <w:u w:val="single"/>
        </w:rPr>
        <w:t>广州交易集团有限公司（广州公共资源交易中心）</w:t>
      </w:r>
      <w:r>
        <w:rPr>
          <w:rFonts w:hint="eastAsia" w:ascii="宋体" w:cs="宋体"/>
          <w:color w:val="auto"/>
          <w:sz w:val="24"/>
          <w:szCs w:val="24"/>
          <w:highlight w:val="none"/>
        </w:rPr>
        <w:t>网站（http://www.gzggzy.cn）</w:t>
      </w:r>
      <w:r>
        <w:rPr>
          <w:rFonts w:hint="eastAsia" w:ascii="宋体" w:hAnsi="宋体"/>
          <w:color w:val="auto"/>
          <w:sz w:val="24"/>
          <w:szCs w:val="24"/>
          <w:highlight w:val="none"/>
        </w:rPr>
        <w:t>下载电子招标文件。</w:t>
      </w:r>
    </w:p>
    <w:p>
      <w:pPr>
        <w:spacing w:line="360" w:lineRule="auto"/>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4.2本项目采用资格后审方式。</w:t>
      </w:r>
    </w:p>
    <w:p>
      <w:pPr>
        <w:spacing w:line="360" w:lineRule="auto"/>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注：（1）电子招投标操作流程详见</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rPr>
        <w:t>网站发布的最新版操作指引。</w:t>
      </w:r>
    </w:p>
    <w:p>
      <w:pPr>
        <w:spacing w:line="360" w:lineRule="auto"/>
        <w:ind w:left="210" w:leftChars="100" w:firstLine="240" w:firstLineChars="100"/>
        <w:rPr>
          <w:color w:val="auto"/>
          <w:highlight w:val="none"/>
        </w:rPr>
      </w:pPr>
      <w:r>
        <w:rPr>
          <w:rFonts w:hint="eastAsia" w:ascii="宋体" w:hAnsi="宋体" w:cs="宋体"/>
          <w:color w:val="auto"/>
          <w:sz w:val="24"/>
          <w:highlight w:val="none"/>
        </w:rPr>
        <w:t>（2）从招标公告发布之日起开始计算备标时间。</w:t>
      </w:r>
    </w:p>
    <w:bookmarkEnd w:id="11"/>
    <w:bookmarkEnd w:id="12"/>
    <w:p>
      <w:pPr>
        <w:pStyle w:val="3"/>
        <w:keepNext w:val="0"/>
        <w:keepLines w:val="0"/>
        <w:spacing w:before="0" w:after="0" w:line="360" w:lineRule="auto"/>
        <w:rPr>
          <w:rFonts w:ascii="宋体" w:hAnsi="宋体" w:eastAsia="宋体" w:cs="宋体"/>
          <w:color w:val="auto"/>
          <w:highlight w:val="none"/>
        </w:rPr>
      </w:pPr>
      <w:bookmarkStart w:id="13" w:name="_Toc19870"/>
      <w:bookmarkStart w:id="14" w:name="_Toc511557029"/>
      <w:bookmarkStart w:id="15" w:name="_Toc515033014"/>
      <w:bookmarkStart w:id="16" w:name="_Toc511557030"/>
      <w:bookmarkStart w:id="17" w:name="_Toc515033015"/>
      <w:r>
        <w:rPr>
          <w:rFonts w:hint="eastAsia" w:ascii="宋体" w:hAnsi="宋体" w:eastAsia="宋体" w:cs="宋体"/>
          <w:color w:val="auto"/>
          <w:highlight w:val="none"/>
        </w:rPr>
        <w:t xml:space="preserve">5. </w:t>
      </w:r>
      <w:bookmarkEnd w:id="13"/>
      <w:bookmarkEnd w:id="14"/>
      <w:bookmarkEnd w:id="15"/>
      <w:r>
        <w:rPr>
          <w:rFonts w:hint="eastAsia" w:ascii="宋体" w:hAnsi="宋体" w:eastAsia="宋体" w:cs="宋体"/>
          <w:color w:val="auto"/>
          <w:highlight w:val="none"/>
        </w:rPr>
        <w:t>发布招标</w:t>
      </w:r>
      <w:r>
        <w:rPr>
          <w:rFonts w:ascii="宋体" w:hAnsi="宋体" w:eastAsia="宋体" w:cs="宋体"/>
          <w:color w:val="auto"/>
          <w:highlight w:val="none"/>
        </w:rPr>
        <w:t>公告、递交投标文件</w:t>
      </w:r>
      <w:r>
        <w:rPr>
          <w:rFonts w:hint="eastAsia" w:ascii="宋体" w:hAnsi="宋体" w:eastAsia="宋体" w:cs="宋体"/>
          <w:color w:val="auto"/>
          <w:highlight w:val="none"/>
        </w:rPr>
        <w:t>时间</w:t>
      </w:r>
      <w:r>
        <w:rPr>
          <w:rFonts w:ascii="宋体" w:hAnsi="宋体" w:eastAsia="宋体" w:cs="宋体"/>
          <w:color w:val="auto"/>
          <w:highlight w:val="none"/>
        </w:rPr>
        <w:t>、</w:t>
      </w:r>
      <w:r>
        <w:rPr>
          <w:rFonts w:hint="eastAsia" w:ascii="宋体" w:hAnsi="宋体" w:eastAsia="宋体" w:cs="宋体"/>
          <w:color w:val="auto"/>
          <w:highlight w:val="none"/>
        </w:rPr>
        <w:t>开标</w:t>
      </w:r>
      <w:r>
        <w:rPr>
          <w:rFonts w:ascii="宋体" w:hAnsi="宋体" w:eastAsia="宋体" w:cs="宋体"/>
          <w:color w:val="auto"/>
          <w:highlight w:val="none"/>
        </w:rPr>
        <w:t>时间</w:t>
      </w:r>
    </w:p>
    <w:p>
      <w:pPr>
        <w:spacing w:line="360" w:lineRule="auto"/>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highlight w:val="none"/>
        </w:rPr>
        <w:t>。投标人通过</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rPr>
        <w:t>交易平台递交电子投标文件。投标人应在递交投标文件截止时间前，登录</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rPr>
        <w:t>交易平台网站办理网上投标登记手续。按照交易平台关于全流程电子化项目的相关指南进行操作。详见：</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网站首页-服务指南。</w:t>
      </w:r>
    </w:p>
    <w:p>
      <w:pPr>
        <w:tabs>
          <w:tab w:val="left" w:pos="36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3投标文件递交的截止时间（投标截止时间，下同）为</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highlight w:val="none"/>
        </w:rPr>
        <w:t>，投标人应在截止时间前通过</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数字交易平台（网址：http://www.gzggzy.cn）</w:t>
      </w:r>
      <w:r>
        <w:rPr>
          <w:rFonts w:hint="eastAsia" w:ascii="宋体" w:hAnsi="宋体" w:cs="宋体"/>
          <w:color w:val="auto"/>
          <w:sz w:val="24"/>
          <w:highlight w:val="none"/>
        </w:rPr>
        <w:t>递交电子投标文件。</w:t>
      </w:r>
    </w:p>
    <w:p>
      <w:pPr>
        <w:tabs>
          <w:tab w:val="left" w:pos="3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5.4递交备用投标文件电子光盘时间为：</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 xml:space="preserve">2023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highlight w:val="none"/>
        </w:rPr>
        <w:t>；地点：</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rPr>
        <w:t>开标室。（电子光盘需按规定封装。投标人在将数据刻录到光盘之后，投标前自行检查文件是否可以读取）。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5</w:t>
      </w:r>
      <w:r>
        <w:rPr>
          <w:rFonts w:hint="eastAsia" w:ascii="宋体" w:hAnsi="宋体" w:cs="宋体"/>
          <w:color w:val="auto"/>
          <w:sz w:val="24"/>
          <w:highlight w:val="none"/>
        </w:rPr>
        <w:t xml:space="preserve"> 逾期送达的投标文件，电子招标投标交易平台将予以拒收。逾期未上传成功的电子投标文件，招标人拒绝接收。逾期或未在指定地点递交投标文件光盘的,招标人拒绝接收其投标文件光盘。</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6</w:t>
      </w:r>
      <w:r>
        <w:rPr>
          <w:rFonts w:hint="eastAsia" w:ascii="宋体" w:hAnsi="宋体" w:cs="宋体"/>
          <w:color w:val="auto"/>
          <w:sz w:val="24"/>
          <w:highlight w:val="none"/>
        </w:rPr>
        <w:t xml:space="preserve"> 开标时间：</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color w:val="auto"/>
          <w:sz w:val="24"/>
          <w:highlight w:val="none"/>
        </w:rPr>
        <w:t>。地点：</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rPr>
        <w:t>开标室。</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5.7本项目各项投标活动具体可通过</w:t>
      </w:r>
      <w:r>
        <w:rPr>
          <w:rFonts w:hint="eastAsia" w:ascii="宋体" w:cs="宋体"/>
          <w:color w:val="auto"/>
          <w:sz w:val="24"/>
          <w:szCs w:val="24"/>
          <w:highlight w:val="none"/>
          <w:u w:val="single"/>
        </w:rPr>
        <w:t>广州交易集团有限公司（广州公共资源交易中心）</w:t>
      </w:r>
      <w:r>
        <w:rPr>
          <w:rFonts w:hint="eastAsia" w:ascii="宋体" w:hAnsi="宋体" w:cs="宋体"/>
          <w:color w:val="auto"/>
          <w:sz w:val="24"/>
          <w:highlight w:val="none"/>
        </w:rPr>
        <w:t>网站查询具体的时间和场地安排。</w:t>
      </w:r>
    </w:p>
    <w:p>
      <w:pPr>
        <w:pStyle w:val="3"/>
        <w:keepNext w:val="0"/>
        <w:keepLines w:val="0"/>
        <w:adjustRightInd w:val="0"/>
        <w:spacing w:before="0" w:after="0" w:line="360" w:lineRule="auto"/>
        <w:rPr>
          <w:rFonts w:ascii="宋体" w:hAnsi="宋体" w:eastAsia="宋体"/>
          <w:color w:val="auto"/>
          <w:highlight w:val="none"/>
        </w:rPr>
      </w:pPr>
      <w:r>
        <w:rPr>
          <w:rFonts w:ascii="宋体" w:hAnsi="宋体" w:eastAsia="宋体"/>
          <w:color w:val="auto"/>
          <w:highlight w:val="none"/>
        </w:rPr>
        <w:t>6. 发布公告的媒介</w:t>
      </w:r>
      <w:bookmarkEnd w:id="16"/>
      <w:bookmarkEnd w:id="17"/>
    </w:p>
    <w:p>
      <w:pPr>
        <w:adjustRightInd w:val="0"/>
        <w:spacing w:line="360" w:lineRule="auto"/>
        <w:ind w:firstLine="480" w:firstLineChars="200"/>
        <w:jc w:val="left"/>
        <w:rPr>
          <w:rFonts w:ascii="宋体" w:cs="宋体"/>
          <w:color w:val="auto"/>
          <w:sz w:val="24"/>
          <w:szCs w:val="24"/>
          <w:highlight w:val="none"/>
        </w:rPr>
      </w:pPr>
      <w:bookmarkStart w:id="18" w:name="_Toc511557031"/>
      <w:bookmarkStart w:id="19" w:name="_Toc515033016"/>
      <w:r>
        <w:rPr>
          <w:rFonts w:hint="eastAsia" w:ascii="宋体" w:cs="宋体"/>
          <w:color w:val="auto"/>
          <w:sz w:val="24"/>
          <w:szCs w:val="24"/>
          <w:highlight w:val="none"/>
        </w:rPr>
        <w:t>本次招标公告同时在</w:t>
      </w:r>
      <w:r>
        <w:rPr>
          <w:rFonts w:hint="eastAsia" w:ascii="宋体" w:cs="宋体"/>
          <w:color w:val="auto"/>
          <w:sz w:val="24"/>
          <w:szCs w:val="24"/>
          <w:highlight w:val="none"/>
          <w:u w:val="single"/>
        </w:rPr>
        <w:t>广州交易集团有限公司（广州公共资源交易中心）</w:t>
      </w:r>
      <w:r>
        <w:rPr>
          <w:rFonts w:hint="eastAsia" w:ascii="宋体" w:cs="宋体"/>
          <w:color w:val="auto"/>
          <w:sz w:val="24"/>
          <w:szCs w:val="24"/>
          <w:highlight w:val="none"/>
        </w:rPr>
        <w:t>网（网址：http://www.gzggzy.cn）、广东省招标投标监管网(网址：http://zbtb.gd.gov.cn/)、中国招标投标公共服务平台（网址：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"http://www.cebpubservice.com/）发布，本公告的修改、补充，在广州公共资源交易中心网发布。本公告在各媒体发布的文本如有不同之处，以在广州公共资源交易中心网发布的文本为准。" </w:instrText>
      </w:r>
      <w:r>
        <w:rPr>
          <w:color w:val="auto"/>
          <w:highlight w:val="none"/>
        </w:rPr>
        <w:fldChar w:fldCharType="separate"/>
      </w:r>
      <w:r>
        <w:rPr>
          <w:rStyle w:val="20"/>
          <w:rFonts w:hint="eastAsia" w:ascii="宋体" w:cs="宋体"/>
          <w:color w:val="auto"/>
          <w:sz w:val="24"/>
          <w:szCs w:val="24"/>
          <w:highlight w:val="none"/>
        </w:rPr>
        <w:t>http://www.cebpubservice.com/）发布，本公告的修改、补充，在</w:t>
      </w:r>
      <w:r>
        <w:rPr>
          <w:rFonts w:hint="eastAsia" w:ascii="宋体" w:cs="宋体"/>
          <w:color w:val="auto"/>
          <w:sz w:val="24"/>
          <w:szCs w:val="24"/>
          <w:highlight w:val="none"/>
          <w:u w:val="single"/>
        </w:rPr>
        <w:t>广州交易集团有限公司（广州公共资源交易中心）</w:t>
      </w:r>
      <w:r>
        <w:rPr>
          <w:rStyle w:val="20"/>
          <w:rFonts w:hint="eastAsia" w:ascii="宋体" w:cs="宋体"/>
          <w:color w:val="auto"/>
          <w:sz w:val="24"/>
          <w:szCs w:val="24"/>
          <w:highlight w:val="none"/>
        </w:rPr>
        <w:t>网</w:t>
      </w:r>
      <w:r>
        <w:rPr>
          <w:rStyle w:val="20"/>
          <w:rFonts w:hint="eastAsia" w:ascii="宋体" w:cs="宋体"/>
          <w:color w:val="auto"/>
          <w:sz w:val="24"/>
          <w:szCs w:val="24"/>
          <w:highlight w:val="none"/>
        </w:rPr>
        <w:t>等媒体</w:t>
      </w:r>
      <w:r>
        <w:rPr>
          <w:rStyle w:val="20"/>
          <w:rFonts w:hint="eastAsia" w:ascii="宋体" w:cs="宋体"/>
          <w:color w:val="auto"/>
          <w:sz w:val="24"/>
          <w:szCs w:val="24"/>
          <w:highlight w:val="none"/>
          <w:lang w:val="en-US" w:eastAsia="zh-CN"/>
        </w:rPr>
        <w:t>上</w:t>
      </w:r>
      <w:r>
        <w:rPr>
          <w:rStyle w:val="20"/>
          <w:rFonts w:hint="eastAsia" w:ascii="宋体" w:cs="宋体"/>
          <w:color w:val="auto"/>
          <w:sz w:val="24"/>
          <w:szCs w:val="24"/>
          <w:highlight w:val="none"/>
        </w:rPr>
        <w:t>发布。本公告在各媒体发布的文本如有不同之处，以在</w:t>
      </w:r>
      <w:r>
        <w:rPr>
          <w:rFonts w:hint="eastAsia" w:ascii="宋体" w:cs="宋体"/>
          <w:color w:val="auto"/>
          <w:sz w:val="24"/>
          <w:szCs w:val="24"/>
          <w:highlight w:val="none"/>
          <w:u w:val="single"/>
        </w:rPr>
        <w:t>广州交易集团有限公司（广州公共资源交易中心）</w:t>
      </w:r>
      <w:r>
        <w:rPr>
          <w:rStyle w:val="20"/>
          <w:rFonts w:hint="eastAsia" w:ascii="宋体" w:cs="宋体"/>
          <w:color w:val="auto"/>
          <w:sz w:val="24"/>
          <w:szCs w:val="24"/>
          <w:highlight w:val="none"/>
        </w:rPr>
        <w:t>网发布的文本为准。</w:t>
      </w:r>
      <w:r>
        <w:rPr>
          <w:rStyle w:val="20"/>
          <w:rFonts w:hint="eastAsia" w:ascii="宋体" w:cs="宋体"/>
          <w:color w:val="auto"/>
          <w:sz w:val="24"/>
          <w:szCs w:val="24"/>
          <w:highlight w:val="none"/>
        </w:rPr>
        <w:fldChar w:fldCharType="end"/>
      </w:r>
    </w:p>
    <w:p>
      <w:pPr>
        <w:adjustRightInd w:val="0"/>
        <w:spacing w:line="360" w:lineRule="auto"/>
        <w:ind w:firstLine="480" w:firstLineChars="200"/>
        <w:jc w:val="left"/>
        <w:rPr>
          <w:color w:val="auto"/>
          <w:highlight w:val="none"/>
        </w:rPr>
      </w:pPr>
      <w:r>
        <w:rPr>
          <w:rFonts w:hint="eastAsia" w:asci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keepNext w:val="0"/>
        <w:keepLines w:val="0"/>
        <w:spacing w:before="0" w:after="0" w:line="360" w:lineRule="auto"/>
        <w:rPr>
          <w:rFonts w:ascii="宋体" w:hAnsi="宋体" w:eastAsia="宋体" w:cs="宋体"/>
          <w:color w:val="auto"/>
          <w:highlight w:val="none"/>
        </w:rPr>
      </w:pPr>
      <w:r>
        <w:rPr>
          <w:rFonts w:ascii="宋体" w:hAnsi="宋体" w:eastAsia="宋体" w:cs="宋体"/>
          <w:color w:val="auto"/>
          <w:highlight w:val="none"/>
        </w:rPr>
        <w:t xml:space="preserve">7. </w:t>
      </w:r>
      <w:r>
        <w:rPr>
          <w:rFonts w:hint="eastAsia" w:ascii="宋体" w:hAnsi="宋体" w:eastAsia="宋体" w:cs="宋体"/>
          <w:color w:val="auto"/>
          <w:highlight w:val="none"/>
        </w:rPr>
        <w:t>异议受理</w:t>
      </w:r>
    </w:p>
    <w:p>
      <w:pPr>
        <w:topLinePunct/>
        <w:spacing w:line="440" w:lineRule="exact"/>
        <w:ind w:firstLine="480" w:firstLineChars="200"/>
        <w:rPr>
          <w:rFonts w:ascii="宋体" w:hAnsi="宋体"/>
          <w:color w:val="auto"/>
          <w:sz w:val="24"/>
          <w:highlight w:val="none"/>
        </w:rPr>
      </w:pPr>
      <w:r>
        <w:rPr>
          <w:rFonts w:hint="eastAsia" w:ascii="宋体" w:hAnsi="宋体"/>
          <w:color w:val="auto"/>
          <w:sz w:val="24"/>
          <w:highlight w:val="none"/>
        </w:rPr>
        <w:t>潜在投标人或利害关系人对本招标公告及招标内容异议的，应当在投标截止时间10日前向招标人书面提出。</w:t>
      </w:r>
    </w:p>
    <w:p>
      <w:pPr>
        <w:spacing w:line="440" w:lineRule="exact"/>
        <w:ind w:right="482" w:firstLine="480" w:firstLineChars="200"/>
        <w:rPr>
          <w:rFonts w:hint="eastAsia" w:ascii="宋体" w:hAnsi="宋体"/>
          <w:color w:val="auto"/>
          <w:sz w:val="24"/>
          <w:highlight w:val="none"/>
        </w:rPr>
      </w:pPr>
      <w:r>
        <w:rPr>
          <w:rFonts w:hint="eastAsia" w:ascii="宋体" w:hAnsi="宋体"/>
          <w:color w:val="auto"/>
          <w:sz w:val="24"/>
          <w:highlight w:val="none"/>
        </w:rPr>
        <w:t>异议受理部门：广州合锦嘉泓房地产投资有限公司</w:t>
      </w:r>
    </w:p>
    <w:p>
      <w:pPr>
        <w:spacing w:line="440" w:lineRule="exact"/>
        <w:ind w:right="482" w:firstLine="480" w:firstLineChars="200"/>
        <w:rPr>
          <w:rFonts w:hint="eastAsia" w:ascii="宋体" w:hAnsi="宋体"/>
          <w:color w:val="auto"/>
          <w:sz w:val="24"/>
          <w:highlight w:val="none"/>
        </w:rPr>
      </w:pPr>
      <w:r>
        <w:rPr>
          <w:rFonts w:hint="eastAsia" w:ascii="宋体" w:hAnsi="宋体"/>
          <w:color w:val="auto"/>
          <w:sz w:val="24"/>
          <w:highlight w:val="none"/>
        </w:rPr>
        <w:t>异议受理电话：020-62316005</w:t>
      </w:r>
    </w:p>
    <w:p>
      <w:pPr>
        <w:spacing w:line="440" w:lineRule="exact"/>
        <w:ind w:right="482" w:firstLine="480" w:firstLineChars="200"/>
        <w:rPr>
          <w:rFonts w:ascii="宋体" w:hAnsi="宋体" w:cs="宋体"/>
          <w:color w:val="auto"/>
          <w:sz w:val="24"/>
          <w:highlight w:val="none"/>
        </w:rPr>
      </w:pPr>
      <w:r>
        <w:rPr>
          <w:rFonts w:hint="eastAsia" w:ascii="宋体" w:hAnsi="宋体"/>
          <w:color w:val="auto"/>
          <w:sz w:val="24"/>
          <w:highlight w:val="none"/>
        </w:rPr>
        <w:t>地址：广州市海珠区琶洲大道188号南方投资大厦15层</w:t>
      </w:r>
    </w:p>
    <w:p>
      <w:pPr>
        <w:pStyle w:val="3"/>
        <w:keepNext w:val="0"/>
        <w:keepLines w:val="0"/>
        <w:adjustRightInd w:val="0"/>
        <w:spacing w:before="0" w:after="0" w:line="360" w:lineRule="auto"/>
        <w:rPr>
          <w:rFonts w:ascii="宋体" w:hAnsi="宋体" w:eastAsia="宋体"/>
          <w:color w:val="auto"/>
          <w:highlight w:val="none"/>
        </w:rPr>
      </w:pPr>
      <w:r>
        <w:rPr>
          <w:rFonts w:hint="eastAsia" w:ascii="宋体" w:hAnsi="宋体" w:eastAsia="宋体"/>
          <w:color w:val="auto"/>
          <w:highlight w:val="none"/>
        </w:rPr>
        <w:t>8.</w:t>
      </w:r>
      <w:r>
        <w:rPr>
          <w:rFonts w:ascii="宋体" w:hAnsi="宋体" w:eastAsia="宋体"/>
          <w:color w:val="auto"/>
          <w:highlight w:val="none"/>
        </w:rPr>
        <w:t xml:space="preserve"> 联系方式</w:t>
      </w:r>
      <w:bookmarkEnd w:id="18"/>
      <w:bookmarkEnd w:id="19"/>
    </w:p>
    <w:p>
      <w:pPr>
        <w:adjustRightInd w:val="0"/>
        <w:spacing w:line="360" w:lineRule="auto"/>
        <w:ind w:left="7168" w:leftChars="32" w:right="360" w:hanging="7101" w:hangingChars="2959"/>
        <w:jc w:val="left"/>
        <w:rPr>
          <w:rFonts w:hint="eastAsia" w:ascii="宋体" w:hAnsi="宋体" w:eastAsia="宋体"/>
          <w:color w:val="auto"/>
          <w:kern w:val="0"/>
          <w:sz w:val="24"/>
          <w:highlight w:val="none"/>
          <w:u w:val="single"/>
          <w:lang w:eastAsia="zh-CN"/>
        </w:rPr>
      </w:pPr>
      <w:bookmarkStart w:id="20" w:name="_Toc369531495"/>
      <w:bookmarkEnd w:id="20"/>
      <w:bookmarkStart w:id="21" w:name="_Toc247527535"/>
      <w:bookmarkEnd w:id="21"/>
      <w:bookmarkStart w:id="22" w:name="_Toc369531498"/>
      <w:bookmarkEnd w:id="22"/>
      <w:bookmarkStart w:id="23" w:name="_Toc144974480"/>
      <w:bookmarkEnd w:id="23"/>
      <w:bookmarkStart w:id="24" w:name="_Toc361508560"/>
      <w:bookmarkEnd w:id="24"/>
      <w:bookmarkStart w:id="25" w:name="_Toc352691456"/>
      <w:bookmarkEnd w:id="25"/>
      <w:bookmarkStart w:id="26" w:name="_Toc152045513"/>
      <w:bookmarkEnd w:id="26"/>
      <w:bookmarkStart w:id="27" w:name="_Toc352691455"/>
      <w:bookmarkEnd w:id="27"/>
      <w:bookmarkStart w:id="28" w:name="_Toc352691453"/>
      <w:bookmarkEnd w:id="28"/>
      <w:bookmarkStart w:id="29" w:name="_Toc361508562"/>
      <w:bookmarkEnd w:id="29"/>
      <w:bookmarkStart w:id="30" w:name="_Toc30817"/>
      <w:bookmarkEnd w:id="30"/>
      <w:bookmarkStart w:id="31" w:name="_Toc144974481"/>
      <w:bookmarkEnd w:id="31"/>
      <w:bookmarkStart w:id="32" w:name="_Toc361508563"/>
      <w:bookmarkEnd w:id="32"/>
      <w:bookmarkStart w:id="33" w:name="_Toc152045512"/>
      <w:bookmarkEnd w:id="33"/>
      <w:bookmarkStart w:id="34" w:name="_Toc369531497"/>
      <w:bookmarkEnd w:id="34"/>
      <w:bookmarkStart w:id="35" w:name="_Toc384308188"/>
      <w:bookmarkEnd w:id="35"/>
      <w:bookmarkStart w:id="36" w:name="_Toc17972"/>
      <w:bookmarkEnd w:id="36"/>
      <w:bookmarkStart w:id="37" w:name="_Toc152042288"/>
      <w:bookmarkEnd w:id="37"/>
      <w:bookmarkStart w:id="38" w:name="_Toc300834930"/>
      <w:bookmarkEnd w:id="38"/>
      <w:bookmarkStart w:id="39" w:name="_Toc384308185"/>
      <w:bookmarkEnd w:id="39"/>
      <w:bookmarkStart w:id="40" w:name="_Toc247513935"/>
      <w:bookmarkEnd w:id="40"/>
      <w:bookmarkStart w:id="41" w:name="_Toc384308187"/>
      <w:bookmarkEnd w:id="41"/>
      <w:bookmarkStart w:id="42" w:name="_Toc247513934"/>
      <w:bookmarkEnd w:id="42"/>
      <w:bookmarkStart w:id="43" w:name="_Toc247527536"/>
      <w:bookmarkEnd w:id="43"/>
      <w:bookmarkStart w:id="44" w:name="_Toc300834927"/>
      <w:bookmarkEnd w:id="44"/>
      <w:bookmarkStart w:id="45" w:name="_Toc300834929"/>
      <w:bookmarkEnd w:id="45"/>
      <w:bookmarkStart w:id="46" w:name="_Toc152042289"/>
      <w:bookmarkEnd w:id="46"/>
      <w:bookmarkStart w:id="47" w:name="_Toc10785"/>
      <w:bookmarkEnd w:id="47"/>
      <w:r>
        <w:rPr>
          <w:rFonts w:hint="eastAsia" w:ascii="宋体" w:hAnsi="宋体" w:cs="宋体"/>
          <w:color w:val="auto"/>
          <w:sz w:val="24"/>
          <w:szCs w:val="24"/>
          <w:highlight w:val="none"/>
        </w:rPr>
        <w:t xml:space="preserve">招   标  </w:t>
      </w:r>
      <w:r>
        <w:rPr>
          <w:rFonts w:hint="eastAsia" w:ascii="宋体" w:hAnsi="宋体"/>
          <w:color w:val="auto"/>
          <w:kern w:val="0"/>
          <w:sz w:val="24"/>
          <w:highlight w:val="none"/>
        </w:rPr>
        <w:t>人：</w:t>
      </w:r>
      <w:r>
        <w:rPr>
          <w:rFonts w:hint="eastAsia" w:ascii="宋体" w:hAnsi="宋体"/>
          <w:color w:val="auto"/>
          <w:kern w:val="0"/>
          <w:sz w:val="24"/>
          <w:highlight w:val="none"/>
          <w:u w:val="single"/>
          <w:lang w:eastAsia="zh-CN"/>
        </w:rPr>
        <w:t>广州合锦嘉泓房地产投资有限公司</w:t>
      </w:r>
    </w:p>
    <w:p>
      <w:pPr>
        <w:adjustRightInd w:val="0"/>
        <w:spacing w:line="360" w:lineRule="auto"/>
        <w:ind w:left="7168" w:leftChars="32" w:right="360" w:hanging="7101" w:hangingChars="2959"/>
        <w:jc w:val="left"/>
        <w:rPr>
          <w:rFonts w:ascii="宋体" w:hAnsi="宋体"/>
          <w:color w:val="auto"/>
          <w:kern w:val="0"/>
          <w:sz w:val="24"/>
          <w:highlight w:val="none"/>
          <w:u w:val="single"/>
        </w:rPr>
      </w:pPr>
      <w:r>
        <w:rPr>
          <w:rFonts w:hint="eastAsia" w:ascii="宋体" w:hAnsi="宋体" w:cs="宋体"/>
          <w:color w:val="auto"/>
          <w:sz w:val="24"/>
          <w:szCs w:val="24"/>
          <w:highlight w:val="none"/>
        </w:rPr>
        <w:t>联   系  人</w:t>
      </w:r>
      <w:r>
        <w:rPr>
          <w:rFonts w:hint="eastAsia" w:ascii="宋体" w:hAnsi="宋体"/>
          <w:color w:val="auto"/>
          <w:kern w:val="0"/>
          <w:sz w:val="24"/>
          <w:highlight w:val="none"/>
        </w:rPr>
        <w:t>：</w:t>
      </w:r>
      <w:r>
        <w:rPr>
          <w:rFonts w:hint="eastAsia" w:ascii="宋体" w:hAnsi="宋体"/>
          <w:color w:val="auto"/>
          <w:kern w:val="0"/>
          <w:sz w:val="24"/>
          <w:highlight w:val="none"/>
          <w:u w:val="single"/>
        </w:rPr>
        <w:t>梁工</w:t>
      </w:r>
      <w:r>
        <w:rPr>
          <w:rFonts w:hint="eastAsia" w:ascii="宋体" w:hAnsi="宋体"/>
          <w:color w:val="auto"/>
          <w:kern w:val="0"/>
          <w:sz w:val="24"/>
          <w:highlight w:val="none"/>
        </w:rPr>
        <w:t xml:space="preserve">     联系电话：</w:t>
      </w:r>
      <w:r>
        <w:rPr>
          <w:rFonts w:hint="eastAsia" w:ascii="宋体" w:hAnsi="宋体" w:cs="宋体"/>
          <w:color w:val="auto"/>
          <w:sz w:val="24"/>
          <w:szCs w:val="24"/>
          <w:highlight w:val="none"/>
          <w:u w:val="single"/>
        </w:rPr>
        <w:t>020-62935860</w:t>
      </w:r>
    </w:p>
    <w:p>
      <w:pPr>
        <w:adjustRightInd w:val="0"/>
        <w:spacing w:line="360" w:lineRule="auto"/>
        <w:ind w:left="7168" w:leftChars="32" w:right="360" w:hanging="7101" w:hangingChars="2959"/>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olor w:val="auto"/>
          <w:sz w:val="24"/>
          <w:highlight w:val="none"/>
          <w:u w:val="single"/>
        </w:rPr>
        <w:t>广州市海珠区琶洲大道188号南方投资大厦15层</w:t>
      </w:r>
    </w:p>
    <w:p>
      <w:pPr>
        <w:topLinePunct/>
        <w:adjustRightInd w:val="0"/>
        <w:spacing w:line="360" w:lineRule="auto"/>
        <w:ind w:left="120" w:right="360" w:hanging="120" w:hangingChars="5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adjustRightInd w:val="0"/>
        <w:spacing w:line="360" w:lineRule="auto"/>
        <w:ind w:left="7168" w:leftChars="32" w:right="360" w:hanging="7101" w:hangingChars="2959"/>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olor w:val="auto"/>
          <w:sz w:val="24"/>
          <w:highlight w:val="none"/>
          <w:u w:val="single"/>
          <w:lang w:eastAsia="zh-CN"/>
        </w:rPr>
        <w:t>广州竣盛工程造价咨询有限公司</w:t>
      </w:r>
    </w:p>
    <w:p>
      <w:pPr>
        <w:adjustRightInd w:val="0"/>
        <w:spacing w:line="360" w:lineRule="auto"/>
        <w:ind w:left="7168" w:leftChars="32" w:right="360" w:hanging="7101" w:hangingChars="2959"/>
        <w:jc w:val="left"/>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rPr>
        <w:t xml:space="preserve">黄工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lang w:val="en-US" w:eastAsia="zh-CN"/>
        </w:rPr>
        <w:t>15013049870</w:t>
      </w:r>
    </w:p>
    <w:p>
      <w:pPr>
        <w:adjustRightInd w:val="0"/>
        <w:spacing w:line="360" w:lineRule="auto"/>
        <w:ind w:left="7168" w:leftChars="32" w:right="360" w:hanging="7101" w:hangingChars="2959"/>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olor w:val="auto"/>
          <w:sz w:val="24"/>
          <w:highlight w:val="none"/>
          <w:u w:val="single"/>
        </w:rPr>
        <w:t>广州市海珠区琶洲大道188-190号南方投资大厦12-13层</w:t>
      </w:r>
    </w:p>
    <w:p>
      <w:pPr>
        <w:adjustRightInd w:val="0"/>
        <w:spacing w:line="360" w:lineRule="auto"/>
        <w:ind w:left="7168" w:leftChars="32" w:right="360" w:hanging="7101" w:hangingChars="2959"/>
        <w:jc w:val="left"/>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ind w:left="67" w:leftChars="32" w:right="363" w:firstLine="0" w:firstLineChars="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招标监督机构：广州开发区建设工程招投标管理办公室（广州市黄埔区建设工程招投标管理办公室）</w:t>
      </w:r>
    </w:p>
    <w:p>
      <w:pPr>
        <w:adjustRightInd w:val="0"/>
        <w:spacing w:line="360" w:lineRule="auto"/>
        <w:ind w:left="7168" w:leftChars="32" w:right="360" w:hanging="7101" w:hangingChars="2959"/>
        <w:jc w:val="left"/>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highlight w:val="none"/>
          <w:u w:val="single"/>
        </w:rPr>
        <w:t>广州市黄埔区水西路30号四楼</w:t>
      </w:r>
    </w:p>
    <w:p>
      <w:pPr>
        <w:adjustRightInd w:val="0"/>
        <w:spacing w:line="360" w:lineRule="auto"/>
        <w:ind w:left="8" w:right="360" w:firstLine="57" w:firstLineChars="24"/>
        <w:rPr>
          <w:color w:val="auto"/>
          <w:kern w:val="0"/>
          <w:highlight w:val="none"/>
        </w:rPr>
      </w:pPr>
      <w:r>
        <w:rPr>
          <w:rFonts w:hint="eastAsia" w:ascii="宋体" w:hAnsi="宋体" w:cs="宋体"/>
          <w:color w:val="auto"/>
          <w:sz w:val="24"/>
          <w:szCs w:val="24"/>
          <w:highlight w:val="none"/>
        </w:rPr>
        <w:t>监管电话：</w:t>
      </w:r>
      <w:r>
        <w:rPr>
          <w:rFonts w:hint="eastAsia" w:ascii="宋体" w:hAnsi="宋体"/>
          <w:color w:val="auto"/>
          <w:sz w:val="24"/>
          <w:highlight w:val="none"/>
          <w:u w:val="single"/>
        </w:rPr>
        <w:t>020-82118560/82112206</w:t>
      </w:r>
      <w:r>
        <w:rPr>
          <w:color w:val="auto"/>
          <w:kern w:val="0"/>
          <w:highlight w:val="none"/>
        </w:rPr>
        <w:br w:type="page"/>
      </w:r>
      <w:r>
        <w:rPr>
          <w:rFonts w:hint="eastAsia" w:ascii="宋体" w:hAnsi="宋体" w:cs="宋体"/>
          <w:color w:val="auto"/>
          <w:kern w:val="0"/>
          <w:sz w:val="24"/>
          <w:highlight w:val="none"/>
        </w:rPr>
        <w:t>附件一：</w:t>
      </w:r>
    </w:p>
    <w:p>
      <w:pPr>
        <w:widowControl/>
        <w:spacing w:line="360" w:lineRule="auto"/>
        <w:ind w:right="384"/>
        <w:jc w:val="center"/>
        <w:rPr>
          <w:rFonts w:ascii="宋体" w:hAnsi="宋体" w:cs="宋体"/>
          <w:b/>
          <w:bCs/>
          <w:color w:val="auto"/>
          <w:kern w:val="0"/>
          <w:sz w:val="24"/>
          <w:highlight w:val="none"/>
        </w:rPr>
      </w:pPr>
      <w:r>
        <w:rPr>
          <w:rFonts w:hint="eastAsia" w:ascii="宋体" w:hAnsi="宋体" w:cs="宋体"/>
          <w:b/>
          <w:bCs/>
          <w:color w:val="auto"/>
          <w:kern w:val="0"/>
          <w:sz w:val="28"/>
          <w:szCs w:val="28"/>
          <w:highlight w:val="none"/>
        </w:rPr>
        <w:t>投标人声明</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广州市住房和城乡建设局、本招标项目招标人及招标监管机构：</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项目投标工作，作出郑重声明：</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pPr>
        <w:spacing w:line="440" w:lineRule="exact"/>
        <w:ind w:firstLine="480" w:firstLineChars="200"/>
        <w:rPr>
          <w:color w:val="auto"/>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pPr>
        <w:snapToGrid w:val="0"/>
        <w:spacing w:line="360" w:lineRule="auto"/>
        <w:ind w:firstLine="480" w:firstLineChars="200"/>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七、本公司承诺，我单位没有在项目所在地政府、中国南方电网有限责任公司、广东电网有限责任公司及广州南方投资集团有限公司暂停投标资格、取消投标资格、不接受投标、市场禁入，且未解除的。</w:t>
      </w:r>
    </w:p>
    <w:p>
      <w:pPr>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w:t>
      </w:r>
      <w:bookmarkStart w:id="48" w:name="_GoBack"/>
      <w:bookmarkEnd w:id="48"/>
      <w:r>
        <w:rPr>
          <w:rFonts w:hint="eastAsia" w:ascii="宋体" w:hAnsi="宋体" w:cs="宋体"/>
          <w:b/>
          <w:color w:val="auto"/>
          <w:kern w:val="0"/>
          <w:sz w:val="24"/>
          <w:szCs w:val="24"/>
          <w:highlight w:val="none"/>
        </w:rPr>
        <w:t>办法》</w:t>
      </w:r>
      <w:r>
        <w:rPr>
          <w:rFonts w:hint="eastAsia" w:ascii="宋体" w:hAnsi="宋体" w:cs="宋体"/>
          <w:b/>
          <w:bCs/>
          <w:color w:val="auto"/>
          <w:sz w:val="24"/>
          <w:szCs w:val="24"/>
          <w:highlight w:val="none"/>
          <w:u w:val="single"/>
        </w:rPr>
        <w:t>（穗建规字﹝2019﹞16号）的规</w:t>
      </w:r>
      <w:r>
        <w:rPr>
          <w:rFonts w:hint="eastAsia" w:ascii="宋体" w:hAnsi="宋体" w:cs="宋体"/>
          <w:b/>
          <w:color w:val="auto"/>
          <w:kern w:val="0"/>
          <w:sz w:val="24"/>
          <w:szCs w:val="24"/>
          <w:highlight w:val="none"/>
        </w:rPr>
        <w:t>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pStyle w:val="4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声明企业：         (企业公章)</w:t>
      </w:r>
    </w:p>
    <w:p>
      <w:pPr>
        <w:pStyle w:val="4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总监理工程师：         （签字）</w:t>
      </w:r>
    </w:p>
    <w:p>
      <w:pPr>
        <w:pStyle w:val="44"/>
        <w:ind w:right="96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pPr>
        <w:widowControl/>
        <w:shd w:val="clear" w:color="auto" w:fill="FFFFFF"/>
        <w:snapToGrid w:val="0"/>
        <w:spacing w:before="260" w:after="260"/>
        <w:ind w:right="386"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rPr>
          <w:color w:val="auto"/>
          <w:highlight w:val="none"/>
        </w:rPr>
      </w:pPr>
    </w:p>
    <w:sectPr>
      <w:footerReference r:id="rId3" w:type="default"/>
      <w:pgSz w:w="11906" w:h="16838"/>
      <w:pgMar w:top="1417" w:right="1417" w:bottom="1417"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宋体u萀">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7</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DM5Mzc5M2VlZDZlZTI4MTQxNzllMzQyMTg5ZjMifQ=="/>
  </w:docVars>
  <w:rsids>
    <w:rsidRoot w:val="00172A27"/>
    <w:rsid w:val="000112F4"/>
    <w:rsid w:val="0004152A"/>
    <w:rsid w:val="000557A0"/>
    <w:rsid w:val="00064A7C"/>
    <w:rsid w:val="0007006E"/>
    <w:rsid w:val="00070E92"/>
    <w:rsid w:val="00080286"/>
    <w:rsid w:val="000810FC"/>
    <w:rsid w:val="00084084"/>
    <w:rsid w:val="000B64D9"/>
    <w:rsid w:val="000B7837"/>
    <w:rsid w:val="000C4326"/>
    <w:rsid w:val="000D04C4"/>
    <w:rsid w:val="000D0657"/>
    <w:rsid w:val="000D0AC0"/>
    <w:rsid w:val="000E1463"/>
    <w:rsid w:val="000E52BE"/>
    <w:rsid w:val="000E6692"/>
    <w:rsid w:val="000F167D"/>
    <w:rsid w:val="000F20EC"/>
    <w:rsid w:val="000F261A"/>
    <w:rsid w:val="00100329"/>
    <w:rsid w:val="00112083"/>
    <w:rsid w:val="00113969"/>
    <w:rsid w:val="0011476E"/>
    <w:rsid w:val="0012128E"/>
    <w:rsid w:val="00131C5B"/>
    <w:rsid w:val="00137CF0"/>
    <w:rsid w:val="00140FF8"/>
    <w:rsid w:val="0014149A"/>
    <w:rsid w:val="00150B3F"/>
    <w:rsid w:val="00154119"/>
    <w:rsid w:val="001572CB"/>
    <w:rsid w:val="001657A1"/>
    <w:rsid w:val="001672F1"/>
    <w:rsid w:val="00167B9D"/>
    <w:rsid w:val="0017279F"/>
    <w:rsid w:val="00172A27"/>
    <w:rsid w:val="0018105F"/>
    <w:rsid w:val="00187EB4"/>
    <w:rsid w:val="00191168"/>
    <w:rsid w:val="00191480"/>
    <w:rsid w:val="001A3132"/>
    <w:rsid w:val="001A33AA"/>
    <w:rsid w:val="001A65AB"/>
    <w:rsid w:val="001A74A3"/>
    <w:rsid w:val="001B3761"/>
    <w:rsid w:val="001C7DC0"/>
    <w:rsid w:val="001D542D"/>
    <w:rsid w:val="001D68EB"/>
    <w:rsid w:val="001E3E59"/>
    <w:rsid w:val="001F32F9"/>
    <w:rsid w:val="00214A9E"/>
    <w:rsid w:val="00225814"/>
    <w:rsid w:val="00225B41"/>
    <w:rsid w:val="00232F6F"/>
    <w:rsid w:val="00243BE8"/>
    <w:rsid w:val="00244619"/>
    <w:rsid w:val="00247EA6"/>
    <w:rsid w:val="00254810"/>
    <w:rsid w:val="00256403"/>
    <w:rsid w:val="00261829"/>
    <w:rsid w:val="00265C34"/>
    <w:rsid w:val="002708B7"/>
    <w:rsid w:val="00273218"/>
    <w:rsid w:val="00274DDC"/>
    <w:rsid w:val="002B0C19"/>
    <w:rsid w:val="002B1F3E"/>
    <w:rsid w:val="002C18C8"/>
    <w:rsid w:val="002D09ED"/>
    <w:rsid w:val="002D38FB"/>
    <w:rsid w:val="002D43A2"/>
    <w:rsid w:val="002D5CB1"/>
    <w:rsid w:val="002E5BAC"/>
    <w:rsid w:val="002F2267"/>
    <w:rsid w:val="00300087"/>
    <w:rsid w:val="00311679"/>
    <w:rsid w:val="00324B64"/>
    <w:rsid w:val="00327E8A"/>
    <w:rsid w:val="00344C96"/>
    <w:rsid w:val="00345B84"/>
    <w:rsid w:val="003518FE"/>
    <w:rsid w:val="00357ADF"/>
    <w:rsid w:val="0036303D"/>
    <w:rsid w:val="00365EDC"/>
    <w:rsid w:val="00372BCF"/>
    <w:rsid w:val="00377716"/>
    <w:rsid w:val="003831DB"/>
    <w:rsid w:val="00384B1E"/>
    <w:rsid w:val="00392A6B"/>
    <w:rsid w:val="003A6A9A"/>
    <w:rsid w:val="003D15EE"/>
    <w:rsid w:val="003D4E9E"/>
    <w:rsid w:val="003E592D"/>
    <w:rsid w:val="003E6283"/>
    <w:rsid w:val="003E65A5"/>
    <w:rsid w:val="003E7BA4"/>
    <w:rsid w:val="003F2D00"/>
    <w:rsid w:val="00401209"/>
    <w:rsid w:val="00404236"/>
    <w:rsid w:val="00414788"/>
    <w:rsid w:val="00422098"/>
    <w:rsid w:val="00434533"/>
    <w:rsid w:val="00440EDC"/>
    <w:rsid w:val="00455FE9"/>
    <w:rsid w:val="00470A7C"/>
    <w:rsid w:val="004778BF"/>
    <w:rsid w:val="00481854"/>
    <w:rsid w:val="00487441"/>
    <w:rsid w:val="004932A0"/>
    <w:rsid w:val="004956C8"/>
    <w:rsid w:val="004A3D47"/>
    <w:rsid w:val="004B0BDD"/>
    <w:rsid w:val="004C1166"/>
    <w:rsid w:val="004C5839"/>
    <w:rsid w:val="004D4389"/>
    <w:rsid w:val="004F1D56"/>
    <w:rsid w:val="004F2D43"/>
    <w:rsid w:val="004F5904"/>
    <w:rsid w:val="00515F91"/>
    <w:rsid w:val="00523036"/>
    <w:rsid w:val="00523CA6"/>
    <w:rsid w:val="00525CA2"/>
    <w:rsid w:val="00527DA1"/>
    <w:rsid w:val="005304BB"/>
    <w:rsid w:val="005306C2"/>
    <w:rsid w:val="00534557"/>
    <w:rsid w:val="0053752F"/>
    <w:rsid w:val="00543035"/>
    <w:rsid w:val="005502AF"/>
    <w:rsid w:val="00552BB0"/>
    <w:rsid w:val="00561810"/>
    <w:rsid w:val="0056573A"/>
    <w:rsid w:val="00566D2C"/>
    <w:rsid w:val="00572B24"/>
    <w:rsid w:val="005741AD"/>
    <w:rsid w:val="00594FE6"/>
    <w:rsid w:val="00597DD7"/>
    <w:rsid w:val="005A607F"/>
    <w:rsid w:val="005A7D2D"/>
    <w:rsid w:val="005B45CA"/>
    <w:rsid w:val="005B5A61"/>
    <w:rsid w:val="005B5CFE"/>
    <w:rsid w:val="005B6246"/>
    <w:rsid w:val="005B65A5"/>
    <w:rsid w:val="005C1FE7"/>
    <w:rsid w:val="005C2F67"/>
    <w:rsid w:val="005C4F3F"/>
    <w:rsid w:val="005C631C"/>
    <w:rsid w:val="005D3A0B"/>
    <w:rsid w:val="005E62F6"/>
    <w:rsid w:val="005F2A3F"/>
    <w:rsid w:val="00603119"/>
    <w:rsid w:val="00611557"/>
    <w:rsid w:val="00612F62"/>
    <w:rsid w:val="00623192"/>
    <w:rsid w:val="0062537C"/>
    <w:rsid w:val="006371AB"/>
    <w:rsid w:val="0064669F"/>
    <w:rsid w:val="00655D7C"/>
    <w:rsid w:val="00657ABC"/>
    <w:rsid w:val="00657F12"/>
    <w:rsid w:val="006664BD"/>
    <w:rsid w:val="0067174A"/>
    <w:rsid w:val="00671D2D"/>
    <w:rsid w:val="0068167B"/>
    <w:rsid w:val="00684BEA"/>
    <w:rsid w:val="006868F4"/>
    <w:rsid w:val="00691CFD"/>
    <w:rsid w:val="00692C51"/>
    <w:rsid w:val="006A1C4B"/>
    <w:rsid w:val="006B1657"/>
    <w:rsid w:val="006B7861"/>
    <w:rsid w:val="006C3098"/>
    <w:rsid w:val="006C7BE9"/>
    <w:rsid w:val="006D06F7"/>
    <w:rsid w:val="006D5F7E"/>
    <w:rsid w:val="006D7148"/>
    <w:rsid w:val="006E12B6"/>
    <w:rsid w:val="006E1585"/>
    <w:rsid w:val="00705F84"/>
    <w:rsid w:val="00707C96"/>
    <w:rsid w:val="007148D9"/>
    <w:rsid w:val="0072403B"/>
    <w:rsid w:val="00724473"/>
    <w:rsid w:val="0073352E"/>
    <w:rsid w:val="00736D42"/>
    <w:rsid w:val="00742519"/>
    <w:rsid w:val="007479F0"/>
    <w:rsid w:val="00751161"/>
    <w:rsid w:val="00755DB3"/>
    <w:rsid w:val="0077707D"/>
    <w:rsid w:val="0078054C"/>
    <w:rsid w:val="007A306B"/>
    <w:rsid w:val="007B3525"/>
    <w:rsid w:val="007C26E4"/>
    <w:rsid w:val="007C2BEE"/>
    <w:rsid w:val="007F03E4"/>
    <w:rsid w:val="007F1ABE"/>
    <w:rsid w:val="007F7AAA"/>
    <w:rsid w:val="00804237"/>
    <w:rsid w:val="00817C18"/>
    <w:rsid w:val="0082160D"/>
    <w:rsid w:val="00822B10"/>
    <w:rsid w:val="00822D70"/>
    <w:rsid w:val="008318FB"/>
    <w:rsid w:val="00835968"/>
    <w:rsid w:val="008420DD"/>
    <w:rsid w:val="00850B4F"/>
    <w:rsid w:val="00861BB8"/>
    <w:rsid w:val="00863C99"/>
    <w:rsid w:val="008658FC"/>
    <w:rsid w:val="008713E3"/>
    <w:rsid w:val="008833F5"/>
    <w:rsid w:val="00887505"/>
    <w:rsid w:val="00887B2A"/>
    <w:rsid w:val="00887BA0"/>
    <w:rsid w:val="008904A1"/>
    <w:rsid w:val="008907A4"/>
    <w:rsid w:val="008A060D"/>
    <w:rsid w:val="008A1A76"/>
    <w:rsid w:val="008A2871"/>
    <w:rsid w:val="008A3DEC"/>
    <w:rsid w:val="008A489A"/>
    <w:rsid w:val="008B11A8"/>
    <w:rsid w:val="008B3CC1"/>
    <w:rsid w:val="008C08D8"/>
    <w:rsid w:val="008D2EC4"/>
    <w:rsid w:val="008D31C7"/>
    <w:rsid w:val="008E4AC8"/>
    <w:rsid w:val="008E56EB"/>
    <w:rsid w:val="008E6B71"/>
    <w:rsid w:val="008F17CD"/>
    <w:rsid w:val="008F1D12"/>
    <w:rsid w:val="00905BF1"/>
    <w:rsid w:val="00905EB6"/>
    <w:rsid w:val="00907CF2"/>
    <w:rsid w:val="00910D05"/>
    <w:rsid w:val="00916509"/>
    <w:rsid w:val="00917520"/>
    <w:rsid w:val="00920CB1"/>
    <w:rsid w:val="009223B1"/>
    <w:rsid w:val="00922521"/>
    <w:rsid w:val="00925B36"/>
    <w:rsid w:val="00934452"/>
    <w:rsid w:val="009408BB"/>
    <w:rsid w:val="009453D3"/>
    <w:rsid w:val="00950F54"/>
    <w:rsid w:val="00967CC4"/>
    <w:rsid w:val="0098506D"/>
    <w:rsid w:val="00986A3A"/>
    <w:rsid w:val="00994150"/>
    <w:rsid w:val="00994760"/>
    <w:rsid w:val="009970E3"/>
    <w:rsid w:val="00997E24"/>
    <w:rsid w:val="009A1BAA"/>
    <w:rsid w:val="009B0D59"/>
    <w:rsid w:val="009B1A1D"/>
    <w:rsid w:val="009B2017"/>
    <w:rsid w:val="009C1438"/>
    <w:rsid w:val="009D18AE"/>
    <w:rsid w:val="009D5A4A"/>
    <w:rsid w:val="009E0E27"/>
    <w:rsid w:val="009E1C84"/>
    <w:rsid w:val="009E3A27"/>
    <w:rsid w:val="009F5E31"/>
    <w:rsid w:val="00A048BA"/>
    <w:rsid w:val="00A063D2"/>
    <w:rsid w:val="00A11DEB"/>
    <w:rsid w:val="00A2358B"/>
    <w:rsid w:val="00A41561"/>
    <w:rsid w:val="00A43338"/>
    <w:rsid w:val="00A536B3"/>
    <w:rsid w:val="00A603E2"/>
    <w:rsid w:val="00A62243"/>
    <w:rsid w:val="00A64A06"/>
    <w:rsid w:val="00A66C2E"/>
    <w:rsid w:val="00A74AD3"/>
    <w:rsid w:val="00A84533"/>
    <w:rsid w:val="00A85D07"/>
    <w:rsid w:val="00A964C3"/>
    <w:rsid w:val="00A97ADF"/>
    <w:rsid w:val="00AA06F6"/>
    <w:rsid w:val="00AA3A16"/>
    <w:rsid w:val="00AB164E"/>
    <w:rsid w:val="00AB2713"/>
    <w:rsid w:val="00AB71A3"/>
    <w:rsid w:val="00AC3471"/>
    <w:rsid w:val="00AC3B2B"/>
    <w:rsid w:val="00AC4241"/>
    <w:rsid w:val="00AC44E9"/>
    <w:rsid w:val="00AC514F"/>
    <w:rsid w:val="00AC6EEF"/>
    <w:rsid w:val="00AE505A"/>
    <w:rsid w:val="00AF0693"/>
    <w:rsid w:val="00AF2650"/>
    <w:rsid w:val="00AF4223"/>
    <w:rsid w:val="00AF54EE"/>
    <w:rsid w:val="00AF6CA4"/>
    <w:rsid w:val="00B008F5"/>
    <w:rsid w:val="00B05395"/>
    <w:rsid w:val="00B15702"/>
    <w:rsid w:val="00B249D5"/>
    <w:rsid w:val="00B5045E"/>
    <w:rsid w:val="00B50822"/>
    <w:rsid w:val="00B61BCE"/>
    <w:rsid w:val="00B62C9D"/>
    <w:rsid w:val="00B64028"/>
    <w:rsid w:val="00B65DAA"/>
    <w:rsid w:val="00B72988"/>
    <w:rsid w:val="00B82696"/>
    <w:rsid w:val="00B87159"/>
    <w:rsid w:val="00B91283"/>
    <w:rsid w:val="00B92FA5"/>
    <w:rsid w:val="00B960D5"/>
    <w:rsid w:val="00B9649C"/>
    <w:rsid w:val="00BA1F66"/>
    <w:rsid w:val="00BA4AAF"/>
    <w:rsid w:val="00BA571D"/>
    <w:rsid w:val="00BA6862"/>
    <w:rsid w:val="00BA6A17"/>
    <w:rsid w:val="00BB6C73"/>
    <w:rsid w:val="00BB7E96"/>
    <w:rsid w:val="00BD1DBF"/>
    <w:rsid w:val="00BE521C"/>
    <w:rsid w:val="00BF247C"/>
    <w:rsid w:val="00BF77D9"/>
    <w:rsid w:val="00C17951"/>
    <w:rsid w:val="00C26168"/>
    <w:rsid w:val="00C26255"/>
    <w:rsid w:val="00C35127"/>
    <w:rsid w:val="00C449F9"/>
    <w:rsid w:val="00C51A98"/>
    <w:rsid w:val="00C62CDB"/>
    <w:rsid w:val="00C63C66"/>
    <w:rsid w:val="00C65B53"/>
    <w:rsid w:val="00C665A7"/>
    <w:rsid w:val="00C71C1F"/>
    <w:rsid w:val="00C8172C"/>
    <w:rsid w:val="00C83B3F"/>
    <w:rsid w:val="00C93062"/>
    <w:rsid w:val="00CA06BC"/>
    <w:rsid w:val="00CA4272"/>
    <w:rsid w:val="00CA578E"/>
    <w:rsid w:val="00CB1B96"/>
    <w:rsid w:val="00CB1BCB"/>
    <w:rsid w:val="00CB252E"/>
    <w:rsid w:val="00CB2D72"/>
    <w:rsid w:val="00CB7CBA"/>
    <w:rsid w:val="00CC04DE"/>
    <w:rsid w:val="00CC693F"/>
    <w:rsid w:val="00CD119F"/>
    <w:rsid w:val="00CD732C"/>
    <w:rsid w:val="00CE4022"/>
    <w:rsid w:val="00CE623A"/>
    <w:rsid w:val="00D107D7"/>
    <w:rsid w:val="00D314A1"/>
    <w:rsid w:val="00D43F86"/>
    <w:rsid w:val="00D460DF"/>
    <w:rsid w:val="00D537DD"/>
    <w:rsid w:val="00D611ED"/>
    <w:rsid w:val="00D63EC2"/>
    <w:rsid w:val="00D67682"/>
    <w:rsid w:val="00D73C6A"/>
    <w:rsid w:val="00D76625"/>
    <w:rsid w:val="00D8520C"/>
    <w:rsid w:val="00D9177B"/>
    <w:rsid w:val="00D92178"/>
    <w:rsid w:val="00D93747"/>
    <w:rsid w:val="00DA27AB"/>
    <w:rsid w:val="00DB5E71"/>
    <w:rsid w:val="00DC5B86"/>
    <w:rsid w:val="00DC5E1E"/>
    <w:rsid w:val="00DD61E8"/>
    <w:rsid w:val="00DE27D0"/>
    <w:rsid w:val="00DE3E65"/>
    <w:rsid w:val="00DE67F8"/>
    <w:rsid w:val="00DE779F"/>
    <w:rsid w:val="00E02329"/>
    <w:rsid w:val="00E03958"/>
    <w:rsid w:val="00E14EDB"/>
    <w:rsid w:val="00E20FF6"/>
    <w:rsid w:val="00E22BE5"/>
    <w:rsid w:val="00E23436"/>
    <w:rsid w:val="00E23B78"/>
    <w:rsid w:val="00E247CC"/>
    <w:rsid w:val="00E44881"/>
    <w:rsid w:val="00E56BF9"/>
    <w:rsid w:val="00E64441"/>
    <w:rsid w:val="00E669A5"/>
    <w:rsid w:val="00E703F3"/>
    <w:rsid w:val="00E73C8B"/>
    <w:rsid w:val="00E94D45"/>
    <w:rsid w:val="00E96783"/>
    <w:rsid w:val="00E97094"/>
    <w:rsid w:val="00EA19D0"/>
    <w:rsid w:val="00EA1BA3"/>
    <w:rsid w:val="00EA6CA2"/>
    <w:rsid w:val="00EB1A39"/>
    <w:rsid w:val="00EC07CB"/>
    <w:rsid w:val="00ED1C4A"/>
    <w:rsid w:val="00ED3F6F"/>
    <w:rsid w:val="00ED47A2"/>
    <w:rsid w:val="00EE4CCA"/>
    <w:rsid w:val="00EE5A0D"/>
    <w:rsid w:val="00EF0BB7"/>
    <w:rsid w:val="00EF745A"/>
    <w:rsid w:val="00F058C0"/>
    <w:rsid w:val="00F101DB"/>
    <w:rsid w:val="00F21B3E"/>
    <w:rsid w:val="00F244AB"/>
    <w:rsid w:val="00F34E29"/>
    <w:rsid w:val="00F379CF"/>
    <w:rsid w:val="00F42FDA"/>
    <w:rsid w:val="00F45B3B"/>
    <w:rsid w:val="00F532D6"/>
    <w:rsid w:val="00F616A1"/>
    <w:rsid w:val="00F757FE"/>
    <w:rsid w:val="00F827DD"/>
    <w:rsid w:val="00F83583"/>
    <w:rsid w:val="00F92714"/>
    <w:rsid w:val="00FA4733"/>
    <w:rsid w:val="00FA5488"/>
    <w:rsid w:val="00FB1CCC"/>
    <w:rsid w:val="00FB265D"/>
    <w:rsid w:val="00FC4E7B"/>
    <w:rsid w:val="00FC62A9"/>
    <w:rsid w:val="00FD0729"/>
    <w:rsid w:val="00FD60D5"/>
    <w:rsid w:val="00FD72B5"/>
    <w:rsid w:val="00FE58EA"/>
    <w:rsid w:val="00FE621D"/>
    <w:rsid w:val="00FE6DD1"/>
    <w:rsid w:val="00FE7429"/>
    <w:rsid w:val="00FF63E2"/>
    <w:rsid w:val="01D33900"/>
    <w:rsid w:val="01FC6865"/>
    <w:rsid w:val="02B81419"/>
    <w:rsid w:val="03463182"/>
    <w:rsid w:val="042B1359"/>
    <w:rsid w:val="04CD4207"/>
    <w:rsid w:val="05734E30"/>
    <w:rsid w:val="06851DBA"/>
    <w:rsid w:val="07293490"/>
    <w:rsid w:val="076C2381"/>
    <w:rsid w:val="07705F3C"/>
    <w:rsid w:val="09777ACE"/>
    <w:rsid w:val="0C102A0B"/>
    <w:rsid w:val="0C9A0F24"/>
    <w:rsid w:val="0CB46159"/>
    <w:rsid w:val="0D44619A"/>
    <w:rsid w:val="0D570801"/>
    <w:rsid w:val="0D640581"/>
    <w:rsid w:val="0D870F11"/>
    <w:rsid w:val="0DA01351"/>
    <w:rsid w:val="0F9D04C8"/>
    <w:rsid w:val="1002325D"/>
    <w:rsid w:val="102915AB"/>
    <w:rsid w:val="107555CB"/>
    <w:rsid w:val="110974F4"/>
    <w:rsid w:val="13333703"/>
    <w:rsid w:val="13611681"/>
    <w:rsid w:val="14483415"/>
    <w:rsid w:val="14FC04E6"/>
    <w:rsid w:val="1626576B"/>
    <w:rsid w:val="165311D6"/>
    <w:rsid w:val="16635B81"/>
    <w:rsid w:val="17D94DE1"/>
    <w:rsid w:val="182F52B2"/>
    <w:rsid w:val="18C14DF3"/>
    <w:rsid w:val="195349F9"/>
    <w:rsid w:val="19E53DFE"/>
    <w:rsid w:val="1B4F27EE"/>
    <w:rsid w:val="1B5644BF"/>
    <w:rsid w:val="1E852D90"/>
    <w:rsid w:val="1F0F672E"/>
    <w:rsid w:val="20370574"/>
    <w:rsid w:val="20415E18"/>
    <w:rsid w:val="205F509C"/>
    <w:rsid w:val="22D66415"/>
    <w:rsid w:val="23A84C8A"/>
    <w:rsid w:val="2425272A"/>
    <w:rsid w:val="24C3687B"/>
    <w:rsid w:val="24C84F91"/>
    <w:rsid w:val="286F11F3"/>
    <w:rsid w:val="2A4978E3"/>
    <w:rsid w:val="2ADE61BC"/>
    <w:rsid w:val="2BB613AE"/>
    <w:rsid w:val="2C846802"/>
    <w:rsid w:val="31743E12"/>
    <w:rsid w:val="33035B9E"/>
    <w:rsid w:val="35F44EE7"/>
    <w:rsid w:val="369315A9"/>
    <w:rsid w:val="38382033"/>
    <w:rsid w:val="38CD3F00"/>
    <w:rsid w:val="3AA50ADC"/>
    <w:rsid w:val="3AD91BF1"/>
    <w:rsid w:val="3B4A20AF"/>
    <w:rsid w:val="3CD81A67"/>
    <w:rsid w:val="3D142556"/>
    <w:rsid w:val="3E5F60B6"/>
    <w:rsid w:val="3F4A38A7"/>
    <w:rsid w:val="42C93A33"/>
    <w:rsid w:val="42FE52B7"/>
    <w:rsid w:val="454800AE"/>
    <w:rsid w:val="487C7554"/>
    <w:rsid w:val="49047877"/>
    <w:rsid w:val="49AE1275"/>
    <w:rsid w:val="4A3F6868"/>
    <w:rsid w:val="4AB02ACE"/>
    <w:rsid w:val="4BEA211D"/>
    <w:rsid w:val="4D562646"/>
    <w:rsid w:val="4F422777"/>
    <w:rsid w:val="50DB1753"/>
    <w:rsid w:val="52EA42DA"/>
    <w:rsid w:val="541E5AD5"/>
    <w:rsid w:val="544619FD"/>
    <w:rsid w:val="54F016BD"/>
    <w:rsid w:val="571B677A"/>
    <w:rsid w:val="5828546F"/>
    <w:rsid w:val="58366D88"/>
    <w:rsid w:val="58462BB7"/>
    <w:rsid w:val="5980475F"/>
    <w:rsid w:val="5A9D3C47"/>
    <w:rsid w:val="5AC36E29"/>
    <w:rsid w:val="5BC870D7"/>
    <w:rsid w:val="5C231F0A"/>
    <w:rsid w:val="5C79137F"/>
    <w:rsid w:val="5CDF3A62"/>
    <w:rsid w:val="5EF42466"/>
    <w:rsid w:val="5FD8341A"/>
    <w:rsid w:val="621744BD"/>
    <w:rsid w:val="62351FB3"/>
    <w:rsid w:val="62513FC8"/>
    <w:rsid w:val="62AD60BE"/>
    <w:rsid w:val="62B927A3"/>
    <w:rsid w:val="635307EE"/>
    <w:rsid w:val="638A4E85"/>
    <w:rsid w:val="63D3546D"/>
    <w:rsid w:val="63D74F7B"/>
    <w:rsid w:val="65367475"/>
    <w:rsid w:val="6783151F"/>
    <w:rsid w:val="67D55F8C"/>
    <w:rsid w:val="68714A59"/>
    <w:rsid w:val="69D251C8"/>
    <w:rsid w:val="69D86534"/>
    <w:rsid w:val="6B826114"/>
    <w:rsid w:val="6BF6265F"/>
    <w:rsid w:val="6D2E1001"/>
    <w:rsid w:val="6DB4361A"/>
    <w:rsid w:val="6E173C72"/>
    <w:rsid w:val="6E3D101B"/>
    <w:rsid w:val="6EB87EB8"/>
    <w:rsid w:val="706202C3"/>
    <w:rsid w:val="707D38EA"/>
    <w:rsid w:val="712B6970"/>
    <w:rsid w:val="713F6BFC"/>
    <w:rsid w:val="71E2510F"/>
    <w:rsid w:val="727C244A"/>
    <w:rsid w:val="728C5067"/>
    <w:rsid w:val="73404DE8"/>
    <w:rsid w:val="742F6DBB"/>
    <w:rsid w:val="74F86B43"/>
    <w:rsid w:val="752532CC"/>
    <w:rsid w:val="760E6941"/>
    <w:rsid w:val="76C56EC8"/>
    <w:rsid w:val="77CB61E4"/>
    <w:rsid w:val="77E13E51"/>
    <w:rsid w:val="77EF7EBE"/>
    <w:rsid w:val="77F904B4"/>
    <w:rsid w:val="78017E46"/>
    <w:rsid w:val="783878A3"/>
    <w:rsid w:val="78457C9E"/>
    <w:rsid w:val="793D1A88"/>
    <w:rsid w:val="794252D9"/>
    <w:rsid w:val="7B2D5290"/>
    <w:rsid w:val="7C2154D6"/>
    <w:rsid w:val="7D3C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26"/>
    <w:qFormat/>
    <w:uiPriority w:val="0"/>
    <w:pPr>
      <w:keepNext/>
      <w:keepLines/>
      <w:spacing w:before="260" w:after="260" w:line="412" w:lineRule="auto"/>
      <w:outlineLvl w:val="1"/>
    </w:pPr>
    <w:rPr>
      <w:rFonts w:ascii="Arial" w:hAnsi="Arial" w:eastAsia="黑体"/>
      <w:b/>
      <w:kern w:val="0"/>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0"/>
    <w:pPr>
      <w:spacing w:after="120"/>
    </w:pPr>
    <w:rPr>
      <w:rFonts w:ascii="Calibri" w:hAnsi="Calibri"/>
    </w:rPr>
  </w:style>
  <w:style w:type="paragraph" w:styleId="4">
    <w:name w:val="Document Map"/>
    <w:basedOn w:val="1"/>
    <w:link w:val="27"/>
    <w:qFormat/>
    <w:uiPriority w:val="0"/>
    <w:rPr>
      <w:rFonts w:ascii="宋体"/>
      <w:sz w:val="18"/>
      <w:szCs w:val="18"/>
    </w:rPr>
  </w:style>
  <w:style w:type="paragraph" w:styleId="5">
    <w:name w:val="annotation text"/>
    <w:basedOn w:val="1"/>
    <w:link w:val="28"/>
    <w:qFormat/>
    <w:uiPriority w:val="0"/>
    <w:pPr>
      <w:jc w:val="left"/>
    </w:pPr>
  </w:style>
  <w:style w:type="paragraph" w:styleId="6">
    <w:name w:val="Plain Text"/>
    <w:basedOn w:val="1"/>
    <w:link w:val="30"/>
    <w:qFormat/>
    <w:uiPriority w:val="0"/>
    <w:rPr>
      <w:rFonts w:ascii="宋体" w:hAnsi="Courier New" w:eastAsia="楷体_GB2312"/>
      <w:szCs w:val="24"/>
    </w:rPr>
  </w:style>
  <w:style w:type="paragraph" w:styleId="7">
    <w:name w:val="Balloon Text"/>
    <w:basedOn w:val="1"/>
    <w:link w:val="31"/>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303"/>
      </w:tabs>
      <w:spacing w:line="440" w:lineRule="exact"/>
      <w:jc w:val="center"/>
      <w:outlineLvl w:val="1"/>
    </w:pPr>
    <w:rPr>
      <w:rFonts w:ascii="宋体" w:hAnsi="宋体"/>
      <w:b/>
      <w:bCs/>
      <w:caps/>
      <w:szCs w:val="21"/>
    </w:rPr>
  </w:style>
  <w:style w:type="paragraph" w:styleId="11">
    <w:name w:val="Normal (Web)"/>
    <w:basedOn w:val="1"/>
    <w:qFormat/>
    <w:uiPriority w:val="0"/>
    <w:pPr>
      <w:widowControl/>
      <w:spacing w:before="100" w:beforeAutospacing="1" w:after="100" w:afterAutospacing="1"/>
      <w:jc w:val="left"/>
    </w:pPr>
    <w:rPr>
      <w:rFonts w:ascii="宋体" w:hAnsi="宋体" w:cs="Calibri"/>
      <w:kern w:val="0"/>
      <w:sz w:val="24"/>
      <w:szCs w:val="24"/>
    </w:rPr>
  </w:style>
  <w:style w:type="paragraph" w:styleId="12">
    <w:name w:val="annotation subject"/>
    <w:basedOn w:val="5"/>
    <w:next w:val="5"/>
    <w:link w:val="3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FollowedHyperlink"/>
    <w:qFormat/>
    <w:uiPriority w:val="0"/>
    <w:rPr>
      <w:color w:val="000000"/>
      <w:u w:val="none"/>
    </w:rPr>
  </w:style>
  <w:style w:type="character" w:styleId="18">
    <w:name w:val="Emphasis"/>
    <w:qFormat/>
    <w:uiPriority w:val="0"/>
    <w:rPr>
      <w:i/>
    </w:rPr>
  </w:style>
  <w:style w:type="character" w:styleId="19">
    <w:name w:val="HTML Definition"/>
    <w:qFormat/>
    <w:uiPriority w:val="0"/>
    <w:rPr>
      <w:i/>
      <w:iCs/>
    </w:rPr>
  </w:style>
  <w:style w:type="character" w:styleId="20">
    <w:name w:val="Hyperlink"/>
    <w:qFormat/>
    <w:uiPriority w:val="0"/>
    <w:rPr>
      <w:color w:val="000000"/>
      <w:u w:val="none"/>
    </w:rPr>
  </w:style>
  <w:style w:type="character" w:styleId="21">
    <w:name w:val="HTML Code"/>
    <w:qFormat/>
    <w:uiPriority w:val="0"/>
    <w:rPr>
      <w:rFonts w:ascii="Consolas" w:hAnsi="Consolas" w:eastAsia="Consolas" w:cs="Consolas"/>
      <w:color w:val="C7254E"/>
      <w:sz w:val="21"/>
      <w:szCs w:val="21"/>
      <w:bdr w:val="single" w:color="E1E1E1" w:sz="6" w:space="0"/>
      <w:shd w:val="clear" w:color="auto" w:fill="F9F2F4"/>
    </w:rPr>
  </w:style>
  <w:style w:type="character" w:styleId="22">
    <w:name w:val="annotation reference"/>
    <w:qFormat/>
    <w:uiPriority w:val="0"/>
    <w:rPr>
      <w:sz w:val="21"/>
      <w:szCs w:val="21"/>
    </w:rPr>
  </w:style>
  <w:style w:type="character" w:styleId="23">
    <w:name w:val="HTML Keyboard"/>
    <w:qFormat/>
    <w:uiPriority w:val="0"/>
    <w:rPr>
      <w:rFonts w:hint="default" w:ascii="Consolas" w:hAnsi="Consolas" w:eastAsia="Consolas" w:cs="Consolas"/>
      <w:color w:val="FFFFFF"/>
      <w:sz w:val="21"/>
      <w:szCs w:val="21"/>
      <w:shd w:val="clear" w:color="auto" w:fill="333333"/>
    </w:rPr>
  </w:style>
  <w:style w:type="character" w:styleId="24">
    <w:name w:val="HTML Sample"/>
    <w:qFormat/>
    <w:uiPriority w:val="0"/>
    <w:rPr>
      <w:rFonts w:hint="default" w:ascii="Consolas" w:hAnsi="Consolas" w:eastAsia="Consolas" w:cs="Consolas"/>
      <w:sz w:val="21"/>
      <w:szCs w:val="21"/>
    </w:rPr>
  </w:style>
  <w:style w:type="paragraph" w:customStyle="1" w:styleId="25">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character" w:customStyle="1" w:styleId="26">
    <w:name w:val="标题 2 字符"/>
    <w:link w:val="3"/>
    <w:qFormat/>
    <w:uiPriority w:val="0"/>
    <w:rPr>
      <w:rFonts w:ascii="Arial" w:hAnsi="Arial" w:eastAsia="黑体" w:cs="Times New Roman"/>
      <w:b/>
      <w:sz w:val="32"/>
      <w:szCs w:val="20"/>
    </w:rPr>
  </w:style>
  <w:style w:type="character" w:customStyle="1" w:styleId="27">
    <w:name w:val="文档结构图 字符"/>
    <w:link w:val="4"/>
    <w:qFormat/>
    <w:uiPriority w:val="0"/>
    <w:rPr>
      <w:rFonts w:ascii="宋体"/>
      <w:kern w:val="2"/>
      <w:sz w:val="18"/>
      <w:szCs w:val="18"/>
    </w:rPr>
  </w:style>
  <w:style w:type="character" w:customStyle="1" w:styleId="28">
    <w:name w:val="批注文字 字符"/>
    <w:link w:val="5"/>
    <w:qFormat/>
    <w:uiPriority w:val="0"/>
    <w:rPr>
      <w:kern w:val="2"/>
      <w:sz w:val="21"/>
      <w:szCs w:val="22"/>
    </w:rPr>
  </w:style>
  <w:style w:type="character" w:customStyle="1" w:styleId="29">
    <w:name w:val="正文文本 字符"/>
    <w:link w:val="2"/>
    <w:qFormat/>
    <w:uiPriority w:val="0"/>
    <w:rPr>
      <w:rFonts w:hint="default" w:ascii="Calibri" w:hAnsi="Calibri" w:cs="Arial"/>
      <w:kern w:val="2"/>
      <w:sz w:val="21"/>
      <w:szCs w:val="22"/>
    </w:rPr>
  </w:style>
  <w:style w:type="character" w:customStyle="1" w:styleId="30">
    <w:name w:val="纯文本 字符1"/>
    <w:link w:val="6"/>
    <w:qFormat/>
    <w:locked/>
    <w:uiPriority w:val="0"/>
    <w:rPr>
      <w:rFonts w:ascii="宋体" w:hAnsi="Courier New" w:eastAsia="楷体_GB2312"/>
      <w:kern w:val="2"/>
      <w:sz w:val="21"/>
      <w:szCs w:val="24"/>
    </w:rPr>
  </w:style>
  <w:style w:type="character" w:customStyle="1" w:styleId="31">
    <w:name w:val="批注框文本 字符"/>
    <w:link w:val="7"/>
    <w:qFormat/>
    <w:uiPriority w:val="0"/>
    <w:rPr>
      <w:kern w:val="2"/>
      <w:sz w:val="18"/>
      <w:szCs w:val="18"/>
    </w:rPr>
  </w:style>
  <w:style w:type="character" w:customStyle="1" w:styleId="32">
    <w:name w:val="页脚 字符"/>
    <w:link w:val="8"/>
    <w:qFormat/>
    <w:uiPriority w:val="99"/>
    <w:rPr>
      <w:kern w:val="2"/>
      <w:sz w:val="18"/>
      <w:szCs w:val="18"/>
    </w:rPr>
  </w:style>
  <w:style w:type="character" w:customStyle="1" w:styleId="33">
    <w:name w:val="页眉 字符"/>
    <w:link w:val="9"/>
    <w:qFormat/>
    <w:uiPriority w:val="0"/>
    <w:rPr>
      <w:kern w:val="2"/>
      <w:sz w:val="18"/>
      <w:szCs w:val="18"/>
    </w:rPr>
  </w:style>
  <w:style w:type="character" w:customStyle="1" w:styleId="34">
    <w:name w:val="批注主题 字符"/>
    <w:link w:val="12"/>
    <w:qFormat/>
    <w:uiPriority w:val="0"/>
    <w:rPr>
      <w:b/>
      <w:bCs/>
      <w:kern w:val="2"/>
      <w:sz w:val="21"/>
      <w:szCs w:val="22"/>
    </w:rPr>
  </w:style>
  <w:style w:type="character" w:customStyle="1" w:styleId="35">
    <w:name w:val="hover37"/>
    <w:qFormat/>
    <w:uiPriority w:val="0"/>
  </w:style>
  <w:style w:type="character" w:customStyle="1" w:styleId="36">
    <w:name w:val="title26"/>
    <w:qFormat/>
    <w:uiPriority w:val="0"/>
  </w:style>
  <w:style w:type="character" w:customStyle="1" w:styleId="37">
    <w:name w:val="title24"/>
    <w:qFormat/>
    <w:uiPriority w:val="0"/>
  </w:style>
  <w:style w:type="character" w:customStyle="1" w:styleId="38">
    <w:name w:val="times1"/>
    <w:qFormat/>
    <w:uiPriority w:val="0"/>
    <w:rPr>
      <w:color w:val="CDCDCD"/>
      <w:bdr w:val="single" w:color="CDCDCD" w:sz="6" w:space="0"/>
      <w:shd w:val="clear" w:color="auto" w:fill="EFEFEF"/>
    </w:rPr>
  </w:style>
  <w:style w:type="character" w:customStyle="1" w:styleId="39">
    <w:name w:val="纯文本 字符"/>
    <w:qFormat/>
    <w:uiPriority w:val="0"/>
    <w:rPr>
      <w:rFonts w:ascii="宋体" w:hAnsi="Courier New" w:cs="Courier New"/>
      <w:kern w:val="2"/>
      <w:sz w:val="21"/>
      <w:szCs w:val="21"/>
    </w:rPr>
  </w:style>
  <w:style w:type="character" w:customStyle="1" w:styleId="40">
    <w:name w:val="first-child"/>
    <w:qFormat/>
    <w:uiPriority w:val="0"/>
    <w:rPr>
      <w:vanish/>
    </w:rPr>
  </w:style>
  <w:style w:type="character" w:customStyle="1" w:styleId="41">
    <w:name w:val="times"/>
    <w:qFormat/>
    <w:uiPriority w:val="0"/>
    <w:rPr>
      <w:color w:val="3399FF"/>
      <w:bdr w:val="single" w:color="D1EDF8" w:sz="6" w:space="0"/>
      <w:shd w:val="clear" w:color="auto" w:fill="EAF9FF"/>
    </w:rPr>
  </w:style>
  <w:style w:type="character" w:customStyle="1" w:styleId="42">
    <w:name w:val="正文文本 Char1"/>
    <w:qFormat/>
    <w:uiPriority w:val="0"/>
    <w:rPr>
      <w:kern w:val="2"/>
      <w:sz w:val="21"/>
      <w:szCs w:val="21"/>
    </w:rPr>
  </w:style>
  <w:style w:type="character" w:customStyle="1" w:styleId="43">
    <w:name w:val="username"/>
    <w:qFormat/>
    <w:uiPriority w:val="0"/>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45">
    <w:name w:val="List Paragraph"/>
    <w:basedOn w:val="1"/>
    <w:qFormat/>
    <w:uiPriority w:val="34"/>
    <w:pPr>
      <w:ind w:firstLine="420" w:firstLineChars="200"/>
    </w:pPr>
  </w:style>
  <w:style w:type="character" w:customStyle="1" w:styleId="46">
    <w:name w:val="16"/>
    <w:qFormat/>
    <w:uiPriority w:val="0"/>
    <w:rPr>
      <w:rFonts w:hint="default" w:ascii="Times New Roman" w:hAnsi="Times New Roman" w:cs="Times New Roman"/>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1052</Words>
  <Characters>6003</Characters>
  <Lines>50</Lines>
  <Paragraphs>14</Paragraphs>
  <TotalTime>32</TotalTime>
  <ScaleCrop>false</ScaleCrop>
  <LinksUpToDate>false</LinksUpToDate>
  <CharactersWithSpaces>7041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2023-09-21T08:44:00Z</dcterms:created>
  <dc:creator>gzjc20181105-1</dc:creator>
  <cp:lastModifiedBy>huangzijie</cp:lastModifiedBy>
  <cp:lastPrinted>2023-09-20T03:33:00Z</cp:lastPrinted>
  <dcterms:modified xsi:type="dcterms:W3CDTF">2023-11-13T07:40:52Z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0D0538834AF4458FBBFDA7D937349B6D_13</vt:lpwstr>
  </property>
</Properties>
</file>