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6"/>
        <w:spacing w:before="120" w:after="120" w:line="360" w:lineRule="auto"/>
        <w:rPr>
          <w:rFonts w:hint="eastAsia" w:ascii="宋体" w:hAnsi="宋体" w:eastAsia="宋体" w:cs="宋体"/>
          <w:color w:val="auto"/>
          <w:kern w:val="44"/>
          <w:sz w:val="72"/>
          <w:szCs w:val="72"/>
          <w:highlight w:val="none"/>
        </w:rPr>
      </w:pPr>
      <w:bookmarkStart w:id="0" w:name="_Toc468402710"/>
      <w:bookmarkStart w:id="1" w:name="_Toc21300"/>
      <w:bookmarkStart w:id="2" w:name="_Toc21362"/>
      <w:bookmarkStart w:id="3" w:name="_Toc28337"/>
      <w:bookmarkStart w:id="4" w:name="_Toc23246"/>
      <w:r>
        <w:rPr>
          <w:rFonts w:hint="eastAsia" w:ascii="宋体" w:hAnsi="宋体" w:eastAsia="宋体" w:cs="宋体"/>
          <w:color w:val="auto"/>
          <w:kern w:val="44"/>
          <w:sz w:val="72"/>
          <w:szCs w:val="72"/>
          <w:highlight w:val="none"/>
        </w:rPr>
        <w:t>《工程量清单计价说明》</w:t>
      </w:r>
    </w:p>
    <w:p>
      <w:pPr>
        <w:pStyle w:val="56"/>
        <w:spacing w:before="120" w:after="120" w:line="360" w:lineRule="auto"/>
        <w:rPr>
          <w:rFonts w:hint="eastAsia" w:ascii="宋体" w:hAnsi="宋体" w:eastAsia="宋体" w:cs="宋体"/>
          <w:color w:val="auto"/>
          <w:kern w:val="44"/>
          <w:highlight w:val="none"/>
        </w:rPr>
      </w:pPr>
      <w:r>
        <w:rPr>
          <w:rFonts w:hint="eastAsia" w:ascii="宋体" w:hAnsi="宋体" w:eastAsia="宋体" w:cs="宋体"/>
          <w:color w:val="auto"/>
          <w:kern w:val="44"/>
          <w:highlight w:val="none"/>
        </w:rPr>
        <w:t>第一部分   工程量清单计价</w:t>
      </w:r>
      <w:bookmarkEnd w:id="0"/>
      <w:bookmarkEnd w:id="1"/>
      <w:bookmarkEnd w:id="2"/>
      <w:bookmarkEnd w:id="3"/>
      <w:bookmarkEnd w:id="4"/>
      <w:r>
        <w:rPr>
          <w:rFonts w:hint="eastAsia" w:ascii="宋体" w:hAnsi="宋体" w:eastAsia="宋体" w:cs="宋体"/>
          <w:color w:val="auto"/>
          <w:kern w:val="44"/>
          <w:highlight w:val="none"/>
        </w:rPr>
        <w:t>须知</w:t>
      </w:r>
    </w:p>
    <w:p>
      <w:pPr>
        <w:pStyle w:val="65"/>
        <w:spacing w:before="120" w:after="120" w:line="360" w:lineRule="auto"/>
        <w:jc w:val="center"/>
        <w:outlineLvl w:val="0"/>
        <w:rPr>
          <w:rFonts w:hint="eastAsia" w:ascii="宋体" w:hAnsi="宋体" w:eastAsia="宋体" w:cs="宋体"/>
          <w:color w:val="auto"/>
          <w:highlight w:val="none"/>
        </w:rPr>
      </w:pPr>
      <w:bookmarkStart w:id="5" w:name="_Toc20308"/>
      <w:bookmarkStart w:id="6" w:name="_Toc194486378"/>
      <w:bookmarkStart w:id="7" w:name="_Toc468402711"/>
      <w:bookmarkStart w:id="8" w:name="_Toc18871"/>
      <w:bookmarkStart w:id="9" w:name="_Toc1507"/>
      <w:bookmarkStart w:id="10" w:name="_Toc3244"/>
      <w:r>
        <w:rPr>
          <w:rFonts w:hint="eastAsia" w:ascii="宋体" w:hAnsi="宋体" w:eastAsia="宋体" w:cs="宋体"/>
          <w:color w:val="auto"/>
          <w:highlight w:val="none"/>
        </w:rPr>
        <w:t>第一节    工程量清单计价</w:t>
      </w:r>
      <w:bookmarkEnd w:id="5"/>
      <w:bookmarkEnd w:id="6"/>
      <w:bookmarkEnd w:id="7"/>
      <w:bookmarkEnd w:id="8"/>
      <w:bookmarkEnd w:id="9"/>
      <w:bookmarkEnd w:id="10"/>
      <w:r>
        <w:rPr>
          <w:rFonts w:hint="eastAsia" w:ascii="宋体" w:hAnsi="宋体" w:eastAsia="宋体" w:cs="宋体"/>
          <w:color w:val="auto"/>
          <w:highlight w:val="none"/>
        </w:rPr>
        <w:t>规定</w:t>
      </w:r>
    </w:p>
    <w:p>
      <w:pPr>
        <w:pStyle w:val="65"/>
        <w:spacing w:before="120" w:after="120" w:line="360" w:lineRule="auto"/>
        <w:outlineLvl w:val="0"/>
        <w:rPr>
          <w:rFonts w:hint="eastAsia" w:ascii="宋体" w:hAnsi="宋体" w:eastAsia="宋体" w:cs="宋体"/>
          <w:color w:val="auto"/>
          <w:highlight w:val="none"/>
        </w:rPr>
      </w:pPr>
      <w:bookmarkStart w:id="11" w:name="_Toc15606"/>
      <w:bookmarkStart w:id="12" w:name="_Toc194486379"/>
      <w:bookmarkStart w:id="13" w:name="_Toc468402712"/>
      <w:bookmarkStart w:id="14" w:name="_Toc8280"/>
      <w:bookmarkStart w:id="15" w:name="_Toc32251"/>
      <w:bookmarkStart w:id="16" w:name="_Toc2505"/>
      <w:r>
        <w:rPr>
          <w:rFonts w:hint="eastAsia" w:ascii="宋体" w:hAnsi="宋体" w:eastAsia="宋体" w:cs="宋体"/>
          <w:color w:val="auto"/>
          <w:highlight w:val="none"/>
        </w:rPr>
        <w:t>一、总说明</w:t>
      </w:r>
      <w:bookmarkEnd w:id="11"/>
      <w:bookmarkEnd w:id="12"/>
      <w:bookmarkEnd w:id="13"/>
      <w:bookmarkEnd w:id="14"/>
      <w:bookmarkEnd w:id="15"/>
      <w:bookmarkEnd w:id="16"/>
      <w:bookmarkStart w:id="712" w:name="_GoBack"/>
      <w:bookmarkEnd w:id="712"/>
    </w:p>
    <w:p>
      <w:pPr>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报价清单应结合招标文件、招标图纸、设计答疑及修改图（若招标图纸与设计答疑及修改图不一致，以设计答疑及修改图为准）、《招标范围界面》现场环境及项目实际情况，综合考虑各项风险因素，结合企业自身实力，慎重报价。本工程不允许用总价下浮的报价方式。投标人所提供的电子文件必须能够打开，电子文件的内容必须按招标文件的要求格式填报，不得擅自调整格式及顺序，同时电子文件内容必须与纸质投标文件正本内容一致。</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1、本项目执行《建设工程工程量清单计价规范（GB50500-2013）》。</w:t>
      </w:r>
    </w:p>
    <w:p>
      <w:pPr>
        <w:pStyle w:val="57"/>
        <w:ind w:firstLine="496"/>
        <w:rPr>
          <w:rFonts w:hint="eastAsia" w:ascii="宋体" w:hAnsi="宋体" w:eastAsia="宋体" w:cs="宋体"/>
          <w:bCs/>
          <w:color w:val="auto"/>
          <w:highlight w:val="none"/>
        </w:rPr>
      </w:pPr>
      <w:r>
        <w:rPr>
          <w:rFonts w:hint="eastAsia" w:ascii="宋体" w:hAnsi="宋体" w:eastAsia="宋体" w:cs="宋体"/>
          <w:color w:val="auto"/>
          <w:highlight w:val="none"/>
        </w:rPr>
        <w:t>2、凡在“工程量清单计价须知”（以下简称本须知）中已明确的须按本须知执行；在本须知中未明确的则按《关于实施&lt;房屋建筑与装饰工程工程量计算规范&gt;(GB50854-2013)等的若干意见》（粤建造发〔2013〕4号）、《广东省建设工程工程量清单计价指引》（粤建造发〔2013〕6号）的规定执行；其次按《房屋建筑与装饰工程工程量计算规范（GB50854-2013）》、《通用安装工程工程量计算规范（GB50856-2013）》、《市政工程工程量计算规范（GB50857-2013）》、《园林绿化工程工程量计算规范（GB50858-2013）》、《建设工程工程量清单计价规范（GB50500-2013）》等国标规范执行；以上均未明确的则按《广东省房屋建筑与装饰工程综合定额(2018)》、《广东省通用安装工程综合定额(2018)》、《广东省市政工程综合定额(2018)》、《广东省园林绿化工程综合定额（2018）》等专业定额及《广东省住房和城乡建设厅关于调整广东省建设工程计价依据增值税率的通知》（粤建标函【2019】819号）的规定执行。</w:t>
      </w:r>
    </w:p>
    <w:p>
      <w:pPr>
        <w:pStyle w:val="40"/>
        <w:spacing w:before="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工程建筑安装工程总报价由分部分项工程量清单报价、措施项目清单报价（含绿色施工安全防护措施费）、其他项目清单报价、税金四部分组成。报价应充分考虑工程施工管理和施工组织设计涉及的内容，不允许报价与工程施工管理和施工组织严重脱节或工程量清单各项单价存在严重不合理报价。</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4、工程量清单项目中项目特征的描述须与本说明和规定共同使用。工程量清单项目中的综合单价除包括上述内容外，还应结合招标文件、招标文件所附合同条款、图纸等技术文件、有关技术规范及标准、现场施工条件、施工组织设计及施工方案等阅读、理解并进行报价。</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5、投标人认为招标文件工程量清单没有开列的项目或认为清单及清单工程量描述有误时，投标人应以书面形式提出，经招标人以答疑纪要或澄清文件方式确认后可增列或修正。</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6、工程量报价清单内的每一清单项目均需填报单价和合价,对没有填报或填报为“0”的单价与合价项目,则视为该项费用已含在其他工程量报价清单中的综合单价与综合合价内。</w:t>
      </w:r>
    </w:p>
    <w:p>
      <w:pPr>
        <w:pStyle w:val="57"/>
        <w:spacing w:before="120" w:after="120"/>
        <w:ind w:firstLine="496"/>
        <w:rPr>
          <w:rFonts w:hint="eastAsia" w:ascii="宋体" w:hAnsi="宋体" w:eastAsia="宋体" w:cs="宋体"/>
          <w:color w:val="auto"/>
          <w:highlight w:val="none"/>
        </w:rPr>
      </w:pPr>
      <w:r>
        <w:rPr>
          <w:rFonts w:hint="eastAsia" w:ascii="宋体" w:hAnsi="宋体" w:eastAsia="宋体" w:cs="宋体"/>
          <w:color w:val="auto"/>
          <w:highlight w:val="none"/>
        </w:rPr>
        <w:t>7、招标文件中的《主要设备材料推荐品牌表》列明的材料设备，投标人在投标时必须按招标人推荐的品牌厂家进行报价，并在投标文件中的《承包人提供主要材料和工程设备一览表》中列明材料设备的规格、型号、品牌厂家等，实际实施时，中标人必须严格按照投标所报规格、型号、品牌厂家执行，并提供上述投标所报的全部产品样板及对应资料给监理单位及招标人审批，最终按招标人审批确定意见采购；否则，中标人须无条件按招标人的要求调整更换直至满足招标人要求，且品牌档次不得低于招标文件规定的品牌档次，相应材料设备价格按投标报价不予调整。</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招标文件中的《主要设备材料推荐品牌表》未列明的材料设备，投标人（承包人）所报的材料及设备应按国产中档考虑，其单价均为到工地结算价，即包含采购费、运杂费及运输损耗、仓储保管费、装卸费、吊装费及场内二次转运费等。实际施工时，其选型由投标人（承包人）按照图纸及相关技术参数要求提供不少于三家同等档次品牌产品，报监理单位及招标人（发包人）审批确定。</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8、投标人所报的材料及设备单价均为到工地结算价，即包含采购费、运杂费及运输损耗、仓储保管费、装卸费、吊装费及场内二次转运费等。</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9、投标人应负责对甲供及甲招乙供材料设备进行质量和数量验收、垂直运输、保管、安装、验收等工作。甲供及甲招乙供材料设备的用料计划由承包人编制并由其对用料计划的准确性、及时性负责。甲供及甲招乙供材料设备的结算数量均按设计图纸结算用量（所有损耗及相关费用已综合考虑在投标人所报综合单价中，工程量计量时不再考虑损耗），若实际供应的甲供材料设备数量超出按图纸计算用量（所有损耗及相关费用已综合考虑在投标人所报综合单价中，工程量计量时不再考虑损耗）的差异部分则从承包人的工程结算款中扣除，甲招乙供材料设备的结算数量超出按图纸计算用量（所有损耗及相关费用已综合考虑在投标人所报综合单价中，工程量计量时不再考虑损耗）由承包人自行承担。由于设计变更、用户需求变化，导致已运达施工现场的甲供材料设备由供货商回收的，由中标人负责完好的将材料设备运送至供货商指定的场地，相关费用已包含于合同总价中。如施工单位因工期（按合同要求）或材料质量（抽检三次）不合格，甲方有权重新选择供货商。</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10、投标人填报工程量清单时对招标人提供的工程量清单数据及内容、表格格式除招标文件另有约定和单（合）价分析表中可插入行以外均不得改动并严格按招标文件工程量清单中的项目顺序填写，如有改动因此所造成的责任及后果由投标人自已承担。</w:t>
      </w:r>
    </w:p>
    <w:p>
      <w:pPr>
        <w:spacing w:line="360" w:lineRule="auto"/>
        <w:ind w:firstLine="620" w:firstLineChars="250"/>
        <w:rPr>
          <w:rFonts w:hint="eastAsia" w:ascii="宋体" w:hAnsi="宋体" w:eastAsia="宋体" w:cs="宋体"/>
          <w:color w:val="auto"/>
          <w:sz w:val="24"/>
          <w:highlight w:val="none"/>
        </w:rPr>
      </w:pPr>
      <w:r>
        <w:rPr>
          <w:rFonts w:hint="eastAsia" w:ascii="宋体" w:hAnsi="宋体" w:eastAsia="宋体" w:cs="宋体"/>
          <w:snapToGrid w:val="0"/>
          <w:color w:val="auto"/>
          <w:spacing w:val="4"/>
          <w:kern w:val="0"/>
          <w:sz w:val="24"/>
          <w:highlight w:val="none"/>
        </w:rPr>
        <w:t>11、所有报价的币种均为人民币；工程数量、单价、合价均保留两位小数，第三位</w:t>
      </w:r>
      <w:r>
        <w:rPr>
          <w:rFonts w:hint="eastAsia" w:ascii="宋体" w:hAnsi="宋体" w:eastAsia="宋体" w:cs="宋体"/>
          <w:color w:val="auto"/>
          <w:sz w:val="24"/>
          <w:highlight w:val="none"/>
        </w:rPr>
        <w:t>小数四舍五入，电子文件中不得隐含第三位及以后位小数。</w:t>
      </w:r>
      <w:r>
        <w:rPr>
          <w:rFonts w:hint="eastAsia" w:ascii="宋体" w:hAnsi="宋体" w:eastAsia="宋体" w:cs="宋体"/>
          <w:snapToGrid w:val="0"/>
          <w:color w:val="auto"/>
          <w:kern w:val="0"/>
          <w:sz w:val="24"/>
          <w:highlight w:val="none"/>
        </w:rPr>
        <w:t>凡报价为零或没</w:t>
      </w:r>
      <w:r>
        <w:rPr>
          <w:rFonts w:hint="eastAsia" w:ascii="宋体" w:hAnsi="宋体" w:eastAsia="宋体" w:cs="宋体"/>
          <w:color w:val="auto"/>
          <w:sz w:val="24"/>
          <w:highlight w:val="none"/>
        </w:rPr>
        <w:t>有报价的项目均视为该项费用已综合考虑在其他项目报价中，结算时不再另行计算。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12、对于工程实施过程中某清单项目若实际未发生的，则在结算时应扣除未发生的清单项目的相应费用。</w:t>
      </w:r>
    </w:p>
    <w:p>
      <w:pPr>
        <w:spacing w:line="360" w:lineRule="auto"/>
        <w:ind w:firstLine="480" w:firstLineChars="200"/>
        <w:rPr>
          <w:rFonts w:hint="eastAsia" w:ascii="宋体" w:hAnsi="宋体" w:eastAsia="宋体" w:cs="宋体"/>
          <w:snapToGrid w:val="0"/>
          <w:color w:val="auto"/>
          <w:spacing w:val="4"/>
          <w:kern w:val="0"/>
          <w:sz w:val="24"/>
          <w:highlight w:val="none"/>
        </w:rPr>
      </w:pPr>
      <w:r>
        <w:rPr>
          <w:rFonts w:hint="eastAsia" w:ascii="宋体" w:hAnsi="宋体" w:eastAsia="宋体" w:cs="宋体"/>
          <w:color w:val="auto"/>
          <w:sz w:val="24"/>
          <w:highlight w:val="none"/>
        </w:rPr>
        <w:t>13、合价项目的投入若能满足施工组织和验收要求，则按合同全额支付和结算（招标人统一调配的除外）；若不能满足施工组织和验收要求且经整改10天仍不满足要求的，则由招标人有权另行委托队伍施工，所发生的费用不管有无超过合同中该项目的合价，均全部由投标人负责并在其进度计量或结算中扣除；经整改后仍不满足要求，此类事件每发生一</w:t>
      </w:r>
      <w:r>
        <w:rPr>
          <w:rFonts w:hint="eastAsia" w:ascii="宋体" w:hAnsi="宋体" w:eastAsia="宋体" w:cs="宋体"/>
          <w:snapToGrid w:val="0"/>
          <w:color w:val="auto"/>
          <w:spacing w:val="4"/>
          <w:kern w:val="0"/>
          <w:sz w:val="24"/>
          <w:highlight w:val="none"/>
        </w:rPr>
        <w:t>次，在其相应措施项目进度计量或结算中按每天扣除人民币伍万元，直至整改满足要求为止。</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14、不合理报价的处理</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（1）开标后签订合同前或整个合同执行期间，在保持中标总价不变的情况下，招标人将对经济标投标报价文件进行算术校核和修正。</w:t>
      </w:r>
    </w:p>
    <w:p>
      <w:pPr>
        <w:pStyle w:val="57"/>
        <w:ind w:left="248" w:leftChars="118" w:firstLine="248" w:firstLineChars="100"/>
        <w:rPr>
          <w:rFonts w:hint="eastAsia" w:ascii="宋体" w:hAnsi="宋体" w:eastAsia="宋体" w:cs="宋体"/>
          <w:color w:val="auto"/>
          <w:highlight w:val="none"/>
        </w:rPr>
      </w:pPr>
      <w:r>
        <w:rPr>
          <w:rFonts w:hint="eastAsia" w:ascii="宋体" w:hAnsi="宋体" w:eastAsia="宋体" w:cs="宋体"/>
          <w:color w:val="auto"/>
          <w:highlight w:val="none"/>
        </w:rPr>
        <w:t>（2）经济标投标报价文件的算术性校核和修正办法如下：</w:t>
      </w:r>
    </w:p>
    <w:p>
      <w:pPr>
        <w:pStyle w:val="57"/>
        <w:ind w:left="248" w:leftChars="118" w:firstLine="248" w:firstLineChars="100"/>
        <w:rPr>
          <w:rFonts w:hint="eastAsia" w:ascii="宋体" w:hAnsi="宋体" w:eastAsia="宋体" w:cs="宋体"/>
          <w:color w:val="auto"/>
          <w:highlight w:val="none"/>
        </w:rPr>
      </w:pPr>
      <w:r>
        <w:rPr>
          <w:rFonts w:hint="eastAsia" w:ascii="宋体" w:hAnsi="宋体" w:eastAsia="宋体" w:cs="宋体"/>
          <w:color w:val="auto"/>
          <w:highlight w:val="none"/>
        </w:rPr>
        <w:t xml:space="preserve">①按招标文件开标、评标及定标办法相关约定执行； </w:t>
      </w:r>
    </w:p>
    <w:p>
      <w:pPr>
        <w:pStyle w:val="57"/>
        <w:ind w:firstLine="443" w:firstLineChars="179"/>
        <w:rPr>
          <w:rFonts w:hint="eastAsia" w:ascii="宋体" w:hAnsi="宋体" w:eastAsia="宋体" w:cs="宋体"/>
          <w:color w:val="auto"/>
          <w:highlight w:val="none"/>
        </w:rPr>
      </w:pPr>
      <w:r>
        <w:rPr>
          <w:rFonts w:hint="eastAsia" w:ascii="宋体" w:hAnsi="宋体" w:eastAsia="宋体" w:cs="宋体"/>
          <w:color w:val="auto"/>
          <w:highlight w:val="none"/>
        </w:rPr>
        <w:t>②投标文件综合单（合）价分析表中凡出现费率的必须填报，费率的数据由投标人根据企业自身实力自行填报。投标人在相同专业工程的单（合）价分析表中的费率必须填报一致，否则，评标时以其投标时的报价进行评审，进度计量和结算时以最低费率计算。在确定合同外新增项目综合单价时，以最低费率进行计算。如报为0或不填报者则视为0。</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③投标文件综合单（合）价分析表中，若填报的材料设备价格与分部分项工程量清单中的主材费价格或《承包人提供主要材料和工程设备一览表》以及《材料（工程设备）暂估单价及调整表》中相应材料设备价格不一致，进度计量和结算时按最低的价格计算，在确定合同外新增项目综合单价时按最低的价格进行组价。</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④相同清单项目（指专业类别、清单项目名称、项目特征、工作内容、施工部位（如同为地下工程、地上工程）计量单位都相同的清单项目）只能有一个投标单价，若相同清单项目出现两个或两个以上投标单价，进度计量和结算时均按最低的价格计算，在确定合同外新增项目综合单价时按最低的价格进行组价。</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原则上本项目所有涉及到价格调整的事项均须在按本条原则进行不合理报价处理的前提下进行。</w:t>
      </w:r>
    </w:p>
    <w:p>
      <w:pPr>
        <w:spacing w:line="360" w:lineRule="auto"/>
        <w:ind w:firstLine="496" w:firstLineChars="200"/>
        <w:rPr>
          <w:rFonts w:hint="eastAsia"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t>15、非投标人原因引起的分部分项工程量变化，其综合单价的调整原则：</w:t>
      </w:r>
    </w:p>
    <w:p>
      <w:pPr>
        <w:spacing w:line="360" w:lineRule="auto"/>
        <w:ind w:firstLine="496" w:firstLineChars="200"/>
        <w:rPr>
          <w:rFonts w:hint="eastAsia"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t>（1）对任一分部分项工程的清单项目，如进度计量和结算工程量与招标工程量相比增加幅度在10%及以内或减少时，其综合单价不做调整，执行原有合同综合单价。</w:t>
      </w:r>
    </w:p>
    <w:p>
      <w:pPr>
        <w:spacing w:line="360" w:lineRule="auto"/>
        <w:ind w:firstLine="496" w:firstLineChars="200"/>
        <w:rPr>
          <w:rFonts w:hint="eastAsia"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t xml:space="preserve">（2）当工程量增加幅度在10%以上时，其增加部分的工程量的综合单价应予调低，按下列公式调整进度计量及结算分部分项工程费： </w:t>
      </w:r>
    </w:p>
    <w:p>
      <w:pPr>
        <w:spacing w:line="360" w:lineRule="auto"/>
        <w:ind w:firstLine="496" w:firstLineChars="200"/>
        <w:rPr>
          <w:rFonts w:hint="eastAsia"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t>当Q1＞1.1Q0时，S=1.1Q0×P0+（Q1-1.1Q0）×P1</w:t>
      </w:r>
    </w:p>
    <w:p>
      <w:pPr>
        <w:spacing w:line="360" w:lineRule="auto"/>
        <w:ind w:firstLine="496" w:firstLineChars="200"/>
        <w:rPr>
          <w:rFonts w:hint="eastAsia"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t>式中 S——调整后的某一分部分项工程费结算价；</w:t>
      </w:r>
    </w:p>
    <w:p>
      <w:pPr>
        <w:spacing w:line="360" w:lineRule="auto"/>
        <w:ind w:firstLine="496" w:firstLineChars="200"/>
        <w:rPr>
          <w:rFonts w:hint="eastAsia"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t xml:space="preserve">Q1——最终完成的工程量； </w:t>
      </w:r>
    </w:p>
    <w:p>
      <w:pPr>
        <w:spacing w:line="360" w:lineRule="auto"/>
        <w:ind w:firstLine="496" w:firstLineChars="200"/>
        <w:rPr>
          <w:rFonts w:hint="eastAsia"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t xml:space="preserve">Q0——招标工程量清单中列出的工程量； </w:t>
      </w:r>
    </w:p>
    <w:p>
      <w:pPr>
        <w:spacing w:line="360" w:lineRule="auto"/>
        <w:ind w:firstLine="496" w:firstLineChars="200"/>
        <w:rPr>
          <w:rFonts w:hint="eastAsia"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t xml:space="preserve">P1——按照最终完成工程量重新调整后的综合单价，如工程量增加，P1=P0*0.9 </w:t>
      </w:r>
    </w:p>
    <w:p>
      <w:pPr>
        <w:spacing w:line="360" w:lineRule="auto"/>
        <w:ind w:firstLine="496" w:firstLineChars="200"/>
        <w:rPr>
          <w:rFonts w:hint="eastAsia" w:ascii="宋体" w:hAnsi="宋体" w:eastAsia="宋体" w:cs="宋体"/>
          <w:color w:val="auto"/>
          <w:highlight w:val="none"/>
        </w:rPr>
      </w:pPr>
      <w:r>
        <w:rPr>
          <w:rFonts w:hint="eastAsia" w:ascii="宋体" w:hAnsi="宋体" w:eastAsia="宋体" w:cs="宋体"/>
          <w:snapToGrid w:val="0"/>
          <w:color w:val="auto"/>
          <w:spacing w:val="4"/>
          <w:kern w:val="0"/>
          <w:sz w:val="24"/>
          <w:highlight w:val="none"/>
        </w:rPr>
        <w:t>P0——承包人在工程量清单中填报的综合单价。</w:t>
      </w:r>
    </w:p>
    <w:p>
      <w:pPr>
        <w:pStyle w:val="57"/>
        <w:ind w:firstLine="496"/>
        <w:rPr>
          <w:rFonts w:hint="eastAsia" w:ascii="宋体" w:hAnsi="宋体" w:eastAsia="宋体" w:cs="宋体"/>
          <w:color w:val="auto"/>
          <w:highlight w:val="none"/>
        </w:rPr>
      </w:pPr>
      <w:bookmarkStart w:id="17" w:name="_Toc194486380"/>
      <w:r>
        <w:rPr>
          <w:rFonts w:hint="eastAsia" w:ascii="宋体" w:hAnsi="宋体" w:eastAsia="宋体" w:cs="宋体"/>
          <w:color w:val="auto"/>
          <w:highlight w:val="none"/>
        </w:rPr>
        <w:t>16、投标文件有漏报项目的（招标清单中开列的项目但投标单位未进行报价的项目），在该项累计进度计量及工程结算时，按施工实际工程数量减去漏报项目招标工程数量计算增减工程量，增减工程量乘以【前3名中标候选人】相应投标单价的平均值计列综合单价作为漏报项目进度计量及结算款。</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17、变更及新增项目计价办法：</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在按本说明第一节第一条第14点原则进行不合理报价处理的前提下，按以下办法执行：</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（1）投标清单中有相同项目的，执行投标清单中的综合单价。</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（2）投标清单中有类似的，按投标清单中类似项目换算主材进行计算，其他费用不变。主材价格按本说明第一节第一条第18点执行。</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投标清单中没有相同或类似的项目，执行《建设工程工程量清单计价规范GB50500-2013》、2018年广东省各专业工程综合定额以及国家、省、市关于营业税改征增值税后调整工程计价依据的相关文件，人工、辅材、机械按施工同期广州市建设工程造价管理站发布的综合价格，主材价格按本说明第一节第一条第18点执行；且整体综合单价执行承包人投标下浮率（1-中标价格/招标控制价）。</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18、主要材料设备变更调整办法：</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在按本说明第一节第一条第14点原则进行不合理报价处理的前提下，按以下办法执行：</w:t>
      </w:r>
    </w:p>
    <w:p>
      <w:pPr>
        <w:pStyle w:val="57"/>
        <w:numPr>
          <w:ilvl w:val="0"/>
          <w:numId w:val="1"/>
        </w:numPr>
        <w:ind w:firstLine="496"/>
        <w:rPr>
          <w:rFonts w:hint="eastAsia" w:ascii="宋体" w:hAnsi="宋体" w:eastAsia="宋体" w:cs="宋体"/>
          <w:color w:val="auto"/>
          <w:highlight w:val="none"/>
        </w:rPr>
      </w:pPr>
      <w:r>
        <w:rPr>
          <w:rFonts w:hint="eastAsia" w:ascii="宋体" w:hAnsi="宋体" w:eastAsia="宋体" w:cs="宋体"/>
          <w:color w:val="auto"/>
          <w:highlight w:val="none"/>
        </w:rPr>
        <w:t>原投标报价中《承包人提供主要材料和工程设备一览表》有相同材料设备的，按《承包人提供主要材料和工程设备一览表》中的价格计算。</w:t>
      </w:r>
    </w:p>
    <w:p>
      <w:pPr>
        <w:pStyle w:val="57"/>
        <w:numPr>
          <w:ilvl w:val="0"/>
          <w:numId w:val="1"/>
        </w:numPr>
        <w:ind w:firstLine="496"/>
        <w:rPr>
          <w:rFonts w:hint="eastAsia" w:ascii="宋体" w:hAnsi="宋体" w:eastAsia="宋体" w:cs="宋体"/>
          <w:color w:val="auto"/>
          <w:highlight w:val="none"/>
        </w:rPr>
      </w:pPr>
      <w:r>
        <w:rPr>
          <w:rFonts w:hint="eastAsia" w:ascii="宋体" w:hAnsi="宋体" w:eastAsia="宋体" w:cs="宋体"/>
          <w:color w:val="auto"/>
          <w:highlight w:val="none"/>
        </w:rPr>
        <w:t>原投标报价中《承包人提供主要材料和工程设备一览表》有类似材料设备（即指品牌、规格、型号、尺寸及其他相关技术参数发生变化）的，则该材料设备的品牌按《承包人提供主要材料和工程设备一览表》中填报的品牌，价格如在广州市建设工程造价管理站发布的《广州地区建设工程常用材料税前综合价格》（以下简称“《综合价格》”）有适用的，按施工当月《综合价格》并执行投标时的类似材料设备价格投标下浮率进行下浮；材料设备投标下浮率＝（1-类似材料设备投标价/</w:t>
      </w:r>
      <w:bookmarkStart w:id="18" w:name="_Hlk82766391"/>
      <w:r>
        <w:rPr>
          <w:rFonts w:hint="eastAsia" w:ascii="宋体" w:hAnsi="宋体" w:eastAsia="宋体" w:cs="宋体"/>
          <w:color w:val="auto"/>
          <w:highlight w:val="none"/>
        </w:rPr>
        <w:t>202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月</w:t>
      </w:r>
      <w:bookmarkEnd w:id="18"/>
      <w:r>
        <w:rPr>
          <w:rFonts w:hint="eastAsia" w:ascii="宋体" w:hAnsi="宋体" w:eastAsia="宋体" w:cs="宋体"/>
          <w:color w:val="auto"/>
          <w:highlight w:val="none"/>
        </w:rPr>
        <w:t>类似材料设备的综合价格），变更材料设备价格＝施工当月综合价格*（1-投标下浮率）。</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如《综合价格》没有适用的，按施工当月/季广州市建设工程造价管理站发布的《广州地区建设工程材料（设备）厂商价格信息》（以下简称“《厂商价格信息》”）并执行投标时的类似材料设备价格投标下浮率进行下浮。材料设备投标下浮率＝（1-类似材料设备投标价/202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年</w:t>
      </w:r>
      <w:bookmarkStart w:id="19" w:name="_Hlk84493902"/>
      <w:r>
        <w:rPr>
          <w:rFonts w:hint="eastAsia" w:ascii="宋体" w:hAnsi="宋体" w:eastAsia="宋体" w:cs="宋体"/>
          <w:color w:val="auto"/>
          <w:highlight w:val="none"/>
        </w:rPr>
        <w:t>第三季度</w:t>
      </w:r>
      <w:bookmarkEnd w:id="19"/>
      <w:r>
        <w:rPr>
          <w:rFonts w:hint="eastAsia" w:ascii="宋体" w:hAnsi="宋体" w:eastAsia="宋体" w:cs="宋体"/>
          <w:color w:val="auto"/>
          <w:highlight w:val="none"/>
        </w:rPr>
        <w:t>类似材料设备的厂商价格信息价格），变更材料设备价格＝施工当月/季厂商价格信息*（1-投标下浮率）。</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如《综合价格》和《厂商价格信息》中均没有适用材料的情况下，按变更后材料的市场询价并执行类似材料设备项目的投标综合单价下浮率进行下浮。类似材料设备项目的投标综合单价下浮率=（1-类似材料设备项目的投标综合单价/类似材料设备项目的招标控制综合单价），变更材料设备价格＝市场询价价格*（1-投标综合单价下浮率）。</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招标控制综合单价以广州市建设工程造价监管平台(系统)备案通过文件为准。</w:t>
      </w:r>
    </w:p>
    <w:p>
      <w:pPr>
        <w:pStyle w:val="57"/>
        <w:numPr>
          <w:ilvl w:val="0"/>
          <w:numId w:val="1"/>
        </w:numPr>
        <w:ind w:firstLine="496"/>
        <w:rPr>
          <w:rFonts w:hint="eastAsia" w:ascii="宋体" w:hAnsi="宋体" w:eastAsia="宋体" w:cs="宋体"/>
          <w:color w:val="auto"/>
          <w:highlight w:val="none"/>
        </w:rPr>
      </w:pPr>
      <w:r>
        <w:rPr>
          <w:rFonts w:hint="eastAsia" w:ascii="宋体" w:hAnsi="宋体" w:eastAsia="宋体" w:cs="宋体"/>
          <w:color w:val="auto"/>
          <w:highlight w:val="none"/>
        </w:rPr>
        <w:t>原投标报价中《承包人提供主要材料和工程设备一览表》没有相同或类似材料设备的，由投标人（承包人）报不少于三家同档次（国产中档以上）厂家产品资料及单价给招标人（发包人）审查并确定选用其中一个品牌，价格按施工当月广州市建设工程造价管理站发布的《综合价格》执行，《综合价格》没有适用的，按施工当季度广州市建设工程造价管理站发布的《广州地区建设工程材料（设备）厂商价格信息》（以下简称“《厂商价格信息》”）下浮20%执行。在《综合价格》和《厂商价格信息》中均没有适用材料的情况下，按经招标人审核确认的市场价格执行。</w:t>
      </w:r>
    </w:p>
    <w:p>
      <w:pPr>
        <w:spacing w:line="360" w:lineRule="auto"/>
        <w:ind w:firstLine="496" w:firstLineChars="200"/>
        <w:rPr>
          <w:rFonts w:hint="eastAsia"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t>19、主要材料调差原则及办法：</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在按本说明第一节第一条第14点原则进行不合理报价处理的前提下，按以下办法执行：</w:t>
      </w:r>
    </w:p>
    <w:p>
      <w:pPr>
        <w:spacing w:line="360" w:lineRule="auto"/>
        <w:ind w:firstLine="496" w:firstLineChars="200"/>
        <w:rPr>
          <w:rFonts w:hint="eastAsia"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t>在合同履行期间，原则上仅对钢筋</w:t>
      </w:r>
      <w:bookmarkStart w:id="20" w:name="_Hlk84585755"/>
      <w:r>
        <w:rPr>
          <w:rFonts w:hint="eastAsia" w:ascii="宋体" w:hAnsi="宋体" w:eastAsia="宋体" w:cs="宋体"/>
          <w:snapToGrid w:val="0"/>
          <w:color w:val="auto"/>
          <w:spacing w:val="4"/>
          <w:kern w:val="0"/>
          <w:sz w:val="24"/>
          <w:highlight w:val="none"/>
        </w:rPr>
        <w:t>（装配式构件除外）</w:t>
      </w:r>
      <w:bookmarkEnd w:id="20"/>
      <w:r>
        <w:rPr>
          <w:rFonts w:hint="eastAsia" w:ascii="宋体" w:hAnsi="宋体" w:eastAsia="宋体" w:cs="宋体"/>
          <w:snapToGrid w:val="0"/>
          <w:color w:val="auto"/>
          <w:spacing w:val="4"/>
          <w:kern w:val="0"/>
          <w:sz w:val="24"/>
          <w:highlight w:val="none"/>
        </w:rPr>
        <w:t>、商品砂浆、商品混凝土、价格进行调差计算（总价包干项目除外），除此之外其他任何人工、材料、设备、机械价格无论任何情况均不予调整。调差原则及结算办法如下：</w:t>
      </w:r>
    </w:p>
    <w:p>
      <w:pPr>
        <w:spacing w:line="360" w:lineRule="auto"/>
        <w:ind w:firstLine="496" w:firstLineChars="200"/>
        <w:rPr>
          <w:rFonts w:hint="eastAsia"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t>（1）如施工当期广州造价管理部门公布的《广州地区建设工程常用材料综合价格》（以下简称“《综合价格》”）（税前价）中上述材料价格涨跌未超过广州市造价管理部门公布的202</w:t>
      </w:r>
      <w:r>
        <w:rPr>
          <w:rFonts w:hint="eastAsia" w:ascii="宋体" w:hAnsi="宋体" w:eastAsia="宋体" w:cs="宋体"/>
          <w:snapToGrid w:val="0"/>
          <w:color w:val="auto"/>
          <w:spacing w:val="4"/>
          <w:kern w:val="0"/>
          <w:sz w:val="24"/>
          <w:highlight w:val="none"/>
          <w:lang w:val="en-US" w:eastAsia="zh-CN"/>
        </w:rPr>
        <w:t>3</w:t>
      </w:r>
      <w:r>
        <w:rPr>
          <w:rFonts w:hint="eastAsia" w:ascii="宋体" w:hAnsi="宋体" w:eastAsia="宋体" w:cs="宋体"/>
          <w:snapToGrid w:val="0"/>
          <w:color w:val="auto"/>
          <w:spacing w:val="4"/>
          <w:kern w:val="0"/>
          <w:sz w:val="24"/>
          <w:highlight w:val="none"/>
        </w:rPr>
        <w:t>年</w:t>
      </w:r>
      <w:r>
        <w:rPr>
          <w:rFonts w:hint="eastAsia" w:ascii="宋体" w:hAnsi="宋体" w:eastAsia="宋体" w:cs="宋体"/>
          <w:snapToGrid w:val="0"/>
          <w:color w:val="auto"/>
          <w:spacing w:val="4"/>
          <w:kern w:val="0"/>
          <w:sz w:val="24"/>
          <w:highlight w:val="none"/>
          <w:lang w:val="en-US" w:eastAsia="zh-CN"/>
        </w:rPr>
        <w:t>9</w:t>
      </w:r>
      <w:r>
        <w:rPr>
          <w:rFonts w:hint="eastAsia" w:ascii="宋体" w:hAnsi="宋体" w:eastAsia="宋体" w:cs="宋体"/>
          <w:snapToGrid w:val="0"/>
          <w:color w:val="auto"/>
          <w:spacing w:val="4"/>
          <w:kern w:val="0"/>
          <w:sz w:val="24"/>
          <w:highlight w:val="none"/>
        </w:rPr>
        <w:t>月《综合价格》（税前价）的±</w:t>
      </w:r>
      <w:r>
        <w:rPr>
          <w:rFonts w:hint="eastAsia" w:ascii="宋体" w:hAnsi="宋体" w:eastAsia="宋体" w:cs="宋体"/>
          <w:snapToGrid w:val="0"/>
          <w:color w:val="auto"/>
          <w:spacing w:val="4"/>
          <w:kern w:val="0"/>
          <w:sz w:val="24"/>
          <w:highlight w:val="none"/>
          <w:lang w:val="en-US" w:eastAsia="zh-CN"/>
        </w:rPr>
        <w:t>5</w:t>
      </w:r>
      <w:r>
        <w:rPr>
          <w:rFonts w:hint="eastAsia" w:ascii="宋体" w:hAnsi="宋体" w:eastAsia="宋体" w:cs="宋体"/>
          <w:snapToGrid w:val="0"/>
          <w:color w:val="auto"/>
          <w:spacing w:val="4"/>
          <w:kern w:val="0"/>
          <w:sz w:val="24"/>
          <w:highlight w:val="none"/>
        </w:rPr>
        <w:t>％（含±</w:t>
      </w:r>
      <w:r>
        <w:rPr>
          <w:rFonts w:hint="eastAsia" w:ascii="宋体" w:hAnsi="宋体" w:eastAsia="宋体" w:cs="宋体"/>
          <w:snapToGrid w:val="0"/>
          <w:color w:val="auto"/>
          <w:spacing w:val="4"/>
          <w:kern w:val="0"/>
          <w:sz w:val="24"/>
          <w:highlight w:val="none"/>
          <w:lang w:val="en-US" w:eastAsia="zh-CN"/>
        </w:rPr>
        <w:t>5</w:t>
      </w:r>
      <w:r>
        <w:rPr>
          <w:rFonts w:hint="eastAsia" w:ascii="宋体" w:hAnsi="宋体" w:eastAsia="宋体" w:cs="宋体"/>
          <w:snapToGrid w:val="0"/>
          <w:color w:val="auto"/>
          <w:spacing w:val="4"/>
          <w:kern w:val="0"/>
          <w:sz w:val="24"/>
          <w:highlight w:val="none"/>
        </w:rPr>
        <w:t>%），则均执行投标单价，结算时不予调整。</w:t>
      </w:r>
    </w:p>
    <w:p>
      <w:pPr>
        <w:tabs>
          <w:tab w:val="left" w:pos="3240"/>
        </w:tabs>
        <w:spacing w:line="360" w:lineRule="auto"/>
        <w:ind w:right="94" w:rightChars="45" w:firstLine="496" w:firstLineChars="200"/>
        <w:rPr>
          <w:rFonts w:hint="eastAsia"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t>（2）如施工当期广州造价管理部门公布的《综合价格》（税前价）中上述材料价格涨跌超过广州市造价管理部门公布的</w:t>
      </w:r>
      <w:r>
        <w:rPr>
          <w:rFonts w:hint="eastAsia" w:ascii="宋体" w:hAnsi="宋体" w:eastAsia="宋体" w:cs="宋体"/>
          <w:snapToGrid w:val="0"/>
          <w:color w:val="auto"/>
          <w:spacing w:val="4"/>
          <w:kern w:val="0"/>
          <w:sz w:val="24"/>
          <w:highlight w:val="none"/>
        </w:rPr>
        <w:t>202</w:t>
      </w:r>
      <w:r>
        <w:rPr>
          <w:rFonts w:hint="eastAsia" w:ascii="宋体" w:hAnsi="宋体" w:eastAsia="宋体" w:cs="宋体"/>
          <w:snapToGrid w:val="0"/>
          <w:color w:val="auto"/>
          <w:spacing w:val="4"/>
          <w:kern w:val="0"/>
          <w:sz w:val="24"/>
          <w:highlight w:val="none"/>
          <w:lang w:val="en-US" w:eastAsia="zh-CN"/>
        </w:rPr>
        <w:t>3</w:t>
      </w:r>
      <w:r>
        <w:rPr>
          <w:rFonts w:hint="eastAsia" w:ascii="宋体" w:hAnsi="宋体" w:eastAsia="宋体" w:cs="宋体"/>
          <w:snapToGrid w:val="0"/>
          <w:color w:val="auto"/>
          <w:spacing w:val="4"/>
          <w:kern w:val="0"/>
          <w:sz w:val="24"/>
          <w:highlight w:val="none"/>
        </w:rPr>
        <w:t>年</w:t>
      </w:r>
      <w:r>
        <w:rPr>
          <w:rFonts w:hint="eastAsia" w:ascii="宋体" w:hAnsi="宋体" w:eastAsia="宋体" w:cs="宋体"/>
          <w:snapToGrid w:val="0"/>
          <w:color w:val="auto"/>
          <w:spacing w:val="4"/>
          <w:kern w:val="0"/>
          <w:sz w:val="24"/>
          <w:highlight w:val="none"/>
          <w:lang w:val="en-US" w:eastAsia="zh-CN"/>
        </w:rPr>
        <w:t>9</w:t>
      </w:r>
      <w:r>
        <w:rPr>
          <w:rFonts w:hint="eastAsia" w:ascii="宋体" w:hAnsi="宋体" w:eastAsia="宋体" w:cs="宋体"/>
          <w:snapToGrid w:val="0"/>
          <w:color w:val="auto"/>
          <w:spacing w:val="4"/>
          <w:kern w:val="0"/>
          <w:sz w:val="24"/>
          <w:highlight w:val="none"/>
        </w:rPr>
        <w:t>月</w:t>
      </w:r>
      <w:r>
        <w:rPr>
          <w:rFonts w:hint="eastAsia" w:ascii="宋体" w:hAnsi="宋体" w:eastAsia="宋体" w:cs="宋体"/>
          <w:snapToGrid w:val="0"/>
          <w:color w:val="auto"/>
          <w:spacing w:val="4"/>
          <w:kern w:val="0"/>
          <w:sz w:val="24"/>
          <w:highlight w:val="none"/>
        </w:rPr>
        <w:t>《综合价格》（税前价）的±</w:t>
      </w:r>
      <w:r>
        <w:rPr>
          <w:rFonts w:hint="eastAsia" w:ascii="宋体" w:hAnsi="宋体" w:eastAsia="宋体" w:cs="宋体"/>
          <w:snapToGrid w:val="0"/>
          <w:color w:val="auto"/>
          <w:spacing w:val="4"/>
          <w:kern w:val="0"/>
          <w:sz w:val="24"/>
          <w:highlight w:val="none"/>
          <w:lang w:val="en-US" w:eastAsia="zh-CN"/>
        </w:rPr>
        <w:t>5</w:t>
      </w:r>
      <w:r>
        <w:rPr>
          <w:rFonts w:hint="eastAsia" w:ascii="宋体" w:hAnsi="宋体" w:eastAsia="宋体" w:cs="宋体"/>
          <w:snapToGrid w:val="0"/>
          <w:color w:val="auto"/>
          <w:spacing w:val="4"/>
          <w:kern w:val="0"/>
          <w:sz w:val="24"/>
          <w:highlight w:val="none"/>
        </w:rPr>
        <w:t>％（不含±</w:t>
      </w:r>
      <w:r>
        <w:rPr>
          <w:rFonts w:hint="eastAsia" w:ascii="宋体" w:hAnsi="宋体" w:eastAsia="宋体" w:cs="宋体"/>
          <w:snapToGrid w:val="0"/>
          <w:color w:val="auto"/>
          <w:spacing w:val="4"/>
          <w:kern w:val="0"/>
          <w:sz w:val="24"/>
          <w:highlight w:val="none"/>
          <w:lang w:val="en-US" w:eastAsia="zh-CN"/>
        </w:rPr>
        <w:t>5</w:t>
      </w:r>
      <w:r>
        <w:rPr>
          <w:rFonts w:hint="eastAsia" w:ascii="宋体" w:hAnsi="宋体" w:eastAsia="宋体" w:cs="宋体"/>
          <w:snapToGrid w:val="0"/>
          <w:color w:val="auto"/>
          <w:spacing w:val="4"/>
          <w:kern w:val="0"/>
          <w:sz w:val="24"/>
          <w:highlight w:val="none"/>
        </w:rPr>
        <w:t>%），则价格涨跌幅度在±</w:t>
      </w:r>
      <w:r>
        <w:rPr>
          <w:rFonts w:hint="eastAsia" w:ascii="宋体" w:hAnsi="宋体" w:eastAsia="宋体" w:cs="宋体"/>
          <w:snapToGrid w:val="0"/>
          <w:color w:val="auto"/>
          <w:spacing w:val="4"/>
          <w:kern w:val="0"/>
          <w:sz w:val="24"/>
          <w:highlight w:val="none"/>
          <w:lang w:val="en-US" w:eastAsia="zh-CN"/>
        </w:rPr>
        <w:t>5</w:t>
      </w:r>
      <w:r>
        <w:rPr>
          <w:rFonts w:hint="eastAsia" w:ascii="宋体" w:hAnsi="宋体" w:eastAsia="宋体" w:cs="宋体"/>
          <w:snapToGrid w:val="0"/>
          <w:color w:val="auto"/>
          <w:spacing w:val="4"/>
          <w:kern w:val="0"/>
          <w:sz w:val="24"/>
          <w:highlight w:val="none"/>
        </w:rPr>
        <w:t>%以外的部分按以下原则进行调差：</w:t>
      </w:r>
    </w:p>
    <w:p>
      <w:pPr>
        <w:tabs>
          <w:tab w:val="left" w:pos="3240"/>
        </w:tabs>
        <w:spacing w:line="360" w:lineRule="auto"/>
        <w:ind w:right="94" w:rightChars="45" w:firstLine="496" w:firstLineChars="200"/>
        <w:rPr>
          <w:rFonts w:hint="eastAsia"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fldChar w:fldCharType="begin"/>
      </w:r>
      <w:r>
        <w:rPr>
          <w:rFonts w:hint="eastAsia" w:ascii="宋体" w:hAnsi="宋体" w:eastAsia="宋体" w:cs="宋体"/>
          <w:snapToGrid w:val="0"/>
          <w:color w:val="auto"/>
          <w:spacing w:val="4"/>
          <w:kern w:val="0"/>
          <w:sz w:val="24"/>
          <w:highlight w:val="none"/>
        </w:rPr>
        <w:instrText xml:space="preserve"> = 1 \* GB3 </w:instrText>
      </w:r>
      <w:r>
        <w:rPr>
          <w:rFonts w:hint="eastAsia" w:ascii="宋体" w:hAnsi="宋体" w:eastAsia="宋体" w:cs="宋体"/>
          <w:snapToGrid w:val="0"/>
          <w:color w:val="auto"/>
          <w:spacing w:val="4"/>
          <w:kern w:val="0"/>
          <w:sz w:val="24"/>
          <w:highlight w:val="none"/>
        </w:rPr>
        <w:fldChar w:fldCharType="separate"/>
      </w:r>
      <w:r>
        <w:rPr>
          <w:rFonts w:hint="eastAsia" w:ascii="宋体" w:hAnsi="宋体" w:eastAsia="宋体" w:cs="宋体"/>
          <w:snapToGrid w:val="0"/>
          <w:color w:val="auto"/>
          <w:spacing w:val="4"/>
          <w:kern w:val="0"/>
          <w:sz w:val="24"/>
          <w:highlight w:val="none"/>
        </w:rPr>
        <w:t>①</w:t>
      </w:r>
      <w:r>
        <w:rPr>
          <w:rFonts w:hint="eastAsia" w:ascii="宋体" w:hAnsi="宋体" w:eastAsia="宋体" w:cs="宋体"/>
          <w:snapToGrid w:val="0"/>
          <w:color w:val="auto"/>
          <w:spacing w:val="4"/>
          <w:kern w:val="0"/>
          <w:sz w:val="24"/>
          <w:highlight w:val="none"/>
        </w:rPr>
        <w:fldChar w:fldCharType="end"/>
      </w:r>
      <w:r>
        <w:rPr>
          <w:rFonts w:hint="eastAsia" w:ascii="宋体" w:hAnsi="宋体" w:eastAsia="宋体" w:cs="宋体"/>
          <w:snapToGrid w:val="0"/>
          <w:color w:val="auto"/>
          <w:spacing w:val="4"/>
          <w:kern w:val="0"/>
          <w:sz w:val="24"/>
          <w:highlight w:val="none"/>
        </w:rPr>
        <w:t xml:space="preserve"> 当（Mn-Mo）/Mo&gt;</w:t>
      </w:r>
      <w:r>
        <w:rPr>
          <w:rFonts w:hint="eastAsia" w:ascii="宋体" w:hAnsi="宋体" w:eastAsia="宋体" w:cs="宋体"/>
          <w:snapToGrid w:val="0"/>
          <w:color w:val="auto"/>
          <w:spacing w:val="4"/>
          <w:kern w:val="0"/>
          <w:sz w:val="24"/>
          <w:highlight w:val="none"/>
          <w:lang w:val="en-US" w:eastAsia="zh-CN"/>
        </w:rPr>
        <w:t>5</w:t>
      </w:r>
      <w:r>
        <w:rPr>
          <w:rFonts w:hint="eastAsia" w:ascii="宋体" w:hAnsi="宋体" w:eastAsia="宋体" w:cs="宋体"/>
          <w:snapToGrid w:val="0"/>
          <w:color w:val="auto"/>
          <w:spacing w:val="4"/>
          <w:kern w:val="0"/>
          <w:sz w:val="24"/>
          <w:highlight w:val="none"/>
        </w:rPr>
        <w:t>%时：</w:t>
      </w:r>
    </w:p>
    <w:p>
      <w:pPr>
        <w:tabs>
          <w:tab w:val="left" w:pos="3240"/>
        </w:tabs>
        <w:spacing w:line="360" w:lineRule="auto"/>
        <w:ind w:right="94" w:rightChars="45" w:firstLine="868" w:firstLineChars="350"/>
        <w:rPr>
          <w:rFonts w:hint="eastAsia"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t>C = Q·P·【（Mn-Mo）/Mo·100%-</w:t>
      </w:r>
      <w:r>
        <w:rPr>
          <w:rFonts w:hint="eastAsia" w:ascii="宋体" w:hAnsi="宋体" w:eastAsia="宋体" w:cs="宋体"/>
          <w:snapToGrid w:val="0"/>
          <w:color w:val="auto"/>
          <w:spacing w:val="4"/>
          <w:kern w:val="0"/>
          <w:sz w:val="24"/>
          <w:highlight w:val="none"/>
          <w:lang w:val="en-US" w:eastAsia="zh-CN"/>
        </w:rPr>
        <w:t>5</w:t>
      </w:r>
      <w:r>
        <w:rPr>
          <w:rFonts w:hint="eastAsia" w:ascii="宋体" w:hAnsi="宋体" w:eastAsia="宋体" w:cs="宋体"/>
          <w:snapToGrid w:val="0"/>
          <w:color w:val="auto"/>
          <w:spacing w:val="4"/>
          <w:kern w:val="0"/>
          <w:sz w:val="24"/>
          <w:highlight w:val="none"/>
        </w:rPr>
        <w:t xml:space="preserve"> %】·H </w:t>
      </w:r>
    </w:p>
    <w:p>
      <w:pPr>
        <w:tabs>
          <w:tab w:val="left" w:pos="3240"/>
        </w:tabs>
        <w:spacing w:line="360" w:lineRule="auto"/>
        <w:ind w:right="94" w:rightChars="45" w:firstLine="496" w:firstLineChars="200"/>
        <w:rPr>
          <w:rFonts w:hint="eastAsia"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fldChar w:fldCharType="begin"/>
      </w:r>
      <w:r>
        <w:rPr>
          <w:rFonts w:hint="eastAsia" w:ascii="宋体" w:hAnsi="宋体" w:eastAsia="宋体" w:cs="宋体"/>
          <w:snapToGrid w:val="0"/>
          <w:color w:val="auto"/>
          <w:spacing w:val="4"/>
          <w:kern w:val="0"/>
          <w:sz w:val="24"/>
          <w:highlight w:val="none"/>
        </w:rPr>
        <w:instrText xml:space="preserve"> = 2 \* GB3 </w:instrText>
      </w:r>
      <w:r>
        <w:rPr>
          <w:rFonts w:hint="eastAsia" w:ascii="宋体" w:hAnsi="宋体" w:eastAsia="宋体" w:cs="宋体"/>
          <w:snapToGrid w:val="0"/>
          <w:color w:val="auto"/>
          <w:spacing w:val="4"/>
          <w:kern w:val="0"/>
          <w:sz w:val="24"/>
          <w:highlight w:val="none"/>
        </w:rPr>
        <w:fldChar w:fldCharType="separate"/>
      </w:r>
      <w:r>
        <w:rPr>
          <w:rFonts w:hint="eastAsia" w:ascii="宋体" w:hAnsi="宋体" w:eastAsia="宋体" w:cs="宋体"/>
          <w:snapToGrid w:val="0"/>
          <w:color w:val="auto"/>
          <w:spacing w:val="4"/>
          <w:kern w:val="0"/>
          <w:sz w:val="24"/>
          <w:highlight w:val="none"/>
        </w:rPr>
        <w:t>②</w:t>
      </w:r>
      <w:r>
        <w:rPr>
          <w:rFonts w:hint="eastAsia" w:ascii="宋体" w:hAnsi="宋体" w:eastAsia="宋体" w:cs="宋体"/>
          <w:snapToGrid w:val="0"/>
          <w:color w:val="auto"/>
          <w:spacing w:val="4"/>
          <w:kern w:val="0"/>
          <w:sz w:val="24"/>
          <w:highlight w:val="none"/>
        </w:rPr>
        <w:fldChar w:fldCharType="end"/>
      </w:r>
      <w:r>
        <w:rPr>
          <w:rFonts w:hint="eastAsia" w:ascii="宋体" w:hAnsi="宋体" w:eastAsia="宋体" w:cs="宋体"/>
          <w:snapToGrid w:val="0"/>
          <w:color w:val="auto"/>
          <w:spacing w:val="4"/>
          <w:kern w:val="0"/>
          <w:sz w:val="24"/>
          <w:highlight w:val="none"/>
        </w:rPr>
        <w:t xml:space="preserve"> 当（Mn-Mo）/Mo &lt;-</w:t>
      </w:r>
      <w:r>
        <w:rPr>
          <w:rFonts w:hint="eastAsia" w:ascii="宋体" w:hAnsi="宋体" w:eastAsia="宋体" w:cs="宋体"/>
          <w:snapToGrid w:val="0"/>
          <w:color w:val="auto"/>
          <w:spacing w:val="4"/>
          <w:kern w:val="0"/>
          <w:sz w:val="24"/>
          <w:highlight w:val="none"/>
          <w:lang w:val="en-US" w:eastAsia="zh-CN"/>
        </w:rPr>
        <w:t>5</w:t>
      </w:r>
      <w:r>
        <w:rPr>
          <w:rFonts w:hint="eastAsia" w:ascii="宋体" w:hAnsi="宋体" w:eastAsia="宋体" w:cs="宋体"/>
          <w:snapToGrid w:val="0"/>
          <w:color w:val="auto"/>
          <w:spacing w:val="4"/>
          <w:kern w:val="0"/>
          <w:sz w:val="24"/>
          <w:highlight w:val="none"/>
        </w:rPr>
        <w:t>%时：</w:t>
      </w:r>
    </w:p>
    <w:p>
      <w:pPr>
        <w:tabs>
          <w:tab w:val="left" w:pos="3240"/>
        </w:tabs>
        <w:spacing w:line="360" w:lineRule="auto"/>
        <w:ind w:right="94" w:rightChars="45" w:firstLine="868" w:firstLineChars="350"/>
        <w:rPr>
          <w:rFonts w:hint="eastAsia"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t>C = Q·P·【（Mn-Mo）/Mo·100%+</w:t>
      </w:r>
      <w:r>
        <w:rPr>
          <w:rFonts w:hint="eastAsia" w:ascii="宋体" w:hAnsi="宋体" w:eastAsia="宋体" w:cs="宋体"/>
          <w:snapToGrid w:val="0"/>
          <w:color w:val="auto"/>
          <w:spacing w:val="4"/>
          <w:kern w:val="0"/>
          <w:sz w:val="24"/>
          <w:highlight w:val="none"/>
          <w:lang w:val="en-US" w:eastAsia="zh-CN"/>
        </w:rPr>
        <w:t>5</w:t>
      </w:r>
      <w:r>
        <w:rPr>
          <w:rFonts w:hint="eastAsia" w:ascii="宋体" w:hAnsi="宋体" w:eastAsia="宋体" w:cs="宋体"/>
          <w:snapToGrid w:val="0"/>
          <w:color w:val="auto"/>
          <w:spacing w:val="4"/>
          <w:kern w:val="0"/>
          <w:sz w:val="24"/>
          <w:highlight w:val="none"/>
        </w:rPr>
        <w:t xml:space="preserve"> %】·H</w:t>
      </w:r>
    </w:p>
    <w:p>
      <w:pPr>
        <w:tabs>
          <w:tab w:val="left" w:pos="2160"/>
          <w:tab w:val="left" w:pos="2880"/>
        </w:tabs>
        <w:spacing w:line="360" w:lineRule="auto"/>
        <w:ind w:right="94" w:rightChars="45" w:firstLine="496" w:firstLineChars="200"/>
        <w:rPr>
          <w:rFonts w:hint="eastAsia"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t>Mn：表示施工当月广州市造价站公布的《综合价格》（税前价）中的相应材料价格。</w:t>
      </w:r>
    </w:p>
    <w:p>
      <w:pPr>
        <w:tabs>
          <w:tab w:val="left" w:pos="2160"/>
          <w:tab w:val="left" w:pos="2880"/>
        </w:tabs>
        <w:spacing w:line="360" w:lineRule="auto"/>
        <w:ind w:right="94" w:rightChars="45" w:firstLine="496" w:firstLineChars="200"/>
        <w:rPr>
          <w:rFonts w:hint="eastAsia"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t>Mo：表示广州市造价站公布的202</w:t>
      </w:r>
      <w:r>
        <w:rPr>
          <w:rFonts w:hint="eastAsia" w:ascii="宋体" w:hAnsi="宋体" w:eastAsia="宋体" w:cs="宋体"/>
          <w:snapToGrid w:val="0"/>
          <w:color w:val="auto"/>
          <w:spacing w:val="4"/>
          <w:kern w:val="0"/>
          <w:sz w:val="24"/>
          <w:highlight w:val="none"/>
          <w:lang w:val="en-US" w:eastAsia="zh-CN"/>
        </w:rPr>
        <w:t>3</w:t>
      </w:r>
      <w:r>
        <w:rPr>
          <w:rFonts w:hint="eastAsia" w:ascii="宋体" w:hAnsi="宋体" w:eastAsia="宋体" w:cs="宋体"/>
          <w:snapToGrid w:val="0"/>
          <w:color w:val="auto"/>
          <w:spacing w:val="4"/>
          <w:kern w:val="0"/>
          <w:sz w:val="24"/>
          <w:highlight w:val="none"/>
        </w:rPr>
        <w:t>年</w:t>
      </w:r>
      <w:r>
        <w:rPr>
          <w:rFonts w:hint="eastAsia" w:ascii="宋体" w:hAnsi="宋体" w:eastAsia="宋体" w:cs="宋体"/>
          <w:snapToGrid w:val="0"/>
          <w:color w:val="auto"/>
          <w:spacing w:val="4"/>
          <w:kern w:val="0"/>
          <w:sz w:val="24"/>
          <w:highlight w:val="none"/>
          <w:lang w:val="en-US" w:eastAsia="zh-CN"/>
        </w:rPr>
        <w:t>9</w:t>
      </w:r>
      <w:r>
        <w:rPr>
          <w:rFonts w:hint="eastAsia" w:ascii="宋体" w:hAnsi="宋体" w:eastAsia="宋体" w:cs="宋体"/>
          <w:snapToGrid w:val="0"/>
          <w:color w:val="auto"/>
          <w:spacing w:val="4"/>
          <w:kern w:val="0"/>
          <w:sz w:val="24"/>
          <w:highlight w:val="none"/>
        </w:rPr>
        <w:t>月《综合价格》（税前价）中的相应材料价格。</w:t>
      </w:r>
    </w:p>
    <w:p>
      <w:pPr>
        <w:tabs>
          <w:tab w:val="left" w:pos="2160"/>
          <w:tab w:val="left" w:pos="2880"/>
        </w:tabs>
        <w:spacing w:line="360" w:lineRule="auto"/>
        <w:ind w:right="94" w:rightChars="45" w:firstLine="496" w:firstLineChars="200"/>
        <w:rPr>
          <w:rFonts w:hint="eastAsia"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t>C：表示材料调整金额</w:t>
      </w:r>
    </w:p>
    <w:p>
      <w:pPr>
        <w:tabs>
          <w:tab w:val="left" w:pos="2160"/>
          <w:tab w:val="left" w:pos="2880"/>
        </w:tabs>
        <w:spacing w:line="360" w:lineRule="auto"/>
        <w:ind w:right="94" w:rightChars="45" w:firstLine="496" w:firstLineChars="200"/>
        <w:rPr>
          <w:rFonts w:hint="eastAsia"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t>Q：表示施工当月相应材料完成的工程量（以监理工程师及业主单位确认工程量为准）</w:t>
      </w:r>
    </w:p>
    <w:p>
      <w:pPr>
        <w:tabs>
          <w:tab w:val="left" w:pos="2160"/>
          <w:tab w:val="left" w:pos="2880"/>
        </w:tabs>
        <w:spacing w:line="360" w:lineRule="auto"/>
        <w:ind w:right="94" w:rightChars="45" w:firstLine="496" w:firstLineChars="200"/>
        <w:rPr>
          <w:rFonts w:hint="eastAsia"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t>P</w:t>
      </w:r>
      <w:bookmarkStart w:id="21" w:name="OLE_LINK6"/>
      <w:r>
        <w:rPr>
          <w:rFonts w:hint="eastAsia" w:ascii="宋体" w:hAnsi="宋体" w:eastAsia="宋体" w:cs="宋体"/>
          <w:snapToGrid w:val="0"/>
          <w:color w:val="auto"/>
          <w:spacing w:val="4"/>
          <w:kern w:val="0"/>
          <w:sz w:val="24"/>
          <w:highlight w:val="none"/>
        </w:rPr>
        <w:t>：表示相应材料的</w:t>
      </w:r>
      <w:bookmarkEnd w:id="21"/>
      <w:r>
        <w:rPr>
          <w:rFonts w:hint="eastAsia" w:ascii="宋体" w:hAnsi="宋体" w:eastAsia="宋体" w:cs="宋体"/>
          <w:snapToGrid w:val="0"/>
          <w:color w:val="auto"/>
          <w:spacing w:val="4"/>
          <w:kern w:val="0"/>
          <w:sz w:val="24"/>
          <w:highlight w:val="none"/>
        </w:rPr>
        <w:t>投标综合单价中主材价，如同一种材料出现几种报价，按最低的主材价执行。</w:t>
      </w:r>
    </w:p>
    <w:p>
      <w:pPr>
        <w:tabs>
          <w:tab w:val="left" w:pos="2160"/>
          <w:tab w:val="left" w:pos="2880"/>
        </w:tabs>
        <w:spacing w:line="360" w:lineRule="auto"/>
        <w:ind w:right="94" w:rightChars="45" w:firstLine="496" w:firstLineChars="200"/>
        <w:rPr>
          <w:rFonts w:hint="eastAsia"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t>H：表示相应材料的消耗量</w:t>
      </w:r>
    </w:p>
    <w:p>
      <w:pPr>
        <w:spacing w:line="360" w:lineRule="auto"/>
        <w:ind w:firstLine="496" w:firstLineChars="200"/>
        <w:rPr>
          <w:rFonts w:hint="eastAsia"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t>（3）凡涉及项目的调差，原则上均在结算时进行。如确因施工期材料价格涨跌幅度较大,经</w:t>
      </w:r>
      <w:bookmarkStart w:id="22" w:name="_Hlk84687621"/>
      <w:r>
        <w:rPr>
          <w:rFonts w:hint="eastAsia" w:ascii="宋体" w:hAnsi="宋体" w:eastAsia="宋体" w:cs="宋体"/>
          <w:snapToGrid w:val="0"/>
          <w:color w:val="auto"/>
          <w:spacing w:val="4"/>
          <w:kern w:val="0"/>
          <w:sz w:val="24"/>
          <w:highlight w:val="none"/>
        </w:rPr>
        <w:t>招标人（发包人）</w:t>
      </w:r>
      <w:bookmarkEnd w:id="22"/>
      <w:r>
        <w:rPr>
          <w:rFonts w:hint="eastAsia" w:ascii="宋体" w:hAnsi="宋体" w:eastAsia="宋体" w:cs="宋体"/>
          <w:snapToGrid w:val="0"/>
          <w:color w:val="auto"/>
          <w:spacing w:val="4"/>
          <w:kern w:val="0"/>
          <w:sz w:val="24"/>
          <w:highlight w:val="none"/>
        </w:rPr>
        <w:t>专题研定后，原则上在每年第四季度调差一次，并纳入当期进度款进行支付，但相应调差金额仅作为进度计量支付依据，最终以结算审核为准。</w:t>
      </w:r>
    </w:p>
    <w:p>
      <w:pPr>
        <w:spacing w:line="360" w:lineRule="auto"/>
        <w:ind w:firstLine="496" w:firstLineChars="200"/>
        <w:rPr>
          <w:rFonts w:hint="eastAsia"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t>（4）如因施工单位原因导致工期延误所致上述材料价格涨跌幅度超过±</w:t>
      </w:r>
      <w:r>
        <w:rPr>
          <w:rFonts w:hint="eastAsia" w:ascii="宋体" w:hAnsi="宋体" w:eastAsia="宋体" w:cs="宋体"/>
          <w:snapToGrid w:val="0"/>
          <w:color w:val="auto"/>
          <w:spacing w:val="4"/>
          <w:kern w:val="0"/>
          <w:sz w:val="24"/>
          <w:highlight w:val="none"/>
          <w:lang w:val="en-US" w:eastAsia="zh-CN"/>
        </w:rPr>
        <w:t>5</w:t>
      </w:r>
      <w:r>
        <w:rPr>
          <w:rFonts w:hint="eastAsia" w:ascii="宋体" w:hAnsi="宋体" w:eastAsia="宋体" w:cs="宋体"/>
          <w:snapToGrid w:val="0"/>
          <w:color w:val="auto"/>
          <w:spacing w:val="4"/>
          <w:kern w:val="0"/>
          <w:sz w:val="24"/>
          <w:highlight w:val="none"/>
        </w:rPr>
        <w:t>%，则上涨超过</w:t>
      </w:r>
      <w:r>
        <w:rPr>
          <w:rFonts w:hint="eastAsia" w:ascii="宋体" w:hAnsi="宋体" w:eastAsia="宋体" w:cs="宋体"/>
          <w:snapToGrid w:val="0"/>
          <w:color w:val="auto"/>
          <w:spacing w:val="4"/>
          <w:kern w:val="0"/>
          <w:sz w:val="24"/>
          <w:highlight w:val="none"/>
          <w:lang w:val="en-US" w:eastAsia="zh-CN"/>
        </w:rPr>
        <w:t>5</w:t>
      </w:r>
      <w:r>
        <w:rPr>
          <w:rFonts w:hint="eastAsia" w:ascii="宋体" w:hAnsi="宋体" w:eastAsia="宋体" w:cs="宋体"/>
          <w:snapToGrid w:val="0"/>
          <w:color w:val="auto"/>
          <w:spacing w:val="4"/>
          <w:kern w:val="0"/>
          <w:sz w:val="24"/>
          <w:highlight w:val="none"/>
        </w:rPr>
        <w:t>%部分价格不予调增，按投标材料价格计算；下跌超过</w:t>
      </w:r>
      <w:r>
        <w:rPr>
          <w:rFonts w:hint="eastAsia" w:ascii="宋体" w:hAnsi="宋体" w:eastAsia="宋体" w:cs="宋体"/>
          <w:snapToGrid w:val="0"/>
          <w:color w:val="auto"/>
          <w:spacing w:val="4"/>
          <w:kern w:val="0"/>
          <w:sz w:val="24"/>
          <w:highlight w:val="none"/>
          <w:lang w:val="en-US" w:eastAsia="zh-CN"/>
        </w:rPr>
        <w:t>5</w:t>
      </w:r>
      <w:r>
        <w:rPr>
          <w:rFonts w:hint="eastAsia" w:ascii="宋体" w:hAnsi="宋体" w:eastAsia="宋体" w:cs="宋体"/>
          <w:snapToGrid w:val="0"/>
          <w:color w:val="auto"/>
          <w:spacing w:val="4"/>
          <w:kern w:val="0"/>
          <w:sz w:val="24"/>
          <w:highlight w:val="none"/>
        </w:rPr>
        <w:t>%部分价格按本条第（2）点原则进行调减。</w:t>
      </w:r>
    </w:p>
    <w:p>
      <w:pPr>
        <w:spacing w:line="360" w:lineRule="auto"/>
        <w:ind w:firstLine="496" w:firstLineChars="200"/>
        <w:rPr>
          <w:rFonts w:hint="eastAsia"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t>20、所有专项检测以及验收费用：</w:t>
      </w:r>
      <w:bookmarkStart w:id="23" w:name="_Hlk82767827"/>
      <w:r>
        <w:rPr>
          <w:rFonts w:hint="eastAsia" w:ascii="宋体" w:hAnsi="宋体" w:eastAsia="宋体" w:cs="宋体"/>
          <w:snapToGrid w:val="0"/>
          <w:color w:val="auto"/>
          <w:spacing w:val="4"/>
          <w:kern w:val="0"/>
          <w:sz w:val="24"/>
          <w:highlight w:val="none"/>
        </w:rPr>
        <w:t>消防系统、弱电系统、防雷系统、节能系统、人防系统、水质检测、高支模监测、室内空气</w:t>
      </w:r>
      <w:r>
        <w:rPr>
          <w:rFonts w:hint="eastAsia" w:ascii="宋体" w:hAnsi="宋体" w:eastAsia="宋体" w:cs="宋体"/>
          <w:snapToGrid w:val="0"/>
          <w:color w:val="auto"/>
          <w:spacing w:val="4"/>
          <w:kern w:val="0"/>
          <w:sz w:val="24"/>
          <w:highlight w:val="none"/>
          <w:lang w:val="en-US" w:eastAsia="zh-CN"/>
        </w:rPr>
        <w:t>检测</w:t>
      </w:r>
      <w:r>
        <w:rPr>
          <w:rFonts w:hint="eastAsia" w:ascii="宋体" w:hAnsi="宋体" w:eastAsia="宋体" w:cs="宋体"/>
          <w:snapToGrid w:val="0"/>
          <w:color w:val="auto"/>
          <w:spacing w:val="4"/>
          <w:kern w:val="0"/>
          <w:sz w:val="24"/>
          <w:highlight w:val="none"/>
        </w:rPr>
        <w:t>、光纤入户</w:t>
      </w:r>
      <w:r>
        <w:rPr>
          <w:rFonts w:hint="eastAsia" w:ascii="宋体" w:hAnsi="宋体" w:eastAsia="宋体" w:cs="宋体"/>
          <w:snapToGrid w:val="0"/>
          <w:color w:val="auto"/>
          <w:spacing w:val="4"/>
          <w:kern w:val="0"/>
          <w:sz w:val="24"/>
          <w:highlight w:val="none"/>
          <w:lang w:val="en-US" w:eastAsia="zh-CN"/>
        </w:rPr>
        <w:t>等</w:t>
      </w:r>
      <w:r>
        <w:rPr>
          <w:rFonts w:hint="eastAsia" w:ascii="宋体" w:hAnsi="宋体" w:eastAsia="宋体" w:cs="宋体"/>
          <w:snapToGrid w:val="0"/>
          <w:color w:val="auto"/>
          <w:spacing w:val="4"/>
          <w:kern w:val="0"/>
          <w:sz w:val="24"/>
          <w:highlight w:val="none"/>
        </w:rPr>
        <w:t>专项检测以及验收由建设单位统一委托专业公司进行，相关费用已在招标控制价中综合考虑，投标人在投标报价时应充分考虑该部分费用，招标人不再另行支付。</w:t>
      </w:r>
      <w:bookmarkEnd w:id="23"/>
    </w:p>
    <w:p>
      <w:pPr>
        <w:spacing w:line="360" w:lineRule="auto"/>
        <w:ind w:firstLine="496" w:firstLineChars="200"/>
        <w:rPr>
          <w:rFonts w:hint="eastAsia" w:ascii="宋体" w:hAnsi="宋体" w:eastAsia="宋体" w:cs="宋体"/>
          <w:snapToGrid w:val="0"/>
          <w:color w:val="auto"/>
          <w:spacing w:val="4"/>
          <w:kern w:val="0"/>
          <w:sz w:val="24"/>
          <w:highlight w:val="none"/>
          <w:lang w:val="en-US" w:eastAsia="zh-CN"/>
        </w:rPr>
      </w:pPr>
      <w:r>
        <w:rPr>
          <w:rFonts w:hint="eastAsia" w:ascii="宋体" w:hAnsi="宋体" w:eastAsia="宋体" w:cs="宋体"/>
          <w:snapToGrid w:val="0"/>
          <w:color w:val="auto"/>
          <w:spacing w:val="4"/>
          <w:kern w:val="0"/>
          <w:sz w:val="24"/>
          <w:highlight w:val="none"/>
          <w:lang w:val="en-US" w:eastAsia="zh-CN"/>
        </w:rPr>
        <w:t>21、本项目所用材料的检验试验费用由建设单位统一委托专业公司进行，包括但不限于所有门窗三性试验、幕墙四性试验，钢筋、混凝土、电线电缆、开关面板、节能材料等施工合同范围内需要的各种材料试验，相关费用已在招标控制价中综合考虑，投标人在投标报价时应充分考虑该部分费用，招标人不再另行支付。</w:t>
      </w:r>
    </w:p>
    <w:p>
      <w:pPr>
        <w:spacing w:line="360" w:lineRule="auto"/>
        <w:ind w:firstLine="496" w:firstLineChars="200"/>
        <w:rPr>
          <w:rFonts w:hint="eastAsia"/>
          <w:color w:val="auto"/>
          <w:highlight w:val="none"/>
          <w:lang w:val="en-US" w:eastAsia="zh-CN"/>
        </w:rPr>
      </w:pPr>
      <w:r>
        <w:rPr>
          <w:rFonts w:hint="eastAsia" w:ascii="宋体" w:hAnsi="宋体" w:eastAsia="宋体" w:cs="宋体"/>
          <w:snapToGrid w:val="0"/>
          <w:color w:val="auto"/>
          <w:spacing w:val="4"/>
          <w:kern w:val="0"/>
          <w:sz w:val="24"/>
          <w:highlight w:val="none"/>
          <w:lang w:val="en-US" w:eastAsia="zh-CN"/>
        </w:rPr>
        <w:t>22、工程桩检测、基础检测、实体检测、沉降观测等第三方检测由发包人负责委托并承担费用。</w:t>
      </w:r>
    </w:p>
    <w:p>
      <w:pPr>
        <w:spacing w:line="360" w:lineRule="auto"/>
        <w:ind w:firstLine="496" w:firstLineChars="200"/>
        <w:rPr>
          <w:rFonts w:hint="eastAsia" w:ascii="宋体" w:hAnsi="宋体" w:eastAsia="宋体" w:cs="宋体"/>
          <w:snapToGrid w:val="0"/>
          <w:color w:val="auto"/>
          <w:spacing w:val="4"/>
          <w:kern w:val="0"/>
          <w:sz w:val="24"/>
          <w:highlight w:val="none"/>
          <w:lang w:val="en-US" w:eastAsia="zh-CN"/>
        </w:rPr>
      </w:pPr>
      <w:r>
        <w:rPr>
          <w:rFonts w:hint="eastAsia" w:ascii="宋体" w:hAnsi="宋体" w:eastAsia="宋体" w:cs="宋体"/>
          <w:snapToGrid w:val="0"/>
          <w:color w:val="auto"/>
          <w:spacing w:val="4"/>
          <w:kern w:val="0"/>
          <w:sz w:val="24"/>
          <w:highlight w:val="none"/>
          <w:lang w:val="en-US" w:eastAsia="zh-CN"/>
        </w:rPr>
        <w:t>23、本项目现场临设布置所有费用（包括临设场地租赁费用），均含在相应措施费中，现场不再另外增加。</w:t>
      </w:r>
    </w:p>
    <w:p>
      <w:pPr>
        <w:spacing w:line="360" w:lineRule="auto"/>
        <w:ind w:firstLine="496" w:firstLineChars="200"/>
        <w:rPr>
          <w:rFonts w:hint="eastAsia" w:ascii="宋体" w:hAnsi="宋体" w:eastAsia="宋体" w:cs="宋体"/>
          <w:snapToGrid w:val="0"/>
          <w:color w:val="auto"/>
          <w:spacing w:val="4"/>
          <w:kern w:val="0"/>
          <w:sz w:val="24"/>
          <w:highlight w:val="none"/>
          <w:lang w:val="en-US" w:eastAsia="zh-CN"/>
        </w:rPr>
      </w:pPr>
      <w:r>
        <w:rPr>
          <w:rFonts w:hint="eastAsia" w:ascii="宋体" w:hAnsi="宋体" w:eastAsia="宋体" w:cs="宋体"/>
          <w:snapToGrid w:val="0"/>
          <w:color w:val="auto"/>
          <w:spacing w:val="4"/>
          <w:kern w:val="0"/>
          <w:sz w:val="24"/>
          <w:highlight w:val="none"/>
          <w:lang w:val="en-US" w:eastAsia="zh-CN"/>
        </w:rPr>
        <w:t>24、发包人委托的检测、监测工作，承包人须无条件按发包人要求提供场地、人力、物力进行配合，如承包人拒不配合，发包人有权另行委托第三方配合，且费用由承包人承担。</w:t>
      </w:r>
    </w:p>
    <w:p>
      <w:pPr>
        <w:spacing w:line="360" w:lineRule="auto"/>
        <w:ind w:firstLine="496" w:firstLineChars="200"/>
        <w:rPr>
          <w:rFonts w:hint="eastAsia"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lang w:val="en-US" w:eastAsia="zh-CN"/>
        </w:rPr>
        <w:t>投标报价应综合考虑配合各专业检测单位检测所产生的一切费用，包括不限于:提供检测设备行走的道路、提供检测所需各种材料、人工、机械的配合，及负责</w:t>
      </w:r>
      <w:r>
        <w:rPr>
          <w:rFonts w:hint="eastAsia" w:ascii="宋体" w:hAnsi="宋体" w:eastAsia="宋体" w:cs="宋体"/>
          <w:snapToGrid w:val="0"/>
          <w:color w:val="auto"/>
          <w:spacing w:val="4"/>
          <w:kern w:val="0"/>
          <w:sz w:val="24"/>
          <w:highlight w:val="none"/>
        </w:rPr>
        <w:t>检测后的修复等费用含在投标总价中，结算时不另计取该项费用。</w:t>
      </w:r>
    </w:p>
    <w:p>
      <w:pPr>
        <w:pStyle w:val="57"/>
        <w:numPr>
          <w:ilvl w:val="0"/>
          <w:numId w:val="0"/>
        </w:numPr>
        <w:ind w:firstLine="496"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25、</w:t>
      </w:r>
      <w:r>
        <w:rPr>
          <w:rFonts w:hint="eastAsia" w:ascii="宋体" w:hAnsi="宋体" w:eastAsia="宋体" w:cs="宋体"/>
          <w:color w:val="auto"/>
          <w:highlight w:val="none"/>
        </w:rPr>
        <w:t>临水、临电设备设施验收通过后交给中标人（承包人）使用及维护，直至永水永电接通并使用，该期间相关维护费用及使用费已含于投标报价中。</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给水工程需执行广州市税务局文件穗水资源[2021]20号文《广州市水务局关于印发广州市生活饮用水品质提升技术指引要点（试行）的通知》，《通知》相关要求已在清单项中考虑，投标报价应综合考虑《通知》所产生的一切费用，结算时不另计取因《通知》产生的增项费用。</w:t>
      </w:r>
    </w:p>
    <w:p>
      <w:pPr>
        <w:pStyle w:val="57"/>
        <w:ind w:firstLine="496"/>
        <w:rPr>
          <w:rFonts w:hint="eastAsia" w:ascii="宋体" w:hAnsi="宋体" w:eastAsia="宋体" w:cs="宋体"/>
          <w:color w:val="auto"/>
          <w:highlight w:val="none"/>
        </w:rPr>
      </w:pPr>
      <w:bookmarkStart w:id="24" w:name="_Toc7132"/>
      <w:bookmarkStart w:id="25" w:name="_Toc3760"/>
      <w:bookmarkStart w:id="26" w:name="_Toc22591"/>
      <w:bookmarkStart w:id="27" w:name="_Toc7061"/>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、抗震支架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电梯工程、</w:t>
      </w:r>
      <w:r>
        <w:rPr>
          <w:rFonts w:hint="eastAsia" w:ascii="宋体" w:hAnsi="宋体" w:eastAsia="宋体" w:cs="宋体"/>
          <w:color w:val="auto"/>
          <w:highlight w:val="none"/>
          <w:lang w:val="en-US" w:eastAsia="zh-CN"/>
        </w:rPr>
        <w:t>智慧泵房</w:t>
      </w:r>
      <w:r>
        <w:rPr>
          <w:rFonts w:hint="eastAsia" w:ascii="宋体" w:hAnsi="宋体" w:eastAsia="宋体" w:cs="宋体"/>
          <w:color w:val="auto"/>
          <w:highlight w:val="none"/>
        </w:rPr>
        <w:t>采用</w:t>
      </w:r>
      <w:r>
        <w:rPr>
          <w:rFonts w:hint="eastAsia" w:ascii="宋体" w:hAnsi="宋体" w:eastAsia="宋体" w:cs="宋体"/>
          <w:color w:val="auto"/>
          <w:highlight w:val="none"/>
        </w:rPr>
        <w:t>总价包干的方式承包：</w:t>
      </w:r>
      <w:bookmarkEnd w:id="24"/>
      <w:bookmarkEnd w:id="25"/>
      <w:bookmarkEnd w:id="26"/>
      <w:bookmarkEnd w:id="27"/>
    </w:p>
    <w:p>
      <w:pPr>
        <w:spacing w:line="360" w:lineRule="auto"/>
        <w:ind w:firstLine="496" w:firstLineChars="200"/>
        <w:rPr>
          <w:rFonts w:hint="eastAsia" w:ascii="宋体" w:hAnsi="宋体" w:eastAsia="宋体" w:cs="宋体"/>
          <w:snapToGrid w:val="0"/>
          <w:color w:val="auto"/>
          <w:spacing w:val="4"/>
          <w:kern w:val="0"/>
          <w:sz w:val="24"/>
          <w:highlight w:val="none"/>
        </w:rPr>
      </w:pPr>
      <w:bookmarkStart w:id="28" w:name="_Toc1248"/>
      <w:bookmarkStart w:id="29" w:name="_Toc11729"/>
      <w:bookmarkStart w:id="30" w:name="_Toc19456"/>
      <w:bookmarkStart w:id="31" w:name="_Toc18153"/>
      <w:bookmarkStart w:id="32" w:name="_Hlk62640916"/>
      <w:r>
        <w:rPr>
          <w:rFonts w:hint="eastAsia" w:ascii="宋体" w:hAnsi="宋体" w:eastAsia="宋体" w:cs="宋体"/>
          <w:snapToGrid w:val="0"/>
          <w:color w:val="auto"/>
          <w:spacing w:val="4"/>
          <w:kern w:val="0"/>
          <w:sz w:val="24"/>
          <w:highlight w:val="none"/>
        </w:rPr>
        <w:t>投标人应根据招标人提供的招标清单进行报价，投标报价时应充分考虑满足相关验收规范、满足招标图纸（含相应材料设备表）及招标技术需求书要求、综合项目自身系统配置、现场实际需要及深化设计等可能引起的相关费用（含深化设计费）。因应项目现场需要或深化设计引起的工程量清单开项差异（含可能存在的漏项）或工程量差异，视为相关费用已综合考虑在该专业工程的投标总报价中，一旦中标则不予调整。且深化设计后的整体系统配置标准、功能要求及范围内容均不得低于招标图纸（含相应材料设备表）及招标技术需求书要求。</w:t>
      </w:r>
      <w:bookmarkEnd w:id="28"/>
      <w:bookmarkEnd w:id="29"/>
      <w:bookmarkEnd w:id="30"/>
      <w:bookmarkEnd w:id="31"/>
    </w:p>
    <w:bookmarkEnd w:id="32"/>
    <w:p>
      <w:pPr>
        <w:pStyle w:val="65"/>
        <w:spacing w:before="120" w:after="120" w:line="360" w:lineRule="auto"/>
        <w:ind w:firstLine="498" w:firstLineChars="200"/>
        <w:outlineLvl w:val="0"/>
        <w:rPr>
          <w:rFonts w:hint="eastAsia" w:ascii="宋体" w:hAnsi="宋体" w:eastAsia="宋体" w:cs="宋体"/>
          <w:color w:val="auto"/>
          <w:highlight w:val="none"/>
        </w:rPr>
      </w:pPr>
      <w:bookmarkStart w:id="33" w:name="_Toc17449"/>
      <w:bookmarkStart w:id="34" w:name="_Toc26906"/>
      <w:bookmarkStart w:id="35" w:name="_Toc13596"/>
      <w:bookmarkStart w:id="36" w:name="_Toc468402713"/>
      <w:bookmarkStart w:id="37" w:name="_Toc29142"/>
      <w:r>
        <w:rPr>
          <w:rFonts w:hint="eastAsia" w:ascii="宋体" w:hAnsi="宋体" w:eastAsia="宋体" w:cs="宋体"/>
          <w:color w:val="auto"/>
          <w:highlight w:val="none"/>
        </w:rPr>
        <w:t>二、分部分项工程量清单计价说明</w:t>
      </w:r>
      <w:bookmarkEnd w:id="17"/>
      <w:bookmarkEnd w:id="33"/>
      <w:bookmarkEnd w:id="34"/>
      <w:bookmarkEnd w:id="35"/>
      <w:bookmarkEnd w:id="36"/>
      <w:bookmarkEnd w:id="37"/>
    </w:p>
    <w:p>
      <w:pPr>
        <w:spacing w:line="360" w:lineRule="auto"/>
        <w:ind w:firstLine="496" w:firstLineChars="200"/>
        <w:rPr>
          <w:rFonts w:hint="eastAsia"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t>分部分项工程量清单报价：指根据招标文件、图纸、国家规范、技术文件标准等内容，采取综合单价包干计价的项目。综合单价是指完成工程量清单中规定计量单位项目全部工作内容所需的所有相关费用，包括人工费、材料费、机械费、管理费、利润、不可预见费等。综合单价包干的项目，除合同、招标文件另有约定和政府针对本项目的文件规定可以调整外，无论施工条件或施工图纸是否发生变化，在合同执行期内综合单价固定不变。投标人所报的材料及设备单价均为到工地结算价，即包含采购费、运杂费及运费损耗、仓储保管费、装卸费、吊装费、场内二次转运费等；材料、设备的质量标准须同时满足行政主管部门相关产品质量合格标准文件、招标文件中《主要材料设备品牌推荐表》的要求及发包人看样定板意见，项目实施过程中，中标人不得以报价低为由提供不符合上述质量标准的材料、设备。</w:t>
      </w:r>
    </w:p>
    <w:p>
      <w:pPr>
        <w:spacing w:line="360" w:lineRule="auto"/>
        <w:ind w:firstLine="560"/>
        <w:rPr>
          <w:rFonts w:hint="eastAsia" w:ascii="宋体" w:hAnsi="宋体" w:eastAsia="宋体" w:cs="宋体"/>
          <w:color w:val="auto"/>
          <w:sz w:val="24"/>
          <w:highlight w:val="none"/>
        </w:rPr>
      </w:pPr>
      <w:r>
        <w:rPr>
          <w:rFonts w:hint="eastAsia" w:ascii="宋体" w:hAnsi="宋体" w:eastAsia="宋体" w:cs="宋体"/>
          <w:snapToGrid w:val="0"/>
          <w:color w:val="auto"/>
          <w:spacing w:val="4"/>
          <w:kern w:val="0"/>
          <w:sz w:val="24"/>
          <w:highlight w:val="none"/>
        </w:rPr>
        <w:t>招标工程量清单为</w:t>
      </w:r>
      <w:r>
        <w:rPr>
          <w:rFonts w:hint="eastAsia" w:ascii="宋体" w:hAnsi="宋体" w:eastAsia="宋体" w:cs="宋体"/>
          <w:color w:val="auto"/>
          <w:sz w:val="24"/>
          <w:highlight w:val="none"/>
        </w:rPr>
        <w:t>指定清单，以招标图纸、招标文件约定的工作范围为准。投标人必须严格按招标人的指定清单进行报价，不得擅自进行修改。凡招标工程量清单中有漏项或工程量不准确或清单描述不准确的情况的，投标人须在招标文件约定的招标答疑时限内向招标人书面提出，逾期未提出的，</w:t>
      </w:r>
      <w:r>
        <w:rPr>
          <w:rFonts w:hint="eastAsia" w:ascii="宋体" w:hAnsi="宋体" w:eastAsia="宋体" w:cs="宋体"/>
          <w:snapToGrid w:val="0"/>
          <w:color w:val="auto"/>
          <w:spacing w:val="4"/>
          <w:kern w:val="0"/>
          <w:sz w:val="24"/>
          <w:highlight w:val="none"/>
        </w:rPr>
        <w:t>由此造成的一切责任和损失由投标人自担。</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各费用定义如下：</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1、人工、材料、机械费和管理费的定义按《广东省建设工程计价依据（2018））》（粤建市【2019】6号）的规定执行。</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2、利润：指施工企业完成所承包工程获得的盈利。</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不可预见费指市场物价的不稳定因素、政府部门颁发的各项调价文件、气候等自然条件的不利影响（不可抗力除外）、技术经济条件发生变化（如资源、劳力、交通条件等）、国家宏观经济调控政策的影响所产生的额外一切费用（本承包合同另有约定或政府专门针对本项目的文件规定除外）。</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4、非夜间施工照明增加费：指为保证工程施工正常进行，在洞内、地下室内、库内或暗室内等特殊施工部位（需要照明）进行施工人工降效及照明等费用。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5、投标人须负责本工程所需的所有设备、材料、工具等的采购、安装、验收以及在此过程中必须的各项检测、检验，报价中须包括相应费用（含因不符合相关主管部门及相关规范要求而导致的退货或重新采购等费用增加）。</w:t>
      </w:r>
    </w:p>
    <w:p>
      <w:pPr>
        <w:spacing w:line="360" w:lineRule="auto"/>
        <w:ind w:firstLine="600" w:firstLineChars="250"/>
        <w:rPr>
          <w:rFonts w:hint="eastAsia" w:ascii="宋体" w:hAnsi="宋体" w:eastAsia="宋体" w:cs="宋体"/>
          <w:color w:val="auto"/>
          <w:highlight w:val="none"/>
        </w:rPr>
      </w:pPr>
      <w:r>
        <w:rPr>
          <w:rFonts w:hint="eastAsia" w:ascii="宋体" w:hAnsi="宋体" w:eastAsia="宋体" w:cs="宋体"/>
          <w:bCs/>
          <w:color w:val="auto"/>
          <w:sz w:val="24"/>
          <w:highlight w:val="none"/>
        </w:rPr>
        <w:t>6、投标人</w:t>
      </w:r>
      <w:r>
        <w:rPr>
          <w:rFonts w:hint="eastAsia" w:ascii="宋体" w:hAnsi="宋体" w:eastAsia="宋体" w:cs="宋体"/>
          <w:color w:val="auto"/>
          <w:sz w:val="24"/>
          <w:highlight w:val="none"/>
        </w:rPr>
        <w:t>须自行负责在未移交甲方之前所有自身产品、材料、半成品、成品的保护，报价中须包括相应费用。</w:t>
      </w:r>
    </w:p>
    <w:p>
      <w:pPr>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7、除现有条件外，投标人须自行落实解决现场施工条件，包括足够的符合规范要求的施工操作面、施工临水临电的驳接以及现场设备材料运输的安全通道及符合规范要求日常维护的安全通道，报价中须包括确保施工需要的相应费用。</w:t>
      </w:r>
    </w:p>
    <w:p>
      <w:pPr>
        <w:pStyle w:val="65"/>
        <w:spacing w:before="120" w:after="120" w:line="360" w:lineRule="auto"/>
        <w:outlineLvl w:val="0"/>
        <w:rPr>
          <w:rFonts w:hint="eastAsia" w:ascii="宋体" w:hAnsi="宋体" w:eastAsia="宋体" w:cs="宋体"/>
          <w:color w:val="auto"/>
          <w:highlight w:val="none"/>
        </w:rPr>
      </w:pPr>
      <w:bookmarkStart w:id="38" w:name="_Toc194486381"/>
      <w:bookmarkStart w:id="39" w:name="_Toc18531"/>
      <w:bookmarkStart w:id="40" w:name="_Toc468402714"/>
      <w:bookmarkStart w:id="41" w:name="_Toc3030"/>
      <w:bookmarkStart w:id="42" w:name="_Toc15945"/>
      <w:bookmarkStart w:id="43" w:name="_Toc22142"/>
      <w:r>
        <w:rPr>
          <w:rFonts w:hint="eastAsia" w:ascii="宋体" w:hAnsi="宋体" w:eastAsia="宋体" w:cs="宋体"/>
          <w:color w:val="auto"/>
          <w:highlight w:val="none"/>
        </w:rPr>
        <w:t>三、措施项目清单计价说明</w:t>
      </w:r>
      <w:bookmarkEnd w:id="38"/>
      <w:bookmarkEnd w:id="39"/>
      <w:bookmarkEnd w:id="40"/>
      <w:bookmarkEnd w:id="41"/>
      <w:bookmarkEnd w:id="42"/>
      <w:bookmarkEnd w:id="43"/>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措施项目清单报价：指根据招标文件、图纸、国家规范、技术文件标准等内容，完成本招标项目施工，发生于该招标项目承包期内非工程实体项目费用。</w:t>
      </w:r>
    </w:p>
    <w:p>
      <w:pPr>
        <w:pStyle w:val="57"/>
        <w:ind w:firstLine="496"/>
        <w:rPr>
          <w:rFonts w:hint="eastAsia" w:ascii="宋体" w:hAnsi="宋体" w:eastAsia="宋体" w:cs="宋体"/>
          <w:strike/>
          <w:color w:val="auto"/>
          <w:spacing w:val="6"/>
          <w:highlight w:val="none"/>
        </w:rPr>
      </w:pPr>
      <w:r>
        <w:rPr>
          <w:rFonts w:hint="eastAsia" w:ascii="宋体" w:hAnsi="宋体" w:eastAsia="宋体" w:cs="宋体"/>
          <w:color w:val="auto"/>
          <w:highlight w:val="none"/>
        </w:rPr>
        <w:t>措施项目依据《广东省建设工程计价依据（2018））》（粤建市【2019】6号计列。</w:t>
      </w:r>
    </w:p>
    <w:p>
      <w:pPr>
        <w:spacing w:line="360" w:lineRule="auto"/>
        <w:ind w:firstLine="496" w:firstLineChars="200"/>
        <w:rPr>
          <w:rFonts w:hint="eastAsia"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t>招标人提出的措施项目清单是根据一般情况所列，投标人可按招标人提供的指引项目报价。如招标人提供的指引项目中没有体现但投标人认为施工中必须发生或者为完成本工程项目将会发生的其他措施费用，投标人可在指引项目的基础上增加项目列项及报价，投标人没有计算或少计算的费用，视为已综合考虑在相关费用内。投标人在报价时不得删减招标清单中的指引项目，如果投标人认为不会发生或因相关费用已综合考虑在其他项目中而没有报价的指引项目，投标人应填报“0”，实际施工时如有发生该项费用的则不予计算。措施费为综合合价包干项目，工程结算时不予调整。</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1、绿色施工安全防护措施费：</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是指按照国家现行的建筑施工安全、施工现场环境与卫生标准和有关规定，购置和更新施工安全防护用具及设施、保证和改善安全生产条件及作业环境（包括看楼通道）所需要的费用，绿色施工安全防护措施费作为非竞争性报价，不低于依据省市工程造价管理机构规定费率计算所需费用总额，所有投标人按招标人公布的固定金额填报。绿色施工安全防护措施费专款专用，要求在承包人财务管理中单独列出绿色施工安全防护措施费清单备查。在中标后，承包人须针对绿色施工安全防护向招标人提交详细的施工组织设计，绿色施工安全防护的实施以招标人批准的施工组织进行，但绿色施工安全防护措施费的总价不变。</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环境保护费：指施工现场为达到环保部门要求所需要的各项费用。包括：施工现场的各种粉尘、废气、废水、固定废弃物以及噪声、振动对环境的污染和危害的控制措施费用；噪声、振动的施工机械采取减轻噪声扰民的控制措施费用；除四害、预防传染性疾病的措施费用。该费用属合价包干项目，除合同另有约定外，结算时不作调整。</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文明施工费：指达到市文明样板工地标准所需的各项费用。包括：现场施工围栏、围挡、围墙的搭设、维修、拆除费或摊销费；经业主审批同意的外围墙美化、场容场貌、安全警示标志、人员岗位标卡、材料堆放、垃圾存置、现场防火、企业标志、五板一图、统一服装等的设置费用。该费用属合价包干项目，除合同另有约定外，结算时不作调整。</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本项目三通一平的临时围墙（（含施工大门、围墙灯及管线）如不满足最新相关文件要求及标准图集的要求，及原有围墙的围蔽范围不满足文件的要求，投标人需考虑临时围墙的整改（含增减围蔽）、维护并承担因此而发生的费用。包括但不限于增加临时围墙、拆除原有围墙，新旧围墙的衔接、围墙乳胶漆饰面、原有围墙墙脚及墙柱增加瓷片铺贴、灯具安装（含管线）等。该费用属合价包干项目，除合同另有约定外，结算时不作调整。</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场容场貌：依据最新相关文件要求结合施工招标图纸对施工场地进行硬化，并对现场堆放的土方进行维护、管理，以保证施工现场的场容场貌。</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该费用属合价包干项目，除合同另有约定外，结算时不作调整。</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临时设施费：指投标人（承包人）为进行建筑工程施工所必须搭设的生活和生产用的临时建筑物、构筑物和其他临时设施、向发包人及监理提供的办公和生活房屋及设施费用等，承包人须按示范工程标准建设临时办公场地及生活区，办公区须采用带玻璃幕墙的装配式办公室。临时设施包括但不限于：临时宿舍、文化福利及公用事业房屋与构筑物，仓库、办公室（含会议室及相应设备设施）、加工厂以及招标范围内水、电、管线等临时设施和小型临时设施。</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向发包人及监理提供的办公和生活房屋及设施的要求：承包人负责提供发包人及监理常驻现场人员不小于400平方米的现场办公场所及配套设施，包括办公室（含配套设施如办公桌、文件柜、电脑、网络办公、会议设备等）、员工宿舍（含配套设施如：床铺、饮水机、空调等）、员工用餐、用水、用电等。保证现场办公条件满足本项目发包人、监理及设计驻场人员现场办公的需要。</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临时设施费用包括临时设施的搭设、维修、拆除和摊销费，还包括因场地的实际使用情况、发包人要求而发生的二次或多次搬迁搭拆费用及场地租赁费（含办理用地手续费的费用）。工程竣工后，除招标人通知需移交给招标人外，投标人（承包人）在接到招标人书面通知后的一星期内无条件拆除、恢复原状、清理场地并垃圾外运。</w:t>
      </w:r>
    </w:p>
    <w:p>
      <w:pPr>
        <w:pStyle w:val="57"/>
        <w:ind w:firstLine="496"/>
        <w:rPr>
          <w:rFonts w:hint="eastAsia" w:ascii="宋体" w:hAnsi="宋体" w:eastAsia="宋体" w:cs="宋体"/>
          <w:snapToGrid/>
          <w:color w:val="auto"/>
          <w:highlight w:val="none"/>
        </w:rPr>
      </w:pPr>
      <w:r>
        <w:rPr>
          <w:rFonts w:hint="eastAsia" w:ascii="宋体" w:hAnsi="宋体" w:eastAsia="宋体" w:cs="宋体"/>
          <w:color w:val="auto"/>
          <w:highlight w:val="none"/>
        </w:rPr>
        <w:t>本项目只能提供</w:t>
      </w:r>
      <w:r>
        <w:rPr>
          <w:rFonts w:hint="eastAsia" w:ascii="宋体" w:hAnsi="宋体" w:eastAsia="宋体" w:cs="宋体"/>
          <w:snapToGrid/>
          <w:color w:val="auto"/>
          <w:highlight w:val="none"/>
        </w:rPr>
        <w:t>项目红线内场地供投标人（承包人）</w:t>
      </w:r>
      <w:r>
        <w:rPr>
          <w:rFonts w:hint="eastAsia" w:ascii="宋体" w:hAnsi="宋体" w:eastAsia="宋体" w:cs="宋体"/>
          <w:color w:val="auto"/>
          <w:highlight w:val="none"/>
        </w:rPr>
        <w:t>使用</w:t>
      </w:r>
      <w:r>
        <w:rPr>
          <w:rFonts w:hint="eastAsia" w:ascii="宋体" w:hAnsi="宋体" w:eastAsia="宋体" w:cs="宋体"/>
          <w:snapToGrid/>
          <w:color w:val="auto"/>
          <w:highlight w:val="none"/>
        </w:rPr>
        <w:t>，投标人</w:t>
      </w:r>
      <w:r>
        <w:rPr>
          <w:rFonts w:hint="eastAsia" w:ascii="宋体" w:hAnsi="宋体" w:eastAsia="宋体" w:cs="宋体"/>
          <w:color w:val="auto"/>
          <w:highlight w:val="none"/>
        </w:rPr>
        <w:t>需根据场地条件充分考虑施工现场以外的场地租赁费（含办理用地手续费的费用），包括施工现场以外的</w:t>
      </w:r>
      <w:r>
        <w:rPr>
          <w:rFonts w:hint="eastAsia" w:ascii="宋体" w:hAnsi="宋体" w:eastAsia="宋体" w:cs="宋体"/>
          <w:snapToGrid/>
          <w:color w:val="auto"/>
          <w:highlight w:val="none"/>
        </w:rPr>
        <w:t>临时办公生活设施、</w:t>
      </w:r>
      <w:r>
        <w:rPr>
          <w:rFonts w:hint="eastAsia" w:ascii="宋体" w:hAnsi="宋体" w:eastAsia="宋体" w:cs="宋体"/>
          <w:color w:val="auto"/>
          <w:highlight w:val="none"/>
        </w:rPr>
        <w:t>加工场、仓库等场地的租赁及成品、半成品运送至施工现场的二次运输等所有费用，投标人报价时应综合考虑工期、附近的租赁水平、折旧、回收摊销及招标人视需要留用设施的费用。该费用属合价包干项目，除合同另有约定外，结算时不作调整。</w:t>
      </w:r>
    </w:p>
    <w:p>
      <w:pPr>
        <w:pStyle w:val="57"/>
        <w:ind w:firstLine="496"/>
        <w:rPr>
          <w:rFonts w:hint="eastAsia" w:ascii="宋体" w:hAnsi="宋体" w:eastAsia="宋体" w:cs="宋体"/>
          <w:color w:val="auto"/>
          <w:highlight w:val="none"/>
        </w:rPr>
      </w:pPr>
      <w:r>
        <w:rPr>
          <w:rFonts w:hint="eastAsia" w:ascii="宋体" w:hAnsi="宋体" w:eastAsia="宋体" w:cs="宋体"/>
          <w:snapToGrid/>
          <w:color w:val="auto"/>
          <w:highlight w:val="none"/>
        </w:rPr>
        <w:t>（4）</w:t>
      </w:r>
      <w:r>
        <w:rPr>
          <w:rFonts w:hint="eastAsia" w:ascii="宋体" w:hAnsi="宋体" w:eastAsia="宋体" w:cs="宋体"/>
          <w:color w:val="auto"/>
          <w:highlight w:val="none"/>
        </w:rPr>
        <w:t>安全施工费：指施工现场安全施工所需的各项费用。包括：临边、洞口、交叉、高处作业安全防护费用，保健急救措施费用；安全帽、安全带、安全网及安全设施的检测费用；施工机具防护费用；按省市有关文件规定对建设工程实行平安卡制度所发生的各项费用。该费用属合价包干项目，除合同另有约定外，结算时不作调整。</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（5）绿色施工措施费：本项目施工需严格执行绿色施工标准，投标人（承包人）必须采取经、项目监理确认的有效措施确保绿色施工。该费用属合价包干项目，除合同另有约定外，结算时不作调整。</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（6）《广州市建设工程造价管理站关于建设工程扬尘污染防治措施和用工实名管理费用计价有关事项的通知》穗建造价[2018]64号。</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施工扬尘污染防治的费用：《广东省建设工程施工扬尘污染防治管理办法（试行）》（粤办函〔2017〕708号）和《广东省住房和城乡建设厅关于采取切实措施坚决遏制施工扬尘污染的紧急通知》（粤建电发〔2018〕20号）有关要求，建筑施工企业履行职责，建立相关制度，采取措施进行施工扬尘污染防治的费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施工现场人员建立基本信息档案、实行实名管理：《广东省房屋建筑和市政基础设施工程用工实名管理暂行办法》（粤建规范〔2018〕1号）有关要求，建筑施工企业利用信息技术手段，对施工现场人员建立基本信息档案、实行实名管理的制度产生的相关费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赶工措施费：指承包人在杜绝发生一般事故等级及以上的伤亡事故且工伤事故伤亡人数为零的前提下，在确保质量和一次竣工验收合格的前提下，为达到本项目合同工期要求，而相应增加人工、材料、机械等投入所产生的所有费用。赶工方案须经监理及招标人审核同意，承包人必须依据合同工期严密组织，切实加大投入，主体结构施工应充分考虑赶工所需的模板超常规周转摊销增加材料及相关费用。该费用属合价包干项目，除合同另有约定外，结算时不作调整。</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大型机械设备进退场及安拆费：指机械整体或分体自停放场地运至施工现场或由一个施工地点运至另一个施工地点，所发生的机械进出场运输及转移费用及机械在施工现场进行安装、拆卸所需的人工费、材料费、机械费、试运转费和安装所需的辅助设施的费用，综合考虑吊装的规格、方式等。承包人须提前进入现场，做好施工准备工作，设备闲置费用已考虑在此措施费中。该费用属合价包干项目，除合同另有约定外，结算时不作调整。</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4、混凝土及钢筋混凝土模板及支架费：指混凝土及钢筋混凝土施工过程中需要的各种铝模板、钢模板、木模板、模壳密肋楼板模板、支架、地下室顶板回顶等的支、拆、运输费用及模板、支架的摊销（或租赁）及因防火需要为模板支架淋水的费用。模壳密肋楼板模板综合考虑膜壳材质、规格及各类支撑系统，模壳安装前需深化设计。铝合金模板单价需包含以下费用：</w:t>
      </w:r>
    </w:p>
    <w:p>
      <w:pPr>
        <w:pStyle w:val="57"/>
        <w:ind w:firstLine="496"/>
        <w:rPr>
          <w:rFonts w:hint="eastAsia" w:ascii="宋体" w:hAnsi="宋体" w:eastAsia="宋体" w:cs="宋体"/>
          <w:color w:val="auto"/>
          <w:highlight w:val="none"/>
        </w:rPr>
      </w:pPr>
      <w:bookmarkStart w:id="44" w:name="_Hlk83199620"/>
      <w:r>
        <w:rPr>
          <w:rFonts w:hint="eastAsia" w:ascii="宋体" w:hAnsi="宋体" w:eastAsia="宋体" w:cs="宋体"/>
          <w:color w:val="auto"/>
          <w:highlight w:val="none"/>
        </w:rPr>
        <w:t>（1）铝合金模板板料、支撑体系、紧固体系、附件体系（对拉螺杆、垫片、螺母、销片、销子结构拉缝、PVC管等完成该项工作的所有内容）等、损耗、脱模剂(水性)及铝模制作安装等完成该项工作的所有费用。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（2）铝模图纸二次深化，深化设计需综合考虑光面与糙面，铝模现场试拼装、技术指导、检验、试验。</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（3）铝模的清理、清洗、翻新、校正、补焊、运输（含上下车及场内外运输、场内二次运输、吊装等一切运输费用）、维修等一切费用。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（4）铝模拆除后砼面达不到甲方要求、装饰施工要求导致的打磨、清理、找平等费用由乙方承担。</w:t>
      </w:r>
      <w:bookmarkEnd w:id="44"/>
      <w:r>
        <w:rPr>
          <w:rFonts w:hint="eastAsia" w:ascii="宋体" w:hAnsi="宋体" w:eastAsia="宋体" w:cs="宋体"/>
          <w:color w:val="auto"/>
          <w:highlight w:val="none"/>
        </w:rPr>
        <w:t>投标人需充分考虑大空间、大体积混凝土、深化设计费及所可能产生的其它一切相关费用。该费用属合价包干项目，除合同另有约定外，结算时不作调整。</w:t>
      </w:r>
    </w:p>
    <w:p>
      <w:pPr>
        <w:pStyle w:val="57"/>
        <w:numPr>
          <w:ilvl w:val="0"/>
          <w:numId w:val="2"/>
        </w:numPr>
        <w:ind w:firstLine="496"/>
        <w:rPr>
          <w:rFonts w:hint="eastAsia" w:ascii="宋体" w:hAnsi="宋体" w:eastAsia="宋体" w:cs="宋体"/>
          <w:color w:val="auto"/>
          <w:highlight w:val="none"/>
        </w:rPr>
      </w:pPr>
      <w:r>
        <w:rPr>
          <w:rFonts w:hint="eastAsia" w:ascii="宋体" w:hAnsi="宋体" w:eastAsia="宋体" w:cs="宋体"/>
          <w:color w:val="auto"/>
          <w:highlight w:val="none"/>
        </w:rPr>
        <w:t>脚手架搭拆及摊销费：指施工（含拆除）需要的各种脚手架（包括但不限于</w:t>
      </w:r>
      <w:r>
        <w:rPr>
          <w:rFonts w:hint="eastAsia" w:ascii="宋体" w:hAnsi="宋体" w:eastAsia="宋体" w:cs="宋体"/>
          <w:color w:val="auto"/>
          <w:highlight w:val="none"/>
          <w:lang w:val="en-US" w:eastAsia="zh-CN"/>
        </w:rPr>
        <w:t>钢板网、</w:t>
      </w:r>
      <w:r>
        <w:rPr>
          <w:rFonts w:hint="eastAsia" w:ascii="宋体" w:hAnsi="宋体" w:eastAsia="宋体" w:cs="宋体"/>
          <w:color w:val="auto"/>
          <w:highlight w:val="none"/>
        </w:rPr>
        <w:t>常规脚手架、提升爬架等）搭、拆、运输费用，相关配套设施、辅材及脚手架的摊销（或租赁）费用（不含安全防护、文明施工措施项目中的脚手架费用）。另外，脚手架的搭设必须考虑到各专业工程施工的交叉协调，由于脚手架的搭设不当而影响其他专业正常施工时，承包人进行调整和修改及因防火需要为脚手架淋水费用不予增加。该费用属合价包干项目，除合同另有约定外，结算时不作调整。综合脚手架费用需包括为完成本项目工程的任何必要的脚手架（含爬升式）、安全挡板护栏、安全网、卸料平台、架空运输通道、二次改造脚手架等工程，以及水电安装工程，并须符合安全文明施工的要求，同时也包含提供现有的或技术标规定的脚手架供其他分包商使用的费用。脚手架方案需充分考虑各专项工程工作面需求，因施工标段划分或工序施工方便导致的二次搭设费用不予补偿。</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为配合第三方检测所发生的费用：指承包人配合发包人委托第三方检测所发生的人工、辅材、送检材料样品、机械、提供检测工作条件等配合费用，以及由承包人按技术要求采用合格材料对检测造成的孔洞等进行修补恢复及其它费用。该费用属合价包干项目，除合同另有约定外，结算时不作调整。发包人委托第三方检测项目和内容以发包人另行发包为准。</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发包人委托第三方检测费用不含在投标报价内，其检测费用由发包人另行支付给第三方检测单位。由发包人委托第三方检测的项目，若一次性检测合格，则相应检测费用由发包人承担；若无法一次性检测合格，则所发生的全部检测费用及相关费用（含第一次检测费用及由于检测不合格造成复检或扩大抽检所产生的费用）均由承包人承担，且检测不合格的工程项目须由承包人免费返工直至合格为止。</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7、施工排水、降水费用：是指因本工程承包范围内（含基坑工程）施工而产生的排水、降水、地下水治理及根据现场情况（包括不限于使用及维护临近单位已有的排水设施）发生的一切费用，不包含施工雨水、污水的排除费用（在预算包干费中已考虑）。其中基坑的排水要求确保3小时抽干水，保证施工正常进行。投标人充分考虑降水费用、鱼塘水的排除费用，该费用属合价包干项目，除合同另有约定外，结算时不作调整。</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8、施工便道、便桥费用：是指为本工程承包范围内现场施工要求所必须的及施工管理而发生的确保场内道路畅通，满足车辆、机械运输的正常需要，进行便道、便桥搭设的费用（含拆除费用）、维持正常运行的维护维修费用，包括必须修筑的施工便道、便桥及道路两旁满足施工要求的临时排水设施的铺设和维护、以及由于施工需要而发生临时占用道路、河道的租赁、恢复等全部费用。该费用属合价包干项目，除合同另有约定外，结算时不作调整。并按设计图纸并结合永久道路的要求进行施工和维护。</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9、地下管线保护及迁移费用（含地下管线探测、施工出入口位置的地下管线保护及迁移）：是指施工时遇到红线内外地下管线（含施工出入口位置的地下管线）所发生的管线探测、避让、保护、迁移和由此停工、降效而发生的损失等全部费用。因承包人原因造成地下管线被破坏的，由承包人负责进行修复，由此引起的一切相关费用由承包人承担。该费用属合价包干项目，除合同另有约定外，结算时不作调整。</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10、地下障碍物拆除费用：是指因施工需要拆除现有道路、地下障碍物、建筑物旧基础、工程桩、砼地面等构筑物所发生的人工（或机械）拆除、建筑垃圾清运、外运石方（运距综合考虑）、任何形式的爆破、爆破后大体积砼块的解小、爆破过程的各项安全措施及相关协调、报批、恢复接顺和钢材回收等费用。该费用属合价包干项目，除合同另有约定外，结算时不作调整。</w:t>
      </w:r>
    </w:p>
    <w:p>
      <w:pPr>
        <w:pStyle w:val="57"/>
        <w:ind w:firstLine="496"/>
        <w:rPr>
          <w:rFonts w:hint="eastAsia" w:ascii="宋体" w:hAnsi="宋体" w:eastAsia="宋体" w:cs="宋体"/>
          <w:color w:val="auto"/>
          <w:szCs w:val="28"/>
          <w:highlight w:val="none"/>
        </w:rPr>
      </w:pPr>
      <w:r>
        <w:rPr>
          <w:rFonts w:hint="eastAsia" w:ascii="宋体" w:hAnsi="宋体" w:eastAsia="宋体" w:cs="宋体"/>
          <w:color w:val="auto"/>
          <w:highlight w:val="none"/>
        </w:rPr>
        <w:t>11、</w:t>
      </w:r>
      <w:r>
        <w:rPr>
          <w:rFonts w:hint="eastAsia" w:ascii="宋体" w:hAnsi="宋体" w:eastAsia="宋体" w:cs="宋体"/>
          <w:color w:val="auto"/>
          <w:szCs w:val="28"/>
          <w:highlight w:val="none"/>
        </w:rPr>
        <w:t>垂直运输费：指建（构）筑物施工中为了将施工物料、机具、人工等自地面运送至所需高度或自其它高度运送至地面而发生的费用，该费用综合考虑运输方式、运输途径、运输路线等，包括塔吊及其基础、塔吊与墙体等建（构）筑物间的拉结连接、吊机行走线路、卷扬机、外用电梯及配合机械费用和其它运输装置等。该费用属合价包干项目，除合同另有约定外，结算时不作调整。</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12、夜间施工增加费：指因夜间施工所发生的夜班补助费、夜间施工降效、夜间施工照明设备摊销及照明用电等费用。该费用属合价包干项目，除合同另有约定外，结算时不作调整。</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13、非夜间施工照明增加费：指为保证工程施工正常进行，在洞内、地下室内、库内或暗室内等特殊施工部位（需要照明）进行施工人工降效及照明等费用。</w:t>
      </w:r>
    </w:p>
    <w:p>
      <w:pPr>
        <w:pStyle w:val="57"/>
        <w:ind w:firstLine="496"/>
        <w:rPr>
          <w:rFonts w:hint="eastAsia" w:ascii="宋体" w:hAnsi="宋体" w:eastAsia="宋体" w:cs="宋体"/>
          <w:color w:val="auto"/>
          <w:highlight w:val="none"/>
        </w:rPr>
      </w:pPr>
      <w:bookmarkStart w:id="45" w:name="_Hlk84495657"/>
      <w:r>
        <w:rPr>
          <w:rFonts w:hint="eastAsia" w:ascii="宋体" w:hAnsi="宋体" w:eastAsia="宋体" w:cs="宋体"/>
          <w:color w:val="auto"/>
          <w:highlight w:val="none"/>
        </w:rPr>
        <w:t>14、建筑物超高降效：人工、机具降效包括工人上下班降低工效、上下楼及自然休息增加的时间、垂直运输影响的时间以及由于人工降效引起的机具降效，超高降效已含管理费，超高加压水泵台班并入建筑物超高的机具降效内综合考虑。该费用属合价包干项目，除合同另有约定外，结算时不作调整。</w:t>
      </w:r>
    </w:p>
    <w:bookmarkEnd w:id="45"/>
    <w:p>
      <w:pPr>
        <w:pStyle w:val="57"/>
        <w:ind w:firstLine="496"/>
        <w:rPr>
          <w:rFonts w:hint="eastAsia" w:ascii="宋体" w:hAnsi="宋体" w:eastAsia="宋体" w:cs="宋体"/>
          <w:color w:val="auto"/>
          <w:szCs w:val="28"/>
          <w:highlight w:val="none"/>
        </w:rPr>
      </w:pPr>
      <w:r>
        <w:rPr>
          <w:rFonts w:hint="eastAsia" w:ascii="宋体" w:hAnsi="宋体" w:eastAsia="宋体" w:cs="宋体"/>
          <w:color w:val="auto"/>
          <w:szCs w:val="28"/>
          <w:highlight w:val="none"/>
        </w:rPr>
        <w:t>15、用户培训费：包括对招标人人员的培训等全部费用。该费用需经招标人确认后支付，如不发生则不给予支付。</w:t>
      </w:r>
    </w:p>
    <w:p>
      <w:pPr>
        <w:pStyle w:val="57"/>
        <w:ind w:firstLine="543" w:firstLineChars="219"/>
        <w:rPr>
          <w:rFonts w:hint="eastAsia" w:ascii="宋体" w:hAnsi="宋体" w:eastAsia="宋体" w:cs="宋体"/>
          <w:color w:val="auto"/>
          <w:szCs w:val="28"/>
          <w:highlight w:val="none"/>
        </w:rPr>
      </w:pPr>
      <w:r>
        <w:rPr>
          <w:rFonts w:hint="eastAsia" w:ascii="宋体" w:hAnsi="宋体" w:eastAsia="宋体" w:cs="宋体"/>
          <w:color w:val="auto"/>
          <w:szCs w:val="28"/>
          <w:highlight w:val="none"/>
        </w:rPr>
        <w:t>16、软件及系统升级增加费用：包括智能化系统工程所有的软件开发、二次开发、系统升级及增加费用。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、地下管线交叉降效费：是指为保护各种市政地下交叉管线而影响施工所发生的降效补贴费用。该费用属合价包干项目，除合同另有约定外，结算时不作调整。</w:t>
      </w:r>
    </w:p>
    <w:p>
      <w:pPr>
        <w:pStyle w:val="57"/>
        <w:ind w:firstLine="496"/>
        <w:rPr>
          <w:rFonts w:hint="eastAsia" w:ascii="宋体" w:hAnsi="宋体" w:eastAsia="宋体" w:cs="宋体"/>
          <w:color w:val="auto"/>
          <w:szCs w:val="28"/>
          <w:highlight w:val="none"/>
        </w:rPr>
      </w:pPr>
      <w:r>
        <w:rPr>
          <w:rFonts w:hint="eastAsia" w:ascii="宋体" w:hAnsi="宋体" w:eastAsia="宋体" w:cs="宋体"/>
          <w:color w:val="auto"/>
          <w:szCs w:val="28"/>
          <w:highlight w:val="none"/>
        </w:rPr>
        <w:t>1</w:t>
      </w:r>
      <w:r>
        <w:rPr>
          <w:rFonts w:hint="eastAsia" w:ascii="宋体" w:hAnsi="宋体" w:eastAsia="宋体" w:cs="宋体"/>
          <w:color w:val="auto"/>
          <w:szCs w:val="28"/>
          <w:highlight w:val="none"/>
          <w:lang w:val="en-US" w:eastAsia="zh-CN"/>
        </w:rPr>
        <w:t>8</w:t>
      </w:r>
      <w:r>
        <w:rPr>
          <w:rFonts w:hint="eastAsia" w:ascii="宋体" w:hAnsi="宋体" w:eastAsia="宋体" w:cs="宋体"/>
          <w:color w:val="auto"/>
          <w:szCs w:val="28"/>
          <w:highlight w:val="none"/>
        </w:rPr>
        <w:t>、其他措施费用：以上措施项目没有体现的，施工中又必须发生或者投标人认为为完成本工程项目将会发生的其他措施费用。工程内容及其报价由投标人自列，并附单价分析。该费用属合价包干项目，除合同另有约定外，结算时不作调整。</w:t>
      </w:r>
    </w:p>
    <w:p>
      <w:pPr>
        <w:pStyle w:val="57"/>
        <w:ind w:firstLine="496"/>
        <w:rPr>
          <w:rFonts w:hint="eastAsia" w:ascii="宋体" w:hAnsi="宋体" w:eastAsia="宋体" w:cs="宋体"/>
          <w:color w:val="auto"/>
          <w:highlight w:val="none"/>
        </w:rPr>
      </w:pPr>
      <w:r>
        <w:rPr>
          <w:rFonts w:hint="eastAsia" w:ascii="宋体" w:hAnsi="宋体" w:eastAsia="宋体" w:cs="宋体"/>
          <w:color w:val="auto"/>
          <w:szCs w:val="28"/>
          <w:highlight w:val="none"/>
          <w:lang w:val="en-US" w:eastAsia="zh-CN"/>
        </w:rPr>
        <w:t>19</w:t>
      </w:r>
      <w:r>
        <w:rPr>
          <w:rFonts w:hint="eastAsia" w:ascii="宋体" w:hAnsi="宋体" w:eastAsia="宋体" w:cs="宋体"/>
          <w:color w:val="auto"/>
          <w:szCs w:val="28"/>
          <w:highlight w:val="none"/>
        </w:rPr>
        <w:t>、施工围蔽：</w:t>
      </w:r>
      <w:r>
        <w:rPr>
          <w:rFonts w:hint="eastAsia" w:ascii="宋体" w:hAnsi="宋体" w:eastAsia="宋体" w:cs="宋体"/>
          <w:color w:val="auto"/>
          <w:highlight w:val="none"/>
        </w:rPr>
        <w:t>该费用属合价包干项目，除合同另有约定外，结算时不作调整。</w:t>
      </w:r>
    </w:p>
    <w:p>
      <w:pPr>
        <w:pStyle w:val="57"/>
        <w:ind w:firstLine="496"/>
        <w:rPr>
          <w:rFonts w:hint="eastAsia" w:ascii="宋体" w:hAnsi="宋体" w:eastAsia="宋体" w:cs="宋体"/>
          <w:color w:val="auto"/>
          <w:szCs w:val="28"/>
          <w:highlight w:val="none"/>
        </w:rPr>
      </w:pPr>
      <w:r>
        <w:rPr>
          <w:rFonts w:hint="eastAsia" w:ascii="宋体" w:hAnsi="宋体" w:eastAsia="宋体" w:cs="宋体"/>
          <w:color w:val="auto"/>
          <w:szCs w:val="28"/>
          <w:highlight w:val="none"/>
        </w:rPr>
        <w:t>2</w:t>
      </w:r>
      <w:r>
        <w:rPr>
          <w:rFonts w:hint="eastAsia" w:ascii="宋体" w:hAnsi="宋体" w:eastAsia="宋体" w:cs="宋体"/>
          <w:color w:val="auto"/>
          <w:szCs w:val="28"/>
          <w:highlight w:val="none"/>
          <w:lang w:val="en-US" w:eastAsia="zh-CN"/>
        </w:rPr>
        <w:t>0</w:t>
      </w:r>
      <w:r>
        <w:rPr>
          <w:rFonts w:hint="eastAsia" w:ascii="宋体" w:hAnsi="宋体" w:eastAsia="宋体" w:cs="宋体"/>
          <w:color w:val="auto"/>
          <w:szCs w:val="28"/>
          <w:highlight w:val="none"/>
        </w:rPr>
        <w:t>、</w:t>
      </w:r>
      <w:r>
        <w:rPr>
          <w:rFonts w:hint="eastAsia" w:ascii="宋体" w:hAnsi="宋体" w:eastAsia="宋体" w:cs="宋体"/>
          <w:color w:val="auto"/>
          <w:szCs w:val="28"/>
          <w:highlight w:val="none"/>
          <w:lang w:val="en-US" w:eastAsia="zh-CN"/>
        </w:rPr>
        <w:t>白蚁防治服务</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lang w:val="en-US" w:eastAsia="zh-CN"/>
        </w:rPr>
        <w:t>承包人负责首开区复建房工程范围内建筑物和室外绿化区域建设的全过程白蚁防治服务。</w:t>
      </w:r>
    </w:p>
    <w:p>
      <w:pPr>
        <w:pStyle w:val="65"/>
        <w:spacing w:before="120" w:after="120" w:line="360" w:lineRule="auto"/>
        <w:outlineLvl w:val="0"/>
        <w:rPr>
          <w:rFonts w:hint="eastAsia" w:ascii="宋体" w:hAnsi="宋体" w:eastAsia="宋体" w:cs="宋体"/>
          <w:color w:val="auto"/>
          <w:highlight w:val="none"/>
        </w:rPr>
      </w:pPr>
      <w:bookmarkStart w:id="46" w:name="_Toc4824"/>
      <w:bookmarkStart w:id="47" w:name="_Toc194486382"/>
      <w:bookmarkStart w:id="48" w:name="_Toc3248"/>
      <w:bookmarkStart w:id="49" w:name="_Toc26927"/>
      <w:bookmarkStart w:id="50" w:name="_Toc468402715"/>
      <w:bookmarkStart w:id="51" w:name="_Toc2856"/>
      <w:r>
        <w:rPr>
          <w:rFonts w:hint="eastAsia" w:ascii="宋体" w:hAnsi="宋体" w:eastAsia="宋体" w:cs="宋体"/>
          <w:color w:val="auto"/>
          <w:highlight w:val="none"/>
        </w:rPr>
        <w:t>四、其他项目清单计价说明</w:t>
      </w:r>
      <w:bookmarkEnd w:id="46"/>
      <w:bookmarkEnd w:id="47"/>
      <w:bookmarkEnd w:id="48"/>
      <w:bookmarkEnd w:id="49"/>
      <w:bookmarkEnd w:id="50"/>
      <w:bookmarkEnd w:id="51"/>
    </w:p>
    <w:p>
      <w:pPr>
        <w:pStyle w:val="57"/>
        <w:ind w:firstLine="496"/>
        <w:rPr>
          <w:rFonts w:hint="eastAsia" w:ascii="宋体" w:hAnsi="宋体" w:eastAsia="宋体" w:cs="宋体"/>
          <w:color w:val="auto"/>
          <w:szCs w:val="28"/>
          <w:highlight w:val="none"/>
        </w:rPr>
      </w:pPr>
      <w:r>
        <w:rPr>
          <w:rFonts w:hint="eastAsia" w:ascii="宋体" w:hAnsi="宋体" w:eastAsia="宋体" w:cs="宋体"/>
          <w:color w:val="auto"/>
          <w:szCs w:val="28"/>
          <w:highlight w:val="none"/>
        </w:rPr>
        <w:t>其他项目清单报价除合同约定和政府针对本项目的文件规定可以调整的以外，合同执行期内固定不变。</w:t>
      </w:r>
    </w:p>
    <w:p>
      <w:pPr>
        <w:spacing w:line="360" w:lineRule="auto"/>
        <w:ind w:firstLine="420"/>
        <w:rPr>
          <w:rFonts w:hint="eastAsia" w:ascii="宋体" w:hAnsi="宋体" w:eastAsia="宋体" w:cs="宋体"/>
          <w:strike w:val="0"/>
          <w:dstrike w:val="0"/>
          <w:snapToGrid w:val="0"/>
          <w:color w:val="auto"/>
          <w:spacing w:val="4"/>
          <w:kern w:val="0"/>
          <w:sz w:val="24"/>
          <w:highlight w:val="none"/>
        </w:rPr>
      </w:pPr>
      <w:r>
        <w:rPr>
          <w:rFonts w:hint="eastAsia" w:ascii="宋体" w:hAnsi="宋体" w:eastAsia="宋体" w:cs="宋体"/>
          <w:strike w:val="0"/>
          <w:dstrike w:val="0"/>
          <w:snapToGrid w:val="0"/>
          <w:color w:val="auto"/>
          <w:spacing w:val="4"/>
          <w:kern w:val="0"/>
          <w:sz w:val="24"/>
          <w:highlight w:val="none"/>
        </w:rPr>
        <w:t>1、BIM技术施工费</w:t>
      </w:r>
      <w:r>
        <w:rPr>
          <w:rFonts w:hint="eastAsia" w:ascii="宋体" w:hAnsi="宋体" w:eastAsia="宋体" w:cs="宋体"/>
          <w:strike w:val="0"/>
          <w:dstrike w:val="0"/>
          <w:snapToGrid w:val="0"/>
          <w:color w:val="auto"/>
          <w:spacing w:val="4"/>
          <w:kern w:val="0"/>
          <w:sz w:val="24"/>
          <w:highlight w:val="none"/>
          <w:lang w:eastAsia="zh-CN"/>
        </w:rPr>
        <w:t>（</w:t>
      </w:r>
      <w:r>
        <w:rPr>
          <w:rFonts w:hint="eastAsia" w:ascii="宋体" w:hAnsi="宋体" w:eastAsia="宋体" w:cs="宋体"/>
          <w:strike w:val="0"/>
          <w:dstrike w:val="0"/>
          <w:snapToGrid w:val="0"/>
          <w:color w:val="auto"/>
          <w:spacing w:val="4"/>
          <w:kern w:val="0"/>
          <w:sz w:val="24"/>
          <w:highlight w:val="none"/>
          <w:lang w:val="en-US" w:eastAsia="zh-CN"/>
        </w:rPr>
        <w:t>如有</w:t>
      </w:r>
      <w:r>
        <w:rPr>
          <w:rFonts w:hint="eastAsia" w:ascii="宋体" w:hAnsi="宋体" w:eastAsia="宋体" w:cs="宋体"/>
          <w:strike w:val="0"/>
          <w:dstrike w:val="0"/>
          <w:snapToGrid w:val="0"/>
          <w:color w:val="auto"/>
          <w:spacing w:val="4"/>
          <w:kern w:val="0"/>
          <w:sz w:val="24"/>
          <w:highlight w:val="none"/>
          <w:lang w:eastAsia="zh-CN"/>
        </w:rPr>
        <w:t>）</w:t>
      </w:r>
      <w:r>
        <w:rPr>
          <w:rFonts w:hint="eastAsia" w:ascii="宋体" w:hAnsi="宋体" w:eastAsia="宋体" w:cs="宋体"/>
          <w:strike w:val="0"/>
          <w:dstrike w:val="0"/>
          <w:snapToGrid w:val="0"/>
          <w:color w:val="auto"/>
          <w:spacing w:val="4"/>
          <w:kern w:val="0"/>
          <w:sz w:val="24"/>
          <w:highlight w:val="none"/>
        </w:rPr>
        <w:t>：本项目要求使用</w:t>
      </w:r>
      <w:r>
        <w:rPr>
          <w:rFonts w:hint="eastAsia" w:ascii="宋体" w:hAnsi="宋体" w:eastAsia="宋体" w:cs="宋体"/>
          <w:strike w:val="0"/>
          <w:dstrike w:val="0"/>
          <w:color w:val="auto"/>
          <w:sz w:val="24"/>
          <w:highlight w:val="none"/>
        </w:rPr>
        <w:t>建筑信息模型（BIM）及安全管理平台技术应用</w:t>
      </w:r>
      <w:r>
        <w:rPr>
          <w:rFonts w:hint="eastAsia" w:ascii="宋体" w:hAnsi="宋体" w:eastAsia="宋体" w:cs="宋体"/>
          <w:strike w:val="0"/>
          <w:dstrike w:val="0"/>
          <w:snapToGrid w:val="0"/>
          <w:color w:val="auto"/>
          <w:spacing w:val="4"/>
          <w:kern w:val="0"/>
          <w:sz w:val="24"/>
          <w:highlight w:val="none"/>
        </w:rPr>
        <w:t>，包括BIM应用建设、运营维护等相关内容，属于非竞争性费用，不参与竞价。该费用属合价包干项目，除合同另有约定外，结算时不作调整。</w:t>
      </w:r>
    </w:p>
    <w:p>
      <w:pPr>
        <w:pStyle w:val="57"/>
        <w:ind w:firstLine="372" w:firstLineChars="150"/>
        <w:rPr>
          <w:rFonts w:hint="eastAsia" w:ascii="宋体" w:hAnsi="宋体" w:eastAsia="宋体" w:cs="宋体"/>
          <w:color w:val="auto"/>
          <w:highlight w:val="none"/>
        </w:rPr>
      </w:pPr>
      <w:r>
        <w:rPr>
          <w:rFonts w:hint="eastAsia" w:ascii="宋体" w:hAnsi="宋体" w:eastAsia="宋体" w:cs="宋体"/>
          <w:color w:val="auto"/>
          <w:highlight w:val="none"/>
        </w:rPr>
        <w:t>2、预算包干费：包括以下内容：施工雨水、污水的排除；因地形、施工组织影响等因素造成的二次运输（包括场内外料具的多次搬迁）；工程用水加压措施；场地清理及垃圾外运；施工材料堆放场地的整理；补洞工作及补洞工料费；工程半成品、成品保护费；施工中的临时停水停电；日间施工照明增加费；挖土方的塌方。场地清理及垃圾外运项若投标人未按规定及时进行清运则由招标人另行委托队伍进行清运，实际清运费用由投标人承担。若专业工程投标人产生的垃圾与总承包管理单位产生的垃圾责任划分不清且不按规定及时进行清运则由招标人另行委托队伍进行清运，实际清运费用按专业工程承包单位与总承包单位各自合同造价占总合同造价的比例分摊。补洞工作（含机电安装后及各时期各类设计变更引起的补洞）指孔洞的修补、塞洞补洞、塞缝和恢复等，补洞工料费（含机电安装后及各时期各类设计变更引起的补洞工料）指孔洞的修补、塞洞补洞、</w:t>
      </w:r>
      <w:bookmarkStart w:id="52" w:name="_Hlk82771395"/>
      <w:r>
        <w:rPr>
          <w:rFonts w:hint="eastAsia" w:ascii="宋体" w:hAnsi="宋体" w:eastAsia="宋体" w:cs="宋体"/>
          <w:color w:val="auto"/>
          <w:highlight w:val="none"/>
        </w:rPr>
        <w:t>防火封堵、</w:t>
      </w:r>
      <w:bookmarkEnd w:id="52"/>
      <w:r>
        <w:rPr>
          <w:rFonts w:hint="eastAsia" w:ascii="宋体" w:hAnsi="宋体" w:eastAsia="宋体" w:cs="宋体"/>
          <w:color w:val="auto"/>
          <w:highlight w:val="none"/>
        </w:rPr>
        <w:t>塞缝和恢复费用等。预算包干费属合价包干项目，除合同另有约定外，结算时不作调整。</w:t>
      </w:r>
    </w:p>
    <w:p>
      <w:pPr>
        <w:pStyle w:val="40"/>
        <w:keepNext w:val="0"/>
        <w:keepLines w:val="0"/>
        <w:widowControl/>
        <w:suppressLineNumbers w:val="0"/>
        <w:spacing w:before="0" w:beforeAutospacing="0" w:after="0" w:afterAutospacing="0"/>
        <w:ind w:left="0" w:right="0" w:firstLine="0"/>
        <w:rPr>
          <w:rFonts w:hint="eastAsia" w:ascii="宋体" w:hAnsi="宋体" w:eastAsia="宋体" w:cs="宋体"/>
          <w:color w:val="auto"/>
          <w:highlight w:val="none"/>
        </w:rPr>
      </w:pPr>
      <w:r>
        <w:rPr>
          <w:rFonts w:hint="eastAsia" w:ascii="宋体" w:hAnsi="宋体" w:eastAsia="宋体" w:cs="宋体"/>
          <w:color w:val="auto"/>
          <w:highlight w:val="none"/>
        </w:rPr>
        <w:t>3、消纳费：含</w:t>
      </w:r>
      <w:r>
        <w:rPr>
          <w:rFonts w:hint="eastAsia" w:ascii="宋体" w:hAnsi="宋体" w:eastAsia="宋体" w:cs="宋体"/>
          <w:color w:val="auto"/>
          <w:highlight w:val="none"/>
          <w:lang w:val="en-US" w:eastAsia="zh-CN"/>
        </w:rPr>
        <w:t>在</w:t>
      </w:r>
      <w:r>
        <w:rPr>
          <w:rFonts w:hint="eastAsia" w:ascii="宋体" w:hAnsi="宋体" w:eastAsia="宋体" w:cs="宋体"/>
          <w:color w:val="auto"/>
          <w:highlight w:val="none"/>
        </w:rPr>
        <w:t>余方弃置工程量清单中</w:t>
      </w:r>
      <w:r>
        <w:rPr>
          <w:rFonts w:hint="eastAsia" w:ascii="宋体" w:hAnsi="宋体" w:eastAsia="宋体" w:cs="宋体"/>
          <w:color w:val="auto"/>
          <w:highlight w:val="none"/>
          <w:lang w:val="en-US" w:eastAsia="zh-CN"/>
        </w:rPr>
        <w:t>报价</w:t>
      </w:r>
      <w:r>
        <w:rPr>
          <w:rFonts w:hint="eastAsia" w:ascii="宋体" w:hAnsi="宋体" w:eastAsia="宋体" w:cs="宋体"/>
          <w:color w:val="auto"/>
          <w:highlight w:val="none"/>
        </w:rPr>
        <w:t>，不另计算该费用</w:t>
      </w:r>
      <w:r>
        <w:rPr>
          <w:rFonts w:hint="eastAsia" w:ascii="宋体" w:hAnsi="宋体" w:eastAsia="宋体" w:cs="宋体"/>
          <w:color w:val="auto"/>
          <w:spacing w:val="4"/>
          <w:kern w:val="0"/>
          <w:sz w:val="24"/>
          <w:szCs w:val="24"/>
          <w:highlight w:val="none"/>
          <w:lang w:val="en-US" w:eastAsia="zh-CN" w:bidi="ar"/>
        </w:rPr>
        <w:t>。</w:t>
      </w:r>
    </w:p>
    <w:p>
      <w:pPr>
        <w:pStyle w:val="65"/>
        <w:spacing w:before="120" w:after="120" w:line="360" w:lineRule="auto"/>
        <w:outlineLvl w:val="0"/>
        <w:rPr>
          <w:rFonts w:hint="eastAsia" w:ascii="宋体" w:hAnsi="宋体" w:eastAsia="宋体" w:cs="宋体"/>
          <w:color w:val="auto"/>
          <w:highlight w:val="none"/>
        </w:rPr>
      </w:pPr>
      <w:bookmarkStart w:id="53" w:name="_Toc23155"/>
      <w:bookmarkStart w:id="54" w:name="_Toc188122890"/>
      <w:bookmarkStart w:id="55" w:name="_Toc188110564"/>
      <w:bookmarkStart w:id="56" w:name="_Toc194486383"/>
      <w:r>
        <w:rPr>
          <w:rFonts w:hint="eastAsia" w:ascii="宋体" w:hAnsi="宋体" w:eastAsia="宋体" w:cs="宋体"/>
          <w:color w:val="auto"/>
          <w:highlight w:val="none"/>
        </w:rPr>
        <w:t>五、税金计价说明</w:t>
      </w:r>
      <w:bookmarkEnd w:id="53"/>
    </w:p>
    <w:bookmarkEnd w:id="54"/>
    <w:bookmarkEnd w:id="55"/>
    <w:bookmarkEnd w:id="56"/>
    <w:p>
      <w:pPr>
        <w:pStyle w:val="57"/>
        <w:ind w:firstLine="496"/>
        <w:rPr>
          <w:rFonts w:hint="eastAsia" w:ascii="宋体" w:hAnsi="宋体" w:eastAsia="宋体" w:cs="宋体"/>
          <w:color w:val="auto"/>
          <w:highlight w:val="none"/>
        </w:rPr>
      </w:pPr>
      <w:bookmarkStart w:id="57" w:name="_Toc74"/>
      <w:bookmarkStart w:id="58" w:name="_Toc343265023"/>
      <w:bookmarkStart w:id="59" w:name="_Toc21324"/>
      <w:bookmarkStart w:id="60" w:name="_Toc468402716"/>
      <w:bookmarkStart w:id="61" w:name="_Toc14664"/>
      <w:bookmarkStart w:id="62" w:name="_Toc340218870"/>
      <w:bookmarkStart w:id="63" w:name="_Toc17334"/>
      <w:r>
        <w:rPr>
          <w:rFonts w:hint="eastAsia" w:ascii="宋体" w:hAnsi="宋体" w:eastAsia="宋体" w:cs="宋体"/>
          <w:color w:val="auto"/>
          <w:highlight w:val="none"/>
        </w:rPr>
        <w:t>1、</w:t>
      </w:r>
      <w:bookmarkStart w:id="64" w:name="_Toc194486384"/>
      <w:r>
        <w:rPr>
          <w:rFonts w:hint="eastAsia" w:ascii="宋体" w:hAnsi="宋体" w:eastAsia="宋体" w:cs="宋体"/>
          <w:color w:val="auto"/>
          <w:highlight w:val="none"/>
        </w:rPr>
        <w:t>税金：按照《广东省住房和城乡建设厅关于调整广东省建设工程计价依据增值税率的通知》（粤建标函【2019】819号）的规定执行，采用一般计税法计取。</w:t>
      </w:r>
    </w:p>
    <w:bookmarkEnd w:id="64"/>
    <w:p>
      <w:pPr>
        <w:pStyle w:val="65"/>
        <w:spacing w:before="120" w:after="120" w:line="360" w:lineRule="auto"/>
        <w:outlineLvl w:val="0"/>
        <w:rPr>
          <w:rFonts w:hint="eastAsia" w:ascii="宋体" w:hAnsi="宋体" w:eastAsia="宋体" w:cs="宋体"/>
          <w:color w:val="auto"/>
          <w:highlight w:val="none"/>
        </w:rPr>
      </w:pPr>
      <w:r>
        <w:rPr>
          <w:rFonts w:hint="eastAsia" w:ascii="宋体" w:hAnsi="宋体" w:eastAsia="宋体" w:cs="宋体"/>
          <w:color w:val="auto"/>
          <w:highlight w:val="none"/>
        </w:rPr>
        <w:t>六、其它说明</w:t>
      </w:r>
      <w:bookmarkEnd w:id="57"/>
      <w:bookmarkEnd w:id="58"/>
      <w:bookmarkEnd w:id="59"/>
      <w:bookmarkEnd w:id="60"/>
      <w:bookmarkEnd w:id="61"/>
      <w:bookmarkEnd w:id="62"/>
      <w:bookmarkEnd w:id="63"/>
    </w:p>
    <w:p>
      <w:pPr>
        <w:pStyle w:val="57"/>
        <w:ind w:firstLine="496"/>
        <w:rPr>
          <w:rFonts w:hint="eastAsia" w:ascii="宋体" w:hAnsi="宋体" w:eastAsia="宋体" w:cs="宋体"/>
          <w:bCs/>
          <w:color w:val="auto"/>
          <w:highlight w:val="none"/>
        </w:rPr>
      </w:pPr>
      <w:r>
        <w:rPr>
          <w:rFonts w:hint="eastAsia" w:ascii="宋体" w:hAnsi="宋体" w:eastAsia="宋体" w:cs="宋体"/>
          <w:bCs/>
          <w:color w:val="auto"/>
          <w:highlight w:val="none"/>
        </w:rPr>
        <w:t>1、</w:t>
      </w:r>
      <w:r>
        <w:rPr>
          <w:rFonts w:hint="eastAsia" w:ascii="宋体" w:hAnsi="宋体" w:eastAsia="宋体" w:cs="宋体"/>
          <w:color w:val="auto"/>
          <w:highlight w:val="none"/>
        </w:rPr>
        <w:t>指根据《广州市建委关于广州市建筑工地安装视频监控装置的通知》(穗建筑[2006]551号)和确保工地状况、安全防护、文明施工、质量验收、隐蔽工程和关键工序施工过程等现场文字、视频、声像资料能满足现场监控管理要求的4G视频监控点，包括视频监控装置安装费用和网络接入及运行维护费用，以及配合中国移动建立监控点，由投标人在投标报价中综合考虑，</w:t>
      </w:r>
      <w:r>
        <w:rPr>
          <w:rFonts w:hint="eastAsia" w:ascii="宋体" w:hAnsi="宋体" w:eastAsia="宋体" w:cs="宋体"/>
          <w:snapToGrid/>
          <w:color w:val="auto"/>
          <w:highlight w:val="none"/>
        </w:rPr>
        <w:t>招标人不另行支付费用</w:t>
      </w:r>
      <w:r>
        <w:rPr>
          <w:rFonts w:hint="eastAsia" w:ascii="宋体" w:hAnsi="宋体" w:eastAsia="宋体" w:cs="宋体"/>
          <w:color w:val="auto"/>
          <w:highlight w:val="none"/>
        </w:rPr>
        <w:t>。</w:t>
      </w:r>
    </w:p>
    <w:p>
      <w:pPr>
        <w:pStyle w:val="57"/>
        <w:ind w:firstLine="496"/>
        <w:rPr>
          <w:rFonts w:hint="eastAsia" w:ascii="宋体" w:hAnsi="宋体" w:eastAsia="宋体" w:cs="宋体"/>
          <w:snapToGrid/>
          <w:color w:val="auto"/>
          <w:highlight w:val="none"/>
        </w:rPr>
      </w:pPr>
      <w:r>
        <w:rPr>
          <w:rFonts w:hint="eastAsia" w:ascii="宋体" w:hAnsi="宋体" w:eastAsia="宋体" w:cs="宋体"/>
          <w:color w:val="auto"/>
          <w:highlight w:val="none"/>
        </w:rPr>
        <w:t>2、投标人须结合本项目的场地情况，对现状场地进行清表平整。充分考虑三通一平道路的维护、保养、修复，以及进场道路的畅通、维修、保养，包括临时交通工程与交通疏解，由投标人在投标报价中综合考虑，</w:t>
      </w:r>
      <w:r>
        <w:rPr>
          <w:rFonts w:hint="eastAsia" w:ascii="宋体" w:hAnsi="宋体" w:eastAsia="宋体" w:cs="宋体"/>
          <w:snapToGrid/>
          <w:color w:val="auto"/>
          <w:highlight w:val="none"/>
        </w:rPr>
        <w:t>招标人不另行支付费用。</w:t>
      </w:r>
    </w:p>
    <w:p>
      <w:pPr>
        <w:pStyle w:val="57"/>
        <w:ind w:firstLine="496"/>
        <w:rPr>
          <w:rFonts w:hint="eastAsia" w:ascii="宋体" w:hAnsi="宋体" w:eastAsia="宋体" w:cs="宋体"/>
          <w:snapToGrid/>
          <w:color w:val="auto"/>
          <w:highlight w:val="none"/>
        </w:rPr>
      </w:pPr>
      <w:r>
        <w:rPr>
          <w:rFonts w:hint="eastAsia" w:ascii="宋体" w:hAnsi="宋体" w:eastAsia="宋体" w:cs="宋体"/>
          <w:snapToGrid/>
          <w:color w:val="auto"/>
          <w:highlight w:val="none"/>
        </w:rPr>
        <w:t>3、</w:t>
      </w:r>
      <w:r>
        <w:rPr>
          <w:rFonts w:hint="eastAsia" w:ascii="宋体" w:hAnsi="宋体" w:eastAsia="宋体" w:cs="宋体"/>
          <w:color w:val="auto"/>
          <w:highlight w:val="none"/>
        </w:rPr>
        <w:t>投标人需根据招标人的要求对水利水务设施迁改、高压及其他管线迁改的专业承包单位提供管理、协调、配合和服务。由投标人在投标报价中综合考虑，</w:t>
      </w:r>
      <w:r>
        <w:rPr>
          <w:rFonts w:hint="eastAsia" w:ascii="宋体" w:hAnsi="宋体" w:eastAsia="宋体" w:cs="宋体"/>
          <w:snapToGrid/>
          <w:color w:val="auto"/>
          <w:highlight w:val="none"/>
        </w:rPr>
        <w:t>招标人不另行支付费用</w:t>
      </w:r>
      <w:r>
        <w:rPr>
          <w:rFonts w:hint="eastAsia" w:ascii="宋体" w:hAnsi="宋体" w:eastAsia="宋体" w:cs="宋体"/>
          <w:color w:val="auto"/>
          <w:highlight w:val="none"/>
        </w:rPr>
        <w:t>。</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4、对专业工程配合和服务包括但不限于以下工作内容：为专业承包单位提供生产、生活用设施搭建场地；现有运输道路和通道；提供施工用水、用电的接驳点；提供现有公共临时设施；现有水平、垂直运输设施；提供现有外排栅、外脚手架；配合验收以及其它配合服务。</w:t>
      </w:r>
      <w:bookmarkStart w:id="65" w:name="_Toc194486385"/>
      <w:bookmarkStart w:id="66" w:name="_Toc17103"/>
      <w:bookmarkStart w:id="67" w:name="_Toc11098"/>
      <w:bookmarkStart w:id="68" w:name="_Toc468402717"/>
      <w:bookmarkStart w:id="69" w:name="_Toc1140"/>
      <w:bookmarkStart w:id="70" w:name="_Toc28001"/>
    </w:p>
    <w:p>
      <w:pPr>
        <w:pStyle w:val="57"/>
        <w:ind w:firstLine="496"/>
        <w:rPr>
          <w:rFonts w:hint="eastAsia" w:ascii="宋体" w:hAnsi="宋体" w:eastAsia="宋体" w:cs="宋体"/>
          <w:color w:val="auto"/>
          <w:highlight w:val="none"/>
        </w:rPr>
      </w:pPr>
    </w:p>
    <w:p>
      <w:pPr>
        <w:pStyle w:val="65"/>
        <w:spacing w:before="120" w:after="120" w:line="360" w:lineRule="auto"/>
        <w:jc w:val="center"/>
        <w:outlineLvl w:val="0"/>
        <w:rPr>
          <w:rFonts w:hint="eastAsia" w:ascii="宋体" w:hAnsi="宋体" w:eastAsia="宋体" w:cs="宋体"/>
          <w:color w:val="auto"/>
          <w:highlight w:val="none"/>
        </w:rPr>
      </w:pPr>
      <w:r>
        <w:rPr>
          <w:rFonts w:hint="eastAsia" w:ascii="宋体" w:hAnsi="宋体" w:eastAsia="宋体" w:cs="宋体"/>
          <w:color w:val="auto"/>
          <w:highlight w:val="none"/>
        </w:rPr>
        <w:t>第二节    工程量清单计价补充规定</w:t>
      </w:r>
      <w:bookmarkEnd w:id="65"/>
      <w:bookmarkEnd w:id="66"/>
      <w:bookmarkEnd w:id="67"/>
      <w:bookmarkEnd w:id="68"/>
      <w:bookmarkEnd w:id="69"/>
      <w:bookmarkEnd w:id="70"/>
    </w:p>
    <w:p>
      <w:pPr>
        <w:pStyle w:val="65"/>
        <w:spacing w:before="120" w:after="120" w:line="360" w:lineRule="auto"/>
        <w:outlineLvl w:val="0"/>
        <w:rPr>
          <w:rFonts w:hint="eastAsia" w:ascii="宋体" w:hAnsi="宋体" w:eastAsia="宋体" w:cs="宋体"/>
          <w:color w:val="auto"/>
          <w:highlight w:val="none"/>
        </w:rPr>
      </w:pPr>
      <w:bookmarkStart w:id="71" w:name="_Toc20939"/>
      <w:bookmarkStart w:id="72" w:name="_Toc194486386"/>
      <w:bookmarkStart w:id="73" w:name="_Toc28016"/>
      <w:bookmarkStart w:id="74" w:name="_Toc14759"/>
      <w:bookmarkStart w:id="75" w:name="_Toc468402718"/>
      <w:bookmarkStart w:id="76" w:name="_Toc2916"/>
      <w:r>
        <w:rPr>
          <w:rFonts w:hint="eastAsia" w:ascii="宋体" w:hAnsi="宋体" w:eastAsia="宋体" w:cs="宋体"/>
          <w:b w:val="0"/>
          <w:color w:val="auto"/>
          <w:szCs w:val="28"/>
          <w:highlight w:val="none"/>
        </w:rPr>
        <w:t>一</w:t>
      </w:r>
      <w:r>
        <w:rPr>
          <w:rFonts w:hint="eastAsia" w:ascii="宋体" w:hAnsi="宋体" w:eastAsia="宋体" w:cs="宋体"/>
          <w:color w:val="auto"/>
          <w:highlight w:val="none"/>
        </w:rPr>
        <w:t>、通用项目</w:t>
      </w:r>
      <w:bookmarkEnd w:id="71"/>
      <w:bookmarkEnd w:id="72"/>
      <w:bookmarkEnd w:id="73"/>
      <w:bookmarkEnd w:id="74"/>
      <w:bookmarkEnd w:id="75"/>
      <w:bookmarkEnd w:id="76"/>
    </w:p>
    <w:p>
      <w:pPr>
        <w:pStyle w:val="57"/>
        <w:ind w:firstLine="372" w:firstLineChars="150"/>
        <w:rPr>
          <w:rFonts w:hint="eastAsia" w:ascii="宋体" w:hAnsi="宋体" w:eastAsia="宋体" w:cs="宋体"/>
          <w:color w:val="auto"/>
          <w:highlight w:val="none"/>
        </w:rPr>
      </w:pPr>
      <w:r>
        <w:rPr>
          <w:rFonts w:hint="eastAsia" w:ascii="宋体" w:hAnsi="宋体" w:eastAsia="宋体" w:cs="宋体"/>
          <w:color w:val="auto"/>
          <w:highlight w:val="none"/>
        </w:rPr>
        <w:t>请投标人做好现场踏勘及本项目（地质报告）的研读，本项目所有场地换填（加固）均综合考虑在相应单项工程综合单价中，现场不再另增加任何费用。</w:t>
      </w:r>
    </w:p>
    <w:p>
      <w:pPr>
        <w:pStyle w:val="65"/>
        <w:numPr>
          <w:ilvl w:val="0"/>
          <w:numId w:val="3"/>
        </w:numPr>
        <w:spacing w:before="120" w:after="120" w:line="360" w:lineRule="auto"/>
        <w:outlineLvl w:val="0"/>
        <w:rPr>
          <w:rFonts w:hint="eastAsia"/>
          <w:color w:val="auto"/>
          <w:highlight w:val="none"/>
        </w:rPr>
      </w:pPr>
      <w:bookmarkStart w:id="77" w:name="_Toc213496702"/>
      <w:bookmarkStart w:id="78" w:name="_Toc16040"/>
      <w:bookmarkStart w:id="79" w:name="_Toc24078"/>
      <w:bookmarkStart w:id="80" w:name="_Toc26607"/>
      <w:bookmarkStart w:id="81" w:name="_Toc468402720"/>
      <w:bookmarkStart w:id="82" w:name="_Toc4923"/>
      <w:bookmarkStart w:id="83" w:name="_Toc211824113"/>
      <w:r>
        <w:rPr>
          <w:rFonts w:hint="eastAsia" w:ascii="宋体" w:hAnsi="宋体" w:eastAsia="宋体" w:cs="宋体"/>
          <w:color w:val="auto"/>
          <w:highlight w:val="none"/>
        </w:rPr>
        <w:t>挖运一般石方（需爆破）清单项目</w:t>
      </w:r>
    </w:p>
    <w:p>
      <w:pPr>
        <w:pStyle w:val="57"/>
        <w:ind w:firstLine="496"/>
        <w:rPr>
          <w:rFonts w:hint="eastAsia" w:ascii="宋体" w:hAnsi="宋体" w:eastAsia="宋体" w:cs="宋体"/>
          <w:color w:val="auto"/>
          <w:highlight w:val="none"/>
          <w:lang w:eastAsia="zh-CN"/>
        </w:rPr>
      </w:pPr>
      <w:r>
        <w:rPr>
          <w:rFonts w:hint="eastAsia" w:ascii="宋体" w:hAnsi="宋体" w:eastAsia="宋体" w:cs="宋体"/>
          <w:color w:val="auto"/>
          <w:highlight w:val="none"/>
        </w:rPr>
        <w:t>（1）挖运一般石方是指挖运石方</w:t>
      </w:r>
      <w:r>
        <w:rPr>
          <w:rFonts w:hint="eastAsia" w:ascii="宋体" w:hAnsi="宋体" w:eastAsia="宋体" w:cs="宋体"/>
          <w:color w:val="auto"/>
          <w:highlight w:val="none"/>
          <w:lang w:eastAsia="zh-CN"/>
        </w:rPr>
        <w:t>。</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挖运一般石方的计价按综合考虑：石方（需爆破）、挖土深度、挖土方式、垂直运土高度、综合运输方式、二次转运、场内运距、石方的转堆、支护方式（挡土板）等计算，且应包括将挖方材料运到可利用的地方及可能发生的翻挖、倒运、整修的费用、环保费用等费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为完成石方挖运所做的错台开挖、斜坡开挖、地面清表、排障（如清除废旧基础、树根等）、基底钎探（不含文物保护）等，以及可能发生的塌方、沉降、在支撑或支护下挖土、防排水措施及为方便土方挖运而修筑的临时道路费用均包括在综合单价中。</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（4）挖运一般石方除另有规定外，其工程量按本项目业主、监理、基坑施工单位、承包人等确认的实际挖方量为依据，计算出的挖方工程量以立方米计算。</w:t>
      </w:r>
    </w:p>
    <w:p>
      <w:pPr>
        <w:pStyle w:val="65"/>
        <w:numPr>
          <w:ilvl w:val="0"/>
          <w:numId w:val="3"/>
        </w:numPr>
        <w:spacing w:before="120" w:after="120" w:line="360" w:lineRule="auto"/>
        <w:outlineLvl w:val="0"/>
        <w:rPr>
          <w:rFonts w:hint="eastAsia" w:ascii="宋体" w:hAnsi="宋体" w:eastAsia="宋体" w:cs="宋体"/>
          <w:color w:val="auto"/>
          <w:highlight w:val="none"/>
        </w:rPr>
      </w:pPr>
      <w:r>
        <w:rPr>
          <w:rFonts w:hint="eastAsia" w:ascii="宋体" w:hAnsi="宋体" w:eastAsia="宋体" w:cs="宋体"/>
          <w:color w:val="auto"/>
          <w:highlight w:val="none"/>
        </w:rPr>
        <w:t>挖运地下室土石方清单项目</w:t>
      </w:r>
      <w:bookmarkEnd w:id="77"/>
      <w:bookmarkEnd w:id="78"/>
      <w:bookmarkEnd w:id="79"/>
      <w:bookmarkEnd w:id="80"/>
      <w:bookmarkEnd w:id="81"/>
      <w:bookmarkEnd w:id="82"/>
      <w:bookmarkEnd w:id="83"/>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挖运地下室土石方计价按综合考虑：土质（含淤泥）、石方（不需爆破、挖土机可挖的）、干湿程度、挖土方式（人工或机械）、垂直运土高度、综合运输方式、场内运距、二次转运、土方的转堆、清除空桩等计算，包括将挖方运到可利用的地方及可能发生的翻挖、倒运、整修的费用、环保费用等费用。设计明确的放坡和定额规定的工作面增加的工程量计入清单工程量中，因施工单位开挖措施发生的工作面和放坡增加的工程量及相应费用均包含在综合单价中。</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（2）挖运地下室土石方计量按设计图示尺寸扣除空桩体积以立方米计算。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（3）为完成土石方挖运所做的地面清表、排障（如清除废旧基础、树根、</w:t>
      </w:r>
      <w:bookmarkStart w:id="84" w:name="_Hlk82773035"/>
      <w:r>
        <w:rPr>
          <w:rFonts w:hint="eastAsia" w:ascii="宋体" w:hAnsi="宋体" w:eastAsia="宋体" w:cs="宋体"/>
          <w:color w:val="auto"/>
          <w:highlight w:val="none"/>
        </w:rPr>
        <w:t>建筑垃圾</w:t>
      </w:r>
      <w:bookmarkEnd w:id="84"/>
      <w:r>
        <w:rPr>
          <w:rFonts w:hint="eastAsia" w:ascii="宋体" w:hAnsi="宋体" w:eastAsia="宋体" w:cs="宋体"/>
          <w:color w:val="auto"/>
          <w:highlight w:val="none"/>
        </w:rPr>
        <w:t>等）、基底钎探（不含文物保护）等，以及可能发生的塌方、沉降、在支撑或支护下挖土、防排水措施及为方便土方挖运而修筑的临时道路费用均包括在综合单价中。</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（4）挖运地下室土石方除另有规定外，其工程量按本项目施工单位进场时的</w:t>
      </w:r>
      <w:bookmarkStart w:id="85" w:name="_Hlk82773168"/>
      <w:r>
        <w:rPr>
          <w:rFonts w:hint="eastAsia" w:ascii="宋体" w:hAnsi="宋体" w:eastAsia="宋体" w:cs="宋体"/>
          <w:color w:val="auto"/>
          <w:highlight w:val="none"/>
        </w:rPr>
        <w:t>各</w:t>
      </w:r>
      <w:bookmarkEnd w:id="85"/>
      <w:r>
        <w:rPr>
          <w:rFonts w:hint="eastAsia" w:ascii="宋体" w:hAnsi="宋体" w:eastAsia="宋体" w:cs="宋体"/>
          <w:color w:val="auto"/>
          <w:highlight w:val="none"/>
        </w:rPr>
        <w:t>方联测标高以立方米计量依据，计算出的挖方工程量（扣除爆破石方工程量）以立方米计算。如业主委托有资质专业单位测量，则以专业单位测量结果为准。</w:t>
      </w:r>
    </w:p>
    <w:p>
      <w:pPr>
        <w:pStyle w:val="65"/>
        <w:numPr>
          <w:ilvl w:val="0"/>
          <w:numId w:val="3"/>
        </w:numPr>
        <w:spacing w:before="120" w:after="120" w:line="360" w:lineRule="auto"/>
        <w:outlineLvl w:val="0"/>
        <w:rPr>
          <w:rFonts w:hint="eastAsia" w:ascii="宋体" w:hAnsi="宋体" w:eastAsia="宋体" w:cs="宋体"/>
          <w:color w:val="auto"/>
          <w:highlight w:val="none"/>
        </w:rPr>
      </w:pPr>
      <w:bookmarkStart w:id="86" w:name="_Toc8821"/>
      <w:bookmarkStart w:id="87" w:name="_Toc14666"/>
      <w:bookmarkStart w:id="88" w:name="_Toc3390"/>
      <w:bookmarkStart w:id="89" w:name="_Toc7062"/>
      <w:bookmarkStart w:id="90" w:name="_Toc194486388"/>
      <w:bookmarkStart w:id="91" w:name="_Toc468402721"/>
      <w:r>
        <w:rPr>
          <w:rFonts w:hint="eastAsia" w:ascii="宋体" w:hAnsi="宋体" w:eastAsia="宋体" w:cs="宋体"/>
          <w:color w:val="auto"/>
          <w:highlight w:val="none"/>
        </w:rPr>
        <w:t>挖沟槽基坑土石方清单项目</w:t>
      </w:r>
      <w:bookmarkEnd w:id="86"/>
      <w:bookmarkEnd w:id="87"/>
      <w:bookmarkEnd w:id="88"/>
      <w:bookmarkEnd w:id="89"/>
      <w:bookmarkEnd w:id="90"/>
      <w:bookmarkEnd w:id="91"/>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（1）挖运沟槽基坑土石方指基础梁、承台、电梯坑、排水管沟、挡土墙、集水井、建筑物基础、换填开挖沟槽基坑部位的土方。</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（2）挖运沟槽基坑土石方计价综合考虑土质类别（含淤泥、混凝土垫层）、石方比例</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不需要爆破</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及类别、干湿程度、开挖方式、排障及迁移、垂直运土高度、运输方式、场内外运距、二次转运、土方的转堆、放坡及支护方式（挡土板）、桩间土方、沟槽基坑支护的变形监测、地下作业中的安全防护和监测费用等计算，包括将挖方运到可利用的地方及可能发生的翻挖、倒运、整修的费用、环保费用，为完成土方挖运所做的错台开挖、斜坡开挖、预留工作面、地面清表、排障（如清除废旧基础、树根等）、基底钎探（不含文物保护）、以及可能发生的塌方、沉降、在支撑或支护下挖土、防排水措施及为方便土方挖运而修筑的临时道路等费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挖运沟槽基坑土石方计量按设计图示尺寸以基础垫层底面积乘以挖土深度，以立方米计算。设计明确的放坡和定额规定的工作面增加的工程量计入清单工程量中，因施工单位开挖措施发生的工作面和放坡增加的工程量及相应费用均包含在综合单价中。挖土深度按施工单位进场时的联测标高至设计垫层底标高计算。</w:t>
      </w:r>
    </w:p>
    <w:p>
      <w:pPr>
        <w:pStyle w:val="65"/>
        <w:numPr>
          <w:ilvl w:val="0"/>
          <w:numId w:val="3"/>
        </w:numPr>
        <w:spacing w:before="120" w:after="120" w:line="360" w:lineRule="auto"/>
        <w:outlineLvl w:val="0"/>
        <w:rPr>
          <w:rFonts w:hint="eastAsia" w:ascii="宋体" w:hAnsi="宋体" w:eastAsia="宋体" w:cs="宋体"/>
          <w:color w:val="auto"/>
          <w:highlight w:val="none"/>
        </w:rPr>
      </w:pPr>
      <w:bookmarkStart w:id="92" w:name="_Toc2878"/>
      <w:bookmarkStart w:id="93" w:name="_Toc13725"/>
      <w:bookmarkStart w:id="94" w:name="_Toc248399707"/>
      <w:bookmarkStart w:id="95" w:name="_Toc468402723"/>
      <w:bookmarkStart w:id="96" w:name="_Toc13194"/>
      <w:bookmarkStart w:id="97" w:name="_Toc14981"/>
      <w:bookmarkStart w:id="98" w:name="_Toc194486392"/>
      <w:r>
        <w:rPr>
          <w:rFonts w:hint="eastAsia" w:ascii="宋体" w:hAnsi="宋体" w:eastAsia="宋体" w:cs="宋体"/>
          <w:color w:val="auto"/>
          <w:highlight w:val="none"/>
        </w:rPr>
        <w:t>余泥渣土场外运输清单项目</w:t>
      </w:r>
      <w:bookmarkEnd w:id="92"/>
      <w:bookmarkEnd w:id="93"/>
      <w:bookmarkEnd w:id="94"/>
      <w:bookmarkEnd w:id="95"/>
      <w:bookmarkEnd w:id="96"/>
      <w:bookmarkEnd w:id="97"/>
    </w:p>
    <w:p>
      <w:pPr>
        <w:pStyle w:val="57"/>
        <w:ind w:firstLine="496"/>
        <w:rPr>
          <w:rFonts w:hint="eastAsia" w:ascii="宋体" w:hAnsi="宋体" w:eastAsia="宋体" w:cs="宋体"/>
          <w:color w:val="auto"/>
          <w:highlight w:val="none"/>
        </w:rPr>
      </w:pPr>
      <w:bookmarkStart w:id="99" w:name="_Toc440446322"/>
      <w:bookmarkStart w:id="100" w:name="_Toc5268"/>
      <w:bookmarkStart w:id="101" w:name="_Toc3696"/>
      <w:bookmarkStart w:id="102" w:name="_Toc488330387"/>
      <w:bookmarkStart w:id="103" w:name="_Toc15777"/>
      <w:bookmarkStart w:id="104" w:name="_Toc3799"/>
      <w:bookmarkStart w:id="105" w:name="_Toc22014"/>
      <w:bookmarkStart w:id="106" w:name="_Toc1427"/>
      <w:bookmarkStart w:id="107" w:name="_Toc271"/>
      <w:bookmarkStart w:id="108" w:name="_Toc468402728"/>
      <w:r>
        <w:rPr>
          <w:rFonts w:hint="eastAsia" w:ascii="宋体" w:hAnsi="宋体" w:eastAsia="宋体" w:cs="宋体"/>
          <w:color w:val="auto"/>
          <w:highlight w:val="none"/>
        </w:rPr>
        <w:t>（1）余泥渣土场外运输是指根据工程建设实际情况将场地内多余土石方外运所发生的运输费用。余泥渣土场外运输费用，在预算包干费、拆除项目及其它相关项目中已计取的不另计入，场地内土石方挖填、转堆、运输等不计取该费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（2）余泥渣土场外运输费用的计取规定</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1）计价综合考虑土石比例、装卸方式、垂直运输、场外运输、场外道路等，工作内容包括但不限于土石方场外运输（含泥浆池内土方）、泥浆池砌筑及拆除、排障、协调等。</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投标人须自行勘探现场并了解弃土点的相关情况，根据项目周边环境现状，综合考虑水运、陆运等各种运输方式及综合考虑运距后谨慎报价，计量及结算时不因任何原因调整综合单价。工程量按联测实际开挖方量扣减回填量及预留量计算。</w:t>
      </w:r>
    </w:p>
    <w:bookmarkEnd w:id="99"/>
    <w:bookmarkEnd w:id="100"/>
    <w:bookmarkEnd w:id="101"/>
    <w:bookmarkEnd w:id="102"/>
    <w:bookmarkEnd w:id="103"/>
    <w:p>
      <w:pPr>
        <w:pStyle w:val="65"/>
        <w:numPr>
          <w:ilvl w:val="0"/>
          <w:numId w:val="3"/>
        </w:numPr>
        <w:spacing w:before="120" w:after="120" w:line="360" w:lineRule="auto"/>
        <w:outlineLvl w:val="0"/>
        <w:rPr>
          <w:rFonts w:hint="eastAsia" w:ascii="宋体" w:hAnsi="宋体" w:eastAsia="宋体" w:cs="宋体"/>
          <w:color w:val="auto"/>
          <w:highlight w:val="none"/>
        </w:rPr>
      </w:pPr>
      <w:r>
        <w:rPr>
          <w:rFonts w:hint="eastAsia" w:ascii="宋体" w:hAnsi="宋体" w:eastAsia="宋体" w:cs="宋体"/>
          <w:color w:val="auto"/>
          <w:highlight w:val="none"/>
        </w:rPr>
        <w:t>土方回填清单项目</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（1）土方回填时，综合考虑利用土方、外购土方回填室外地坪、地下室、沟槽基坑土方清单项目。</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土方回填计价按综合考虑利用土、外购土（包括项目内土方调配、其他区域土方等）、各类土质、密实度、回填方式、可能发生的场内外二次转运等计算，包括将沟槽（坑）修整、回填、分层碾压及可能发生的翻挖、翻晒、倒运、整修等相关费用。</w:t>
      </w:r>
    </w:p>
    <w:p>
      <w:pPr>
        <w:pStyle w:val="57"/>
        <w:ind w:firstLine="496"/>
        <w:rPr>
          <w:rFonts w:hint="eastAsia" w:ascii="宋体" w:hAnsi="宋体" w:eastAsia="宋体" w:cs="宋体"/>
          <w:bCs/>
          <w:color w:val="auto"/>
          <w:highlight w:val="none"/>
        </w:rPr>
      </w:pPr>
      <w:r>
        <w:rPr>
          <w:rFonts w:hint="eastAsia" w:ascii="宋体" w:hAnsi="宋体" w:eastAsia="宋体" w:cs="宋体"/>
          <w:bCs/>
          <w:color w:val="auto"/>
          <w:highlight w:val="none"/>
        </w:rPr>
        <w:t>投标人须综合考虑项目土方回填可能与周边地块协同实施、大基坑场地道路的协调、地下交通道路回填等要求。投标人须自行勘探现场了解具体情况，并在投标时充分考虑上述情况。中标人（承包人）应无条件按招标人要求实施，结算时，工程量按实计算，综合单价按中标单价不予调整。</w:t>
      </w:r>
    </w:p>
    <w:p>
      <w:pPr>
        <w:pStyle w:val="57"/>
        <w:ind w:firstLine="496"/>
        <w:rPr>
          <w:rFonts w:hint="eastAsia" w:ascii="宋体" w:hAnsi="宋体" w:eastAsia="宋体" w:cs="宋体"/>
          <w:bCs/>
          <w:color w:val="auto"/>
          <w:highlight w:val="none"/>
        </w:rPr>
      </w:pPr>
      <w:r>
        <w:rPr>
          <w:rFonts w:hint="eastAsia" w:ascii="宋体" w:hAnsi="宋体" w:eastAsia="宋体" w:cs="宋体"/>
          <w:bCs/>
          <w:color w:val="auto"/>
          <w:highlight w:val="none"/>
        </w:rPr>
        <w:t>（3）地下室、沟槽基坑土方回填计量按设计基础垫层底面积乘以回填高度，扣减基础、构筑物等埋入体积，以立方米计算。沟槽基坑回填中设计明确的放坡、定额规定的工作面增加的回填量计入清单工程量中，施工措施产生的工作面、放坡增加的回填量均包含在综合单价中；地下室回填中定额规定的工作面增加的回填量计入清单工程量中。</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（4）室外回填的工程量按五方联测标高至设计回填面标高，按立方米计量，以专业单位测量结果为准。</w:t>
      </w:r>
    </w:p>
    <w:bookmarkEnd w:id="98"/>
    <w:bookmarkEnd w:id="104"/>
    <w:bookmarkEnd w:id="105"/>
    <w:bookmarkEnd w:id="106"/>
    <w:bookmarkEnd w:id="107"/>
    <w:bookmarkEnd w:id="108"/>
    <w:p>
      <w:pPr>
        <w:pStyle w:val="65"/>
        <w:numPr>
          <w:ilvl w:val="0"/>
          <w:numId w:val="3"/>
        </w:numPr>
        <w:spacing w:before="120" w:after="120" w:line="360" w:lineRule="auto"/>
        <w:outlineLvl w:val="0"/>
        <w:rPr>
          <w:rFonts w:hint="eastAsia" w:ascii="宋体" w:hAnsi="宋体" w:eastAsia="宋体" w:cs="宋体"/>
          <w:color w:val="auto"/>
          <w:highlight w:val="none"/>
        </w:rPr>
      </w:pPr>
      <w:bookmarkStart w:id="109" w:name="_Toc17371"/>
      <w:bookmarkStart w:id="110" w:name="_Toc2390"/>
      <w:bookmarkStart w:id="111" w:name="_Toc20912"/>
      <w:bookmarkStart w:id="112" w:name="_Toc468402730"/>
      <w:bookmarkStart w:id="113" w:name="_Toc194486397"/>
      <w:bookmarkStart w:id="114" w:name="_Toc12156"/>
      <w:r>
        <w:rPr>
          <w:rFonts w:hint="eastAsia" w:ascii="宋体" w:hAnsi="宋体" w:eastAsia="宋体" w:cs="宋体"/>
          <w:color w:val="auto"/>
          <w:highlight w:val="none"/>
        </w:rPr>
        <w:t>垫层清单项目</w:t>
      </w:r>
      <w:bookmarkEnd w:id="109"/>
      <w:bookmarkEnd w:id="110"/>
      <w:bookmarkEnd w:id="111"/>
      <w:bookmarkEnd w:id="112"/>
      <w:bookmarkEnd w:id="113"/>
      <w:bookmarkEnd w:id="114"/>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（1）计价综合考虑铺筑厚度、方式、粒径、材料运距、材料来源、基层夯实等，包括拌和、铺筑、找平、材料运距及按图纸和规范而进行、完成和维护等相关费用。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（2）垫层计量分不同材料按设计图示尺寸以立方米计算，须综合考虑场地土换填土（加固）费用。</w:t>
      </w:r>
    </w:p>
    <w:p>
      <w:pPr>
        <w:pStyle w:val="65"/>
        <w:spacing w:before="120" w:after="120" w:line="360" w:lineRule="auto"/>
        <w:outlineLvl w:val="0"/>
        <w:rPr>
          <w:rFonts w:hint="eastAsia" w:ascii="宋体" w:hAnsi="宋体" w:eastAsia="宋体" w:cs="宋体"/>
          <w:color w:val="auto"/>
          <w:szCs w:val="28"/>
          <w:highlight w:val="none"/>
        </w:rPr>
      </w:pPr>
      <w:bookmarkStart w:id="115" w:name="_Toc468402734"/>
      <w:bookmarkStart w:id="116" w:name="_Toc2859"/>
      <w:bookmarkStart w:id="117" w:name="_Toc14718"/>
      <w:bookmarkStart w:id="118" w:name="_Toc15002"/>
      <w:bookmarkStart w:id="119" w:name="_Toc19543"/>
      <w:r>
        <w:rPr>
          <w:rFonts w:hint="eastAsia" w:ascii="宋体" w:hAnsi="宋体" w:eastAsia="宋体" w:cs="宋体"/>
          <w:color w:val="auto"/>
          <w:szCs w:val="28"/>
          <w:highlight w:val="none"/>
        </w:rPr>
        <w:t>二、建筑工程</w:t>
      </w:r>
      <w:bookmarkEnd w:id="115"/>
      <w:bookmarkEnd w:id="116"/>
      <w:bookmarkEnd w:id="117"/>
      <w:bookmarkEnd w:id="118"/>
      <w:bookmarkEnd w:id="119"/>
    </w:p>
    <w:p>
      <w:pPr>
        <w:pStyle w:val="65"/>
        <w:spacing w:before="120" w:after="120" w:line="360" w:lineRule="auto"/>
        <w:outlineLvl w:val="0"/>
        <w:rPr>
          <w:rFonts w:hint="eastAsia" w:ascii="宋体" w:hAnsi="宋体" w:eastAsia="宋体" w:cs="宋体"/>
          <w:color w:val="auto"/>
          <w:highlight w:val="none"/>
        </w:rPr>
      </w:pPr>
      <w:bookmarkStart w:id="120" w:name="_Toc11786"/>
      <w:bookmarkStart w:id="121" w:name="_Toc468402735"/>
      <w:bookmarkStart w:id="122" w:name="_Toc16032"/>
      <w:bookmarkStart w:id="123" w:name="_Toc19399"/>
      <w:bookmarkStart w:id="124" w:name="_Toc341"/>
      <w:r>
        <w:rPr>
          <w:rFonts w:hint="eastAsia" w:ascii="宋体" w:hAnsi="宋体" w:eastAsia="宋体" w:cs="宋体"/>
          <w:color w:val="auto"/>
          <w:highlight w:val="none"/>
        </w:rPr>
        <w:t>1、桩与地基基础工程</w:t>
      </w:r>
      <w:bookmarkEnd w:id="120"/>
      <w:bookmarkEnd w:id="121"/>
      <w:bookmarkEnd w:id="122"/>
      <w:bookmarkEnd w:id="123"/>
      <w:bookmarkEnd w:id="124"/>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在桩基础施工阶段，临时用电未接通或用电负荷不足时，投标人应充分考虑发电机发电所发生的费用，费用不另计算。</w:t>
      </w:r>
    </w:p>
    <w:p>
      <w:pPr>
        <w:pStyle w:val="65"/>
        <w:spacing w:before="120" w:after="120" w:line="360" w:lineRule="auto"/>
        <w:outlineLvl w:val="0"/>
        <w:rPr>
          <w:rFonts w:hint="eastAsia" w:ascii="宋体" w:hAnsi="宋体" w:eastAsia="宋体" w:cs="宋体"/>
          <w:color w:val="auto"/>
          <w:highlight w:val="none"/>
        </w:rPr>
      </w:pPr>
      <w:r>
        <w:rPr>
          <w:rFonts w:hint="eastAsia" w:ascii="宋体" w:hAnsi="宋体" w:eastAsia="宋体" w:cs="宋体"/>
          <w:color w:val="auto"/>
          <w:highlight w:val="none"/>
        </w:rPr>
        <w:t xml:space="preserve">  （1）钢板桩清单项目（支护工程）</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rPr>
      </w:pPr>
      <w:r>
        <w:rPr>
          <w:rFonts w:hint="eastAsia" w:ascii="宋体" w:hAnsi="宋体" w:eastAsia="宋体" w:cs="宋体"/>
          <w:color w:val="auto"/>
          <w:spacing w:val="4"/>
          <w:highlight w:val="none"/>
          <w:lang w:bidi="ar"/>
        </w:rPr>
        <w:t>1）该项目适用有设计要求的钢板桩支护清单项目。</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rPr>
      </w:pPr>
      <w:r>
        <w:rPr>
          <w:rFonts w:hint="eastAsia" w:ascii="宋体" w:hAnsi="宋体" w:eastAsia="宋体" w:cs="宋体"/>
          <w:color w:val="auto"/>
          <w:spacing w:val="4"/>
          <w:highlight w:val="none"/>
          <w:lang w:bidi="ar"/>
        </w:rPr>
        <w:t>2）计价综合考虑地层情况（根据工程地质勘察报告综合考虑）、桩长、板桩厚度、材质、规格、型号、间距、钢板桩采购或租赁等。</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rPr>
      </w:pPr>
      <w:r>
        <w:rPr>
          <w:rFonts w:hint="eastAsia" w:ascii="宋体" w:hAnsi="宋体" w:eastAsia="宋体" w:cs="宋体"/>
          <w:color w:val="auto"/>
          <w:spacing w:val="4"/>
          <w:highlight w:val="none"/>
          <w:lang w:bidi="ar"/>
        </w:rPr>
        <w:t>3）计价包括材料、材料运输、工作平台搭拆、桩机移位、打钢板桩、拔钢板桩、安拆导向夹具、支撑费用、除锈刷防锈漆、摊销、损耗、清理场地、整平隆起土壤、邻近建筑物的保护、排障（孤石、清除废旧砖基础、管线、管井、树根等）、为桩机移动铺筑的临时道路及按图纸和规范而实施、完成和维护等相关费用。</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lang w:bidi="ar"/>
        </w:rPr>
      </w:pPr>
      <w:r>
        <w:rPr>
          <w:rFonts w:hint="eastAsia" w:ascii="宋体" w:hAnsi="宋体" w:eastAsia="宋体" w:cs="宋体"/>
          <w:color w:val="auto"/>
          <w:spacing w:val="4"/>
          <w:highlight w:val="none"/>
          <w:lang w:bidi="ar"/>
        </w:rPr>
        <w:t>4）钢板桩计量根据定额按地面以下入土长度乘以单位长度理论质量以质量计算。</w:t>
      </w:r>
    </w:p>
    <w:p>
      <w:pPr>
        <w:pStyle w:val="40"/>
        <w:keepNext w:val="0"/>
        <w:keepLines w:val="0"/>
        <w:widowControl w:val="0"/>
        <w:suppressLineNumbers w:val="0"/>
        <w:topLinePunct/>
        <w:adjustRightInd w:val="0"/>
        <w:snapToGrid w:val="0"/>
        <w:spacing w:before="0" w:beforeAutospacing="0" w:after="0" w:afterAutospacing="0" w:line="600" w:lineRule="exact"/>
        <w:ind w:left="0" w:right="0" w:firstLine="498" w:firstLineChars="200"/>
        <w:jc w:val="both"/>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b/>
          <w:bCs/>
          <w:color w:val="auto"/>
          <w:spacing w:val="4"/>
          <w:kern w:val="0"/>
          <w:sz w:val="24"/>
          <w:szCs w:val="24"/>
          <w:highlight w:val="none"/>
          <w:lang w:val="en-US" w:eastAsia="zh-CN" w:bidi="ar"/>
        </w:rPr>
        <w:t>（2）</w:t>
      </w:r>
      <w:r>
        <w:rPr>
          <w:rFonts w:hint="eastAsia" w:ascii="宋体" w:hAnsi="宋体" w:eastAsia="宋体" w:cs="宋体"/>
          <w:b/>
          <w:bCs/>
          <w:color w:val="auto"/>
          <w:kern w:val="0"/>
          <w:sz w:val="24"/>
          <w:szCs w:val="24"/>
          <w:highlight w:val="none"/>
          <w:shd w:val="clear" w:color="auto" w:fill="FFFFFF"/>
          <w:lang w:val="en-US" w:eastAsia="zh-CN" w:bidi="ar"/>
        </w:rPr>
        <w:t>钻（冲）孔桩清单项目</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lang w:val="en-US" w:eastAsia="zh-CN" w:bidi="ar"/>
        </w:rPr>
      </w:pPr>
      <w:r>
        <w:rPr>
          <w:rFonts w:hint="eastAsia" w:ascii="宋体" w:hAnsi="宋体" w:eastAsia="宋体" w:cs="宋体"/>
          <w:color w:val="auto"/>
          <w:spacing w:val="4"/>
          <w:highlight w:val="none"/>
          <w:lang w:val="en-US" w:eastAsia="zh-CN" w:bidi="ar"/>
        </w:rPr>
        <w:t>1）钻（冲）孔桩的计价综合要求或施工需要使用的速凝剂等添加剂；</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lang w:val="en-US" w:eastAsia="zh-CN" w:bidi="ar"/>
        </w:rPr>
      </w:pPr>
      <w:r>
        <w:rPr>
          <w:rFonts w:hint="eastAsia" w:ascii="宋体" w:hAnsi="宋体" w:eastAsia="宋体" w:cs="宋体"/>
          <w:color w:val="auto"/>
          <w:spacing w:val="4"/>
          <w:highlight w:val="none"/>
          <w:lang w:val="en-US" w:eastAsia="zh-CN" w:bidi="ar"/>
        </w:rPr>
        <w:t>2）钻（冲）孔桩的计价综合考虑为桩机移动铺筑的临时道路、可能发生的塌孔、流砂、泉涌、材料场内外运距、抗拔桩施工工艺等。包括桩施工过程中的溶洞处理及塌孔复冲、复冲产生的浆渣清理措施费用、平台搭设、泥浆制作、成孔、清孔、排障、混凝土运输、灌注、振捣、检验试验（招标人委托第三方检测除外）等一切有关费用。</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lang w:val="en-US" w:eastAsia="zh-CN" w:bidi="ar"/>
        </w:rPr>
      </w:pPr>
      <w:r>
        <w:rPr>
          <w:rFonts w:hint="eastAsia" w:ascii="宋体" w:hAnsi="宋体" w:eastAsia="宋体" w:cs="宋体"/>
          <w:color w:val="auto"/>
          <w:spacing w:val="4"/>
          <w:highlight w:val="none"/>
          <w:lang w:val="en-US" w:eastAsia="zh-CN" w:bidi="ar"/>
        </w:rPr>
        <w:t>3）钻（冲）孔桩桩计量按实桩、空桩分别开项，分不同桩径按立方米计算。</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lang w:val="en-US" w:eastAsia="zh-CN" w:bidi="ar"/>
        </w:rPr>
      </w:pPr>
      <w:r>
        <w:rPr>
          <w:rFonts w:hint="eastAsia" w:ascii="宋体" w:hAnsi="宋体" w:eastAsia="宋体" w:cs="宋体"/>
          <w:color w:val="auto"/>
          <w:spacing w:val="4"/>
          <w:highlight w:val="none"/>
          <w:lang w:val="en-US" w:eastAsia="zh-CN" w:bidi="ar"/>
        </w:rPr>
        <w:t xml:space="preserve">实桩结算长度=设计桩顶标高-桩底标高，桩顶标高按设计标高计算，桩底标高按实际打桩的桩底标高（包含桩尖的长度）。桩顶超灌混凝土不得计算。 </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lang w:val="en-US" w:eastAsia="zh-CN" w:bidi="ar"/>
        </w:rPr>
      </w:pPr>
      <w:r>
        <w:rPr>
          <w:rFonts w:hint="eastAsia" w:ascii="宋体" w:hAnsi="宋体" w:eastAsia="宋体" w:cs="宋体"/>
          <w:color w:val="auto"/>
          <w:spacing w:val="4"/>
          <w:highlight w:val="none"/>
          <w:lang w:val="en-US" w:eastAsia="zh-CN" w:bidi="ar"/>
        </w:rPr>
        <w:t>空桩结算长度=业主、监理、施工单位三方联测施工前场地原土面标高-桩顶标高。如果实际入土面标高超出三方联测标高±0.300m以上的（不含±0.300m），须经业主、监理工程师确认才能计量。</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lang w:val="en-US" w:eastAsia="zh-CN" w:bidi="ar"/>
        </w:rPr>
      </w:pPr>
      <w:r>
        <w:rPr>
          <w:rFonts w:hint="eastAsia" w:ascii="宋体" w:hAnsi="宋体" w:eastAsia="宋体" w:cs="宋体"/>
          <w:color w:val="auto"/>
          <w:spacing w:val="4"/>
          <w:highlight w:val="none"/>
          <w:lang w:val="en-US" w:eastAsia="zh-CN" w:bidi="ar"/>
        </w:rPr>
        <w:t>4）入岩增加费按入岩增加费的计量规则另列清单项目计量。</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lang w:val="en-US" w:eastAsia="zh-CN" w:bidi="ar"/>
        </w:rPr>
      </w:pPr>
      <w:r>
        <w:rPr>
          <w:rFonts w:hint="eastAsia" w:eastAsia="宋体" w:cs="宋体"/>
          <w:color w:val="auto"/>
          <w:spacing w:val="4"/>
          <w:highlight w:val="none"/>
          <w:lang w:val="en-US" w:eastAsia="zh-CN" w:bidi="ar"/>
        </w:rPr>
        <w:t>5</w:t>
      </w:r>
      <w:r>
        <w:rPr>
          <w:rFonts w:hint="eastAsia" w:ascii="宋体" w:hAnsi="宋体" w:eastAsia="宋体" w:cs="宋体"/>
          <w:color w:val="auto"/>
          <w:spacing w:val="4"/>
          <w:highlight w:val="none"/>
          <w:lang w:val="en-US" w:eastAsia="zh-CN" w:bidi="ar"/>
        </w:rPr>
        <w:t>）有质量缺陷并报废的桩不予计量，有质量缺陷但没有报废的桩，若采取补救措施后，经业主代表、监理工程师及相关质检部门检验合格后，并按程序报经审批同意后，可按原设计予以计量。</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lang w:val="en-US" w:eastAsia="zh-CN" w:bidi="ar"/>
        </w:rPr>
      </w:pPr>
      <w:r>
        <w:rPr>
          <w:rFonts w:hint="eastAsia" w:eastAsia="宋体" w:cs="宋体"/>
          <w:color w:val="auto"/>
          <w:spacing w:val="4"/>
          <w:highlight w:val="none"/>
          <w:lang w:val="en-US" w:eastAsia="zh-CN" w:bidi="ar"/>
        </w:rPr>
        <w:t>6</w:t>
      </w:r>
      <w:r>
        <w:rPr>
          <w:rFonts w:hint="eastAsia" w:ascii="宋体" w:hAnsi="宋体" w:eastAsia="宋体" w:cs="宋体"/>
          <w:color w:val="auto"/>
          <w:spacing w:val="4"/>
          <w:highlight w:val="none"/>
          <w:lang w:val="en-US" w:eastAsia="zh-CN" w:bidi="ar"/>
        </w:rPr>
        <w:t>）钻（冲）孔灌注桩计价综合考虑施工单位在溶洞地区施工过程中自行配备3米长钢护筒综合成孔等一切费用。</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lang w:val="en-US" w:eastAsia="zh-CN" w:bidi="ar"/>
        </w:rPr>
      </w:pPr>
      <w:r>
        <w:rPr>
          <w:rFonts w:hint="eastAsia" w:eastAsia="宋体" w:cs="宋体"/>
          <w:color w:val="auto"/>
          <w:spacing w:val="4"/>
          <w:highlight w:val="none"/>
          <w:lang w:val="en-US" w:eastAsia="zh-CN" w:bidi="ar"/>
        </w:rPr>
        <w:t>7</w:t>
      </w:r>
      <w:r>
        <w:rPr>
          <w:rFonts w:hint="eastAsia" w:ascii="宋体" w:hAnsi="宋体" w:eastAsia="宋体" w:cs="宋体"/>
          <w:color w:val="auto"/>
          <w:spacing w:val="4"/>
          <w:highlight w:val="none"/>
          <w:lang w:val="en-US" w:eastAsia="zh-CN" w:bidi="ar"/>
        </w:rPr>
        <w:t>）钻（冲）孔灌注桩的桩钢筋笼按钢筋的计量规则另列清单项目计量。</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lang w:val="en-US" w:eastAsia="zh-CN" w:bidi="ar"/>
        </w:rPr>
      </w:pPr>
      <w:r>
        <w:rPr>
          <w:rFonts w:hint="eastAsia" w:eastAsia="宋体" w:cs="宋体"/>
          <w:color w:val="auto"/>
          <w:spacing w:val="4"/>
          <w:highlight w:val="none"/>
          <w:lang w:val="en-US" w:eastAsia="zh-CN" w:bidi="ar"/>
        </w:rPr>
        <w:t>8</w:t>
      </w:r>
      <w:r>
        <w:rPr>
          <w:rFonts w:hint="eastAsia" w:ascii="宋体" w:hAnsi="宋体" w:eastAsia="宋体" w:cs="宋体"/>
          <w:color w:val="auto"/>
          <w:spacing w:val="4"/>
          <w:highlight w:val="none"/>
          <w:lang w:val="en-US" w:eastAsia="zh-CN" w:bidi="ar"/>
        </w:rPr>
        <w:t>）钻（冲）孔桩项目的结算办法：</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lang w:val="en-US" w:eastAsia="zh-CN" w:bidi="ar"/>
        </w:rPr>
      </w:pPr>
      <w:r>
        <w:rPr>
          <w:rFonts w:hint="eastAsia" w:ascii="宋体" w:hAnsi="宋体" w:eastAsia="宋体" w:cs="宋体"/>
          <w:color w:val="auto"/>
          <w:spacing w:val="4"/>
          <w:highlight w:val="none"/>
          <w:lang w:val="en-US" w:eastAsia="zh-CN" w:bidi="ar"/>
        </w:rPr>
        <w:t>经业主及监理单位确认的打桩记录中有显示溶洞或土洞的桩，扩散系数未超1.2的按投标单价包干计算；扩散系数超过1.2的，则超出部分仅按实计取混凝土主材费。</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lang w:val="en-US" w:eastAsia="zh-CN" w:bidi="ar"/>
        </w:rPr>
      </w:pPr>
      <w:r>
        <w:rPr>
          <w:rFonts w:hint="eastAsia" w:ascii="宋体" w:hAnsi="宋体" w:eastAsia="宋体" w:cs="宋体"/>
          <w:color w:val="auto"/>
          <w:spacing w:val="4"/>
          <w:highlight w:val="none"/>
          <w:lang w:val="en-US" w:eastAsia="zh-CN" w:bidi="ar"/>
        </w:rPr>
        <w:t>经业主及监理单位确认的打桩记录中未显示溶洞或土洞的桩，扩散系数已综合考虑在混凝土单价中，按投标单价包干结算。</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lang w:val="en-US" w:eastAsia="zh-CN" w:bidi="ar"/>
        </w:rPr>
      </w:pPr>
      <w:r>
        <w:rPr>
          <w:rFonts w:hint="eastAsia" w:ascii="宋体" w:hAnsi="宋体" w:eastAsia="宋体" w:cs="宋体"/>
          <w:color w:val="auto"/>
          <w:spacing w:val="4"/>
          <w:highlight w:val="none"/>
          <w:lang w:val="en-US" w:eastAsia="zh-CN" w:bidi="ar"/>
        </w:rPr>
        <w:t>9）塔吊桩基础项目根据监理、建设单位确认的施工方案以桩基变更新增流程处理，工程量按实结算。</w:t>
      </w:r>
    </w:p>
    <w:p>
      <w:pPr>
        <w:pStyle w:val="40"/>
        <w:keepNext w:val="0"/>
        <w:keepLines w:val="0"/>
        <w:widowControl w:val="0"/>
        <w:suppressLineNumbers w:val="0"/>
        <w:topLinePunct/>
        <w:adjustRightInd w:val="0"/>
        <w:snapToGrid w:val="0"/>
        <w:spacing w:before="0" w:beforeAutospacing="0" w:after="0" w:afterAutospacing="0" w:line="600" w:lineRule="exact"/>
        <w:ind w:left="0" w:right="0" w:firstLine="482" w:firstLineChars="200"/>
        <w:jc w:val="both"/>
        <w:rPr>
          <w:rFonts w:hint="eastAsia" w:ascii="宋体" w:hAnsi="宋体" w:eastAsia="宋体" w:cs="宋体"/>
          <w:b/>
          <w:bCs/>
          <w:color w:val="auto"/>
          <w:kern w:val="0"/>
          <w:sz w:val="24"/>
          <w:szCs w:val="24"/>
          <w:highlight w:val="none"/>
          <w:shd w:val="clear" w:color="auto" w:fill="FFFFFF"/>
          <w:lang w:val="en-US" w:eastAsia="zh-CN" w:bidi="ar"/>
        </w:rPr>
      </w:pPr>
      <w:r>
        <w:rPr>
          <w:rFonts w:hint="eastAsia" w:ascii="宋体" w:hAnsi="宋体" w:eastAsia="宋体" w:cs="宋体"/>
          <w:b/>
          <w:bCs/>
          <w:color w:val="auto"/>
          <w:kern w:val="0"/>
          <w:sz w:val="24"/>
          <w:szCs w:val="24"/>
          <w:highlight w:val="none"/>
          <w:shd w:val="clear" w:color="auto" w:fill="FFFFFF"/>
          <w:lang w:val="en-US" w:eastAsia="zh-CN" w:bidi="ar"/>
        </w:rPr>
        <w:t>（3）钻（冲）孔桩试桩清单项目</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lang w:val="en-US" w:eastAsia="zh-CN" w:bidi="ar"/>
        </w:rPr>
      </w:pPr>
      <w:r>
        <w:rPr>
          <w:rFonts w:hint="eastAsia" w:ascii="宋体" w:hAnsi="宋体" w:eastAsia="宋体" w:cs="宋体"/>
          <w:color w:val="auto"/>
          <w:spacing w:val="4"/>
          <w:highlight w:val="none"/>
          <w:lang w:val="en-US" w:eastAsia="zh-CN" w:bidi="ar"/>
        </w:rPr>
        <w:t>1）钻（冲）孔试桩的计价综合考虑为桩机移动铺筑的临时道路、可能发生的塌孔、流砂、泉涌、入岩增加费、混凝土扩散系数、场内外运距、抗拔桩施工工艺等。包括平台搭设、泥浆池（槽）砌筑及拆除、泥浆制作、成孔、清孔、排障、混凝土运输、灌注、振捣、清理浮浆、凿桩头、检验试验（招标人委托第三方检测除外）等一切有关费用。</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lang w:val="en-US" w:eastAsia="zh-CN" w:bidi="ar"/>
        </w:rPr>
      </w:pPr>
      <w:r>
        <w:rPr>
          <w:rFonts w:hint="eastAsia" w:ascii="宋体" w:hAnsi="宋体" w:eastAsia="宋体" w:cs="宋体"/>
          <w:color w:val="auto"/>
          <w:spacing w:val="4"/>
          <w:highlight w:val="none"/>
          <w:lang w:val="en-US" w:eastAsia="zh-CN" w:bidi="ar"/>
        </w:rPr>
        <w:t>2）钻（冲）孔试桩计量按实桩分不同试桩编号，结算以根计算。</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lang w:val="en-US" w:eastAsia="zh-CN" w:bidi="ar"/>
        </w:rPr>
      </w:pPr>
      <w:r>
        <w:rPr>
          <w:rFonts w:hint="eastAsia" w:ascii="宋体" w:hAnsi="宋体" w:eastAsia="宋体" w:cs="宋体"/>
          <w:color w:val="auto"/>
          <w:spacing w:val="4"/>
          <w:highlight w:val="none"/>
          <w:lang w:val="en-US" w:eastAsia="zh-CN" w:bidi="ar"/>
        </w:rPr>
        <w:t>3）入岩增加费用综合考虑到投标报价中，钻（冲）孔成孔方式综合考虑，综合单价不因施工方式不同而调整。</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lang w:val="en-US" w:eastAsia="zh-CN" w:bidi="ar"/>
        </w:rPr>
      </w:pPr>
      <w:r>
        <w:rPr>
          <w:rFonts w:hint="eastAsia" w:ascii="宋体" w:hAnsi="宋体" w:eastAsia="宋体" w:cs="宋体"/>
          <w:color w:val="auto"/>
          <w:spacing w:val="4"/>
          <w:highlight w:val="none"/>
          <w:lang w:val="en-US" w:eastAsia="zh-CN" w:bidi="ar"/>
        </w:rPr>
        <w:t>4）钻（冲）孔试桩的桩钢筋笼按钢筋综合考虑到投标报价中，综合单价不因施工方式不同而调整。</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kern w:val="2"/>
          <w:sz w:val="24"/>
          <w:szCs w:val="24"/>
          <w:highlight w:val="none"/>
          <w:shd w:val="clear" w:color="auto" w:fill="FFFFFF"/>
          <w:lang w:val="en-US" w:eastAsia="zh-CN" w:bidi="ar"/>
        </w:rPr>
      </w:pPr>
      <w:r>
        <w:rPr>
          <w:rFonts w:hint="eastAsia" w:ascii="宋体" w:hAnsi="宋体" w:eastAsia="宋体" w:cs="宋体"/>
          <w:color w:val="auto"/>
          <w:spacing w:val="4"/>
          <w:highlight w:val="none"/>
          <w:lang w:val="en-US" w:eastAsia="zh-CN" w:bidi="ar"/>
        </w:rPr>
        <w:t>5）有质量缺陷并报废的桩不予计量，有质量缺陷但没有报废的桩，若采取补救措施后，经业主代表、监理工程师及相关质检部门检验合格后，可按原设计予以计量。</w:t>
      </w:r>
    </w:p>
    <w:p>
      <w:pPr>
        <w:pStyle w:val="40"/>
        <w:keepNext w:val="0"/>
        <w:keepLines w:val="0"/>
        <w:widowControl w:val="0"/>
        <w:suppressLineNumbers w:val="0"/>
        <w:topLinePunct/>
        <w:adjustRightInd w:val="0"/>
        <w:snapToGrid w:val="0"/>
        <w:spacing w:before="0" w:beforeAutospacing="0" w:after="0" w:afterAutospacing="0" w:line="600" w:lineRule="exact"/>
        <w:ind w:left="0" w:right="0" w:firstLine="482" w:firstLineChars="200"/>
        <w:jc w:val="both"/>
        <w:rPr>
          <w:rFonts w:hint="eastAsia" w:ascii="宋体" w:hAnsi="宋体" w:eastAsia="宋体" w:cs="宋体"/>
          <w:b/>
          <w:bCs/>
          <w:color w:val="auto"/>
          <w:kern w:val="0"/>
          <w:sz w:val="24"/>
          <w:szCs w:val="24"/>
          <w:highlight w:val="none"/>
          <w:shd w:val="clear" w:color="auto" w:fill="FFFFFF"/>
          <w:lang w:val="en-US" w:eastAsia="zh-CN" w:bidi="ar"/>
        </w:rPr>
      </w:pPr>
      <w:r>
        <w:rPr>
          <w:rFonts w:hint="eastAsia" w:ascii="宋体" w:hAnsi="宋体" w:eastAsia="宋体" w:cs="宋体"/>
          <w:b/>
          <w:bCs/>
          <w:color w:val="auto"/>
          <w:kern w:val="0"/>
          <w:sz w:val="24"/>
          <w:szCs w:val="24"/>
          <w:highlight w:val="none"/>
          <w:shd w:val="clear" w:color="auto" w:fill="FFFFFF"/>
          <w:lang w:val="en-US" w:eastAsia="zh-CN" w:bidi="ar"/>
        </w:rPr>
        <w:t>（4）声测管预埋清单项目</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lang w:val="en-US" w:eastAsia="zh-CN" w:bidi="ar"/>
        </w:rPr>
      </w:pPr>
      <w:r>
        <w:rPr>
          <w:rFonts w:hint="eastAsia" w:ascii="宋体" w:hAnsi="宋体" w:eastAsia="宋体" w:cs="宋体"/>
          <w:color w:val="auto"/>
          <w:spacing w:val="4"/>
          <w:highlight w:val="none"/>
          <w:lang w:val="en-US" w:eastAsia="zh-CN" w:bidi="ar"/>
        </w:rPr>
        <w:t>1）声测管预埋计价综合考虑预埋钢管，管埋设机械等一切费用。</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lang w:val="en-US" w:eastAsia="zh-CN" w:bidi="ar"/>
        </w:rPr>
      </w:pPr>
      <w:r>
        <w:rPr>
          <w:rFonts w:hint="eastAsia" w:ascii="宋体" w:hAnsi="宋体" w:eastAsia="宋体" w:cs="宋体"/>
          <w:color w:val="auto"/>
          <w:spacing w:val="4"/>
          <w:highlight w:val="none"/>
          <w:lang w:val="en-US" w:eastAsia="zh-CN" w:bidi="ar"/>
        </w:rPr>
        <w:t>2）声测管预埋计价综合考虑管制作、管件连接、下管方式、机具安装、移动、拆除、管摊销、管修复、刷油、排障、场内运输等一切相关费用。</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lang w:val="en-US" w:eastAsia="zh-CN" w:bidi="ar"/>
        </w:rPr>
      </w:pPr>
      <w:r>
        <w:rPr>
          <w:rFonts w:hint="eastAsia" w:ascii="宋体" w:hAnsi="宋体" w:eastAsia="宋体" w:cs="宋体"/>
          <w:color w:val="auto"/>
          <w:spacing w:val="4"/>
          <w:highlight w:val="none"/>
          <w:lang w:val="en-US" w:eastAsia="zh-CN" w:bidi="ar"/>
        </w:rPr>
        <w:t>（3）计量按招标人、监理、施工单位三方签证数量以吨计算。</w:t>
      </w:r>
    </w:p>
    <w:p>
      <w:pPr>
        <w:pStyle w:val="40"/>
        <w:keepNext w:val="0"/>
        <w:keepLines w:val="0"/>
        <w:widowControl w:val="0"/>
        <w:suppressLineNumbers w:val="0"/>
        <w:topLinePunct/>
        <w:adjustRightInd w:val="0"/>
        <w:snapToGrid w:val="0"/>
        <w:spacing w:before="0" w:beforeAutospacing="0" w:after="0" w:afterAutospacing="0" w:line="600" w:lineRule="exact"/>
        <w:ind w:left="0" w:right="0" w:firstLine="482" w:firstLineChars="200"/>
        <w:jc w:val="both"/>
        <w:rPr>
          <w:rFonts w:hint="eastAsia" w:ascii="宋体" w:hAnsi="宋体" w:eastAsia="宋体" w:cs="宋体"/>
          <w:b/>
          <w:bCs/>
          <w:color w:val="auto"/>
          <w:kern w:val="0"/>
          <w:sz w:val="24"/>
          <w:szCs w:val="24"/>
          <w:highlight w:val="none"/>
          <w:shd w:val="clear" w:color="auto" w:fill="FFFFFF"/>
          <w:lang w:val="en-US" w:eastAsia="zh-CN" w:bidi="ar"/>
        </w:rPr>
      </w:pPr>
      <w:r>
        <w:rPr>
          <w:rFonts w:hint="eastAsia" w:ascii="宋体" w:hAnsi="宋体" w:eastAsia="宋体" w:cs="宋体"/>
          <w:b/>
          <w:bCs/>
          <w:color w:val="auto"/>
          <w:kern w:val="0"/>
          <w:sz w:val="24"/>
          <w:szCs w:val="24"/>
          <w:highlight w:val="none"/>
          <w:shd w:val="clear" w:color="auto" w:fill="FFFFFF"/>
          <w:lang w:val="en-US" w:eastAsia="zh-CN" w:bidi="ar"/>
        </w:rPr>
        <w:t>（5）钢护筒制作费清单项目</w:t>
      </w:r>
    </w:p>
    <w:p>
      <w:pPr>
        <w:pStyle w:val="40"/>
        <w:widowControl w:val="0"/>
        <w:topLinePunct/>
        <w:adjustRightInd w:val="0"/>
        <w:snapToGrid w:val="0"/>
        <w:spacing w:before="0" w:after="0" w:afterAutospacing="0" w:line="600" w:lineRule="exact"/>
        <w:ind w:firstLine="480" w:firstLineChars="200"/>
        <w:jc w:val="both"/>
        <w:rPr>
          <w:rFonts w:hint="eastAsia" w:ascii="宋体" w:hAnsi="宋体" w:eastAsia="宋体" w:cs="宋体"/>
          <w:color w:val="auto"/>
          <w:spacing w:val="4"/>
          <w:highlight w:val="none"/>
          <w:lang w:val="en-US" w:eastAsia="zh-CN" w:bidi="ar"/>
        </w:rPr>
      </w:pPr>
      <w:r>
        <w:rPr>
          <w:rFonts w:hint="eastAsia" w:ascii="宋体" w:hAnsi="宋体" w:eastAsia="宋体" w:cs="宋体"/>
          <w:color w:val="auto"/>
          <w:kern w:val="2"/>
          <w:sz w:val="24"/>
          <w:szCs w:val="24"/>
          <w:highlight w:val="none"/>
          <w:shd w:val="clear" w:color="auto" w:fill="FFFFFF"/>
          <w:lang w:val="en-US" w:eastAsia="zh-CN" w:bidi="ar"/>
        </w:rPr>
        <w:t xml:space="preserve"> </w:t>
      </w:r>
      <w:r>
        <w:rPr>
          <w:rFonts w:hint="eastAsia" w:ascii="宋体" w:hAnsi="宋体" w:eastAsia="宋体" w:cs="宋体"/>
          <w:color w:val="auto"/>
          <w:spacing w:val="4"/>
          <w:highlight w:val="none"/>
          <w:lang w:val="en-US" w:eastAsia="zh-CN" w:bidi="ar"/>
        </w:rPr>
        <w:t>1）钢护筒制作费计价综合考虑：长度、厚度、规格、型号、间距、采购、包括材料制作、材料运输、采购、综合考虑钢护筒多次打拔造成的摊销、修复、损耗、除锈防腐等费用，钢护筒一次性投入制作，多次打拔循环利用。</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lang w:val="en-US" w:eastAsia="zh-CN" w:bidi="ar"/>
        </w:rPr>
      </w:pPr>
      <w:r>
        <w:rPr>
          <w:rFonts w:hint="eastAsia" w:ascii="宋体" w:hAnsi="宋体" w:eastAsia="宋体" w:cs="宋体"/>
          <w:color w:val="auto"/>
          <w:spacing w:val="4"/>
          <w:highlight w:val="none"/>
          <w:lang w:val="en-US" w:eastAsia="zh-CN" w:bidi="ar"/>
        </w:rPr>
        <w:t xml:space="preserve"> 2）计量按招标人、监理、施工单位三方签证数量以吨计算。</w:t>
      </w:r>
    </w:p>
    <w:p>
      <w:pPr>
        <w:pStyle w:val="40"/>
        <w:keepNext w:val="0"/>
        <w:keepLines w:val="0"/>
        <w:widowControl w:val="0"/>
        <w:suppressLineNumbers w:val="0"/>
        <w:topLinePunct/>
        <w:adjustRightInd w:val="0"/>
        <w:snapToGrid w:val="0"/>
        <w:spacing w:before="0" w:beforeAutospacing="0" w:after="0" w:afterAutospacing="0" w:line="600" w:lineRule="exact"/>
        <w:ind w:left="0" w:right="0" w:firstLine="482" w:firstLineChars="200"/>
        <w:jc w:val="both"/>
        <w:rPr>
          <w:rFonts w:hint="eastAsia" w:ascii="宋体" w:hAnsi="宋体" w:eastAsia="宋体" w:cs="宋体"/>
          <w:b/>
          <w:bCs/>
          <w:color w:val="auto"/>
          <w:kern w:val="0"/>
          <w:sz w:val="24"/>
          <w:szCs w:val="24"/>
          <w:highlight w:val="none"/>
          <w:shd w:val="clear" w:color="auto" w:fill="FFFFFF"/>
          <w:lang w:val="en-US" w:eastAsia="zh-CN" w:bidi="ar"/>
        </w:rPr>
      </w:pPr>
      <w:r>
        <w:rPr>
          <w:rFonts w:hint="eastAsia" w:ascii="宋体" w:hAnsi="宋体" w:eastAsia="宋体" w:cs="宋体"/>
          <w:b/>
          <w:bCs/>
          <w:color w:val="auto"/>
          <w:kern w:val="0"/>
          <w:sz w:val="24"/>
          <w:szCs w:val="24"/>
          <w:highlight w:val="none"/>
          <w:shd w:val="clear" w:color="auto" w:fill="FFFFFF"/>
          <w:lang w:val="en-US" w:eastAsia="zh-CN" w:bidi="ar"/>
        </w:rPr>
        <w:t xml:space="preserve">（6）打拔钢护筒清单项目 </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lang w:val="en-US" w:eastAsia="zh-CN" w:bidi="ar"/>
        </w:rPr>
      </w:pPr>
      <w:r>
        <w:rPr>
          <w:rFonts w:hint="eastAsia" w:ascii="宋体" w:hAnsi="宋体" w:eastAsia="宋体" w:cs="宋体"/>
          <w:color w:val="auto"/>
          <w:spacing w:val="4"/>
          <w:highlight w:val="none"/>
          <w:lang w:val="en-US" w:eastAsia="zh-CN" w:bidi="ar"/>
        </w:rPr>
        <w:t>1）打拔钢护筒计价综合考虑：地层情况（根据工程地质勘察报告综合考虑）、长度、厚度、规格、型号、间距、采购、包括材料运输、工作平台搭拆、桩机移位、打钢护筒、拔钢护筒、安拆导向夹具、支撑、除锈刷防锈漆、清理场地、整平隆起土壤、邻近建筑物的保护、排障（孤石、清除废旧砖基础、管线、管井、树根等）、为机械移动铺筑的临时道路及按图纸和规范而实施、完成和维护等相关费用。</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lang w:val="en-US" w:eastAsia="zh-CN" w:bidi="ar"/>
        </w:rPr>
      </w:pPr>
      <w:r>
        <w:rPr>
          <w:rFonts w:hint="eastAsia" w:ascii="宋体" w:hAnsi="宋体" w:eastAsia="宋体" w:cs="宋体"/>
          <w:color w:val="auto"/>
          <w:spacing w:val="4"/>
          <w:highlight w:val="none"/>
          <w:lang w:val="en-US" w:eastAsia="zh-CN" w:bidi="ar"/>
        </w:rPr>
        <w:t>2）钢护筒在施工过程中，施工单位应选择经验丰富的专业分包单位，选择合理的施工工艺与设备，确保在砼初凝前完成钢护筒拔除，在拔除过程中发生的一切风险自行包干处理（含溶洞桩砼面意外下陷，意外的质量缺陷等）对于特大溶洞处理，经批复同意后，不可回收钢护筒可一次性摊销。</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strike/>
          <w:dstrike w:val="0"/>
          <w:color w:val="auto"/>
          <w:kern w:val="2"/>
          <w:sz w:val="24"/>
          <w:szCs w:val="24"/>
          <w:highlight w:val="none"/>
          <w:shd w:val="clear" w:color="auto" w:fill="FFFFFF"/>
          <w:lang w:val="en-US" w:eastAsia="zh-CN" w:bidi="ar"/>
        </w:rPr>
      </w:pPr>
      <w:r>
        <w:rPr>
          <w:rFonts w:hint="eastAsia" w:ascii="宋体" w:hAnsi="宋体" w:eastAsia="宋体" w:cs="宋体"/>
          <w:color w:val="auto"/>
          <w:spacing w:val="4"/>
          <w:highlight w:val="none"/>
          <w:lang w:val="en-US" w:eastAsia="zh-CN" w:bidi="ar"/>
        </w:rPr>
        <w:t>3）计量按招标人、监理、施工单位三方签证数量以吨计算。</w:t>
      </w:r>
    </w:p>
    <w:p>
      <w:pPr>
        <w:pStyle w:val="40"/>
        <w:keepNext w:val="0"/>
        <w:keepLines w:val="0"/>
        <w:widowControl w:val="0"/>
        <w:suppressLineNumbers w:val="0"/>
        <w:topLinePunct/>
        <w:adjustRightInd w:val="0"/>
        <w:snapToGrid w:val="0"/>
        <w:spacing w:before="0" w:beforeAutospacing="0" w:after="0" w:afterAutospacing="0" w:line="600" w:lineRule="exact"/>
        <w:ind w:left="0" w:right="0" w:firstLine="482" w:firstLineChars="200"/>
        <w:jc w:val="both"/>
        <w:rPr>
          <w:rFonts w:hint="eastAsia" w:ascii="宋体" w:hAnsi="宋体" w:eastAsia="宋体" w:cs="宋体"/>
          <w:b/>
          <w:bCs/>
          <w:color w:val="auto"/>
          <w:kern w:val="0"/>
          <w:sz w:val="24"/>
          <w:szCs w:val="24"/>
          <w:highlight w:val="none"/>
          <w:shd w:val="clear" w:color="auto" w:fill="FFFFFF"/>
          <w:lang w:val="en-US" w:eastAsia="zh-CN" w:bidi="ar"/>
        </w:rPr>
      </w:pPr>
      <w:r>
        <w:rPr>
          <w:rFonts w:hint="eastAsia" w:ascii="宋体" w:hAnsi="宋体" w:eastAsia="宋体" w:cs="宋体"/>
          <w:b/>
          <w:bCs/>
          <w:color w:val="auto"/>
          <w:kern w:val="0"/>
          <w:sz w:val="24"/>
          <w:szCs w:val="24"/>
          <w:highlight w:val="none"/>
          <w:shd w:val="clear" w:color="auto" w:fill="FFFFFF"/>
          <w:lang w:val="en-US" w:eastAsia="zh-CN" w:bidi="ar"/>
        </w:rPr>
        <w:t>（</w:t>
      </w:r>
      <w:r>
        <w:rPr>
          <w:rFonts w:hint="eastAsia" w:eastAsia="宋体" w:cs="宋体"/>
          <w:b/>
          <w:bCs/>
          <w:color w:val="auto"/>
          <w:kern w:val="0"/>
          <w:sz w:val="24"/>
          <w:szCs w:val="24"/>
          <w:highlight w:val="none"/>
          <w:shd w:val="clear" w:color="auto" w:fill="FFFFFF"/>
          <w:lang w:val="en-US" w:eastAsia="zh-CN" w:bidi="ar"/>
        </w:rPr>
        <w:t>7</w:t>
      </w:r>
      <w:r>
        <w:rPr>
          <w:rFonts w:hint="eastAsia" w:ascii="宋体" w:hAnsi="宋体" w:eastAsia="宋体" w:cs="宋体"/>
          <w:b/>
          <w:bCs/>
          <w:color w:val="auto"/>
          <w:kern w:val="0"/>
          <w:sz w:val="24"/>
          <w:szCs w:val="24"/>
          <w:highlight w:val="none"/>
          <w:shd w:val="clear" w:color="auto" w:fill="FFFFFF"/>
          <w:lang w:val="en-US" w:eastAsia="zh-CN" w:bidi="ar"/>
        </w:rPr>
        <w:t>）CFG桩清单项目（如有）</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lang w:val="en-US" w:eastAsia="zh-CN" w:bidi="ar"/>
        </w:rPr>
      </w:pPr>
      <w:r>
        <w:rPr>
          <w:rFonts w:hint="eastAsia" w:ascii="宋体" w:hAnsi="宋体" w:eastAsia="宋体" w:cs="宋体"/>
          <w:color w:val="auto"/>
          <w:spacing w:val="4"/>
          <w:highlight w:val="none"/>
          <w:lang w:val="en-US" w:eastAsia="zh-CN" w:bidi="ar"/>
        </w:rPr>
        <w:t>1）CFG桩的计价综合考虑为桩机移动铺筑的临时道路、可能发生的塌孔、流砂、泉涌、入岩增加费、空桩、混凝土扩散系数（按本条第6）点规定计算）、场内外运距施工工艺等。平台搭设、成孔、清孔、排障、混凝土运输、灌注、振捣、清理浮浆、检验试验（招标人委托第三方检测除外）等一切有关费用。</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lang w:val="en-US" w:eastAsia="zh-CN" w:bidi="ar"/>
        </w:rPr>
      </w:pPr>
      <w:r>
        <w:rPr>
          <w:rFonts w:hint="eastAsia" w:ascii="宋体" w:hAnsi="宋体" w:eastAsia="宋体" w:cs="宋体"/>
          <w:color w:val="auto"/>
          <w:spacing w:val="4"/>
          <w:highlight w:val="none"/>
          <w:lang w:val="en-US" w:eastAsia="zh-CN" w:bidi="ar"/>
        </w:rPr>
        <w:t>2）综合考虑进行土洞、溶洞处理后的复冲成孔、复冲产生的浆渣清理及外运等措施费用。</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lang w:val="en-US" w:eastAsia="zh-CN" w:bidi="ar"/>
        </w:rPr>
      </w:pPr>
      <w:r>
        <w:rPr>
          <w:rFonts w:hint="eastAsia" w:ascii="宋体" w:hAnsi="宋体" w:eastAsia="宋体" w:cs="宋体"/>
          <w:color w:val="auto"/>
          <w:spacing w:val="4"/>
          <w:highlight w:val="none"/>
          <w:lang w:val="en-US" w:eastAsia="zh-CN" w:bidi="ar"/>
        </w:rPr>
        <w:t>3）综合考虑为桩机移动铺筑的临时道路、可能发生的塌孔、流砂、泉涌、混凝土扩散系数、桩体超灌、场内外运距、余方弃置（土方、淤泥、泥浆）等。未尽事项详见图纸、招标文件、工程量清单计价说明、国家相关规范等。</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lang w:val="en-US" w:eastAsia="zh-CN" w:bidi="ar"/>
        </w:rPr>
      </w:pPr>
      <w:r>
        <w:rPr>
          <w:rFonts w:hint="eastAsia" w:ascii="宋体" w:hAnsi="宋体" w:eastAsia="宋体" w:cs="宋体"/>
          <w:color w:val="auto"/>
          <w:spacing w:val="4"/>
          <w:highlight w:val="none"/>
          <w:lang w:val="en-US" w:eastAsia="zh-CN" w:bidi="ar"/>
        </w:rPr>
        <w:t>4）投标报价综合考虑CFG桩空桩的费用，不再另列清单项目计量计价。</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lang w:val="en-US" w:eastAsia="zh-CN" w:bidi="ar"/>
        </w:rPr>
      </w:pPr>
      <w:r>
        <w:rPr>
          <w:rFonts w:hint="eastAsia" w:ascii="宋体" w:hAnsi="宋体" w:eastAsia="宋体" w:cs="宋体"/>
          <w:color w:val="auto"/>
          <w:spacing w:val="4"/>
          <w:highlight w:val="none"/>
          <w:lang w:val="en-US" w:eastAsia="zh-CN" w:bidi="ar"/>
        </w:rPr>
        <w:t>5）CFG桩计量分不同桩径按结算长度以立方米计算。</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lang w:val="en-US" w:eastAsia="zh-CN" w:bidi="ar"/>
        </w:rPr>
      </w:pPr>
      <w:r>
        <w:rPr>
          <w:rFonts w:hint="eastAsia" w:ascii="宋体" w:hAnsi="宋体" w:eastAsia="宋体" w:cs="宋体"/>
          <w:color w:val="auto"/>
          <w:spacing w:val="4"/>
          <w:highlight w:val="none"/>
          <w:lang w:val="en-US" w:eastAsia="zh-CN" w:bidi="ar"/>
        </w:rPr>
        <w:t>实桩结算长度=桩顶标高-桩底标高，桩顶标高按设计标高计算，桩底标高按实际打桩的桩底标高（包含桩尖的长度）。</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lang w:val="en-US" w:eastAsia="zh-CN" w:bidi="ar"/>
        </w:rPr>
      </w:pPr>
      <w:r>
        <w:rPr>
          <w:rFonts w:hint="eastAsia" w:ascii="宋体" w:hAnsi="宋体" w:eastAsia="宋体" w:cs="宋体"/>
          <w:color w:val="auto"/>
          <w:spacing w:val="4"/>
          <w:highlight w:val="none"/>
          <w:lang w:val="en-US" w:eastAsia="zh-CN" w:bidi="ar"/>
        </w:rPr>
        <w:t>入岩增加费用及桩顶超灌混凝土综合考虑到投标报价中，钻（冲）孔成孔方式综合考虑，综合单价不因施工方式不同而调整。</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lang w:val="en-US" w:eastAsia="zh-CN" w:bidi="ar"/>
        </w:rPr>
      </w:pPr>
      <w:r>
        <w:rPr>
          <w:rFonts w:hint="eastAsia" w:ascii="宋体" w:hAnsi="宋体" w:eastAsia="宋体" w:cs="宋体"/>
          <w:color w:val="auto"/>
          <w:spacing w:val="4"/>
          <w:highlight w:val="none"/>
          <w:lang w:val="en-US" w:eastAsia="zh-CN" w:bidi="ar"/>
        </w:rPr>
        <w:t>6）有质量缺陷并报废的桩不予计量，有质量缺陷但没有报废的桩，若采取补救措施后，经业主代表、监理工程师及相关质检部门检验合格后，可按原设计予以计量。</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lang w:val="en-US" w:eastAsia="zh-CN" w:bidi="ar"/>
        </w:rPr>
      </w:pPr>
      <w:r>
        <w:rPr>
          <w:rFonts w:hint="eastAsia" w:ascii="宋体" w:hAnsi="宋体" w:eastAsia="宋体" w:cs="宋体"/>
          <w:color w:val="auto"/>
          <w:spacing w:val="4"/>
          <w:highlight w:val="none"/>
          <w:lang w:val="en-US" w:eastAsia="zh-CN" w:bidi="ar"/>
        </w:rPr>
        <w:t>7）CFG桩项目的结算办法：</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lang w:val="en-US" w:eastAsia="zh-CN" w:bidi="ar"/>
        </w:rPr>
      </w:pPr>
      <w:r>
        <w:rPr>
          <w:rFonts w:hint="eastAsia" w:ascii="宋体" w:hAnsi="宋体" w:eastAsia="宋体" w:cs="宋体"/>
          <w:color w:val="auto"/>
          <w:spacing w:val="4"/>
          <w:highlight w:val="none"/>
          <w:lang w:val="en-US" w:eastAsia="zh-CN" w:bidi="ar"/>
        </w:rPr>
        <w:t>经业主及监理单位确认的打桩记录中有显示溶洞或土洞的桩，扩散系数未超1.2的按投标单价包干计算；扩散系数超过1.2的，则超出部分仅按实计取混凝土主材费。</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lang w:val="en-US" w:eastAsia="zh-CN" w:bidi="ar"/>
        </w:rPr>
      </w:pPr>
      <w:r>
        <w:rPr>
          <w:rFonts w:hint="eastAsia" w:ascii="宋体" w:hAnsi="宋体" w:eastAsia="宋体" w:cs="宋体"/>
          <w:color w:val="auto"/>
          <w:spacing w:val="4"/>
          <w:highlight w:val="none"/>
          <w:lang w:val="en-US" w:eastAsia="zh-CN" w:bidi="ar"/>
        </w:rPr>
        <w:t>经业主及监理单位确认的打桩记录中未显示溶洞或土洞的桩，扩散系数已综合考虑在混凝土单价中，按投标单价包干结算。</w:t>
      </w:r>
    </w:p>
    <w:p>
      <w:pPr>
        <w:pStyle w:val="40"/>
        <w:keepNext w:val="0"/>
        <w:keepLines w:val="0"/>
        <w:widowControl w:val="0"/>
        <w:suppressLineNumbers w:val="0"/>
        <w:topLinePunct/>
        <w:adjustRightInd w:val="0"/>
        <w:snapToGrid w:val="0"/>
        <w:spacing w:before="0" w:beforeAutospacing="0" w:after="0" w:afterAutospacing="0" w:line="600" w:lineRule="exact"/>
        <w:ind w:left="0" w:right="0" w:firstLine="482" w:firstLineChars="200"/>
        <w:jc w:val="both"/>
        <w:rPr>
          <w:rFonts w:hint="eastAsia" w:ascii="宋体" w:hAnsi="宋体" w:eastAsia="宋体" w:cs="宋体"/>
          <w:b/>
          <w:bCs/>
          <w:color w:val="auto"/>
          <w:kern w:val="0"/>
          <w:sz w:val="24"/>
          <w:szCs w:val="24"/>
          <w:highlight w:val="none"/>
          <w:shd w:val="clear" w:color="auto" w:fill="FFFFFF"/>
          <w:lang w:val="en-US" w:eastAsia="zh-CN" w:bidi="ar"/>
        </w:rPr>
      </w:pPr>
      <w:r>
        <w:rPr>
          <w:rFonts w:hint="eastAsia" w:ascii="宋体" w:hAnsi="宋体" w:eastAsia="宋体" w:cs="宋体"/>
          <w:b/>
          <w:bCs/>
          <w:color w:val="auto"/>
          <w:kern w:val="0"/>
          <w:sz w:val="24"/>
          <w:szCs w:val="24"/>
          <w:highlight w:val="none"/>
          <w:shd w:val="clear" w:color="auto" w:fill="FFFFFF"/>
          <w:lang w:val="en-US" w:eastAsia="zh-CN" w:bidi="ar"/>
        </w:rPr>
        <w:t>（</w:t>
      </w:r>
      <w:r>
        <w:rPr>
          <w:rFonts w:hint="eastAsia" w:eastAsia="宋体" w:cs="宋体"/>
          <w:b/>
          <w:bCs/>
          <w:color w:val="auto"/>
          <w:kern w:val="0"/>
          <w:sz w:val="24"/>
          <w:szCs w:val="24"/>
          <w:highlight w:val="none"/>
          <w:shd w:val="clear" w:color="auto" w:fill="FFFFFF"/>
          <w:lang w:val="en-US" w:eastAsia="zh-CN" w:bidi="ar"/>
        </w:rPr>
        <w:t>8</w:t>
      </w:r>
      <w:r>
        <w:rPr>
          <w:rFonts w:hint="eastAsia" w:ascii="宋体" w:hAnsi="宋体" w:eastAsia="宋体" w:cs="宋体"/>
          <w:b/>
          <w:bCs/>
          <w:color w:val="auto"/>
          <w:kern w:val="0"/>
          <w:sz w:val="24"/>
          <w:szCs w:val="24"/>
          <w:highlight w:val="none"/>
          <w:shd w:val="clear" w:color="auto" w:fill="FFFFFF"/>
          <w:lang w:val="en-US" w:eastAsia="zh-CN" w:bidi="ar"/>
        </w:rPr>
        <w:t>）土洞、溶洞清单项目</w:t>
      </w:r>
      <w:r>
        <w:rPr>
          <w:rFonts w:hint="eastAsia" w:eastAsia="宋体" w:cs="宋体"/>
          <w:b/>
          <w:bCs/>
          <w:color w:val="auto"/>
          <w:kern w:val="0"/>
          <w:sz w:val="24"/>
          <w:szCs w:val="24"/>
          <w:highlight w:val="none"/>
          <w:shd w:val="clear" w:color="auto" w:fill="FFFFFF"/>
          <w:lang w:val="en-US" w:eastAsia="zh-CN" w:bidi="ar"/>
        </w:rPr>
        <w:t>（如有）</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lang w:val="en-US" w:eastAsia="zh-CN" w:bidi="ar"/>
        </w:rPr>
      </w:pPr>
      <w:r>
        <w:rPr>
          <w:rFonts w:hint="eastAsia" w:ascii="宋体" w:hAnsi="宋体" w:eastAsia="宋体" w:cs="宋体"/>
          <w:color w:val="auto"/>
          <w:spacing w:val="4"/>
          <w:highlight w:val="none"/>
          <w:lang w:val="en-US" w:eastAsia="zh-CN" w:bidi="ar"/>
        </w:rPr>
        <w:t>土洞、溶洞处理方式：塔楼范围内仅对CFG桩施工时所遇到的土洞或溶洞采用混凝土超灌方式处理，超灌的混凝土标号与桩相同；非塔楼范围内仅对抗拔桩施工时所遇到的土洞或溶洞采用混凝土超灌方式处理，超灌的混凝土标号与桩相同。</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lang w:val="en-US" w:eastAsia="zh-CN" w:bidi="ar"/>
        </w:rPr>
      </w:pPr>
      <w:r>
        <w:rPr>
          <w:rFonts w:hint="eastAsia" w:ascii="宋体" w:hAnsi="宋体" w:eastAsia="宋体" w:cs="宋体"/>
          <w:color w:val="auto"/>
          <w:spacing w:val="4"/>
          <w:highlight w:val="none"/>
          <w:lang w:val="en-US" w:eastAsia="zh-CN" w:bidi="ar"/>
        </w:rPr>
        <w:t>土洞、溶洞注浆、灌注混凝土处理:综合考虑灌注素混凝土骨料粒径、单、双液浆比例、配比、混凝土拌和料要求、混凝土掺加剂、部位、深度，包括搭拆脚手架、钻孔，混凝土、砂浆制作，灌注、压浆、单、双液浆制作、压浆,灌注砼、检查、堵孔、机械移动铺筑的临时道路、可能发生的塌孔、流砂、泉涌、入岩增加费、场内外运距、开挖费用、土方场外外运、桩施工工艺等费用。</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lang w:val="en-US" w:eastAsia="zh-CN" w:bidi="ar"/>
        </w:rPr>
      </w:pPr>
      <w:r>
        <w:rPr>
          <w:rFonts w:hint="eastAsia" w:ascii="宋体" w:hAnsi="宋体" w:eastAsia="宋体" w:cs="宋体"/>
          <w:color w:val="auto"/>
          <w:spacing w:val="4"/>
          <w:highlight w:val="none"/>
          <w:lang w:val="en-US" w:eastAsia="zh-CN" w:bidi="ar"/>
        </w:rPr>
        <w:t>土洞、溶洞计量按立方米计算，工程量须经业主、监理、施工单位确认才能计量。</w:t>
      </w:r>
    </w:p>
    <w:p>
      <w:pPr>
        <w:pStyle w:val="40"/>
        <w:keepNext w:val="0"/>
        <w:keepLines w:val="0"/>
        <w:widowControl w:val="0"/>
        <w:suppressLineNumbers w:val="0"/>
        <w:topLinePunct/>
        <w:adjustRightInd w:val="0"/>
        <w:snapToGrid w:val="0"/>
        <w:spacing w:before="0" w:beforeAutospacing="0" w:after="0" w:afterAutospacing="0" w:line="600" w:lineRule="exact"/>
        <w:ind w:left="0" w:right="0" w:firstLine="498" w:firstLineChars="200"/>
        <w:jc w:val="both"/>
        <w:rPr>
          <w:rFonts w:hint="eastAsia" w:ascii="宋体" w:hAnsi="宋体" w:eastAsia="宋体" w:cs="宋体"/>
          <w:b/>
          <w:bCs/>
          <w:color w:val="auto"/>
          <w:kern w:val="0"/>
          <w:sz w:val="24"/>
          <w:szCs w:val="24"/>
          <w:highlight w:val="none"/>
          <w:shd w:val="clear" w:color="auto" w:fill="FFFFFF"/>
          <w:lang w:val="en-US" w:eastAsia="zh-CN" w:bidi="ar"/>
        </w:rPr>
      </w:pPr>
      <w:r>
        <w:rPr>
          <w:rFonts w:hint="eastAsia" w:ascii="宋体" w:hAnsi="宋体" w:eastAsia="宋体" w:cs="宋体"/>
          <w:b/>
          <w:color w:val="auto"/>
          <w:spacing w:val="4"/>
          <w:highlight w:val="none"/>
          <w:lang w:bidi="ar"/>
        </w:rPr>
        <w:t xml:space="preserve"> </w:t>
      </w:r>
      <w:r>
        <w:rPr>
          <w:rFonts w:hint="eastAsia" w:ascii="宋体" w:hAnsi="宋体" w:eastAsia="宋体" w:cs="宋体"/>
          <w:b/>
          <w:bCs/>
          <w:color w:val="auto"/>
          <w:kern w:val="0"/>
          <w:sz w:val="24"/>
          <w:szCs w:val="24"/>
          <w:highlight w:val="none"/>
          <w:shd w:val="clear" w:color="auto" w:fill="FFFFFF"/>
          <w:lang w:val="en-US" w:eastAsia="zh-CN" w:bidi="ar"/>
        </w:rPr>
        <w:t>（</w:t>
      </w:r>
      <w:r>
        <w:rPr>
          <w:rFonts w:hint="eastAsia" w:eastAsia="宋体" w:cs="宋体"/>
          <w:b/>
          <w:bCs/>
          <w:color w:val="auto"/>
          <w:kern w:val="0"/>
          <w:sz w:val="24"/>
          <w:szCs w:val="24"/>
          <w:highlight w:val="none"/>
          <w:shd w:val="clear" w:color="auto" w:fill="FFFFFF"/>
          <w:lang w:val="en-US" w:eastAsia="zh-CN" w:bidi="ar"/>
        </w:rPr>
        <w:t>9</w:t>
      </w:r>
      <w:r>
        <w:rPr>
          <w:rFonts w:hint="eastAsia" w:ascii="宋体" w:hAnsi="宋体" w:eastAsia="宋体" w:cs="宋体"/>
          <w:b/>
          <w:bCs/>
          <w:color w:val="auto"/>
          <w:kern w:val="0"/>
          <w:sz w:val="24"/>
          <w:szCs w:val="24"/>
          <w:highlight w:val="none"/>
          <w:shd w:val="clear" w:color="auto" w:fill="FFFFFF"/>
          <w:lang w:val="en-US" w:eastAsia="zh-CN" w:bidi="ar"/>
        </w:rPr>
        <w:t>）凿桩头清单项目</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lang w:val="en-US" w:eastAsia="zh-CN" w:bidi="ar"/>
        </w:rPr>
      </w:pPr>
      <w:r>
        <w:rPr>
          <w:rFonts w:hint="eastAsia" w:ascii="宋体" w:hAnsi="宋体" w:eastAsia="宋体" w:cs="宋体"/>
          <w:color w:val="auto"/>
          <w:spacing w:val="4"/>
          <w:highlight w:val="none"/>
          <w:lang w:val="en-US" w:eastAsia="zh-CN" w:bidi="ar"/>
        </w:rPr>
        <w:t>1)凿桩头的计价综合考虑桩头截面、桩头高度、钢筋直径、钢筋截断长度。包括桩头钢筋截断及调直、清理桩头表面、桩头混凝土及砂浆凿除</w:t>
      </w:r>
      <w:bookmarkStart w:id="125" w:name="_Hlk83201716"/>
      <w:r>
        <w:rPr>
          <w:rFonts w:hint="eastAsia" w:ascii="宋体" w:hAnsi="宋体" w:eastAsia="宋体" w:cs="宋体"/>
          <w:color w:val="auto"/>
          <w:spacing w:val="4"/>
          <w:highlight w:val="none"/>
          <w:lang w:val="en-US" w:eastAsia="zh-CN" w:bidi="ar"/>
        </w:rPr>
        <w:t>、外运</w:t>
      </w:r>
      <w:bookmarkEnd w:id="125"/>
      <w:r>
        <w:rPr>
          <w:rFonts w:hint="eastAsia" w:ascii="宋体" w:hAnsi="宋体" w:eastAsia="宋体" w:cs="宋体"/>
          <w:color w:val="auto"/>
          <w:spacing w:val="4"/>
          <w:highlight w:val="none"/>
          <w:lang w:val="en-US" w:eastAsia="zh-CN" w:bidi="ar"/>
        </w:rPr>
        <w:t>，清理、整平桩头表面等一切有关费用。</w:t>
      </w:r>
    </w:p>
    <w:p>
      <w:pPr>
        <w:pStyle w:val="40"/>
        <w:widowControl w:val="0"/>
        <w:topLinePunct/>
        <w:adjustRightInd w:val="0"/>
        <w:snapToGrid w:val="0"/>
        <w:spacing w:before="0" w:after="0" w:afterAutospacing="0" w:line="600" w:lineRule="exact"/>
        <w:ind w:firstLine="496" w:firstLineChars="200"/>
        <w:jc w:val="both"/>
        <w:rPr>
          <w:rFonts w:hint="eastAsia" w:ascii="宋体" w:hAnsi="宋体" w:eastAsia="宋体" w:cs="宋体"/>
          <w:color w:val="auto"/>
          <w:spacing w:val="4"/>
          <w:highlight w:val="none"/>
          <w:lang w:val="en-US" w:eastAsia="zh-CN" w:bidi="ar"/>
        </w:rPr>
      </w:pPr>
      <w:bookmarkStart w:id="126" w:name="_Hlk82774316"/>
      <w:r>
        <w:rPr>
          <w:rFonts w:hint="eastAsia" w:ascii="宋体" w:hAnsi="宋体" w:eastAsia="宋体" w:cs="宋体"/>
          <w:color w:val="auto"/>
          <w:spacing w:val="4"/>
          <w:highlight w:val="none"/>
          <w:lang w:val="en-US" w:eastAsia="zh-CN" w:bidi="ar"/>
        </w:rPr>
        <w:t>2）凿桩头计量综合考虑各种桩型种类，按设计图显示的根数计算。</w:t>
      </w:r>
    </w:p>
    <w:bookmarkEnd w:id="126"/>
    <w:p>
      <w:pPr>
        <w:pStyle w:val="65"/>
        <w:spacing w:before="120" w:after="120" w:line="360" w:lineRule="auto"/>
        <w:outlineLvl w:val="0"/>
        <w:rPr>
          <w:rFonts w:hint="eastAsia" w:ascii="宋体" w:hAnsi="宋体" w:eastAsia="宋体" w:cs="宋体"/>
          <w:color w:val="auto"/>
          <w:highlight w:val="none"/>
        </w:rPr>
      </w:pPr>
      <w:bookmarkStart w:id="127" w:name="_Toc18410"/>
      <w:bookmarkStart w:id="128" w:name="_Toc468402747"/>
      <w:bookmarkStart w:id="129" w:name="_Toc14620"/>
      <w:bookmarkStart w:id="130" w:name="_Toc6306"/>
      <w:bookmarkStart w:id="131" w:name="_Toc15136"/>
      <w:bookmarkStart w:id="132" w:name="_Toc468402749"/>
      <w:bookmarkStart w:id="133" w:name="_Toc13172"/>
      <w:bookmarkStart w:id="134" w:name="_Toc30063"/>
      <w:bookmarkStart w:id="135" w:name="_Toc72"/>
      <w:bookmarkStart w:id="136" w:name="_Toc16619"/>
      <w:r>
        <w:rPr>
          <w:rFonts w:hint="eastAsia" w:ascii="宋体" w:hAnsi="宋体" w:eastAsia="宋体" w:cs="宋体"/>
          <w:color w:val="auto"/>
          <w:highlight w:val="none"/>
        </w:rPr>
        <w:t>2、砌筑工程</w:t>
      </w:r>
      <w:bookmarkEnd w:id="127"/>
      <w:bookmarkEnd w:id="128"/>
      <w:bookmarkEnd w:id="129"/>
      <w:bookmarkEnd w:id="130"/>
      <w:bookmarkEnd w:id="131"/>
    </w:p>
    <w:p>
      <w:pPr>
        <w:pStyle w:val="40"/>
        <w:widowControl w:val="0"/>
        <w:topLinePunct/>
        <w:adjustRightInd w:val="0"/>
        <w:snapToGrid w:val="0"/>
        <w:spacing w:before="0" w:after="0" w:afterAutospacing="0"/>
        <w:ind w:firstLine="446" w:firstLineChars="179"/>
        <w:jc w:val="both"/>
        <w:rPr>
          <w:rFonts w:hint="eastAsia" w:ascii="宋体" w:hAnsi="宋体" w:eastAsia="宋体" w:cs="宋体"/>
          <w:b/>
          <w:color w:val="auto"/>
          <w:spacing w:val="4"/>
          <w:highlight w:val="none"/>
          <w:lang w:bidi="ar"/>
        </w:rPr>
      </w:pPr>
      <w:r>
        <w:rPr>
          <w:rFonts w:hint="eastAsia" w:ascii="宋体" w:hAnsi="宋体" w:eastAsia="宋体" w:cs="宋体"/>
          <w:b/>
          <w:color w:val="auto"/>
          <w:spacing w:val="4"/>
          <w:highlight w:val="none"/>
          <w:lang w:bidi="ar"/>
        </w:rPr>
        <w:t>（1）墙砌体清单项目</w:t>
      </w:r>
      <w:bookmarkEnd w:id="132"/>
      <w:bookmarkEnd w:id="133"/>
      <w:bookmarkEnd w:id="134"/>
      <w:bookmarkEnd w:id="135"/>
      <w:bookmarkEnd w:id="136"/>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墙砌体计价综合考虑墙体类型（外墙、内墙、围墙、直形墙、弧形墙及墙柱等）、厚度、高度、勾缝、砌筑砂浆种类、配合比等，包括砂浆制作、砌块、勾缝、材料运输等相关费用。预埋木件及防腐、预留孔洞、砖过梁、门窗洞口的素砼垫块等不另行计量。</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2）墙砌体计量分不同材料，按设计图示尺寸以立方米计算。砖砌风道及管道井均按砖墙计量。</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3）当砌体材料发生变更时，只调整砌体材料的价差。</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4）砌体构造要求及砌筑标准做法涉及的砼预制块应符合设计图纸、规范要求（如砌墙时顶梁砖斜砌、墙体根部水泥砖的排砖情况等），投标单位需在投标中综合考虑，不单独计取费用。</w:t>
      </w:r>
    </w:p>
    <w:p>
      <w:pPr>
        <w:pStyle w:val="65"/>
        <w:spacing w:before="120" w:after="120" w:line="360" w:lineRule="auto"/>
        <w:ind w:firstLine="498" w:firstLineChars="200"/>
        <w:outlineLvl w:val="0"/>
        <w:rPr>
          <w:rFonts w:hint="eastAsia" w:ascii="宋体" w:hAnsi="宋体" w:eastAsia="宋体" w:cs="宋体"/>
          <w:color w:val="auto"/>
          <w:highlight w:val="none"/>
        </w:rPr>
      </w:pPr>
      <w:bookmarkStart w:id="137" w:name="_Toc22228"/>
      <w:bookmarkStart w:id="138" w:name="_Toc5104"/>
      <w:bookmarkStart w:id="139" w:name="_Toc9658"/>
      <w:bookmarkStart w:id="140" w:name="_Toc468402750"/>
      <w:bookmarkStart w:id="141" w:name="_Toc12128"/>
      <w:r>
        <w:rPr>
          <w:rFonts w:hint="eastAsia" w:ascii="宋体" w:hAnsi="宋体" w:eastAsia="宋体" w:cs="宋体"/>
          <w:color w:val="auto"/>
          <w:highlight w:val="none"/>
        </w:rPr>
        <w:t>（2）零星砌体清单项目</w:t>
      </w:r>
      <w:bookmarkEnd w:id="137"/>
      <w:bookmarkEnd w:id="138"/>
      <w:bookmarkEnd w:id="139"/>
      <w:bookmarkEnd w:id="140"/>
      <w:bookmarkEnd w:id="141"/>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1）零星砌体计价综合考虑施工部位、砌体勾缝、砌筑砂浆种类、配合比等，包括砂浆制作、砌块、勾缝、材料运输等相关费用。预埋木件及防腐、预留孔洞不另行计量。</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零星砌体（综合考虑不同形式的水围基、灶基、厕坑道、砖砌小便槽、台阶及台阶挡墙、砖砌栏板及砖混凝土混合栏板、花池、砖砌支墩、及其他小型砌体等）计量分不同材料，按设计图示尺寸以立方米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3）当砌体材料发生变更时，只调整砌体材料的价差。</w:t>
      </w:r>
    </w:p>
    <w:p>
      <w:pPr>
        <w:pStyle w:val="65"/>
        <w:spacing w:before="120" w:after="120" w:line="360" w:lineRule="auto"/>
        <w:ind w:firstLine="498" w:firstLineChars="200"/>
        <w:outlineLvl w:val="0"/>
        <w:rPr>
          <w:rFonts w:hint="eastAsia" w:ascii="宋体" w:hAnsi="宋体" w:eastAsia="宋体" w:cs="宋体"/>
          <w:color w:val="auto"/>
          <w:highlight w:val="none"/>
        </w:rPr>
      </w:pPr>
      <w:bookmarkStart w:id="142" w:name="_Toc1927"/>
      <w:bookmarkStart w:id="143" w:name="_Toc30296"/>
      <w:bookmarkStart w:id="144" w:name="_Toc9433"/>
      <w:bookmarkStart w:id="145" w:name="_Toc29833"/>
      <w:bookmarkStart w:id="146" w:name="_Toc343265042"/>
      <w:bookmarkStart w:id="147" w:name="_Toc360724548"/>
      <w:bookmarkStart w:id="148" w:name="_Toc468402753"/>
      <w:r>
        <w:rPr>
          <w:rFonts w:hint="eastAsia" w:ascii="宋体" w:hAnsi="宋体" w:eastAsia="宋体" w:cs="宋体"/>
          <w:color w:val="auto"/>
          <w:highlight w:val="none"/>
        </w:rPr>
        <w:t>（3）砖地（明）沟清单项目</w:t>
      </w:r>
      <w:bookmarkEnd w:id="142"/>
      <w:bookmarkEnd w:id="143"/>
      <w:bookmarkEnd w:id="144"/>
      <w:bookmarkEnd w:id="145"/>
      <w:bookmarkEnd w:id="146"/>
      <w:bookmarkEnd w:id="147"/>
      <w:bookmarkEnd w:id="148"/>
      <w:r>
        <w:rPr>
          <w:rFonts w:hint="eastAsia" w:ascii="宋体" w:hAnsi="宋体" w:eastAsia="宋体" w:cs="宋体"/>
          <w:color w:val="auto"/>
          <w:highlight w:val="none"/>
        </w:rPr>
        <w:t xml:space="preserve"> </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 xml:space="preserve">1）计价包括但不限于：土石方挖运、回填、垫层铺筑、砌筑、勾缝、抹灰、设置沉降缝、材料运距，综合考虑垫层的强度等级、铺设厚度，综合砂浆配合比等按图纸和规范要求而实施、完成和维护这项工程，及未按设计或施工方法不当、施工措施不到位、投标人为了方便等非招标人原因而造成的一切有关费用。 </w:t>
      </w:r>
    </w:p>
    <w:p>
      <w:pPr>
        <w:pStyle w:val="57"/>
        <w:spacing w:before="120" w:after="120"/>
        <w:ind w:firstLine="496"/>
        <w:rPr>
          <w:rFonts w:hint="eastAsia" w:ascii="宋体" w:hAnsi="宋体" w:eastAsia="宋体" w:cs="宋体"/>
          <w:color w:val="auto"/>
          <w:highlight w:val="none"/>
        </w:rPr>
      </w:pPr>
      <w:r>
        <w:rPr>
          <w:rFonts w:hint="eastAsia" w:ascii="宋体" w:hAnsi="宋体" w:eastAsia="宋体" w:cs="宋体"/>
          <w:color w:val="auto"/>
          <w:highlight w:val="none"/>
        </w:rPr>
        <w:t>2）计量区分不同截面按设计图示尺寸以中心长度延长米计量，当排水沟截面尺寸发生变更时，按内截面周长比进行换算。</w:t>
      </w:r>
    </w:p>
    <w:p>
      <w:pPr>
        <w:pStyle w:val="65"/>
        <w:spacing w:before="120" w:after="120" w:line="360" w:lineRule="auto"/>
        <w:ind w:firstLine="506" w:firstLineChars="200"/>
        <w:outlineLvl w:val="0"/>
        <w:rPr>
          <w:rFonts w:hint="eastAsia" w:ascii="宋体" w:hAnsi="宋体" w:eastAsia="宋体" w:cs="宋体"/>
          <w:color w:val="auto"/>
          <w:spacing w:val="6"/>
          <w:highlight w:val="none"/>
        </w:rPr>
      </w:pPr>
      <w:bookmarkStart w:id="149" w:name="_Toc32686"/>
      <w:bookmarkStart w:id="150" w:name="_Toc468402754"/>
      <w:bookmarkStart w:id="151" w:name="_Toc21554"/>
      <w:bookmarkStart w:id="152" w:name="_Toc17556"/>
      <w:bookmarkStart w:id="153" w:name="_Toc10714"/>
      <w:bookmarkStart w:id="154" w:name="_Toc243458051"/>
      <w:r>
        <w:rPr>
          <w:rFonts w:hint="eastAsia" w:ascii="宋体" w:hAnsi="宋体" w:eastAsia="宋体" w:cs="宋体"/>
          <w:color w:val="auto"/>
          <w:spacing w:val="6"/>
          <w:highlight w:val="none"/>
        </w:rPr>
        <w:t>（4）混凝土填充清单项目</w:t>
      </w:r>
      <w:bookmarkEnd w:id="149"/>
      <w:bookmarkEnd w:id="150"/>
      <w:bookmarkEnd w:id="151"/>
      <w:bookmarkEnd w:id="152"/>
      <w:bookmarkEnd w:id="153"/>
      <w:bookmarkEnd w:id="154"/>
    </w:p>
    <w:p>
      <w:pPr>
        <w:pStyle w:val="57"/>
        <w:ind w:firstLine="504"/>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1）计价综合考虑填充部位、配合比、混凝土拌和料要求、混凝土掺加剂等，包括基层清理、混凝土制作、运输、浇筑、振捣、养护、嵌缝材料等相关费用。</w:t>
      </w:r>
    </w:p>
    <w:p>
      <w:pPr>
        <w:pStyle w:val="57"/>
        <w:ind w:firstLine="504"/>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2）计量按设计图示尺寸以立方米计算。</w:t>
      </w:r>
    </w:p>
    <w:p>
      <w:pPr>
        <w:pStyle w:val="65"/>
        <w:spacing w:before="120" w:after="120" w:line="360" w:lineRule="auto"/>
        <w:outlineLvl w:val="0"/>
        <w:rPr>
          <w:rFonts w:hint="eastAsia" w:ascii="宋体" w:hAnsi="宋体" w:eastAsia="宋体" w:cs="宋体"/>
          <w:color w:val="auto"/>
          <w:highlight w:val="none"/>
        </w:rPr>
      </w:pPr>
      <w:bookmarkStart w:id="155" w:name="_Toc8994"/>
      <w:bookmarkStart w:id="156" w:name="_Toc468402757"/>
      <w:bookmarkStart w:id="157" w:name="_Toc2154"/>
      <w:bookmarkStart w:id="158" w:name="_Toc6423"/>
      <w:bookmarkStart w:id="159" w:name="_Toc11227"/>
      <w:r>
        <w:rPr>
          <w:rFonts w:hint="eastAsia" w:ascii="宋体" w:hAnsi="宋体" w:eastAsia="宋体" w:cs="宋体"/>
          <w:color w:val="auto"/>
          <w:highlight w:val="none"/>
        </w:rPr>
        <w:t>3、混凝土及钢筋混凝土工程</w:t>
      </w:r>
      <w:bookmarkEnd w:id="155"/>
      <w:bookmarkEnd w:id="156"/>
      <w:bookmarkEnd w:id="157"/>
      <w:bookmarkEnd w:id="158"/>
      <w:bookmarkEnd w:id="159"/>
    </w:p>
    <w:p>
      <w:pPr>
        <w:pStyle w:val="65"/>
        <w:spacing w:before="120" w:after="120" w:line="360" w:lineRule="auto"/>
        <w:ind w:firstLine="498" w:firstLineChars="200"/>
        <w:outlineLvl w:val="0"/>
        <w:rPr>
          <w:rFonts w:hint="eastAsia" w:ascii="宋体" w:hAnsi="宋体" w:eastAsia="宋体" w:cs="宋体"/>
          <w:color w:val="auto"/>
          <w:highlight w:val="none"/>
        </w:rPr>
      </w:pPr>
      <w:bookmarkStart w:id="160" w:name="_Toc16879"/>
      <w:bookmarkStart w:id="161" w:name="_Toc19851"/>
      <w:bookmarkStart w:id="162" w:name="_Toc188110589"/>
      <w:bookmarkStart w:id="163" w:name="_Toc20149"/>
      <w:bookmarkStart w:id="164" w:name="_Toc468402758"/>
      <w:bookmarkStart w:id="165" w:name="_Toc188122915"/>
      <w:bookmarkStart w:id="166" w:name="_Toc21623"/>
      <w:r>
        <w:rPr>
          <w:rFonts w:hint="eastAsia" w:ascii="宋体" w:hAnsi="宋体" w:eastAsia="宋体" w:cs="宋体"/>
          <w:color w:val="auto"/>
          <w:highlight w:val="none"/>
        </w:rPr>
        <w:t>（1）共性问题的说明</w:t>
      </w:r>
      <w:bookmarkEnd w:id="160"/>
      <w:bookmarkEnd w:id="161"/>
      <w:bookmarkEnd w:id="162"/>
      <w:bookmarkEnd w:id="163"/>
      <w:bookmarkEnd w:id="164"/>
      <w:bookmarkEnd w:id="165"/>
      <w:bookmarkEnd w:id="166"/>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混凝土计价综合考虑构件截面形式、尺寸、施工高度、混凝土拌和要求、骨料粒径及因施工工艺需要掺外加剂，包括混凝土全部作业（制作、运输、浇筑、振捣、养护等），以及可能发生的预留孔洞、凿毛、浇水泥浆、施工缝使用的橡胶止水带、或遇水膨胀止水条、不同标号混凝土之间的分隔处理及其他满足施工需要的措施等相关费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混凝土计量分不同结构类型（包括垫层、基础、柱、梁、板、楼梯、电缆沟、地沟、零星构件等）及混凝土强度等级划分，按设计图示尺寸以立方米计算，不扣除构件内钢筋，预埋铁件、预留压浆孔道所占体积。</w:t>
      </w:r>
      <w:bookmarkStart w:id="167" w:name="_Hlk82782608"/>
      <w:r>
        <w:rPr>
          <w:rFonts w:hint="eastAsia" w:ascii="宋体" w:hAnsi="宋体" w:eastAsia="宋体" w:cs="宋体"/>
          <w:color w:val="auto"/>
          <w:highlight w:val="none"/>
        </w:rPr>
        <w:t>不因措施项目影响图示工程量，如垫层因地下室底板砖模增加宽度，结算时按图示工程量不做调整。</w:t>
      </w:r>
      <w:bookmarkEnd w:id="167"/>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3）当混凝土强度等级发生变更时，只调整混凝土材料的价差。</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4）各类混凝土构件内钢筋、预埋件另列清单项目计量。</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5）各类现浇混凝土构件所需模板计入措施项目费内。</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6）投标人在投标报价时须综合考虑植筋费用。</w:t>
      </w:r>
    </w:p>
    <w:p>
      <w:pPr>
        <w:pStyle w:val="40"/>
        <w:spacing w:before="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7）包含装配式后浇混凝土、钢筋以及因装配式工艺引起的人工、机械降效率费用。</w:t>
      </w:r>
    </w:p>
    <w:p>
      <w:pPr>
        <w:pStyle w:val="40"/>
        <w:spacing w:before="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8）</w:t>
      </w:r>
      <w:bookmarkStart w:id="168" w:name="_Hlk84503988"/>
      <w:r>
        <w:rPr>
          <w:rFonts w:hint="eastAsia" w:ascii="宋体" w:hAnsi="宋体" w:eastAsia="宋体" w:cs="宋体"/>
          <w:color w:val="auto"/>
          <w:highlight w:val="none"/>
        </w:rPr>
        <w:t>混凝土计价</w:t>
      </w:r>
      <w:bookmarkEnd w:id="168"/>
      <w:r>
        <w:rPr>
          <w:rFonts w:hint="eastAsia" w:ascii="宋体" w:hAnsi="宋体" w:eastAsia="宋体" w:cs="宋体"/>
          <w:color w:val="auto"/>
          <w:highlight w:val="none"/>
        </w:rPr>
        <w:t>综合考虑不同强度的混凝土的撵接，包括不同强度交界处的钢丝网或其他措施进行阻断及高标号超打费用。</w:t>
      </w:r>
      <w:bookmarkStart w:id="169" w:name="_Toc6080"/>
      <w:bookmarkStart w:id="170" w:name="_Toc468402759"/>
      <w:bookmarkStart w:id="171" w:name="_Toc20309"/>
      <w:bookmarkStart w:id="172" w:name="_Toc188110590"/>
      <w:bookmarkStart w:id="173" w:name="_Toc22161"/>
      <w:bookmarkStart w:id="174" w:name="_Toc188122916"/>
      <w:bookmarkStart w:id="175" w:name="_Toc14367"/>
    </w:p>
    <w:p>
      <w:pPr>
        <w:pStyle w:val="65"/>
        <w:spacing w:before="120" w:after="120" w:line="360" w:lineRule="auto"/>
        <w:ind w:firstLine="498" w:firstLineChars="200"/>
        <w:outlineLvl w:val="0"/>
        <w:rPr>
          <w:rFonts w:hint="eastAsia" w:ascii="宋体" w:hAnsi="宋体" w:eastAsia="宋体" w:cs="宋体"/>
          <w:color w:val="auto"/>
          <w:highlight w:val="none"/>
        </w:rPr>
      </w:pPr>
      <w:r>
        <w:rPr>
          <w:rFonts w:hint="eastAsia" w:ascii="宋体" w:hAnsi="宋体" w:eastAsia="宋体" w:cs="宋体"/>
          <w:color w:val="auto"/>
          <w:highlight w:val="none"/>
        </w:rPr>
        <w:t>（2）主要钢筋混凝土构件清单项目</w:t>
      </w:r>
      <w:bookmarkEnd w:id="169"/>
      <w:bookmarkEnd w:id="170"/>
      <w:bookmarkEnd w:id="171"/>
      <w:bookmarkEnd w:id="172"/>
      <w:bookmarkEnd w:id="173"/>
      <w:bookmarkEnd w:id="174"/>
      <w:bookmarkEnd w:id="175"/>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混凝土基础：综合考虑基础形式（如带形基础、独立基础、满堂基础、设备基础（含螺栓孔灌浆）、桩承台基础等），按设计图示尺寸以立方米计量。混凝土基础清单项目不包含垫层，垫层（或找坡层）另列清单项目计量。桩承台工程量不扣除浇入承台体积内的桩头所占体积。</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2）地下室底板：含地下室底板及与底板相连的构件(如沟渠、集水井、电梯坑等)，按设计图示尺寸以立方米计量，须综合考虑场地土换填（加固）费用。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3）混凝土柱：综合考虑柱的截面形式（矩形、多边形、异形、圆形柱）、类型</w:t>
      </w:r>
      <w:bookmarkStart w:id="176" w:name="_Hlk82783130"/>
      <w:r>
        <w:rPr>
          <w:rFonts w:hint="eastAsia" w:ascii="宋体" w:hAnsi="宋体" w:eastAsia="宋体" w:cs="宋体"/>
          <w:color w:val="auto"/>
          <w:highlight w:val="none"/>
        </w:rPr>
        <w:t>（独立柱、构造柱），按设计图示尺寸以立方米计量。其中构造柱工程量按业主审定的定位图或施工方案或图纸会审意见按实结算；若无上述依据资料，则按竣工图纸工程量的三分之一结算。</w:t>
      </w:r>
      <w:bookmarkEnd w:id="176"/>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4）混凝土梁、基础梁、圈梁、过梁：综合考虑梁的类型（基础梁、异形梁、</w:t>
      </w:r>
      <w:bookmarkStart w:id="177" w:name="_Hlk84504295"/>
      <w:r>
        <w:rPr>
          <w:rFonts w:hint="eastAsia" w:ascii="宋体" w:hAnsi="宋体" w:eastAsia="宋体" w:cs="宋体"/>
          <w:color w:val="auto"/>
          <w:highlight w:val="none"/>
        </w:rPr>
        <w:t>圈梁、过梁、</w:t>
      </w:r>
      <w:bookmarkEnd w:id="177"/>
      <w:r>
        <w:rPr>
          <w:rFonts w:hint="eastAsia" w:ascii="宋体" w:hAnsi="宋体" w:eastAsia="宋体" w:cs="宋体"/>
          <w:color w:val="auto"/>
          <w:highlight w:val="none"/>
        </w:rPr>
        <w:t>拱形梁、弧形梁、框架单梁、预应力梁），按设计图示尺寸以立方米计量。</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5）混凝土墙：综合考虑墙类型（直形、弧形、电梯井墙），按设计图示尺寸以立方米计量。地下连续墙另列清单项目计量。</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6）混凝土栏板：综合考虑栏板类型，按设计图示尺寸以立方米计量。</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7）混凝土板：综合考虑板类型（平板、拱板、薄壳板、有梁板（含梁）、密肋楼板、</w:t>
      </w:r>
      <w:bookmarkStart w:id="178" w:name="_Hlk82783370"/>
      <w:r>
        <w:rPr>
          <w:rFonts w:hint="eastAsia" w:ascii="宋体" w:hAnsi="宋体" w:eastAsia="宋体" w:cs="宋体"/>
          <w:color w:val="auto"/>
          <w:highlight w:val="none"/>
        </w:rPr>
        <w:t>斜板、</w:t>
      </w:r>
      <w:bookmarkEnd w:id="178"/>
      <w:r>
        <w:rPr>
          <w:rFonts w:hint="eastAsia" w:ascii="宋体" w:hAnsi="宋体" w:eastAsia="宋体" w:cs="宋体"/>
          <w:color w:val="auto"/>
          <w:highlight w:val="none"/>
        </w:rPr>
        <w:t>无梁板、阳台、雨篷、反檐、挑檐、天沟）按设计图示尺寸以立方米计量。</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8）混凝土楼梯：综合考虑楼梯的类型（直形楼梯、弧形楼梯），按设计图示尺寸以立方米计量。</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9）混凝土其他构件：综合考虑其他构件类型（压顶、扶手、花池、台阶、房上水池、飘窗侧板等其他混凝土小型构件），按设计图示尺寸以立方米计量。</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10）混凝土后浇带：计价综合考虑施工部位（梁、墙、板）、混凝土接触面旧口处理、收口钢网等相关费用，按设计图示尺寸以立方米计量。设计图纸要求的止水带另列清单项目计量。</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11）混凝土散水、坡道：综合考虑垫层种类、厚度、面层厚度、变形缝填塞材料种类，计价包括填塞材料、混凝土制作、运输、浇筑、振捣、养护、变形缝填塞、垫层铺设等相关费用，按设计图示尺寸以水平投影面积计算，不扣除单个≤0.3m2的孔洞所占面积。</w:t>
      </w:r>
    </w:p>
    <w:p>
      <w:pPr>
        <w:pStyle w:val="57"/>
        <w:spacing w:before="120" w:after="120"/>
        <w:ind w:firstLine="381" w:firstLineChars="154"/>
        <w:rPr>
          <w:rFonts w:hint="eastAsia" w:ascii="宋体" w:hAnsi="宋体" w:eastAsia="宋体" w:cs="宋体"/>
          <w:color w:val="auto"/>
          <w:highlight w:val="none"/>
        </w:rPr>
      </w:pPr>
      <w:r>
        <w:rPr>
          <w:rFonts w:hint="eastAsia" w:ascii="宋体" w:hAnsi="宋体" w:eastAsia="宋体" w:cs="宋体"/>
          <w:color w:val="auto"/>
          <w:highlight w:val="none"/>
        </w:rPr>
        <w:t>12）钢筋计价综合考虑砼浇筑方式、钢筋规格、连接方式、钢筋接头、安装部位等，包括钢筋制作、运输、损耗、绑扎、安装、焊接、</w:t>
      </w:r>
      <w:r>
        <w:rPr>
          <w:rFonts w:hint="eastAsia" w:ascii="宋体" w:hAnsi="宋体" w:eastAsia="宋体" w:cs="宋体"/>
          <w:color w:val="auto"/>
          <w:kern w:val="2"/>
          <w:highlight w:val="none"/>
          <w:lang w:bidi="ar"/>
        </w:rPr>
        <w:t>钢筋接头（综合接头形式）、</w:t>
      </w:r>
      <w:r>
        <w:rPr>
          <w:rFonts w:hint="eastAsia" w:ascii="宋体" w:hAnsi="宋体" w:eastAsia="宋体" w:cs="宋体"/>
          <w:color w:val="auto"/>
          <w:highlight w:val="none"/>
        </w:rPr>
        <w:t>浇捣混凝土时钢筋维护等，可能发生的倒运、存放、吊装、连接等，以及现浇构件中固定位置的支撑钢筋、双层钢筋用的隔铁、预制构件的吊钩及因钢筋加工综合开料和钢筋出厂实尺长度所引起钢筋非设计接驳或搭接长度等相关费用。计量按钢筋等级划分的不同（包括Ⅰ级、Ⅱ级、Ⅲ级钢、抗震Ⅲ级钢）分别列项，按设计长度（包含设计搭接长度、弯钩长度支撑钢筋）乘以单位理论重量以吨计算。现浇构件中固定位置的支撑钢筋、双层钢筋用的“铁马”由投标人在投标报价中综合考虑，结算时不再另行计算。</w:t>
      </w:r>
      <w:bookmarkStart w:id="179" w:name="_Hlk82784112"/>
    </w:p>
    <w:bookmarkEnd w:id="179"/>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13）钢筋笼计价综合考虑砼浇筑方式、钢筋规格、</w:t>
      </w:r>
      <w:bookmarkStart w:id="180" w:name="_Hlk82784158"/>
      <w:r>
        <w:rPr>
          <w:rFonts w:hint="eastAsia" w:ascii="宋体" w:hAnsi="宋体" w:eastAsia="宋体" w:cs="宋体"/>
          <w:color w:val="auto"/>
          <w:highlight w:val="none"/>
        </w:rPr>
        <w:t>连接方式、</w:t>
      </w:r>
      <w:bookmarkEnd w:id="180"/>
      <w:r>
        <w:rPr>
          <w:rFonts w:hint="eastAsia" w:ascii="宋体" w:hAnsi="宋体" w:eastAsia="宋体" w:cs="宋体"/>
          <w:color w:val="auto"/>
          <w:highlight w:val="none"/>
        </w:rPr>
        <w:t>安装部位等，包括钢筋制作、运输、损耗、绑扎、安装、焊接、</w:t>
      </w:r>
      <w:r>
        <w:rPr>
          <w:rFonts w:hint="eastAsia" w:ascii="宋体" w:hAnsi="宋体" w:eastAsia="宋体" w:cs="宋体"/>
          <w:color w:val="auto"/>
          <w:kern w:val="2"/>
          <w:highlight w:val="none"/>
          <w:lang w:bidi="ar"/>
        </w:rPr>
        <w:t>钢筋接头（综合接头形式）</w:t>
      </w:r>
      <w:r>
        <w:rPr>
          <w:rFonts w:hint="eastAsia" w:ascii="宋体" w:hAnsi="宋体" w:eastAsia="宋体" w:cs="宋体"/>
          <w:color w:val="auto"/>
          <w:highlight w:val="none"/>
        </w:rPr>
        <w:t>、浇捣混凝土时钢筋维护等，可能发生的倒运、存放、吊装、连接等，以及现浇构件中固定位置的支撑钢筋、预制构件的吊钩及因钢筋加工综合开料和钢筋出厂实尺长度所引起钢筋非设计接驳或搭接长度等相关费用。按设计长度（包含设计搭接长度、弯钩长度）乘以单位理论重量以吨计算。</w:t>
      </w:r>
    </w:p>
    <w:p>
      <w:pPr>
        <w:pStyle w:val="57"/>
        <w:ind w:firstLine="496"/>
        <w:rPr>
          <w:rFonts w:hint="eastAsia" w:ascii="宋体" w:hAnsi="宋体" w:eastAsia="宋体" w:cs="宋体"/>
          <w:color w:val="auto"/>
          <w:highlight w:val="none"/>
        </w:rPr>
      </w:pPr>
      <w:bookmarkStart w:id="181" w:name="_Toc25416"/>
      <w:bookmarkStart w:id="182" w:name="_Toc4247"/>
      <w:bookmarkStart w:id="183" w:name="_Toc30959"/>
      <w:bookmarkStart w:id="184" w:name="_Toc317233929"/>
      <w:bookmarkStart w:id="185" w:name="_Toc468402760"/>
      <w:bookmarkStart w:id="186" w:name="_Toc316924312"/>
      <w:bookmarkStart w:id="187" w:name="_Toc21403"/>
      <w:r>
        <w:rPr>
          <w:rFonts w:hint="eastAsia" w:ascii="宋体" w:hAnsi="宋体" w:eastAsia="宋体" w:cs="宋体"/>
          <w:color w:val="auto"/>
          <w:highlight w:val="none"/>
        </w:rPr>
        <w:t>14）预埋铁件</w:t>
      </w:r>
      <w:bookmarkEnd w:id="181"/>
      <w:bookmarkEnd w:id="182"/>
      <w:bookmarkEnd w:id="183"/>
      <w:bookmarkEnd w:id="184"/>
      <w:bookmarkEnd w:id="185"/>
      <w:bookmarkEnd w:id="186"/>
      <w:bookmarkEnd w:id="187"/>
    </w:p>
    <w:p>
      <w:pPr>
        <w:pStyle w:val="57"/>
        <w:ind w:firstLine="48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 1 \* GB3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①</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计价时综合考虑钢材类型、规格及制安、运输、刷防护材料、油漆等一切完成该工程项目所需所有施工工序的主要、次要等一切工作内容的相关费用。</w:t>
      </w:r>
    </w:p>
    <w:p>
      <w:pPr>
        <w:pStyle w:val="57"/>
        <w:ind w:firstLine="48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 2 \* GB3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②</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计量按设计图示尺寸以理论重量吨计算。地下室墙体止水螺栓不计入预埋件费用中，应在措施项目费用模板单价内综合考虑。</w:t>
      </w:r>
      <w:bookmarkStart w:id="188" w:name="_Toc5874"/>
      <w:bookmarkStart w:id="189" w:name="_Toc313889674"/>
      <w:bookmarkStart w:id="190" w:name="_Toc2672"/>
      <w:bookmarkStart w:id="191" w:name="_Toc22129"/>
      <w:bookmarkStart w:id="192" w:name="_Toc6759"/>
      <w:bookmarkStart w:id="193" w:name="_Toc468402762"/>
    </w:p>
    <w:p>
      <w:pPr>
        <w:pStyle w:val="40"/>
        <w:widowControl w:val="0"/>
        <w:topLinePunct/>
        <w:adjustRightInd w:val="0"/>
        <w:snapToGrid w:val="0"/>
        <w:spacing w:before="120" w:beforeLines="50" w:after="120" w:afterLines="50" w:afterAutospacing="0"/>
        <w:outlineLvl w:val="0"/>
        <w:rPr>
          <w:rFonts w:hint="eastAsia" w:ascii="宋体" w:hAnsi="宋体" w:eastAsia="宋体" w:cs="宋体"/>
          <w:b/>
          <w:bCs/>
          <w:color w:val="auto"/>
          <w:spacing w:val="4"/>
          <w:highlight w:val="none"/>
        </w:rPr>
      </w:pPr>
      <w:r>
        <w:rPr>
          <w:rFonts w:hint="eastAsia" w:ascii="宋体" w:hAnsi="宋体" w:eastAsia="宋体" w:cs="宋体"/>
          <w:b/>
          <w:bCs/>
          <w:color w:val="auto"/>
          <w:highlight w:val="none"/>
        </w:rPr>
        <w:t>4、</w:t>
      </w:r>
      <w:bookmarkStart w:id="194" w:name="_Hlk82785543"/>
      <w:r>
        <w:rPr>
          <w:rFonts w:hint="eastAsia" w:ascii="宋体" w:hAnsi="宋体" w:eastAsia="宋体" w:cs="宋体"/>
          <w:b/>
          <w:bCs/>
          <w:color w:val="auto"/>
          <w:spacing w:val="4"/>
          <w:highlight w:val="none"/>
          <w:lang w:bidi="ar"/>
        </w:rPr>
        <w:t>装配式混凝土结构</w:t>
      </w:r>
    </w:p>
    <w:bookmarkEnd w:id="188"/>
    <w:bookmarkEnd w:id="189"/>
    <w:bookmarkEnd w:id="190"/>
    <w:bookmarkEnd w:id="191"/>
    <w:bookmarkEnd w:id="192"/>
    <w:bookmarkEnd w:id="193"/>
    <w:p>
      <w:pPr>
        <w:pStyle w:val="65"/>
        <w:spacing w:before="120" w:after="120" w:line="360" w:lineRule="auto"/>
        <w:ind w:firstLine="498" w:firstLineChars="200"/>
        <w:outlineLvl w:val="0"/>
        <w:rPr>
          <w:rFonts w:hint="eastAsia" w:ascii="宋体" w:hAnsi="宋体" w:eastAsia="宋体" w:cs="宋体"/>
          <w:color w:val="auto"/>
          <w:highlight w:val="none"/>
        </w:rPr>
      </w:pPr>
      <w:bookmarkStart w:id="195" w:name="_Toc13631"/>
      <w:bookmarkStart w:id="196" w:name="_Toc313889675"/>
      <w:bookmarkStart w:id="197" w:name="_Toc10871"/>
      <w:bookmarkStart w:id="198" w:name="_Toc468402763"/>
      <w:bookmarkStart w:id="199" w:name="_Toc16080"/>
      <w:bookmarkStart w:id="200" w:name="_Toc8132"/>
      <w:r>
        <w:rPr>
          <w:rFonts w:hint="eastAsia" w:ascii="宋体" w:hAnsi="宋体" w:eastAsia="宋体" w:cs="宋体"/>
          <w:color w:val="auto"/>
          <w:highlight w:val="none"/>
        </w:rPr>
        <w:t>（1）预制构件</w:t>
      </w:r>
    </w:p>
    <w:p>
      <w:pPr>
        <w:pStyle w:val="57"/>
        <w:ind w:firstLine="480"/>
        <w:rPr>
          <w:rFonts w:hint="eastAsia" w:ascii="宋体" w:hAnsi="宋体" w:eastAsia="宋体" w:cs="宋体"/>
          <w:color w:val="auto"/>
          <w:highlight w:val="none"/>
        </w:rPr>
      </w:pPr>
      <w:r>
        <w:rPr>
          <w:rFonts w:hint="eastAsia" w:ascii="宋体" w:hAnsi="宋体" w:eastAsia="宋体" w:cs="宋体"/>
          <w:color w:val="auto"/>
          <w:highlight w:val="none"/>
        </w:rPr>
        <w:t>1）计价综合考虑原材料采购（包括混凝土构件内钢筋、预埋件、模板）、预制构件的深化设计（图纸深化设计、模型制作等）、生产加工、运输、堆放、结合面清理、施工高度、构件吊装（包括但不限于：起重吊机等大型机械设备基础费用和对起重吊机行走路线进行加固的费用，吊装过程中需搭设的临时操作平台的费用）、就位、校正、垫实、钢支撑固定及拆除、接头钢筋调直、焊接、搭设、PC构件吊点修补、座浆料铺筑、嵌缝、与现浇构件接缝处理、养护、底盒、所有管线、电缆、洞口及其他设计图纸包含的预埋件的预留预埋等。</w:t>
      </w:r>
    </w:p>
    <w:p>
      <w:pPr>
        <w:pStyle w:val="57"/>
        <w:ind w:firstLine="480"/>
        <w:rPr>
          <w:rFonts w:hint="eastAsia" w:ascii="宋体" w:hAnsi="宋体" w:eastAsia="宋体" w:cs="宋体"/>
          <w:color w:val="auto"/>
          <w:highlight w:val="none"/>
        </w:rPr>
      </w:pPr>
      <w:r>
        <w:rPr>
          <w:rFonts w:hint="eastAsia" w:ascii="宋体" w:hAnsi="宋体" w:eastAsia="宋体" w:cs="宋体"/>
          <w:color w:val="auto"/>
          <w:highlight w:val="none"/>
        </w:rPr>
        <w:t>2）计量分不同结构类型（包括柱、梁、板、墙、楼梯、阳台、凸（飘）窗、空调板、盖板等构件）及混凝土强度等级划分，按设计图示尺寸实际体积以立方米计算，依附于构件制作的各类保温层、饰面层的体积并入构件中计算，不扣除构件内钢筋、预埋件、配管、套管、线盒及单个面积≤0.3㎡的孔洞、线箱等所占体积，构件外露钢筋体积亦不增加。</w:t>
      </w:r>
    </w:p>
    <w:p>
      <w:pPr>
        <w:pStyle w:val="65"/>
        <w:spacing w:before="120" w:after="120" w:line="360" w:lineRule="auto"/>
        <w:ind w:firstLine="498" w:firstLineChars="200"/>
        <w:outlineLvl w:val="0"/>
        <w:rPr>
          <w:rFonts w:hint="eastAsia" w:ascii="宋体" w:hAnsi="宋体" w:eastAsia="宋体" w:cs="宋体"/>
          <w:color w:val="auto"/>
          <w:highlight w:val="none"/>
        </w:rPr>
      </w:pPr>
      <w:r>
        <w:rPr>
          <w:rFonts w:hint="eastAsia" w:ascii="宋体" w:hAnsi="宋体" w:eastAsia="宋体" w:cs="宋体"/>
          <w:color w:val="auto"/>
          <w:highlight w:val="none"/>
        </w:rPr>
        <w:t>（2）后浇混凝土浇捣</w:t>
      </w:r>
    </w:p>
    <w:p>
      <w:pPr>
        <w:pStyle w:val="57"/>
        <w:ind w:firstLine="480"/>
        <w:rPr>
          <w:rFonts w:hint="eastAsia" w:ascii="宋体" w:hAnsi="宋体" w:eastAsia="宋体" w:cs="宋体"/>
          <w:color w:val="auto"/>
          <w:highlight w:val="none"/>
        </w:rPr>
      </w:pPr>
      <w:r>
        <w:rPr>
          <w:rFonts w:hint="eastAsia" w:ascii="宋体" w:hAnsi="宋体" w:eastAsia="宋体" w:cs="宋体"/>
          <w:color w:val="auto"/>
          <w:highlight w:val="none"/>
        </w:rPr>
        <w:t>1）计价综合考虑施工高度、混凝土接触面旧口处理、混凝土浇捣、看护、养护等；</w:t>
      </w:r>
    </w:p>
    <w:p>
      <w:pPr>
        <w:pStyle w:val="57"/>
        <w:ind w:firstLine="480"/>
        <w:rPr>
          <w:rFonts w:hint="eastAsia" w:ascii="宋体" w:hAnsi="宋体" w:eastAsia="宋体" w:cs="宋体"/>
          <w:color w:val="auto"/>
          <w:highlight w:val="none"/>
        </w:rPr>
      </w:pPr>
      <w:r>
        <w:rPr>
          <w:rFonts w:hint="eastAsia" w:ascii="宋体" w:hAnsi="宋体" w:eastAsia="宋体" w:cs="宋体"/>
          <w:color w:val="auto"/>
          <w:highlight w:val="none"/>
        </w:rPr>
        <w:t>2）计量分不同混凝土强度等级划分，按设计图示尺寸实际体积以立方米计算，不扣除构件内钢筋、预埋件及单个面积≤0.3㎡孔洞等所占体积。</w:t>
      </w:r>
    </w:p>
    <w:p>
      <w:pPr>
        <w:pStyle w:val="65"/>
        <w:spacing w:before="120" w:after="120" w:line="360" w:lineRule="auto"/>
        <w:ind w:firstLine="498" w:firstLineChars="200"/>
        <w:outlineLvl w:val="0"/>
        <w:rPr>
          <w:rFonts w:hint="eastAsia" w:ascii="宋体" w:hAnsi="宋体" w:eastAsia="宋体" w:cs="宋体"/>
          <w:color w:val="auto"/>
          <w:highlight w:val="none"/>
        </w:rPr>
      </w:pPr>
      <w:r>
        <w:rPr>
          <w:rFonts w:hint="eastAsia" w:ascii="宋体" w:hAnsi="宋体" w:eastAsia="宋体" w:cs="宋体"/>
          <w:color w:val="auto"/>
          <w:highlight w:val="none"/>
        </w:rPr>
        <w:t>（3）后浇混凝土钢筋</w:t>
      </w:r>
    </w:p>
    <w:p>
      <w:pPr>
        <w:pStyle w:val="57"/>
        <w:ind w:firstLine="480"/>
        <w:rPr>
          <w:rFonts w:hint="eastAsia" w:ascii="宋体" w:hAnsi="宋体" w:eastAsia="宋体" w:cs="宋体"/>
          <w:color w:val="auto"/>
          <w:highlight w:val="none"/>
        </w:rPr>
      </w:pPr>
      <w:r>
        <w:rPr>
          <w:rFonts w:hint="eastAsia" w:ascii="宋体" w:hAnsi="宋体" w:eastAsia="宋体" w:cs="宋体"/>
          <w:color w:val="auto"/>
          <w:highlight w:val="none"/>
        </w:rPr>
        <w:t>1）计价分不同钢筋种类（抗震、非抗震）、规格分别列项，综合考虑施工高度、砼浇筑方式、连接方式、安装部位等，包括钢筋制作、运输、损耗、绑扎、安装、焊接、电渣压力焊、</w:t>
      </w:r>
      <w:bookmarkStart w:id="201" w:name="_Hlk82784962"/>
      <w:r>
        <w:rPr>
          <w:rFonts w:hint="eastAsia" w:ascii="宋体" w:hAnsi="宋体" w:eastAsia="宋体" w:cs="宋体"/>
          <w:color w:val="auto"/>
          <w:highlight w:val="none"/>
        </w:rPr>
        <w:t>钢筋接头（综合接头形式）</w:t>
      </w:r>
      <w:bookmarkEnd w:id="201"/>
      <w:r>
        <w:rPr>
          <w:rFonts w:hint="eastAsia" w:ascii="宋体" w:hAnsi="宋体" w:eastAsia="宋体" w:cs="宋体"/>
          <w:color w:val="auto"/>
          <w:highlight w:val="none"/>
        </w:rPr>
        <w:t>、浇捣混凝土时钢筋维护等，可能发生的倒运、存放、吊装、连接等，以及固定位置的支撑钢筋、双层钢筋用的隔铁、预制构件的吊钩及因钢筋加工综合开料和钢筋出厂实尺长度所引起钢筋非设计接驳或搭接长度等相关费用。</w:t>
      </w:r>
    </w:p>
    <w:p>
      <w:pPr>
        <w:pStyle w:val="57"/>
        <w:ind w:firstLine="480"/>
        <w:rPr>
          <w:rFonts w:hint="eastAsia" w:ascii="宋体" w:hAnsi="宋体" w:eastAsia="宋体" w:cs="宋体"/>
          <w:color w:val="auto"/>
          <w:highlight w:val="none"/>
        </w:rPr>
      </w:pPr>
      <w:r>
        <w:rPr>
          <w:rFonts w:hint="eastAsia" w:ascii="宋体" w:hAnsi="宋体" w:eastAsia="宋体" w:cs="宋体"/>
          <w:color w:val="auto"/>
          <w:highlight w:val="none"/>
        </w:rPr>
        <w:t>2）计量按钢筋等级划分的不同（包括Ⅰ级、Ⅱ级、Ⅲ级钢、抗震Ⅲ级钢）分别列项，按设计长度（包含设计搭接长度、弯钩长度支撑钢筋）乘以单位理论重量以吨计算。固定位置的支撑钢筋、双层钢筋用的“铁马”由投标人在投标报价中综合考虑，结算时不再另行计算。</w:t>
      </w:r>
    </w:p>
    <w:p>
      <w:pPr>
        <w:pStyle w:val="65"/>
        <w:spacing w:before="120" w:after="120" w:line="360" w:lineRule="auto"/>
        <w:outlineLvl w:val="0"/>
        <w:rPr>
          <w:rFonts w:hint="eastAsia" w:ascii="宋体" w:hAnsi="宋体" w:eastAsia="宋体" w:cs="宋体"/>
          <w:strike w:val="0"/>
          <w:dstrike w:val="0"/>
          <w:color w:val="auto"/>
          <w:highlight w:val="none"/>
          <w:lang w:eastAsia="zh-CN"/>
        </w:rPr>
      </w:pPr>
      <w:r>
        <w:rPr>
          <w:rFonts w:hint="eastAsia" w:ascii="宋体" w:hAnsi="宋体" w:eastAsia="宋体" w:cs="宋体"/>
          <w:strike w:val="0"/>
          <w:dstrike w:val="0"/>
          <w:color w:val="auto"/>
          <w:highlight w:val="none"/>
        </w:rPr>
        <w:t>5、钢结构工程</w:t>
      </w:r>
      <w:r>
        <w:rPr>
          <w:rFonts w:hint="eastAsia" w:ascii="宋体" w:eastAsia="宋体" w:cs="宋体"/>
          <w:strike w:val="0"/>
          <w:dstrike w:val="0"/>
          <w:color w:val="auto"/>
          <w:highlight w:val="none"/>
          <w:lang w:eastAsia="zh-CN"/>
        </w:rPr>
        <w:t>（</w:t>
      </w:r>
      <w:r>
        <w:rPr>
          <w:rFonts w:hint="eastAsia" w:ascii="宋体" w:eastAsia="宋体" w:cs="宋体"/>
          <w:strike w:val="0"/>
          <w:dstrike w:val="0"/>
          <w:color w:val="auto"/>
          <w:highlight w:val="none"/>
          <w:lang w:val="en-US" w:eastAsia="zh-CN"/>
        </w:rPr>
        <w:t>如有</w:t>
      </w:r>
      <w:r>
        <w:rPr>
          <w:rFonts w:hint="eastAsia" w:ascii="宋体" w:eastAsia="宋体" w:cs="宋体"/>
          <w:strike w:val="0"/>
          <w:dstrike w:val="0"/>
          <w:color w:val="auto"/>
          <w:highlight w:val="none"/>
          <w:lang w:eastAsia="zh-CN"/>
        </w:rPr>
        <w:t>）</w:t>
      </w:r>
    </w:p>
    <w:p>
      <w:pPr>
        <w:pStyle w:val="57"/>
        <w:ind w:firstLine="480"/>
        <w:rPr>
          <w:rFonts w:hint="eastAsia" w:ascii="宋体" w:hAnsi="宋体" w:eastAsia="宋体" w:cs="宋体"/>
          <w:color w:val="auto"/>
          <w:highlight w:val="none"/>
        </w:rPr>
      </w:pPr>
      <w:r>
        <w:rPr>
          <w:rFonts w:hint="eastAsia" w:ascii="宋体" w:hAnsi="宋体" w:eastAsia="宋体" w:cs="宋体"/>
          <w:color w:val="auto"/>
          <w:highlight w:val="none"/>
        </w:rPr>
        <w:t>钢结构工程实行总价包干，具体范围包括：异地样板房。</w:t>
      </w:r>
    </w:p>
    <w:p>
      <w:pPr>
        <w:pStyle w:val="57"/>
        <w:ind w:firstLine="480"/>
        <w:rPr>
          <w:rFonts w:hint="eastAsia" w:ascii="宋体" w:hAnsi="宋体" w:eastAsia="宋体" w:cs="宋体"/>
          <w:color w:val="auto"/>
          <w:highlight w:val="none"/>
        </w:rPr>
      </w:pPr>
      <w:r>
        <w:rPr>
          <w:rFonts w:hint="eastAsia" w:ascii="宋体" w:hAnsi="宋体" w:eastAsia="宋体" w:cs="宋体"/>
          <w:color w:val="auto"/>
          <w:highlight w:val="none"/>
        </w:rPr>
        <w:t>（1）投标人根据招标文件、招标图纸、技术需求书等有关资料及说明、国家及行业规范，按招标文件报价清单进行报价，采用总价包干的方式承包，包工、包材料、包深化设计、探伤试验、耐火试验、包工期、包质量、包安全生产、包文明施工、包招标范围内符合工程竣工验收通过、包移交、包结算以及合同明示或暗示的所有一般风险、责任和义务以及其他所有有关费用。</w:t>
      </w:r>
    </w:p>
    <w:p>
      <w:pPr>
        <w:pStyle w:val="57"/>
        <w:ind w:firstLine="496"/>
        <w:outlineLvl w:val="1"/>
        <w:rPr>
          <w:rFonts w:hint="eastAsia" w:ascii="宋体" w:hAnsi="宋体" w:eastAsia="宋体" w:cs="宋体"/>
          <w:bCs/>
          <w:strike w:val="0"/>
          <w:dstrike w:val="0"/>
          <w:color w:val="auto"/>
          <w:highlight w:val="none"/>
        </w:rPr>
      </w:pPr>
      <w:r>
        <w:rPr>
          <w:rFonts w:hint="eastAsia" w:ascii="宋体" w:hAnsi="宋体" w:eastAsia="宋体" w:cs="宋体"/>
          <w:bCs/>
          <w:strike w:val="0"/>
          <w:dstrike w:val="0"/>
          <w:color w:val="auto"/>
          <w:highlight w:val="none"/>
        </w:rPr>
        <w:t>（2）投标报价应为完成本项目招标文件、澄清文件及更正通知、设计图纸、国家及行业规范、技术文件标准、用户需求等所包含的深化设计、人工费、材料费、机械费、管理费、利润、规费、不可预见费、其它项目费、税金、成品保护、检测与试验、配合服务（含与甲供材料配合）、缺陷修复、环境保护、建筑垃圾处置费、其他措施项目费（含安全防护、文明施工措施费、脚手架搭拆及摊销费、为配合第三方检测所发生的费用等）、工程报建、验收、移交、结算、合同明示或暗示的所有一般风险、责任和义务以及其他所有有关费用。除合同、招标文件另有约定可以调整外，无论施工条件、施工环境、气候等自然条件（不可抗力除外）、技术经济条件（如资源、劳力、交通条件等）、物价（人工、材料、机械等的市场价格）是否发生变化，在合同执行期内总价固定不变，不得调整。</w:t>
      </w:r>
    </w:p>
    <w:p>
      <w:pPr>
        <w:adjustRightInd w:val="0"/>
        <w:snapToGrid w:val="0"/>
        <w:spacing w:line="360" w:lineRule="auto"/>
        <w:ind w:firstLine="496" w:firstLineChars="200"/>
        <w:outlineLvl w:val="0"/>
        <w:rPr>
          <w:rFonts w:hint="eastAsia" w:ascii="宋体" w:hAnsi="宋体" w:eastAsia="宋体" w:cs="宋体"/>
          <w:strike w:val="0"/>
          <w:dstrike w:val="0"/>
          <w:snapToGrid w:val="0"/>
          <w:color w:val="auto"/>
          <w:spacing w:val="4"/>
          <w:kern w:val="0"/>
          <w:sz w:val="24"/>
          <w:highlight w:val="none"/>
        </w:rPr>
      </w:pPr>
      <w:r>
        <w:rPr>
          <w:rFonts w:hint="eastAsia" w:ascii="宋体" w:hAnsi="宋体" w:eastAsia="宋体" w:cs="宋体"/>
          <w:strike w:val="0"/>
          <w:dstrike w:val="0"/>
          <w:snapToGrid w:val="0"/>
          <w:color w:val="auto"/>
          <w:spacing w:val="4"/>
          <w:kern w:val="0"/>
          <w:sz w:val="24"/>
          <w:highlight w:val="none"/>
        </w:rPr>
        <w:t>（3）实际实施时，若招标图纸约定实施范围未发生变化，则钢结构专业工程按其中标价格总价包干（包深化设计及由此引致的一切相关费用，不因具体工程量增加或主材用量变化、损耗量变化等任何原因而增加任何费用）；</w:t>
      </w:r>
    </w:p>
    <w:p>
      <w:pPr>
        <w:adjustRightInd w:val="0"/>
        <w:snapToGrid w:val="0"/>
        <w:spacing w:line="360" w:lineRule="auto"/>
        <w:ind w:firstLine="496" w:firstLineChars="200"/>
        <w:outlineLvl w:val="0"/>
        <w:rPr>
          <w:rFonts w:hint="eastAsia" w:ascii="宋体" w:hAnsi="宋体" w:eastAsia="宋体" w:cs="宋体"/>
          <w:strike w:val="0"/>
          <w:dstrike w:val="0"/>
          <w:snapToGrid w:val="0"/>
          <w:color w:val="auto"/>
          <w:spacing w:val="4"/>
          <w:kern w:val="0"/>
          <w:sz w:val="24"/>
          <w:highlight w:val="none"/>
        </w:rPr>
      </w:pPr>
      <w:r>
        <w:rPr>
          <w:rFonts w:hint="eastAsia" w:ascii="宋体" w:hAnsi="宋体" w:eastAsia="宋体" w:cs="宋体"/>
          <w:strike w:val="0"/>
          <w:dstrike w:val="0"/>
          <w:snapToGrid w:val="0"/>
          <w:color w:val="auto"/>
          <w:spacing w:val="4"/>
          <w:kern w:val="0"/>
          <w:sz w:val="24"/>
          <w:highlight w:val="none"/>
        </w:rPr>
        <w:t>（4）实际实施时，若招标图纸约定实施范围发生变化（如因发包人招商或运营需要，部分工程内容不再实施等），则不再实施部分的费用须在钢结构专业工程包干总价中予以扣减（计算方法为：费用扣减额度=按招标图纸计算的工程量*相应项目的中标综合单价），即钢结构专业工程按扣减后的总价包干结算（包深化设计及由此引致的一切相关费用，不因具体工程量增加或主材用量变化、损耗量变化等任何原因而增加任何费用）。</w:t>
      </w:r>
    </w:p>
    <w:p>
      <w:pPr>
        <w:pStyle w:val="57"/>
        <w:ind w:firstLine="496"/>
        <w:rPr>
          <w:rFonts w:hint="eastAsia" w:ascii="宋体" w:hAnsi="宋体" w:eastAsia="宋体" w:cs="宋体"/>
          <w:strike w:val="0"/>
          <w:dstrike w:val="0"/>
          <w:color w:val="auto"/>
          <w:highlight w:val="none"/>
        </w:rPr>
      </w:pPr>
      <w:r>
        <w:rPr>
          <w:rFonts w:hint="eastAsia" w:ascii="宋体" w:hAnsi="宋体" w:eastAsia="宋体" w:cs="宋体"/>
          <w:bCs/>
          <w:strike w:val="0"/>
          <w:dstrike w:val="0"/>
          <w:color w:val="auto"/>
          <w:highlight w:val="none"/>
        </w:rPr>
        <w:t>（5）中标后，中标单位可对本项目进行深化设计，经设计单位、监理单位及招标人审批确认后，作为最终的施工图，中标单位按照最终确定的施工图进行施工。</w:t>
      </w:r>
      <w:r>
        <w:rPr>
          <w:rFonts w:hint="eastAsia" w:ascii="宋体" w:hAnsi="宋体" w:eastAsia="宋体" w:cs="宋体"/>
          <w:strike w:val="0"/>
          <w:dstrike w:val="0"/>
          <w:color w:val="auto"/>
          <w:highlight w:val="none"/>
        </w:rPr>
        <w:t>钢结构</w:t>
      </w:r>
      <w:r>
        <w:rPr>
          <w:rFonts w:hint="eastAsia" w:ascii="宋体" w:hAnsi="宋体" w:eastAsia="宋体" w:cs="宋体"/>
          <w:strike w:val="0"/>
          <w:dstrike w:val="0"/>
          <w:color w:val="auto"/>
          <w:szCs w:val="28"/>
          <w:highlight w:val="none"/>
        </w:rPr>
        <w:t>工程深化设计：指承包人在发包人提供的图纸基础上依据招标文件要求，编制深化设计图纸，配合本招标项目对应的设计单位绘制出相应工程施工图，并取得发包人、设计单位及相关部门的审批通过；工程完工后，在施工图基础上绘制竣工图纸，并取得建设主管部门的验收通过等所涉及的费用；该费用含在总价内，由投标人综合考虑在投标报价内，结算时不作调整。</w:t>
      </w:r>
    </w:p>
    <w:p>
      <w:pPr>
        <w:pStyle w:val="65"/>
        <w:spacing w:before="120" w:after="120" w:line="360" w:lineRule="auto"/>
        <w:ind w:firstLine="496" w:firstLineChars="200"/>
        <w:rPr>
          <w:rFonts w:hint="eastAsia" w:ascii="宋体" w:hAnsi="宋体" w:eastAsia="宋体" w:cs="宋体"/>
          <w:strike w:val="0"/>
          <w:color w:val="auto"/>
          <w:spacing w:val="4"/>
          <w:highlight w:val="none"/>
          <w:lang w:bidi="ar"/>
        </w:rPr>
      </w:pPr>
      <w:r>
        <w:rPr>
          <w:rFonts w:hint="eastAsia" w:ascii="宋体" w:hAnsi="宋体" w:eastAsia="宋体" w:cs="宋体"/>
          <w:b w:val="0"/>
          <w:strike w:val="0"/>
          <w:dstrike w:val="0"/>
          <w:color w:val="auto"/>
          <w:szCs w:val="28"/>
          <w:highlight w:val="none"/>
        </w:rPr>
        <w:t>（6）综合考虑钢梁钢材类型、种类、规格、截面尺寸、连接配件种类、数量，压型钢板楼板钢材种类、截面形状、规格尺寸、边角收边型材，包括场内外运输、放线、拼装，翻身就位、绑扎吊装、校正、焊接、固定，配板、切割、安装、收边，刷防锈漆、刷防火涂料、清理。</w:t>
      </w:r>
      <w:bookmarkEnd w:id="194"/>
      <w:bookmarkEnd w:id="195"/>
      <w:bookmarkEnd w:id="196"/>
      <w:bookmarkEnd w:id="197"/>
      <w:bookmarkEnd w:id="198"/>
      <w:bookmarkEnd w:id="199"/>
      <w:bookmarkEnd w:id="200"/>
      <w:bookmarkStart w:id="202" w:name="_Toc6727"/>
      <w:bookmarkStart w:id="203" w:name="_Toc313889684"/>
      <w:bookmarkStart w:id="204" w:name="_Toc6456"/>
      <w:bookmarkStart w:id="205" w:name="_Toc468402764"/>
      <w:bookmarkStart w:id="206" w:name="_Toc3673"/>
      <w:bookmarkStart w:id="207" w:name="_Toc28534"/>
    </w:p>
    <w:p>
      <w:pPr>
        <w:pStyle w:val="65"/>
        <w:spacing w:before="120" w:after="120" w:line="360" w:lineRule="auto"/>
        <w:outlineLvl w:val="0"/>
        <w:rPr>
          <w:rFonts w:hint="eastAsia" w:ascii="宋体" w:hAnsi="宋体" w:eastAsia="宋体" w:cs="宋体"/>
          <w:color w:val="auto"/>
          <w:highlight w:val="none"/>
        </w:rPr>
      </w:pPr>
      <w:r>
        <w:rPr>
          <w:rFonts w:hint="eastAsia" w:ascii="宋体" w:hAnsi="宋体" w:eastAsia="宋体" w:cs="宋体"/>
          <w:color w:val="auto"/>
          <w:highlight w:val="none"/>
        </w:rPr>
        <w:t>6、屋面及防水工程</w:t>
      </w:r>
      <w:bookmarkEnd w:id="202"/>
      <w:bookmarkEnd w:id="203"/>
      <w:bookmarkEnd w:id="204"/>
      <w:bookmarkEnd w:id="205"/>
      <w:bookmarkEnd w:id="206"/>
      <w:bookmarkEnd w:id="207"/>
    </w:p>
    <w:p>
      <w:pPr>
        <w:pStyle w:val="65"/>
        <w:spacing w:before="120" w:after="120" w:line="360" w:lineRule="auto"/>
        <w:ind w:firstLine="498" w:firstLineChars="200"/>
        <w:outlineLvl w:val="0"/>
        <w:rPr>
          <w:rFonts w:hint="eastAsia" w:ascii="宋体" w:hAnsi="宋体" w:eastAsia="宋体" w:cs="宋体"/>
          <w:color w:val="auto"/>
          <w:highlight w:val="none"/>
        </w:rPr>
      </w:pPr>
      <w:bookmarkStart w:id="208" w:name="_Toc28817"/>
      <w:bookmarkStart w:id="209" w:name="_Toc4290"/>
      <w:bookmarkStart w:id="210" w:name="_Toc3011"/>
      <w:bookmarkStart w:id="211" w:name="_Toc21073"/>
      <w:bookmarkStart w:id="212" w:name="_Toc468402765"/>
      <w:bookmarkStart w:id="213" w:name="_Toc294030910"/>
      <w:r>
        <w:rPr>
          <w:rFonts w:hint="eastAsia" w:ascii="宋体" w:hAnsi="宋体" w:eastAsia="宋体" w:cs="宋体"/>
          <w:color w:val="auto"/>
          <w:highlight w:val="none"/>
        </w:rPr>
        <w:t>（1）卷材防水清单项目</w:t>
      </w:r>
      <w:bookmarkEnd w:id="208"/>
      <w:bookmarkEnd w:id="209"/>
      <w:bookmarkEnd w:id="210"/>
      <w:bookmarkEnd w:id="211"/>
      <w:bookmarkEnd w:id="212"/>
      <w:bookmarkEnd w:id="213"/>
    </w:p>
    <w:p>
      <w:pPr>
        <w:pStyle w:val="57"/>
        <w:ind w:firstLine="480"/>
        <w:rPr>
          <w:rFonts w:hint="eastAsia" w:ascii="宋体" w:hAnsi="宋体" w:eastAsia="宋体" w:cs="宋体"/>
          <w:color w:val="auto"/>
          <w:highlight w:val="none"/>
        </w:rPr>
      </w:pPr>
      <w:bookmarkStart w:id="214" w:name="_Toc294030911"/>
      <w:r>
        <w:rPr>
          <w:rFonts w:hint="eastAsia" w:ascii="宋体" w:hAnsi="宋体" w:eastAsia="宋体" w:cs="宋体"/>
          <w:color w:val="auto"/>
          <w:highlight w:val="none"/>
        </w:rPr>
        <w:t>1）计价包括材料费用、材料运输、基层处理、刷底油、铺防水卷材、接缝、保护层铺设、防水加强层等相关费用。</w:t>
      </w:r>
    </w:p>
    <w:p>
      <w:pPr>
        <w:pStyle w:val="57"/>
        <w:ind w:firstLine="480"/>
        <w:rPr>
          <w:rFonts w:hint="eastAsia" w:ascii="宋体" w:hAnsi="宋体" w:eastAsia="宋体" w:cs="宋体"/>
          <w:color w:val="auto"/>
          <w:highlight w:val="none"/>
        </w:rPr>
      </w:pPr>
      <w:r>
        <w:rPr>
          <w:rFonts w:hint="eastAsia" w:ascii="宋体" w:hAnsi="宋体" w:eastAsia="宋体" w:cs="宋体"/>
          <w:color w:val="auto"/>
          <w:highlight w:val="none"/>
        </w:rPr>
        <w:t>2）卷材防水分铺设部位、卷材材料品种、厚度、层数，按设计图示尺寸以面积计算。其中：</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屋面卷材防水：斜屋顶按斜面面积计算，平屋顶按水平投影面积计算；不扣除房上烟囱、风帽底座、风道、屋面小气窗和斜沟所占面积；屋面的女儿墙、伸缩缝和天窗等处的弯起部分，并入屋面工程量内。</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楼（地）面卷材防水：按主墙间净空面积计算，扣除凸出地面的构筑物、设备基础等所占面积，不扣除间壁墙及单个面积≤0.3m2柱、垛、烟囱和孔洞所占面积；返边高度≤300mm算做地面防水，含在相应地面面积内，综合单价综合考虑；反边高度&gt;300mm按墙面防水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3）当防水卷材材料品种、厚度发生变更时，只调整防水卷材材料的价差。</w:t>
      </w:r>
    </w:p>
    <w:p>
      <w:pPr>
        <w:pStyle w:val="65"/>
        <w:spacing w:before="120" w:after="120" w:line="360" w:lineRule="auto"/>
        <w:ind w:firstLine="498" w:firstLineChars="200"/>
        <w:outlineLvl w:val="0"/>
        <w:rPr>
          <w:rFonts w:hint="eastAsia" w:ascii="宋体" w:hAnsi="宋体" w:eastAsia="宋体" w:cs="宋体"/>
          <w:color w:val="auto"/>
          <w:highlight w:val="none"/>
        </w:rPr>
      </w:pPr>
      <w:bookmarkStart w:id="215" w:name="_Toc468402766"/>
      <w:bookmarkStart w:id="216" w:name="_Toc8200"/>
      <w:bookmarkStart w:id="217" w:name="_Toc14815"/>
      <w:bookmarkStart w:id="218" w:name="_Toc19967"/>
      <w:bookmarkStart w:id="219" w:name="_Toc20873"/>
      <w:r>
        <w:rPr>
          <w:rFonts w:hint="eastAsia" w:ascii="宋体" w:hAnsi="宋体" w:eastAsia="宋体" w:cs="宋体"/>
          <w:color w:val="auto"/>
          <w:highlight w:val="none"/>
        </w:rPr>
        <w:t>（2）涂膜防水清单项目</w:t>
      </w:r>
      <w:bookmarkEnd w:id="214"/>
      <w:bookmarkEnd w:id="215"/>
      <w:bookmarkEnd w:id="216"/>
      <w:bookmarkEnd w:id="217"/>
      <w:bookmarkEnd w:id="218"/>
      <w:bookmarkEnd w:id="219"/>
    </w:p>
    <w:p>
      <w:pPr>
        <w:pStyle w:val="57"/>
        <w:ind w:firstLine="496"/>
        <w:rPr>
          <w:rFonts w:hint="eastAsia" w:ascii="宋体" w:hAnsi="宋体" w:eastAsia="宋体" w:cs="宋体"/>
          <w:color w:val="auto"/>
          <w:highlight w:val="none"/>
        </w:rPr>
      </w:pPr>
      <w:bookmarkStart w:id="220" w:name="_Toc294030912"/>
      <w:r>
        <w:rPr>
          <w:rFonts w:hint="eastAsia" w:ascii="宋体" w:hAnsi="宋体" w:eastAsia="宋体" w:cs="宋体"/>
          <w:color w:val="auto"/>
          <w:highlight w:val="none"/>
        </w:rPr>
        <w:t>1）计价综合考虑：涂膜遍数，包括：材料费用、材料运输、基层处理、刷基层处理剂、涂刷防水膜、防水加强层等相关费用。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2）涂膜防水分涂刷部位、涂膜材料、厚度，按设计图示尺寸以面积计算。其中：</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屋面涂膜防水：斜屋顶按斜面面积计算，平屋顶按水平投影面积计算；不扣除房上烟囱、风帽底座、风道、屋面小气窗和斜沟所占面积；屋面的女儿墙、伸缩缝和天窗等处的弯起部分，并入屋面工程量内。</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楼（地）面涂膜防水：按主墙间净空面积计算，扣除凸出地面的构筑物、设备基础等所占面积，不扣除间壁墙及单个面积≤0.3m2柱、垛、烟囱和孔洞所占面积；返边高度≤300mm算做地面防水，含在相应地面面积内，综合单价综合考虑；反边高度&gt;300mm按墙面防水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3）当涂膜材料品种、厚度发生变更时，只调整涂膜材料的价差。</w:t>
      </w:r>
    </w:p>
    <w:p>
      <w:pPr>
        <w:pStyle w:val="65"/>
        <w:spacing w:before="120" w:after="120" w:line="360" w:lineRule="auto"/>
        <w:ind w:firstLine="498" w:firstLineChars="200"/>
        <w:outlineLvl w:val="0"/>
        <w:rPr>
          <w:rFonts w:hint="eastAsia" w:ascii="宋体" w:hAnsi="宋体" w:eastAsia="宋体" w:cs="宋体"/>
          <w:color w:val="auto"/>
          <w:highlight w:val="none"/>
        </w:rPr>
      </w:pPr>
      <w:bookmarkStart w:id="221" w:name="_Toc154"/>
      <w:bookmarkStart w:id="222" w:name="_Toc5629"/>
      <w:bookmarkStart w:id="223" w:name="_Toc468402767"/>
      <w:bookmarkStart w:id="224" w:name="_Toc897"/>
      <w:bookmarkStart w:id="225" w:name="_Toc30465"/>
      <w:r>
        <w:rPr>
          <w:rFonts w:hint="eastAsia" w:ascii="宋体" w:hAnsi="宋体" w:eastAsia="宋体" w:cs="宋体"/>
          <w:color w:val="auto"/>
          <w:highlight w:val="none"/>
        </w:rPr>
        <w:t>（3）刚性防水层清单项目</w:t>
      </w:r>
      <w:bookmarkEnd w:id="220"/>
      <w:bookmarkEnd w:id="221"/>
      <w:bookmarkEnd w:id="222"/>
      <w:bookmarkEnd w:id="223"/>
      <w:bookmarkEnd w:id="224"/>
      <w:bookmarkEnd w:id="225"/>
    </w:p>
    <w:p>
      <w:pPr>
        <w:pStyle w:val="57"/>
        <w:ind w:firstLine="496"/>
        <w:rPr>
          <w:rFonts w:hint="eastAsia" w:ascii="宋体" w:hAnsi="宋体" w:eastAsia="宋体" w:cs="宋体"/>
          <w:color w:val="auto"/>
          <w:highlight w:val="none"/>
        </w:rPr>
      </w:pPr>
      <w:bookmarkStart w:id="226" w:name="_Toc294030913"/>
      <w:r>
        <w:rPr>
          <w:rFonts w:hint="eastAsia" w:ascii="宋体" w:hAnsi="宋体" w:eastAsia="宋体" w:cs="宋体"/>
          <w:color w:val="auto"/>
          <w:highlight w:val="none"/>
        </w:rPr>
        <w:t>1）计价综合考虑：嵌缝材料种类、钢筋规格型号、砂浆厚度、砂浆配合比、平立面等</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2）计价包括：材料费用、材料运输、基层处理、细石混凝土及砂浆制作、运输、铺筑、养护、设置分格缝、嵌缝材料、钢筋制安等相关费用。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3）刚性层防水分材料种类、细石混凝土厚度、混凝土强度等级，按设计图示尺寸以面积计算。其中：</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屋面刚性层：不扣除房上烟囱、风帽底座、风道等所占面积。</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地面刚性层：按主墙间净空面积计算，扣除凸出地面的构筑物、设备基础等所占面积，不扣除间壁墙及单个面积≤0.3m2柱、垛、烟囱和孔洞所占面积；返边高度≤300mm算做地面防水，反边高度&gt;300mm按墙面防水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4）当混凝土厚度及强度等级发生变更时，只调整材料的价差。</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5）找平层另按清单计价规范开列清单项目。</w:t>
      </w:r>
    </w:p>
    <w:p>
      <w:pPr>
        <w:pStyle w:val="65"/>
        <w:spacing w:before="120" w:after="120" w:line="360" w:lineRule="auto"/>
        <w:ind w:firstLine="498" w:firstLineChars="200"/>
        <w:outlineLvl w:val="0"/>
        <w:rPr>
          <w:rFonts w:hint="eastAsia" w:ascii="宋体" w:hAnsi="宋体" w:eastAsia="宋体" w:cs="宋体"/>
          <w:color w:val="auto"/>
          <w:highlight w:val="none"/>
        </w:rPr>
      </w:pPr>
      <w:bookmarkStart w:id="227" w:name="_Toc7980"/>
      <w:bookmarkStart w:id="228" w:name="_Toc745"/>
      <w:bookmarkStart w:id="229" w:name="_Toc468402768"/>
      <w:bookmarkStart w:id="230" w:name="_Toc28039"/>
      <w:bookmarkStart w:id="231" w:name="_Toc4355"/>
      <w:r>
        <w:rPr>
          <w:rFonts w:hint="eastAsia" w:ascii="宋体" w:hAnsi="宋体" w:eastAsia="宋体" w:cs="宋体"/>
          <w:color w:val="auto"/>
          <w:highlight w:val="none"/>
        </w:rPr>
        <w:t>（4）防水找平层、保护层清单项目</w:t>
      </w:r>
      <w:bookmarkEnd w:id="226"/>
      <w:bookmarkEnd w:id="227"/>
      <w:bookmarkEnd w:id="228"/>
      <w:bookmarkEnd w:id="229"/>
      <w:bookmarkEnd w:id="230"/>
      <w:bookmarkEnd w:id="231"/>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1）找平层、保护层计价综合考虑平、立面，砂浆种类、厚度、配合比，包括清理基层、砂浆制作、运输、刷水泥浆、抹平压实等相关费用。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2）找平层、保护层计量按设计图示尺寸分别以平方米计算。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3）防水找平层、保护层只适用于做防水的部位。</w:t>
      </w:r>
    </w:p>
    <w:p>
      <w:pPr>
        <w:pStyle w:val="65"/>
        <w:spacing w:before="120" w:after="120" w:line="360" w:lineRule="auto"/>
        <w:ind w:firstLine="498" w:firstLineChars="200"/>
        <w:outlineLvl w:val="0"/>
        <w:rPr>
          <w:rFonts w:hint="eastAsia" w:ascii="宋体" w:hAnsi="宋体" w:eastAsia="宋体" w:cs="宋体"/>
          <w:color w:val="auto"/>
          <w:highlight w:val="none"/>
        </w:rPr>
      </w:pPr>
      <w:bookmarkStart w:id="232" w:name="_Toc23217"/>
      <w:bookmarkStart w:id="233" w:name="_Toc25195"/>
      <w:bookmarkStart w:id="234" w:name="_Toc9766"/>
      <w:bookmarkStart w:id="235" w:name="_Toc294030914"/>
      <w:bookmarkStart w:id="236" w:name="_Toc29699"/>
      <w:bookmarkStart w:id="237" w:name="_Toc468402769"/>
      <w:r>
        <w:rPr>
          <w:rFonts w:hint="eastAsia" w:ascii="宋体" w:hAnsi="宋体" w:eastAsia="宋体" w:cs="宋体"/>
          <w:color w:val="auto"/>
          <w:highlight w:val="none"/>
        </w:rPr>
        <w:t>（5）保温砂浆层清单项目</w:t>
      </w:r>
      <w:bookmarkEnd w:id="232"/>
      <w:bookmarkEnd w:id="233"/>
      <w:bookmarkEnd w:id="234"/>
      <w:bookmarkEnd w:id="235"/>
      <w:bookmarkEnd w:id="236"/>
      <w:bookmarkEnd w:id="237"/>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1）保温砂浆层分不同厚度计价综合考虑平、立面，砂浆种类、厚度、配合比，包括清理基层、砂浆制作、运输、刷水泥浆、抹平压实等相关费用。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2）保温砂浆层计量按设计图示尺寸分别以平方米计算。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3）保温砂浆层只适用于做保温隔热的部位。</w:t>
      </w:r>
    </w:p>
    <w:p>
      <w:pPr>
        <w:pStyle w:val="65"/>
        <w:spacing w:before="120" w:after="120" w:line="360" w:lineRule="auto"/>
        <w:ind w:firstLine="498" w:firstLineChars="200"/>
        <w:outlineLvl w:val="0"/>
        <w:rPr>
          <w:rFonts w:hint="eastAsia" w:ascii="宋体" w:hAnsi="宋体" w:eastAsia="宋体" w:cs="宋体"/>
          <w:color w:val="auto"/>
          <w:highlight w:val="none"/>
        </w:rPr>
      </w:pPr>
      <w:bookmarkStart w:id="238" w:name="_Toc26750"/>
      <w:bookmarkStart w:id="239" w:name="_Toc9814"/>
      <w:bookmarkStart w:id="240" w:name="_Toc294030915"/>
      <w:bookmarkStart w:id="241" w:name="_Toc4553"/>
      <w:bookmarkStart w:id="242" w:name="_Toc30777"/>
      <w:bookmarkStart w:id="243" w:name="_Toc468402770"/>
      <w:r>
        <w:rPr>
          <w:rFonts w:hint="eastAsia" w:ascii="宋体" w:hAnsi="宋体" w:eastAsia="宋体" w:cs="宋体"/>
          <w:color w:val="auto"/>
          <w:highlight w:val="none"/>
        </w:rPr>
        <w:t>（6）隔离层清单项目</w:t>
      </w:r>
      <w:bookmarkEnd w:id="238"/>
      <w:bookmarkEnd w:id="239"/>
      <w:bookmarkEnd w:id="240"/>
      <w:bookmarkEnd w:id="241"/>
      <w:bookmarkEnd w:id="242"/>
      <w:bookmarkEnd w:id="243"/>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1）隔离层计价综合考虑部位，包括基层处理、铺设隔离层。</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2）隔离层计量按设计图示尺寸分别以平方米计算。</w:t>
      </w:r>
    </w:p>
    <w:p>
      <w:pPr>
        <w:pStyle w:val="65"/>
        <w:spacing w:before="120" w:after="120" w:line="360" w:lineRule="auto"/>
        <w:ind w:firstLine="498" w:firstLineChars="200"/>
        <w:outlineLvl w:val="0"/>
        <w:rPr>
          <w:rFonts w:hint="eastAsia" w:ascii="宋体" w:hAnsi="宋体" w:eastAsia="宋体" w:cs="宋体"/>
          <w:color w:val="auto"/>
          <w:highlight w:val="none"/>
        </w:rPr>
      </w:pPr>
      <w:bookmarkStart w:id="244" w:name="_Toc294030916"/>
      <w:bookmarkStart w:id="245" w:name="_Toc468402771"/>
      <w:bookmarkStart w:id="246" w:name="_Toc6879"/>
      <w:bookmarkStart w:id="247" w:name="_Toc17339"/>
      <w:bookmarkStart w:id="248" w:name="_Toc944"/>
      <w:bookmarkStart w:id="249" w:name="_Toc23726"/>
      <w:r>
        <w:rPr>
          <w:rFonts w:hint="eastAsia" w:ascii="宋体" w:hAnsi="宋体" w:eastAsia="宋体" w:cs="宋体"/>
          <w:color w:val="auto"/>
          <w:highlight w:val="none"/>
        </w:rPr>
        <w:t>（7）隔热保温块料清单项目</w:t>
      </w:r>
      <w:bookmarkEnd w:id="244"/>
      <w:bookmarkEnd w:id="245"/>
      <w:bookmarkEnd w:id="246"/>
      <w:bookmarkEnd w:id="247"/>
      <w:bookmarkEnd w:id="248"/>
      <w:bookmarkEnd w:id="249"/>
    </w:p>
    <w:p>
      <w:pPr>
        <w:pStyle w:val="57"/>
        <w:ind w:firstLine="496"/>
        <w:rPr>
          <w:rFonts w:hint="eastAsia" w:ascii="宋体" w:hAnsi="宋体" w:eastAsia="宋体" w:cs="宋体"/>
          <w:color w:val="auto"/>
          <w:highlight w:val="none"/>
        </w:rPr>
      </w:pPr>
      <w:bookmarkStart w:id="250" w:name="_Toc294030917"/>
      <w:r>
        <w:rPr>
          <w:rFonts w:hint="eastAsia" w:ascii="宋体" w:hAnsi="宋体" w:eastAsia="宋体" w:cs="宋体"/>
          <w:color w:val="auto"/>
          <w:highlight w:val="none"/>
        </w:rPr>
        <w:t>1）计价综合考虑：保温隔热材料规格、隔气层材料品种和厚度、粘结材料种类和做法、防护材料种类和做法、铺设方式、砂浆种类、配合比等。</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2）计价包括：材料费用、材料运输、基层清理、拍实、平整、找坡、刷粘结材料、铺粘保温层、铺刷（喷）防护材料、砂浆制作、运输、抹平压实等相关费用。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3）保温隔热屋面项目分保温隔热材质、厚度，按设计图示尺寸以面积计算。扣除面积&gt;0.3m2孔洞及占位面积。</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4）当保温材料厚度、种类发生变更时，只调整材料价差。</w:t>
      </w:r>
    </w:p>
    <w:p>
      <w:pPr>
        <w:pStyle w:val="65"/>
        <w:spacing w:before="120" w:after="120" w:line="360" w:lineRule="auto"/>
        <w:ind w:firstLine="498" w:firstLineChars="200"/>
        <w:outlineLvl w:val="0"/>
        <w:rPr>
          <w:rFonts w:hint="eastAsia" w:ascii="宋体" w:hAnsi="宋体" w:eastAsia="宋体" w:cs="宋体"/>
          <w:color w:val="auto"/>
          <w:highlight w:val="none"/>
        </w:rPr>
      </w:pPr>
      <w:bookmarkStart w:id="251" w:name="_Toc468402772"/>
      <w:bookmarkStart w:id="252" w:name="_Toc12337"/>
      <w:bookmarkStart w:id="253" w:name="_Toc32094"/>
      <w:bookmarkStart w:id="254" w:name="_Toc23129"/>
      <w:bookmarkStart w:id="255" w:name="_Toc13905"/>
      <w:r>
        <w:rPr>
          <w:rFonts w:hint="eastAsia" w:ascii="宋体" w:hAnsi="宋体" w:eastAsia="宋体" w:cs="宋体"/>
          <w:color w:val="auto"/>
          <w:highlight w:val="none"/>
        </w:rPr>
        <w:t>（8）变形缝清单项目</w:t>
      </w:r>
      <w:bookmarkEnd w:id="250"/>
      <w:bookmarkEnd w:id="251"/>
      <w:bookmarkEnd w:id="252"/>
      <w:bookmarkEnd w:id="253"/>
      <w:bookmarkEnd w:id="254"/>
      <w:bookmarkEnd w:id="255"/>
    </w:p>
    <w:p>
      <w:pPr>
        <w:pStyle w:val="57"/>
        <w:ind w:firstLine="496"/>
        <w:rPr>
          <w:rFonts w:hint="eastAsia" w:ascii="宋体" w:hAnsi="宋体" w:eastAsia="宋体" w:cs="宋体"/>
          <w:color w:val="auto"/>
          <w:highlight w:val="none"/>
        </w:rPr>
      </w:pPr>
      <w:bookmarkStart w:id="256" w:name="_Toc211824145"/>
      <w:bookmarkStart w:id="257" w:name="_Toc246305011"/>
      <w:bookmarkStart w:id="258" w:name="_Toc246755020"/>
      <w:bookmarkStart w:id="259" w:name="_Toc248305554"/>
      <w:bookmarkStart w:id="260" w:name="_Toc294030918"/>
      <w:bookmarkStart w:id="261" w:name="_Toc248315666"/>
      <w:r>
        <w:rPr>
          <w:rFonts w:hint="eastAsia" w:ascii="宋体" w:hAnsi="宋体" w:eastAsia="宋体" w:cs="宋体"/>
          <w:color w:val="auto"/>
          <w:highlight w:val="none"/>
        </w:rPr>
        <w:t>1）计价综合考虑：嵌缝材料种类、缝宽度、盖板宽度和厚度、防护材料种类、保护层材料种类、保护层厚度、砂浆配合比等。</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2）计价包括：材料费用、制作（含盖板）、安装、运输、清缝、填塞防水材料、止水带安装、刷防护材料、保护层铺设等相关费用。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3）变形缝计量分部位、变形缝材质、止水带材料品种，按设计图示尺寸以长度计算。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4）当变形缝材料品种、止水带材料品种发生变更时，只调整相应材料的价差。</w:t>
      </w:r>
    </w:p>
    <w:p>
      <w:pPr>
        <w:pStyle w:val="65"/>
        <w:spacing w:before="120" w:after="120" w:line="360" w:lineRule="auto"/>
        <w:ind w:firstLine="498" w:firstLineChars="200"/>
        <w:outlineLvl w:val="0"/>
        <w:rPr>
          <w:rFonts w:hint="eastAsia" w:ascii="宋体" w:hAnsi="宋体" w:eastAsia="宋体" w:cs="宋体"/>
          <w:color w:val="auto"/>
          <w:highlight w:val="none"/>
        </w:rPr>
      </w:pPr>
      <w:bookmarkStart w:id="262" w:name="_Toc2556"/>
      <w:bookmarkStart w:id="263" w:name="_Toc20012"/>
      <w:bookmarkStart w:id="264" w:name="_Toc20566"/>
      <w:bookmarkStart w:id="265" w:name="_Toc16435"/>
      <w:bookmarkStart w:id="266" w:name="_Toc468402773"/>
      <w:r>
        <w:rPr>
          <w:rFonts w:hint="eastAsia" w:ascii="宋体" w:hAnsi="宋体" w:eastAsia="宋体" w:cs="宋体"/>
          <w:color w:val="auto"/>
          <w:highlight w:val="none"/>
        </w:rPr>
        <w:t>（9）止水带清单项目</w:t>
      </w:r>
      <w:bookmarkEnd w:id="256"/>
      <w:bookmarkEnd w:id="257"/>
      <w:bookmarkEnd w:id="258"/>
      <w:bookmarkEnd w:id="259"/>
      <w:bookmarkEnd w:id="260"/>
      <w:bookmarkEnd w:id="261"/>
      <w:bookmarkEnd w:id="262"/>
      <w:bookmarkEnd w:id="263"/>
      <w:bookmarkEnd w:id="264"/>
      <w:bookmarkEnd w:id="265"/>
      <w:bookmarkEnd w:id="266"/>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1）计价综合考虑：嵌缝材料种类、缝宽度、厚度、防护材料种类。</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2）止水带计量分不同材料、规格按图示尺寸以米计算。只有设计图纸要求的止水带才能计量。</w:t>
      </w:r>
    </w:p>
    <w:p>
      <w:pPr>
        <w:pStyle w:val="65"/>
        <w:spacing w:before="120" w:after="120" w:line="360" w:lineRule="auto"/>
        <w:ind w:firstLine="498" w:firstLineChars="200"/>
        <w:outlineLvl w:val="0"/>
        <w:rPr>
          <w:rFonts w:hint="eastAsia" w:ascii="宋体" w:hAnsi="宋体" w:eastAsia="宋体" w:cs="宋体"/>
          <w:color w:val="auto"/>
          <w:highlight w:val="none"/>
        </w:rPr>
      </w:pPr>
      <w:bookmarkStart w:id="267" w:name="_Toc2299"/>
      <w:bookmarkStart w:id="268" w:name="_Toc15463"/>
      <w:bookmarkStart w:id="269" w:name="_Toc2317"/>
      <w:bookmarkStart w:id="270" w:name="_Toc26723"/>
      <w:bookmarkStart w:id="271" w:name="_Toc468402774"/>
      <w:bookmarkStart w:id="272" w:name="_Toc358313596"/>
      <w:bookmarkStart w:id="273" w:name="_Toc294030919"/>
      <w:r>
        <w:rPr>
          <w:rFonts w:hint="eastAsia" w:ascii="宋体" w:hAnsi="宋体" w:eastAsia="宋体" w:cs="宋体"/>
          <w:color w:val="auto"/>
          <w:highlight w:val="none"/>
        </w:rPr>
        <w:t>（10）金属盖板清单项目</w:t>
      </w:r>
      <w:bookmarkEnd w:id="267"/>
      <w:bookmarkEnd w:id="268"/>
      <w:bookmarkEnd w:id="269"/>
      <w:bookmarkEnd w:id="270"/>
      <w:bookmarkEnd w:id="271"/>
    </w:p>
    <w:bookmarkEnd w:id="272"/>
    <w:bookmarkEnd w:id="273"/>
    <w:p>
      <w:pPr>
        <w:pStyle w:val="57"/>
        <w:ind w:firstLine="496"/>
        <w:rPr>
          <w:rFonts w:hint="eastAsia" w:ascii="宋体" w:hAnsi="宋体" w:eastAsia="宋体" w:cs="宋体"/>
          <w:color w:val="auto"/>
          <w:highlight w:val="none"/>
        </w:rPr>
      </w:pPr>
      <w:bookmarkStart w:id="274" w:name="_Toc248315698"/>
      <w:bookmarkStart w:id="275" w:name="_Toc246305025"/>
      <w:bookmarkStart w:id="276" w:name="_Toc14944"/>
      <w:bookmarkStart w:id="277" w:name="_Toc7480"/>
      <w:bookmarkStart w:id="278" w:name="_Toc211824177"/>
      <w:bookmarkStart w:id="279" w:name="_Toc32400"/>
      <w:bookmarkStart w:id="280" w:name="_Toc294030920"/>
      <w:bookmarkStart w:id="281" w:name="_Toc246755034"/>
      <w:bookmarkStart w:id="282" w:name="_Toc248305586"/>
      <w:bookmarkStart w:id="283" w:name="_Toc15082"/>
      <w:bookmarkStart w:id="284" w:name="_Toc468402775"/>
      <w:r>
        <w:rPr>
          <w:rFonts w:hint="eastAsia" w:ascii="宋体" w:hAnsi="宋体" w:eastAsia="宋体" w:cs="宋体"/>
          <w:color w:val="auto"/>
          <w:highlight w:val="none"/>
        </w:rPr>
        <w:t>1）计价综合考虑材料种类、材料规格、制作、安装、骨架、规格、材质、运输等相关费用。</w:t>
      </w:r>
    </w:p>
    <w:p>
      <w:pPr>
        <w:pStyle w:val="57"/>
        <w:ind w:firstLine="504"/>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2）盖板计量分不同材质、规格、厚度按图示尺寸以平方米计算。</w:t>
      </w:r>
    </w:p>
    <w:p>
      <w:pPr>
        <w:pStyle w:val="57"/>
        <w:ind w:firstLine="504"/>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3）当盖板材质发生变更时，只调整盖板材料的价差。</w:t>
      </w:r>
    </w:p>
    <w:bookmarkEnd w:id="274"/>
    <w:bookmarkEnd w:id="275"/>
    <w:bookmarkEnd w:id="276"/>
    <w:bookmarkEnd w:id="277"/>
    <w:bookmarkEnd w:id="278"/>
    <w:bookmarkEnd w:id="279"/>
    <w:bookmarkEnd w:id="280"/>
    <w:bookmarkEnd w:id="281"/>
    <w:bookmarkEnd w:id="282"/>
    <w:bookmarkEnd w:id="283"/>
    <w:bookmarkEnd w:id="284"/>
    <w:p>
      <w:pPr>
        <w:pStyle w:val="65"/>
        <w:spacing w:before="120" w:after="120" w:line="360" w:lineRule="auto"/>
        <w:ind w:firstLine="498" w:firstLineChars="200"/>
        <w:outlineLvl w:val="0"/>
        <w:rPr>
          <w:rFonts w:hint="eastAsia" w:ascii="宋体" w:hAnsi="宋体" w:eastAsia="宋体" w:cs="宋体"/>
          <w:color w:val="auto"/>
          <w:highlight w:val="none"/>
        </w:rPr>
      </w:pPr>
      <w:bookmarkStart w:id="285" w:name="_Toc32550"/>
      <w:bookmarkStart w:id="286" w:name="_Toc13023"/>
      <w:bookmarkStart w:id="287" w:name="_Toc468402779"/>
      <w:bookmarkStart w:id="288" w:name="_Toc12604"/>
      <w:bookmarkStart w:id="289" w:name="_Toc3782"/>
      <w:r>
        <w:rPr>
          <w:rFonts w:hint="eastAsia" w:ascii="宋体" w:hAnsi="宋体" w:eastAsia="宋体" w:cs="宋体"/>
          <w:color w:val="auto"/>
          <w:highlight w:val="none"/>
        </w:rPr>
        <w:t>（11）沟道盖板清单项目</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1）计价综合考虑材料种类、材料规格、制作、安装、骨架、规格、材质、运输等相关费用。</w:t>
      </w:r>
    </w:p>
    <w:p>
      <w:pPr>
        <w:pStyle w:val="57"/>
        <w:ind w:firstLine="504"/>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2）盖板计量分不同材质、规格、厚度按图示尺寸以米计算。</w:t>
      </w:r>
    </w:p>
    <w:p>
      <w:pPr>
        <w:pStyle w:val="57"/>
        <w:ind w:firstLine="504"/>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3）当盖板材质发生变更时，只调整盖板材料的价差。</w:t>
      </w:r>
    </w:p>
    <w:p>
      <w:pPr>
        <w:pStyle w:val="65"/>
        <w:spacing w:before="120" w:after="120" w:line="360" w:lineRule="auto"/>
        <w:ind w:firstLine="498" w:firstLineChars="200"/>
        <w:outlineLvl w:val="0"/>
        <w:rPr>
          <w:rFonts w:hint="eastAsia" w:ascii="宋体" w:hAnsi="宋体" w:eastAsia="宋体" w:cs="宋体"/>
          <w:color w:val="auto"/>
          <w:highlight w:val="none"/>
        </w:rPr>
      </w:pPr>
      <w:r>
        <w:rPr>
          <w:rFonts w:hint="eastAsia" w:ascii="宋体" w:hAnsi="宋体" w:eastAsia="宋体" w:cs="宋体"/>
          <w:color w:val="auto"/>
          <w:highlight w:val="none"/>
        </w:rPr>
        <w:t>（12）钢爬梯清单项目</w:t>
      </w:r>
    </w:p>
    <w:p>
      <w:pPr>
        <w:pStyle w:val="57"/>
        <w:ind w:firstLine="504"/>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1）钢爬梯的计价包括钢爬梯及连接件的制作、安装、运输、除锈、防腐、油漆等费用。</w:t>
      </w:r>
    </w:p>
    <w:p>
      <w:pPr>
        <w:pStyle w:val="57"/>
        <w:ind w:firstLine="504"/>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2）钢爬梯计量分不同材质按设计图示尺寸以吨计算, 爬梯的固定、连接件等辅材均应包含在综合单价中，不再另行计量。</w:t>
      </w:r>
    </w:p>
    <w:p>
      <w:pPr>
        <w:pStyle w:val="65"/>
        <w:spacing w:before="120" w:beforeLines="0" w:after="120" w:afterLines="0" w:line="360" w:lineRule="auto"/>
        <w:ind w:firstLine="498" w:firstLineChars="200"/>
        <w:outlineLvl w:val="0"/>
        <w:rPr>
          <w:rFonts w:hint="eastAsia" w:ascii="宋体" w:hAnsi="宋体" w:eastAsia="宋体" w:cs="宋体"/>
          <w:color w:val="auto"/>
          <w:highlight w:val="none"/>
        </w:rPr>
      </w:pPr>
      <w:bookmarkStart w:id="290" w:name="_Toc27711"/>
      <w:bookmarkStart w:id="291" w:name="_Toc18119"/>
      <w:bookmarkStart w:id="292" w:name="_Toc23609"/>
      <w:bookmarkStart w:id="293" w:name="_Toc468402776"/>
      <w:bookmarkStart w:id="294" w:name="_Toc7535"/>
      <w:r>
        <w:rPr>
          <w:rFonts w:hint="eastAsia" w:ascii="宋体" w:hAnsi="宋体" w:eastAsia="宋体" w:cs="宋体"/>
          <w:color w:val="auto"/>
          <w:highlight w:val="none"/>
        </w:rPr>
        <w:t>（13）不锈钢钢爬梯清单项目</w:t>
      </w:r>
      <w:bookmarkEnd w:id="290"/>
      <w:bookmarkEnd w:id="291"/>
      <w:bookmarkEnd w:id="292"/>
      <w:bookmarkEnd w:id="293"/>
      <w:bookmarkEnd w:id="294"/>
    </w:p>
    <w:p>
      <w:pPr>
        <w:pStyle w:val="57"/>
        <w:ind w:firstLine="438" w:firstLineChars="177"/>
        <w:rPr>
          <w:rFonts w:hint="eastAsia" w:ascii="宋体" w:hAnsi="宋体" w:eastAsia="宋体" w:cs="宋体"/>
          <w:color w:val="auto"/>
          <w:highlight w:val="none"/>
        </w:rPr>
      </w:pPr>
      <w:r>
        <w:rPr>
          <w:rFonts w:hint="eastAsia" w:ascii="宋体" w:hAnsi="宋体" w:eastAsia="宋体" w:cs="宋体"/>
          <w:color w:val="auto"/>
          <w:highlight w:val="none"/>
        </w:rPr>
        <w:t>1）不锈钢钢爬梯的计价包括钢爬梯及连接件的制作、安装、运输等费用。</w:t>
      </w:r>
    </w:p>
    <w:p>
      <w:pPr>
        <w:pStyle w:val="57"/>
        <w:ind w:firstLine="438" w:firstLineChars="177"/>
        <w:rPr>
          <w:rFonts w:hint="eastAsia" w:ascii="宋体" w:hAnsi="宋体" w:eastAsia="宋体" w:cs="宋体"/>
          <w:color w:val="auto"/>
          <w:highlight w:val="none"/>
        </w:rPr>
      </w:pPr>
      <w:r>
        <w:rPr>
          <w:rFonts w:hint="eastAsia" w:ascii="宋体" w:hAnsi="宋体" w:eastAsia="宋体" w:cs="宋体"/>
          <w:color w:val="auto"/>
          <w:highlight w:val="none"/>
        </w:rPr>
        <w:t>2）不锈钢钢爬梯计量分不同材质按设计图示尺寸以吨计算, 爬梯的固定、连接件等辅材均应包含在综合单价中，不再另行计量。</w:t>
      </w:r>
    </w:p>
    <w:bookmarkEnd w:id="285"/>
    <w:bookmarkEnd w:id="286"/>
    <w:bookmarkEnd w:id="287"/>
    <w:bookmarkEnd w:id="288"/>
    <w:bookmarkEnd w:id="289"/>
    <w:p>
      <w:pPr>
        <w:pStyle w:val="65"/>
        <w:spacing w:before="120" w:after="120" w:line="360" w:lineRule="auto"/>
        <w:outlineLvl w:val="0"/>
        <w:rPr>
          <w:rFonts w:hint="eastAsia" w:ascii="宋体" w:hAnsi="宋体" w:eastAsia="宋体" w:cs="宋体"/>
          <w:color w:val="auto"/>
          <w:szCs w:val="30"/>
          <w:highlight w:val="none"/>
        </w:rPr>
      </w:pPr>
      <w:bookmarkStart w:id="295" w:name="_Toc468402802"/>
      <w:bookmarkStart w:id="296" w:name="_Toc211824149"/>
      <w:bookmarkStart w:id="297" w:name="_Toc362257082"/>
      <w:bookmarkStart w:id="298" w:name="_Toc993"/>
      <w:bookmarkStart w:id="299" w:name="_Toc1634"/>
      <w:bookmarkStart w:id="300" w:name="_Toc7384"/>
      <w:bookmarkStart w:id="301" w:name="_Toc5830"/>
      <w:bookmarkStart w:id="302" w:name="_Toc374629673"/>
      <w:r>
        <w:rPr>
          <w:rFonts w:hint="eastAsia" w:ascii="宋体" w:hAnsi="宋体" w:eastAsia="宋体" w:cs="宋体"/>
          <w:color w:val="auto"/>
          <w:szCs w:val="30"/>
          <w:highlight w:val="none"/>
        </w:rPr>
        <w:t>三、装饰装修工程</w:t>
      </w:r>
    </w:p>
    <w:p>
      <w:pPr>
        <w:pStyle w:val="65"/>
        <w:spacing w:before="120" w:after="120" w:line="360" w:lineRule="auto"/>
        <w:outlineLvl w:val="0"/>
        <w:rPr>
          <w:rFonts w:hint="eastAsia" w:ascii="宋体" w:hAnsi="宋体" w:eastAsia="宋体" w:cs="宋体"/>
          <w:color w:val="auto"/>
          <w:highlight w:val="none"/>
        </w:rPr>
      </w:pPr>
      <w:bookmarkStart w:id="303" w:name="_Toc6570"/>
      <w:bookmarkStart w:id="304" w:name="_Toc15686"/>
      <w:bookmarkStart w:id="305" w:name="_Toc468402780"/>
      <w:bookmarkStart w:id="306" w:name="_Toc8652"/>
      <w:bookmarkStart w:id="307" w:name="_Toc6911"/>
      <w:r>
        <w:rPr>
          <w:rFonts w:hint="eastAsia" w:ascii="宋体" w:hAnsi="宋体" w:eastAsia="宋体" w:cs="宋体"/>
          <w:color w:val="auto"/>
          <w:highlight w:val="none"/>
        </w:rPr>
        <w:t>1、一般抹灰清单项目</w:t>
      </w:r>
      <w:bookmarkEnd w:id="303"/>
      <w:bookmarkEnd w:id="304"/>
      <w:bookmarkEnd w:id="305"/>
      <w:bookmarkEnd w:id="306"/>
      <w:bookmarkEnd w:id="307"/>
    </w:p>
    <w:p>
      <w:pPr>
        <w:pStyle w:val="57"/>
        <w:ind w:firstLine="496"/>
        <w:rPr>
          <w:rFonts w:hint="eastAsia" w:ascii="宋体" w:hAnsi="宋体" w:eastAsia="宋体" w:cs="宋体"/>
          <w:strike w:val="0"/>
          <w:dstrike w:val="0"/>
          <w:color w:val="auto"/>
          <w:szCs w:val="28"/>
          <w:highlight w:val="none"/>
        </w:rPr>
      </w:pPr>
      <w:r>
        <w:rPr>
          <w:rFonts w:hint="eastAsia" w:ascii="宋体" w:hAnsi="宋体" w:eastAsia="宋体" w:cs="宋体"/>
          <w:strike w:val="0"/>
          <w:dstrike w:val="0"/>
          <w:color w:val="auto"/>
          <w:szCs w:val="28"/>
          <w:highlight w:val="none"/>
        </w:rPr>
        <w:t>（1）一般抹灰计价综合考虑砂浆种类、厚度、配合比、基底类型、楼梯台阶防滑条种类、规格，包括修整表面、基层处理、砂浆制作、运输、抹灰、找平、罩面、压光等相关费用。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（2）一般抹灰计量分不同部位（如楼地面、墙柱面、天棚面等，梁面并入天棚面计算）按设计图示结构面以平方米计算。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楼地面抹灰按设计图示尺寸以面积计算。扣除凸出地面构筑物、设备基础、室内铁道、地沟等所占面积，不扣除间壁墙及≤0.3㎡以内的柱、跺、附墙烟囱及孔洞所占面积。门洞、空圈、暖气包槽、壁龛的开口部分不增加面积。</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楼梯、台阶面层按设计图示尺寸以水平投影面积计算，楼梯包括踏步、休息平台以及楼梯井。</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4）墙面抹灰按设计图示尺寸以面积计算。扣除墙裙、门窗洞口及单个＞0.3㎡的孔洞面积，不扣除踢脚线、挂镜线和墙与构件交界处的面积。附墙柱、梁、垛、烟窗侧壁并入相应的墙面面积内。外墙抹灰面积按外墙垂直投影面积计算；外墙裙抹灰面积按其长度乘以高度计算；内墙抹灰面积按主墙间的净长乘以高度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（5）结算时，如砂浆种类、厚度、配合比变化而增加的费用均不作调整。</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（6）因各类管线施工或其它任何原因致使抹灰厚度变化而增减的费用均不作调整。</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（7）计价综合考虑因挂网产生的增加费用。</w:t>
      </w:r>
    </w:p>
    <w:p>
      <w:pPr>
        <w:pStyle w:val="65"/>
        <w:spacing w:before="120" w:after="120" w:line="360" w:lineRule="auto"/>
        <w:outlineLvl w:val="0"/>
        <w:rPr>
          <w:rFonts w:hint="eastAsia" w:ascii="宋体" w:hAnsi="宋体" w:eastAsia="宋体" w:cs="宋体"/>
          <w:color w:val="auto"/>
          <w:highlight w:val="none"/>
        </w:rPr>
      </w:pPr>
      <w:bookmarkStart w:id="308" w:name="_Toc19199"/>
      <w:bookmarkStart w:id="309" w:name="_Toc15507"/>
      <w:bookmarkStart w:id="310" w:name="_Toc7136"/>
      <w:bookmarkStart w:id="311" w:name="_Toc1827"/>
      <w:bookmarkStart w:id="312" w:name="_Toc468402781"/>
      <w:r>
        <w:rPr>
          <w:rFonts w:hint="eastAsia" w:ascii="宋体" w:hAnsi="宋体" w:eastAsia="宋体" w:cs="宋体"/>
          <w:color w:val="auto"/>
          <w:highlight w:val="none"/>
        </w:rPr>
        <w:t>2、楼地面混凝土整体面层清单项目</w:t>
      </w:r>
      <w:bookmarkEnd w:id="308"/>
      <w:bookmarkEnd w:id="309"/>
      <w:bookmarkEnd w:id="310"/>
      <w:bookmarkEnd w:id="311"/>
      <w:bookmarkEnd w:id="312"/>
    </w:p>
    <w:p>
      <w:pPr>
        <w:pStyle w:val="57"/>
        <w:ind w:firstLine="496"/>
        <w:rPr>
          <w:rFonts w:hint="eastAsia" w:ascii="宋体" w:hAnsi="宋体" w:eastAsia="宋体" w:cs="宋体"/>
          <w:strike w:val="0"/>
          <w:dstrike w:val="0"/>
          <w:color w:val="auto"/>
          <w:szCs w:val="28"/>
          <w:highlight w:val="none"/>
        </w:rPr>
      </w:pPr>
      <w:r>
        <w:rPr>
          <w:rFonts w:hint="eastAsia" w:ascii="宋体" w:hAnsi="宋体" w:eastAsia="宋体" w:cs="宋体"/>
          <w:strike w:val="0"/>
          <w:dstrike w:val="0"/>
          <w:color w:val="auto"/>
          <w:szCs w:val="28"/>
          <w:highlight w:val="none"/>
        </w:rPr>
        <w:t>（1）混凝土整体面层（混凝土面层、找坡层、刚性防水层）计价综合考虑基底类型。</w:t>
      </w:r>
    </w:p>
    <w:p>
      <w:pPr>
        <w:pStyle w:val="57"/>
        <w:ind w:firstLine="496"/>
        <w:rPr>
          <w:rFonts w:hint="eastAsia" w:ascii="宋体" w:hAnsi="宋体" w:eastAsia="宋体" w:cs="宋体"/>
          <w:strike w:val="0"/>
          <w:dstrike w:val="0"/>
          <w:color w:val="auto"/>
          <w:szCs w:val="28"/>
          <w:highlight w:val="none"/>
        </w:rPr>
      </w:pPr>
      <w:r>
        <w:rPr>
          <w:rFonts w:hint="eastAsia" w:ascii="宋体" w:hAnsi="宋体" w:eastAsia="宋体" w:cs="宋体"/>
          <w:strike w:val="0"/>
          <w:dstrike w:val="0"/>
          <w:color w:val="auto"/>
          <w:szCs w:val="28"/>
          <w:highlight w:val="none"/>
        </w:rPr>
        <w:t>（2）计价包括基层处理、找平层、面层、混凝土制作、浇捣、养护、砂浆制作、摊铺、材料运输等相关费用。</w:t>
      </w:r>
    </w:p>
    <w:p>
      <w:pPr>
        <w:pStyle w:val="57"/>
        <w:ind w:firstLine="496"/>
        <w:rPr>
          <w:rFonts w:hint="eastAsia" w:ascii="宋体" w:hAnsi="宋体" w:eastAsia="宋体" w:cs="宋体"/>
          <w:strike w:val="0"/>
          <w:dstrike w:val="0"/>
          <w:color w:val="auto"/>
          <w:szCs w:val="28"/>
          <w:highlight w:val="none"/>
        </w:rPr>
      </w:pPr>
      <w:r>
        <w:rPr>
          <w:rFonts w:hint="eastAsia" w:ascii="宋体" w:hAnsi="宋体" w:eastAsia="宋体" w:cs="宋体"/>
          <w:strike w:val="0"/>
          <w:dstrike w:val="0"/>
          <w:color w:val="auto"/>
          <w:szCs w:val="28"/>
          <w:highlight w:val="none"/>
        </w:rPr>
        <w:t>（3）计量分砼等级、砼厚度、砂浆厚度按设计图示尺寸以面积计。扣除凸出地面构筑物、设备基础、室内铁道、地沟等所占面积，不扣除间壁墙及≤0.3㎡以内的柱、跺、附墙烟囱及孔洞所占面积。门洞、空圈、暖气包槽、壁龛的开口部分不增加面积。</w:t>
      </w:r>
    </w:p>
    <w:p>
      <w:pPr>
        <w:pStyle w:val="57"/>
        <w:ind w:firstLine="496"/>
        <w:rPr>
          <w:rFonts w:hint="eastAsia" w:ascii="宋体" w:hAnsi="宋体" w:eastAsia="宋体" w:cs="宋体"/>
          <w:strike w:val="0"/>
          <w:dstrike w:val="0"/>
          <w:color w:val="auto"/>
          <w:szCs w:val="28"/>
          <w:highlight w:val="none"/>
        </w:rPr>
      </w:pPr>
      <w:r>
        <w:rPr>
          <w:rFonts w:hint="eastAsia" w:ascii="宋体" w:hAnsi="宋体" w:eastAsia="宋体" w:cs="宋体"/>
          <w:strike w:val="0"/>
          <w:dstrike w:val="0"/>
          <w:color w:val="auto"/>
          <w:szCs w:val="28"/>
          <w:highlight w:val="none"/>
        </w:rPr>
        <w:t>（4）当砼等级、砼厚度发生变化时，调整面层材料的价差。</w:t>
      </w:r>
    </w:p>
    <w:p>
      <w:pPr>
        <w:pStyle w:val="65"/>
        <w:tabs>
          <w:tab w:val="left" w:pos="5175"/>
        </w:tabs>
        <w:spacing w:before="120" w:after="120" w:line="360" w:lineRule="auto"/>
        <w:outlineLvl w:val="0"/>
        <w:rPr>
          <w:rFonts w:hint="eastAsia" w:ascii="宋体" w:hAnsi="宋体" w:eastAsia="宋体" w:cs="宋体"/>
          <w:color w:val="auto"/>
          <w:highlight w:val="none"/>
        </w:rPr>
      </w:pPr>
      <w:bookmarkStart w:id="313" w:name="_Toc26020"/>
      <w:bookmarkStart w:id="314" w:name="_Toc468402782"/>
      <w:bookmarkStart w:id="315" w:name="_Toc30997"/>
      <w:bookmarkStart w:id="316" w:name="_Toc21397"/>
      <w:bookmarkStart w:id="317" w:name="_Toc19478"/>
      <w:r>
        <w:rPr>
          <w:rFonts w:hint="eastAsia" w:ascii="宋体" w:hAnsi="宋体" w:eastAsia="宋体" w:cs="宋体"/>
          <w:color w:val="auto"/>
          <w:highlight w:val="none"/>
        </w:rPr>
        <w:t>3、楼地面块料、石材清单项目</w:t>
      </w:r>
      <w:bookmarkEnd w:id="313"/>
      <w:bookmarkEnd w:id="314"/>
      <w:bookmarkEnd w:id="315"/>
      <w:bookmarkEnd w:id="316"/>
      <w:bookmarkEnd w:id="317"/>
      <w:r>
        <w:rPr>
          <w:rFonts w:hint="eastAsia" w:ascii="宋体" w:hAnsi="宋体" w:eastAsia="宋体" w:cs="宋体"/>
          <w:color w:val="auto"/>
          <w:highlight w:val="none"/>
        </w:rPr>
        <w:tab/>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楼地面块料、石材计价综合考虑块料厚度、颜色，石材的规格、颜色、铺贴样式、开孔尺寸、磨边形状、开槽类别、嵌缝、找平层及结合层砂浆种类、配合比、厚度等，包括基层处理、抹找平层、结合层、面层铺设、嵌缝、刷防护材料、块料（石材）损耗、下脚料、开孔、切角、磨边、抛光、防潮、防污、防渗漏、防锈、刷养护液或保护液、材料运输等相关费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楼地面块料计量分不同材料种类、规格，石材计量分不同厚度、不同材料种类，按设计图示尺寸以平方米计算。扣除凸出地面构筑物、设备基础、室内管道、地沟等所占面积，不扣除间壁墙和0.3m2以内的柱、跺、附墙烟囱及孔洞所占面积。门洞、空圈、暖气包槽、壁龛的开口部分不增加面积。楼梯（台阶）块料、石材面层的计量按设计图示尺寸水平投影面积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（3）当块料种类或规格、石材种类或厚度发生变更时，只调块料、石材的价差。</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（4）楼地面块料、石材面层下的防水层另列清单项目计量。</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（5）结算时，如砂浆种类、厚度、配合比变化而增加的费用均不作调整。</w:t>
      </w:r>
    </w:p>
    <w:p>
      <w:pPr>
        <w:pStyle w:val="65"/>
        <w:spacing w:before="120" w:after="120" w:line="360" w:lineRule="auto"/>
        <w:outlineLvl w:val="0"/>
        <w:rPr>
          <w:rFonts w:hint="eastAsia" w:ascii="宋体" w:hAnsi="宋体" w:eastAsia="宋体" w:cs="宋体"/>
          <w:color w:val="auto"/>
          <w:highlight w:val="none"/>
        </w:rPr>
      </w:pPr>
      <w:bookmarkStart w:id="318" w:name="_Toc32605"/>
      <w:bookmarkStart w:id="319" w:name="_Toc12173"/>
      <w:bookmarkStart w:id="320" w:name="_Toc4523"/>
      <w:bookmarkStart w:id="321" w:name="_Toc18471"/>
      <w:bookmarkStart w:id="322" w:name="_Toc468402785"/>
      <w:r>
        <w:rPr>
          <w:rFonts w:hint="eastAsia" w:ascii="宋体" w:hAnsi="宋体" w:eastAsia="宋体" w:cs="宋体"/>
          <w:color w:val="auto"/>
          <w:highlight w:val="none"/>
        </w:rPr>
        <w:t>4、防静电地板项目</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（1）计价综合考虑面层材料规格、颜色，支架种类及规格，防护材料种类等。</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（2）计价包括支架、基层、面层、防护、材料运输等相关费用。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（3）计量分面层材料按设计图示尺寸以面积计算。门洞、空圈、暖气包槽、壁龛的开口部分并入相应的工程量内。</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（4）当面层材料种类发生变更时，调整面层材料的价差；当支架高度发生变化时，调整支架材料价差。</w:t>
      </w:r>
    </w:p>
    <w:p>
      <w:pPr>
        <w:pStyle w:val="65"/>
        <w:spacing w:before="120" w:after="120" w:line="360" w:lineRule="auto"/>
        <w:outlineLvl w:val="0"/>
        <w:rPr>
          <w:rFonts w:hint="eastAsia" w:ascii="宋体" w:hAnsi="宋体" w:eastAsia="宋体" w:cs="宋体"/>
          <w:color w:val="auto"/>
          <w:highlight w:val="none"/>
        </w:rPr>
      </w:pPr>
      <w:bookmarkStart w:id="323" w:name="_Toc18970"/>
      <w:bookmarkStart w:id="324" w:name="_Toc403031689"/>
      <w:bookmarkStart w:id="325" w:name="_Toc488330457"/>
      <w:bookmarkStart w:id="326" w:name="_Toc10057"/>
      <w:bookmarkStart w:id="327" w:name="_Toc14633"/>
      <w:bookmarkStart w:id="328" w:name="_Toc440446420"/>
      <w:bookmarkStart w:id="329" w:name="_Toc400614623"/>
      <w:r>
        <w:rPr>
          <w:rFonts w:hint="eastAsia" w:ascii="宋体" w:hAnsi="宋体" w:eastAsia="宋体" w:cs="宋体"/>
          <w:color w:val="auto"/>
          <w:highlight w:val="none"/>
        </w:rPr>
        <w:t>5、水泥砂浆楼地面</w:t>
      </w:r>
      <w:bookmarkEnd w:id="323"/>
      <w:bookmarkEnd w:id="324"/>
      <w:bookmarkEnd w:id="325"/>
      <w:bookmarkEnd w:id="326"/>
      <w:bookmarkEnd w:id="327"/>
      <w:bookmarkEnd w:id="328"/>
      <w:bookmarkEnd w:id="329"/>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（1）计价综合考虑砂浆种类、配合比、厚度、基底类型。</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（2）计价包括基层处理、找平层、面层、分格缝制作、嵌缝、材料运输等相关费用。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计量按设计图示尺寸以面积计算。扣除凸出地面构筑物、设备基础、室内铁道、地沟等所占面积，不扣除间壁墙及≤0.3㎡以内的柱、跺、附墙烟囱及孔洞所占面积。门洞、空圈、暖气包槽、壁龛的开口部分不增加面积。</w:t>
      </w:r>
    </w:p>
    <w:p>
      <w:pPr>
        <w:pStyle w:val="65"/>
        <w:spacing w:before="120" w:after="120" w:line="360" w:lineRule="auto"/>
        <w:outlineLvl w:val="0"/>
        <w:rPr>
          <w:rFonts w:hint="eastAsia" w:ascii="宋体" w:hAnsi="宋体" w:eastAsia="宋体" w:cs="宋体"/>
          <w:color w:val="auto"/>
          <w:highlight w:val="none"/>
        </w:rPr>
      </w:pPr>
      <w:r>
        <w:rPr>
          <w:rFonts w:hint="eastAsia" w:ascii="宋体" w:hAnsi="宋体" w:eastAsia="宋体" w:cs="宋体"/>
          <w:color w:val="auto"/>
          <w:highlight w:val="none"/>
        </w:rPr>
        <w:t>6、墙柱面块料、石材清单项目</w:t>
      </w:r>
      <w:bookmarkEnd w:id="318"/>
      <w:bookmarkEnd w:id="319"/>
      <w:bookmarkEnd w:id="320"/>
      <w:bookmarkEnd w:id="321"/>
      <w:bookmarkEnd w:id="322"/>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墙柱面块料计价综合考虑圆、弧、锯齿等不规则墙面、块料的厚度、颜色、铺贴样式，开孔、磨边及形式、抛光、开槽、嵌缝、找平层及结合层砂浆（水泥胶结合层）种类及水泥砂浆的厚度、配合比、厚度等，包括基层清理、底层、结合层、块料损耗、下脚料、开孔、切角、磨边、打蜡、嵌缝、抛光、开槽、防潮、防污、防渗漏、防锈等相关费用。墙柱梁面挂贴石材计价综合考虑圆、弧、锯齿等不规则墙面、石材的规格、颜色、挂贴样式，开孔、磨边、抛光、开槽、骨架的类型、规格、中距等相关费用，包括石材面层挂贴、石材扶手加工、骨架制作、安装、油漆，石材切角、磨边、开孔、开槽、填灰缝、填缝膏、粘接胶水、不锈钢挂件、防潮、防污、防渗漏、防锈、刷养护液或保护液，石材及骨架的损耗、下脚料等相关费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（2）墙、柱、梁面陶瓷块料计量分不同材料种类、规格按设计图示尺寸以平方米计算。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（3）墙、柱、梁面石材计量分不同种类、厚度按设计图示尺寸以平方米计算。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（4）踢脚线计价综合考虑块料规格、厚度、颜色。块料踢脚线计量分不同材料种类按设计图示尺寸以平方米计算。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（5）当墙、柱、梁面陶瓷块料种类、规格及块料踢脚线种类发生变更时，只调陶瓷块料的价差。</w:t>
      </w:r>
    </w:p>
    <w:p>
      <w:pPr>
        <w:pStyle w:val="57"/>
        <w:ind w:left="496" w:leftChars="236"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（6）块料面层下的防水层另列清单项目计量。对部分块料下面有做防水卷材的地方，防水保护层已作为找平层的，找平层不另计。</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（7）结算时，因各类管线施工或其它任何原因致使找平层及结合层厚度变化而增减的费用均不作调整。</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（8）结算时，如砂浆种类、厚度、配合比变化而增加的费用均不作调整。</w:t>
      </w:r>
    </w:p>
    <w:p>
      <w:pPr>
        <w:pStyle w:val="65"/>
        <w:spacing w:before="120" w:after="120" w:line="360" w:lineRule="auto"/>
        <w:outlineLvl w:val="0"/>
        <w:rPr>
          <w:rFonts w:hint="eastAsia" w:ascii="宋体" w:hAnsi="宋体" w:eastAsia="宋体" w:cs="宋体"/>
          <w:color w:val="auto"/>
          <w:highlight w:val="none"/>
        </w:rPr>
      </w:pPr>
      <w:bookmarkStart w:id="330" w:name="_Toc15441"/>
      <w:bookmarkStart w:id="331" w:name="_Toc29040"/>
      <w:bookmarkStart w:id="332" w:name="_Toc8438"/>
      <w:bookmarkStart w:id="333" w:name="_Toc468402786"/>
      <w:bookmarkStart w:id="334" w:name="_Toc27913"/>
      <w:r>
        <w:rPr>
          <w:rFonts w:hint="eastAsia" w:ascii="宋体" w:hAnsi="宋体" w:eastAsia="宋体" w:cs="宋体"/>
          <w:color w:val="auto"/>
          <w:highlight w:val="none"/>
        </w:rPr>
        <w:t>7、水泥砂浆踢脚线清单项目</w:t>
      </w:r>
      <w:bookmarkEnd w:id="330"/>
      <w:bookmarkEnd w:id="331"/>
      <w:bookmarkEnd w:id="332"/>
      <w:bookmarkEnd w:id="333"/>
      <w:bookmarkEnd w:id="334"/>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（1）水泥砂浆踢脚线计价综合考虑砂浆种类、厚度、配合比、基底类型，包括修整表面、基层处理、砂浆制作、运输、抹灰、找平、罩面、压光等相关费用。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（2）水泥砂浆踢脚线计量按设计图示结构面以平方米计算。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（3）结算时，如砂浆种类、厚度、配合比变化而增加的费用均不作调整。</w:t>
      </w:r>
    </w:p>
    <w:p>
      <w:pPr>
        <w:pStyle w:val="65"/>
        <w:spacing w:before="120" w:after="120" w:line="360" w:lineRule="auto"/>
        <w:outlineLvl w:val="0"/>
        <w:rPr>
          <w:rFonts w:hint="eastAsia" w:ascii="宋体" w:hAnsi="宋体" w:eastAsia="宋体" w:cs="宋体"/>
          <w:color w:val="auto"/>
          <w:highlight w:val="none"/>
        </w:rPr>
      </w:pPr>
      <w:bookmarkStart w:id="335" w:name="_Toc12023"/>
      <w:bookmarkStart w:id="336" w:name="_Toc17732"/>
      <w:bookmarkStart w:id="337" w:name="_Toc31741"/>
      <w:bookmarkStart w:id="338" w:name="_Toc19315"/>
      <w:bookmarkStart w:id="339" w:name="_Toc468402791"/>
      <w:r>
        <w:rPr>
          <w:rFonts w:hint="eastAsia" w:ascii="宋体" w:hAnsi="宋体" w:eastAsia="宋体" w:cs="宋体"/>
          <w:color w:val="auto"/>
          <w:highlight w:val="none"/>
        </w:rPr>
        <w:t>8、门窗工程（含铝合金门窗）清单项目</w:t>
      </w:r>
      <w:bookmarkEnd w:id="335"/>
      <w:bookmarkEnd w:id="336"/>
      <w:bookmarkEnd w:id="337"/>
      <w:bookmarkEnd w:id="338"/>
      <w:bookmarkEnd w:id="339"/>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门窗工程中的铝合金门窗由投标人负责深化设计，深化图纸需经过甲方确认后方可实施，投标人在投标报价时须充分考虑深化设计费及由此引起的相关费用。实际实施时，不因由此引致的人工、主材设备、辅材及机械的消耗量变化等任何原因而增加任何费用，综合单价不予调整。</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门、窗分不同类型、材质、玻璃种类及厚度、开启方式按设计图示尺寸以洞口面积计算。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门计价综合考虑门框（套）、门扇、亮子、玻璃、门锁、拉手、磁吸、闭门器、限位器、地弹簧、特殊五金、各种小五金配件、贴脸、盖口条、披水条、油漆、刷防腐油、塞口、填缝、运输等相关费用。钢材饰面计价综合考虑钢板的规格、安装方式，开孔、开槽等相关费用，包括钢材面层的加工、安装、开孔、开槽、粘接胶水、挂件、防污、运输等相关费用；石材饰面计价综合考虑石材的种类、规格、颜色、粘贴样式，开孔、磨边、抛光、开槽、等相关费用，包括石材面层粘贴、石材切角、磨边、开孔、开槽、粘接胶水、挂件、防潮、防污、防渗漏、防锈、刷养护液或保护液，石材的损耗、下脚料等相关费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（2）窗的计价包括框扇、玻璃、运输、安装、打胶、五金配件、限位器、周边塞缝防腐、防雷处理等相关费用。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（3）防火卷帘计价综合考虑卷帘规格、启动装置、五金、特殊五金、卷帘（闸）门、活动小门等制作、安装、运输相关费用。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（4）组合门窗，窗户类型面积比例，门连窗中，门、窗面积比例发生变更时，综合单价不做调整。</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（5）当门窗材质、玻璃发生变更时，只调整门窗玻璃材料的价差。门窗系列、铝型材的厚度、颜色、型材面层做法（氟碳喷涂除外）发生变更时，综合单价不做调整。</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（6）当主入口大门闭门器、地弹簧、拉手发生变更时，只调整相应闭门器、地弹簧、拉手的价差。</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（7）电动伸缩门计价综合考虑伸缩门规格、驱动装置规格、行走轨道埋设、配套控制箱成套设备、特殊五金等制作、安装、运输等相关费用。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（8）防火门综合考虑单、双扇防火门制作、安装，五金、门锁、闭门器、观察窗、防护材料等；计价包括制作、安装，五金、门锁、闭门器、防护等费用。按不同等级分别计算。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（9）防火窗综合考虑防火窗制作、安装，五金、玻璃、型材、辅材材料等；计价包括制作、安装，五金、防护等费用。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（10）木门综合考虑单、双扇木门制作、安装，五金、门锁、闭门器、防护材料等；计价包括制作、安装，五金、门锁、闭门器、防护等费用。满足设计及防火验收规范要求。</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（11）铝合金窗包含推拉窗、固定窗及平开窗，计价时综合考虑。</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（12）铝合金窗施工所用的吊篮已在铝合金窗单价综合考虑，不在另外计算该项费用。</w:t>
      </w:r>
    </w:p>
    <w:p>
      <w:pPr>
        <w:pStyle w:val="65"/>
        <w:spacing w:before="120" w:after="120" w:line="360" w:lineRule="auto"/>
        <w:outlineLvl w:val="0"/>
        <w:rPr>
          <w:rFonts w:hint="eastAsia" w:ascii="宋体" w:hAnsi="宋体" w:eastAsia="宋体" w:cs="宋体"/>
          <w:color w:val="auto"/>
          <w:highlight w:val="none"/>
        </w:rPr>
      </w:pPr>
      <w:bookmarkStart w:id="340" w:name="_Toc468402792"/>
      <w:bookmarkStart w:id="341" w:name="_Toc21151"/>
      <w:bookmarkStart w:id="342" w:name="_Toc7196"/>
      <w:bookmarkStart w:id="343" w:name="_Toc4360"/>
      <w:bookmarkStart w:id="344" w:name="_Toc17844"/>
      <w:r>
        <w:rPr>
          <w:rFonts w:hint="eastAsia" w:ascii="宋体" w:hAnsi="宋体" w:eastAsia="宋体" w:cs="宋体"/>
          <w:color w:val="auto"/>
          <w:highlight w:val="none"/>
        </w:rPr>
        <w:t>9、金属栏杆、金属扶手清单项目</w:t>
      </w:r>
      <w:bookmarkEnd w:id="340"/>
      <w:bookmarkEnd w:id="341"/>
      <w:bookmarkEnd w:id="342"/>
      <w:bookmarkEnd w:id="343"/>
      <w:bookmarkEnd w:id="344"/>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金属栏杆、金属扶手工程由投标人负责深化设计，投标人在投标报价时须充分考虑深化设计费、行政主管部门验收要求及由此引起的相关费用。实际实施时，不因由此引致的人工、主材设备、辅材及机械的消耗量变化（含栏杆高度变化）等任何原因而增加任何费用，综合单价不予调整。</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（1）金属栏杆、金属扶手计价综合各金属管壁厚、栏杆（栏板）样式、栏杆规格，栏板平面尺寸、固定配件种类，包括金属栏杆、金属扶手的制作、安装、油漆、运输、材料的损耗及辅材等相关费用。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（2）金属栏杆、金属扶手的计量分不同高度、材料按设计图示尺寸以长度（包括弯头）计算。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（3）当金属栏杆、金属扶手材质发生变更时，只调整栏杆、栏板、扶手材料的价差。</w:t>
      </w:r>
    </w:p>
    <w:p>
      <w:pPr>
        <w:pStyle w:val="65"/>
        <w:spacing w:before="120" w:after="120" w:line="360" w:lineRule="auto"/>
        <w:outlineLvl w:val="0"/>
        <w:rPr>
          <w:rFonts w:hint="eastAsia" w:ascii="宋体" w:hAnsi="宋体" w:eastAsia="宋体" w:cs="宋体"/>
          <w:bCs/>
          <w:color w:val="auto"/>
          <w:highlight w:val="none"/>
        </w:rPr>
      </w:pPr>
      <w:bookmarkStart w:id="345" w:name="_Hlk83204556"/>
      <w:r>
        <w:rPr>
          <w:rFonts w:hint="eastAsia" w:ascii="宋体" w:hAnsi="宋体" w:eastAsia="宋体" w:cs="宋体"/>
          <w:bCs/>
          <w:color w:val="auto"/>
          <w:highlight w:val="none"/>
        </w:rPr>
        <w:t>10、玻璃栏杆清单项目</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玻璃栏杆计价综合各金属管壁厚、栏杆（栏板）样式、栏杆规格，栏板平面尺寸、固定配件种类，包括玻璃栏杆、金属扶手的制作、安装、油漆、运输、材料的损耗及辅材等相关费用。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玻璃栏杆、金属扶手的计量分不同高度、材料按设计图示尺寸以长度（包括弯头）计算。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当玻璃栏杆、金属扶手材质发生变更时，只调整栏杆、栏板、扶手材料的价差。</w:t>
      </w:r>
    </w:p>
    <w:bookmarkEnd w:id="345"/>
    <w:p>
      <w:pPr>
        <w:pStyle w:val="65"/>
        <w:spacing w:before="120" w:after="120" w:line="360" w:lineRule="auto"/>
        <w:outlineLvl w:val="0"/>
        <w:rPr>
          <w:rFonts w:hint="eastAsia" w:ascii="宋体" w:hAnsi="宋体" w:eastAsia="宋体" w:cs="宋体"/>
          <w:color w:val="auto"/>
          <w:highlight w:val="none"/>
        </w:rPr>
      </w:pPr>
      <w:r>
        <w:rPr>
          <w:rFonts w:hint="eastAsia" w:ascii="宋体" w:hAnsi="宋体" w:eastAsia="宋体" w:cs="宋体"/>
          <w:color w:val="auto"/>
          <w:highlight w:val="none"/>
        </w:rPr>
        <w:t>11、玻璃隔断清单项目</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（1）玻璃隔断计价综合考虑骨架、配件、封边、小五金配件、相关材料的损耗及辅材等费用。</w:t>
      </w:r>
    </w:p>
    <w:p>
      <w:pPr>
        <w:pStyle w:val="57"/>
        <w:ind w:left="479" w:leftChars="228"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（2）玻璃隔断的计量分不同材质按设计图示框外围尺寸以垂直投影面积计算。</w:t>
      </w:r>
    </w:p>
    <w:p>
      <w:pPr>
        <w:pStyle w:val="57"/>
        <w:ind w:left="479" w:leftChars="228"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（3）当隔断材质、厚度发生变更时，只调整隔断材料的价差。</w:t>
      </w:r>
    </w:p>
    <w:p>
      <w:pPr>
        <w:pStyle w:val="65"/>
        <w:spacing w:before="120" w:after="120" w:line="360" w:lineRule="auto"/>
        <w:outlineLvl w:val="0"/>
        <w:rPr>
          <w:rFonts w:hint="eastAsia" w:ascii="宋体" w:hAnsi="宋体" w:eastAsia="宋体" w:cs="宋体"/>
          <w:color w:val="auto"/>
          <w:highlight w:val="none"/>
        </w:rPr>
      </w:pPr>
      <w:bookmarkStart w:id="346" w:name="_Toc2380"/>
      <w:bookmarkStart w:id="347" w:name="_Toc468402797"/>
      <w:bookmarkStart w:id="348" w:name="_Toc29268"/>
      <w:bookmarkStart w:id="349" w:name="_Toc25649"/>
      <w:bookmarkStart w:id="350" w:name="_Toc2645"/>
      <w:r>
        <w:rPr>
          <w:rFonts w:hint="eastAsia" w:ascii="宋体" w:hAnsi="宋体" w:eastAsia="宋体" w:cs="宋体"/>
          <w:color w:val="auto"/>
          <w:highlight w:val="none"/>
        </w:rPr>
        <w:t>12、油漆、涂料、糊裱清单项目</w:t>
      </w:r>
      <w:bookmarkEnd w:id="346"/>
      <w:bookmarkEnd w:id="347"/>
      <w:bookmarkEnd w:id="348"/>
      <w:bookmarkEnd w:id="349"/>
      <w:bookmarkEnd w:id="350"/>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油漆、涂料计价综合考虑油漆、腻子遍数，颜色、腻子种类、基底类型，包括基层清理、刮腻子、油漆、刷喷涂料；裱糊清单计价综合考虑腻子种类、遍数，粘结材料、墙纸的类型，包括基层清扫、刮腻子、磨砂纸、刷底油、配制贴面材料、裱糊刷胶、裁墙纸、贴装饰面等相关费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（2）计量分不同部位、材料按图示尺寸以平方米计算。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（3）当油漆、涂料、裱糊材料发生变更时，只调整油漆、涂料、墙纸材料价差。</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（4）外墙涂料单价已综合考虑吊篮、拉缝等费用，不在单独计算。</w:t>
      </w:r>
    </w:p>
    <w:p>
      <w:pPr>
        <w:pStyle w:val="65"/>
        <w:spacing w:before="120" w:after="120" w:line="360" w:lineRule="auto"/>
        <w:outlineLvl w:val="0"/>
        <w:rPr>
          <w:rFonts w:hint="eastAsia" w:ascii="宋体" w:hAnsi="宋体" w:eastAsia="宋体" w:cs="宋体"/>
          <w:color w:val="auto"/>
          <w:highlight w:val="none"/>
        </w:rPr>
      </w:pPr>
      <w:bookmarkStart w:id="351" w:name="_Toc3127"/>
      <w:bookmarkStart w:id="352" w:name="_Toc8617"/>
      <w:bookmarkStart w:id="353" w:name="_Toc211824172"/>
      <w:bookmarkStart w:id="354" w:name="_Toc14733"/>
      <w:bookmarkStart w:id="355" w:name="_Toc24973"/>
      <w:bookmarkStart w:id="356" w:name="_Toc468402800"/>
      <w:bookmarkStart w:id="357" w:name="_Toc248914695"/>
      <w:r>
        <w:rPr>
          <w:rFonts w:hint="eastAsia" w:ascii="宋体" w:hAnsi="宋体" w:eastAsia="宋体" w:cs="宋体"/>
          <w:color w:val="auto"/>
          <w:highlight w:val="none"/>
        </w:rPr>
        <w:t>13、墙、柱面钉挂网清单项目</w:t>
      </w:r>
      <w:bookmarkEnd w:id="351"/>
      <w:bookmarkEnd w:id="352"/>
      <w:bookmarkEnd w:id="353"/>
      <w:bookmarkEnd w:id="354"/>
      <w:bookmarkEnd w:id="355"/>
      <w:bookmarkEnd w:id="356"/>
      <w:bookmarkEnd w:id="357"/>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（1）挂网计价综合考虑品种、材质、规格、厚度，包括剪钢（铁）网、安装、安膨胀螺栓、运输等一切相关费用。</w:t>
      </w:r>
    </w:p>
    <w:p>
      <w:pPr>
        <w:pStyle w:val="57"/>
        <w:spacing w:before="120" w:after="120"/>
        <w:ind w:firstLine="496"/>
        <w:rPr>
          <w:rFonts w:hint="eastAsia" w:ascii="宋体" w:hAnsi="宋体" w:eastAsia="宋体" w:cs="宋体"/>
          <w:color w:val="auto"/>
          <w:highlight w:val="none"/>
        </w:rPr>
      </w:pPr>
      <w:r>
        <w:rPr>
          <w:rFonts w:hint="eastAsia" w:ascii="宋体" w:hAnsi="宋体" w:eastAsia="宋体" w:cs="宋体"/>
          <w:color w:val="auto"/>
          <w:highlight w:val="none"/>
        </w:rPr>
        <w:t>（2）挂网计量按设计图示尺寸以平方米计量。</w:t>
      </w:r>
    </w:p>
    <w:p>
      <w:pPr>
        <w:pStyle w:val="65"/>
        <w:spacing w:before="120" w:after="120" w:line="360" w:lineRule="auto"/>
        <w:outlineLvl w:val="0"/>
        <w:rPr>
          <w:rFonts w:hint="eastAsia" w:ascii="宋体" w:hAnsi="宋体" w:eastAsia="宋体" w:cs="宋体"/>
          <w:color w:val="auto"/>
          <w:highlight w:val="none"/>
        </w:rPr>
      </w:pPr>
      <w:bookmarkStart w:id="358" w:name="_Toc23059"/>
      <w:bookmarkStart w:id="359" w:name="_Toc11585"/>
      <w:bookmarkStart w:id="360" w:name="_Toc31925"/>
      <w:bookmarkStart w:id="361" w:name="_Toc831"/>
      <w:bookmarkStart w:id="362" w:name="_Toc468402807"/>
      <w:r>
        <w:rPr>
          <w:rFonts w:hint="eastAsia" w:ascii="宋体" w:hAnsi="宋体" w:eastAsia="宋体" w:cs="宋体"/>
          <w:color w:val="auto"/>
          <w:highlight w:val="none"/>
        </w:rPr>
        <w:t>14、自流坪楼地面清单项目</w:t>
      </w:r>
      <w:bookmarkEnd w:id="358"/>
      <w:bookmarkEnd w:id="359"/>
      <w:bookmarkEnd w:id="360"/>
      <w:bookmarkEnd w:id="361"/>
      <w:bookmarkEnd w:id="362"/>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（1）自流坪地面计价综合考虑面层材料颜色、品种、厚度、不同品牌的主材使用量，基底类型、厚度，包括修整表面、基层处理、砂浆制作、抹灰、找平、罩面、压光、面层铺设、打蜡、材料运输等相关费用。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自流坪地面计量按设计图示尺寸以平方米计算。扣除凸出地面构筑物、设备基础、室内铁道、地沟等所占面积，不扣除间壁墙及≤0.3㎡以内的柱、跺、附墙烟囱及孔洞所占面积。门洞、空圈、暖气包槽、壁龛的开口部分不增加面积。</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（3）结算时，因各类管线施工或其它任何原因（除设计要求外）致使厚度变化而增减的费用均不作调整。</w:t>
      </w:r>
    </w:p>
    <w:p>
      <w:pPr>
        <w:pStyle w:val="65"/>
        <w:spacing w:before="120" w:after="120" w:line="360" w:lineRule="auto"/>
        <w:outlineLvl w:val="0"/>
        <w:rPr>
          <w:rFonts w:hint="eastAsia" w:ascii="宋体" w:hAnsi="宋体" w:eastAsia="宋体" w:cs="宋体"/>
          <w:color w:val="auto"/>
          <w:highlight w:val="none"/>
        </w:rPr>
      </w:pPr>
      <w:r>
        <w:rPr>
          <w:rFonts w:hint="eastAsia" w:ascii="宋体" w:hAnsi="宋体" w:eastAsia="宋体" w:cs="宋体"/>
          <w:color w:val="auto"/>
          <w:highlight w:val="none"/>
        </w:rPr>
        <w:t>15、外立面</w:t>
      </w:r>
      <w:bookmarkEnd w:id="295"/>
      <w:bookmarkEnd w:id="296"/>
      <w:bookmarkEnd w:id="297"/>
      <w:r>
        <w:rPr>
          <w:rFonts w:hint="eastAsia" w:ascii="宋体" w:hAnsi="宋体" w:eastAsia="宋体" w:cs="宋体"/>
          <w:color w:val="auto"/>
          <w:highlight w:val="none"/>
        </w:rPr>
        <w:t>工程</w:t>
      </w:r>
      <w:bookmarkEnd w:id="298"/>
      <w:bookmarkEnd w:id="299"/>
      <w:bookmarkEnd w:id="300"/>
      <w:bookmarkEnd w:id="301"/>
    </w:p>
    <w:p>
      <w:pPr>
        <w:pStyle w:val="57"/>
        <w:ind w:firstLine="496"/>
        <w:rPr>
          <w:rFonts w:hint="eastAsia" w:ascii="宋体" w:hAnsi="宋体" w:eastAsia="宋体" w:cs="宋体"/>
          <w:color w:val="auto"/>
          <w:highlight w:val="none"/>
        </w:rPr>
      </w:pPr>
      <w:bookmarkStart w:id="363" w:name="_Toc27933"/>
      <w:bookmarkStart w:id="364" w:name="_Toc7267"/>
      <w:bookmarkStart w:id="365" w:name="_Toc19878"/>
      <w:bookmarkStart w:id="366" w:name="_Toc26880"/>
      <w:r>
        <w:rPr>
          <w:rFonts w:hint="eastAsia" w:ascii="宋体" w:hAnsi="宋体" w:eastAsia="宋体" w:cs="宋体"/>
          <w:color w:val="auto"/>
          <w:highlight w:val="none"/>
        </w:rPr>
        <w:t>外立面工程范围包括：铝合金装饰线条、石材墙面、柱面、铝板墙面、铝合金格栅、铝合金格栅百叶、玻璃雨棚、钢柱、雨棚水沟及相关配件等。在合同执行期内综合单价不变，不得调整。</w:t>
      </w:r>
    </w:p>
    <w:p>
      <w:pPr>
        <w:pStyle w:val="57"/>
        <w:ind w:firstLine="496"/>
        <w:rPr>
          <w:rFonts w:hint="eastAsia" w:ascii="宋体" w:hAnsi="宋体" w:eastAsia="宋体" w:cs="宋体"/>
          <w:bCs/>
          <w:color w:val="auto"/>
          <w:highlight w:val="none"/>
        </w:rPr>
      </w:pPr>
      <w:r>
        <w:rPr>
          <w:rFonts w:hint="eastAsia" w:ascii="宋体" w:hAnsi="宋体" w:eastAsia="宋体" w:cs="宋体"/>
          <w:bCs/>
          <w:color w:val="auto"/>
          <w:highlight w:val="none"/>
        </w:rPr>
        <w:t>外立面检测材料、样品制作费：为满足外立面工程“四性”检测，投标人提供材料、样品制作及配合检测等所发的费用，费用含在已报综合考虑在投标报价内。</w:t>
      </w:r>
    </w:p>
    <w:bookmarkEnd w:id="302"/>
    <w:bookmarkEnd w:id="363"/>
    <w:bookmarkEnd w:id="364"/>
    <w:bookmarkEnd w:id="365"/>
    <w:bookmarkEnd w:id="366"/>
    <w:p>
      <w:pPr>
        <w:pStyle w:val="57"/>
        <w:ind w:firstLine="496"/>
        <w:rPr>
          <w:rFonts w:hint="eastAsia" w:ascii="宋体" w:hAnsi="宋体" w:eastAsia="宋体" w:cs="宋体"/>
          <w:color w:val="auto"/>
          <w:highlight w:val="none"/>
        </w:rPr>
      </w:pPr>
      <w:bookmarkStart w:id="367" w:name="_Toc21266"/>
      <w:bookmarkStart w:id="368" w:name="_Toc468402809"/>
      <w:bookmarkStart w:id="369" w:name="_Toc26791"/>
      <w:bookmarkStart w:id="370" w:name="_Toc15630"/>
      <w:bookmarkStart w:id="371" w:name="_Toc389206525"/>
      <w:bookmarkStart w:id="372" w:name="_Toc14598"/>
      <w:r>
        <w:rPr>
          <w:rFonts w:hint="eastAsia" w:ascii="宋体" w:hAnsi="宋体" w:eastAsia="宋体" w:cs="宋体"/>
          <w:color w:val="auto"/>
          <w:highlight w:val="none"/>
        </w:rPr>
        <w:t>（1）玻璃幕墙计价综合考虑开启窗、开启器、防火隔断、保温棉、骨架规格、中距、骨架防护及饰面、骨架热镀锌处理、连接配件种类及规格、连接配件防护及饰面（铝合金扣盖等）、装饰条、封边条、防雷装置等安装方式，包括面层、开启窗、开启器、电动机（电气接线除外）、防火隔断、骨架、骨架饰面（铝合金扣盖等）等制作、安装、相关配件的制安、运输、油漆、嵌缝、塞口、清洗等相关费用；以及可能发生的预留孔洞、与装饰装修交接位的界面收口等按图纸和规范要求而进行的一切相关费用。计量分面层材质、厚度，骨架材质，按设计图示框外围尺寸以面积计算，与幕墙相同材质的窗所占的面积不扣除。</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石材墙、柱、门套面计价综合考虑圆、弧、锯齿等不规则墙面、柱面、门套面石材的种类、石材面层处理、规格、颜色、干挂样式，开孔、磨边、抛光、开槽、骨架的类型、规格、中距、骨架热镀锌处理、防雷装置等相关费用，包括石材面层干挂、骨架制作、安装、油漆，石材切角、磨边、开孔、开槽、填缝膏、粘接胶水、不锈钢挂件、防潮、防污、防渗漏、防锈、刷养护液或保护液，石材及骨架的损耗、下脚料等一切相关费用。计量分面层材料种类、厚度，按设计图示尺寸以面积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铝板墙面计价综合考虑开启窗、开启器、骨架的类型、规格、中距、连接件、固定配件、油漆、骨架热镀锌处理、防雷装置等，包括制作、安装、油漆、运输、材料的损耗及辅材等一切相关费用。计量分面层材料种类、厚度，按设计图示尺寸以面积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4）铝合金格栅百叶、铝合金格栅计价综合考虑圆、弧、锯齿等不规则格栅百叶、开启器、开启或固定方式、骨架的类型、规格、中距、连接件、固定配件、油漆、骨架热镀锌处理、防雷装置等，包括制作、安装、油漆、运输、材料的损耗及辅材等一切相关费用。计量分面层材料种类、厚度，按设计图示尺寸以面积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（5）玻璃雨蓬清单项目</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玻璃雨棚计价综合考虑开骨架的制作、运输、安装，光棚（雨棚）高度、骨架的型材、玻璃分格、封边、钢柱、钢梁、油漆处理、防火保温处理等。计价时包括玻璃爪件、玻璃、铝板、骨架、镀锌铁件、配件、结构胶、耐候胶、防雷处理、运输等一切相关费用。计量分不同面层材质、厚度按设计图示水平投影面积计算。该项目施工工序所要求收口面积内的所有工程量，均不再单独计量。</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（6）铝合金金属装饰条清单项目</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装饰线条计价综合考虑面板及骨架的制作、运输、安装，安装高度、骨架的型材、玻璃分格、封边、规格等。计价时包括爪件、铝板、骨架、镀锌铁件、配件、结构胶、耐候胶、防雷处理、运输等一切相关费用。计量分面层材料种类按设计图示以长度计算，当面层材料发生变更时，调整面层材料的价差。</w:t>
      </w:r>
    </w:p>
    <w:p>
      <w:pPr>
        <w:pStyle w:val="65"/>
        <w:spacing w:before="120" w:after="120" w:line="360" w:lineRule="auto"/>
        <w:outlineLvl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t>四、机电安装工程</w:t>
      </w:r>
      <w:bookmarkEnd w:id="367"/>
      <w:bookmarkEnd w:id="368"/>
      <w:bookmarkEnd w:id="369"/>
      <w:bookmarkEnd w:id="370"/>
      <w:bookmarkEnd w:id="371"/>
      <w:bookmarkEnd w:id="372"/>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请投标人根据图纸设计要求并结合相关图集、施工规范及验收要求，综合考虑各种材料及设备安装（敷设）方式、规格尺寸、接地方式、连接方式等风险因素，综合考虑施工所有设备的基础及预留(埋)所有管道穿墙、板、梁、池壁等部位的全部预留孔(洞)、预埋套管 (包括地下室、水箱间及人防区、消防、燃气等) ，还包含所有管道穿墙、板、梁、池壁等部位的开洞等，并负责管道与套管及套管与建筑结构间封堵（包括剪力墙、楼板开洞，以及前期预留多余的套管和洞口的封堵）等风险因素自行报价，相关费用已综合考虑在相应清单子目中，不另行计价，结算时不作调整。另，机电安装工程报价须综合考虑接地防雷费用、管道试压费用、消毒冲洗费用。</w:t>
      </w:r>
    </w:p>
    <w:p>
      <w:pPr>
        <w:spacing w:line="360" w:lineRule="auto"/>
        <w:outlineLvl w:val="0"/>
        <w:rPr>
          <w:rFonts w:hint="eastAsia" w:ascii="宋体" w:hAnsi="宋体" w:eastAsia="宋体" w:cs="宋体"/>
          <w:b/>
          <w:color w:val="auto"/>
          <w:sz w:val="28"/>
          <w:szCs w:val="28"/>
          <w:highlight w:val="none"/>
        </w:rPr>
      </w:pPr>
      <w:bookmarkStart w:id="373" w:name="_Toc400634342"/>
      <w:bookmarkStart w:id="374" w:name="_Toc468402810"/>
      <w:bookmarkStart w:id="375" w:name="_Toc21320"/>
      <w:bookmarkStart w:id="376" w:name="_Toc15025"/>
      <w:bookmarkStart w:id="377" w:name="_Toc3133"/>
      <w:bookmarkStart w:id="378" w:name="_Toc29316"/>
      <w:r>
        <w:rPr>
          <w:rFonts w:hint="eastAsia" w:ascii="宋体" w:hAnsi="宋体" w:eastAsia="宋体" w:cs="宋体"/>
          <w:b/>
          <w:color w:val="auto"/>
          <w:sz w:val="28"/>
          <w:szCs w:val="28"/>
          <w:highlight w:val="none"/>
        </w:rPr>
        <w:t>1、</w:t>
      </w:r>
      <w:r>
        <w:rPr>
          <w:rFonts w:hint="eastAsia" w:ascii="宋体" w:hAnsi="宋体" w:eastAsia="宋体" w:cs="宋体"/>
          <w:b/>
          <w:snapToGrid w:val="0"/>
          <w:color w:val="auto"/>
          <w:spacing w:val="4"/>
          <w:kern w:val="0"/>
          <w:sz w:val="24"/>
          <w:highlight w:val="none"/>
        </w:rPr>
        <w:t>机械设备安装工程</w:t>
      </w:r>
      <w:bookmarkEnd w:id="373"/>
      <w:bookmarkEnd w:id="374"/>
      <w:bookmarkEnd w:id="375"/>
      <w:bookmarkEnd w:id="376"/>
      <w:bookmarkEnd w:id="377"/>
      <w:bookmarkEnd w:id="378"/>
    </w:p>
    <w:p>
      <w:pPr>
        <w:spacing w:line="360" w:lineRule="auto"/>
        <w:ind w:firstLine="498" w:firstLineChars="200"/>
        <w:outlineLvl w:val="1"/>
        <w:rPr>
          <w:rFonts w:hint="eastAsia" w:ascii="宋体" w:hAnsi="宋体" w:eastAsia="宋体" w:cs="宋体"/>
          <w:b/>
          <w:snapToGrid w:val="0"/>
          <w:color w:val="auto"/>
          <w:spacing w:val="4"/>
          <w:kern w:val="0"/>
          <w:sz w:val="24"/>
          <w:highlight w:val="none"/>
        </w:rPr>
      </w:pPr>
      <w:bookmarkStart w:id="379" w:name="_Toc13898"/>
      <w:bookmarkStart w:id="380" w:name="_Toc468402811"/>
      <w:bookmarkStart w:id="381" w:name="_Toc5003"/>
      <w:bookmarkStart w:id="382" w:name="_Toc17570"/>
      <w:bookmarkStart w:id="383" w:name="_Toc23101"/>
      <w:r>
        <w:rPr>
          <w:rFonts w:hint="eastAsia" w:ascii="宋体" w:hAnsi="宋体" w:eastAsia="宋体" w:cs="宋体"/>
          <w:b/>
          <w:snapToGrid w:val="0"/>
          <w:color w:val="auto"/>
          <w:spacing w:val="4"/>
          <w:kern w:val="0"/>
          <w:sz w:val="24"/>
          <w:highlight w:val="none"/>
        </w:rPr>
        <w:t>（1）离心式通风机、轴流通风机、其他风机</w:t>
      </w:r>
      <w:bookmarkEnd w:id="379"/>
      <w:bookmarkEnd w:id="380"/>
      <w:bookmarkEnd w:id="381"/>
      <w:bookmarkEnd w:id="382"/>
      <w:bookmarkEnd w:id="383"/>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1）计量包括：本体及配件（含机座、电机、地脚螺栓、减振垫、调速开关及温控器等全部配件）安装，以“台”为单位计算。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2）计价包括：预埋件预埋，基础制作、安装，</w:t>
      </w:r>
      <w:bookmarkStart w:id="384" w:name="_Hlk83205263"/>
      <w:r>
        <w:rPr>
          <w:rFonts w:hint="eastAsia" w:ascii="宋体" w:hAnsi="宋体" w:eastAsia="宋体" w:cs="宋体"/>
          <w:color w:val="auto"/>
          <w:highlight w:val="none"/>
        </w:rPr>
        <w:t>支架制作、</w:t>
      </w:r>
      <w:bookmarkEnd w:id="384"/>
      <w:r>
        <w:rPr>
          <w:rFonts w:hint="eastAsia" w:ascii="宋体" w:hAnsi="宋体" w:eastAsia="宋体" w:cs="宋体"/>
          <w:color w:val="auto"/>
          <w:highlight w:val="none"/>
        </w:rPr>
        <w:t>安装，减振垫、调速开关及温控器，设备本体安装，随机阀门，二次灌浆，电动机安装、检查接线、干燥、配线、调试，</w:t>
      </w:r>
      <w:bookmarkStart w:id="385" w:name="_Hlk82789004"/>
      <w:r>
        <w:rPr>
          <w:rFonts w:hint="eastAsia" w:ascii="宋体" w:hAnsi="宋体" w:eastAsia="宋体" w:cs="宋体"/>
          <w:color w:val="auto"/>
          <w:highlight w:val="none"/>
        </w:rPr>
        <w:t>控制柜（箱）、控制柜（箱）到风机的线槽、线管及电线电缆安装等工作内容。</w:t>
      </w:r>
      <w:bookmarkEnd w:id="385"/>
    </w:p>
    <w:p>
      <w:pPr>
        <w:spacing w:line="360" w:lineRule="auto"/>
        <w:ind w:firstLine="498" w:firstLineChars="200"/>
        <w:outlineLvl w:val="1"/>
        <w:rPr>
          <w:rFonts w:hint="eastAsia" w:ascii="宋体" w:hAnsi="宋体" w:eastAsia="宋体" w:cs="宋体"/>
          <w:b/>
          <w:snapToGrid w:val="0"/>
          <w:color w:val="auto"/>
          <w:spacing w:val="4"/>
          <w:kern w:val="0"/>
          <w:sz w:val="24"/>
          <w:highlight w:val="none"/>
        </w:rPr>
      </w:pPr>
      <w:bookmarkStart w:id="386" w:name="_Toc400634344"/>
      <w:bookmarkStart w:id="387" w:name="_Toc27526"/>
      <w:bookmarkStart w:id="388" w:name="_Toc468402812"/>
      <w:bookmarkStart w:id="389" w:name="_Toc26070"/>
      <w:bookmarkStart w:id="390" w:name="_Toc15228"/>
      <w:bookmarkStart w:id="391" w:name="_Toc17888"/>
      <w:r>
        <w:rPr>
          <w:rFonts w:hint="eastAsia" w:ascii="宋体" w:hAnsi="宋体" w:eastAsia="宋体" w:cs="宋体"/>
          <w:b/>
          <w:snapToGrid w:val="0"/>
          <w:color w:val="auto"/>
          <w:spacing w:val="4"/>
          <w:kern w:val="0"/>
          <w:sz w:val="24"/>
          <w:highlight w:val="none"/>
        </w:rPr>
        <w:t>（2）各类泵</w:t>
      </w:r>
      <w:bookmarkEnd w:id="386"/>
      <w:bookmarkEnd w:id="387"/>
      <w:bookmarkEnd w:id="388"/>
      <w:bookmarkEnd w:id="389"/>
      <w:bookmarkEnd w:id="390"/>
      <w:bookmarkEnd w:id="391"/>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计量包括：水泵包括生活水泵、潜污泵、一体化污水提升装置、冷冻、冷却水泵、消防水泵等。泵及配件（包括设备自带配套控制柜（箱）、管件、配线、仪表、底座、地脚螺栓、减振装置（阻尼钢弹簧减震器）等全部配件）。 分不同的型号、规格、材质、类别，不分安装方式，综合考虑减振装置形式、数量、灌浆配合比，按设计图示数量以“台”为计量单位计算。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计价包括：预埋件预埋，基础型钢型材制作、安装、除锈、刷油、泵拆装检查，本体及配件（包括配套控制柜（箱）、管件、仪表、底座、地脚螺栓、减振装置（阻尼钢弹簧减震器）等全部配件）安装，控制柜（箱）到水泵的电线电缆安装、电动机安装、检查接线、自耦装置安装、检查、干燥、配线、调试，二次灌浆，单机试运转，补刷（喷）油漆，需保温的包括机组保温、绝热、保护层等相关费用。</w:t>
      </w:r>
    </w:p>
    <w:p>
      <w:pPr>
        <w:spacing w:line="360" w:lineRule="auto"/>
        <w:ind w:firstLine="498" w:firstLineChars="200"/>
        <w:outlineLvl w:val="1"/>
        <w:rPr>
          <w:rFonts w:hint="eastAsia" w:ascii="宋体" w:hAnsi="宋体" w:eastAsia="宋体" w:cs="宋体"/>
          <w:b/>
          <w:snapToGrid w:val="0"/>
          <w:color w:val="auto"/>
          <w:spacing w:val="4"/>
          <w:kern w:val="0"/>
          <w:sz w:val="24"/>
          <w:highlight w:val="none"/>
        </w:rPr>
      </w:pPr>
      <w:bookmarkStart w:id="392" w:name="_Toc7230"/>
      <w:bookmarkStart w:id="393" w:name="_Toc15439"/>
      <w:bookmarkStart w:id="394" w:name="_Toc400634347"/>
      <w:bookmarkStart w:id="395" w:name="_Toc29897"/>
      <w:bookmarkStart w:id="396" w:name="_Toc468402813"/>
      <w:bookmarkStart w:id="397" w:name="_Toc189"/>
      <w:r>
        <w:rPr>
          <w:rFonts w:hint="eastAsia" w:ascii="宋体" w:hAnsi="宋体" w:eastAsia="宋体" w:cs="宋体"/>
          <w:b/>
          <w:snapToGrid w:val="0"/>
          <w:color w:val="auto"/>
          <w:spacing w:val="4"/>
          <w:kern w:val="0"/>
          <w:sz w:val="24"/>
          <w:highlight w:val="none"/>
        </w:rPr>
        <w:t>（3）柴油发电机组</w:t>
      </w:r>
      <w:bookmarkEnd w:id="392"/>
      <w:bookmarkEnd w:id="393"/>
      <w:bookmarkEnd w:id="394"/>
      <w:bookmarkEnd w:id="395"/>
      <w:bookmarkEnd w:id="396"/>
      <w:bookmarkEnd w:id="397"/>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1）计量包括：柴油发电机组及环保工程的设备供应及安装，分不同的型号，不分安装方式，按设计图示数量以“套” 为计量单位计算。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计价包括：柴油发电机组设备本体、环保工程及附件安装，具体包括：柴油发电机组成套设备供应及安装、送配电系统安装、供回油系统（包括管道及储油装置）安装、排烟管道安装及隔热处理、发电机照明、消音、隔音、送排风系统、尾气净化处理（净化器、送排风管安装）、基础型钢制作、安装、二次灌浆，单机试运转，补刷(喷)油漆，引下线制作安装、接地，端子箱(汇控箱)安装，辅助设备安装，带防护罩的还应包括防护罩的安装，保护层安装、专用机具、专用垫铁、特殊垫铁和地脚螺栓安装、自用水系统内容等。</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柴油发电机房绿色环保工程（包括消音、排气、尾气治理及设计图纸要求的其他有关内容）根据设计图纸及技术要求，含深化设计及验收，竣工验收须达到行业规范标准并符合技术质量安全规定和通过建设主管部门环保验收要求。</w:t>
      </w:r>
    </w:p>
    <w:p>
      <w:pPr>
        <w:spacing w:line="360" w:lineRule="auto"/>
        <w:outlineLvl w:val="0"/>
        <w:rPr>
          <w:rFonts w:hint="eastAsia" w:ascii="宋体" w:hAnsi="宋体" w:eastAsia="宋体" w:cs="宋体"/>
          <w:b/>
          <w:color w:val="auto"/>
          <w:sz w:val="24"/>
          <w:highlight w:val="none"/>
        </w:rPr>
      </w:pPr>
      <w:bookmarkStart w:id="398" w:name="_Toc5950"/>
      <w:bookmarkStart w:id="399" w:name="_Toc9326"/>
      <w:bookmarkStart w:id="400" w:name="_Toc13685"/>
      <w:bookmarkStart w:id="401" w:name="_Toc9461"/>
      <w:bookmarkStart w:id="402" w:name="_Toc468402814"/>
      <w:r>
        <w:rPr>
          <w:rFonts w:hint="eastAsia" w:ascii="宋体" w:hAnsi="宋体" w:eastAsia="宋体" w:cs="宋体"/>
          <w:b/>
          <w:color w:val="auto"/>
          <w:sz w:val="24"/>
          <w:highlight w:val="none"/>
        </w:rPr>
        <w:t>2、电气设备安装工程</w:t>
      </w:r>
      <w:bookmarkEnd w:id="398"/>
      <w:bookmarkEnd w:id="399"/>
      <w:bookmarkEnd w:id="400"/>
      <w:bookmarkEnd w:id="401"/>
      <w:bookmarkEnd w:id="402"/>
      <w:bookmarkStart w:id="403" w:name="_Toc17266"/>
      <w:bookmarkStart w:id="404" w:name="_Toc468402817"/>
      <w:bookmarkStart w:id="405" w:name="_Toc18488"/>
      <w:bookmarkStart w:id="406" w:name="_Toc400634354"/>
      <w:bookmarkStart w:id="407" w:name="_Toc25473"/>
      <w:bookmarkStart w:id="408" w:name="_Toc28136"/>
    </w:p>
    <w:p>
      <w:pPr>
        <w:spacing w:line="360" w:lineRule="auto"/>
        <w:ind w:firstLine="498" w:firstLineChars="200"/>
        <w:outlineLvl w:val="1"/>
        <w:rPr>
          <w:rFonts w:hint="eastAsia" w:ascii="宋体" w:hAnsi="宋体" w:eastAsia="宋体" w:cs="宋体"/>
          <w:b/>
          <w:snapToGrid w:val="0"/>
          <w:color w:val="auto"/>
          <w:spacing w:val="4"/>
          <w:kern w:val="0"/>
          <w:sz w:val="24"/>
          <w:highlight w:val="none"/>
        </w:rPr>
      </w:pPr>
      <w:r>
        <w:rPr>
          <w:rFonts w:hint="eastAsia" w:ascii="宋体" w:hAnsi="宋体" w:eastAsia="宋体" w:cs="宋体"/>
          <w:b/>
          <w:snapToGrid w:val="0"/>
          <w:color w:val="auto"/>
          <w:spacing w:val="4"/>
          <w:kern w:val="0"/>
          <w:sz w:val="24"/>
          <w:highlight w:val="none"/>
        </w:rPr>
        <w:t>（1）低压封闭式插接母线槽</w:t>
      </w:r>
      <w:bookmarkEnd w:id="403"/>
      <w:bookmarkEnd w:id="404"/>
      <w:bookmarkEnd w:id="405"/>
      <w:bookmarkEnd w:id="406"/>
      <w:bookmarkEnd w:id="407"/>
      <w:bookmarkEnd w:id="408"/>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1）计量包括：低压封闭式插接母线槽 (包括水平弯通、垂直弯通、T接头、变径单元、始终端母线、膨胀接头等附件，与发电机等设备连接的还包括软（硬）连接等全部配件) ，以“米”为计量单位计算。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2）计价包括：母线槽安装、接地、母线槽防护、</w:t>
      </w:r>
      <w:r>
        <w:rPr>
          <w:rFonts w:hint="eastAsia" w:ascii="宋体" w:hAnsi="宋体" w:eastAsia="宋体" w:cs="宋体"/>
          <w:bCs/>
          <w:color w:val="auto"/>
          <w:highlight w:val="none"/>
        </w:rPr>
        <w:t>除锈刷油、母线终始箱供应及安装、母线槽配套支架</w:t>
      </w:r>
      <w:r>
        <w:rPr>
          <w:rFonts w:hint="eastAsia" w:ascii="宋体" w:hAnsi="宋体" w:eastAsia="宋体" w:cs="宋体"/>
          <w:color w:val="auto"/>
          <w:highlight w:val="none"/>
        </w:rPr>
        <w:t>等相关费用。</w:t>
      </w:r>
      <w:bookmarkStart w:id="409" w:name="_Toc353782538"/>
      <w:bookmarkStart w:id="410" w:name="_Toc29414"/>
      <w:bookmarkStart w:id="411" w:name="_Toc360724594"/>
      <w:bookmarkStart w:id="412" w:name="_Toc248914714"/>
      <w:bookmarkStart w:id="413" w:name="_Toc22827"/>
      <w:bookmarkStart w:id="414" w:name="_Toc21652"/>
      <w:bookmarkStart w:id="415" w:name="_Toc237925853"/>
      <w:bookmarkStart w:id="416" w:name="_Toc226256913"/>
      <w:bookmarkStart w:id="417" w:name="_Toc8857"/>
      <w:bookmarkStart w:id="418" w:name="_Toc468402819"/>
      <w:bookmarkStart w:id="419" w:name="_Toc15158"/>
      <w:bookmarkStart w:id="420" w:name="_Toc400634357"/>
    </w:p>
    <w:p>
      <w:pPr>
        <w:spacing w:line="360" w:lineRule="auto"/>
        <w:ind w:firstLine="498" w:firstLineChars="200"/>
        <w:outlineLvl w:val="1"/>
        <w:rPr>
          <w:rFonts w:hint="eastAsia" w:ascii="宋体" w:hAnsi="宋体" w:eastAsia="宋体" w:cs="宋体"/>
          <w:b/>
          <w:snapToGrid w:val="0"/>
          <w:color w:val="auto"/>
          <w:spacing w:val="4"/>
          <w:kern w:val="0"/>
          <w:sz w:val="24"/>
          <w:highlight w:val="none"/>
        </w:rPr>
      </w:pPr>
      <w:r>
        <w:rPr>
          <w:rFonts w:hint="eastAsia" w:ascii="宋体" w:hAnsi="宋体" w:eastAsia="宋体" w:cs="宋体"/>
          <w:b/>
          <w:snapToGrid w:val="0"/>
          <w:color w:val="auto"/>
          <w:spacing w:val="4"/>
          <w:kern w:val="0"/>
          <w:sz w:val="24"/>
          <w:highlight w:val="none"/>
        </w:rPr>
        <w:t>（2）控制箱、配电箱</w:t>
      </w:r>
      <w:bookmarkEnd w:id="409"/>
      <w:bookmarkEnd w:id="410"/>
      <w:bookmarkEnd w:id="411"/>
      <w:bookmarkEnd w:id="412"/>
      <w:bookmarkEnd w:id="413"/>
      <w:bookmarkEnd w:id="414"/>
      <w:bookmarkEnd w:id="415"/>
      <w:bookmarkEnd w:id="416"/>
      <w:bookmarkEnd w:id="417"/>
      <w:bookmarkEnd w:id="418"/>
      <w:bookmarkEnd w:id="419"/>
      <w:bookmarkEnd w:id="420"/>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包括照明配电箱、动力配电箱、动力控制箱、电源自动切换箱、端子箱、插接开关箱、家居配线箱（含网络、电话、电视、电源接口）、T接箱等各类箱体。要求箱体应按设计图纸考虑及预留安装漏电报警模块、智能照明控制器及面板等的位置。</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2）计量包括：按不同的用途及设计编号，不分安装方式，以“台”为为计量单位计算。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3）计价包括：基础型钢制作安装及其除锈、刷油、箱体安装、</w:t>
      </w:r>
      <w:bookmarkStart w:id="421" w:name="_Hlk83205422"/>
      <w:r>
        <w:rPr>
          <w:rFonts w:hint="eastAsia" w:ascii="宋体" w:hAnsi="宋体" w:eastAsia="宋体" w:cs="宋体"/>
          <w:color w:val="auto"/>
          <w:highlight w:val="none"/>
        </w:rPr>
        <w:t>焊、压接线端子</w:t>
      </w:r>
      <w:bookmarkEnd w:id="421"/>
      <w:r>
        <w:rPr>
          <w:rFonts w:hint="eastAsia" w:ascii="宋体" w:hAnsi="宋体" w:eastAsia="宋体" w:cs="宋体"/>
          <w:color w:val="auto"/>
          <w:highlight w:val="none"/>
        </w:rPr>
        <w:t>、接地、单体调试、接线等相关费用。</w:t>
      </w:r>
      <w:bookmarkStart w:id="422" w:name="_Toc12851"/>
      <w:bookmarkStart w:id="423" w:name="_Toc468402820"/>
      <w:bookmarkStart w:id="424" w:name="_Toc11046"/>
      <w:bookmarkStart w:id="425" w:name="_Toc1543"/>
      <w:bookmarkStart w:id="426" w:name="_Toc400634358"/>
      <w:bookmarkStart w:id="427" w:name="_Toc13107"/>
    </w:p>
    <w:p>
      <w:pPr>
        <w:spacing w:line="360" w:lineRule="auto"/>
        <w:ind w:firstLine="498" w:firstLineChars="200"/>
        <w:outlineLvl w:val="1"/>
        <w:rPr>
          <w:rFonts w:hint="eastAsia" w:ascii="宋体" w:hAnsi="宋体" w:eastAsia="宋体" w:cs="宋体"/>
          <w:b/>
          <w:snapToGrid w:val="0"/>
          <w:color w:val="auto"/>
          <w:spacing w:val="4"/>
          <w:kern w:val="0"/>
          <w:sz w:val="24"/>
          <w:highlight w:val="none"/>
        </w:rPr>
      </w:pPr>
      <w:r>
        <w:rPr>
          <w:rFonts w:hint="eastAsia" w:ascii="宋体" w:hAnsi="宋体" w:eastAsia="宋体" w:cs="宋体"/>
          <w:b/>
          <w:snapToGrid w:val="0"/>
          <w:color w:val="auto"/>
          <w:spacing w:val="4"/>
          <w:kern w:val="0"/>
          <w:sz w:val="24"/>
          <w:highlight w:val="none"/>
        </w:rPr>
        <w:t>（3）小电器</w:t>
      </w:r>
      <w:bookmarkEnd w:id="422"/>
      <w:bookmarkEnd w:id="423"/>
      <w:bookmarkEnd w:id="424"/>
      <w:bookmarkEnd w:id="425"/>
      <w:bookmarkEnd w:id="426"/>
      <w:bookmarkEnd w:id="427"/>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1）包括呼叫按钮、呼叫警铃、干手装置、按钮、电笛、电铃、电铃控制器、水位电气信号装置、测量表计、继电器、电磁锁等各类小电器。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2）计量包括：电器、附件、吊杆等全部配件，分不同用途、类型、规格、型号，不分安装方式，以“套”为计量单位计算。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3）计价包括：按钮、警铃、干手装置及配件安装、各类预埋件留设、金属软管、电气配管、电气配线、小电器安装、接线、接地、焊、压接线端子、接线底盒等相关费用。</w:t>
      </w:r>
      <w:bookmarkStart w:id="428" w:name="_Toc24416"/>
      <w:bookmarkStart w:id="429" w:name="_Toc21285"/>
      <w:bookmarkStart w:id="430" w:name="_Toc24037"/>
      <w:bookmarkStart w:id="431" w:name="_Toc21750"/>
      <w:bookmarkStart w:id="432" w:name="_Toc468402821"/>
      <w:bookmarkStart w:id="433" w:name="_Toc400634359"/>
    </w:p>
    <w:p>
      <w:pPr>
        <w:spacing w:line="360" w:lineRule="auto"/>
        <w:ind w:firstLine="498" w:firstLineChars="200"/>
        <w:outlineLvl w:val="1"/>
        <w:rPr>
          <w:rFonts w:hint="eastAsia" w:ascii="宋体" w:hAnsi="宋体" w:eastAsia="宋体" w:cs="宋体"/>
          <w:b/>
          <w:snapToGrid w:val="0"/>
          <w:color w:val="auto"/>
          <w:spacing w:val="4"/>
          <w:kern w:val="0"/>
          <w:sz w:val="24"/>
          <w:highlight w:val="none"/>
        </w:rPr>
      </w:pPr>
      <w:r>
        <w:rPr>
          <w:rFonts w:hint="eastAsia" w:ascii="宋体" w:hAnsi="宋体" w:eastAsia="宋体" w:cs="宋体"/>
          <w:b/>
          <w:snapToGrid w:val="0"/>
          <w:color w:val="auto"/>
          <w:spacing w:val="4"/>
          <w:kern w:val="0"/>
          <w:sz w:val="24"/>
          <w:highlight w:val="none"/>
        </w:rPr>
        <w:t>（4）照明开关、插座</w:t>
      </w:r>
      <w:bookmarkEnd w:id="428"/>
      <w:bookmarkEnd w:id="429"/>
      <w:bookmarkEnd w:id="430"/>
      <w:bookmarkEnd w:id="431"/>
      <w:bookmarkEnd w:id="432"/>
      <w:bookmarkEnd w:id="433"/>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1）计量包括：开关、插座面板及附件，分不同用途、类型、规格、型号，不分安装方式，以“个”为计量单位计算。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2）计价包括：本体安装，接线、接地，于砖墙或有找平层的地面上的开刨槽、砖墙开孔、修补；焊、压接线端子，接线底盒等相关费用。</w:t>
      </w:r>
    </w:p>
    <w:p>
      <w:pPr>
        <w:pStyle w:val="57"/>
        <w:ind w:firstLineChars="0"/>
        <w:rPr>
          <w:rFonts w:hint="eastAsia" w:ascii="宋体" w:hAnsi="宋体" w:eastAsia="宋体" w:cs="宋体"/>
          <w:color w:val="auto"/>
          <w:highlight w:val="none"/>
        </w:rPr>
      </w:pPr>
      <w:r>
        <w:rPr>
          <w:rFonts w:hint="eastAsia" w:ascii="宋体" w:hAnsi="宋体" w:eastAsia="宋体" w:cs="宋体"/>
          <w:color w:val="auto"/>
          <w:highlight w:val="none"/>
        </w:rPr>
        <w:t xml:space="preserve">  3）于大堂、电梯厅等有对称形状瓷片、石材装修的部位，开关、插座应安装于</w:t>
      </w:r>
    </w:p>
    <w:p>
      <w:pPr>
        <w:pStyle w:val="57"/>
        <w:ind w:firstLineChars="0"/>
        <w:rPr>
          <w:rFonts w:hint="eastAsia" w:ascii="宋体" w:hAnsi="宋体" w:eastAsia="宋体" w:cs="宋体"/>
          <w:color w:val="auto"/>
          <w:highlight w:val="none"/>
        </w:rPr>
      </w:pPr>
      <w:r>
        <w:rPr>
          <w:rFonts w:hint="eastAsia" w:ascii="宋体" w:hAnsi="宋体" w:eastAsia="宋体" w:cs="宋体"/>
          <w:color w:val="auto"/>
          <w:highlight w:val="none"/>
        </w:rPr>
        <w:t>瓷片、石材中间位置，实际安装位置与招标图纸表示位置的差异引起的相关工程量(电线、线管)增加的费用已经含于本项目报价中。</w:t>
      </w:r>
      <w:bookmarkStart w:id="434" w:name="_Toc21739"/>
      <w:bookmarkStart w:id="435" w:name="_Toc26149"/>
      <w:bookmarkStart w:id="436" w:name="_Toc15837"/>
      <w:bookmarkStart w:id="437" w:name="_Toc468402822"/>
      <w:bookmarkStart w:id="438" w:name="_Toc7115"/>
    </w:p>
    <w:p>
      <w:pPr>
        <w:spacing w:line="360" w:lineRule="auto"/>
        <w:ind w:firstLine="498" w:firstLineChars="200"/>
        <w:outlineLvl w:val="1"/>
        <w:rPr>
          <w:rFonts w:hint="eastAsia" w:ascii="宋体" w:hAnsi="宋体" w:eastAsia="宋体" w:cs="宋体"/>
          <w:b/>
          <w:snapToGrid w:val="0"/>
          <w:color w:val="auto"/>
          <w:spacing w:val="4"/>
          <w:kern w:val="0"/>
          <w:sz w:val="24"/>
          <w:highlight w:val="none"/>
        </w:rPr>
      </w:pPr>
      <w:r>
        <w:rPr>
          <w:rFonts w:hint="eastAsia" w:ascii="宋体" w:hAnsi="宋体" w:eastAsia="宋体" w:cs="宋体"/>
          <w:b/>
          <w:snapToGrid w:val="0"/>
          <w:color w:val="auto"/>
          <w:spacing w:val="4"/>
          <w:kern w:val="0"/>
          <w:sz w:val="24"/>
          <w:highlight w:val="none"/>
        </w:rPr>
        <w:t>（5） 蓄电池</w:t>
      </w:r>
      <w:bookmarkEnd w:id="434"/>
      <w:bookmarkEnd w:id="435"/>
      <w:bookmarkEnd w:id="436"/>
      <w:bookmarkEnd w:id="437"/>
      <w:bookmarkEnd w:id="438"/>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1）计量包括：分容量、型号，以“台”为计量单位计算。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2）计价包括：基础型钢制作、安装、防震支架制作安装、成套屏(柜)安装、端子板安装、焊铜接线端子、盘柜配线、小母线安装、屏边安装及蓄电池充放电、单体调试等相关费用。</w:t>
      </w:r>
      <w:bookmarkStart w:id="439" w:name="_Toc228524071"/>
      <w:bookmarkStart w:id="440" w:name="_Toc248914715"/>
      <w:bookmarkStart w:id="441" w:name="_Toc353782539"/>
      <w:bookmarkStart w:id="442" w:name="_Toc29001"/>
      <w:bookmarkStart w:id="443" w:name="_Toc360724595"/>
      <w:bookmarkStart w:id="444" w:name="_Toc237925854"/>
      <w:bookmarkStart w:id="445" w:name="_Toc468402823"/>
      <w:bookmarkStart w:id="446" w:name="_Toc400634361"/>
      <w:bookmarkStart w:id="447" w:name="_Toc20448"/>
      <w:bookmarkStart w:id="448" w:name="_Toc6873"/>
      <w:bookmarkStart w:id="449" w:name="_Toc20357"/>
      <w:bookmarkStart w:id="450" w:name="_Toc29242"/>
    </w:p>
    <w:p>
      <w:pPr>
        <w:spacing w:line="360" w:lineRule="auto"/>
        <w:ind w:firstLine="498" w:firstLineChars="200"/>
        <w:outlineLvl w:val="1"/>
        <w:rPr>
          <w:rFonts w:hint="eastAsia" w:ascii="宋体" w:hAnsi="宋体" w:eastAsia="宋体" w:cs="宋体"/>
          <w:b/>
          <w:snapToGrid w:val="0"/>
          <w:color w:val="auto"/>
          <w:spacing w:val="4"/>
          <w:kern w:val="0"/>
          <w:sz w:val="24"/>
          <w:highlight w:val="none"/>
        </w:rPr>
      </w:pPr>
      <w:r>
        <w:rPr>
          <w:rFonts w:hint="eastAsia" w:ascii="宋体" w:hAnsi="宋体" w:eastAsia="宋体" w:cs="宋体"/>
          <w:b/>
          <w:snapToGrid w:val="0"/>
          <w:color w:val="auto"/>
          <w:spacing w:val="4"/>
          <w:kern w:val="0"/>
          <w:sz w:val="24"/>
          <w:highlight w:val="none"/>
        </w:rPr>
        <w:t>（6）电力电缆</w:t>
      </w:r>
      <w:bookmarkEnd w:id="439"/>
      <w:bookmarkEnd w:id="440"/>
      <w:bookmarkEnd w:id="441"/>
      <w:bookmarkEnd w:id="442"/>
      <w:bookmarkEnd w:id="443"/>
      <w:bookmarkEnd w:id="444"/>
      <w:r>
        <w:rPr>
          <w:rFonts w:hint="eastAsia" w:ascii="宋体" w:hAnsi="宋体" w:eastAsia="宋体" w:cs="宋体"/>
          <w:b/>
          <w:snapToGrid w:val="0"/>
          <w:color w:val="auto"/>
          <w:spacing w:val="4"/>
          <w:kern w:val="0"/>
          <w:sz w:val="24"/>
          <w:highlight w:val="none"/>
        </w:rPr>
        <w:t>、控制电缆</w:t>
      </w:r>
      <w:bookmarkEnd w:id="445"/>
      <w:bookmarkEnd w:id="446"/>
      <w:bookmarkEnd w:id="447"/>
      <w:bookmarkEnd w:id="448"/>
      <w:bookmarkEnd w:id="449"/>
      <w:bookmarkEnd w:id="450"/>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1）计量包括：分电压等级、用途、材质、规格、型号，不分敷设方式，以“米”为计量单位计算。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2）计价包括：揭（盖）盖板、电缆敷设、标识、连接体（含电缆穿刺线夹）、接地、试压、测试、电缆防护、电缆防火隔板、电缆防火涂料、单体调试制作及安装等相关费用。</w:t>
      </w:r>
      <w:bookmarkStart w:id="451" w:name="_Toc6532"/>
      <w:bookmarkStart w:id="452" w:name="_Toc13075"/>
      <w:bookmarkStart w:id="453" w:name="_Toc400634363"/>
      <w:bookmarkStart w:id="454" w:name="_Toc468402824"/>
      <w:bookmarkStart w:id="455" w:name="_Toc5816"/>
      <w:bookmarkStart w:id="456" w:name="_Toc18325"/>
    </w:p>
    <w:p>
      <w:pPr>
        <w:spacing w:line="360" w:lineRule="auto"/>
        <w:ind w:firstLine="498" w:firstLineChars="200"/>
        <w:outlineLvl w:val="1"/>
        <w:rPr>
          <w:rFonts w:hint="eastAsia" w:ascii="宋体" w:hAnsi="宋体" w:eastAsia="宋体" w:cs="宋体"/>
          <w:b/>
          <w:snapToGrid w:val="0"/>
          <w:color w:val="auto"/>
          <w:spacing w:val="4"/>
          <w:kern w:val="0"/>
          <w:sz w:val="24"/>
          <w:highlight w:val="none"/>
        </w:rPr>
      </w:pPr>
      <w:r>
        <w:rPr>
          <w:rFonts w:hint="eastAsia" w:ascii="宋体" w:hAnsi="宋体" w:eastAsia="宋体" w:cs="宋体"/>
          <w:b/>
          <w:snapToGrid w:val="0"/>
          <w:color w:val="auto"/>
          <w:spacing w:val="4"/>
          <w:kern w:val="0"/>
          <w:sz w:val="24"/>
          <w:highlight w:val="none"/>
        </w:rPr>
        <w:t>（7）电力电缆头</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1）计量包括：分电压等级、用途、材质、规格、型号，不分敷设方式，以“个”为计量单位计算。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2）计价包括：电缆头(含中间接头)制作及安装、标识、定位、固定、剥铜护套、测绝缘、驱潮、终端密封、套热缩绝缘管、端子安装、接地等相关费用。</w:t>
      </w:r>
    </w:p>
    <w:p>
      <w:pPr>
        <w:spacing w:line="360" w:lineRule="auto"/>
        <w:ind w:firstLine="498" w:firstLineChars="200"/>
        <w:outlineLvl w:val="1"/>
        <w:rPr>
          <w:rFonts w:hint="eastAsia" w:ascii="宋体" w:hAnsi="宋体" w:eastAsia="宋体" w:cs="宋体"/>
          <w:b/>
          <w:snapToGrid w:val="0"/>
          <w:color w:val="auto"/>
          <w:spacing w:val="4"/>
          <w:kern w:val="0"/>
          <w:sz w:val="24"/>
          <w:highlight w:val="none"/>
        </w:rPr>
      </w:pPr>
      <w:r>
        <w:rPr>
          <w:rFonts w:hint="eastAsia" w:ascii="宋体" w:hAnsi="宋体" w:eastAsia="宋体" w:cs="宋体"/>
          <w:b/>
          <w:snapToGrid w:val="0"/>
          <w:color w:val="auto"/>
          <w:spacing w:val="4"/>
          <w:kern w:val="0"/>
          <w:sz w:val="24"/>
          <w:highlight w:val="none"/>
        </w:rPr>
        <w:t>（8）配管</w:t>
      </w:r>
      <w:bookmarkEnd w:id="451"/>
      <w:bookmarkEnd w:id="452"/>
      <w:bookmarkEnd w:id="453"/>
      <w:bookmarkEnd w:id="454"/>
      <w:bookmarkEnd w:id="455"/>
      <w:bookmarkEnd w:id="456"/>
    </w:p>
    <w:p>
      <w:pPr>
        <w:pStyle w:val="65"/>
        <w:spacing w:before="0" w:beforeLines="0" w:after="0" w:afterLines="0" w:line="360" w:lineRule="auto"/>
        <w:ind w:firstLine="496" w:firstLineChars="200"/>
        <w:jc w:val="both"/>
        <w:outlineLvl w:val="9"/>
        <w:rPr>
          <w:rFonts w:hint="eastAsia" w:ascii="宋体" w:hAnsi="宋体" w:eastAsia="宋体" w:cs="宋体"/>
          <w:b w:val="0"/>
          <w:color w:val="auto"/>
          <w:highlight w:val="none"/>
        </w:rPr>
      </w:pPr>
      <w:bookmarkStart w:id="457" w:name="_Toc28208"/>
      <w:bookmarkStart w:id="458" w:name="_Toc1869"/>
      <w:bookmarkStart w:id="459" w:name="_Toc32659"/>
      <w:bookmarkStart w:id="460" w:name="_Toc525"/>
      <w:r>
        <w:rPr>
          <w:rFonts w:hint="eastAsia" w:ascii="宋体" w:hAnsi="宋体" w:eastAsia="宋体" w:cs="宋体"/>
          <w:b w:val="0"/>
          <w:color w:val="auto"/>
          <w:highlight w:val="none"/>
        </w:rPr>
        <w:t>1）包括镀锌钢管、镀锌电线管、可挠金属套管、PVC塑料电线管等电气管道、接线盒等。</w:t>
      </w:r>
      <w:bookmarkEnd w:id="457"/>
      <w:bookmarkEnd w:id="458"/>
      <w:bookmarkEnd w:id="459"/>
      <w:bookmarkEnd w:id="460"/>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2）计量包括：分不同材质、不同规格，不分敷设方式，以“米”为计量单位计算。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计价包括：管道敷设、穿线用牵引铁线、砼结构内的管道预埋施工、于砖墙或有找平层的地面上的开刨槽、砖墙开孔、修补、配件管件及安装、支吊架制作安装、接线盒供应及安装、防腐油漆、标识、接地、接线盒等相关费用。</w:t>
      </w:r>
      <w:bookmarkStart w:id="461" w:name="_Toc6776"/>
      <w:bookmarkStart w:id="462" w:name="_Toc17170"/>
      <w:bookmarkStart w:id="463" w:name="_Toc2431"/>
      <w:bookmarkStart w:id="464" w:name="_Toc400634364"/>
      <w:bookmarkStart w:id="465" w:name="_Toc468402825"/>
      <w:bookmarkStart w:id="466" w:name="_Toc2932"/>
    </w:p>
    <w:p>
      <w:pPr>
        <w:spacing w:line="360" w:lineRule="auto"/>
        <w:ind w:firstLine="498" w:firstLineChars="200"/>
        <w:outlineLvl w:val="1"/>
        <w:rPr>
          <w:rFonts w:hint="eastAsia" w:ascii="宋体" w:hAnsi="宋体" w:eastAsia="宋体" w:cs="宋体"/>
          <w:b/>
          <w:snapToGrid w:val="0"/>
          <w:color w:val="auto"/>
          <w:spacing w:val="4"/>
          <w:kern w:val="0"/>
          <w:sz w:val="24"/>
          <w:highlight w:val="none"/>
        </w:rPr>
      </w:pPr>
      <w:r>
        <w:rPr>
          <w:rFonts w:hint="eastAsia" w:ascii="宋体" w:hAnsi="宋体" w:eastAsia="宋体" w:cs="宋体"/>
          <w:b/>
          <w:snapToGrid w:val="0"/>
          <w:color w:val="auto"/>
          <w:spacing w:val="4"/>
          <w:kern w:val="0"/>
          <w:sz w:val="24"/>
          <w:highlight w:val="none"/>
        </w:rPr>
        <w:t>（9）线槽</w:t>
      </w:r>
      <w:bookmarkEnd w:id="461"/>
      <w:bookmarkEnd w:id="462"/>
      <w:bookmarkEnd w:id="463"/>
      <w:bookmarkEnd w:id="464"/>
      <w:bookmarkEnd w:id="465"/>
      <w:bookmarkEnd w:id="466"/>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1）计量包括：线槽（包括盖板、三通、弯头等附件以及接地扣片等配件），按不同材质以截面半周长为步距，以“米”为计量单位计算。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计价包括：本体运输、固定安装、接口修整安装附件安装（包括盖板、隔板、三通、弯头、支承件等附件以及软接头、接地铜排等全部配件）、电缆桥架及附件、配件安装、接地、伸缩软接头、于砖墙或有找平层的地面上的开刨槽、砖墙开孔、修补、穿墙、楼板处防火封堵，除锈刷漆，支架制作、安装、支架除锈刷漆等相关费用。</w:t>
      </w:r>
      <w:bookmarkStart w:id="467" w:name="_Toc30952"/>
      <w:bookmarkStart w:id="468" w:name="_Toc468402826"/>
      <w:bookmarkStart w:id="469" w:name="_Toc24713"/>
      <w:bookmarkStart w:id="470" w:name="_Toc8826"/>
      <w:bookmarkStart w:id="471" w:name="_Toc400634365"/>
      <w:bookmarkStart w:id="472" w:name="_Toc16584"/>
    </w:p>
    <w:p>
      <w:pPr>
        <w:spacing w:line="360" w:lineRule="auto"/>
        <w:ind w:firstLine="498" w:firstLineChars="200"/>
        <w:outlineLvl w:val="1"/>
        <w:rPr>
          <w:rFonts w:hint="eastAsia" w:ascii="宋体" w:hAnsi="宋体" w:eastAsia="宋体" w:cs="宋体"/>
          <w:b/>
          <w:snapToGrid w:val="0"/>
          <w:color w:val="auto"/>
          <w:spacing w:val="4"/>
          <w:kern w:val="0"/>
          <w:sz w:val="24"/>
          <w:highlight w:val="none"/>
        </w:rPr>
      </w:pPr>
      <w:r>
        <w:rPr>
          <w:rFonts w:hint="eastAsia" w:ascii="宋体" w:hAnsi="宋体" w:eastAsia="宋体" w:cs="宋体"/>
          <w:b/>
          <w:snapToGrid w:val="0"/>
          <w:color w:val="auto"/>
          <w:spacing w:val="4"/>
          <w:kern w:val="0"/>
          <w:sz w:val="24"/>
          <w:highlight w:val="none"/>
        </w:rPr>
        <w:t>（10）桥架</w:t>
      </w:r>
      <w:bookmarkEnd w:id="467"/>
      <w:bookmarkEnd w:id="468"/>
      <w:bookmarkEnd w:id="469"/>
      <w:bookmarkEnd w:id="470"/>
      <w:bookmarkEnd w:id="471"/>
      <w:bookmarkEnd w:id="472"/>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1）计量包括：电缆桥架（包括盖板、隔板、三通、弯头、支承件等附件以及软接头、接地铜排等全部配件），按不同材质以截面半周长为步距，以“米”为计量单位计算。</w:t>
      </w:r>
    </w:p>
    <w:p>
      <w:pPr>
        <w:pStyle w:val="57"/>
        <w:ind w:firstLine="496"/>
        <w:rPr>
          <w:rFonts w:hint="eastAsia" w:ascii="宋体" w:hAnsi="宋体" w:eastAsia="宋体" w:cs="宋体"/>
          <w:color w:val="auto"/>
          <w:highlight w:val="none"/>
        </w:rPr>
      </w:pPr>
      <w:bookmarkStart w:id="473" w:name="_Hlk82789574"/>
      <w:r>
        <w:rPr>
          <w:rFonts w:hint="eastAsia" w:ascii="宋体" w:hAnsi="宋体" w:eastAsia="宋体" w:cs="宋体"/>
          <w:color w:val="auto"/>
          <w:highlight w:val="none"/>
        </w:rPr>
        <w:t>2）计价包括：本体运输、固定安装、接口修整安装附件安装（包括盖板、隔板、三通、弯头、支承件等附件以及软接头、接地铜排等全部配件）、电缆桥架及附件、配件安装、接地、伸缩软接头、于砖墙或有找平层的地面上的开刨槽、砖墙开孔、修补、穿墙、楼板处防火封堵，除锈刷漆，支架制作、安装、支架除锈刷漆等相关费用。</w:t>
      </w:r>
      <w:bookmarkStart w:id="474" w:name="_Toc400634366"/>
      <w:bookmarkStart w:id="475" w:name="_Toc16317"/>
      <w:bookmarkStart w:id="476" w:name="_Toc16966"/>
      <w:bookmarkStart w:id="477" w:name="_Toc20002"/>
      <w:bookmarkStart w:id="478" w:name="_Toc17252"/>
      <w:bookmarkStart w:id="479" w:name="_Toc468402827"/>
    </w:p>
    <w:bookmarkEnd w:id="473"/>
    <w:p>
      <w:pPr>
        <w:spacing w:line="360" w:lineRule="auto"/>
        <w:ind w:firstLine="498" w:firstLineChars="200"/>
        <w:outlineLvl w:val="1"/>
        <w:rPr>
          <w:rFonts w:hint="eastAsia" w:ascii="宋体" w:hAnsi="宋体" w:eastAsia="宋体" w:cs="宋体"/>
          <w:b/>
          <w:snapToGrid w:val="0"/>
          <w:color w:val="auto"/>
          <w:spacing w:val="4"/>
          <w:kern w:val="0"/>
          <w:sz w:val="24"/>
          <w:highlight w:val="none"/>
        </w:rPr>
      </w:pPr>
      <w:r>
        <w:rPr>
          <w:rFonts w:hint="eastAsia" w:ascii="宋体" w:hAnsi="宋体" w:eastAsia="宋体" w:cs="宋体"/>
          <w:b/>
          <w:snapToGrid w:val="0"/>
          <w:color w:val="auto"/>
          <w:spacing w:val="4"/>
          <w:kern w:val="0"/>
          <w:sz w:val="24"/>
          <w:highlight w:val="none"/>
        </w:rPr>
        <w:t>（11）配线</w:t>
      </w:r>
      <w:bookmarkEnd w:id="474"/>
      <w:bookmarkEnd w:id="475"/>
      <w:bookmarkEnd w:id="476"/>
      <w:bookmarkEnd w:id="477"/>
      <w:bookmarkEnd w:id="478"/>
      <w:bookmarkEnd w:id="479"/>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1）计量包括：分电压等级、用途、材质、规格、型号，不分敷设方式，以“米”为计量单位计算。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2）计价包括：支持体（夹板、绝缘子、街码等）安装、配线、管内或槽内穿线、焊、压接线端子等相关费用。</w:t>
      </w:r>
      <w:bookmarkStart w:id="480" w:name="_Toc400634368"/>
      <w:bookmarkStart w:id="481" w:name="_Toc468402828"/>
      <w:bookmarkStart w:id="482" w:name="_Toc22705"/>
      <w:bookmarkStart w:id="483" w:name="_Toc21280"/>
      <w:bookmarkStart w:id="484" w:name="_Toc28580"/>
      <w:bookmarkStart w:id="485" w:name="_Toc5041"/>
    </w:p>
    <w:p>
      <w:pPr>
        <w:spacing w:line="360" w:lineRule="auto"/>
        <w:ind w:firstLine="498" w:firstLineChars="200"/>
        <w:outlineLvl w:val="1"/>
        <w:rPr>
          <w:rFonts w:hint="eastAsia" w:ascii="宋体" w:hAnsi="宋体" w:eastAsia="宋体" w:cs="宋体"/>
          <w:b/>
          <w:snapToGrid w:val="0"/>
          <w:color w:val="auto"/>
          <w:spacing w:val="4"/>
          <w:kern w:val="0"/>
          <w:sz w:val="24"/>
          <w:highlight w:val="none"/>
        </w:rPr>
      </w:pPr>
      <w:r>
        <w:rPr>
          <w:rFonts w:hint="eastAsia" w:ascii="宋体" w:hAnsi="宋体" w:eastAsia="宋体" w:cs="宋体"/>
          <w:b/>
          <w:snapToGrid w:val="0"/>
          <w:color w:val="auto"/>
          <w:spacing w:val="4"/>
          <w:kern w:val="0"/>
          <w:sz w:val="24"/>
          <w:highlight w:val="none"/>
        </w:rPr>
        <w:t>（12）普通灯具</w:t>
      </w:r>
      <w:bookmarkEnd w:id="480"/>
      <w:bookmarkEnd w:id="481"/>
      <w:bookmarkEnd w:id="482"/>
      <w:bookmarkEnd w:id="483"/>
      <w:bookmarkEnd w:id="484"/>
      <w:bookmarkEnd w:id="485"/>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1）计价包括：各类预埋件留设、灯具（含光源）及配件安装、金属软管、接线、接地、焊压接线端子、接线盒、支架、调试等相关费用。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2）计量包括：灯具（包括吊杆、吊链、吊钩、底座、光源、轨道等全部附件及配件）计量分不同用途、类型、规格、型号，区分安装方式，以“套”为计量单位计算。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3）当灯具于须吊顶区域（如电梯厅、电梯大堂等）安装时，应考虑带塑套金属软管和相应电线的工程量，相关费用已经含于本项目报价中。</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4）当灯具采用吊链安装时，须考虑悬吊电线的工程量，相关费用已经含于本项目报价中。</w:t>
      </w:r>
    </w:p>
    <w:p>
      <w:pPr>
        <w:spacing w:line="360" w:lineRule="auto"/>
        <w:ind w:firstLine="498" w:firstLineChars="200"/>
        <w:outlineLvl w:val="1"/>
        <w:rPr>
          <w:rFonts w:hint="eastAsia" w:ascii="宋体" w:hAnsi="宋体" w:eastAsia="宋体" w:cs="宋体"/>
          <w:b/>
          <w:snapToGrid w:val="0"/>
          <w:color w:val="auto"/>
          <w:spacing w:val="4"/>
          <w:kern w:val="0"/>
          <w:sz w:val="24"/>
          <w:highlight w:val="none"/>
        </w:rPr>
      </w:pPr>
      <w:bookmarkStart w:id="486" w:name="_Toc468402830"/>
      <w:bookmarkStart w:id="487" w:name="_Toc23481"/>
      <w:bookmarkStart w:id="488" w:name="_Toc20537"/>
      <w:bookmarkStart w:id="489" w:name="_Toc26147"/>
      <w:bookmarkStart w:id="490" w:name="_Toc400634372"/>
      <w:bookmarkStart w:id="491" w:name="_Toc12419"/>
      <w:r>
        <w:rPr>
          <w:rFonts w:hint="eastAsia" w:ascii="宋体" w:hAnsi="宋体" w:eastAsia="宋体" w:cs="宋体"/>
          <w:b/>
          <w:snapToGrid w:val="0"/>
          <w:color w:val="auto"/>
          <w:spacing w:val="4"/>
          <w:kern w:val="0"/>
          <w:sz w:val="24"/>
          <w:highlight w:val="none"/>
        </w:rPr>
        <w:t>（13）防雷接地</w:t>
      </w:r>
      <w:bookmarkEnd w:id="486"/>
      <w:bookmarkEnd w:id="487"/>
      <w:bookmarkEnd w:id="488"/>
      <w:bookmarkEnd w:id="489"/>
      <w:bookmarkEnd w:id="490"/>
      <w:bookmarkEnd w:id="491"/>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防雷接地工程内容包括但不限于接地极(板)制安，接地母线敷设，接地网敷设，避雷引下线敷设，接地跨接线，金属构件、桩承台、铝合金门窗接地，等电位连接，防雷设施制安，均压环敷设，避雷带(网)的连接，接地电阻测试、防雷接地系统调试及验收等一切相关费用，防雷检测费用在本次招标范围内，该费用综合考虑在防雷报价中，不</w:t>
      </w:r>
      <w:bookmarkStart w:id="492" w:name="_Hlk84508616"/>
      <w:r>
        <w:rPr>
          <w:rFonts w:hint="eastAsia" w:ascii="宋体" w:hAnsi="宋体" w:eastAsia="宋体" w:cs="宋体"/>
          <w:color w:val="auto"/>
          <w:highlight w:val="none"/>
        </w:rPr>
        <w:t>予</w:t>
      </w:r>
      <w:bookmarkEnd w:id="492"/>
      <w:r>
        <w:rPr>
          <w:rFonts w:hint="eastAsia" w:ascii="宋体" w:hAnsi="宋体" w:eastAsia="宋体" w:cs="宋体"/>
          <w:color w:val="auto"/>
          <w:highlight w:val="none"/>
        </w:rPr>
        <w:t>另行计算。</w:t>
      </w:r>
    </w:p>
    <w:p>
      <w:pPr>
        <w:pStyle w:val="40"/>
        <w:spacing w:before="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1）避雷引下线</w:t>
      </w:r>
    </w:p>
    <w:p>
      <w:pPr>
        <w:pStyle w:val="40"/>
        <w:spacing w:before="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计量包括：避雷引下线敷设 利用建筑物主筋引下。利用轴柱内对角两条 ≥φ16的主钢筋或钢管柱电焊连接,并与接地连接线、接闪带、均压环等焊接连通，以“m”为计量单位计算。</w:t>
      </w:r>
    </w:p>
    <w:p>
      <w:pPr>
        <w:pStyle w:val="40"/>
        <w:spacing w:before="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计价包括：平直、下料、测位、固定、焊接。</w:t>
      </w:r>
    </w:p>
    <w:p>
      <w:pPr>
        <w:pStyle w:val="40"/>
        <w:spacing w:before="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2）避雷网</w:t>
      </w:r>
    </w:p>
    <w:p>
      <w:pPr>
        <w:pStyle w:val="40"/>
        <w:spacing w:before="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计量包括：明敷天面避雷网Φ12热镀锌圆钢，以“m”为计量单位计算。</w:t>
      </w:r>
    </w:p>
    <w:p>
      <w:pPr>
        <w:pStyle w:val="40"/>
        <w:spacing w:before="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计价包括：平直、下料、测位、打眼、埋卡子、焊接、固定、补漆。</w:t>
      </w:r>
    </w:p>
    <w:p>
      <w:pPr>
        <w:pStyle w:val="40"/>
        <w:spacing w:before="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3）接闪杆</w:t>
      </w:r>
    </w:p>
    <w:p>
      <w:pPr>
        <w:pStyle w:val="40"/>
        <w:spacing w:before="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计量包括：接闪杆镀锌圆钢Φ12 H=0.5m，以“套”为计量单位计算。</w:t>
      </w:r>
    </w:p>
    <w:p>
      <w:pPr>
        <w:pStyle w:val="40"/>
        <w:tabs>
          <w:tab w:val="left" w:pos="678"/>
        </w:tabs>
        <w:spacing w:before="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计价包括：下料、针尖针体加工、挂锡、测位、固定、焊接、补漆。</w:t>
      </w:r>
    </w:p>
    <w:p>
      <w:pPr>
        <w:pStyle w:val="40"/>
        <w:tabs>
          <w:tab w:val="left" w:pos="678"/>
        </w:tabs>
        <w:spacing w:before="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4）均压环</w:t>
      </w:r>
    </w:p>
    <w:p>
      <w:pPr>
        <w:pStyle w:val="40"/>
        <w:spacing w:before="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计量包括：均压环敷设，利用建筑物周边圈梁内两条主筋电焊连通成闭合回路,与引下线焊接,以防侧击雷,并从圈梁上用Φ12热镀锌圆钢或-25x4热镀锌扁钢外露200mm</w:t>
      </w:r>
    </w:p>
    <w:p>
      <w:pPr>
        <w:pStyle w:val="40"/>
        <w:tabs>
          <w:tab w:val="left" w:pos="678"/>
        </w:tabs>
        <w:spacing w:before="0" w:after="0" w:afterAutospacing="0"/>
        <w:rPr>
          <w:rFonts w:hint="eastAsia" w:ascii="宋体" w:hAnsi="宋体" w:eastAsia="宋体" w:cs="宋体"/>
          <w:color w:val="auto"/>
          <w:highlight w:val="none"/>
        </w:rPr>
      </w:pPr>
      <w:r>
        <w:rPr>
          <w:rFonts w:hint="eastAsia" w:ascii="宋体" w:hAnsi="宋体" w:eastAsia="宋体" w:cs="宋体"/>
          <w:color w:val="auto"/>
          <w:highlight w:val="none"/>
        </w:rPr>
        <w:t>与金属门窗,金属栏杆等焊接，以“m”为计量单位计算。</w:t>
      </w:r>
    </w:p>
    <w:p>
      <w:pPr>
        <w:pStyle w:val="40"/>
        <w:tabs>
          <w:tab w:val="left" w:pos="678"/>
        </w:tabs>
        <w:spacing w:before="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计价包括：测位、焊接、固定、补漆。</w:t>
      </w:r>
    </w:p>
    <w:p>
      <w:pPr>
        <w:pStyle w:val="40"/>
        <w:tabs>
          <w:tab w:val="left" w:pos="678"/>
        </w:tabs>
        <w:spacing w:before="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5）LEB局部等电位端子板</w:t>
      </w:r>
    </w:p>
    <w:p>
      <w:pPr>
        <w:pStyle w:val="40"/>
        <w:spacing w:before="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计量包括：25*4热镀锌扁钢，LEB局部等电位端子板制作安装，以“套”为计量单位计算。</w:t>
      </w:r>
    </w:p>
    <w:p>
      <w:pPr>
        <w:pStyle w:val="40"/>
        <w:spacing w:before="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计价包括：开箱、检查、安装、校线、压焊端子、接线、补漆、接地。</w:t>
      </w:r>
    </w:p>
    <w:p>
      <w:pPr>
        <w:pStyle w:val="40"/>
        <w:tabs>
          <w:tab w:val="left" w:pos="678"/>
        </w:tabs>
        <w:spacing w:before="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6）桩承台接地</w:t>
      </w:r>
    </w:p>
    <w:p>
      <w:pPr>
        <w:pStyle w:val="40"/>
        <w:spacing w:before="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计量包括：每桩焊接主筋两条采用电焊方式，以“项”为计量单位计算。</w:t>
      </w:r>
    </w:p>
    <w:p>
      <w:pPr>
        <w:pStyle w:val="40"/>
        <w:spacing w:before="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计价包括：三连桩 、七连桩、十连桩承台接地线安装。</w:t>
      </w:r>
    </w:p>
    <w:p>
      <w:pPr>
        <w:spacing w:line="360" w:lineRule="auto"/>
        <w:ind w:firstLine="498" w:firstLineChars="200"/>
        <w:outlineLvl w:val="1"/>
        <w:rPr>
          <w:rFonts w:hint="eastAsia" w:ascii="宋体" w:hAnsi="宋体" w:eastAsia="宋体" w:cs="宋体"/>
          <w:b/>
          <w:snapToGrid w:val="0"/>
          <w:color w:val="auto"/>
          <w:spacing w:val="4"/>
          <w:kern w:val="0"/>
          <w:sz w:val="24"/>
          <w:highlight w:val="none"/>
        </w:rPr>
      </w:pPr>
      <w:r>
        <w:rPr>
          <w:rFonts w:hint="eastAsia" w:ascii="宋体" w:hAnsi="宋体" w:eastAsia="宋体" w:cs="宋体"/>
          <w:b/>
          <w:snapToGrid w:val="0"/>
          <w:color w:val="auto"/>
          <w:spacing w:val="4"/>
          <w:kern w:val="0"/>
          <w:sz w:val="24"/>
          <w:highlight w:val="none"/>
        </w:rPr>
        <w:t>（14）套管</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计量包括：穿混凝土结构套管、套管形式、材质、规格。按工作介质管道的公称直径，区分不同规格以 “个”计算。</w:t>
      </w:r>
    </w:p>
    <w:p>
      <w:pPr>
        <w:pStyle w:val="40"/>
        <w:spacing w:before="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 计价包括：放样,下料,切割,组对,焊接,车制,刷防锈漆、找标高,找平,找正,就位,安装,加填料、封堵（含套管与管、套管与混凝土结构的封堵等）等相关费用。</w:t>
      </w:r>
    </w:p>
    <w:p>
      <w:pPr>
        <w:spacing w:line="360" w:lineRule="auto"/>
        <w:outlineLvl w:val="0"/>
        <w:rPr>
          <w:rFonts w:hint="eastAsia" w:ascii="宋体" w:hAnsi="宋体" w:eastAsia="宋体" w:cs="宋体"/>
          <w:b/>
          <w:color w:val="auto"/>
          <w:sz w:val="24"/>
          <w:highlight w:val="none"/>
        </w:rPr>
      </w:pPr>
      <w:bookmarkStart w:id="493" w:name="_Toc11219"/>
      <w:bookmarkStart w:id="494" w:name="_Toc468402879"/>
      <w:bookmarkStart w:id="495" w:name="_Toc31084"/>
      <w:bookmarkStart w:id="496" w:name="_Toc12934"/>
      <w:bookmarkStart w:id="497" w:name="_Toc21444"/>
      <w:r>
        <w:rPr>
          <w:rFonts w:hint="eastAsia" w:ascii="宋体" w:hAnsi="宋体" w:eastAsia="宋体" w:cs="宋体"/>
          <w:b/>
          <w:color w:val="auto"/>
          <w:sz w:val="24"/>
          <w:highlight w:val="none"/>
        </w:rPr>
        <w:t>3、通风空调工程</w:t>
      </w:r>
    </w:p>
    <w:bookmarkEnd w:id="493"/>
    <w:bookmarkEnd w:id="494"/>
    <w:bookmarkEnd w:id="495"/>
    <w:bookmarkEnd w:id="496"/>
    <w:bookmarkEnd w:id="497"/>
    <w:p>
      <w:pPr>
        <w:pStyle w:val="57"/>
        <w:ind w:left="0" w:leftChars="0" w:firstLine="498" w:firstLineChars="200"/>
        <w:rPr>
          <w:rFonts w:hint="eastAsia" w:ascii="宋体" w:hAnsi="宋体" w:eastAsia="宋体" w:cs="宋体"/>
          <w:b/>
          <w:bCs/>
          <w:color w:val="auto"/>
          <w:highlight w:val="none"/>
        </w:rPr>
      </w:pPr>
      <w:bookmarkStart w:id="498" w:name="_Toc25211"/>
      <w:bookmarkStart w:id="499" w:name="_Toc400634396"/>
      <w:bookmarkStart w:id="500" w:name="_Toc5841"/>
      <w:bookmarkStart w:id="501" w:name="_Toc21682"/>
      <w:bookmarkStart w:id="502" w:name="_Toc29815"/>
      <w:bookmarkStart w:id="503" w:name="_Toc468402882"/>
      <w:r>
        <w:rPr>
          <w:rFonts w:hint="eastAsia" w:ascii="宋体" w:hAnsi="宋体" w:eastAsia="宋体" w:cs="宋体"/>
          <w:b/>
          <w:bCs/>
          <w:color w:val="auto"/>
          <w:highlight w:val="none"/>
        </w:rPr>
        <w:t>（1）通风管道</w:t>
      </w:r>
      <w:bookmarkEnd w:id="498"/>
      <w:bookmarkEnd w:id="499"/>
      <w:bookmarkEnd w:id="500"/>
      <w:bookmarkEnd w:id="501"/>
      <w:bookmarkEnd w:id="502"/>
      <w:bookmarkEnd w:id="503"/>
    </w:p>
    <w:p>
      <w:pPr>
        <w:pStyle w:val="57"/>
        <w:ind w:left="0" w:leftChars="0" w:firstLine="496" w:firstLineChars="200"/>
        <w:rPr>
          <w:rFonts w:hint="eastAsia" w:ascii="宋体" w:hAnsi="宋体" w:eastAsia="宋体" w:cs="宋体"/>
          <w:color w:val="auto"/>
          <w:highlight w:val="none"/>
        </w:rPr>
      </w:pPr>
      <w:r>
        <w:rPr>
          <w:rFonts w:hint="eastAsia" w:ascii="宋体" w:hAnsi="宋体" w:eastAsia="宋体" w:cs="宋体"/>
          <w:color w:val="auto"/>
          <w:highlight w:val="none"/>
        </w:rPr>
        <w:t>1）通风管道包括碳钢、净化、不锈钢板、铝板、玻璃钢、塑料、复合型等各种材质通风管道。</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2）计量包括：各类风管及配件（包括弯头、三通、导流片、三通调节阀、加固框、法兰、软连接、回风箱等全部配件），综合考虑管件、法兰等附件、支架、保温的软木品种，按设计图示内径尺寸以展开面积“</w:t>
      </w:r>
      <w:bookmarkStart w:id="504" w:name="_Hlk83205895"/>
      <w:r>
        <w:rPr>
          <w:rFonts w:hint="eastAsia" w:ascii="宋体" w:hAnsi="宋体" w:eastAsia="宋体" w:cs="宋体"/>
          <w:color w:val="auto"/>
          <w:highlight w:val="none"/>
        </w:rPr>
        <w:t>平方米</w:t>
      </w:r>
      <w:bookmarkEnd w:id="504"/>
      <w:r>
        <w:rPr>
          <w:rFonts w:hint="eastAsia" w:ascii="宋体" w:hAnsi="宋体" w:eastAsia="宋体" w:cs="宋体"/>
          <w:color w:val="auto"/>
          <w:highlight w:val="none"/>
        </w:rPr>
        <w:t>” 为计量单位计算，其中渐缩管按平均周长计入通风管道工程量中。</w:t>
      </w:r>
    </w:p>
    <w:p>
      <w:pPr>
        <w:pStyle w:val="40"/>
        <w:spacing w:before="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计价包括：配合土建预留孔洞、穿砌体墙套管、预埋件留设；风管、管件、法兰、零配件、支吊架制作、安装；风管、法兰、支吊架、保护层除锈、刷油、穿墙、板、梁、池壁等部位开洞及封堵等工作内容，有洁净空调的含风管内表面清洗、两端风口、涂密封胶</w:t>
      </w:r>
      <w:bookmarkStart w:id="505" w:name="_Toc400634398"/>
      <w:bookmarkStart w:id="506" w:name="_Toc9502"/>
      <w:bookmarkStart w:id="507" w:name="_Toc30989"/>
      <w:bookmarkStart w:id="508" w:name="_Toc468402883"/>
      <w:bookmarkStart w:id="509" w:name="_Toc19284"/>
      <w:bookmarkStart w:id="510" w:name="_Toc28806"/>
      <w:r>
        <w:rPr>
          <w:rFonts w:hint="eastAsia" w:ascii="宋体" w:hAnsi="宋体" w:eastAsia="宋体" w:cs="宋体"/>
          <w:color w:val="auto"/>
          <w:highlight w:val="none"/>
        </w:rPr>
        <w:t>、风管和防护套管之间的防火板。</w:t>
      </w:r>
    </w:p>
    <w:p>
      <w:pPr>
        <w:pStyle w:val="57"/>
        <w:ind w:left="0" w:leftChars="0" w:firstLine="498"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w:t>
      </w:r>
      <w:bookmarkEnd w:id="505"/>
      <w:r>
        <w:rPr>
          <w:rFonts w:hint="eastAsia" w:ascii="宋体" w:hAnsi="宋体" w:eastAsia="宋体" w:cs="宋体"/>
          <w:b/>
          <w:bCs/>
          <w:color w:val="auto"/>
          <w:highlight w:val="none"/>
        </w:rPr>
        <w:t>2）静压箱、消声器</w:t>
      </w:r>
      <w:bookmarkEnd w:id="506"/>
      <w:bookmarkEnd w:id="507"/>
      <w:bookmarkEnd w:id="508"/>
      <w:bookmarkEnd w:id="509"/>
      <w:bookmarkEnd w:id="510"/>
    </w:p>
    <w:p>
      <w:pPr>
        <w:pStyle w:val="57"/>
        <w:ind w:left="0" w:leftChars="0" w:firstLine="496" w:firstLineChars="200"/>
        <w:rPr>
          <w:rFonts w:hint="eastAsia" w:ascii="宋体" w:hAnsi="宋体" w:eastAsia="宋体" w:cs="宋体"/>
          <w:color w:val="auto"/>
          <w:highlight w:val="none"/>
        </w:rPr>
      </w:pPr>
      <w:r>
        <w:rPr>
          <w:rFonts w:hint="eastAsia" w:ascii="宋体" w:hAnsi="宋体" w:eastAsia="宋体" w:cs="宋体"/>
          <w:color w:val="auto"/>
          <w:highlight w:val="none"/>
        </w:rPr>
        <w:t>1）计量包括：静压箱、消声器，分不同用途、类别、型号、规格以“个” 为计量单位计算。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2）计价包括：配合土建预留孔洞、预埋件留设；静压箱、消声器、保温棉安装等工作内容。</w:t>
      </w:r>
      <w:bookmarkStart w:id="511" w:name="_Toc900"/>
      <w:bookmarkStart w:id="512" w:name="_Toc468402884"/>
      <w:bookmarkStart w:id="513" w:name="_Toc24277"/>
      <w:bookmarkStart w:id="514" w:name="_Toc5753"/>
      <w:bookmarkStart w:id="515" w:name="_Toc21457"/>
    </w:p>
    <w:p>
      <w:pPr>
        <w:pStyle w:val="57"/>
        <w:ind w:left="0" w:leftChars="0" w:firstLine="498"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（3）风阀（含附件）</w:t>
      </w:r>
      <w:bookmarkEnd w:id="511"/>
      <w:bookmarkEnd w:id="512"/>
      <w:bookmarkEnd w:id="513"/>
      <w:bookmarkEnd w:id="514"/>
      <w:bookmarkEnd w:id="515"/>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1）风阀包括碳钢阀门、柔性软风管阀门、铝蝶阀、不锈钢蝶阀，塑料阀门，玻璃钢蝶阀，不含人字阀。</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2）计量包括：各类风阀及配件（包括执行器等随风阀配带的全部配件），分不同用途、类别、型号、规格以“个” 为计量单位计算。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3）计价包括：</w:t>
      </w:r>
      <w:bookmarkStart w:id="516" w:name="_Hlk83206158"/>
      <w:r>
        <w:rPr>
          <w:rFonts w:hint="eastAsia" w:ascii="宋体" w:hAnsi="宋体" w:eastAsia="宋体" w:cs="宋体"/>
          <w:color w:val="auto"/>
          <w:highlight w:val="none"/>
        </w:rPr>
        <w:t>配合土建预留孔洞、预埋件留设；风阀安装；防火阀、电动风阀含支架制作安装及刷油；电动阀门含电气检查接线等工作内容。</w:t>
      </w:r>
      <w:bookmarkEnd w:id="516"/>
      <w:bookmarkStart w:id="517" w:name="_Toc1935"/>
      <w:bookmarkStart w:id="518" w:name="_Toc468402885"/>
      <w:bookmarkStart w:id="519" w:name="_Toc7705"/>
      <w:bookmarkStart w:id="520" w:name="_Toc31182"/>
      <w:bookmarkStart w:id="521" w:name="_Toc18221"/>
    </w:p>
    <w:p>
      <w:pPr>
        <w:pStyle w:val="57"/>
        <w:ind w:left="0" w:leftChars="0" w:firstLine="498"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（4）风口</w:t>
      </w:r>
      <w:bookmarkEnd w:id="517"/>
      <w:bookmarkEnd w:id="518"/>
      <w:bookmarkEnd w:id="519"/>
      <w:bookmarkEnd w:id="520"/>
      <w:bookmarkEnd w:id="521"/>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1）计量包括：各类风口（包括单、双层百叶风口、散流器等）及附件（包括过滤网、人字阀、门铰），分不同类型、材质，按规格以“个”为单位计算。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2）计价包括：</w:t>
      </w:r>
      <w:bookmarkStart w:id="522" w:name="_Hlk83206179"/>
      <w:r>
        <w:rPr>
          <w:rFonts w:hint="eastAsia" w:ascii="宋体" w:hAnsi="宋体" w:eastAsia="宋体" w:cs="宋体"/>
          <w:color w:val="auto"/>
          <w:highlight w:val="none"/>
        </w:rPr>
        <w:t>配合土建预留孔洞、预埋件留设；风口、附件安装；电动风口含电气检查接线等工作内容。</w:t>
      </w:r>
      <w:bookmarkEnd w:id="522"/>
      <w:bookmarkStart w:id="523" w:name="_Toc1766"/>
      <w:bookmarkStart w:id="524" w:name="_Toc21785"/>
      <w:bookmarkStart w:id="525" w:name="_Toc8463"/>
      <w:bookmarkStart w:id="526" w:name="_Toc27842"/>
      <w:bookmarkStart w:id="527" w:name="_Toc468402886"/>
    </w:p>
    <w:p>
      <w:pPr>
        <w:pStyle w:val="57"/>
        <w:ind w:left="0" w:leftChars="0" w:firstLine="498"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（5）百叶</w:t>
      </w:r>
      <w:bookmarkEnd w:id="523"/>
      <w:bookmarkEnd w:id="524"/>
      <w:bookmarkEnd w:id="525"/>
      <w:bookmarkEnd w:id="526"/>
      <w:bookmarkEnd w:id="527"/>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1）计量包括：按设计图示数量以“个”计算。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2）计价包括：综合考虑包括百叶规格、类型、安装。</w:t>
      </w:r>
      <w:bookmarkStart w:id="528" w:name="_Toc2029"/>
      <w:bookmarkStart w:id="529" w:name="_Toc404009023"/>
      <w:bookmarkStart w:id="530" w:name="_Toc1308"/>
      <w:bookmarkStart w:id="531" w:name="_Toc17692"/>
      <w:bookmarkStart w:id="532" w:name="_Toc468402887"/>
      <w:bookmarkStart w:id="533" w:name="_Toc9813"/>
    </w:p>
    <w:bookmarkEnd w:id="528"/>
    <w:bookmarkEnd w:id="529"/>
    <w:bookmarkEnd w:id="530"/>
    <w:bookmarkEnd w:id="531"/>
    <w:bookmarkEnd w:id="532"/>
    <w:bookmarkEnd w:id="533"/>
    <w:p>
      <w:pPr>
        <w:pStyle w:val="57"/>
        <w:ind w:left="0" w:leftChars="0" w:firstLine="498" w:firstLineChars="200"/>
        <w:rPr>
          <w:rFonts w:hint="eastAsia" w:ascii="宋体" w:hAnsi="宋体" w:eastAsia="宋体" w:cs="宋体"/>
          <w:b/>
          <w:bCs/>
          <w:color w:val="auto"/>
          <w:highlight w:val="none"/>
        </w:rPr>
      </w:pPr>
      <w:bookmarkStart w:id="534" w:name="_Toc29181"/>
      <w:bookmarkStart w:id="535" w:name="_Toc8951"/>
      <w:bookmarkStart w:id="536" w:name="_Toc25492"/>
      <w:bookmarkStart w:id="537" w:name="_Toc404009024"/>
      <w:bookmarkStart w:id="538" w:name="_Toc468402888"/>
      <w:bookmarkStart w:id="539" w:name="_Toc26659"/>
      <w:r>
        <w:rPr>
          <w:rFonts w:hint="eastAsia" w:ascii="宋体" w:hAnsi="宋体" w:eastAsia="宋体" w:cs="宋体"/>
          <w:b/>
          <w:bCs/>
          <w:color w:val="auto"/>
          <w:highlight w:val="none"/>
        </w:rPr>
        <w:t>（6）天花排气扇、橱窗式排气扇</w:t>
      </w:r>
      <w:bookmarkEnd w:id="534"/>
      <w:bookmarkEnd w:id="535"/>
      <w:bookmarkEnd w:id="536"/>
      <w:bookmarkEnd w:id="537"/>
      <w:bookmarkEnd w:id="538"/>
      <w:bookmarkEnd w:id="539"/>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1）计量包括：排气扇及配件（含排气扇、调速开关、支架等）安装，分不同类别、规格、型号，以“台”为计量单位计算。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2）计价包括：本体安装，检查接线，调试等相关费用。</w:t>
      </w:r>
      <w:bookmarkStart w:id="540" w:name="_Toc468402889"/>
      <w:bookmarkStart w:id="541" w:name="_Toc5737"/>
      <w:bookmarkStart w:id="542" w:name="_Toc9487"/>
      <w:bookmarkStart w:id="543" w:name="_Toc31129"/>
      <w:bookmarkStart w:id="544" w:name="_Toc8254"/>
    </w:p>
    <w:bookmarkEnd w:id="540"/>
    <w:bookmarkEnd w:id="541"/>
    <w:bookmarkEnd w:id="542"/>
    <w:bookmarkEnd w:id="543"/>
    <w:bookmarkEnd w:id="544"/>
    <w:p>
      <w:pPr>
        <w:spacing w:line="360" w:lineRule="auto"/>
        <w:outlineLvl w:val="0"/>
        <w:rPr>
          <w:rFonts w:hint="eastAsia" w:ascii="宋体" w:hAnsi="宋体" w:eastAsia="宋体" w:cs="宋体"/>
          <w:b/>
          <w:color w:val="auto"/>
          <w:sz w:val="24"/>
          <w:highlight w:val="none"/>
        </w:rPr>
      </w:pPr>
      <w:bookmarkStart w:id="545" w:name="_Toc29822"/>
      <w:bookmarkStart w:id="546" w:name="_Toc7870"/>
      <w:bookmarkStart w:id="547" w:name="_Toc6475"/>
      <w:r>
        <w:rPr>
          <w:rFonts w:hint="eastAsia" w:ascii="宋体" w:hAnsi="宋体" w:eastAsia="宋体" w:cs="宋体"/>
          <w:b/>
          <w:color w:val="auto"/>
          <w:sz w:val="24"/>
          <w:highlight w:val="none"/>
        </w:rPr>
        <w:t>4、消防工程</w:t>
      </w:r>
      <w:bookmarkEnd w:id="545"/>
      <w:bookmarkEnd w:id="546"/>
      <w:bookmarkEnd w:id="547"/>
    </w:p>
    <w:p>
      <w:pPr>
        <w:pStyle w:val="57"/>
        <w:ind w:left="0" w:leftChars="0" w:firstLine="498"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（1）水灭火系统</w:t>
      </w:r>
      <w:bookmarkStart w:id="548" w:name="_Toc14587"/>
      <w:bookmarkStart w:id="549" w:name="_Toc1539"/>
      <w:bookmarkStart w:id="550" w:name="_Toc468402890"/>
      <w:bookmarkStart w:id="551" w:name="_Toc8607"/>
      <w:bookmarkStart w:id="552" w:name="_Toc400634401"/>
      <w:bookmarkStart w:id="553" w:name="_Toc29670"/>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1）水喷淋钢管、消火栓钢管</w:t>
      </w:r>
      <w:bookmarkEnd w:id="548"/>
      <w:bookmarkEnd w:id="549"/>
      <w:bookmarkEnd w:id="550"/>
      <w:bookmarkEnd w:id="551"/>
      <w:bookmarkEnd w:id="552"/>
      <w:bookmarkEnd w:id="553"/>
    </w:p>
    <w:p>
      <w:pPr>
        <w:pStyle w:val="57"/>
        <w:ind w:firstLine="496"/>
        <w:rPr>
          <w:rFonts w:hint="eastAsia" w:ascii="宋体" w:hAnsi="宋体" w:eastAsia="宋体" w:cs="宋体"/>
          <w:b/>
          <w:color w:val="auto"/>
          <w:highlight w:val="none"/>
        </w:rPr>
      </w:pPr>
      <w:r>
        <w:rPr>
          <w:rFonts w:hint="eastAsia" w:ascii="宋体" w:hAnsi="宋体" w:eastAsia="宋体" w:cs="宋体"/>
          <w:color w:val="auto"/>
          <w:highlight w:val="none"/>
        </w:rPr>
        <w:t>①计量包括：本体及配件（含穿砌体墙套管制作安装，管道刷油、防腐蚀、喷镀（涂），防潮保护、凿（压）槽、打洞（孔），止水环、弯头、三通、大小头、补心、检查口、伸缩节、波纹管、法兰、钢塑转换接头、卡箍等全部管道配件），分不同安装部位、材质、规格、连接形式、镀锌设计要求、压力试验及冲洗设计要求、管道标识设计要求，按设计图示管道中心线长度以“米” 为计量单位计算。管道支架制作安装。</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 xml:space="preserve"> ②计价包括：配合土建孔洞预留、于砖墙或有找平层的地面上的开刨槽、砖墙开孔、管道及管件的安装、弯管的制作安装、管道标识、防腐、接地、绝热及保护层安装、冲洗、水压及泄漏试验、为配合安装、试压等工作而安装的辅助管道、管件的安装</w:t>
      </w:r>
      <w:bookmarkStart w:id="554" w:name="_Toc1993"/>
      <w:bookmarkStart w:id="555" w:name="_Toc21808"/>
      <w:bookmarkStart w:id="556" w:name="_Toc32475"/>
      <w:r>
        <w:rPr>
          <w:rFonts w:hint="eastAsia" w:ascii="宋体" w:hAnsi="宋体" w:eastAsia="宋体" w:cs="宋体"/>
          <w:color w:val="auto"/>
          <w:highlight w:val="none"/>
        </w:rPr>
        <w:t>，管道支架制作安装、除锈刷油，穿砌体墙套管制作安装。</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2）喷头</w:t>
      </w:r>
      <w:bookmarkEnd w:id="554"/>
      <w:bookmarkEnd w:id="555"/>
      <w:bookmarkEnd w:id="556"/>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①计量包括：喷头（闭式喷头、水喷雾喷头、雨淋喷头、大空间水炮、气体灭火、高压细水雾灭火等各类消防喷头）及配件（装饰碟等）分不同类型按“套或个”为单位计算。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②计价包括：喷头及接头配件（装饰碟）等安装。</w:t>
      </w:r>
      <w:bookmarkStart w:id="557" w:name="_Toc17267"/>
      <w:bookmarkStart w:id="558" w:name="_Toc12322"/>
      <w:bookmarkStart w:id="559" w:name="_Toc404008910"/>
      <w:bookmarkStart w:id="560" w:name="_Toc2836"/>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3）消防栓箱（含附件）</w:t>
      </w:r>
      <w:bookmarkEnd w:id="557"/>
      <w:bookmarkEnd w:id="558"/>
      <w:bookmarkEnd w:id="559"/>
      <w:bookmarkEnd w:id="560"/>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①计量包括：消防栓箱及配件(含减压孔板、自带警铃、破玻、水枪、水带灭火器等成套设备)，按不同规格、不同配置以“套”为单位计算。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②计价包括：孔洞预留；消防栓箱及配件安装；减压板安装；接地；电气接线、试压等工作内容。</w:t>
      </w:r>
      <w:bookmarkStart w:id="561" w:name="_Toc9351"/>
      <w:bookmarkStart w:id="562" w:name="_Toc4487"/>
      <w:bookmarkStart w:id="563" w:name="_Toc404008911"/>
      <w:bookmarkStart w:id="564" w:name="_Toc20986"/>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4）水泵接合器连附件</w:t>
      </w:r>
      <w:bookmarkEnd w:id="561"/>
      <w:bookmarkEnd w:id="562"/>
      <w:bookmarkEnd w:id="563"/>
      <w:bookmarkEnd w:id="564"/>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①计量包括：分不同类型、规格以“套”为单位计算。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②计价包括：水泵接合器连附件安装、试压等工作内容。</w:t>
      </w:r>
      <w:bookmarkStart w:id="565" w:name="_Toc11109"/>
      <w:bookmarkStart w:id="566" w:name="_Toc21461"/>
      <w:bookmarkStart w:id="567" w:name="_Toc24611"/>
      <w:bookmarkStart w:id="568" w:name="_Toc404008914"/>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5）水流指示器、湿式报警装置等水消防设备（含附件）</w:t>
      </w:r>
      <w:bookmarkEnd w:id="565"/>
      <w:bookmarkEnd w:id="566"/>
      <w:bookmarkEnd w:id="567"/>
      <w:bookmarkEnd w:id="568"/>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①计量包括：分不同用途、类别、规格、型号以“套或个”为单位计算。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②计价包括：设备安装、电气接线、调试等工作内容。</w:t>
      </w:r>
      <w:bookmarkStart w:id="569" w:name="_Toc404008915"/>
      <w:bookmarkStart w:id="570" w:name="_Toc7502"/>
      <w:bookmarkStart w:id="571" w:name="_Toc32673"/>
      <w:bookmarkStart w:id="572" w:name="_Toc18149"/>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6）减压孔板</w:t>
      </w:r>
      <w:bookmarkEnd w:id="569"/>
      <w:bookmarkEnd w:id="570"/>
      <w:bookmarkEnd w:id="571"/>
      <w:bookmarkEnd w:id="572"/>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①计量包括：分不同用途、类别、规格、型号以“个”为单位计算。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②计价包括：本体及其配件、法兰安装等工作内容。</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7）套管</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①计量包括：穿混凝土结构套管、套管形式、材质、规格。按工作介质管道的公称直径，区分不同规格以 “个”计算。</w:t>
      </w:r>
    </w:p>
    <w:p>
      <w:pPr>
        <w:pStyle w:val="57"/>
        <w:ind w:firstLine="496"/>
        <w:rPr>
          <w:rFonts w:hint="eastAsia" w:ascii="宋体" w:hAnsi="宋体" w:eastAsia="宋体" w:cs="宋体"/>
          <w:b/>
          <w:color w:val="auto"/>
          <w:highlight w:val="none"/>
        </w:rPr>
      </w:pPr>
      <w:r>
        <w:rPr>
          <w:rFonts w:hint="eastAsia" w:ascii="宋体" w:hAnsi="宋体" w:eastAsia="宋体" w:cs="宋体"/>
          <w:color w:val="auto"/>
          <w:highlight w:val="none"/>
        </w:rPr>
        <w:t>②计价包括：放样,下料,切割,组对,焊接,车制,刷防锈漆、找标高,找平,找正,就位,安装,加填料、封堵（含套管与管、套管与混凝土结构的封堵等）等相关费用。</w:t>
      </w:r>
    </w:p>
    <w:p>
      <w:pPr>
        <w:pStyle w:val="57"/>
        <w:ind w:left="0" w:leftChars="0" w:firstLine="498"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（2）气体灭火系统</w:t>
      </w:r>
      <w:bookmarkStart w:id="573" w:name="_Toc11170"/>
      <w:bookmarkStart w:id="574" w:name="_Toc14198"/>
      <w:bookmarkStart w:id="575" w:name="_Toc404008917"/>
      <w:bookmarkStart w:id="576" w:name="_Toc25985"/>
    </w:p>
    <w:bookmarkEnd w:id="573"/>
    <w:bookmarkEnd w:id="574"/>
    <w:bookmarkEnd w:id="575"/>
    <w:bookmarkEnd w:id="576"/>
    <w:p>
      <w:pPr>
        <w:pStyle w:val="57"/>
        <w:ind w:firstLine="496"/>
        <w:rPr>
          <w:rFonts w:hint="eastAsia" w:ascii="宋体" w:hAnsi="宋体" w:eastAsia="宋体" w:cs="宋体"/>
          <w:color w:val="auto"/>
          <w:highlight w:val="none"/>
        </w:rPr>
      </w:pPr>
      <w:bookmarkStart w:id="577" w:name="_Toc10702"/>
      <w:bookmarkStart w:id="578" w:name="_Toc404008918"/>
      <w:bookmarkStart w:id="579" w:name="_Toc468402891"/>
      <w:bookmarkStart w:id="580" w:name="_Toc17375"/>
      <w:bookmarkStart w:id="581" w:name="_Toc24943"/>
      <w:bookmarkStart w:id="582" w:name="_Toc21145"/>
      <w:r>
        <w:rPr>
          <w:rFonts w:hint="eastAsia" w:ascii="宋体" w:hAnsi="宋体" w:eastAsia="宋体" w:cs="宋体"/>
          <w:color w:val="auto"/>
          <w:highlight w:val="none"/>
        </w:rPr>
        <w:t>1）七氟丙烷储存装置、驱动装置等气体消防设备</w:t>
      </w:r>
      <w:bookmarkEnd w:id="577"/>
      <w:bookmarkEnd w:id="578"/>
      <w:bookmarkEnd w:id="579"/>
      <w:bookmarkEnd w:id="580"/>
      <w:bookmarkEnd w:id="581"/>
      <w:bookmarkEnd w:id="582"/>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①计量包括：七氟丙烷储存装置、驱动装置及其配件，按不同规格、不同配置以“套”为单位计算。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②计价包括：七氟丙烷储存装置、驱动装置及其配件安装、基础支架制作安装、接地、电气接线、试压、调试、深化设计等工作内容。</w:t>
      </w:r>
      <w:bookmarkStart w:id="583" w:name="_Toc9651"/>
      <w:bookmarkStart w:id="584" w:name="_Toc404008919"/>
      <w:bookmarkStart w:id="585" w:name="_Toc468402892"/>
      <w:bookmarkStart w:id="586" w:name="_Toc16282"/>
      <w:bookmarkStart w:id="587" w:name="_Toc25125"/>
      <w:bookmarkStart w:id="588" w:name="_Toc13149"/>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2）选择阀、单向阀、安全阀等气体消防设备（含附件）</w:t>
      </w:r>
      <w:bookmarkEnd w:id="583"/>
      <w:bookmarkEnd w:id="584"/>
      <w:bookmarkEnd w:id="585"/>
      <w:bookmarkEnd w:id="586"/>
      <w:bookmarkEnd w:id="587"/>
      <w:bookmarkEnd w:id="588"/>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①计量包括：分不同用途、类别、规格、型号以“个”为单位计算。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②计价包括：设备安装、接地、电气接线、试压、调试等工作内容。</w:t>
      </w:r>
    </w:p>
    <w:p>
      <w:pPr>
        <w:pStyle w:val="57"/>
        <w:ind w:left="0" w:leftChars="0" w:firstLine="498"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（3）火灾自动报警系统</w:t>
      </w:r>
      <w:bookmarkStart w:id="589" w:name="_Toc20863"/>
      <w:bookmarkStart w:id="590" w:name="_Toc13008"/>
      <w:bookmarkStart w:id="591" w:name="_Toc468402893"/>
      <w:bookmarkStart w:id="592" w:name="_Toc21912"/>
      <w:bookmarkStart w:id="593" w:name="_Toc21875"/>
    </w:p>
    <w:p>
      <w:pPr>
        <w:pStyle w:val="57"/>
        <w:ind w:firstLine="446" w:firstLineChars="180"/>
        <w:rPr>
          <w:rFonts w:hint="eastAsia" w:ascii="宋体" w:hAnsi="宋体" w:eastAsia="宋体" w:cs="宋体"/>
          <w:color w:val="auto"/>
          <w:highlight w:val="none"/>
        </w:rPr>
      </w:pPr>
      <w:r>
        <w:rPr>
          <w:rFonts w:hint="eastAsia" w:ascii="宋体" w:hAnsi="宋体" w:eastAsia="宋体" w:cs="宋体"/>
          <w:color w:val="auto"/>
          <w:highlight w:val="none"/>
        </w:rPr>
        <w:t>1）模块、探测器、警铃、破玻、消防电话等消防报警末端设备</w:t>
      </w:r>
      <w:bookmarkEnd w:id="589"/>
      <w:bookmarkEnd w:id="590"/>
      <w:bookmarkEnd w:id="591"/>
      <w:bookmarkEnd w:id="592"/>
      <w:bookmarkEnd w:id="593"/>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①计量包括：分不同用途、类型、型号以“台或个”为单位计算。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②计价包括：消防报警末端设备安装、调试、校接线；底盒、金属软管、电接线、调试、深化设计；综合考虑室外防水要求等工作内容。</w:t>
      </w:r>
      <w:bookmarkStart w:id="594" w:name="_Toc4587"/>
      <w:bookmarkStart w:id="595" w:name="_Toc468402894"/>
      <w:bookmarkStart w:id="596" w:name="_Toc24904"/>
      <w:bookmarkStart w:id="597" w:name="_Toc404008921"/>
      <w:bookmarkStart w:id="598" w:name="_Toc23942"/>
      <w:bookmarkStart w:id="599" w:name="_Toc23665"/>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2）消防主机</w:t>
      </w:r>
      <w:bookmarkEnd w:id="594"/>
      <w:bookmarkEnd w:id="595"/>
      <w:bookmarkEnd w:id="596"/>
      <w:bookmarkEnd w:id="597"/>
      <w:bookmarkEnd w:id="598"/>
      <w:bookmarkEnd w:id="599"/>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①计量包括：消防主机（包括消防控制主机、消防电话主机、显示屏等消防主机设备）分主机的型号、规格、用途，以“套或台”为单位计算。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②计价包括：基础制作、安装；主机安装、接地、端子板安装；消防报警备用电源安装；校接线、电接线、调试、相应的配套软件、深化设计等工作内容。</w:t>
      </w:r>
      <w:bookmarkStart w:id="600" w:name="_Toc468402895"/>
      <w:bookmarkStart w:id="601" w:name="_Toc22280"/>
      <w:bookmarkStart w:id="602" w:name="_Toc404008922"/>
      <w:bookmarkStart w:id="603" w:name="_Toc6609"/>
      <w:bookmarkStart w:id="604" w:name="_Toc20220"/>
      <w:bookmarkStart w:id="605" w:name="_Toc4245"/>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3）联动控制器</w:t>
      </w:r>
      <w:bookmarkEnd w:id="600"/>
      <w:bookmarkEnd w:id="601"/>
      <w:bookmarkEnd w:id="602"/>
      <w:bookmarkEnd w:id="603"/>
      <w:bookmarkEnd w:id="604"/>
      <w:bookmarkEnd w:id="605"/>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①计量包括：联动控制器（包括联动控制器、消防报警备用电源等设备）分型号、规格、用途，以“台或个”为单位计算。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②计价包括：基础制作、安装；主机安装、接地、端子板安装；消防报警备用电源安装；校接线、调试、相应的配套软件、深化设计等工作内容。</w:t>
      </w:r>
      <w:bookmarkStart w:id="606" w:name="_Toc29785"/>
      <w:bookmarkStart w:id="607" w:name="_Toc13635"/>
      <w:bookmarkStart w:id="608" w:name="_Toc27112"/>
      <w:bookmarkStart w:id="609" w:name="_Toc468402896"/>
      <w:bookmarkStart w:id="610" w:name="_Toc404008923"/>
      <w:bookmarkStart w:id="611" w:name="_Toc12305"/>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4）火灾电话总机</w:t>
      </w:r>
      <w:bookmarkEnd w:id="606"/>
      <w:bookmarkEnd w:id="607"/>
      <w:bookmarkEnd w:id="608"/>
      <w:bookmarkEnd w:id="609"/>
      <w:bookmarkEnd w:id="610"/>
      <w:bookmarkEnd w:id="611"/>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①计量包括：火灾电话总机（包括联动控制器、消防报警备用电源等设备）分型号、规格、用途，以“台或部”为单位计算。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②计价包括：基础制作、安装；主机安装、软件安装、接地、端子板安装；消防报警备用电源安装；校接线、调试、深化设计等工作内容。</w:t>
      </w:r>
      <w:bookmarkStart w:id="612" w:name="_Toc468402897"/>
      <w:bookmarkStart w:id="613" w:name="_Toc31593"/>
      <w:bookmarkStart w:id="614" w:name="_Toc404008924"/>
      <w:bookmarkStart w:id="615" w:name="_Toc18266"/>
      <w:bookmarkStart w:id="616" w:name="_Toc9222"/>
      <w:bookmarkStart w:id="617" w:name="_Toc21379"/>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5）模拟屏</w:t>
      </w:r>
      <w:bookmarkEnd w:id="612"/>
      <w:bookmarkEnd w:id="613"/>
      <w:bookmarkEnd w:id="614"/>
      <w:bookmarkEnd w:id="615"/>
      <w:bookmarkEnd w:id="616"/>
      <w:bookmarkEnd w:id="617"/>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①计量包括：以“套”为单位计算。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②计价包括：安装；接地、端子板安装；校接线、调试、深化设计等工作内容。</w:t>
      </w:r>
      <w:bookmarkStart w:id="618" w:name="_Toc1633"/>
      <w:bookmarkStart w:id="619" w:name="_Toc20360"/>
      <w:bookmarkStart w:id="620" w:name="_Toc14387"/>
      <w:bookmarkStart w:id="621" w:name="_Toc468402898"/>
      <w:bookmarkStart w:id="622" w:name="_Toc8811"/>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6）各类喇叭、扬声器</w:t>
      </w:r>
      <w:bookmarkEnd w:id="618"/>
      <w:bookmarkEnd w:id="619"/>
      <w:bookmarkEnd w:id="620"/>
      <w:bookmarkEnd w:id="621"/>
      <w:bookmarkEnd w:id="622"/>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①计量包括：分不同用途、类型、型号以“个”为单位计算。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②计价包括：本体安装、调试、校接线；底盒、金属软管、电气接线、调试、深化设计等相关费用。</w:t>
      </w:r>
      <w:bookmarkStart w:id="623" w:name="_Toc22604"/>
      <w:bookmarkStart w:id="624" w:name="_Toc18522"/>
      <w:bookmarkStart w:id="625" w:name="_Toc21027"/>
      <w:bookmarkStart w:id="626" w:name="_Toc468402899"/>
      <w:bookmarkStart w:id="627" w:name="_Toc27384"/>
      <w:bookmarkStart w:id="628" w:name="_Toc404008928"/>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7）消防广播主机</w:t>
      </w:r>
      <w:bookmarkEnd w:id="623"/>
      <w:bookmarkEnd w:id="624"/>
      <w:bookmarkEnd w:id="625"/>
      <w:bookmarkEnd w:id="626"/>
      <w:bookmarkEnd w:id="627"/>
      <w:bookmarkEnd w:id="628"/>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①计量包括：主机、功放、CD播放机、控制软件、播音软件等以“套或台”为单位计算。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②计价包括：本体安装，系统及应用软件安装/调试/初始设置，试运行，联合调试、深化设计等相关费用。</w:t>
      </w:r>
    </w:p>
    <w:p>
      <w:pPr>
        <w:spacing w:line="360" w:lineRule="auto"/>
        <w:outlineLvl w:val="1"/>
        <w:rPr>
          <w:rFonts w:hint="eastAsia" w:ascii="宋体" w:hAnsi="宋体" w:eastAsia="宋体" w:cs="宋体"/>
          <w:b w:val="0"/>
          <w:bCs w:val="0"/>
          <w:snapToGrid w:val="0"/>
          <w:color w:val="auto"/>
          <w:spacing w:val="4"/>
          <w:kern w:val="0"/>
          <w:sz w:val="24"/>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 w:val="24"/>
          <w:szCs w:val="24"/>
          <w:highlight w:val="none"/>
        </w:rPr>
        <w:t xml:space="preserve"> 8）</w:t>
      </w:r>
      <w:r>
        <w:rPr>
          <w:rFonts w:hint="eastAsia" w:ascii="宋体" w:hAnsi="宋体" w:eastAsia="宋体" w:cs="宋体"/>
          <w:b w:val="0"/>
          <w:bCs w:val="0"/>
          <w:snapToGrid w:val="0"/>
          <w:color w:val="auto"/>
          <w:spacing w:val="4"/>
          <w:kern w:val="0"/>
          <w:sz w:val="24"/>
          <w:szCs w:val="24"/>
          <w:highlight w:val="none"/>
        </w:rPr>
        <w:t>配管</w:t>
      </w:r>
    </w:p>
    <w:p>
      <w:pPr>
        <w:pStyle w:val="65"/>
        <w:spacing w:before="0" w:beforeLines="0" w:after="0" w:afterLines="0" w:line="360" w:lineRule="auto"/>
        <w:ind w:firstLine="496" w:firstLineChars="200"/>
        <w:jc w:val="both"/>
        <w:outlineLvl w:val="9"/>
        <w:rPr>
          <w:rFonts w:hint="eastAsia" w:ascii="宋体" w:hAnsi="宋体" w:eastAsia="宋体" w:cs="宋体"/>
          <w:b w:val="0"/>
          <w:color w:val="auto"/>
          <w:highlight w:val="none"/>
        </w:rPr>
      </w:pPr>
      <w:r>
        <w:rPr>
          <w:rFonts w:hint="eastAsia" w:ascii="宋体" w:hAnsi="宋体" w:eastAsia="宋体" w:cs="宋体"/>
          <w:b w:val="0"/>
          <w:color w:val="auto"/>
          <w:highlight w:val="none"/>
        </w:rPr>
        <w:t>①包括镀锌钢管、镀锌电线管、可挠金属套管、PVC塑料电线管等电气管道、接线盒等。</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②计量包括：分不同材质、不同规格，不分敷设方式，以“米”为计量单位计算。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③计价包括：管道敷设、穿线用牵引铁线、砼结构内的管道预埋施工、于砖墙或有找平层的地面上的开刨槽、砖墙开孔、修补、配件管件及安装、支吊架制作安装、接线盒供应及安装、防腐油漆、标识、接地、接线盒、防火堵洞、防火涂料等相关费用。</w:t>
      </w:r>
    </w:p>
    <w:p>
      <w:pPr>
        <w:spacing w:line="360" w:lineRule="auto"/>
        <w:outlineLvl w:val="1"/>
        <w:rPr>
          <w:rFonts w:hint="eastAsia" w:ascii="宋体" w:hAnsi="宋体" w:eastAsia="宋体" w:cs="宋体"/>
          <w:b w:val="0"/>
          <w:bCs w:val="0"/>
          <w:snapToGrid w:val="0"/>
          <w:color w:val="auto"/>
          <w:spacing w:val="4"/>
          <w:kern w:val="0"/>
          <w:sz w:val="24"/>
          <w:szCs w:val="24"/>
          <w:highlight w:val="none"/>
        </w:rPr>
      </w:pPr>
      <w:r>
        <w:rPr>
          <w:rFonts w:hint="eastAsia" w:ascii="宋体" w:hAnsi="宋体" w:eastAsia="宋体" w:cs="宋体"/>
          <w:color w:val="auto"/>
          <w:sz w:val="24"/>
          <w:szCs w:val="24"/>
          <w:highlight w:val="none"/>
        </w:rPr>
        <w:t xml:space="preserve">     9）线槽</w:t>
      </w:r>
    </w:p>
    <w:p>
      <w:pPr>
        <w:pStyle w:val="57"/>
        <w:ind w:firstLine="496"/>
        <w:rPr>
          <w:rFonts w:hint="eastAsia" w:ascii="宋体" w:hAnsi="宋体" w:eastAsia="宋体" w:cs="宋体"/>
          <w:color w:val="auto"/>
          <w:highlight w:val="none"/>
        </w:rPr>
      </w:pPr>
      <w:r>
        <w:rPr>
          <w:rFonts w:hint="eastAsia" w:ascii="宋体" w:hAnsi="宋体" w:eastAsia="宋体" w:cs="宋体"/>
          <w:b w:val="0"/>
          <w:color w:val="auto"/>
          <w:highlight w:val="none"/>
        </w:rPr>
        <w:t>①</w:t>
      </w:r>
      <w:r>
        <w:rPr>
          <w:rFonts w:hint="eastAsia" w:ascii="宋体" w:hAnsi="宋体" w:eastAsia="宋体" w:cs="宋体"/>
          <w:color w:val="auto"/>
          <w:highlight w:val="none"/>
        </w:rPr>
        <w:t>计量包括：线槽（包括盖板、三通、弯头等附件以及接地扣片等配件），按不同材质以截面半周长为步距，以“米”为计量单位计算。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②计价包括：本体运输、固定安装、接口修整安装附件安装（包括盖板、隔板、三通、弯头、支承件等附件以及软接头、接地铜排等全部配件）、电缆桥架及附件、配件安装、接地、伸缩软接头、于砖墙或有找平层的地面上的开刨槽、砖墙开孔、修补、穿墙、楼板处防火封堵，除锈刷漆，支架制作、安装、支架除锈刷漆，防火涂料，金属隔板等相关费用。</w:t>
      </w:r>
    </w:p>
    <w:p>
      <w:pPr>
        <w:spacing w:line="360" w:lineRule="auto"/>
        <w:outlineLvl w:val="1"/>
        <w:rPr>
          <w:rFonts w:hint="eastAsia" w:ascii="宋体" w:hAnsi="宋体" w:eastAsia="宋体" w:cs="宋体"/>
          <w:b w:val="0"/>
          <w:bCs w:val="0"/>
          <w:snapToGrid w:val="0"/>
          <w:color w:val="auto"/>
          <w:spacing w:val="4"/>
          <w:kern w:val="0"/>
          <w:sz w:val="24"/>
          <w:szCs w:val="24"/>
          <w:highlight w:val="none"/>
        </w:rPr>
      </w:pPr>
      <w:r>
        <w:rPr>
          <w:rFonts w:hint="eastAsia" w:ascii="宋体" w:hAnsi="宋体" w:eastAsia="宋体" w:cs="宋体"/>
          <w:color w:val="auto"/>
          <w:sz w:val="24"/>
          <w:szCs w:val="24"/>
          <w:highlight w:val="none"/>
        </w:rPr>
        <w:t xml:space="preserve">     10）桥架</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1）计量包括：电缆桥架（包括盖板、隔板、三通、弯头、支承件等附件以及软接头、接地铜排等全部配件），按不同材质以截面半周长为步距，以“米”为计量单位计算。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计价包括：本体运输、固定安装、接口修整安装附件安装（包括盖板、隔板、三通、弯头、支承件等附件以及软接头、接地铜排等全部配件）、电缆桥架及附件、配件安装、接地、伸缩软接头、于砖墙或有找平层的地面上的开刨槽、砖墙开孔、修补、穿墙、楼板处防火封堵，除锈刷漆，支架制作、安装、支架除锈刷漆等相关费用。</w:t>
      </w:r>
    </w:p>
    <w:p>
      <w:pPr>
        <w:spacing w:line="360" w:lineRule="auto"/>
        <w:outlineLvl w:val="1"/>
        <w:rPr>
          <w:rFonts w:hint="eastAsia" w:ascii="宋体" w:hAnsi="宋体" w:eastAsia="宋体" w:cs="宋体"/>
          <w:b w:val="0"/>
          <w:bCs w:val="0"/>
          <w:snapToGrid w:val="0"/>
          <w:color w:val="auto"/>
          <w:spacing w:val="4"/>
          <w:kern w:val="0"/>
          <w:sz w:val="24"/>
          <w:szCs w:val="24"/>
          <w:highlight w:val="none"/>
        </w:rPr>
      </w:pPr>
      <w:r>
        <w:rPr>
          <w:rFonts w:hint="eastAsia" w:ascii="宋体" w:hAnsi="宋体" w:eastAsia="宋体" w:cs="宋体"/>
          <w:color w:val="auto"/>
          <w:sz w:val="24"/>
          <w:szCs w:val="24"/>
          <w:highlight w:val="none"/>
        </w:rPr>
        <w:t xml:space="preserve">     11）配线</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1）计量包括：分电压等级、用途、材质、规格、型号，不分敷设方式，以“米”为计量单位计算。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2）计价包括：支持体（夹板、绝缘子、街码等）安装、配线、管内或槽内穿线、焊、压接线端子等相关费用。</w:t>
      </w:r>
    </w:p>
    <w:p>
      <w:pPr>
        <w:spacing w:line="360" w:lineRule="auto"/>
        <w:outlineLvl w:val="1"/>
        <w:rPr>
          <w:rFonts w:hint="eastAsia" w:ascii="宋体" w:hAnsi="宋体" w:eastAsia="宋体" w:cs="宋体"/>
          <w:b w:val="0"/>
          <w:bCs w:val="0"/>
          <w:snapToGrid w:val="0"/>
          <w:color w:val="auto"/>
          <w:spacing w:val="4"/>
          <w:kern w:val="0"/>
          <w:sz w:val="24"/>
          <w:szCs w:val="24"/>
          <w:highlight w:val="none"/>
        </w:rPr>
      </w:pPr>
      <w:r>
        <w:rPr>
          <w:rFonts w:hint="eastAsia" w:ascii="宋体" w:hAnsi="宋体" w:eastAsia="宋体" w:cs="宋体"/>
          <w:color w:val="auto"/>
          <w:sz w:val="24"/>
          <w:szCs w:val="24"/>
          <w:highlight w:val="none"/>
        </w:rPr>
        <w:t xml:space="preserve">     12）套管</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计量包括：穿混凝土结构套管、套管形式、材质、规格。按工作介质管道的公称直径，区分不同规格以 “个”计算。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 计价包括：放样,下料,切割,组对,焊接,车制,刷防锈漆、找标高,找平,找正,就位,安装,加填料、封堵（含套管与管、套管与混凝土结构的封堵等）等相关费用。</w:t>
      </w:r>
    </w:p>
    <w:p>
      <w:pPr>
        <w:pStyle w:val="57"/>
        <w:ind w:left="0" w:leftChars="0" w:firstLine="498"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（4）消防系统调试</w:t>
      </w:r>
      <w:bookmarkStart w:id="629" w:name="_Toc31790"/>
      <w:bookmarkStart w:id="630" w:name="_Toc400634403"/>
      <w:bookmarkStart w:id="631" w:name="_Toc21811"/>
      <w:bookmarkStart w:id="632" w:name="_Toc10355"/>
      <w:bookmarkStart w:id="633" w:name="_Toc468402900"/>
      <w:bookmarkStart w:id="634" w:name="_Toc20345"/>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1）自动报警系统调试</w:t>
      </w:r>
      <w:bookmarkEnd w:id="629"/>
      <w:bookmarkEnd w:id="630"/>
      <w:bookmarkEnd w:id="631"/>
      <w:bookmarkEnd w:id="632"/>
      <w:bookmarkEnd w:id="633"/>
      <w:bookmarkEnd w:id="634"/>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①计量包括：含电动防火门、防火卷帘门、正压送风阀、排烟阀、防火控制阀、消防电梯等防火控制装置的整体调试。按“项” 为计量单位计算。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②计价包括：功能测试、系统调试。</w:t>
      </w:r>
      <w:bookmarkStart w:id="635" w:name="_Toc27791"/>
      <w:bookmarkStart w:id="636" w:name="_Toc7308"/>
      <w:bookmarkStart w:id="637" w:name="_Toc23990"/>
      <w:bookmarkStart w:id="638" w:name="_Toc23851"/>
      <w:bookmarkStart w:id="639" w:name="_Toc400634404"/>
      <w:bookmarkStart w:id="640" w:name="_Toc468402901"/>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2）水灭火控制装置调试</w:t>
      </w:r>
      <w:bookmarkEnd w:id="635"/>
      <w:bookmarkEnd w:id="636"/>
      <w:bookmarkEnd w:id="637"/>
      <w:bookmarkEnd w:id="638"/>
      <w:bookmarkEnd w:id="639"/>
      <w:bookmarkEnd w:id="640"/>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①水灭火控制装置调试包括自动喷淋系统、消火栓系统、消防水炮系统。</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②计量包括：功能测试、系统试验，按不同系统功能、单体，按 “项” 为计量单位计算。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③计价包括：功能测试、系统调试。</w:t>
      </w:r>
      <w:bookmarkStart w:id="641" w:name="_Toc468402902"/>
      <w:bookmarkStart w:id="642" w:name="_Toc12213"/>
      <w:bookmarkStart w:id="643" w:name="_Toc32600"/>
      <w:bookmarkStart w:id="644" w:name="_Toc32457"/>
      <w:bookmarkStart w:id="645" w:name="_Toc400634405"/>
      <w:bookmarkStart w:id="646" w:name="_Toc10527"/>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3）气体灭火系统装置调试</w:t>
      </w:r>
      <w:bookmarkEnd w:id="641"/>
      <w:bookmarkEnd w:id="642"/>
      <w:bookmarkEnd w:id="643"/>
      <w:bookmarkEnd w:id="644"/>
      <w:bookmarkEnd w:id="645"/>
      <w:bookmarkEnd w:id="646"/>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①计量包括：含试验容器、瓶头阀、等设备，气体试喷，整体调试。按“项” 为计量单位计算。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②计价包括：模拟喷气试验，备用灭火器贮存容器切换操作试验，气体试喷。</w:t>
      </w:r>
    </w:p>
    <w:p>
      <w:pPr>
        <w:spacing w:line="360" w:lineRule="auto"/>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5、给排水工程</w:t>
      </w:r>
      <w:bookmarkStart w:id="647" w:name="_Toc18381"/>
      <w:bookmarkStart w:id="648" w:name="_Toc468402904"/>
      <w:bookmarkStart w:id="649" w:name="_Toc15336"/>
      <w:bookmarkStart w:id="650" w:name="_Toc400634412"/>
      <w:bookmarkStart w:id="651" w:name="_Toc6974"/>
      <w:bookmarkStart w:id="652" w:name="_Toc24395"/>
    </w:p>
    <w:bookmarkEnd w:id="647"/>
    <w:bookmarkEnd w:id="648"/>
    <w:bookmarkEnd w:id="649"/>
    <w:bookmarkEnd w:id="650"/>
    <w:bookmarkEnd w:id="651"/>
    <w:bookmarkEnd w:id="652"/>
    <w:p>
      <w:pPr>
        <w:pStyle w:val="57"/>
        <w:ind w:left="0" w:leftChars="0" w:firstLine="498"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（1）给排水管道</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1）给排水管道包括各类给水管、排水管、冷凝水管、雨水管等。</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2）按管道有无保温绝热（有保温层的须按保温材质及层厚度分别报价）。</w:t>
      </w:r>
    </w:p>
    <w:p>
      <w:pPr>
        <w:pStyle w:val="57"/>
        <w:ind w:firstLine="496"/>
        <w:rPr>
          <w:rFonts w:hint="eastAsia" w:ascii="宋体" w:hAnsi="宋体" w:eastAsia="宋体" w:cs="宋体"/>
          <w:color w:val="auto"/>
          <w:highlight w:val="none"/>
        </w:rPr>
      </w:pPr>
      <w:bookmarkStart w:id="653" w:name="_Hlk82791741"/>
      <w:r>
        <w:rPr>
          <w:rFonts w:hint="eastAsia" w:ascii="宋体" w:hAnsi="宋体" w:eastAsia="宋体" w:cs="宋体"/>
          <w:color w:val="auto"/>
          <w:highlight w:val="none"/>
        </w:rPr>
        <w:t>3）计量包括：本体及配件（含穿砌体墙套管制作安装）制作安装，管道防腐蚀、喷镀（涂），管道绝热，防潮保护、凿（压）槽、打洞（孔），</w:t>
      </w:r>
      <w:bookmarkStart w:id="654" w:name="_Hlk83206672"/>
      <w:r>
        <w:rPr>
          <w:rFonts w:hint="eastAsia" w:ascii="宋体" w:hAnsi="宋体" w:eastAsia="宋体" w:cs="宋体"/>
          <w:color w:val="auto"/>
          <w:highlight w:val="none"/>
        </w:rPr>
        <w:t>管卡安装，管道支架制作安装、除锈刷油，</w:t>
      </w:r>
      <w:bookmarkEnd w:id="654"/>
      <w:r>
        <w:rPr>
          <w:rFonts w:hint="eastAsia" w:ascii="宋体" w:hAnsi="宋体" w:eastAsia="宋体" w:cs="宋体"/>
          <w:color w:val="auto"/>
          <w:highlight w:val="none"/>
        </w:rPr>
        <w:t>止水环、弯头、三通、大小头、补心、检查口、伸缩节、波纹管、法兰（含绝热）、钢塑转换接头、卡箍等全部管道配件），分不同安装部位、材质、规格、连接形式、压力试验及冲洗设计要求、管道标识设计要求、介质、警示带形式、接口材料、阻火圈设计要求，按设计图示管道中心线长度以“米” 为计量单位计算。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4）计价包括：</w:t>
      </w:r>
      <w:bookmarkStart w:id="655" w:name="_Hlk83206887"/>
      <w:r>
        <w:rPr>
          <w:rFonts w:hint="eastAsia" w:ascii="宋体" w:hAnsi="宋体" w:eastAsia="宋体" w:cs="宋体"/>
          <w:color w:val="auto"/>
          <w:highlight w:val="none"/>
        </w:rPr>
        <w:t>配合土建孔洞预留、于砖墙或有找平层的地面上的开刨槽、砖墙开孔、管道及管件的安装、弯管的制作安装、管道标识、防腐、接地、管道绝热及保护层安装、消毒、冲洗、管件的安装。管道支架制作安装、除锈刷油，穿砌体墙套管制作安装、水压及泄漏试验、三通补强圈制作安装，为配合安装、试压等工作而安装的辅助管道、管件的安装、管卡的安装及管道支架切断、调直、煨制、钻孔、组对、焊接清扫、堵洞、栽(埋)螺栓、安装、清理、除锈刷油。如设计有要求，还包括管道系统吹扫、脱脂、探伤等工作内容。</w:t>
      </w:r>
      <w:bookmarkEnd w:id="655"/>
    </w:p>
    <w:bookmarkEnd w:id="653"/>
    <w:p>
      <w:pPr>
        <w:pStyle w:val="57"/>
        <w:ind w:firstLine="0" w:firstLineChars="0"/>
        <w:rPr>
          <w:rFonts w:hint="eastAsia" w:ascii="宋体" w:hAnsi="宋体" w:eastAsia="宋体" w:cs="宋体"/>
          <w:color w:val="auto"/>
          <w:highlight w:val="none"/>
        </w:rPr>
      </w:pPr>
      <w:r>
        <w:rPr>
          <w:rFonts w:hint="eastAsia" w:ascii="宋体" w:hAnsi="宋体" w:eastAsia="宋体" w:cs="宋体"/>
          <w:b/>
          <w:color w:val="auto"/>
          <w:highlight w:val="none"/>
        </w:rPr>
        <w:t>---管道附件</w:t>
      </w:r>
    </w:p>
    <w:p>
      <w:pPr>
        <w:pStyle w:val="57"/>
        <w:ind w:left="0" w:leftChars="0" w:firstLine="498" w:firstLineChars="200"/>
        <w:rPr>
          <w:rFonts w:hint="eastAsia" w:ascii="宋体" w:hAnsi="宋体" w:eastAsia="宋体" w:cs="宋体"/>
          <w:b/>
          <w:bCs/>
          <w:color w:val="auto"/>
          <w:highlight w:val="none"/>
        </w:rPr>
      </w:pPr>
      <w:bookmarkStart w:id="656" w:name="_Toc400634414"/>
      <w:bookmarkStart w:id="657" w:name="_Toc468402905"/>
      <w:bookmarkStart w:id="658" w:name="_Toc24348"/>
      <w:bookmarkStart w:id="659" w:name="_Toc7290"/>
      <w:bookmarkStart w:id="660" w:name="_Toc32172"/>
      <w:bookmarkStart w:id="661" w:name="_Toc14665"/>
      <w:r>
        <w:rPr>
          <w:rFonts w:hint="eastAsia" w:ascii="宋体" w:hAnsi="宋体" w:eastAsia="宋体" w:cs="宋体"/>
          <w:b/>
          <w:bCs/>
          <w:color w:val="auto"/>
          <w:highlight w:val="none"/>
        </w:rPr>
        <w:t>（2）阀门、补偿器、倒流防止器、水表</w:t>
      </w:r>
      <w:bookmarkEnd w:id="656"/>
      <w:bookmarkEnd w:id="657"/>
      <w:bookmarkEnd w:id="658"/>
      <w:bookmarkEnd w:id="659"/>
      <w:bookmarkEnd w:id="660"/>
      <w:bookmarkEnd w:id="661"/>
      <w:r>
        <w:rPr>
          <w:rFonts w:hint="eastAsia" w:ascii="宋体" w:hAnsi="宋体" w:eastAsia="宋体" w:cs="宋体"/>
          <w:b/>
          <w:bCs/>
          <w:color w:val="auto"/>
          <w:highlight w:val="none"/>
        </w:rPr>
        <w:t>组、可曲挠橡胶接头等</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1）阀门包括螺纹阀门、螺纹法兰阀门、焊接法兰阀门、带短管甲乙阀门、塑料阀门、除污器、补偿器、倒流防止器、水表等。</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2）按阀门有无保温分别报价（有保温层的须按保温材质及层厚度分别报价）</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计量包括：阀门及其配件、法兰安装、水压试验、需要保温的应包括阀门（含法兰）保温等费用。分不同类型、材质、规格、压力等级、连接形式、焊接方法、接口方式及材质，按设计图示数量分别以“个”、“组”、“套” 、“台”为计量单位计算。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4）计价包括：阀门及法兰等配件安装、电气接线、调试、保温绝热层安装。</w:t>
      </w:r>
    </w:p>
    <w:p>
      <w:pPr>
        <w:pStyle w:val="57"/>
        <w:ind w:left="0" w:leftChars="0" w:firstLine="498" w:firstLineChars="200"/>
        <w:rPr>
          <w:rFonts w:hint="eastAsia" w:ascii="宋体" w:hAnsi="宋体" w:eastAsia="宋体" w:cs="宋体"/>
          <w:b/>
          <w:bCs/>
          <w:color w:val="auto"/>
          <w:highlight w:val="none"/>
        </w:rPr>
      </w:pPr>
      <w:bookmarkStart w:id="662" w:name="_Toc468402907"/>
      <w:bookmarkStart w:id="663" w:name="_Toc2082"/>
      <w:bookmarkStart w:id="664" w:name="_Toc404008893"/>
      <w:bookmarkStart w:id="665" w:name="_Toc27891"/>
      <w:bookmarkStart w:id="666" w:name="_Toc3365"/>
      <w:bookmarkStart w:id="667" w:name="_Toc16856"/>
      <w:r>
        <w:rPr>
          <w:rFonts w:hint="eastAsia" w:ascii="宋体" w:hAnsi="宋体" w:eastAsia="宋体" w:cs="宋体"/>
          <w:b/>
          <w:bCs/>
          <w:color w:val="auto"/>
          <w:highlight w:val="none"/>
        </w:rPr>
        <w:t>（3）地漏、清扫口</w:t>
      </w:r>
      <w:bookmarkEnd w:id="662"/>
      <w:bookmarkEnd w:id="663"/>
      <w:bookmarkEnd w:id="664"/>
      <w:bookmarkEnd w:id="665"/>
      <w:bookmarkEnd w:id="666"/>
      <w:bookmarkEnd w:id="667"/>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1）计量包括：包括本体及配件（包括存水弯等全部附件），分不同材质、类型、规格以“个”为单位计算。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2）计价包括：孔洞预留、本体及配件（包括存水弯等全部附件）安装等相关费用。</w:t>
      </w:r>
    </w:p>
    <w:p>
      <w:pPr>
        <w:pStyle w:val="57"/>
        <w:ind w:firstLine="0" w:firstLineChars="0"/>
        <w:rPr>
          <w:rFonts w:hint="eastAsia" w:ascii="宋体" w:hAnsi="宋体" w:eastAsia="宋体" w:cs="宋体"/>
          <w:color w:val="auto"/>
          <w:highlight w:val="none"/>
        </w:rPr>
      </w:pPr>
      <w:r>
        <w:rPr>
          <w:rFonts w:hint="eastAsia" w:ascii="宋体" w:hAnsi="宋体" w:eastAsia="宋体" w:cs="宋体"/>
          <w:b/>
          <w:color w:val="auto"/>
          <w:highlight w:val="none"/>
        </w:rPr>
        <w:t>---卫生器具</w:t>
      </w:r>
    </w:p>
    <w:p>
      <w:pPr>
        <w:pStyle w:val="57"/>
        <w:ind w:firstLine="0" w:firstLineChars="0"/>
        <w:rPr>
          <w:rFonts w:hint="eastAsia" w:ascii="宋体" w:hAnsi="宋体" w:eastAsia="宋体" w:cs="宋体"/>
          <w:color w:val="auto"/>
          <w:highlight w:val="none"/>
        </w:rPr>
      </w:pPr>
      <w:r>
        <w:rPr>
          <w:rFonts w:hint="eastAsia" w:ascii="宋体" w:hAnsi="宋体" w:eastAsia="宋体" w:cs="宋体"/>
          <w:b/>
          <w:color w:val="auto"/>
          <w:highlight w:val="none"/>
        </w:rPr>
        <w:t>---给排水设备</w:t>
      </w:r>
    </w:p>
    <w:p>
      <w:pPr>
        <w:pStyle w:val="57"/>
        <w:ind w:left="0" w:leftChars="0" w:firstLine="498" w:firstLineChars="200"/>
        <w:rPr>
          <w:rFonts w:hint="eastAsia" w:ascii="宋体" w:hAnsi="宋体" w:eastAsia="宋体" w:cs="宋体"/>
          <w:b/>
          <w:bCs/>
          <w:color w:val="auto"/>
          <w:highlight w:val="none"/>
        </w:rPr>
      </w:pPr>
      <w:bookmarkStart w:id="668" w:name="_Toc11836"/>
      <w:bookmarkStart w:id="669" w:name="_Toc400634416"/>
      <w:bookmarkStart w:id="670" w:name="_Toc10421"/>
      <w:bookmarkStart w:id="671" w:name="_Toc468402911"/>
      <w:bookmarkStart w:id="672" w:name="_Toc13402"/>
      <w:bookmarkStart w:id="673" w:name="_Toc31991"/>
      <w:r>
        <w:rPr>
          <w:rFonts w:hint="eastAsia" w:ascii="宋体" w:hAnsi="宋体" w:eastAsia="宋体" w:cs="宋体"/>
          <w:b/>
          <w:bCs/>
          <w:color w:val="auto"/>
          <w:highlight w:val="none"/>
        </w:rPr>
        <w:t>（4）变频给水设备、稳压给水设备、无负压给水设备</w:t>
      </w:r>
      <w:bookmarkEnd w:id="668"/>
      <w:bookmarkEnd w:id="669"/>
      <w:bookmarkEnd w:id="670"/>
      <w:bookmarkEnd w:id="671"/>
      <w:bookmarkEnd w:id="672"/>
      <w:bookmarkEnd w:id="673"/>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计量包括：泵体及附件（含配套气压罐及电动机、厂家配套控制箱、管道、配线、仪表、底座、地脚螺栓、减振装置（阻尼钢弹簧减震器），分不同设备名称、型号、规格、水泵主要技术参数，附件名称、规格、数量，减振装置形式，按图示数量以“套” 为计量单位计算。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2）计价包括：设备安装，气压罐、电动机安装、厂家配套控制箱安装、调试、减振装置制作安装、二次灌浆、防腐蚀、检查接线、</w:t>
      </w:r>
      <w:r>
        <w:rPr>
          <w:rFonts w:hint="eastAsia" w:ascii="宋体" w:hAnsi="宋体" w:eastAsia="宋体" w:cs="宋体"/>
          <w:bCs/>
          <w:color w:val="auto"/>
          <w:sz w:val="28"/>
          <w:szCs w:val="28"/>
          <w:highlight w:val="none"/>
        </w:rPr>
        <w:t>地脚螺栓</w:t>
      </w:r>
      <w:r>
        <w:rPr>
          <w:rFonts w:hint="eastAsia" w:ascii="宋体" w:hAnsi="宋体" w:eastAsia="宋体" w:cs="宋体"/>
          <w:color w:val="auto"/>
          <w:highlight w:val="none"/>
        </w:rPr>
        <w:t>等工作内容，单机试运转，需保温的包括机组保温、绝热、保护层等相关费用。</w:t>
      </w:r>
    </w:p>
    <w:p>
      <w:pPr>
        <w:pStyle w:val="57"/>
        <w:ind w:left="0" w:leftChars="0" w:firstLine="498" w:firstLineChars="200"/>
        <w:rPr>
          <w:rFonts w:hint="eastAsia" w:ascii="宋体" w:hAnsi="宋体" w:eastAsia="宋体" w:cs="宋体"/>
          <w:b/>
          <w:bCs/>
          <w:color w:val="auto"/>
          <w:highlight w:val="none"/>
        </w:rPr>
      </w:pPr>
      <w:bookmarkStart w:id="674" w:name="_Toc26188"/>
      <w:bookmarkStart w:id="675" w:name="_Toc468402912"/>
      <w:bookmarkStart w:id="676" w:name="_Toc404008890"/>
      <w:bookmarkStart w:id="677" w:name="_Toc17756"/>
      <w:bookmarkStart w:id="678" w:name="_Toc10916"/>
      <w:bookmarkStart w:id="679" w:name="_Toc11146"/>
      <w:r>
        <w:rPr>
          <w:rFonts w:hint="eastAsia" w:ascii="宋体" w:hAnsi="宋体" w:eastAsia="宋体" w:cs="宋体"/>
          <w:b/>
          <w:bCs/>
          <w:color w:val="auto"/>
          <w:highlight w:val="none"/>
        </w:rPr>
        <w:t>（5）水箱</w:t>
      </w:r>
      <w:bookmarkEnd w:id="674"/>
      <w:bookmarkEnd w:id="675"/>
      <w:bookmarkEnd w:id="676"/>
      <w:bookmarkEnd w:id="677"/>
      <w:bookmarkEnd w:id="678"/>
      <w:bookmarkEnd w:id="679"/>
    </w:p>
    <w:p>
      <w:pPr>
        <w:pStyle w:val="57"/>
        <w:ind w:firstLine="443" w:firstLineChars="179"/>
        <w:rPr>
          <w:rFonts w:hint="eastAsia" w:ascii="宋体" w:hAnsi="宋体" w:eastAsia="宋体" w:cs="宋体"/>
          <w:color w:val="auto"/>
          <w:highlight w:val="none"/>
        </w:rPr>
      </w:pPr>
      <w:r>
        <w:rPr>
          <w:rFonts w:hint="eastAsia" w:ascii="宋体" w:hAnsi="宋体" w:eastAsia="宋体" w:cs="宋体"/>
          <w:color w:val="auto"/>
          <w:highlight w:val="none"/>
        </w:rPr>
        <w:t>1）计量包括：</w:t>
      </w:r>
      <w:r>
        <w:rPr>
          <w:rFonts w:hint="eastAsia" w:ascii="宋体" w:hAnsi="宋体" w:eastAsia="宋体" w:cs="宋体"/>
          <w:bCs/>
          <w:color w:val="auto"/>
          <w:highlight w:val="none"/>
        </w:rPr>
        <w:t>水箱</w:t>
      </w:r>
      <w:r>
        <w:rPr>
          <w:rFonts w:hint="eastAsia" w:ascii="宋体" w:hAnsi="宋体" w:eastAsia="宋体" w:cs="宋体"/>
          <w:color w:val="auto"/>
          <w:highlight w:val="none"/>
        </w:rPr>
        <w:t>安装</w:t>
      </w:r>
      <w:r>
        <w:rPr>
          <w:rFonts w:hint="eastAsia" w:ascii="宋体" w:hAnsi="宋体" w:eastAsia="宋体" w:cs="宋体"/>
          <w:bCs/>
          <w:color w:val="auto"/>
          <w:highlight w:val="none"/>
        </w:rPr>
        <w:t>、本体及配件（包括水箱支架、水箱盖子、液位器、自动清洁装置、进水口、出水口等全部配件），分不同用途、材质、规格、型号，以“套或台”为单位计算。</w:t>
      </w:r>
    </w:p>
    <w:p>
      <w:pPr>
        <w:pStyle w:val="57"/>
        <w:ind w:firstLine="443" w:firstLineChars="179"/>
        <w:rPr>
          <w:rFonts w:hint="eastAsia" w:ascii="宋体" w:hAnsi="宋体" w:eastAsia="宋体" w:cs="宋体"/>
          <w:bCs/>
          <w:color w:val="auto"/>
          <w:highlight w:val="none"/>
        </w:rPr>
      </w:pPr>
      <w:r>
        <w:rPr>
          <w:rFonts w:hint="eastAsia" w:ascii="宋体" w:hAnsi="宋体" w:eastAsia="宋体" w:cs="宋体"/>
          <w:color w:val="auto"/>
          <w:highlight w:val="none"/>
        </w:rPr>
        <w:t>2）计价包括：预埋件预埋，基础型钢型材制作、安装、除锈、刷油、减振垫、设备本体安装，配件</w:t>
      </w:r>
      <w:r>
        <w:rPr>
          <w:rFonts w:hint="eastAsia" w:ascii="宋体" w:hAnsi="宋体" w:eastAsia="宋体" w:cs="宋体"/>
          <w:bCs/>
          <w:color w:val="auto"/>
          <w:highlight w:val="none"/>
        </w:rPr>
        <w:t>（包括水箱盖子、自动清洁装置、进水口、出水口等全部配件）</w:t>
      </w:r>
      <w:r>
        <w:rPr>
          <w:rFonts w:hint="eastAsia" w:ascii="宋体" w:hAnsi="宋体" w:eastAsia="宋体" w:cs="宋体"/>
          <w:color w:val="auto"/>
          <w:highlight w:val="none"/>
        </w:rPr>
        <w:t>安装，二次灌浆，</w:t>
      </w:r>
      <w:r>
        <w:rPr>
          <w:rFonts w:hint="eastAsia" w:ascii="宋体" w:hAnsi="宋体" w:eastAsia="宋体" w:cs="宋体"/>
          <w:bCs/>
          <w:color w:val="auto"/>
          <w:highlight w:val="none"/>
        </w:rPr>
        <w:t>通气管、溢水管、泄水管、人孔、防投毒加锁装置、满水试验及调试等工作内容。</w:t>
      </w:r>
    </w:p>
    <w:p>
      <w:pPr>
        <w:pStyle w:val="57"/>
        <w:ind w:left="0" w:leftChars="0" w:firstLine="498" w:firstLineChars="200"/>
        <w:rPr>
          <w:rFonts w:hint="eastAsia" w:ascii="宋体" w:hAnsi="宋体" w:eastAsia="宋体" w:cs="宋体"/>
          <w:b/>
          <w:bCs/>
          <w:color w:val="auto"/>
          <w:highlight w:val="none"/>
        </w:rPr>
      </w:pPr>
      <w:bookmarkStart w:id="680" w:name="_Toc468402915"/>
      <w:bookmarkStart w:id="681" w:name="_Toc21698"/>
      <w:bookmarkStart w:id="682" w:name="_Toc14425"/>
      <w:bookmarkStart w:id="683" w:name="_Toc13524"/>
      <w:bookmarkStart w:id="684" w:name="_Toc14347"/>
      <w:r>
        <w:rPr>
          <w:rFonts w:hint="eastAsia" w:ascii="宋体" w:hAnsi="宋体" w:eastAsia="宋体" w:cs="宋体"/>
          <w:b/>
          <w:bCs/>
          <w:color w:val="auto"/>
          <w:highlight w:val="none"/>
        </w:rPr>
        <w:t>（6）全自动自清洗过滤器</w:t>
      </w:r>
      <w:bookmarkEnd w:id="680"/>
      <w:bookmarkEnd w:id="681"/>
      <w:bookmarkEnd w:id="682"/>
      <w:bookmarkEnd w:id="683"/>
      <w:bookmarkEnd w:id="684"/>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1）计量包括：法兰等配件安装，分不同用途、材质、规格、型号、安装方式以“套”为计量单位计算。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2）计价包括：本体及其配件、法兰安装、</w:t>
      </w:r>
      <w:r>
        <w:rPr>
          <w:rFonts w:hint="eastAsia" w:ascii="宋体" w:hAnsi="宋体" w:eastAsia="宋体" w:cs="宋体"/>
          <w:color w:val="auto"/>
          <w:highlight w:val="none"/>
          <w:shd w:val="clear" w:color="auto" w:fill="FFFFFF"/>
        </w:rPr>
        <w:t>基础制安，</w:t>
      </w:r>
      <w:r>
        <w:rPr>
          <w:rFonts w:hint="eastAsia" w:ascii="宋体" w:hAnsi="宋体" w:eastAsia="宋体" w:cs="宋体"/>
          <w:color w:val="auto"/>
          <w:highlight w:val="none"/>
        </w:rPr>
        <w:t>预埋件预埋、二次灌浆、水压试验、调试等费用。</w:t>
      </w:r>
    </w:p>
    <w:p>
      <w:pPr>
        <w:pStyle w:val="57"/>
        <w:ind w:left="0" w:leftChars="0" w:firstLine="498" w:firstLineChars="200"/>
        <w:rPr>
          <w:rFonts w:hint="eastAsia" w:ascii="宋体" w:hAnsi="宋体" w:eastAsia="宋体" w:cs="宋体"/>
          <w:b/>
          <w:bCs/>
          <w:color w:val="auto"/>
          <w:highlight w:val="none"/>
        </w:rPr>
      </w:pPr>
      <w:bookmarkStart w:id="685" w:name="_Toc28704"/>
      <w:bookmarkStart w:id="686" w:name="_Toc468402917"/>
      <w:bookmarkStart w:id="687" w:name="_Toc404008899"/>
      <w:bookmarkStart w:id="688" w:name="_Toc12379"/>
      <w:bookmarkStart w:id="689" w:name="_Toc31563"/>
      <w:bookmarkStart w:id="690" w:name="_Toc1055"/>
      <w:r>
        <w:rPr>
          <w:rFonts w:hint="eastAsia" w:ascii="宋体" w:hAnsi="宋体" w:eastAsia="宋体" w:cs="宋体"/>
          <w:b/>
          <w:bCs/>
          <w:color w:val="auto"/>
          <w:highlight w:val="none"/>
        </w:rPr>
        <w:t>（7）紫外线消毒设备</w:t>
      </w:r>
      <w:bookmarkEnd w:id="685"/>
      <w:bookmarkEnd w:id="686"/>
      <w:bookmarkEnd w:id="687"/>
      <w:bookmarkEnd w:id="688"/>
      <w:bookmarkEnd w:id="689"/>
      <w:bookmarkEnd w:id="690"/>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1）计量包括：紫外线消毒设备及配件安装，分不同类别、规格、型号，以“套或台”为计量单位计算。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2）计价包括：本体安装，检查接线，调试，支（吊）架制安、除锈、刷油、</w:t>
      </w:r>
      <w:r>
        <w:rPr>
          <w:rFonts w:hint="eastAsia" w:ascii="宋体" w:hAnsi="宋体" w:eastAsia="宋体" w:cs="宋体"/>
          <w:color w:val="auto"/>
          <w:highlight w:val="none"/>
          <w:shd w:val="clear" w:color="auto" w:fill="FFFFFF"/>
        </w:rPr>
        <w:t>基础制安，</w:t>
      </w:r>
      <w:r>
        <w:rPr>
          <w:rFonts w:hint="eastAsia" w:ascii="宋体" w:hAnsi="宋体" w:eastAsia="宋体" w:cs="宋体"/>
          <w:color w:val="auto"/>
          <w:highlight w:val="none"/>
        </w:rPr>
        <w:t>预埋件预埋、二次灌浆、</w:t>
      </w:r>
      <w:r>
        <w:rPr>
          <w:rFonts w:hint="eastAsia" w:ascii="宋体" w:hAnsi="宋体" w:eastAsia="宋体" w:cs="宋体"/>
          <w:color w:val="auto"/>
          <w:highlight w:val="none"/>
          <w:shd w:val="clear" w:color="auto" w:fill="FFFFFF"/>
        </w:rPr>
        <w:t>设备</w:t>
      </w:r>
      <w:r>
        <w:rPr>
          <w:rFonts w:hint="eastAsia" w:ascii="宋体" w:hAnsi="宋体" w:eastAsia="宋体" w:cs="宋体"/>
          <w:color w:val="auto"/>
          <w:highlight w:val="none"/>
        </w:rPr>
        <w:t>拆装检查等相关费用。</w:t>
      </w:r>
    </w:p>
    <w:p>
      <w:pPr>
        <w:pStyle w:val="57"/>
        <w:ind w:left="0" w:leftChars="0" w:firstLine="498"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（8）套管</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1）计量包括：穿混凝土结构、砌筑墙等套管、套管形式、材质、规格。按工作介质管道的公称直径，区分不同规格以 “个”计算。</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2）计价包括：放样,下料,切割,组对,焊接,车制,刷防锈漆、找标高,找平,找正,就位,安装,加填料、封堵（含套管与管、套管与混凝土结构、砌筑墙的封堵等）等相关费用。</w:t>
      </w:r>
    </w:p>
    <w:p>
      <w:pPr>
        <w:spacing w:line="360" w:lineRule="auto"/>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6、抗震支架</w:t>
      </w:r>
    </w:p>
    <w:p>
      <w:pPr>
        <w:pStyle w:val="57"/>
        <w:ind w:firstLine="496"/>
        <w:outlineLvl w:val="1"/>
        <w:rPr>
          <w:rFonts w:hint="eastAsia" w:ascii="宋体" w:hAnsi="宋体" w:eastAsia="宋体" w:cs="宋体"/>
          <w:color w:val="auto"/>
          <w:highlight w:val="none"/>
        </w:rPr>
      </w:pPr>
      <w:bookmarkStart w:id="691" w:name="_Toc31961"/>
      <w:bookmarkStart w:id="692" w:name="_Toc16994"/>
      <w:bookmarkStart w:id="693" w:name="_Toc30010"/>
      <w:bookmarkStart w:id="694" w:name="_Toc30669"/>
      <w:r>
        <w:rPr>
          <w:rFonts w:hint="eastAsia" w:ascii="宋体" w:hAnsi="宋体" w:eastAsia="宋体" w:cs="宋体"/>
          <w:color w:val="auto"/>
          <w:highlight w:val="none"/>
        </w:rPr>
        <w:t>（1）投标人应根据招标人提供的招标工程量清单、技术需求书进行报价，投标报价时应充分考虑满足相关验收规范、招标技术需求书要求、现场实际需要及深化设计等可能引起的相关费用（含深化设计费）。因应项目现场需要或深化设计引起的工程量清单开项差异（含可能存在的漏项）或工程量差异，视为相关费用已综合考虑在该专业工程的投标总报价中。且深化设计后的整体系统配置标准、功能要求及范围内容均不得低于招标清单及招标技术需求书要求。</w:t>
      </w:r>
    </w:p>
    <w:p>
      <w:pPr>
        <w:pStyle w:val="57"/>
        <w:ind w:firstLine="496"/>
        <w:outlineLvl w:val="1"/>
        <w:rPr>
          <w:rFonts w:hint="eastAsia" w:ascii="宋体" w:hAnsi="宋体" w:eastAsia="宋体" w:cs="宋体"/>
          <w:color w:val="auto"/>
          <w:highlight w:val="none"/>
        </w:rPr>
      </w:pPr>
      <w:r>
        <w:rPr>
          <w:rFonts w:hint="eastAsia" w:ascii="宋体" w:hAnsi="宋体" w:eastAsia="宋体" w:cs="宋体"/>
          <w:color w:val="auto"/>
          <w:highlight w:val="none"/>
        </w:rPr>
        <w:t>（2）实际实施时，若招标工程量清单及技术需求书约定实施范围未发生变化，则</w:t>
      </w:r>
      <w:r>
        <w:rPr>
          <w:rFonts w:hint="eastAsia" w:ascii="宋体" w:hAnsi="宋体" w:eastAsia="宋体" w:cs="宋体"/>
          <w:b/>
          <w:bCs/>
          <w:color w:val="auto"/>
          <w:highlight w:val="none"/>
        </w:rPr>
        <w:t>抗震支架专业工程按其中标价格总价包干</w:t>
      </w:r>
      <w:r>
        <w:rPr>
          <w:rFonts w:hint="eastAsia" w:ascii="宋体" w:hAnsi="宋体" w:eastAsia="宋体" w:cs="宋体"/>
          <w:color w:val="auto"/>
          <w:highlight w:val="none"/>
        </w:rPr>
        <w:t>（包深化设计及由此引致的一切相关费用，不因具体工程量增加或主材设备材料及用量变化、损耗量变化等任何原因而增加任何费用）；</w:t>
      </w:r>
    </w:p>
    <w:p>
      <w:pPr>
        <w:pStyle w:val="57"/>
        <w:ind w:firstLine="496"/>
        <w:outlineLvl w:val="1"/>
        <w:rPr>
          <w:rFonts w:hint="eastAsia" w:ascii="宋体" w:hAnsi="宋体" w:eastAsia="宋体" w:cs="宋体"/>
          <w:b/>
          <w:color w:val="auto"/>
          <w:sz w:val="24"/>
          <w:highlight w:val="none"/>
        </w:rPr>
      </w:pPr>
      <w:r>
        <w:rPr>
          <w:rFonts w:hint="eastAsia" w:ascii="宋体" w:hAnsi="宋体" w:eastAsia="宋体" w:cs="宋体"/>
          <w:color w:val="auto"/>
          <w:highlight w:val="none"/>
        </w:rPr>
        <w:t>（3）实际实施时，若招标工程量清单及技术需求书约定实施范围发生变化（如规范等文件要求不需强制实施等），则不再实施部分的费用须在抗震支架专业工程包干总价中予以扣减（计算方法为：费用扣减额度=按招标清单工程量*相应项目的中标综合单价），即抗震支架专业工程按扣减后的总价结算（包深化设计及由此引致的一切相关费用，不因具体工程量增加或主材设备用量变化、损耗量变化等任何原因而增加任何费用）。</w:t>
      </w:r>
    </w:p>
    <w:p>
      <w:pPr>
        <w:spacing w:line="360" w:lineRule="auto"/>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7、电梯工程</w:t>
      </w:r>
      <w:bookmarkEnd w:id="691"/>
      <w:bookmarkEnd w:id="692"/>
      <w:bookmarkEnd w:id="693"/>
      <w:bookmarkEnd w:id="694"/>
    </w:p>
    <w:p>
      <w:pPr>
        <w:spacing w:line="360" w:lineRule="auto"/>
        <w:ind w:firstLine="480" w:firstLineChars="200"/>
        <w:rPr>
          <w:rFonts w:hint="eastAsia" w:ascii="宋体" w:hAnsi="宋体" w:eastAsia="宋体" w:cs="宋体"/>
          <w:color w:val="auto"/>
          <w:sz w:val="24"/>
          <w:highlight w:val="none"/>
          <w:lang w:val="zh-CN"/>
        </w:rPr>
      </w:pPr>
      <w:bookmarkStart w:id="695" w:name="_Toc14735"/>
      <w:bookmarkStart w:id="696" w:name="_Toc8803"/>
      <w:bookmarkStart w:id="697" w:name="_Toc1575"/>
      <w:bookmarkStart w:id="698" w:name="_Toc2311"/>
      <w:r>
        <w:rPr>
          <w:rFonts w:hint="eastAsia" w:ascii="宋体" w:hAnsi="宋体" w:eastAsia="宋体" w:cs="宋体"/>
          <w:color w:val="auto"/>
          <w:sz w:val="24"/>
          <w:highlight w:val="none"/>
          <w:lang w:val="zh-CN"/>
        </w:rPr>
        <w:t>具体计价方式如下：</w:t>
      </w:r>
    </w:p>
    <w:p>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（1）投标人根据招标文件、招标图纸、技术需求书等有关资料及说明、国家及行业规范，按招标文件报价清单进行报价，</w:t>
      </w:r>
      <w:r>
        <w:rPr>
          <w:rFonts w:hint="eastAsia" w:ascii="宋体" w:hAnsi="宋体" w:eastAsia="宋体" w:cs="宋体"/>
          <w:b/>
          <w:bCs/>
          <w:color w:val="auto"/>
          <w:sz w:val="24"/>
          <w:highlight w:val="none"/>
          <w:lang w:val="zh-CN"/>
        </w:rPr>
        <w:t>采用总价包干的方式承包，</w:t>
      </w:r>
      <w:r>
        <w:rPr>
          <w:rFonts w:hint="eastAsia" w:ascii="宋体" w:hAnsi="宋体" w:eastAsia="宋体" w:cs="宋体"/>
          <w:color w:val="auto"/>
          <w:sz w:val="24"/>
          <w:highlight w:val="none"/>
          <w:lang w:val="zh-CN"/>
        </w:rPr>
        <w:t>包工、包材料、包工期、包质量、包安全生产、包文明施工、包招标范围内符合工程竣工验收通过、包移交、包结算以及合同明示或暗示的所有一般风险、责任和义务以及其他所有有关费用。</w:t>
      </w:r>
    </w:p>
    <w:p>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实际实施时，若招标图纸约定实施范围未发生变化，则电梯专业工程按其中标价格总价包干（包深化设计及由此引致的一切相关费用，不因具体工程量增加或主材设备用量变化、损耗量变化等任何原因而增加任何费用）。</w:t>
      </w:r>
    </w:p>
    <w:p>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实际实施时，若招标图纸约定实施范围发生变化（如因发包人招商或运营需要，部分工程内容不再实施等），则不再实施部分的费用须在电梯专业工程包干总价中予以扣减（计算方法为：费用扣减额度=按招标图纸计算的工程量*相应项目的中标综合单价），即电梯专业工程按扣减后的总价结算（包深化设计及由此引致的一切相关费用，不因具体工程量增加或主材设备用量变化、损耗量变化等任何原因而增加任何费用）。</w:t>
      </w:r>
    </w:p>
    <w:bookmarkEnd w:id="695"/>
    <w:bookmarkEnd w:id="696"/>
    <w:bookmarkEnd w:id="697"/>
    <w:bookmarkEnd w:id="698"/>
    <w:p>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电梯工程实行总价包干。投标报价应为完成本项目招标文件、澄清文件及更正通知、设计图纸、国家及行业规范、技术文件标准、用户需求等所包含的深化设计、人工费、材料费、机械费、管理费、利润、规费、不可预见费、其它项目费、税金、成品保护、检测与试验、配合服务、各系统联合调试、系统维护、缺陷修复、环境保护、建筑垃圾处置费、其他措施项目费（含安全防护、文明施工措施费、脚手架搭拆及摊销费、为配合第三方检测所发生的费用等）、工程报建、验收、移交、结算、合同明示或暗示的所有一般风险、责任和义务以及其他所有有关费用。除合同、招标文件另有约定可以调整外，无论施工条件、施工环境、气候等自然条件（不可抗力除外）、技术经济条件（如资源、劳力、交通条件等）、物价（人工、材料、机械等的市场价格）是否发生变化，在合同执行期内总价固定不变，不得调整。</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按照技术需求书要求综合考虑电梯设备及轿厢通风空调、层门及门套、厅门按钮、门踏板、轿厢装饰（包含轿厢侧壁、轿厢门、轿厢天花标准吊顶、轿厢地板、轿厢地坎、轿厢内铭牌、轿厢内灯具照明等）、加固支架、电梯机器钢板底座等制作安装。</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综合考虑电梯井道的修整、预留洞口修复、电梯电气工程安装和配套控制箱安装、接线接地、每台电梯在机房的控制柜及控制柜至电源开关箱之间的电缆及管槽、消防报警视频接地、预埋件留设，电梯设备配套的控制箱、控制柜、动力电缆、管槽已包含在电梯设备单价中</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3）所有电梯控制箱内预留视频接口，并免费提供通讯协议。</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4）安装过程施工电缆由安装单位自行提供，费用已包括在设备费用中，安装单位需自行考虑满足安装工期的电缆数量，若安装单位提供的施工电缆数量不能满足施工工期要求的，安装单位需出具书面承诺书。</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5）安装过程的施工配电箱由安装单位自行提供，费用已包括在安装费用中，安装单位需自行考虑满足安装工期的配电箱数量，若安装单位提供的施工配电箱数量不能满足施工工期要求的，安装单位需出具书面承诺书。</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6）安装过程施工期间发生的水电费已包括在安装费用中，安装单位自行综合考虑。</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（5）包括安装、运输、调试、运行、试验、检验、验收等全部相关配套项目工作内容。其中单体调试运行包含使用电缆、配电箱、电费等调试费用），综合考虑二次转运、吊装、材料保管费用.。</w:t>
      </w:r>
      <w:r>
        <w:rPr>
          <w:rFonts w:hint="eastAsia" w:ascii="宋体" w:hAnsi="宋体" w:eastAsia="宋体" w:cs="宋体"/>
          <w:color w:val="auto"/>
          <w:highlight w:val="none"/>
          <w:lang w:val="zh-CN"/>
        </w:rPr>
        <w:t>相关费用（含安装、调试、验收及系统试运行费、培训费、质保期内维修保养费（含年检费等）、</w:t>
      </w:r>
      <w:r>
        <w:rPr>
          <w:rFonts w:hint="eastAsia" w:ascii="宋体" w:hAnsi="宋体" w:eastAsia="宋体" w:cs="宋体"/>
          <w:color w:val="auto"/>
          <w:highlight w:val="none"/>
        </w:rPr>
        <w:t>电梯报装</w:t>
      </w:r>
      <w:r>
        <w:rPr>
          <w:rFonts w:hint="eastAsia" w:ascii="宋体" w:hAnsi="宋体" w:eastAsia="宋体" w:cs="宋体"/>
          <w:color w:val="auto"/>
          <w:highlight w:val="none"/>
          <w:lang w:val="zh-CN"/>
        </w:rPr>
        <w:t>、报验及取得《安全检验合格证》和《电梯使用登记证》并负责办理相关备案手续的费用、水电费、与专业施工承包单位的联合调试费及其他费用。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6）综合单价包含了完成该项内容所需的设计、生产、供货、包装、运输、装卸、储存、保管、搬运就位、保险、税费、管理费、利润、合同明示或暗示的所有一般风险、责任和义务的费用和由于本项目性质的特殊性对供货期造成影响所需发生的一切相关费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7）计价综合考虑施工过程中电梯使用的维护、保养及相关费用，已完工程及设备保护、协调配合费用、易损易耗件、随机的备品备件、专用检测设备和常用维修工具、工厂监造和工厂检验、现场培训等费用。以及工程施工、设备安装的实际需要，竣工验收前，对已完工程及设备采取的覆盖、包裹、封闭、隔离等必要保护措施所发生的费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（8）若因电梯基坑预留尺寸问题，造成电梯设备修改的费用，砼凿除、砼垃圾外运费用，投标人应投报价内综合考虑，不另行增加。</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9）电梯施工措施费：包括但不限于成品保护费、操作人员电梯开机费、日常维保费、专项修理费、主管单位二次验收费、电梯安装调试所需电缆等费用，按每栋楼使用一台作为过渡电梯，电梯施工措施费用按“项”综合包干。电梯安装调试所需电缆综合考虑电梯供电负荷所需的电缆规格，更换不再另算,包括电箱接线、电缆头制作安装、综合考虑电缆回收、周转使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（10）货物材料使用和定价原则</w:t>
      </w:r>
    </w:p>
    <w:p>
      <w:pPr>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1）本项目的乙方必须严格按照招标文件的规定进行货物材料的选型和使用。在投标阶段，投标人必须根据招标文件 “用户需求书”的规定进行各种材料的选型，投标货物所选用的材料的技术规格、参数必须达到或高于招标文件“用户需求书”的要求,投标货物的质量及产品系列和技术档次必须符合“用户需求书”的规定，对于一种投标货物，投标人选择的品牌必须是唯一的。在项目实施阶段，如有不符合上述要求的，招标人有权要求更换为满足设计要求的高品质材料或高技术档次系列的产品，但中标价格不调整，由此造成的相关责任由中标人负责。</w:t>
      </w:r>
    </w:p>
    <w:p>
      <w:pPr>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投标人必须根据招标文件有关报价格式的要求，在投标文件中提交详细的货物材料报价表、主要货物材料技术参数。</w:t>
      </w:r>
    </w:p>
    <w:p>
      <w:pPr>
        <w:spacing w:line="360" w:lineRule="auto"/>
        <w:ind w:firstLine="600" w:firstLineChars="2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2）投标单位</w:t>
      </w:r>
      <w:r>
        <w:rPr>
          <w:rFonts w:hint="eastAsia" w:ascii="宋体" w:hAnsi="宋体" w:eastAsia="宋体" w:cs="宋体"/>
          <w:color w:val="auto"/>
          <w:sz w:val="24"/>
          <w:highlight w:val="none"/>
        </w:rPr>
        <w:t>对所投设备的主要部件、主要系统必须列明品牌、单价和供应商的名称。</w:t>
      </w:r>
      <w:r>
        <w:rPr>
          <w:rFonts w:hint="eastAsia" w:ascii="宋体" w:hAnsi="宋体" w:eastAsia="宋体" w:cs="宋体"/>
          <w:color w:val="auto"/>
          <w:sz w:val="24"/>
          <w:highlight w:val="none"/>
          <w:lang w:val="zh-CN"/>
        </w:rPr>
        <w:t>且必须保证所选用的货物、材料完全满足招标文件的规定和要求。对于招标人未规定品牌的货物材料，投标人必须选择完全满足招标文件“用户需求书”技术要求和国家有关规范要求的货物材料。</w:t>
      </w:r>
    </w:p>
    <w:p>
      <w:pPr>
        <w:spacing w:line="360" w:lineRule="auto"/>
        <w:ind w:firstLine="600" w:firstLineChars="2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3）投标人必须对已列明推荐品牌的材料设备严格按招标文件《主要材料设备推荐品牌表》推荐品牌范围中进行选择，对于所选定材料设备的品牌、规格和供应商、厂家授权书，经发包人确认后，承诺不再更改。</w:t>
      </w:r>
    </w:p>
    <w:p>
      <w:pPr>
        <w:spacing w:line="360" w:lineRule="auto"/>
        <w:ind w:firstLine="600" w:firstLineChars="2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4）本项目货物或材料的定价原则：</w:t>
      </w:r>
    </w:p>
    <w:p>
      <w:pPr>
        <w:spacing w:line="360" w:lineRule="auto"/>
        <w:ind w:firstLine="600" w:firstLineChars="2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①对于按照用户需求书和《主要材料设备推荐品牌表》的规定和相关技术规范选用的货物和材料，中标后规格、品牌、货物和材料系列、价格不得更改。如有不符合上述要求的，甲方有权要求更换为满足设计要求的高品质材料或高技术档次系列的产品，但中标价格不调整，由此造成的相关责任由承包商负责。投标人必须对以上要求做出承诺。</w:t>
      </w:r>
    </w:p>
    <w:p>
      <w:pPr>
        <w:spacing w:line="360" w:lineRule="auto"/>
        <w:ind w:firstLine="600" w:firstLineChars="2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②因设计或市场变化等原因造成招投标时所定货物、材料的品牌、规格、型号等发生变化的：</w:t>
      </w:r>
    </w:p>
    <w:p>
      <w:pPr>
        <w:spacing w:line="360" w:lineRule="auto"/>
        <w:ind w:firstLine="600" w:firstLineChars="2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A、调整原则：单价不能高于招投标文件原定价；性能不能低于招投标文件原要求。</w:t>
      </w:r>
    </w:p>
    <w:p>
      <w:pPr>
        <w:spacing w:line="360" w:lineRule="auto"/>
        <w:ind w:firstLine="600" w:firstLineChars="2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B、所有货物、材料的调整都必须经甲方批准。</w:t>
      </w:r>
    </w:p>
    <w:p>
      <w:pPr>
        <w:spacing w:line="360" w:lineRule="auto"/>
        <w:ind w:firstLine="600" w:firstLineChars="2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C、因设计变更，将招投标时所定货物、材料的品牌、等级降低，造成设备、材料的实际价格比招投标时有较大的下降，应按实际价格标准对原合同价款进行调整。</w:t>
      </w:r>
    </w:p>
    <w:p>
      <w:pPr>
        <w:spacing w:line="360" w:lineRule="auto"/>
        <w:ind w:firstLine="600" w:firstLineChars="2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D、其他定价和价格调整原则详见合同条款。</w:t>
      </w:r>
    </w:p>
    <w:p>
      <w:pPr>
        <w:spacing w:line="360" w:lineRule="auto"/>
        <w:ind w:firstLine="600" w:firstLineChars="2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③本工程采用的各种材料、货物，在订货前，乙方必须按投标时所报品牌提供生产厂家合格证书和试验报告，主要货物还必须提供样板经甲方检验能达到设计要求的效果后方可采购。如发生货不对板的情况，该货物不得在本工程使用，乙方必须将其无条件更换为符合设计要求的货物，且中标价格不调整。</w:t>
      </w:r>
    </w:p>
    <w:p>
      <w:pPr>
        <w:spacing w:line="360" w:lineRule="auto"/>
        <w:ind w:firstLine="600" w:firstLineChars="250"/>
        <w:rPr>
          <w:rFonts w:hint="eastAsia" w:ascii="宋体" w:hAnsi="宋体" w:eastAsia="宋体" w:cs="宋体"/>
          <w:bCs/>
          <w:color w:val="auto"/>
          <w:sz w:val="24"/>
          <w:highlight w:val="none"/>
          <w:lang w:val="zh-CN"/>
        </w:rPr>
      </w:pPr>
      <w:r>
        <w:rPr>
          <w:rFonts w:hint="eastAsia" w:ascii="宋体" w:hAnsi="宋体" w:eastAsia="宋体" w:cs="宋体"/>
          <w:color w:val="auto"/>
          <w:sz w:val="24"/>
          <w:highlight w:val="none"/>
          <w:lang w:val="zh-CN"/>
        </w:rPr>
        <w:t>④</w:t>
      </w:r>
      <w:r>
        <w:rPr>
          <w:rFonts w:hint="eastAsia" w:ascii="宋体" w:hAnsi="宋体" w:eastAsia="宋体" w:cs="宋体"/>
          <w:bCs/>
          <w:color w:val="auto"/>
          <w:sz w:val="24"/>
          <w:highlight w:val="none"/>
          <w:lang w:val="zh-CN"/>
        </w:rPr>
        <w:t>在材料和规格基本不变的前提下，投标人在中标后应负责对有关的建筑图纸进行确认，</w:t>
      </w:r>
      <w:r>
        <w:rPr>
          <w:rFonts w:hint="eastAsia" w:ascii="宋体" w:hAnsi="宋体" w:eastAsia="宋体" w:cs="宋体"/>
          <w:color w:val="auto"/>
          <w:sz w:val="24"/>
          <w:highlight w:val="none"/>
        </w:rPr>
        <w:t>以确保货物尺寸能适合现场需要且符合相关国家规范和标准要求，</w:t>
      </w:r>
      <w:r>
        <w:rPr>
          <w:rFonts w:hint="eastAsia" w:ascii="宋体" w:hAnsi="宋体" w:eastAsia="宋体" w:cs="宋体"/>
          <w:bCs/>
          <w:color w:val="auto"/>
          <w:sz w:val="24"/>
          <w:highlight w:val="none"/>
          <w:lang w:val="zh-CN"/>
        </w:rPr>
        <w:t>由此所引起的结构和形式上的变化不调整中标价格。</w:t>
      </w:r>
    </w:p>
    <w:p>
      <w:pPr>
        <w:spacing w:line="360" w:lineRule="auto"/>
        <w:ind w:firstLine="600" w:firstLineChars="2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⑤本项目货物采用的各种材料、辅材、配件，承包商必须按用户需求书要求在投标时所承诺品牌或质量进行选用，且中标后不得自行更换。</w:t>
      </w:r>
    </w:p>
    <w:p>
      <w:pPr>
        <w:spacing w:line="360" w:lineRule="auto"/>
        <w:ind w:firstLine="600" w:firstLineChars="2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如发生材料货不对板、或以低品质材料冒充高品质材料、或以低技术档次系列的产品冒充高技术档次系列的产品的情况，该材料或配件不得在本项目使用，招标人有权要求承包商更换为满足设计要求的高品质材料或高技术档次系列的产品，且中标价格不调整。乙方必须无条件接受，并在投标时作出承诺。</w:t>
      </w:r>
    </w:p>
    <w:p>
      <w:pPr>
        <w:spacing w:line="360" w:lineRule="auto"/>
        <w:ind w:firstLine="600" w:firstLineChars="2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⑥本项目的各种货物必须按国家质量监督部门的规定、国家有关质量标准和招标文件用户需求书的规定进行检验和验收，货物到货时须提供生产厂家的合格证及质检部门的产品检验合格证及其它相关合格证。</w:t>
      </w:r>
    </w:p>
    <w:p>
      <w:pPr>
        <w:spacing w:line="360" w:lineRule="auto"/>
        <w:ind w:firstLine="600" w:firstLineChars="2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⑦对于货物成品或材料，无论</w:t>
      </w: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lang w:val="zh-CN"/>
        </w:rPr>
        <w:t>有无条件到生产、制造现场监造或验收，在到达现场后经验收发现质量问题的，均应由承包商承担责任。承包商应负责修复或更换或由甲方另行采购，并承担由此发生的费用，赔偿甲方的损失，由此延误的工期不予顺延。</w:t>
      </w:r>
    </w:p>
    <w:p>
      <w:pPr>
        <w:spacing w:line="360" w:lineRule="auto"/>
        <w:ind w:firstLine="600" w:firstLineChars="2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⑧其他定价和价格调整原则详见合同条款。</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5）其他说明：</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①工程清单计价表项目特征描述中有关型号、规格，技术参数及要求若与招标图纸及招标文件技术要求不相符的，应以优先以招标图纸及招标文件技术要求为准。</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②电梯的验收，《电梯、自动扶梯、自动步道准用证》办理，《安全检验合格证》的办理、《电梯使用登记证》的办理等相关费用，投标人应综合单价考虑，不另行增加费用。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③招标人提供的施工安装图纸设计内容不全或不详的部分，如钢结构节点、不锈钢门斗套、电梯内装、井道检修梯、电梯导轨与幕墙结构分隔布置、预埋件等，中标人应进行相应的深化设计，并经招标人及设计单位确认。相关深化费用，在综合单价中综合考虑。</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④投标人应根据招标文件、设计要求充分考虑。本专业与其他相关专业的接口与服务工作（包括与强电源接口及服务、与火灾自动报警系统控制接口及服务、与弱电智能化系统控制接口及服务等），相关费用在综合单价中综合考虑。</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⑤投标人应根据招标文件、设计要求充分考虑，提供至少三种轿厢装饰标准方案（包括但不限于：轿厢及吊顶、层门、操纵箱、召唤箱）的报价，承诺价格平均相同，供业主选择，费用不另行增加，由业主与监理单位出具书面承诺书，施工单位按承诺书作出承诺。</w:t>
      </w:r>
    </w:p>
    <w:p>
      <w:pPr>
        <w:spacing w:line="360" w:lineRule="auto"/>
        <w:outlineLvl w:val="0"/>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智慧泵房</w:t>
      </w:r>
    </w:p>
    <w:p>
      <w:pPr>
        <w:pStyle w:val="57"/>
        <w:ind w:firstLine="496"/>
        <w:outlineLvl w:val="1"/>
        <w:rPr>
          <w:rFonts w:hint="eastAsia" w:ascii="宋体" w:hAnsi="宋体" w:eastAsia="宋体" w:cs="宋体"/>
          <w:color w:val="auto"/>
          <w:highlight w:val="none"/>
        </w:rPr>
      </w:pPr>
      <w:r>
        <w:rPr>
          <w:rFonts w:hint="eastAsia" w:ascii="宋体" w:hAnsi="宋体" w:eastAsia="宋体" w:cs="宋体"/>
          <w:color w:val="auto"/>
          <w:highlight w:val="none"/>
        </w:rPr>
        <w:t>（1）投标人应根据招标人提供的招标工程量清单、技术需求书进行报价，投标报价时应充分考虑满足相关验收规范、招标技术需求书要求、现场实际需要及深化设计等可能引起的相关费用（含深化设计费）。因应项目现场需要或深化设计引起的工程量清单开项差异（含可能存在的漏项）或工程量差异，视为相关费用已综合考虑在该专业工程的投标总报价中。且深化设计后的整体系统配置标准、功能要求及范围内容均不得低于招标清单及招标技术需求书要求。</w:t>
      </w:r>
    </w:p>
    <w:p>
      <w:pPr>
        <w:pStyle w:val="57"/>
        <w:ind w:firstLine="496"/>
        <w:outlineLvl w:val="1"/>
        <w:rPr>
          <w:rFonts w:hint="eastAsia" w:ascii="宋体" w:hAnsi="宋体" w:eastAsia="宋体" w:cs="宋体"/>
          <w:color w:val="auto"/>
          <w:highlight w:val="none"/>
        </w:rPr>
      </w:pPr>
      <w:r>
        <w:rPr>
          <w:rFonts w:hint="eastAsia" w:ascii="宋体" w:hAnsi="宋体" w:eastAsia="宋体" w:cs="宋体"/>
          <w:color w:val="auto"/>
          <w:highlight w:val="none"/>
        </w:rPr>
        <w:t>（2）实际实施时，若招标工程量清单及技术需求书约定实施范围未发生变化，则</w:t>
      </w:r>
      <w:r>
        <w:rPr>
          <w:rFonts w:hint="eastAsia" w:ascii="宋体" w:hAnsi="宋体" w:eastAsia="宋体" w:cs="宋体"/>
          <w:b/>
          <w:bCs/>
          <w:color w:val="auto"/>
          <w:highlight w:val="none"/>
          <w:lang w:val="en-US" w:eastAsia="zh-CN"/>
        </w:rPr>
        <w:t>智慧泵房</w:t>
      </w:r>
      <w:r>
        <w:rPr>
          <w:rFonts w:hint="eastAsia" w:ascii="宋体" w:hAnsi="宋体" w:eastAsia="宋体" w:cs="宋体"/>
          <w:b/>
          <w:bCs/>
          <w:color w:val="auto"/>
          <w:highlight w:val="none"/>
        </w:rPr>
        <w:t>专业工程按其中标价格总价包干</w:t>
      </w:r>
      <w:r>
        <w:rPr>
          <w:rFonts w:hint="eastAsia" w:ascii="宋体" w:hAnsi="宋体" w:eastAsia="宋体" w:cs="宋体"/>
          <w:color w:val="auto"/>
          <w:highlight w:val="none"/>
        </w:rPr>
        <w:t>（包深化设计及由此引致的一切相关费用，不因具体工程量增加或主材设备材料及用量变化、损耗量变化等任何原因而增加任何费用）；</w:t>
      </w:r>
    </w:p>
    <w:p>
      <w:pPr>
        <w:pStyle w:val="57"/>
        <w:ind w:firstLine="496"/>
        <w:outlineLvl w:val="1"/>
        <w:rPr>
          <w:rFonts w:hint="eastAsia" w:ascii="宋体" w:hAnsi="宋体" w:eastAsia="宋体" w:cs="宋体"/>
          <w:color w:val="auto"/>
          <w:highlight w:val="none"/>
        </w:rPr>
      </w:pPr>
      <w:r>
        <w:rPr>
          <w:rFonts w:hint="eastAsia" w:ascii="宋体" w:hAnsi="宋体" w:eastAsia="宋体" w:cs="宋体"/>
          <w:color w:val="auto"/>
          <w:highlight w:val="none"/>
        </w:rPr>
        <w:t>（3）实际实施时，若招标工程量清单及技术需求书约定实施范围发生变化（如规范等文件要求不需强制实施等），则不再实施部分的费用须在</w:t>
      </w:r>
      <w:r>
        <w:rPr>
          <w:rFonts w:hint="eastAsia" w:ascii="宋体" w:hAnsi="宋体" w:eastAsia="宋体" w:cs="宋体"/>
          <w:color w:val="auto"/>
          <w:highlight w:val="none"/>
          <w:lang w:val="en-US" w:eastAsia="zh-CN"/>
        </w:rPr>
        <w:t>智慧泵房</w:t>
      </w:r>
      <w:r>
        <w:rPr>
          <w:rFonts w:hint="eastAsia" w:ascii="宋体" w:hAnsi="宋体" w:eastAsia="宋体" w:cs="宋体"/>
          <w:color w:val="auto"/>
          <w:highlight w:val="none"/>
        </w:rPr>
        <w:t>专业工程包干总价中予以扣减（计算方法为：费用扣减额度=按招标清单工程量*相应项目的中标综合单价），即</w:t>
      </w:r>
      <w:r>
        <w:rPr>
          <w:rFonts w:hint="eastAsia" w:ascii="宋体" w:hAnsi="宋体" w:eastAsia="宋体" w:cs="宋体"/>
          <w:color w:val="auto"/>
          <w:highlight w:val="none"/>
          <w:lang w:val="en-US" w:eastAsia="zh-CN"/>
        </w:rPr>
        <w:t>智慧泵房</w:t>
      </w:r>
      <w:r>
        <w:rPr>
          <w:rFonts w:hint="eastAsia" w:ascii="宋体" w:hAnsi="宋体" w:eastAsia="宋体" w:cs="宋体"/>
          <w:color w:val="auto"/>
          <w:highlight w:val="none"/>
        </w:rPr>
        <w:t>专业工程按扣减后的总价结算（包深化设计及由此引致的一切相关费用，不因具体工程量增加或主材设备用量变化、损耗量变化等任何原因而增加任何费用）。</w:t>
      </w:r>
    </w:p>
    <w:p>
      <w:pPr>
        <w:spacing w:line="360" w:lineRule="auto"/>
        <w:outlineLvl w:val="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、智能化工程</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如有</w:t>
      </w:r>
      <w:r>
        <w:rPr>
          <w:rFonts w:hint="eastAsia" w:ascii="宋体" w:hAnsi="宋体" w:eastAsia="宋体" w:cs="宋体"/>
          <w:b/>
          <w:color w:val="auto"/>
          <w:sz w:val="24"/>
          <w:highlight w:val="none"/>
          <w:lang w:eastAsia="zh-CN"/>
        </w:rPr>
        <w:t>）</w:t>
      </w:r>
    </w:p>
    <w:p>
      <w:pPr>
        <w:pStyle w:val="57"/>
        <w:ind w:left="0" w:leftChars="0" w:firstLine="498"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（1）计算机应用、网络系统系统联调</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1）计价包括但不限于：名称描述，信息点数量，系统调试，系统试运行，系统验证测试相关费用。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2）计量包括：网络调试及试运行按“项” 为计量单位计算。此费用单项包干，结算不做调整。</w:t>
      </w:r>
    </w:p>
    <w:p>
      <w:pPr>
        <w:pStyle w:val="57"/>
        <w:ind w:left="0" w:leftChars="0" w:firstLine="498"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eastAsia="zh-CN"/>
        </w:rPr>
        <w:t>（2）</w:t>
      </w:r>
      <w:r>
        <w:rPr>
          <w:rFonts w:hint="eastAsia" w:ascii="宋体" w:hAnsi="宋体" w:eastAsia="宋体" w:cs="宋体"/>
          <w:b/>
          <w:bCs/>
          <w:color w:val="auto"/>
          <w:highlight w:val="none"/>
          <w:lang w:val="en-US" w:eastAsia="zh-CN"/>
        </w:rPr>
        <w:t>机柜、机架</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1）计价包括但不限于：名称，材质，规格，本体安装方式，底座等固定件安装等相关费用。</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2）计量包括：机柜、机架按“台” 为计量单位计算。报价时需充分考虑设备运行所需要的冗余空间，结算时不做调整。</w:t>
      </w:r>
    </w:p>
    <w:p>
      <w:pPr>
        <w:pStyle w:val="57"/>
        <w:ind w:left="0" w:leftChars="0" w:firstLine="498"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(3)双绞线缆</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1）计价包括但不限于：敷设、水晶头制安、标记、卡接、测试</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2）计量包括：按用途、材质、规格、型号，不分敷设方式，以“米”为计量单位计算。</w:t>
      </w:r>
    </w:p>
    <w:p>
      <w:pPr>
        <w:pStyle w:val="57"/>
        <w:ind w:left="0" w:leftChars="0" w:firstLine="498"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(4) 光缆</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1）计价包括但不限于：敷设、尾纤熔接、标记、卡接、测试</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2）计量包括：按用途、材质、规格、型号，不分敷设方式，以“米” 为计量单位计算。</w:t>
      </w:r>
    </w:p>
    <w:p>
      <w:pPr>
        <w:pStyle w:val="57"/>
        <w:ind w:left="0" w:leftChars="0" w:firstLine="498"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(5) 配线架、跳线架</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1）包括配线架、端接模块、跳块、尾纤、面板、跳线、理线器、标签等。</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2）计价包括但不限于：本体安装，机架安装，跳块卡接，放布尾纤，跳线测试，标签的制作等相关费用。</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3）计量包括：配线架按“台（架）”为计量单位计算。报价时需充分考虑设备运行所需要的跳线数（尾纤数），跳线（尾纤）数量结算时不做调整。</w:t>
      </w:r>
    </w:p>
    <w:p>
      <w:pPr>
        <w:pStyle w:val="57"/>
        <w:ind w:left="0" w:leftChars="0" w:firstLine="498"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(6) 光纤盒</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1）包括但不限于光纤配线架、光纤盒、光纤连接、光缆终端盒、端接模块、跳块、尾纤、面板、光纤跳线、光纤耦合器、标签等。</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2）计价包括但不限于：本体安装，机架安装，跳块卡接，放布尾纤，跳线测试，光纤耦合器安装、光纤链接制作，标签的制作等相关费用。</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3）计量包括：光纤配线架按“个（块）”为计量单位计算。报价时需充分考虑设备运行所需要的跳线数（尾纤数），跳线（尾纤）数量结算时不做调整。</w:t>
      </w:r>
    </w:p>
    <w:p>
      <w:pPr>
        <w:pStyle w:val="57"/>
        <w:ind w:left="0" w:leftChars="0" w:firstLine="498"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(7) 信息模块（包括铜缆信息模块、光纤信息模块）</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kern w:val="2"/>
          <w:sz w:val="24"/>
          <w:szCs w:val="24"/>
          <w:highlight w:val="none"/>
          <w:lang w:val="en-US" w:eastAsia="zh-CN" w:bidi="ar"/>
        </w:rPr>
        <w:t>1</w:t>
      </w:r>
      <w:r>
        <w:rPr>
          <w:rFonts w:hint="eastAsia" w:ascii="宋体" w:hAnsi="宋体" w:eastAsia="宋体" w:cs="宋体"/>
          <w:color w:val="auto"/>
          <w:highlight w:val="none"/>
          <w:lang w:val="en-US" w:eastAsia="zh-CN"/>
        </w:rPr>
        <w:t>）计量包括：分型号、规格、用途，以“套”为单位计算。</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计价包括但不限于：面板安装、标签制作、信息模块端接、耦合器安装，于砖墙或有找平层的地面上的开刨槽、砖墙开孔及修补、配件管件及安装、底盒安装、防腐油漆、标识、接地、修补等相关费用（包括网络插座）。</w:t>
      </w:r>
    </w:p>
    <w:p>
      <w:pPr>
        <w:pStyle w:val="57"/>
        <w:ind w:left="0" w:leftChars="0" w:firstLine="498"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(8) 入户弱电箱</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1）计量包括：弱电箱及其配件安装，综合考虑其型号、规格、连接电线电缆的规格、安装方式，以“台”为单位计算。</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2）计价包括：基础型钢制作、安装及其除锈刷油、箱体安装、接地、单体调试等工作内容。</w:t>
      </w:r>
    </w:p>
    <w:p>
      <w:pPr>
        <w:pStyle w:val="57"/>
        <w:ind w:firstLine="496"/>
        <w:rPr>
          <w:rFonts w:hint="eastAsia" w:ascii="宋体" w:hAnsi="宋体" w:eastAsia="宋体" w:cs="宋体"/>
          <w:color w:val="auto"/>
          <w:kern w:val="2"/>
          <w:sz w:val="24"/>
          <w:szCs w:val="24"/>
          <w:highlight w:val="none"/>
        </w:rPr>
      </w:pPr>
      <w:r>
        <w:rPr>
          <w:rFonts w:hint="eastAsia" w:ascii="宋体" w:hAnsi="宋体" w:eastAsia="宋体" w:cs="宋体"/>
          <w:color w:val="auto"/>
          <w:highlight w:val="none"/>
          <w:lang w:val="en-US" w:eastAsia="zh-CN"/>
        </w:rPr>
        <w:t>3）入户弱电箱报价不包含箱体内模块等。</w:t>
      </w:r>
    </w:p>
    <w:p>
      <w:pPr>
        <w:pStyle w:val="57"/>
        <w:ind w:left="0" w:leftChars="0" w:firstLine="498"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9</w:t>
      </w:r>
      <w:r>
        <w:rPr>
          <w:rFonts w:hint="eastAsia" w:ascii="宋体" w:hAnsi="宋体" w:eastAsia="宋体" w:cs="宋体"/>
          <w:b/>
          <w:bCs/>
          <w:color w:val="auto"/>
          <w:highlight w:val="none"/>
          <w:lang w:eastAsia="zh-CN"/>
        </w:rPr>
        <w:t>）建筑设备自控化系统调试</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1）计价包括但不限于：名称描述，类别，功能，控制点数量，整体调试，系统试运行，系统验证测试相关费用。</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2）计量包括：调试及试运行按“项” 为计量单位计算。此费用单项包干，结算不做调整。</w:t>
      </w:r>
    </w:p>
    <w:p>
      <w:pPr>
        <w:pStyle w:val="57"/>
        <w:ind w:left="0" w:leftChars="0" w:firstLine="498"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(10) 扩声系统调试、背景音乐系统调试</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1）计价包括但不限于：名称描述，类别，功能，整体调试，达标，系统试运行，系统验证测试相关费用。</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2）计量包括：调试及试运行按“系统” 为计量单位计算。此费用单项包干，结算不做调整。</w:t>
      </w:r>
    </w:p>
    <w:p>
      <w:pPr>
        <w:pStyle w:val="57"/>
        <w:ind w:left="0" w:leftChars="0" w:firstLine="498"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(11) 安全防范全系统调试</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1）计价包括但不限于：系统内容，全系统联调，系统试运行，系统验证测试相关费用。</w:t>
      </w:r>
    </w:p>
    <w:p>
      <w:pPr>
        <w:pStyle w:val="7"/>
        <w:widowControl/>
        <w:spacing w:before="0" w:beforeAutospacing="0" w:after="0" w:afterAutospacing="0" w:line="360" w:lineRule="auto"/>
        <w:rPr>
          <w:rFonts w:hint="eastAsia" w:ascii="宋体" w:hAnsi="宋体" w:eastAsia="宋体" w:cs="宋体"/>
          <w:b w:val="0"/>
          <w:bCs w:val="0"/>
          <w:snapToGrid w:val="0"/>
          <w:color w:val="auto"/>
          <w:spacing w:val="4"/>
          <w:kern w:val="0"/>
          <w:sz w:val="24"/>
          <w:szCs w:val="24"/>
          <w:highlight w:val="none"/>
          <w:lang w:val="en-US" w:eastAsia="zh-CN" w:bidi="ar-SA"/>
        </w:rPr>
      </w:pPr>
      <w:r>
        <w:rPr>
          <w:rFonts w:hint="eastAsia" w:ascii="宋体" w:hAnsi="宋体" w:eastAsia="宋体" w:cs="宋体"/>
          <w:b w:val="0"/>
          <w:bCs w:val="0"/>
          <w:snapToGrid w:val="0"/>
          <w:color w:val="auto"/>
          <w:spacing w:val="4"/>
          <w:kern w:val="0"/>
          <w:sz w:val="24"/>
          <w:szCs w:val="24"/>
          <w:highlight w:val="none"/>
          <w:lang w:eastAsia="zh-CN" w:bidi="ar-SA"/>
        </w:rPr>
        <w:t xml:space="preserve">   </w:t>
      </w:r>
      <w:r>
        <w:rPr>
          <w:rFonts w:hint="eastAsia" w:ascii="宋体" w:hAnsi="宋体" w:eastAsia="宋体" w:cs="宋体"/>
          <w:b w:val="0"/>
          <w:bCs w:val="0"/>
          <w:snapToGrid w:val="0"/>
          <w:color w:val="auto"/>
          <w:spacing w:val="4"/>
          <w:kern w:val="0"/>
          <w:sz w:val="24"/>
          <w:szCs w:val="24"/>
          <w:highlight w:val="none"/>
          <w:lang w:val="en-US" w:eastAsia="zh-CN" w:bidi="ar-SA"/>
        </w:rPr>
        <w:t>2）计量包括：调试及试运行按“项” 为计量单位计算。此费用单项包干，结算不做调</w:t>
      </w:r>
    </w:p>
    <w:p>
      <w:pPr>
        <w:pStyle w:val="57"/>
        <w:ind w:left="0" w:leftChars="0" w:firstLine="498"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(12) 线管</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1）计价包括但不限于：线管敷设、接地、防腐，于砖墙或有找平层的地面上的开刨槽及修复、砖墙开孔及修补、配件管件及安装、除锈刷油、接线盒（箱）安装、防腐油漆、标识、接地、修补等相关费用。</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2）计量包括：按不同材质、规格、型号以“米”为单位计算。</w:t>
      </w:r>
    </w:p>
    <w:p>
      <w:pPr>
        <w:pStyle w:val="57"/>
        <w:ind w:left="0" w:leftChars="0" w:firstLine="498"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(13) 线槽</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1）计量包括：线槽（包括盖板、三通、弯头等附件以及接地扣片等配件），按不同材质以截面半周长为步距，以“米”为计量单位计算。</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2）计价包括但不限于：线槽及附件、配件安装、支（吊）架制作安装、除锈、刷油、接地、防火堵洞、刷防火漆等相关费用。</w:t>
      </w:r>
    </w:p>
    <w:p>
      <w:pPr>
        <w:pStyle w:val="57"/>
        <w:ind w:left="0" w:leftChars="0" w:firstLine="498"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 xml:space="preserve">(14) </w:t>
      </w:r>
      <w:r>
        <w:rPr>
          <w:rFonts w:hint="eastAsia" w:ascii="宋体" w:hAnsi="宋体" w:eastAsia="宋体" w:cs="宋体"/>
          <w:b/>
          <w:bCs/>
          <w:color w:val="auto"/>
          <w:highlight w:val="none"/>
          <w:lang w:val="en-US" w:eastAsia="zh-CN"/>
        </w:rPr>
        <w:t>各类线缆</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1）线缆包括：各种控制、通讯线缆。</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2）计量包括：分不同型号、规格，不分敷设方式按设计图示尺寸以“米”为单位计量。</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3）计价包括但不限于：线缆敷设、熔接、电缆头、防火堵洞、电缆防护、标识、测试等内容。</w:t>
      </w:r>
    </w:p>
    <w:p>
      <w:pPr>
        <w:pStyle w:val="57"/>
        <w:ind w:left="0" w:leftChars="0" w:firstLine="498"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(15) 机柜</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1）计量包括：分用途、材质、规格、型号，不分安装位置和安装方式，以“个”为计量单位计算。</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2）计价包括但不限于：机柜安装，钢质基础制作、安装，除锈、刷油，接地等相关费用。</w:t>
      </w:r>
    </w:p>
    <w:p>
      <w:pPr>
        <w:pStyle w:val="57"/>
        <w:ind w:left="0" w:leftChars="0" w:firstLine="498"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(16) 接线箱</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1）计量包括：接线箱分用途、材质、规格、型号，不分安装位置和安装方式，以“个”为计量单位计算。</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2）计价包括但不限于：接线箱安装，孔洞预留、支架制作、安装，除锈、刷油，接地等相关费用。</w:t>
      </w:r>
    </w:p>
    <w:p>
      <w:pPr>
        <w:pStyle w:val="57"/>
        <w:ind w:left="0" w:leftChars="0" w:firstLine="498"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(17) 工作站（含操作系统软件及正版软件狗）</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1）计量包括：工作站及操作系统软件，按不同的用途、规格、型号，以“套”为单位计算。</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2）计价包括但不限于：本体安装、单体调试、系统调试等相关费用。</w:t>
      </w:r>
    </w:p>
    <w:p>
      <w:pPr>
        <w:pStyle w:val="57"/>
        <w:ind w:left="0" w:leftChars="0" w:firstLine="498"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(18) 线路放大器</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1）计量包括：线路放大器分型号、规格，以“台”为单位计算。</w:t>
      </w:r>
    </w:p>
    <w:p>
      <w:pPr>
        <w:pStyle w:val="57"/>
        <w:ind w:firstLine="496"/>
        <w:rPr>
          <w:rFonts w:hint="eastAsia" w:ascii="宋体" w:hAnsi="宋体" w:eastAsia="宋体" w:cs="宋体"/>
          <w:color w:val="auto"/>
          <w:kern w:val="2"/>
          <w:sz w:val="24"/>
          <w:szCs w:val="24"/>
          <w:highlight w:val="none"/>
        </w:rPr>
      </w:pPr>
      <w:r>
        <w:rPr>
          <w:rFonts w:hint="eastAsia" w:ascii="宋体" w:hAnsi="宋体" w:eastAsia="宋体" w:cs="宋体"/>
          <w:color w:val="auto"/>
          <w:highlight w:val="none"/>
          <w:lang w:val="en-US" w:eastAsia="zh-CN"/>
        </w:rPr>
        <w:t>2）计价包括但不限于：本体安装、单体调试等相关费用。</w:t>
      </w:r>
    </w:p>
    <w:p>
      <w:pPr>
        <w:pStyle w:val="57"/>
        <w:ind w:left="0" w:leftChars="0" w:firstLine="498"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(19) 分支器、分配器</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1）计量包括：分支器、分配器分型号、规格，以“个”为单位计算。</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2）计价包括但不限于：本体安装、单体调试等相关费用。</w:t>
      </w:r>
    </w:p>
    <w:p>
      <w:pPr>
        <w:pStyle w:val="57"/>
        <w:ind w:left="0" w:leftChars="0" w:firstLine="498"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(20) 电视插座</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1）计量包括：电视插座分型号、规格，以“个”为单位计算。</w:t>
      </w:r>
    </w:p>
    <w:p>
      <w:pPr>
        <w:pStyle w:val="57"/>
        <w:ind w:firstLine="496"/>
        <w:rPr>
          <w:rFonts w:hint="eastAsia" w:ascii="宋体" w:hAnsi="宋体" w:eastAsia="宋体" w:cs="宋体"/>
          <w:color w:val="auto"/>
          <w:kern w:val="2"/>
          <w:sz w:val="24"/>
          <w:szCs w:val="24"/>
          <w:highlight w:val="none"/>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）计价包括但不限于：本体安装、底盒安装、单体调试等相关费用。</w:t>
      </w:r>
    </w:p>
    <w:p>
      <w:pPr>
        <w:pStyle w:val="57"/>
        <w:ind w:left="0" w:leftChars="0" w:firstLine="498"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(21)终端电阻</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1）计量包括：终端电阻分型号、规格，以“个”为单位计算。</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2）计价包括但不限于：本体安装、单体调试等相关费用。</w:t>
      </w:r>
    </w:p>
    <w:p>
      <w:pPr>
        <w:pStyle w:val="57"/>
        <w:ind w:left="0" w:leftChars="0" w:firstLine="498"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(22) 安防集成管理系统软件</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1）计量包括：安全管理系统集成平台以“系统”为单位计算。</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2）计价包括但不限于：系统软件安装、正版软件狗、全系统联调，系统试运行，系统验证测试相关费用。</w:t>
      </w:r>
    </w:p>
    <w:p>
      <w:pPr>
        <w:pStyle w:val="57"/>
        <w:ind w:left="0" w:leftChars="0" w:firstLine="498"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(23) 各类摄像机</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1）各类摄像机设备包括但不限于：本机、电源、镜头、云台或快球、护罩、防雷器、室外摄像机（不含立杆及立杆基础）等及随机配套配件。</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2）计量包括：设备分不同类型、数量，按设计监控点数表以“个”为单位计量。</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3）计价包括但不限于：前端设备主体及其配套配件连接、安装，调试(包括固定式摄像机安装镜头后的焦距选择及对焦设定) 功能验证、支架制作、安装，除锈、刷油，接地等相关费用。</w:t>
      </w:r>
    </w:p>
    <w:p>
      <w:pPr>
        <w:pStyle w:val="57"/>
        <w:ind w:left="0" w:leftChars="0" w:firstLine="498"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(24) 各类硬盘录像机</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1）计量包括：分不同型号、规格，以“套”为单位计量。</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2）计价包括但不限于：本体安装、单体调试等相关费用。</w:t>
      </w:r>
    </w:p>
    <w:p>
      <w:pPr>
        <w:pStyle w:val="57"/>
        <w:ind w:left="0" w:leftChars="0" w:firstLine="498"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(25) 硬盘</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1）计量包括：分不同型号、规格，以“块”为单位计量。</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2）计价包括但不限于：本体安装等相关费用。</w:t>
      </w:r>
    </w:p>
    <w:p>
      <w:pPr>
        <w:pStyle w:val="57"/>
        <w:ind w:left="0" w:leftChars="0" w:firstLine="498"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(26) 控制键盘</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1）计量包括：分不同型号、规格，以“套”为单位计量。</w:t>
      </w:r>
    </w:p>
    <w:p>
      <w:pPr>
        <w:pStyle w:val="57"/>
        <w:ind w:firstLine="496"/>
        <w:rPr>
          <w:rFonts w:hint="eastAsia" w:ascii="宋体" w:hAnsi="宋体" w:eastAsia="宋体" w:cs="宋体"/>
          <w:color w:val="auto"/>
          <w:kern w:val="2"/>
          <w:sz w:val="24"/>
          <w:szCs w:val="24"/>
          <w:highlight w:val="none"/>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）计价包括但不限于：本体及随机配套配件安装、单体调试等相关费用。</w:t>
      </w:r>
    </w:p>
    <w:p>
      <w:pPr>
        <w:pStyle w:val="57"/>
        <w:ind w:left="0" w:leftChars="0" w:firstLine="498"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(27) 视频切换矩阵</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1）视频切换矩阵包括：视频切换矩阵（各类输入输出模块、扩展插槽）及随机配套配件等。</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2）计量包括：分不同型号、规格，以“套”为单位计量。</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3）计价包括但不限于：设备主材及其随机配套配件安装，支架制作、安装，除锈、刷油，校接线，接地，单体调试、试运行，联合调试等相关费用。</w:t>
      </w:r>
    </w:p>
    <w:p>
      <w:pPr>
        <w:pStyle w:val="57"/>
        <w:ind w:left="0" w:leftChars="0" w:firstLine="498"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(28) 电视监视墙</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1）电视监视墙包括：电视监视墙及配套配件等。 </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2）计量包括：分不同型号、规格，以“套”为单位计量。</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3）计价包括：设备主材及其随机配套配件安装，机架安装，校接线，接地，单体调</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试、试运行，联合调试等相关费用。</w:t>
      </w:r>
    </w:p>
    <w:p>
      <w:pPr>
        <w:pStyle w:val="57"/>
        <w:ind w:left="0" w:leftChars="0" w:firstLine="498"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29</w:t>
      </w:r>
      <w:r>
        <w:rPr>
          <w:rFonts w:hint="eastAsia" w:ascii="宋体" w:hAnsi="宋体" w:eastAsia="宋体" w:cs="宋体"/>
          <w:b/>
          <w:bCs/>
          <w:color w:val="auto"/>
          <w:highlight w:val="none"/>
          <w:lang w:eastAsia="zh-CN"/>
        </w:rPr>
        <w:t>）操作台</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1）操作台包括：操作台及配套配件等。</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2）计量包括：分不同规格，以“套”为单位计量。</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3）计价包括但不限于：本体安装，接地，调试等相关费用。</w:t>
      </w:r>
    </w:p>
    <w:p>
      <w:pPr>
        <w:pStyle w:val="57"/>
        <w:ind w:left="0" w:leftChars="0" w:firstLine="498"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30) 停车场管理系统工作站</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1）停车场管理系统工作站包括但不限于：停车场管理系统工作站 、正版停车场管理系统软件及软件狗、正版操作系统软件等。</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2）计量包括：分不同型号、规格，以“台”为单位计算。</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3）计价包括但不限于：本体安装、软件安装、单体调试等相关费用。</w:t>
      </w:r>
    </w:p>
    <w:p>
      <w:pPr>
        <w:pStyle w:val="57"/>
        <w:ind w:left="0" w:leftChars="0" w:firstLine="498"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(31) 停车场出入口管理工作站</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1）停车场出入口管理工作站包括：停车场出入口管理工作站、停车场收费管理软件、正版操作系统软件等。</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2）计量包括：分不同型号、规格，以“台”为单位计算。</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3）计价包括但不限于：本体安装、软件安装、单体调试等相关费用。</w:t>
      </w:r>
    </w:p>
    <w:p>
      <w:pPr>
        <w:pStyle w:val="57"/>
        <w:ind w:left="0" w:leftChars="0" w:firstLine="498"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(32) 出入口控制主机</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1）现场控制设备包括但不限于：出入口控制主机、摄像头、视频卡、读卡器、发卡器、车辆检测器、对讲设备等。</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2）计量包括：分不同规格、型号，以“套”为单位计量。</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3）计价包括但不限于：本体安装，单体调试（以及各子系统的联合调试），试运行，接地，联合调试等相关费用。</w:t>
      </w:r>
    </w:p>
    <w:p>
      <w:pPr>
        <w:pStyle w:val="57"/>
        <w:ind w:left="0" w:leftChars="0" w:firstLine="498"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(33) 防静电地板</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1）计价包括：综合考虑龙骨材料种类、规格、中距等，包括龙骨制作、安装钉隔离层的材料和厚度、基层铺钉、面层铺贴、刷防护材料等相关费用。</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2）计量包括：分不同面层材料、厚度按设计图示水平投影面积计算。</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3）楼地面板材面层下的防水层另列清单项目计量。</w:t>
      </w:r>
    </w:p>
    <w:p>
      <w:pPr>
        <w:pStyle w:val="57"/>
        <w:ind w:left="0" w:leftChars="0" w:firstLine="498"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(34) 吸声墙面</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计价包括但不限于：吸声墙面的计价需综合抹灰砂浆种类、厚度及抹灰层内挂设热镀锌钢丝网；综合考虑龙骨材料种类、规格、中距、施工安装高度等；综合考虑隔离层、基层板、吸声层、面层的材料种类、厚度、和规格；计价包括深化设计、墙面挂钢丝网、抹灰、龙骨制作、安装、油漆、钉隔离层、基层铺钉、吸声层、面层铺贴、刷防护材料等全部工作。</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2）计量包括：按设计图示墙净长乘以净高以面积计算。扣除门窗洞口及单个0.3m2以上的孔洞所占面积。</w:t>
      </w:r>
    </w:p>
    <w:p>
      <w:pPr>
        <w:pStyle w:val="57"/>
        <w:ind w:left="0" w:leftChars="0" w:firstLine="498"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(35) 吸声天花吊顶</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计价包括但不限于：吸声天花的计价综合考虑龙骨的材料种类、中距、规格、类型，施工安装高度；综合考虑隔离层、基层板、吸声层、面层的材料、厚度、规格。计价包括深化设计、基层清理、龙骨制作、安装、油漆、基层板铺贴、吸声层、面层铺贴、嵌缝、刷防护材料等相关费用。交接位的收口、封板均应包含在综合单价中，不再另行计量。</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2）计量包括：按设计图示尺寸以水平投影面积计算，不扣除间壁墙、检查洞、附墙烟囱、柱垛和管道所占面积，但应扣除单个0.3m2 以上的孔洞、独立柱、灯槽及与天棚相连的窗帘盒所占面积。</w:t>
      </w:r>
    </w:p>
    <w:p>
      <w:pPr>
        <w:pStyle w:val="57"/>
        <w:ind w:left="0" w:leftChars="0" w:firstLine="498"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(36) 防雷保护器</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1）计量包括：本体、连接导线（多股铜芯绝缘导线）、合适的空开或熔断器、干接点的接线端子、防雷器的输入端子、连接导线（含接地线）、不分安装方式，以“台”为单位计算。</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2）计价包括但不限于：基础型钢制作、安装、接地、单体调试等工作内容。</w:t>
      </w:r>
    </w:p>
    <w:p>
      <w:pPr>
        <w:pStyle w:val="57"/>
        <w:ind w:left="0" w:leftChars="0" w:firstLine="498"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(37) 防雷接地网</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计价包括但不限于：接地极(板)制安，接地母线敷设，接地网敷设，避雷引下线敷设，接地跨接线、金属构件、铝合金门窗接地，等电位连接，防雷设施制安，均压环敷设，避雷带(网)的连接，接地电阻测试、系统调试等相关费用。</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2）计量包括：防雷接地系统按“项”为计量单位总价包干。</w:t>
      </w:r>
    </w:p>
    <w:p>
      <w:pPr>
        <w:pStyle w:val="57"/>
        <w:ind w:left="0" w:leftChars="0" w:firstLine="498"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(38) 机房其它项目</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计价包括：机房其它项目包括机房附属设施（含机房门、鞋柜等），还包括招标图纸未有设计但为满足相关的机房工程技术需求且确保机房系统稳定可靠运行所必须的设施。该部分由施工单位深化设计，综合考虑各种设施所用的材料种类、规格型号、数量、安装方式等。</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2）计量包括：分不同系统机房，以“项”为单位计算。</w:t>
      </w:r>
    </w:p>
    <w:p>
      <w:pPr>
        <w:pStyle w:val="57"/>
        <w:ind w:left="0" w:leftChars="0" w:firstLine="498"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（39）套管</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 计量包括：穿混凝土结构套管、套管形式、材质、规格。按工作介质管道的公称直径，区分不同规格以 “个”计算。</w:t>
      </w:r>
    </w:p>
    <w:p>
      <w:pPr>
        <w:pStyle w:val="57"/>
        <w:ind w:firstLine="496"/>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 计价包括：放样,下料,切割,组对,焊接,车制,刷防锈漆、找标高,找平,找正,就位,安装,加填料、封堵（含套管与管、套管与混凝土结构的封堵等）等相关费用。</w:t>
      </w:r>
    </w:p>
    <w:p>
      <w:pPr>
        <w:pStyle w:val="57"/>
        <w:ind w:firstLine="496"/>
        <w:rPr>
          <w:rFonts w:hint="eastAsia" w:ascii="宋体" w:hAnsi="宋体" w:eastAsia="宋体" w:cs="宋体"/>
          <w:color w:val="auto"/>
          <w:highlight w:val="none"/>
          <w:lang w:val="en-US" w:eastAsia="zh-CN"/>
        </w:rPr>
      </w:pPr>
    </w:p>
    <w:p>
      <w:pPr>
        <w:pStyle w:val="40"/>
        <w:widowControl w:val="0"/>
        <w:spacing w:before="100" w:beforeAutospacing="1"/>
        <w:ind w:left="0" w:leftChars="0" w:firstLine="0" w:firstLineChars="0"/>
        <w:jc w:val="both"/>
        <w:rPr>
          <w:rFonts w:hint="eastAsia" w:ascii="宋体" w:hAnsi="宋体" w:eastAsia="宋体" w:cs="宋体"/>
          <w:color w:val="auto"/>
          <w:kern w:val="2"/>
          <w:highlight w:val="none"/>
          <w:lang w:bidi="ar"/>
        </w:rPr>
      </w:pPr>
      <w:bookmarkStart w:id="699" w:name="_Toc243458109"/>
      <w:bookmarkStart w:id="700" w:name="_Toc243070783"/>
      <w:bookmarkStart w:id="701" w:name="_Toc30112"/>
      <w:bookmarkStart w:id="702" w:name="_Toc5854"/>
      <w:bookmarkStart w:id="703" w:name="_Toc25282"/>
      <w:bookmarkStart w:id="704" w:name="_Toc314044190"/>
      <w:bookmarkStart w:id="705" w:name="_Toc3891"/>
      <w:bookmarkStart w:id="706" w:name="_Toc316916410"/>
      <w:bookmarkStart w:id="707" w:name="_Toc294031077"/>
      <w:bookmarkStart w:id="708" w:name="_Toc468403001"/>
    </w:p>
    <w:p>
      <w:pPr>
        <w:pStyle w:val="56"/>
        <w:spacing w:before="120" w:after="120" w:line="360" w:lineRule="auto"/>
        <w:rPr>
          <w:rFonts w:hint="eastAsia" w:ascii="宋体" w:hAnsi="宋体" w:eastAsia="宋体" w:cs="宋体"/>
          <w:color w:val="auto"/>
          <w:highlight w:val="none"/>
        </w:rPr>
      </w:pPr>
      <w:r>
        <w:rPr>
          <w:rFonts w:hint="eastAsia" w:ascii="宋体" w:hAnsi="宋体" w:eastAsia="宋体" w:cs="宋体"/>
          <w:color w:val="auto"/>
          <w:kern w:val="44"/>
          <w:highlight w:val="none"/>
        </w:rPr>
        <w:t>第二部分   工程量清单</w:t>
      </w:r>
      <w:bookmarkEnd w:id="699"/>
      <w:bookmarkEnd w:id="700"/>
      <w:r>
        <w:rPr>
          <w:rFonts w:hint="eastAsia" w:ascii="宋体" w:hAnsi="宋体" w:eastAsia="宋体" w:cs="宋体"/>
          <w:color w:val="auto"/>
          <w:highlight w:val="none"/>
        </w:rPr>
        <w:t>填报须知</w:t>
      </w:r>
      <w:bookmarkEnd w:id="701"/>
      <w:bookmarkEnd w:id="702"/>
      <w:bookmarkEnd w:id="703"/>
      <w:bookmarkEnd w:id="704"/>
      <w:bookmarkEnd w:id="705"/>
      <w:bookmarkEnd w:id="706"/>
      <w:bookmarkEnd w:id="707"/>
      <w:bookmarkEnd w:id="708"/>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一、表格组成如下：</w:t>
      </w:r>
    </w:p>
    <w:p>
      <w:pPr>
        <w:pStyle w:val="57"/>
        <w:ind w:firstLine="2976" w:firstLineChars="1200"/>
        <w:rPr>
          <w:rFonts w:hint="eastAsia" w:ascii="宋体" w:hAnsi="宋体" w:eastAsia="宋体" w:cs="宋体"/>
          <w:color w:val="auto"/>
          <w:highlight w:val="none"/>
        </w:rPr>
      </w:pPr>
      <w:r>
        <w:rPr>
          <w:rFonts w:hint="eastAsia" w:ascii="宋体" w:hAnsi="宋体" w:eastAsia="宋体" w:cs="宋体"/>
          <w:color w:val="auto"/>
          <w:highlight w:val="none"/>
        </w:rPr>
        <w:t>第1部分</w:t>
      </w:r>
    </w:p>
    <w:p>
      <w:pPr>
        <w:pStyle w:val="57"/>
        <w:numPr>
          <w:ilvl w:val="0"/>
          <w:numId w:val="4"/>
        </w:numPr>
        <w:ind w:firstLineChars="0"/>
        <w:rPr>
          <w:rFonts w:hint="eastAsia" w:ascii="宋体" w:hAnsi="宋体" w:eastAsia="宋体" w:cs="宋体"/>
          <w:color w:val="auto"/>
          <w:highlight w:val="none"/>
        </w:rPr>
      </w:pPr>
      <w:r>
        <w:rPr>
          <w:rFonts w:hint="eastAsia" w:ascii="宋体" w:hAnsi="宋体" w:eastAsia="宋体" w:cs="宋体"/>
          <w:color w:val="auto"/>
          <w:highlight w:val="none"/>
        </w:rPr>
        <w:t>编制说明；</w:t>
      </w:r>
    </w:p>
    <w:p>
      <w:pPr>
        <w:pStyle w:val="57"/>
        <w:numPr>
          <w:ilvl w:val="0"/>
          <w:numId w:val="4"/>
        </w:numPr>
        <w:ind w:firstLine="381" w:firstLineChars="154"/>
        <w:rPr>
          <w:rFonts w:hint="eastAsia" w:ascii="宋体" w:hAnsi="宋体" w:eastAsia="宋体" w:cs="宋体"/>
          <w:color w:val="auto"/>
          <w:highlight w:val="none"/>
        </w:rPr>
      </w:pPr>
      <w:r>
        <w:rPr>
          <w:rFonts w:hint="eastAsia" w:ascii="宋体" w:hAnsi="宋体" w:eastAsia="宋体" w:cs="宋体"/>
          <w:color w:val="auto"/>
          <w:highlight w:val="none"/>
        </w:rPr>
        <w:t>投标报价汇总表</w:t>
      </w:r>
    </w:p>
    <w:p>
      <w:pPr>
        <w:pStyle w:val="57"/>
        <w:numPr>
          <w:ilvl w:val="0"/>
          <w:numId w:val="4"/>
        </w:numPr>
        <w:ind w:firstLine="382" w:firstLineChars="0"/>
        <w:rPr>
          <w:rFonts w:hint="eastAsia" w:ascii="宋体" w:hAnsi="宋体" w:eastAsia="宋体" w:cs="宋体"/>
          <w:color w:val="auto"/>
          <w:highlight w:val="none"/>
        </w:rPr>
      </w:pPr>
      <w:r>
        <w:rPr>
          <w:rFonts w:hint="eastAsia" w:ascii="宋体" w:hAnsi="宋体" w:eastAsia="宋体" w:cs="宋体"/>
          <w:color w:val="auto"/>
          <w:highlight w:val="none"/>
        </w:rPr>
        <w:t>建设工程投标报价汇总表</w:t>
      </w:r>
    </w:p>
    <w:p>
      <w:pPr>
        <w:pStyle w:val="57"/>
        <w:ind w:firstLine="2976" w:firstLineChars="1200"/>
        <w:rPr>
          <w:rFonts w:hint="eastAsia" w:ascii="宋体" w:hAnsi="宋体" w:eastAsia="宋体" w:cs="宋体"/>
          <w:color w:val="auto"/>
          <w:highlight w:val="none"/>
        </w:rPr>
      </w:pPr>
      <w:r>
        <w:rPr>
          <w:rFonts w:hint="eastAsia" w:ascii="宋体" w:hAnsi="宋体" w:eastAsia="宋体" w:cs="宋体"/>
          <w:color w:val="auto"/>
          <w:highlight w:val="none"/>
        </w:rPr>
        <w:t xml:space="preserve">第2部分 </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1、单位工程投标报价汇总表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2、分部分项工程和单价措施项目清单与计价表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3、总价措施项目清单与计价表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4、其他项目清单与计价汇总表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5、暂列金额明细表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6、规费、税金项目清单与计价表</w:t>
      </w:r>
    </w:p>
    <w:p>
      <w:pPr>
        <w:pStyle w:val="57"/>
        <w:ind w:firstLine="2976" w:firstLineChars="1200"/>
        <w:rPr>
          <w:rFonts w:hint="eastAsia" w:ascii="宋体" w:hAnsi="宋体" w:eastAsia="宋体" w:cs="宋体"/>
          <w:color w:val="auto"/>
          <w:highlight w:val="none"/>
        </w:rPr>
      </w:pPr>
      <w:r>
        <w:rPr>
          <w:rFonts w:hint="eastAsia" w:ascii="宋体" w:hAnsi="宋体" w:eastAsia="宋体" w:cs="宋体"/>
          <w:color w:val="auto"/>
          <w:highlight w:val="none"/>
        </w:rPr>
        <w:t>第3部分 其他相关表格</w:t>
      </w:r>
    </w:p>
    <w:p>
      <w:pPr>
        <w:pStyle w:val="57"/>
        <w:ind w:firstLine="538" w:firstLineChars="217"/>
        <w:rPr>
          <w:rFonts w:hint="eastAsia" w:ascii="宋体" w:hAnsi="宋体" w:eastAsia="宋体" w:cs="宋体"/>
          <w:color w:val="auto"/>
          <w:highlight w:val="none"/>
        </w:rPr>
      </w:pPr>
      <w:r>
        <w:rPr>
          <w:rFonts w:hint="eastAsia" w:ascii="宋体" w:hAnsi="宋体" w:eastAsia="宋体" w:cs="宋体"/>
          <w:color w:val="auto"/>
          <w:highlight w:val="none"/>
        </w:rPr>
        <w:t>1、综合单价分析表</w:t>
      </w:r>
    </w:p>
    <w:p>
      <w:pPr>
        <w:pStyle w:val="57"/>
        <w:ind w:firstLine="538" w:firstLineChars="217"/>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szCs w:val="21"/>
          <w:highlight w:val="none"/>
        </w:rPr>
        <w:t>承包人提供主要材料和工程设备一览表</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二、清单表格第1项，参照广州市造价管理站发布的格式编制，也可投标人自行拟定；</w:t>
      </w:r>
    </w:p>
    <w:p>
      <w:pPr>
        <w:pStyle w:val="57"/>
        <w:ind w:firstLine="496"/>
        <w:rPr>
          <w:rFonts w:hint="eastAsia" w:ascii="宋体" w:hAnsi="宋体" w:eastAsia="宋体" w:cs="宋体"/>
          <w:color w:val="auto"/>
          <w:highlight w:val="none"/>
        </w:rPr>
      </w:pPr>
      <w:r>
        <w:rPr>
          <w:rFonts w:hint="eastAsia" w:ascii="宋体" w:hAnsi="宋体" w:eastAsia="宋体" w:cs="宋体"/>
          <w:color w:val="auto"/>
          <w:highlight w:val="none"/>
        </w:rPr>
        <w:t>三、投标报价各表格中的金额应相互对应一致，如有不一致，按就低不就高的原则进行调整。</w:t>
      </w:r>
    </w:p>
    <w:p>
      <w:pPr>
        <w:pStyle w:val="57"/>
        <w:ind w:firstLine="496"/>
        <w:rPr>
          <w:rFonts w:hint="eastAsia" w:ascii="宋体" w:hAnsi="宋体" w:eastAsia="宋体" w:cs="宋体"/>
          <w:color w:val="auto"/>
          <w:highlight w:val="none"/>
          <w:u w:val="single"/>
        </w:rPr>
      </w:pPr>
      <w:r>
        <w:rPr>
          <w:rFonts w:hint="eastAsia" w:ascii="宋体" w:hAnsi="宋体" w:eastAsia="宋体" w:cs="宋体"/>
          <w:color w:val="auto"/>
          <w:highlight w:val="none"/>
        </w:rPr>
        <w:t>四、分部分项工程和单价措施项目清单与计价表中的综合单价必须与综合单（合）价分析表中的单价对应一致。</w:t>
      </w:r>
      <w:r>
        <w:rPr>
          <w:rFonts w:hint="eastAsia" w:ascii="宋体" w:hAnsi="宋体" w:eastAsia="宋体" w:cs="宋体"/>
          <w:color w:val="auto"/>
          <w:highlight w:val="none"/>
          <w:u w:val="single"/>
        </w:rPr>
        <w:t>相同清单项目</w:t>
      </w:r>
      <w:r>
        <w:rPr>
          <w:rFonts w:hint="eastAsia" w:ascii="宋体" w:hAnsi="宋体" w:eastAsia="宋体" w:cs="宋体"/>
          <w:color w:val="auto"/>
          <w:highlight w:val="none"/>
        </w:rPr>
        <w:t>（指专业类别、清单项目名称、项目特征、工作内容、施工部位（如同为地下工程、地上工程）</w:t>
      </w:r>
      <w:r>
        <w:rPr>
          <w:rFonts w:hint="eastAsia" w:ascii="宋体" w:hAnsi="宋体" w:eastAsia="宋体" w:cs="宋体"/>
          <w:color w:val="auto"/>
          <w:highlight w:val="none"/>
          <w:u w:val="single"/>
        </w:rPr>
        <w:t>只需填报一个综合单价分析表。</w:t>
      </w:r>
    </w:p>
    <w:p>
      <w:pPr>
        <w:pStyle w:val="57"/>
        <w:ind w:firstLine="453" w:firstLineChars="183"/>
        <w:rPr>
          <w:rFonts w:hint="eastAsia" w:ascii="宋体" w:hAnsi="宋体" w:eastAsia="宋体" w:cs="宋体"/>
          <w:color w:val="auto"/>
          <w:highlight w:val="none"/>
          <w:u w:val="single"/>
        </w:rPr>
      </w:pPr>
      <w:r>
        <w:rPr>
          <w:rFonts w:hint="eastAsia" w:ascii="宋体" w:hAnsi="宋体" w:eastAsia="宋体" w:cs="宋体"/>
          <w:color w:val="auto"/>
          <w:highlight w:val="none"/>
        </w:rPr>
        <w:t>五、经济标评审时只对《投标报价汇总表》、《工程费用投标报价表》、《单位工程投标报价汇总表》进行评审；其余表格如有错漏，中标单位在签订合同之前，必须按招标人要求补齐遗漏表格及相关内容或者无条件接受招标人给出的表格及相关内容；如有算术性错误，无条件接受招标文件规定的“保持中标总价不变”原则下的算术性修正规则。</w:t>
      </w:r>
    </w:p>
    <w:p>
      <w:pPr>
        <w:pStyle w:val="56"/>
        <w:spacing w:before="120" w:after="120" w:line="360" w:lineRule="auto"/>
        <w:ind w:firstLine="2021" w:firstLineChars="547"/>
        <w:jc w:val="both"/>
        <w:rPr>
          <w:rFonts w:hint="eastAsia" w:ascii="宋体" w:hAnsi="宋体" w:eastAsia="宋体" w:cs="宋体"/>
          <w:color w:val="auto"/>
          <w:highlight w:val="none"/>
        </w:rPr>
      </w:pPr>
      <w:bookmarkStart w:id="709" w:name="_Toc314044191"/>
      <w:bookmarkStart w:id="710" w:name="_Toc294031078"/>
      <w:bookmarkStart w:id="711" w:name="_Toc316916412"/>
      <w:r>
        <w:rPr>
          <w:rFonts w:hint="eastAsia" w:ascii="宋体" w:hAnsi="宋体" w:eastAsia="宋体" w:cs="宋体"/>
          <w:color w:val="auto"/>
          <w:kern w:val="44"/>
          <w:highlight w:val="none"/>
        </w:rPr>
        <w:t>第三部分   工程量清单</w:t>
      </w:r>
      <w:bookmarkEnd w:id="709"/>
      <w:bookmarkEnd w:id="710"/>
      <w:bookmarkEnd w:id="711"/>
      <w:r>
        <w:rPr>
          <w:rFonts w:hint="eastAsia" w:ascii="宋体" w:hAnsi="宋体" w:eastAsia="宋体" w:cs="宋体"/>
          <w:color w:val="auto"/>
          <w:highlight w:val="none"/>
        </w:rPr>
        <w:t>详见附表</w:t>
      </w:r>
    </w:p>
    <w:sectPr>
      <w:headerReference r:id="rId3" w:type="default"/>
      <w:footerReference r:id="rId4" w:type="default"/>
      <w:pgSz w:w="11907" w:h="16840"/>
      <w:pgMar w:top="1418" w:right="1418" w:bottom="1361" w:left="1418" w:header="851" w:footer="851" w:gutter="0"/>
      <w:pgNumType w:start="1"/>
      <w:cols w:space="708" w:num="1"/>
      <w:docGrid w:linePitch="287" w:charSpace="-38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hint="eastAsia"/>
      </w:rPr>
    </w:pPr>
    <w:r>
      <w:t xml:space="preserve">- </w:t>
    </w:r>
    <w:r>
      <w:fldChar w:fldCharType="begin"/>
    </w:r>
    <w:r>
      <w:instrText xml:space="preserve"> PAGE </w:instrText>
    </w:r>
    <w:r>
      <w:fldChar w:fldCharType="separate"/>
    </w:r>
    <w:r>
      <w:t>39</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C0E9A3"/>
    <w:multiLevelType w:val="singleLevel"/>
    <w:tmpl w:val="9DC0E9A3"/>
    <w:lvl w:ilvl="0" w:tentative="0">
      <w:start w:val="1"/>
      <w:numFmt w:val="decimal"/>
      <w:suff w:val="nothing"/>
      <w:lvlText w:val="%1、"/>
      <w:lvlJc w:val="left"/>
    </w:lvl>
  </w:abstractNum>
  <w:abstractNum w:abstractNumId="1">
    <w:nsid w:val="EF67AB71"/>
    <w:multiLevelType w:val="singleLevel"/>
    <w:tmpl w:val="EF67AB71"/>
    <w:lvl w:ilvl="0" w:tentative="0">
      <w:start w:val="5"/>
      <w:numFmt w:val="decimal"/>
      <w:suff w:val="nothing"/>
      <w:lvlText w:val="%1、"/>
      <w:lvlJc w:val="left"/>
    </w:lvl>
  </w:abstractNum>
  <w:abstractNum w:abstractNumId="2">
    <w:nsid w:val="1DB14185"/>
    <w:multiLevelType w:val="multilevel"/>
    <w:tmpl w:val="1DB14185"/>
    <w:lvl w:ilvl="0" w:tentative="0">
      <w:start w:val="1"/>
      <w:numFmt w:val="decimal"/>
      <w:lvlText w:val="%1、"/>
      <w:lvlJc w:val="left"/>
      <w:pPr>
        <w:tabs>
          <w:tab w:val="left" w:pos="0"/>
        </w:tabs>
        <w:ind w:left="0" w:firstLine="454"/>
      </w:pPr>
      <w:rPr>
        <w:rFonts w:hint="default"/>
      </w:rPr>
    </w:lvl>
    <w:lvl w:ilvl="1" w:tentative="0">
      <w:start w:val="1"/>
      <w:numFmt w:val="lowerLetter"/>
      <w:lvlText w:val="%2)"/>
      <w:lvlJc w:val="left"/>
      <w:pPr>
        <w:tabs>
          <w:tab w:val="left" w:pos="1336"/>
        </w:tabs>
        <w:ind w:left="1336" w:hanging="420"/>
      </w:pPr>
    </w:lvl>
    <w:lvl w:ilvl="2" w:tentative="0">
      <w:start w:val="1"/>
      <w:numFmt w:val="lowerRoman"/>
      <w:lvlText w:val="%3."/>
      <w:lvlJc w:val="right"/>
      <w:pPr>
        <w:tabs>
          <w:tab w:val="left" w:pos="1756"/>
        </w:tabs>
        <w:ind w:left="1756" w:hanging="420"/>
      </w:pPr>
    </w:lvl>
    <w:lvl w:ilvl="3" w:tentative="0">
      <w:start w:val="1"/>
      <w:numFmt w:val="decimal"/>
      <w:lvlText w:val="%4."/>
      <w:lvlJc w:val="left"/>
      <w:pPr>
        <w:tabs>
          <w:tab w:val="left" w:pos="2176"/>
        </w:tabs>
        <w:ind w:left="2176" w:hanging="420"/>
      </w:pPr>
    </w:lvl>
    <w:lvl w:ilvl="4" w:tentative="0">
      <w:start w:val="1"/>
      <w:numFmt w:val="lowerLetter"/>
      <w:lvlText w:val="%5)"/>
      <w:lvlJc w:val="left"/>
      <w:pPr>
        <w:tabs>
          <w:tab w:val="left" w:pos="2596"/>
        </w:tabs>
        <w:ind w:left="2596" w:hanging="420"/>
      </w:pPr>
    </w:lvl>
    <w:lvl w:ilvl="5" w:tentative="0">
      <w:start w:val="1"/>
      <w:numFmt w:val="lowerRoman"/>
      <w:lvlText w:val="%6."/>
      <w:lvlJc w:val="right"/>
      <w:pPr>
        <w:tabs>
          <w:tab w:val="left" w:pos="3016"/>
        </w:tabs>
        <w:ind w:left="3016" w:hanging="420"/>
      </w:pPr>
    </w:lvl>
    <w:lvl w:ilvl="6" w:tentative="0">
      <w:start w:val="1"/>
      <w:numFmt w:val="decimal"/>
      <w:lvlText w:val="%7."/>
      <w:lvlJc w:val="left"/>
      <w:pPr>
        <w:tabs>
          <w:tab w:val="left" w:pos="3436"/>
        </w:tabs>
        <w:ind w:left="3436" w:hanging="420"/>
      </w:pPr>
    </w:lvl>
    <w:lvl w:ilvl="7" w:tentative="0">
      <w:start w:val="1"/>
      <w:numFmt w:val="lowerLetter"/>
      <w:lvlText w:val="%8)"/>
      <w:lvlJc w:val="left"/>
      <w:pPr>
        <w:tabs>
          <w:tab w:val="left" w:pos="3856"/>
        </w:tabs>
        <w:ind w:left="3856" w:hanging="420"/>
      </w:pPr>
    </w:lvl>
    <w:lvl w:ilvl="8" w:tentative="0">
      <w:start w:val="1"/>
      <w:numFmt w:val="lowerRoman"/>
      <w:lvlText w:val="%9."/>
      <w:lvlJc w:val="right"/>
      <w:pPr>
        <w:tabs>
          <w:tab w:val="left" w:pos="4276"/>
        </w:tabs>
        <w:ind w:left="4276" w:hanging="420"/>
      </w:pPr>
    </w:lvl>
  </w:abstractNum>
  <w:abstractNum w:abstractNumId="3">
    <w:nsid w:val="61E796C4"/>
    <w:multiLevelType w:val="multilevel"/>
    <w:tmpl w:val="61E796C4"/>
    <w:lvl w:ilvl="0" w:tentative="0">
      <w:start w:val="1"/>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91"/>
  <w:drawingGridVerticalSpacing w:val="287"/>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zZDQ1ZDc1ZjU2NGZjNDkzYzEyMzhlOWVmODA2ZmYifQ=="/>
  </w:docVars>
  <w:rsids>
    <w:rsidRoot w:val="00A205E3"/>
    <w:rsid w:val="0000061F"/>
    <w:rsid w:val="00000F00"/>
    <w:rsid w:val="000019D5"/>
    <w:rsid w:val="00001A44"/>
    <w:rsid w:val="00001B58"/>
    <w:rsid w:val="000021E3"/>
    <w:rsid w:val="0000299D"/>
    <w:rsid w:val="00002CE8"/>
    <w:rsid w:val="00002D85"/>
    <w:rsid w:val="000031F3"/>
    <w:rsid w:val="00003A9D"/>
    <w:rsid w:val="00003F70"/>
    <w:rsid w:val="0000441B"/>
    <w:rsid w:val="00004A40"/>
    <w:rsid w:val="000054FA"/>
    <w:rsid w:val="00005E36"/>
    <w:rsid w:val="00005F3B"/>
    <w:rsid w:val="00006914"/>
    <w:rsid w:val="0000723D"/>
    <w:rsid w:val="00010042"/>
    <w:rsid w:val="000102E5"/>
    <w:rsid w:val="000103F1"/>
    <w:rsid w:val="00011293"/>
    <w:rsid w:val="00011B92"/>
    <w:rsid w:val="00011E82"/>
    <w:rsid w:val="000120D1"/>
    <w:rsid w:val="00012663"/>
    <w:rsid w:val="000127A6"/>
    <w:rsid w:val="00012F4F"/>
    <w:rsid w:val="00013257"/>
    <w:rsid w:val="00014CEB"/>
    <w:rsid w:val="00015291"/>
    <w:rsid w:val="0001615E"/>
    <w:rsid w:val="00016404"/>
    <w:rsid w:val="00016921"/>
    <w:rsid w:val="00016940"/>
    <w:rsid w:val="00016F9F"/>
    <w:rsid w:val="00017D04"/>
    <w:rsid w:val="00020107"/>
    <w:rsid w:val="0002058E"/>
    <w:rsid w:val="00020F79"/>
    <w:rsid w:val="000212D3"/>
    <w:rsid w:val="00021780"/>
    <w:rsid w:val="00021E51"/>
    <w:rsid w:val="0002257F"/>
    <w:rsid w:val="00023261"/>
    <w:rsid w:val="00023929"/>
    <w:rsid w:val="00023953"/>
    <w:rsid w:val="00023AEE"/>
    <w:rsid w:val="000246DE"/>
    <w:rsid w:val="00025854"/>
    <w:rsid w:val="00025896"/>
    <w:rsid w:val="00025BBA"/>
    <w:rsid w:val="00025CDA"/>
    <w:rsid w:val="00025F53"/>
    <w:rsid w:val="00025F93"/>
    <w:rsid w:val="000265C7"/>
    <w:rsid w:val="00026655"/>
    <w:rsid w:val="00026A0C"/>
    <w:rsid w:val="00026C06"/>
    <w:rsid w:val="000271A3"/>
    <w:rsid w:val="000279B1"/>
    <w:rsid w:val="000302E6"/>
    <w:rsid w:val="000304C4"/>
    <w:rsid w:val="000305E2"/>
    <w:rsid w:val="00030AAC"/>
    <w:rsid w:val="00030CB1"/>
    <w:rsid w:val="00031048"/>
    <w:rsid w:val="000312FB"/>
    <w:rsid w:val="0003165D"/>
    <w:rsid w:val="00032604"/>
    <w:rsid w:val="000329BA"/>
    <w:rsid w:val="00033A92"/>
    <w:rsid w:val="00034DD9"/>
    <w:rsid w:val="00034F3D"/>
    <w:rsid w:val="000354EE"/>
    <w:rsid w:val="0003555C"/>
    <w:rsid w:val="00036460"/>
    <w:rsid w:val="00036C41"/>
    <w:rsid w:val="000372BB"/>
    <w:rsid w:val="00037CEF"/>
    <w:rsid w:val="0004020B"/>
    <w:rsid w:val="00040629"/>
    <w:rsid w:val="00040AE3"/>
    <w:rsid w:val="00041DC6"/>
    <w:rsid w:val="00041E1E"/>
    <w:rsid w:val="00042A10"/>
    <w:rsid w:val="00042D1A"/>
    <w:rsid w:val="000430A4"/>
    <w:rsid w:val="000430D3"/>
    <w:rsid w:val="00043327"/>
    <w:rsid w:val="0004354D"/>
    <w:rsid w:val="00043A8B"/>
    <w:rsid w:val="00043E8D"/>
    <w:rsid w:val="00044419"/>
    <w:rsid w:val="00044743"/>
    <w:rsid w:val="00044BEC"/>
    <w:rsid w:val="00044E7E"/>
    <w:rsid w:val="00044EB6"/>
    <w:rsid w:val="00044FCD"/>
    <w:rsid w:val="000460DD"/>
    <w:rsid w:val="0004706A"/>
    <w:rsid w:val="000472F3"/>
    <w:rsid w:val="000473ED"/>
    <w:rsid w:val="00047BCB"/>
    <w:rsid w:val="00047D91"/>
    <w:rsid w:val="00050A4A"/>
    <w:rsid w:val="00050A62"/>
    <w:rsid w:val="00050EE9"/>
    <w:rsid w:val="000514D1"/>
    <w:rsid w:val="00051DD7"/>
    <w:rsid w:val="0005218C"/>
    <w:rsid w:val="00052A3D"/>
    <w:rsid w:val="00052D18"/>
    <w:rsid w:val="00053316"/>
    <w:rsid w:val="0005440F"/>
    <w:rsid w:val="00054D9B"/>
    <w:rsid w:val="00055017"/>
    <w:rsid w:val="0005533B"/>
    <w:rsid w:val="00055483"/>
    <w:rsid w:val="000563FD"/>
    <w:rsid w:val="000568E4"/>
    <w:rsid w:val="00057297"/>
    <w:rsid w:val="000573FE"/>
    <w:rsid w:val="0005764A"/>
    <w:rsid w:val="00057953"/>
    <w:rsid w:val="00060571"/>
    <w:rsid w:val="000607B2"/>
    <w:rsid w:val="00060C77"/>
    <w:rsid w:val="00060CDF"/>
    <w:rsid w:val="000610B8"/>
    <w:rsid w:val="000613FA"/>
    <w:rsid w:val="000616D9"/>
    <w:rsid w:val="00063139"/>
    <w:rsid w:val="00064238"/>
    <w:rsid w:val="00064345"/>
    <w:rsid w:val="00064785"/>
    <w:rsid w:val="00064F11"/>
    <w:rsid w:val="00065435"/>
    <w:rsid w:val="00065AE5"/>
    <w:rsid w:val="00065D9F"/>
    <w:rsid w:val="00065FF8"/>
    <w:rsid w:val="000660BE"/>
    <w:rsid w:val="0006626B"/>
    <w:rsid w:val="00066827"/>
    <w:rsid w:val="00066ADD"/>
    <w:rsid w:val="000677C5"/>
    <w:rsid w:val="000677D9"/>
    <w:rsid w:val="00067ABA"/>
    <w:rsid w:val="00067D51"/>
    <w:rsid w:val="00067D56"/>
    <w:rsid w:val="00070520"/>
    <w:rsid w:val="00070546"/>
    <w:rsid w:val="000705CA"/>
    <w:rsid w:val="00070D96"/>
    <w:rsid w:val="00071468"/>
    <w:rsid w:val="00071B89"/>
    <w:rsid w:val="00071DE5"/>
    <w:rsid w:val="00071F5D"/>
    <w:rsid w:val="00072A53"/>
    <w:rsid w:val="00072D78"/>
    <w:rsid w:val="0007397E"/>
    <w:rsid w:val="00073B43"/>
    <w:rsid w:val="00073CA8"/>
    <w:rsid w:val="00074479"/>
    <w:rsid w:val="000745E3"/>
    <w:rsid w:val="000746A9"/>
    <w:rsid w:val="00074784"/>
    <w:rsid w:val="0007493B"/>
    <w:rsid w:val="00075316"/>
    <w:rsid w:val="0007547A"/>
    <w:rsid w:val="000754FD"/>
    <w:rsid w:val="00076E7D"/>
    <w:rsid w:val="0008022A"/>
    <w:rsid w:val="000804AF"/>
    <w:rsid w:val="00080548"/>
    <w:rsid w:val="00080C4F"/>
    <w:rsid w:val="000816BC"/>
    <w:rsid w:val="0008181C"/>
    <w:rsid w:val="00081B92"/>
    <w:rsid w:val="00081F65"/>
    <w:rsid w:val="000820E5"/>
    <w:rsid w:val="000822E2"/>
    <w:rsid w:val="000826C4"/>
    <w:rsid w:val="0008320C"/>
    <w:rsid w:val="0008352C"/>
    <w:rsid w:val="000837E2"/>
    <w:rsid w:val="00083EF1"/>
    <w:rsid w:val="00083FC4"/>
    <w:rsid w:val="000841D5"/>
    <w:rsid w:val="000844D4"/>
    <w:rsid w:val="0008549F"/>
    <w:rsid w:val="00085C39"/>
    <w:rsid w:val="00085CE3"/>
    <w:rsid w:val="00085D18"/>
    <w:rsid w:val="00086B63"/>
    <w:rsid w:val="00086E6D"/>
    <w:rsid w:val="00087C73"/>
    <w:rsid w:val="00090962"/>
    <w:rsid w:val="000912DE"/>
    <w:rsid w:val="00091385"/>
    <w:rsid w:val="00091739"/>
    <w:rsid w:val="00091886"/>
    <w:rsid w:val="00091E02"/>
    <w:rsid w:val="000920F0"/>
    <w:rsid w:val="0009273D"/>
    <w:rsid w:val="00092CC6"/>
    <w:rsid w:val="00092E47"/>
    <w:rsid w:val="00093067"/>
    <w:rsid w:val="00093099"/>
    <w:rsid w:val="00093287"/>
    <w:rsid w:val="000940A7"/>
    <w:rsid w:val="000943A3"/>
    <w:rsid w:val="00095A7C"/>
    <w:rsid w:val="000960E1"/>
    <w:rsid w:val="00096493"/>
    <w:rsid w:val="000967ED"/>
    <w:rsid w:val="00096BCB"/>
    <w:rsid w:val="000A02D0"/>
    <w:rsid w:val="000A05A0"/>
    <w:rsid w:val="000A1403"/>
    <w:rsid w:val="000A1C28"/>
    <w:rsid w:val="000A204F"/>
    <w:rsid w:val="000A21C3"/>
    <w:rsid w:val="000A284A"/>
    <w:rsid w:val="000A2A8C"/>
    <w:rsid w:val="000A3142"/>
    <w:rsid w:val="000A32E2"/>
    <w:rsid w:val="000A3315"/>
    <w:rsid w:val="000A400A"/>
    <w:rsid w:val="000A44A0"/>
    <w:rsid w:val="000A44B6"/>
    <w:rsid w:val="000A45F6"/>
    <w:rsid w:val="000A50FE"/>
    <w:rsid w:val="000A5211"/>
    <w:rsid w:val="000A54B9"/>
    <w:rsid w:val="000A5941"/>
    <w:rsid w:val="000A5CD0"/>
    <w:rsid w:val="000A5E1E"/>
    <w:rsid w:val="000A6854"/>
    <w:rsid w:val="000A693B"/>
    <w:rsid w:val="000A6AB2"/>
    <w:rsid w:val="000A6F21"/>
    <w:rsid w:val="000A7750"/>
    <w:rsid w:val="000A7C0B"/>
    <w:rsid w:val="000B0371"/>
    <w:rsid w:val="000B0F0B"/>
    <w:rsid w:val="000B13AF"/>
    <w:rsid w:val="000B1661"/>
    <w:rsid w:val="000B1A8D"/>
    <w:rsid w:val="000B1CA4"/>
    <w:rsid w:val="000B2036"/>
    <w:rsid w:val="000B2385"/>
    <w:rsid w:val="000B23D9"/>
    <w:rsid w:val="000B2418"/>
    <w:rsid w:val="000B27A4"/>
    <w:rsid w:val="000B2932"/>
    <w:rsid w:val="000B3030"/>
    <w:rsid w:val="000B3075"/>
    <w:rsid w:val="000B3FE6"/>
    <w:rsid w:val="000B4210"/>
    <w:rsid w:val="000B4E22"/>
    <w:rsid w:val="000B5230"/>
    <w:rsid w:val="000B52D2"/>
    <w:rsid w:val="000B52F1"/>
    <w:rsid w:val="000B5BA2"/>
    <w:rsid w:val="000B61E0"/>
    <w:rsid w:val="000B654A"/>
    <w:rsid w:val="000B6610"/>
    <w:rsid w:val="000B6D74"/>
    <w:rsid w:val="000B6D93"/>
    <w:rsid w:val="000B726E"/>
    <w:rsid w:val="000B7D2A"/>
    <w:rsid w:val="000C0468"/>
    <w:rsid w:val="000C04B2"/>
    <w:rsid w:val="000C0751"/>
    <w:rsid w:val="000C0947"/>
    <w:rsid w:val="000C108B"/>
    <w:rsid w:val="000C1735"/>
    <w:rsid w:val="000C1A36"/>
    <w:rsid w:val="000C1A4E"/>
    <w:rsid w:val="000C1DD3"/>
    <w:rsid w:val="000C236C"/>
    <w:rsid w:val="000C2677"/>
    <w:rsid w:val="000C2830"/>
    <w:rsid w:val="000C2A16"/>
    <w:rsid w:val="000C2BCB"/>
    <w:rsid w:val="000C303B"/>
    <w:rsid w:val="000C345A"/>
    <w:rsid w:val="000C38C3"/>
    <w:rsid w:val="000C410C"/>
    <w:rsid w:val="000C4152"/>
    <w:rsid w:val="000C4183"/>
    <w:rsid w:val="000C4604"/>
    <w:rsid w:val="000C4744"/>
    <w:rsid w:val="000C4A14"/>
    <w:rsid w:val="000C4BF9"/>
    <w:rsid w:val="000C4CBF"/>
    <w:rsid w:val="000C5175"/>
    <w:rsid w:val="000C57EC"/>
    <w:rsid w:val="000C5DC8"/>
    <w:rsid w:val="000C5DDB"/>
    <w:rsid w:val="000C675B"/>
    <w:rsid w:val="000C6C4F"/>
    <w:rsid w:val="000C6DEA"/>
    <w:rsid w:val="000C710C"/>
    <w:rsid w:val="000C732B"/>
    <w:rsid w:val="000C79FB"/>
    <w:rsid w:val="000C7AB1"/>
    <w:rsid w:val="000C7C45"/>
    <w:rsid w:val="000C7F64"/>
    <w:rsid w:val="000C7FF7"/>
    <w:rsid w:val="000D058F"/>
    <w:rsid w:val="000D0B6B"/>
    <w:rsid w:val="000D1551"/>
    <w:rsid w:val="000D1B68"/>
    <w:rsid w:val="000D1D52"/>
    <w:rsid w:val="000D1E78"/>
    <w:rsid w:val="000D2258"/>
    <w:rsid w:val="000D24F6"/>
    <w:rsid w:val="000D2A8B"/>
    <w:rsid w:val="000D2CCD"/>
    <w:rsid w:val="000D2D03"/>
    <w:rsid w:val="000D3153"/>
    <w:rsid w:val="000D3FD2"/>
    <w:rsid w:val="000D4016"/>
    <w:rsid w:val="000D41F1"/>
    <w:rsid w:val="000D5E05"/>
    <w:rsid w:val="000D5F64"/>
    <w:rsid w:val="000D73F0"/>
    <w:rsid w:val="000D7731"/>
    <w:rsid w:val="000D7806"/>
    <w:rsid w:val="000D7BA8"/>
    <w:rsid w:val="000D7EC7"/>
    <w:rsid w:val="000E0E42"/>
    <w:rsid w:val="000E115D"/>
    <w:rsid w:val="000E178B"/>
    <w:rsid w:val="000E183B"/>
    <w:rsid w:val="000E1CC3"/>
    <w:rsid w:val="000E1F46"/>
    <w:rsid w:val="000E20C6"/>
    <w:rsid w:val="000E2CE9"/>
    <w:rsid w:val="000E2FE8"/>
    <w:rsid w:val="000E32DE"/>
    <w:rsid w:val="000E337E"/>
    <w:rsid w:val="000E3393"/>
    <w:rsid w:val="000E3472"/>
    <w:rsid w:val="000E3619"/>
    <w:rsid w:val="000E3C75"/>
    <w:rsid w:val="000E40A3"/>
    <w:rsid w:val="000E4452"/>
    <w:rsid w:val="000E5C57"/>
    <w:rsid w:val="000E6135"/>
    <w:rsid w:val="000E6138"/>
    <w:rsid w:val="000E63EA"/>
    <w:rsid w:val="000E69D8"/>
    <w:rsid w:val="000E6D84"/>
    <w:rsid w:val="000E6F4D"/>
    <w:rsid w:val="000E7215"/>
    <w:rsid w:val="000E756D"/>
    <w:rsid w:val="000E7E6C"/>
    <w:rsid w:val="000F00AE"/>
    <w:rsid w:val="000F087D"/>
    <w:rsid w:val="000F0BD5"/>
    <w:rsid w:val="000F0D4F"/>
    <w:rsid w:val="000F0FE7"/>
    <w:rsid w:val="000F14FA"/>
    <w:rsid w:val="000F1794"/>
    <w:rsid w:val="000F1B90"/>
    <w:rsid w:val="000F1F42"/>
    <w:rsid w:val="000F21A8"/>
    <w:rsid w:val="000F258E"/>
    <w:rsid w:val="000F2A47"/>
    <w:rsid w:val="000F35E7"/>
    <w:rsid w:val="000F3DCF"/>
    <w:rsid w:val="000F3FEE"/>
    <w:rsid w:val="000F4397"/>
    <w:rsid w:val="000F43FE"/>
    <w:rsid w:val="000F47F1"/>
    <w:rsid w:val="000F4A23"/>
    <w:rsid w:val="000F4EEF"/>
    <w:rsid w:val="000F522D"/>
    <w:rsid w:val="000F5EBD"/>
    <w:rsid w:val="000F6D5E"/>
    <w:rsid w:val="000F6DA2"/>
    <w:rsid w:val="000F6F4E"/>
    <w:rsid w:val="000F72AC"/>
    <w:rsid w:val="000F7463"/>
    <w:rsid w:val="0010056C"/>
    <w:rsid w:val="00100A54"/>
    <w:rsid w:val="00100A81"/>
    <w:rsid w:val="00101146"/>
    <w:rsid w:val="001018C8"/>
    <w:rsid w:val="00101997"/>
    <w:rsid w:val="00101D81"/>
    <w:rsid w:val="00102143"/>
    <w:rsid w:val="00102152"/>
    <w:rsid w:val="00102483"/>
    <w:rsid w:val="001024A8"/>
    <w:rsid w:val="001024C0"/>
    <w:rsid w:val="001028A8"/>
    <w:rsid w:val="00102BBB"/>
    <w:rsid w:val="00103015"/>
    <w:rsid w:val="00103213"/>
    <w:rsid w:val="001034BD"/>
    <w:rsid w:val="00104180"/>
    <w:rsid w:val="00104C98"/>
    <w:rsid w:val="001053E3"/>
    <w:rsid w:val="00105B76"/>
    <w:rsid w:val="00105C76"/>
    <w:rsid w:val="00106B34"/>
    <w:rsid w:val="00106C28"/>
    <w:rsid w:val="00106C4D"/>
    <w:rsid w:val="00106D2C"/>
    <w:rsid w:val="00106F79"/>
    <w:rsid w:val="001071A0"/>
    <w:rsid w:val="001078DB"/>
    <w:rsid w:val="0011051C"/>
    <w:rsid w:val="001120D4"/>
    <w:rsid w:val="001123FD"/>
    <w:rsid w:val="00112FC6"/>
    <w:rsid w:val="0011350A"/>
    <w:rsid w:val="00113CD0"/>
    <w:rsid w:val="0011412D"/>
    <w:rsid w:val="0011423A"/>
    <w:rsid w:val="0011460F"/>
    <w:rsid w:val="0011469D"/>
    <w:rsid w:val="00114CCD"/>
    <w:rsid w:val="00115008"/>
    <w:rsid w:val="0011503C"/>
    <w:rsid w:val="00115281"/>
    <w:rsid w:val="00115CFF"/>
    <w:rsid w:val="001166C2"/>
    <w:rsid w:val="00116AC8"/>
    <w:rsid w:val="00116B6A"/>
    <w:rsid w:val="001170E5"/>
    <w:rsid w:val="00117378"/>
    <w:rsid w:val="00120125"/>
    <w:rsid w:val="0012032D"/>
    <w:rsid w:val="0012059B"/>
    <w:rsid w:val="001206A9"/>
    <w:rsid w:val="001206D3"/>
    <w:rsid w:val="00120D60"/>
    <w:rsid w:val="00120D80"/>
    <w:rsid w:val="00121643"/>
    <w:rsid w:val="00121DCC"/>
    <w:rsid w:val="001223DE"/>
    <w:rsid w:val="00122A1B"/>
    <w:rsid w:val="001232EA"/>
    <w:rsid w:val="001238D1"/>
    <w:rsid w:val="00123A41"/>
    <w:rsid w:val="00124444"/>
    <w:rsid w:val="00124637"/>
    <w:rsid w:val="00124788"/>
    <w:rsid w:val="00124D3F"/>
    <w:rsid w:val="00124EA4"/>
    <w:rsid w:val="00124EE4"/>
    <w:rsid w:val="001251D7"/>
    <w:rsid w:val="001255EA"/>
    <w:rsid w:val="00126136"/>
    <w:rsid w:val="001261DB"/>
    <w:rsid w:val="00126278"/>
    <w:rsid w:val="0012687D"/>
    <w:rsid w:val="0012754A"/>
    <w:rsid w:val="00127648"/>
    <w:rsid w:val="00130065"/>
    <w:rsid w:val="001305ED"/>
    <w:rsid w:val="001308C8"/>
    <w:rsid w:val="00130CBF"/>
    <w:rsid w:val="00130DF1"/>
    <w:rsid w:val="00130FC6"/>
    <w:rsid w:val="0013102E"/>
    <w:rsid w:val="001313E5"/>
    <w:rsid w:val="001316DC"/>
    <w:rsid w:val="00132068"/>
    <w:rsid w:val="001320E3"/>
    <w:rsid w:val="001321C1"/>
    <w:rsid w:val="001322FE"/>
    <w:rsid w:val="00132D12"/>
    <w:rsid w:val="001331B4"/>
    <w:rsid w:val="001333F4"/>
    <w:rsid w:val="00133539"/>
    <w:rsid w:val="00133680"/>
    <w:rsid w:val="001337EB"/>
    <w:rsid w:val="00133E11"/>
    <w:rsid w:val="0013469D"/>
    <w:rsid w:val="001346F6"/>
    <w:rsid w:val="00134898"/>
    <w:rsid w:val="001360FC"/>
    <w:rsid w:val="00137324"/>
    <w:rsid w:val="00137B42"/>
    <w:rsid w:val="0014074B"/>
    <w:rsid w:val="00140E24"/>
    <w:rsid w:val="00141125"/>
    <w:rsid w:val="00141BAA"/>
    <w:rsid w:val="0014252D"/>
    <w:rsid w:val="0014322B"/>
    <w:rsid w:val="0014424C"/>
    <w:rsid w:val="001445DD"/>
    <w:rsid w:val="00144A0B"/>
    <w:rsid w:val="00144B1E"/>
    <w:rsid w:val="00144B7A"/>
    <w:rsid w:val="001455CA"/>
    <w:rsid w:val="00145B5E"/>
    <w:rsid w:val="00145B65"/>
    <w:rsid w:val="0014611A"/>
    <w:rsid w:val="001463C8"/>
    <w:rsid w:val="00146480"/>
    <w:rsid w:val="001465E1"/>
    <w:rsid w:val="00146F94"/>
    <w:rsid w:val="0014705A"/>
    <w:rsid w:val="00147165"/>
    <w:rsid w:val="001479D9"/>
    <w:rsid w:val="00147ADE"/>
    <w:rsid w:val="00147B25"/>
    <w:rsid w:val="00147E13"/>
    <w:rsid w:val="00150B1E"/>
    <w:rsid w:val="00150CD8"/>
    <w:rsid w:val="00150EDB"/>
    <w:rsid w:val="00150EF8"/>
    <w:rsid w:val="00151443"/>
    <w:rsid w:val="00151490"/>
    <w:rsid w:val="00151991"/>
    <w:rsid w:val="00151CD7"/>
    <w:rsid w:val="00151FB8"/>
    <w:rsid w:val="00152AFD"/>
    <w:rsid w:val="00152E29"/>
    <w:rsid w:val="001540A8"/>
    <w:rsid w:val="001548B3"/>
    <w:rsid w:val="001549BB"/>
    <w:rsid w:val="001553A7"/>
    <w:rsid w:val="00155B4B"/>
    <w:rsid w:val="00155B95"/>
    <w:rsid w:val="00155EFB"/>
    <w:rsid w:val="0015641A"/>
    <w:rsid w:val="00156479"/>
    <w:rsid w:val="00156D8B"/>
    <w:rsid w:val="00157AF4"/>
    <w:rsid w:val="00160558"/>
    <w:rsid w:val="001606D7"/>
    <w:rsid w:val="0016077D"/>
    <w:rsid w:val="001607E3"/>
    <w:rsid w:val="00160A1B"/>
    <w:rsid w:val="00160C9B"/>
    <w:rsid w:val="00160E52"/>
    <w:rsid w:val="00161622"/>
    <w:rsid w:val="00161F8E"/>
    <w:rsid w:val="001627DD"/>
    <w:rsid w:val="001629B4"/>
    <w:rsid w:val="00162D60"/>
    <w:rsid w:val="001632F9"/>
    <w:rsid w:val="00163402"/>
    <w:rsid w:val="00163F31"/>
    <w:rsid w:val="001641F5"/>
    <w:rsid w:val="0016486E"/>
    <w:rsid w:val="0016575A"/>
    <w:rsid w:val="00165963"/>
    <w:rsid w:val="00165AA2"/>
    <w:rsid w:val="00165B55"/>
    <w:rsid w:val="0016720B"/>
    <w:rsid w:val="001674A5"/>
    <w:rsid w:val="00167773"/>
    <w:rsid w:val="00167848"/>
    <w:rsid w:val="00167F4B"/>
    <w:rsid w:val="0017001F"/>
    <w:rsid w:val="0017002A"/>
    <w:rsid w:val="001708AE"/>
    <w:rsid w:val="00170D1B"/>
    <w:rsid w:val="00171758"/>
    <w:rsid w:val="0017259E"/>
    <w:rsid w:val="00172A58"/>
    <w:rsid w:val="00172ED0"/>
    <w:rsid w:val="00172FF7"/>
    <w:rsid w:val="0017333D"/>
    <w:rsid w:val="001733B4"/>
    <w:rsid w:val="00173A29"/>
    <w:rsid w:val="00173BFE"/>
    <w:rsid w:val="00173F56"/>
    <w:rsid w:val="00174EEA"/>
    <w:rsid w:val="001752FF"/>
    <w:rsid w:val="00175E06"/>
    <w:rsid w:val="00175EEB"/>
    <w:rsid w:val="00176598"/>
    <w:rsid w:val="00176652"/>
    <w:rsid w:val="0017689A"/>
    <w:rsid w:val="00176B86"/>
    <w:rsid w:val="00176DF6"/>
    <w:rsid w:val="0017705A"/>
    <w:rsid w:val="001772FC"/>
    <w:rsid w:val="00177598"/>
    <w:rsid w:val="00177816"/>
    <w:rsid w:val="00177A7D"/>
    <w:rsid w:val="00177F22"/>
    <w:rsid w:val="00180A45"/>
    <w:rsid w:val="00180CDF"/>
    <w:rsid w:val="00180E8A"/>
    <w:rsid w:val="00181335"/>
    <w:rsid w:val="00181C6A"/>
    <w:rsid w:val="00181FBB"/>
    <w:rsid w:val="001825EA"/>
    <w:rsid w:val="00182ACD"/>
    <w:rsid w:val="00182B7D"/>
    <w:rsid w:val="00182C24"/>
    <w:rsid w:val="00182F87"/>
    <w:rsid w:val="0018312F"/>
    <w:rsid w:val="001847A9"/>
    <w:rsid w:val="00184D83"/>
    <w:rsid w:val="001858BF"/>
    <w:rsid w:val="00185F62"/>
    <w:rsid w:val="00186036"/>
    <w:rsid w:val="001873D7"/>
    <w:rsid w:val="001875EC"/>
    <w:rsid w:val="00190437"/>
    <w:rsid w:val="00190C3B"/>
    <w:rsid w:val="00190F32"/>
    <w:rsid w:val="0019105A"/>
    <w:rsid w:val="00191801"/>
    <w:rsid w:val="001924B0"/>
    <w:rsid w:val="0019293A"/>
    <w:rsid w:val="00192A2C"/>
    <w:rsid w:val="00192F31"/>
    <w:rsid w:val="0019361E"/>
    <w:rsid w:val="00194002"/>
    <w:rsid w:val="00194595"/>
    <w:rsid w:val="001957CC"/>
    <w:rsid w:val="00195BCA"/>
    <w:rsid w:val="001970FC"/>
    <w:rsid w:val="001A0017"/>
    <w:rsid w:val="001A034F"/>
    <w:rsid w:val="001A04EF"/>
    <w:rsid w:val="001A0738"/>
    <w:rsid w:val="001A0771"/>
    <w:rsid w:val="001A0AAF"/>
    <w:rsid w:val="001A0C36"/>
    <w:rsid w:val="001A13D4"/>
    <w:rsid w:val="001A230A"/>
    <w:rsid w:val="001A235D"/>
    <w:rsid w:val="001A2845"/>
    <w:rsid w:val="001A3B9A"/>
    <w:rsid w:val="001A3E49"/>
    <w:rsid w:val="001A47D4"/>
    <w:rsid w:val="001A55A4"/>
    <w:rsid w:val="001A56DD"/>
    <w:rsid w:val="001A61D0"/>
    <w:rsid w:val="001A64BB"/>
    <w:rsid w:val="001A671A"/>
    <w:rsid w:val="001A6A3A"/>
    <w:rsid w:val="001A6DFC"/>
    <w:rsid w:val="001A6E23"/>
    <w:rsid w:val="001A7409"/>
    <w:rsid w:val="001A760E"/>
    <w:rsid w:val="001A7777"/>
    <w:rsid w:val="001A7CB5"/>
    <w:rsid w:val="001B09D2"/>
    <w:rsid w:val="001B0CDF"/>
    <w:rsid w:val="001B19AB"/>
    <w:rsid w:val="001B1CC8"/>
    <w:rsid w:val="001B33C9"/>
    <w:rsid w:val="001B3C31"/>
    <w:rsid w:val="001B3DF2"/>
    <w:rsid w:val="001B3E43"/>
    <w:rsid w:val="001B44E5"/>
    <w:rsid w:val="001B480B"/>
    <w:rsid w:val="001B4B0E"/>
    <w:rsid w:val="001B4DEE"/>
    <w:rsid w:val="001B5054"/>
    <w:rsid w:val="001B541E"/>
    <w:rsid w:val="001B614B"/>
    <w:rsid w:val="001B6C1B"/>
    <w:rsid w:val="001B6FCE"/>
    <w:rsid w:val="001B76BF"/>
    <w:rsid w:val="001B79D7"/>
    <w:rsid w:val="001B7B67"/>
    <w:rsid w:val="001B7DF3"/>
    <w:rsid w:val="001C0611"/>
    <w:rsid w:val="001C09B4"/>
    <w:rsid w:val="001C25A1"/>
    <w:rsid w:val="001C2E2D"/>
    <w:rsid w:val="001C34D6"/>
    <w:rsid w:val="001C4AF6"/>
    <w:rsid w:val="001C4B84"/>
    <w:rsid w:val="001C5C8F"/>
    <w:rsid w:val="001C5E1B"/>
    <w:rsid w:val="001C603F"/>
    <w:rsid w:val="001C626F"/>
    <w:rsid w:val="001C716D"/>
    <w:rsid w:val="001C78EC"/>
    <w:rsid w:val="001C7FBD"/>
    <w:rsid w:val="001D08F5"/>
    <w:rsid w:val="001D0A85"/>
    <w:rsid w:val="001D161B"/>
    <w:rsid w:val="001D1747"/>
    <w:rsid w:val="001D177C"/>
    <w:rsid w:val="001D19DB"/>
    <w:rsid w:val="001D1BAB"/>
    <w:rsid w:val="001D1CD5"/>
    <w:rsid w:val="001D1F10"/>
    <w:rsid w:val="001D2AB4"/>
    <w:rsid w:val="001D2ECD"/>
    <w:rsid w:val="001D2EFC"/>
    <w:rsid w:val="001D2FC9"/>
    <w:rsid w:val="001D3A03"/>
    <w:rsid w:val="001D42F3"/>
    <w:rsid w:val="001D46B9"/>
    <w:rsid w:val="001D5189"/>
    <w:rsid w:val="001D54D9"/>
    <w:rsid w:val="001D5A15"/>
    <w:rsid w:val="001D64D0"/>
    <w:rsid w:val="001D6549"/>
    <w:rsid w:val="001D6643"/>
    <w:rsid w:val="001D6970"/>
    <w:rsid w:val="001E00B3"/>
    <w:rsid w:val="001E07FC"/>
    <w:rsid w:val="001E0ABE"/>
    <w:rsid w:val="001E0D9C"/>
    <w:rsid w:val="001E0E92"/>
    <w:rsid w:val="001E146C"/>
    <w:rsid w:val="001E1B8D"/>
    <w:rsid w:val="001E1E7B"/>
    <w:rsid w:val="001E25F2"/>
    <w:rsid w:val="001E298C"/>
    <w:rsid w:val="001E2BB0"/>
    <w:rsid w:val="001E2BBE"/>
    <w:rsid w:val="001E3635"/>
    <w:rsid w:val="001E3BF8"/>
    <w:rsid w:val="001E4147"/>
    <w:rsid w:val="001E483B"/>
    <w:rsid w:val="001E5544"/>
    <w:rsid w:val="001E5F3E"/>
    <w:rsid w:val="001E6603"/>
    <w:rsid w:val="001E6804"/>
    <w:rsid w:val="001E69E4"/>
    <w:rsid w:val="001F0476"/>
    <w:rsid w:val="001F087F"/>
    <w:rsid w:val="001F0B2B"/>
    <w:rsid w:val="001F0D38"/>
    <w:rsid w:val="001F0EAD"/>
    <w:rsid w:val="001F15FA"/>
    <w:rsid w:val="001F18F2"/>
    <w:rsid w:val="001F2345"/>
    <w:rsid w:val="001F2713"/>
    <w:rsid w:val="001F28FC"/>
    <w:rsid w:val="001F2B50"/>
    <w:rsid w:val="001F3467"/>
    <w:rsid w:val="001F347C"/>
    <w:rsid w:val="001F3E62"/>
    <w:rsid w:val="001F4372"/>
    <w:rsid w:val="001F4B28"/>
    <w:rsid w:val="001F4B4A"/>
    <w:rsid w:val="001F4C40"/>
    <w:rsid w:val="001F5E3B"/>
    <w:rsid w:val="001F602A"/>
    <w:rsid w:val="001F6041"/>
    <w:rsid w:val="001F621A"/>
    <w:rsid w:val="001F69BE"/>
    <w:rsid w:val="001F6D63"/>
    <w:rsid w:val="001F7027"/>
    <w:rsid w:val="001F763B"/>
    <w:rsid w:val="001F7D46"/>
    <w:rsid w:val="0020012A"/>
    <w:rsid w:val="002001FD"/>
    <w:rsid w:val="0020089D"/>
    <w:rsid w:val="00200A4A"/>
    <w:rsid w:val="00200D26"/>
    <w:rsid w:val="00200D9B"/>
    <w:rsid w:val="002011ED"/>
    <w:rsid w:val="00201589"/>
    <w:rsid w:val="0020167D"/>
    <w:rsid w:val="00201ABA"/>
    <w:rsid w:val="0020201E"/>
    <w:rsid w:val="002025B2"/>
    <w:rsid w:val="002028BA"/>
    <w:rsid w:val="00202EE3"/>
    <w:rsid w:val="00202F11"/>
    <w:rsid w:val="0020301A"/>
    <w:rsid w:val="002032B5"/>
    <w:rsid w:val="00203BE7"/>
    <w:rsid w:val="00203E69"/>
    <w:rsid w:val="00204B92"/>
    <w:rsid w:val="00205018"/>
    <w:rsid w:val="002055CB"/>
    <w:rsid w:val="0020561F"/>
    <w:rsid w:val="0020595E"/>
    <w:rsid w:val="00205B76"/>
    <w:rsid w:val="002063C4"/>
    <w:rsid w:val="00206507"/>
    <w:rsid w:val="002068D1"/>
    <w:rsid w:val="002068E3"/>
    <w:rsid w:val="00206955"/>
    <w:rsid w:val="00206B47"/>
    <w:rsid w:val="00206EA5"/>
    <w:rsid w:val="00206F01"/>
    <w:rsid w:val="0020740F"/>
    <w:rsid w:val="0020748A"/>
    <w:rsid w:val="002074BC"/>
    <w:rsid w:val="00207638"/>
    <w:rsid w:val="00207E02"/>
    <w:rsid w:val="002108A0"/>
    <w:rsid w:val="00210F84"/>
    <w:rsid w:val="0021123B"/>
    <w:rsid w:val="0021167F"/>
    <w:rsid w:val="00211E17"/>
    <w:rsid w:val="002121F8"/>
    <w:rsid w:val="00212605"/>
    <w:rsid w:val="002129E0"/>
    <w:rsid w:val="00212A01"/>
    <w:rsid w:val="00212A45"/>
    <w:rsid w:val="00213634"/>
    <w:rsid w:val="00213999"/>
    <w:rsid w:val="00213EF4"/>
    <w:rsid w:val="00214190"/>
    <w:rsid w:val="0021512F"/>
    <w:rsid w:val="00215AD6"/>
    <w:rsid w:val="00215B94"/>
    <w:rsid w:val="00216A11"/>
    <w:rsid w:val="00216B92"/>
    <w:rsid w:val="00216F10"/>
    <w:rsid w:val="0021724F"/>
    <w:rsid w:val="002173AF"/>
    <w:rsid w:val="00217A5D"/>
    <w:rsid w:val="00217EB3"/>
    <w:rsid w:val="00220203"/>
    <w:rsid w:val="00220648"/>
    <w:rsid w:val="00220742"/>
    <w:rsid w:val="002208C9"/>
    <w:rsid w:val="00220A15"/>
    <w:rsid w:val="00221067"/>
    <w:rsid w:val="002211BE"/>
    <w:rsid w:val="002212B7"/>
    <w:rsid w:val="002214C3"/>
    <w:rsid w:val="0022199A"/>
    <w:rsid w:val="00221B0C"/>
    <w:rsid w:val="00222806"/>
    <w:rsid w:val="002228BF"/>
    <w:rsid w:val="00222AA9"/>
    <w:rsid w:val="00222D8B"/>
    <w:rsid w:val="002234BF"/>
    <w:rsid w:val="00223529"/>
    <w:rsid w:val="002235D9"/>
    <w:rsid w:val="00223947"/>
    <w:rsid w:val="00223BF0"/>
    <w:rsid w:val="00224391"/>
    <w:rsid w:val="002244C7"/>
    <w:rsid w:val="00224A70"/>
    <w:rsid w:val="00225424"/>
    <w:rsid w:val="00225C30"/>
    <w:rsid w:val="0022605F"/>
    <w:rsid w:val="0022625A"/>
    <w:rsid w:val="00226A9E"/>
    <w:rsid w:val="00226D6C"/>
    <w:rsid w:val="00227CF4"/>
    <w:rsid w:val="00227F58"/>
    <w:rsid w:val="00231276"/>
    <w:rsid w:val="0023142B"/>
    <w:rsid w:val="00231999"/>
    <w:rsid w:val="00231A41"/>
    <w:rsid w:val="00231AD8"/>
    <w:rsid w:val="00232008"/>
    <w:rsid w:val="0023275B"/>
    <w:rsid w:val="00232765"/>
    <w:rsid w:val="0023314D"/>
    <w:rsid w:val="00233A9D"/>
    <w:rsid w:val="00233CEC"/>
    <w:rsid w:val="00234617"/>
    <w:rsid w:val="0023462D"/>
    <w:rsid w:val="00234B53"/>
    <w:rsid w:val="00235671"/>
    <w:rsid w:val="00235C8C"/>
    <w:rsid w:val="00236391"/>
    <w:rsid w:val="002363A3"/>
    <w:rsid w:val="002366C2"/>
    <w:rsid w:val="00236898"/>
    <w:rsid w:val="00237219"/>
    <w:rsid w:val="00237819"/>
    <w:rsid w:val="00237E79"/>
    <w:rsid w:val="00240854"/>
    <w:rsid w:val="00240E7C"/>
    <w:rsid w:val="00241411"/>
    <w:rsid w:val="002414EB"/>
    <w:rsid w:val="002417E9"/>
    <w:rsid w:val="00241C2C"/>
    <w:rsid w:val="00241ECC"/>
    <w:rsid w:val="0024230E"/>
    <w:rsid w:val="00242390"/>
    <w:rsid w:val="0024269F"/>
    <w:rsid w:val="0024312C"/>
    <w:rsid w:val="002435BA"/>
    <w:rsid w:val="00243B49"/>
    <w:rsid w:val="00243BBB"/>
    <w:rsid w:val="00243C49"/>
    <w:rsid w:val="00243DB1"/>
    <w:rsid w:val="00243E0F"/>
    <w:rsid w:val="00243FD3"/>
    <w:rsid w:val="00244248"/>
    <w:rsid w:val="0024454C"/>
    <w:rsid w:val="002447D9"/>
    <w:rsid w:val="00244A33"/>
    <w:rsid w:val="00245421"/>
    <w:rsid w:val="0024595C"/>
    <w:rsid w:val="00245BBA"/>
    <w:rsid w:val="00245D09"/>
    <w:rsid w:val="00245EB0"/>
    <w:rsid w:val="00246579"/>
    <w:rsid w:val="00246617"/>
    <w:rsid w:val="00246C4B"/>
    <w:rsid w:val="00246CCE"/>
    <w:rsid w:val="00246FB2"/>
    <w:rsid w:val="00247229"/>
    <w:rsid w:val="0024732B"/>
    <w:rsid w:val="002474ED"/>
    <w:rsid w:val="00247577"/>
    <w:rsid w:val="00247AB8"/>
    <w:rsid w:val="0025044A"/>
    <w:rsid w:val="002505FE"/>
    <w:rsid w:val="00250ABF"/>
    <w:rsid w:val="00250EA0"/>
    <w:rsid w:val="00251034"/>
    <w:rsid w:val="002518A0"/>
    <w:rsid w:val="00253222"/>
    <w:rsid w:val="00253601"/>
    <w:rsid w:val="0025417A"/>
    <w:rsid w:val="00254A2C"/>
    <w:rsid w:val="00254B98"/>
    <w:rsid w:val="00254CDE"/>
    <w:rsid w:val="00254EE8"/>
    <w:rsid w:val="00255655"/>
    <w:rsid w:val="00255C1D"/>
    <w:rsid w:val="002561ED"/>
    <w:rsid w:val="00256389"/>
    <w:rsid w:val="00256C3A"/>
    <w:rsid w:val="00257578"/>
    <w:rsid w:val="00257774"/>
    <w:rsid w:val="00257F5E"/>
    <w:rsid w:val="00260226"/>
    <w:rsid w:val="0026081D"/>
    <w:rsid w:val="00260BB7"/>
    <w:rsid w:val="00260F2F"/>
    <w:rsid w:val="00261049"/>
    <w:rsid w:val="002610B8"/>
    <w:rsid w:val="002618B9"/>
    <w:rsid w:val="00261D90"/>
    <w:rsid w:val="002628DA"/>
    <w:rsid w:val="00262B1D"/>
    <w:rsid w:val="00262BE5"/>
    <w:rsid w:val="00262BF9"/>
    <w:rsid w:val="00262D3A"/>
    <w:rsid w:val="00263024"/>
    <w:rsid w:val="00263CB1"/>
    <w:rsid w:val="00263DD6"/>
    <w:rsid w:val="00263E5A"/>
    <w:rsid w:val="002643CD"/>
    <w:rsid w:val="00264573"/>
    <w:rsid w:val="00264D02"/>
    <w:rsid w:val="00265603"/>
    <w:rsid w:val="00265BD4"/>
    <w:rsid w:val="0026627B"/>
    <w:rsid w:val="00266843"/>
    <w:rsid w:val="00266F73"/>
    <w:rsid w:val="00266FB8"/>
    <w:rsid w:val="002674DC"/>
    <w:rsid w:val="0026785D"/>
    <w:rsid w:val="00270124"/>
    <w:rsid w:val="0027025F"/>
    <w:rsid w:val="0027041B"/>
    <w:rsid w:val="00271113"/>
    <w:rsid w:val="0027248B"/>
    <w:rsid w:val="00272583"/>
    <w:rsid w:val="002731D0"/>
    <w:rsid w:val="002738A1"/>
    <w:rsid w:val="00273B11"/>
    <w:rsid w:val="002744C5"/>
    <w:rsid w:val="0027457D"/>
    <w:rsid w:val="002745BA"/>
    <w:rsid w:val="002749ED"/>
    <w:rsid w:val="002752E8"/>
    <w:rsid w:val="00275538"/>
    <w:rsid w:val="0027571B"/>
    <w:rsid w:val="002758E5"/>
    <w:rsid w:val="00275B98"/>
    <w:rsid w:val="00276450"/>
    <w:rsid w:val="002769B4"/>
    <w:rsid w:val="00276A3D"/>
    <w:rsid w:val="00276D12"/>
    <w:rsid w:val="0027798C"/>
    <w:rsid w:val="00277D3B"/>
    <w:rsid w:val="00277F2C"/>
    <w:rsid w:val="002802FE"/>
    <w:rsid w:val="00280F1A"/>
    <w:rsid w:val="002812EA"/>
    <w:rsid w:val="00281325"/>
    <w:rsid w:val="00281574"/>
    <w:rsid w:val="00281866"/>
    <w:rsid w:val="00281D59"/>
    <w:rsid w:val="00281FFD"/>
    <w:rsid w:val="00282644"/>
    <w:rsid w:val="00282714"/>
    <w:rsid w:val="0028381B"/>
    <w:rsid w:val="00283D8E"/>
    <w:rsid w:val="0028431B"/>
    <w:rsid w:val="002851E7"/>
    <w:rsid w:val="002852AD"/>
    <w:rsid w:val="00285671"/>
    <w:rsid w:val="00286F3B"/>
    <w:rsid w:val="002874E6"/>
    <w:rsid w:val="0028786A"/>
    <w:rsid w:val="002903E5"/>
    <w:rsid w:val="0029087B"/>
    <w:rsid w:val="002919C4"/>
    <w:rsid w:val="00291E28"/>
    <w:rsid w:val="002920D3"/>
    <w:rsid w:val="0029286A"/>
    <w:rsid w:val="00292B1E"/>
    <w:rsid w:val="00293450"/>
    <w:rsid w:val="0029366F"/>
    <w:rsid w:val="00293E00"/>
    <w:rsid w:val="00295252"/>
    <w:rsid w:val="00295B0E"/>
    <w:rsid w:val="00295EBA"/>
    <w:rsid w:val="00295FC8"/>
    <w:rsid w:val="00297562"/>
    <w:rsid w:val="00297670"/>
    <w:rsid w:val="0029773F"/>
    <w:rsid w:val="002978B2"/>
    <w:rsid w:val="002A060C"/>
    <w:rsid w:val="002A141D"/>
    <w:rsid w:val="002A1B18"/>
    <w:rsid w:val="002A1D07"/>
    <w:rsid w:val="002A1EB4"/>
    <w:rsid w:val="002A20D7"/>
    <w:rsid w:val="002A2298"/>
    <w:rsid w:val="002A23A9"/>
    <w:rsid w:val="002A2CBB"/>
    <w:rsid w:val="002A32FD"/>
    <w:rsid w:val="002A36E9"/>
    <w:rsid w:val="002A3AAA"/>
    <w:rsid w:val="002A3F3C"/>
    <w:rsid w:val="002A42DC"/>
    <w:rsid w:val="002A47D2"/>
    <w:rsid w:val="002A4929"/>
    <w:rsid w:val="002A49FF"/>
    <w:rsid w:val="002A4E09"/>
    <w:rsid w:val="002A4EC3"/>
    <w:rsid w:val="002A51D0"/>
    <w:rsid w:val="002A5D65"/>
    <w:rsid w:val="002A6817"/>
    <w:rsid w:val="002A6A52"/>
    <w:rsid w:val="002A6AAE"/>
    <w:rsid w:val="002A6D97"/>
    <w:rsid w:val="002A6DED"/>
    <w:rsid w:val="002A6EB0"/>
    <w:rsid w:val="002A76B3"/>
    <w:rsid w:val="002A7950"/>
    <w:rsid w:val="002A7AE8"/>
    <w:rsid w:val="002A7D40"/>
    <w:rsid w:val="002B0536"/>
    <w:rsid w:val="002B0938"/>
    <w:rsid w:val="002B11C6"/>
    <w:rsid w:val="002B14A3"/>
    <w:rsid w:val="002B1948"/>
    <w:rsid w:val="002B254E"/>
    <w:rsid w:val="002B32FC"/>
    <w:rsid w:val="002B380A"/>
    <w:rsid w:val="002B3FEF"/>
    <w:rsid w:val="002B40DC"/>
    <w:rsid w:val="002B446A"/>
    <w:rsid w:val="002B4806"/>
    <w:rsid w:val="002B4DBB"/>
    <w:rsid w:val="002B4E65"/>
    <w:rsid w:val="002B50BE"/>
    <w:rsid w:val="002B51E6"/>
    <w:rsid w:val="002B5464"/>
    <w:rsid w:val="002B5CE6"/>
    <w:rsid w:val="002B6184"/>
    <w:rsid w:val="002B64DD"/>
    <w:rsid w:val="002B6B55"/>
    <w:rsid w:val="002B6C6C"/>
    <w:rsid w:val="002B6D20"/>
    <w:rsid w:val="002C004F"/>
    <w:rsid w:val="002C033C"/>
    <w:rsid w:val="002C0B1F"/>
    <w:rsid w:val="002C11FD"/>
    <w:rsid w:val="002C1B5D"/>
    <w:rsid w:val="002C1DCA"/>
    <w:rsid w:val="002C1F54"/>
    <w:rsid w:val="002C2708"/>
    <w:rsid w:val="002C2AAF"/>
    <w:rsid w:val="002C2D10"/>
    <w:rsid w:val="002C2D19"/>
    <w:rsid w:val="002C2EAD"/>
    <w:rsid w:val="002C40B1"/>
    <w:rsid w:val="002C4949"/>
    <w:rsid w:val="002C4BD8"/>
    <w:rsid w:val="002C4E95"/>
    <w:rsid w:val="002C68D8"/>
    <w:rsid w:val="002C7278"/>
    <w:rsid w:val="002C7850"/>
    <w:rsid w:val="002D0045"/>
    <w:rsid w:val="002D01AA"/>
    <w:rsid w:val="002D01BE"/>
    <w:rsid w:val="002D081A"/>
    <w:rsid w:val="002D08FF"/>
    <w:rsid w:val="002D0913"/>
    <w:rsid w:val="002D12D1"/>
    <w:rsid w:val="002D15EF"/>
    <w:rsid w:val="002D168F"/>
    <w:rsid w:val="002D182B"/>
    <w:rsid w:val="002D1FB9"/>
    <w:rsid w:val="002D246D"/>
    <w:rsid w:val="002D2BB5"/>
    <w:rsid w:val="002D356F"/>
    <w:rsid w:val="002D395D"/>
    <w:rsid w:val="002D39E1"/>
    <w:rsid w:val="002D4243"/>
    <w:rsid w:val="002D52E4"/>
    <w:rsid w:val="002D53D2"/>
    <w:rsid w:val="002D53DD"/>
    <w:rsid w:val="002D5D8C"/>
    <w:rsid w:val="002D6176"/>
    <w:rsid w:val="002D6195"/>
    <w:rsid w:val="002D66A1"/>
    <w:rsid w:val="002D66E4"/>
    <w:rsid w:val="002D67B5"/>
    <w:rsid w:val="002D6E49"/>
    <w:rsid w:val="002D70F3"/>
    <w:rsid w:val="002D72AA"/>
    <w:rsid w:val="002E0045"/>
    <w:rsid w:val="002E0289"/>
    <w:rsid w:val="002E097F"/>
    <w:rsid w:val="002E1172"/>
    <w:rsid w:val="002E1545"/>
    <w:rsid w:val="002E22B1"/>
    <w:rsid w:val="002E2EA5"/>
    <w:rsid w:val="002E31D1"/>
    <w:rsid w:val="002E3B87"/>
    <w:rsid w:val="002E3CD6"/>
    <w:rsid w:val="002E4ED1"/>
    <w:rsid w:val="002E52F3"/>
    <w:rsid w:val="002E53D1"/>
    <w:rsid w:val="002E5B0C"/>
    <w:rsid w:val="002E64E1"/>
    <w:rsid w:val="002E6DDF"/>
    <w:rsid w:val="002E6EFF"/>
    <w:rsid w:val="002E707D"/>
    <w:rsid w:val="002E769E"/>
    <w:rsid w:val="002E7A1D"/>
    <w:rsid w:val="002E7BA6"/>
    <w:rsid w:val="002E7E49"/>
    <w:rsid w:val="002F04FF"/>
    <w:rsid w:val="002F0A7F"/>
    <w:rsid w:val="002F0CA2"/>
    <w:rsid w:val="002F1278"/>
    <w:rsid w:val="002F1343"/>
    <w:rsid w:val="002F17F8"/>
    <w:rsid w:val="002F1E03"/>
    <w:rsid w:val="002F2132"/>
    <w:rsid w:val="002F220A"/>
    <w:rsid w:val="002F2546"/>
    <w:rsid w:val="002F25A9"/>
    <w:rsid w:val="002F283E"/>
    <w:rsid w:val="002F2B34"/>
    <w:rsid w:val="002F3547"/>
    <w:rsid w:val="002F3620"/>
    <w:rsid w:val="002F3EBC"/>
    <w:rsid w:val="002F4029"/>
    <w:rsid w:val="002F43D7"/>
    <w:rsid w:val="002F4A13"/>
    <w:rsid w:val="002F4C9A"/>
    <w:rsid w:val="002F4C9D"/>
    <w:rsid w:val="002F6084"/>
    <w:rsid w:val="002F609E"/>
    <w:rsid w:val="002F613F"/>
    <w:rsid w:val="002F6604"/>
    <w:rsid w:val="002F6698"/>
    <w:rsid w:val="002F6A3B"/>
    <w:rsid w:val="002F6E12"/>
    <w:rsid w:val="002F708B"/>
    <w:rsid w:val="00300387"/>
    <w:rsid w:val="00300A99"/>
    <w:rsid w:val="00300D55"/>
    <w:rsid w:val="003011B6"/>
    <w:rsid w:val="00301218"/>
    <w:rsid w:val="00301EA6"/>
    <w:rsid w:val="003029BA"/>
    <w:rsid w:val="00302AD0"/>
    <w:rsid w:val="00302E3B"/>
    <w:rsid w:val="00303351"/>
    <w:rsid w:val="003038A8"/>
    <w:rsid w:val="003042DC"/>
    <w:rsid w:val="00304503"/>
    <w:rsid w:val="0030454C"/>
    <w:rsid w:val="003047C9"/>
    <w:rsid w:val="003047D9"/>
    <w:rsid w:val="00304EF8"/>
    <w:rsid w:val="0030517A"/>
    <w:rsid w:val="003066FB"/>
    <w:rsid w:val="003069D6"/>
    <w:rsid w:val="00306B1D"/>
    <w:rsid w:val="0030701F"/>
    <w:rsid w:val="003072C5"/>
    <w:rsid w:val="003074D9"/>
    <w:rsid w:val="003077F7"/>
    <w:rsid w:val="00307E07"/>
    <w:rsid w:val="003106FF"/>
    <w:rsid w:val="003107C4"/>
    <w:rsid w:val="00310F56"/>
    <w:rsid w:val="00311076"/>
    <w:rsid w:val="00311217"/>
    <w:rsid w:val="003118D9"/>
    <w:rsid w:val="0031193F"/>
    <w:rsid w:val="00311FCD"/>
    <w:rsid w:val="00312005"/>
    <w:rsid w:val="00312287"/>
    <w:rsid w:val="00312365"/>
    <w:rsid w:val="003124ED"/>
    <w:rsid w:val="0031251C"/>
    <w:rsid w:val="0031282E"/>
    <w:rsid w:val="00312839"/>
    <w:rsid w:val="00312C6B"/>
    <w:rsid w:val="00312D30"/>
    <w:rsid w:val="00313074"/>
    <w:rsid w:val="0031319D"/>
    <w:rsid w:val="003131CE"/>
    <w:rsid w:val="00313A45"/>
    <w:rsid w:val="003142E1"/>
    <w:rsid w:val="00314320"/>
    <w:rsid w:val="003145D3"/>
    <w:rsid w:val="00314D0C"/>
    <w:rsid w:val="003159CE"/>
    <w:rsid w:val="00316047"/>
    <w:rsid w:val="00316791"/>
    <w:rsid w:val="00316B7C"/>
    <w:rsid w:val="00317634"/>
    <w:rsid w:val="003178DD"/>
    <w:rsid w:val="00317924"/>
    <w:rsid w:val="00320416"/>
    <w:rsid w:val="0032102C"/>
    <w:rsid w:val="00321440"/>
    <w:rsid w:val="003219B0"/>
    <w:rsid w:val="00322511"/>
    <w:rsid w:val="003229FD"/>
    <w:rsid w:val="00322B78"/>
    <w:rsid w:val="003236F0"/>
    <w:rsid w:val="00323E06"/>
    <w:rsid w:val="00323EBE"/>
    <w:rsid w:val="00323F07"/>
    <w:rsid w:val="00323FF4"/>
    <w:rsid w:val="00324006"/>
    <w:rsid w:val="00324445"/>
    <w:rsid w:val="00324996"/>
    <w:rsid w:val="003251FE"/>
    <w:rsid w:val="0032596B"/>
    <w:rsid w:val="00326459"/>
    <w:rsid w:val="00326F44"/>
    <w:rsid w:val="00327078"/>
    <w:rsid w:val="003271D7"/>
    <w:rsid w:val="00327242"/>
    <w:rsid w:val="00327570"/>
    <w:rsid w:val="0032764E"/>
    <w:rsid w:val="00327AB0"/>
    <w:rsid w:val="00327D8B"/>
    <w:rsid w:val="0033039F"/>
    <w:rsid w:val="00330D35"/>
    <w:rsid w:val="00331257"/>
    <w:rsid w:val="003312C2"/>
    <w:rsid w:val="003317BA"/>
    <w:rsid w:val="003317BB"/>
    <w:rsid w:val="00331C73"/>
    <w:rsid w:val="00331EC8"/>
    <w:rsid w:val="0033309A"/>
    <w:rsid w:val="00333569"/>
    <w:rsid w:val="00333B91"/>
    <w:rsid w:val="00333D07"/>
    <w:rsid w:val="00334594"/>
    <w:rsid w:val="003345C6"/>
    <w:rsid w:val="00334815"/>
    <w:rsid w:val="00334A48"/>
    <w:rsid w:val="003352BB"/>
    <w:rsid w:val="003355EC"/>
    <w:rsid w:val="0033575E"/>
    <w:rsid w:val="00335B16"/>
    <w:rsid w:val="00335F1B"/>
    <w:rsid w:val="00336955"/>
    <w:rsid w:val="00336A4E"/>
    <w:rsid w:val="00337089"/>
    <w:rsid w:val="00337AE7"/>
    <w:rsid w:val="00337D56"/>
    <w:rsid w:val="00337F9D"/>
    <w:rsid w:val="00337FDA"/>
    <w:rsid w:val="003404CC"/>
    <w:rsid w:val="003405C9"/>
    <w:rsid w:val="00340637"/>
    <w:rsid w:val="00340B0F"/>
    <w:rsid w:val="00340E18"/>
    <w:rsid w:val="00340F96"/>
    <w:rsid w:val="003412C6"/>
    <w:rsid w:val="00341533"/>
    <w:rsid w:val="00341984"/>
    <w:rsid w:val="0034361A"/>
    <w:rsid w:val="00343865"/>
    <w:rsid w:val="003438DC"/>
    <w:rsid w:val="00343F2D"/>
    <w:rsid w:val="00343FA4"/>
    <w:rsid w:val="0034418F"/>
    <w:rsid w:val="0034435E"/>
    <w:rsid w:val="003452BC"/>
    <w:rsid w:val="0034590E"/>
    <w:rsid w:val="00345DE4"/>
    <w:rsid w:val="00346340"/>
    <w:rsid w:val="00346A74"/>
    <w:rsid w:val="00346B22"/>
    <w:rsid w:val="00347393"/>
    <w:rsid w:val="003478D8"/>
    <w:rsid w:val="003504E0"/>
    <w:rsid w:val="00351600"/>
    <w:rsid w:val="00351CFC"/>
    <w:rsid w:val="00351EF0"/>
    <w:rsid w:val="0035232F"/>
    <w:rsid w:val="003523CE"/>
    <w:rsid w:val="00352414"/>
    <w:rsid w:val="00352DA9"/>
    <w:rsid w:val="00352F19"/>
    <w:rsid w:val="003530AA"/>
    <w:rsid w:val="0035321F"/>
    <w:rsid w:val="003532C3"/>
    <w:rsid w:val="0035377D"/>
    <w:rsid w:val="00353909"/>
    <w:rsid w:val="00353C74"/>
    <w:rsid w:val="00354B6A"/>
    <w:rsid w:val="00354D9D"/>
    <w:rsid w:val="00354EE6"/>
    <w:rsid w:val="00355110"/>
    <w:rsid w:val="00355BCE"/>
    <w:rsid w:val="00355BD7"/>
    <w:rsid w:val="00356276"/>
    <w:rsid w:val="00356C8A"/>
    <w:rsid w:val="003571B3"/>
    <w:rsid w:val="0035751C"/>
    <w:rsid w:val="003575E1"/>
    <w:rsid w:val="0036006B"/>
    <w:rsid w:val="00360352"/>
    <w:rsid w:val="003604D5"/>
    <w:rsid w:val="00360974"/>
    <w:rsid w:val="00360E0A"/>
    <w:rsid w:val="0036148A"/>
    <w:rsid w:val="00361A21"/>
    <w:rsid w:val="00361AE6"/>
    <w:rsid w:val="00361D35"/>
    <w:rsid w:val="003626B0"/>
    <w:rsid w:val="00362A04"/>
    <w:rsid w:val="00362BB4"/>
    <w:rsid w:val="00362CBF"/>
    <w:rsid w:val="003630C9"/>
    <w:rsid w:val="00363EA6"/>
    <w:rsid w:val="00364B28"/>
    <w:rsid w:val="00364DA7"/>
    <w:rsid w:val="00365182"/>
    <w:rsid w:val="003652CF"/>
    <w:rsid w:val="0036561B"/>
    <w:rsid w:val="00365743"/>
    <w:rsid w:val="00366270"/>
    <w:rsid w:val="003665F4"/>
    <w:rsid w:val="00366B7E"/>
    <w:rsid w:val="00366C10"/>
    <w:rsid w:val="00366DF4"/>
    <w:rsid w:val="003676D8"/>
    <w:rsid w:val="00370658"/>
    <w:rsid w:val="003708C8"/>
    <w:rsid w:val="00371095"/>
    <w:rsid w:val="003711FD"/>
    <w:rsid w:val="00371B48"/>
    <w:rsid w:val="00371C22"/>
    <w:rsid w:val="00371CCB"/>
    <w:rsid w:val="00372018"/>
    <w:rsid w:val="0037253C"/>
    <w:rsid w:val="003734A3"/>
    <w:rsid w:val="0037426F"/>
    <w:rsid w:val="0037512B"/>
    <w:rsid w:val="003752B0"/>
    <w:rsid w:val="00375884"/>
    <w:rsid w:val="00375BC1"/>
    <w:rsid w:val="00375FE2"/>
    <w:rsid w:val="003761C9"/>
    <w:rsid w:val="00377541"/>
    <w:rsid w:val="00377944"/>
    <w:rsid w:val="00377A1B"/>
    <w:rsid w:val="00377A7C"/>
    <w:rsid w:val="00377CA9"/>
    <w:rsid w:val="00377E93"/>
    <w:rsid w:val="003804C5"/>
    <w:rsid w:val="00380646"/>
    <w:rsid w:val="0038076C"/>
    <w:rsid w:val="00380D3E"/>
    <w:rsid w:val="003811E9"/>
    <w:rsid w:val="00381361"/>
    <w:rsid w:val="00381411"/>
    <w:rsid w:val="003814D0"/>
    <w:rsid w:val="003816C3"/>
    <w:rsid w:val="003817C6"/>
    <w:rsid w:val="00381AB5"/>
    <w:rsid w:val="00381AE8"/>
    <w:rsid w:val="003822B3"/>
    <w:rsid w:val="00383151"/>
    <w:rsid w:val="00383A70"/>
    <w:rsid w:val="00383C8A"/>
    <w:rsid w:val="00384E4E"/>
    <w:rsid w:val="003850C1"/>
    <w:rsid w:val="00385A9D"/>
    <w:rsid w:val="00385D79"/>
    <w:rsid w:val="00385E4E"/>
    <w:rsid w:val="00385F52"/>
    <w:rsid w:val="00385FC1"/>
    <w:rsid w:val="003867F9"/>
    <w:rsid w:val="00386D42"/>
    <w:rsid w:val="00387C2C"/>
    <w:rsid w:val="00390018"/>
    <w:rsid w:val="00390D67"/>
    <w:rsid w:val="003914C1"/>
    <w:rsid w:val="00391592"/>
    <w:rsid w:val="00391B6A"/>
    <w:rsid w:val="00391F0A"/>
    <w:rsid w:val="0039217D"/>
    <w:rsid w:val="003922CF"/>
    <w:rsid w:val="00392805"/>
    <w:rsid w:val="00392F2B"/>
    <w:rsid w:val="00392F4D"/>
    <w:rsid w:val="00393037"/>
    <w:rsid w:val="003933E1"/>
    <w:rsid w:val="00393514"/>
    <w:rsid w:val="00394101"/>
    <w:rsid w:val="00394902"/>
    <w:rsid w:val="003952A3"/>
    <w:rsid w:val="0039599D"/>
    <w:rsid w:val="00396984"/>
    <w:rsid w:val="003976B5"/>
    <w:rsid w:val="0039774C"/>
    <w:rsid w:val="00397AC3"/>
    <w:rsid w:val="00397EAC"/>
    <w:rsid w:val="003A03FF"/>
    <w:rsid w:val="003A06C1"/>
    <w:rsid w:val="003A08E9"/>
    <w:rsid w:val="003A0DB1"/>
    <w:rsid w:val="003A1A87"/>
    <w:rsid w:val="003A1B72"/>
    <w:rsid w:val="003A1E0F"/>
    <w:rsid w:val="003A264A"/>
    <w:rsid w:val="003A2699"/>
    <w:rsid w:val="003A2BB9"/>
    <w:rsid w:val="003A32DE"/>
    <w:rsid w:val="003A34BD"/>
    <w:rsid w:val="003A3F79"/>
    <w:rsid w:val="003A492D"/>
    <w:rsid w:val="003A5A24"/>
    <w:rsid w:val="003A5BB1"/>
    <w:rsid w:val="003A5E78"/>
    <w:rsid w:val="003A5F1D"/>
    <w:rsid w:val="003A61EB"/>
    <w:rsid w:val="003A684E"/>
    <w:rsid w:val="003A6A31"/>
    <w:rsid w:val="003A740A"/>
    <w:rsid w:val="003A75A0"/>
    <w:rsid w:val="003A76B0"/>
    <w:rsid w:val="003A7830"/>
    <w:rsid w:val="003A786E"/>
    <w:rsid w:val="003B0619"/>
    <w:rsid w:val="003B081A"/>
    <w:rsid w:val="003B0DA1"/>
    <w:rsid w:val="003B1A51"/>
    <w:rsid w:val="003B216F"/>
    <w:rsid w:val="003B2267"/>
    <w:rsid w:val="003B2DD4"/>
    <w:rsid w:val="003B2E73"/>
    <w:rsid w:val="003B3238"/>
    <w:rsid w:val="003B3458"/>
    <w:rsid w:val="003B3A78"/>
    <w:rsid w:val="003B4ACE"/>
    <w:rsid w:val="003B4C20"/>
    <w:rsid w:val="003B4CA0"/>
    <w:rsid w:val="003B4CCF"/>
    <w:rsid w:val="003B4CEB"/>
    <w:rsid w:val="003B4CF1"/>
    <w:rsid w:val="003B4FC1"/>
    <w:rsid w:val="003B52F3"/>
    <w:rsid w:val="003B58DE"/>
    <w:rsid w:val="003B65D7"/>
    <w:rsid w:val="003B7187"/>
    <w:rsid w:val="003B7CF6"/>
    <w:rsid w:val="003B7E5D"/>
    <w:rsid w:val="003C06AA"/>
    <w:rsid w:val="003C06D4"/>
    <w:rsid w:val="003C13A4"/>
    <w:rsid w:val="003C170E"/>
    <w:rsid w:val="003C2062"/>
    <w:rsid w:val="003C2390"/>
    <w:rsid w:val="003C240F"/>
    <w:rsid w:val="003C26B5"/>
    <w:rsid w:val="003C2BDF"/>
    <w:rsid w:val="003C3C2D"/>
    <w:rsid w:val="003C3CC4"/>
    <w:rsid w:val="003C3E7C"/>
    <w:rsid w:val="003C41EA"/>
    <w:rsid w:val="003C4D28"/>
    <w:rsid w:val="003C517B"/>
    <w:rsid w:val="003C5330"/>
    <w:rsid w:val="003C541F"/>
    <w:rsid w:val="003C5437"/>
    <w:rsid w:val="003C55CC"/>
    <w:rsid w:val="003C58E9"/>
    <w:rsid w:val="003C602C"/>
    <w:rsid w:val="003C663F"/>
    <w:rsid w:val="003C688A"/>
    <w:rsid w:val="003C69C5"/>
    <w:rsid w:val="003C6C35"/>
    <w:rsid w:val="003C711C"/>
    <w:rsid w:val="003C7214"/>
    <w:rsid w:val="003C7444"/>
    <w:rsid w:val="003C76B3"/>
    <w:rsid w:val="003C7844"/>
    <w:rsid w:val="003C7870"/>
    <w:rsid w:val="003C7A13"/>
    <w:rsid w:val="003C7B65"/>
    <w:rsid w:val="003C7D42"/>
    <w:rsid w:val="003D02B0"/>
    <w:rsid w:val="003D095C"/>
    <w:rsid w:val="003D0D8F"/>
    <w:rsid w:val="003D1755"/>
    <w:rsid w:val="003D18A9"/>
    <w:rsid w:val="003D19DE"/>
    <w:rsid w:val="003D211F"/>
    <w:rsid w:val="003D215E"/>
    <w:rsid w:val="003D275A"/>
    <w:rsid w:val="003D2E1D"/>
    <w:rsid w:val="003D30C8"/>
    <w:rsid w:val="003D401D"/>
    <w:rsid w:val="003D4A66"/>
    <w:rsid w:val="003D4C81"/>
    <w:rsid w:val="003D5281"/>
    <w:rsid w:val="003D5CCE"/>
    <w:rsid w:val="003D5D15"/>
    <w:rsid w:val="003D5F46"/>
    <w:rsid w:val="003D60DF"/>
    <w:rsid w:val="003D649C"/>
    <w:rsid w:val="003D6B0A"/>
    <w:rsid w:val="003D6B1C"/>
    <w:rsid w:val="003D6C53"/>
    <w:rsid w:val="003D6E87"/>
    <w:rsid w:val="003D720A"/>
    <w:rsid w:val="003D76E6"/>
    <w:rsid w:val="003D77C9"/>
    <w:rsid w:val="003D7A00"/>
    <w:rsid w:val="003E0B15"/>
    <w:rsid w:val="003E1247"/>
    <w:rsid w:val="003E1812"/>
    <w:rsid w:val="003E1A05"/>
    <w:rsid w:val="003E1A13"/>
    <w:rsid w:val="003E2131"/>
    <w:rsid w:val="003E237E"/>
    <w:rsid w:val="003E25EE"/>
    <w:rsid w:val="003E28E4"/>
    <w:rsid w:val="003E2C76"/>
    <w:rsid w:val="003E2F36"/>
    <w:rsid w:val="003E39F5"/>
    <w:rsid w:val="003E3F57"/>
    <w:rsid w:val="003E4CA5"/>
    <w:rsid w:val="003E4CAB"/>
    <w:rsid w:val="003E4F29"/>
    <w:rsid w:val="003E5184"/>
    <w:rsid w:val="003E5C32"/>
    <w:rsid w:val="003E63E0"/>
    <w:rsid w:val="003E6716"/>
    <w:rsid w:val="003E6A6B"/>
    <w:rsid w:val="003E6F80"/>
    <w:rsid w:val="003E7857"/>
    <w:rsid w:val="003E7B1A"/>
    <w:rsid w:val="003E7C22"/>
    <w:rsid w:val="003E7D24"/>
    <w:rsid w:val="003F0AD2"/>
    <w:rsid w:val="003F0B30"/>
    <w:rsid w:val="003F0E0E"/>
    <w:rsid w:val="003F1420"/>
    <w:rsid w:val="003F17C3"/>
    <w:rsid w:val="003F17F1"/>
    <w:rsid w:val="003F1D3D"/>
    <w:rsid w:val="003F2171"/>
    <w:rsid w:val="003F2240"/>
    <w:rsid w:val="003F245E"/>
    <w:rsid w:val="003F26FE"/>
    <w:rsid w:val="003F2CD5"/>
    <w:rsid w:val="003F2CF5"/>
    <w:rsid w:val="003F33CB"/>
    <w:rsid w:val="003F3506"/>
    <w:rsid w:val="003F36AA"/>
    <w:rsid w:val="003F3805"/>
    <w:rsid w:val="003F4872"/>
    <w:rsid w:val="003F487D"/>
    <w:rsid w:val="003F4A87"/>
    <w:rsid w:val="003F4AAE"/>
    <w:rsid w:val="003F4E00"/>
    <w:rsid w:val="003F4ED0"/>
    <w:rsid w:val="003F5654"/>
    <w:rsid w:val="003F5E46"/>
    <w:rsid w:val="003F5E8A"/>
    <w:rsid w:val="003F5E94"/>
    <w:rsid w:val="003F5EF5"/>
    <w:rsid w:val="003F6005"/>
    <w:rsid w:val="003F60B6"/>
    <w:rsid w:val="003F6478"/>
    <w:rsid w:val="003F68CC"/>
    <w:rsid w:val="003F757A"/>
    <w:rsid w:val="003F76C4"/>
    <w:rsid w:val="004009B2"/>
    <w:rsid w:val="00400C77"/>
    <w:rsid w:val="0040131E"/>
    <w:rsid w:val="0040134C"/>
    <w:rsid w:val="0040148B"/>
    <w:rsid w:val="00401D6C"/>
    <w:rsid w:val="00402881"/>
    <w:rsid w:val="00402931"/>
    <w:rsid w:val="00403E1F"/>
    <w:rsid w:val="004041BF"/>
    <w:rsid w:val="0040424C"/>
    <w:rsid w:val="0040487F"/>
    <w:rsid w:val="00404D69"/>
    <w:rsid w:val="00405327"/>
    <w:rsid w:val="004058DA"/>
    <w:rsid w:val="00406050"/>
    <w:rsid w:val="004062DE"/>
    <w:rsid w:val="0040662D"/>
    <w:rsid w:val="00406F08"/>
    <w:rsid w:val="0040780D"/>
    <w:rsid w:val="00407CD1"/>
    <w:rsid w:val="00407E3A"/>
    <w:rsid w:val="00407F96"/>
    <w:rsid w:val="004102E7"/>
    <w:rsid w:val="0041038A"/>
    <w:rsid w:val="00410FF6"/>
    <w:rsid w:val="00411163"/>
    <w:rsid w:val="004111BB"/>
    <w:rsid w:val="004119B4"/>
    <w:rsid w:val="00411A7C"/>
    <w:rsid w:val="00411B51"/>
    <w:rsid w:val="00411DCE"/>
    <w:rsid w:val="00411DD1"/>
    <w:rsid w:val="00412035"/>
    <w:rsid w:val="004123F7"/>
    <w:rsid w:val="00412F9B"/>
    <w:rsid w:val="0041329E"/>
    <w:rsid w:val="004137B9"/>
    <w:rsid w:val="004139C7"/>
    <w:rsid w:val="00414398"/>
    <w:rsid w:val="004143A3"/>
    <w:rsid w:val="00414A9B"/>
    <w:rsid w:val="00414C86"/>
    <w:rsid w:val="004150E5"/>
    <w:rsid w:val="004150F5"/>
    <w:rsid w:val="00415219"/>
    <w:rsid w:val="00415498"/>
    <w:rsid w:val="00415903"/>
    <w:rsid w:val="00415C26"/>
    <w:rsid w:val="00415E2B"/>
    <w:rsid w:val="00415ED7"/>
    <w:rsid w:val="004162EE"/>
    <w:rsid w:val="00416735"/>
    <w:rsid w:val="00416C0C"/>
    <w:rsid w:val="004171ED"/>
    <w:rsid w:val="00417616"/>
    <w:rsid w:val="004176B3"/>
    <w:rsid w:val="004179AF"/>
    <w:rsid w:val="0042040C"/>
    <w:rsid w:val="00420464"/>
    <w:rsid w:val="00420CE9"/>
    <w:rsid w:val="004213F4"/>
    <w:rsid w:val="00421B27"/>
    <w:rsid w:val="00422AE9"/>
    <w:rsid w:val="00422AF2"/>
    <w:rsid w:val="00422BA7"/>
    <w:rsid w:val="00422EC8"/>
    <w:rsid w:val="0042366B"/>
    <w:rsid w:val="0042388B"/>
    <w:rsid w:val="004245C0"/>
    <w:rsid w:val="004249DA"/>
    <w:rsid w:val="00424D10"/>
    <w:rsid w:val="0042518A"/>
    <w:rsid w:val="00425B40"/>
    <w:rsid w:val="00425D97"/>
    <w:rsid w:val="00426257"/>
    <w:rsid w:val="00427570"/>
    <w:rsid w:val="0042786B"/>
    <w:rsid w:val="00427F1A"/>
    <w:rsid w:val="00430961"/>
    <w:rsid w:val="00430D60"/>
    <w:rsid w:val="0043138C"/>
    <w:rsid w:val="00431893"/>
    <w:rsid w:val="00431F18"/>
    <w:rsid w:val="00432283"/>
    <w:rsid w:val="00432696"/>
    <w:rsid w:val="004328F0"/>
    <w:rsid w:val="00432A7D"/>
    <w:rsid w:val="00433AB4"/>
    <w:rsid w:val="00434186"/>
    <w:rsid w:val="0043445B"/>
    <w:rsid w:val="004344DB"/>
    <w:rsid w:val="00434F0F"/>
    <w:rsid w:val="00435363"/>
    <w:rsid w:val="00435A06"/>
    <w:rsid w:val="0043706A"/>
    <w:rsid w:val="004370EF"/>
    <w:rsid w:val="00437AC7"/>
    <w:rsid w:val="00437FFE"/>
    <w:rsid w:val="004400C3"/>
    <w:rsid w:val="004400D6"/>
    <w:rsid w:val="0044043C"/>
    <w:rsid w:val="00440CB2"/>
    <w:rsid w:val="0044104F"/>
    <w:rsid w:val="0044126C"/>
    <w:rsid w:val="00441371"/>
    <w:rsid w:val="004417EB"/>
    <w:rsid w:val="004429B4"/>
    <w:rsid w:val="00442AC1"/>
    <w:rsid w:val="00442F53"/>
    <w:rsid w:val="0044411B"/>
    <w:rsid w:val="004447A3"/>
    <w:rsid w:val="00444C2A"/>
    <w:rsid w:val="00444F85"/>
    <w:rsid w:val="004453F3"/>
    <w:rsid w:val="0044555A"/>
    <w:rsid w:val="004459CB"/>
    <w:rsid w:val="00446163"/>
    <w:rsid w:val="00446935"/>
    <w:rsid w:val="004475A0"/>
    <w:rsid w:val="00447D04"/>
    <w:rsid w:val="00447D74"/>
    <w:rsid w:val="004510D1"/>
    <w:rsid w:val="00451DD5"/>
    <w:rsid w:val="00451F19"/>
    <w:rsid w:val="00453201"/>
    <w:rsid w:val="00453C42"/>
    <w:rsid w:val="004540DA"/>
    <w:rsid w:val="0045419C"/>
    <w:rsid w:val="004542A1"/>
    <w:rsid w:val="00454697"/>
    <w:rsid w:val="00454AEA"/>
    <w:rsid w:val="00454DE4"/>
    <w:rsid w:val="00454FA6"/>
    <w:rsid w:val="00455476"/>
    <w:rsid w:val="004558D0"/>
    <w:rsid w:val="004565C9"/>
    <w:rsid w:val="004565E4"/>
    <w:rsid w:val="00456987"/>
    <w:rsid w:val="00456E29"/>
    <w:rsid w:val="00457931"/>
    <w:rsid w:val="004604D4"/>
    <w:rsid w:val="00460519"/>
    <w:rsid w:val="004605DC"/>
    <w:rsid w:val="00460826"/>
    <w:rsid w:val="00460C81"/>
    <w:rsid w:val="004610A6"/>
    <w:rsid w:val="00461404"/>
    <w:rsid w:val="00461AB0"/>
    <w:rsid w:val="00461DFC"/>
    <w:rsid w:val="00461FEE"/>
    <w:rsid w:val="004628C4"/>
    <w:rsid w:val="00462958"/>
    <w:rsid w:val="00463514"/>
    <w:rsid w:val="004635AC"/>
    <w:rsid w:val="004638D5"/>
    <w:rsid w:val="00463EA1"/>
    <w:rsid w:val="00464B9F"/>
    <w:rsid w:val="00465E97"/>
    <w:rsid w:val="004663A4"/>
    <w:rsid w:val="004666A1"/>
    <w:rsid w:val="00467102"/>
    <w:rsid w:val="004679B3"/>
    <w:rsid w:val="004679DA"/>
    <w:rsid w:val="00467AD8"/>
    <w:rsid w:val="00467B71"/>
    <w:rsid w:val="0047013D"/>
    <w:rsid w:val="0047093D"/>
    <w:rsid w:val="00471A60"/>
    <w:rsid w:val="00471CA1"/>
    <w:rsid w:val="00471D1B"/>
    <w:rsid w:val="004722AF"/>
    <w:rsid w:val="004722C1"/>
    <w:rsid w:val="00472362"/>
    <w:rsid w:val="004724FB"/>
    <w:rsid w:val="00472C9F"/>
    <w:rsid w:val="00472E60"/>
    <w:rsid w:val="00472F1A"/>
    <w:rsid w:val="004732EE"/>
    <w:rsid w:val="00473B1A"/>
    <w:rsid w:val="004740E9"/>
    <w:rsid w:val="004745D1"/>
    <w:rsid w:val="00474B48"/>
    <w:rsid w:val="00474CE9"/>
    <w:rsid w:val="00474FA0"/>
    <w:rsid w:val="0047535F"/>
    <w:rsid w:val="004754AA"/>
    <w:rsid w:val="00475705"/>
    <w:rsid w:val="00475B43"/>
    <w:rsid w:val="00475CDD"/>
    <w:rsid w:val="0047684B"/>
    <w:rsid w:val="00476DFD"/>
    <w:rsid w:val="00477568"/>
    <w:rsid w:val="00477B11"/>
    <w:rsid w:val="00477DE2"/>
    <w:rsid w:val="004803A1"/>
    <w:rsid w:val="00480958"/>
    <w:rsid w:val="00480A0E"/>
    <w:rsid w:val="00480B04"/>
    <w:rsid w:val="00480E3E"/>
    <w:rsid w:val="004812FE"/>
    <w:rsid w:val="0048187D"/>
    <w:rsid w:val="00481D75"/>
    <w:rsid w:val="0048205D"/>
    <w:rsid w:val="004821FC"/>
    <w:rsid w:val="00482577"/>
    <w:rsid w:val="00482BEB"/>
    <w:rsid w:val="0048346D"/>
    <w:rsid w:val="00483762"/>
    <w:rsid w:val="004839CE"/>
    <w:rsid w:val="00484113"/>
    <w:rsid w:val="004848ED"/>
    <w:rsid w:val="00484965"/>
    <w:rsid w:val="00484C8E"/>
    <w:rsid w:val="00484C91"/>
    <w:rsid w:val="00484D4D"/>
    <w:rsid w:val="00484E05"/>
    <w:rsid w:val="00485081"/>
    <w:rsid w:val="004850F2"/>
    <w:rsid w:val="00485794"/>
    <w:rsid w:val="00485A34"/>
    <w:rsid w:val="00485BC1"/>
    <w:rsid w:val="0048600E"/>
    <w:rsid w:val="004863E0"/>
    <w:rsid w:val="00486505"/>
    <w:rsid w:val="004866FD"/>
    <w:rsid w:val="0048678A"/>
    <w:rsid w:val="00486EE7"/>
    <w:rsid w:val="00487010"/>
    <w:rsid w:val="00490880"/>
    <w:rsid w:val="00491E06"/>
    <w:rsid w:val="00491E9C"/>
    <w:rsid w:val="0049294F"/>
    <w:rsid w:val="00492B3A"/>
    <w:rsid w:val="0049318F"/>
    <w:rsid w:val="004933D2"/>
    <w:rsid w:val="004939A7"/>
    <w:rsid w:val="00494881"/>
    <w:rsid w:val="00494951"/>
    <w:rsid w:val="00494C71"/>
    <w:rsid w:val="004959D1"/>
    <w:rsid w:val="00495A8D"/>
    <w:rsid w:val="00495EE9"/>
    <w:rsid w:val="0049675B"/>
    <w:rsid w:val="00496FA3"/>
    <w:rsid w:val="00497115"/>
    <w:rsid w:val="00497DF7"/>
    <w:rsid w:val="00497EB8"/>
    <w:rsid w:val="004A025B"/>
    <w:rsid w:val="004A0AD3"/>
    <w:rsid w:val="004A0B6F"/>
    <w:rsid w:val="004A0FAC"/>
    <w:rsid w:val="004A102A"/>
    <w:rsid w:val="004A1DA9"/>
    <w:rsid w:val="004A2AE3"/>
    <w:rsid w:val="004A32D7"/>
    <w:rsid w:val="004A33E9"/>
    <w:rsid w:val="004A37E9"/>
    <w:rsid w:val="004A431A"/>
    <w:rsid w:val="004A4745"/>
    <w:rsid w:val="004A4D74"/>
    <w:rsid w:val="004A5113"/>
    <w:rsid w:val="004A582A"/>
    <w:rsid w:val="004A67AE"/>
    <w:rsid w:val="004A6F7C"/>
    <w:rsid w:val="004A73A2"/>
    <w:rsid w:val="004A7A54"/>
    <w:rsid w:val="004A7F12"/>
    <w:rsid w:val="004B01F0"/>
    <w:rsid w:val="004B025B"/>
    <w:rsid w:val="004B0275"/>
    <w:rsid w:val="004B02BA"/>
    <w:rsid w:val="004B10B9"/>
    <w:rsid w:val="004B1212"/>
    <w:rsid w:val="004B126A"/>
    <w:rsid w:val="004B12D7"/>
    <w:rsid w:val="004B23E6"/>
    <w:rsid w:val="004B2470"/>
    <w:rsid w:val="004B38FC"/>
    <w:rsid w:val="004B4255"/>
    <w:rsid w:val="004B46D1"/>
    <w:rsid w:val="004B4C2F"/>
    <w:rsid w:val="004B5132"/>
    <w:rsid w:val="004B5503"/>
    <w:rsid w:val="004B5698"/>
    <w:rsid w:val="004B6070"/>
    <w:rsid w:val="004B6468"/>
    <w:rsid w:val="004B66F5"/>
    <w:rsid w:val="004B738C"/>
    <w:rsid w:val="004B7D61"/>
    <w:rsid w:val="004B7E62"/>
    <w:rsid w:val="004C031C"/>
    <w:rsid w:val="004C098E"/>
    <w:rsid w:val="004C1104"/>
    <w:rsid w:val="004C1BF4"/>
    <w:rsid w:val="004C2924"/>
    <w:rsid w:val="004C2BCA"/>
    <w:rsid w:val="004C2E1D"/>
    <w:rsid w:val="004C2F12"/>
    <w:rsid w:val="004C36EB"/>
    <w:rsid w:val="004C4722"/>
    <w:rsid w:val="004C49D8"/>
    <w:rsid w:val="004C4C57"/>
    <w:rsid w:val="004C4EA8"/>
    <w:rsid w:val="004C5212"/>
    <w:rsid w:val="004C66A4"/>
    <w:rsid w:val="004C6955"/>
    <w:rsid w:val="004C69EF"/>
    <w:rsid w:val="004C70E4"/>
    <w:rsid w:val="004C7832"/>
    <w:rsid w:val="004C7D52"/>
    <w:rsid w:val="004D010E"/>
    <w:rsid w:val="004D01F9"/>
    <w:rsid w:val="004D0253"/>
    <w:rsid w:val="004D09A4"/>
    <w:rsid w:val="004D1536"/>
    <w:rsid w:val="004D16CE"/>
    <w:rsid w:val="004D1BD8"/>
    <w:rsid w:val="004D1F59"/>
    <w:rsid w:val="004D2641"/>
    <w:rsid w:val="004D2726"/>
    <w:rsid w:val="004D2A71"/>
    <w:rsid w:val="004D2D0B"/>
    <w:rsid w:val="004D2F86"/>
    <w:rsid w:val="004D304F"/>
    <w:rsid w:val="004D30B1"/>
    <w:rsid w:val="004D340E"/>
    <w:rsid w:val="004D35BE"/>
    <w:rsid w:val="004D3607"/>
    <w:rsid w:val="004D36A6"/>
    <w:rsid w:val="004D37F8"/>
    <w:rsid w:val="004D3D62"/>
    <w:rsid w:val="004D3D6C"/>
    <w:rsid w:val="004D3FE3"/>
    <w:rsid w:val="004D4599"/>
    <w:rsid w:val="004D45EB"/>
    <w:rsid w:val="004D48F3"/>
    <w:rsid w:val="004D4A5A"/>
    <w:rsid w:val="004D53D4"/>
    <w:rsid w:val="004D5768"/>
    <w:rsid w:val="004D613F"/>
    <w:rsid w:val="004D6B1E"/>
    <w:rsid w:val="004D7502"/>
    <w:rsid w:val="004D75C1"/>
    <w:rsid w:val="004D7938"/>
    <w:rsid w:val="004D79CE"/>
    <w:rsid w:val="004D7D2C"/>
    <w:rsid w:val="004E00D5"/>
    <w:rsid w:val="004E0329"/>
    <w:rsid w:val="004E03F7"/>
    <w:rsid w:val="004E076B"/>
    <w:rsid w:val="004E079C"/>
    <w:rsid w:val="004E17AE"/>
    <w:rsid w:val="004E1837"/>
    <w:rsid w:val="004E1BBF"/>
    <w:rsid w:val="004E206F"/>
    <w:rsid w:val="004E2169"/>
    <w:rsid w:val="004E2316"/>
    <w:rsid w:val="004E2794"/>
    <w:rsid w:val="004E2DCB"/>
    <w:rsid w:val="004E334D"/>
    <w:rsid w:val="004E3463"/>
    <w:rsid w:val="004E3C16"/>
    <w:rsid w:val="004E3E84"/>
    <w:rsid w:val="004E41F5"/>
    <w:rsid w:val="004E4459"/>
    <w:rsid w:val="004E44B3"/>
    <w:rsid w:val="004E4F5C"/>
    <w:rsid w:val="004E4FD7"/>
    <w:rsid w:val="004E566F"/>
    <w:rsid w:val="004E57DF"/>
    <w:rsid w:val="004E5B69"/>
    <w:rsid w:val="004E5C4A"/>
    <w:rsid w:val="004E64BB"/>
    <w:rsid w:val="004E6DBA"/>
    <w:rsid w:val="004E6EE2"/>
    <w:rsid w:val="004E7036"/>
    <w:rsid w:val="004E75E4"/>
    <w:rsid w:val="004F017B"/>
    <w:rsid w:val="004F0246"/>
    <w:rsid w:val="004F1230"/>
    <w:rsid w:val="004F1953"/>
    <w:rsid w:val="004F2318"/>
    <w:rsid w:val="004F2481"/>
    <w:rsid w:val="004F262C"/>
    <w:rsid w:val="004F291C"/>
    <w:rsid w:val="004F32E1"/>
    <w:rsid w:val="004F3720"/>
    <w:rsid w:val="004F3975"/>
    <w:rsid w:val="004F5447"/>
    <w:rsid w:val="004F552D"/>
    <w:rsid w:val="004F5E94"/>
    <w:rsid w:val="004F65D8"/>
    <w:rsid w:val="004F6973"/>
    <w:rsid w:val="004F6CC9"/>
    <w:rsid w:val="004F6D02"/>
    <w:rsid w:val="004F706F"/>
    <w:rsid w:val="004F70DE"/>
    <w:rsid w:val="004F710F"/>
    <w:rsid w:val="004F7118"/>
    <w:rsid w:val="004F7194"/>
    <w:rsid w:val="004F73CC"/>
    <w:rsid w:val="004F757C"/>
    <w:rsid w:val="004F7633"/>
    <w:rsid w:val="004F798E"/>
    <w:rsid w:val="004F7FBF"/>
    <w:rsid w:val="00500851"/>
    <w:rsid w:val="005009F6"/>
    <w:rsid w:val="00500AB1"/>
    <w:rsid w:val="00500E72"/>
    <w:rsid w:val="0050120C"/>
    <w:rsid w:val="00501303"/>
    <w:rsid w:val="00501333"/>
    <w:rsid w:val="005016B2"/>
    <w:rsid w:val="0050188B"/>
    <w:rsid w:val="00501D3C"/>
    <w:rsid w:val="0050252F"/>
    <w:rsid w:val="005025F8"/>
    <w:rsid w:val="00502C06"/>
    <w:rsid w:val="00502E82"/>
    <w:rsid w:val="00502ED4"/>
    <w:rsid w:val="00502F09"/>
    <w:rsid w:val="0050342D"/>
    <w:rsid w:val="005037C4"/>
    <w:rsid w:val="00503E8D"/>
    <w:rsid w:val="005044C7"/>
    <w:rsid w:val="00505900"/>
    <w:rsid w:val="00505F92"/>
    <w:rsid w:val="005060B0"/>
    <w:rsid w:val="00506190"/>
    <w:rsid w:val="0050663C"/>
    <w:rsid w:val="00506776"/>
    <w:rsid w:val="0050721D"/>
    <w:rsid w:val="0050723F"/>
    <w:rsid w:val="00507694"/>
    <w:rsid w:val="005079CF"/>
    <w:rsid w:val="00507E0E"/>
    <w:rsid w:val="00510002"/>
    <w:rsid w:val="00510E7F"/>
    <w:rsid w:val="005117E4"/>
    <w:rsid w:val="00511E47"/>
    <w:rsid w:val="00512192"/>
    <w:rsid w:val="0051233A"/>
    <w:rsid w:val="005123FA"/>
    <w:rsid w:val="00512806"/>
    <w:rsid w:val="00512C22"/>
    <w:rsid w:val="00513098"/>
    <w:rsid w:val="005135CA"/>
    <w:rsid w:val="0051365C"/>
    <w:rsid w:val="00513B42"/>
    <w:rsid w:val="00514328"/>
    <w:rsid w:val="0051497F"/>
    <w:rsid w:val="00514AE2"/>
    <w:rsid w:val="00514D7B"/>
    <w:rsid w:val="00514E20"/>
    <w:rsid w:val="00514FF6"/>
    <w:rsid w:val="005153D3"/>
    <w:rsid w:val="0051547F"/>
    <w:rsid w:val="00516673"/>
    <w:rsid w:val="005166F7"/>
    <w:rsid w:val="00516950"/>
    <w:rsid w:val="00516DBB"/>
    <w:rsid w:val="005172D0"/>
    <w:rsid w:val="005178C7"/>
    <w:rsid w:val="00520578"/>
    <w:rsid w:val="00520989"/>
    <w:rsid w:val="00520C7D"/>
    <w:rsid w:val="00521654"/>
    <w:rsid w:val="00521C00"/>
    <w:rsid w:val="00521D8F"/>
    <w:rsid w:val="0052281B"/>
    <w:rsid w:val="00522BDF"/>
    <w:rsid w:val="00522EC6"/>
    <w:rsid w:val="00524210"/>
    <w:rsid w:val="005242FB"/>
    <w:rsid w:val="0052557A"/>
    <w:rsid w:val="00525B64"/>
    <w:rsid w:val="00525E57"/>
    <w:rsid w:val="00526035"/>
    <w:rsid w:val="00526163"/>
    <w:rsid w:val="00526633"/>
    <w:rsid w:val="0052675B"/>
    <w:rsid w:val="00527575"/>
    <w:rsid w:val="005279DD"/>
    <w:rsid w:val="005301E2"/>
    <w:rsid w:val="005302CA"/>
    <w:rsid w:val="005304FD"/>
    <w:rsid w:val="0053052F"/>
    <w:rsid w:val="00530835"/>
    <w:rsid w:val="00530B14"/>
    <w:rsid w:val="00530C3C"/>
    <w:rsid w:val="00531EF8"/>
    <w:rsid w:val="00532F60"/>
    <w:rsid w:val="005339C0"/>
    <w:rsid w:val="00534002"/>
    <w:rsid w:val="00534959"/>
    <w:rsid w:val="00534DD7"/>
    <w:rsid w:val="00535896"/>
    <w:rsid w:val="00535EC5"/>
    <w:rsid w:val="00536169"/>
    <w:rsid w:val="00536219"/>
    <w:rsid w:val="00536689"/>
    <w:rsid w:val="00536CE4"/>
    <w:rsid w:val="00537845"/>
    <w:rsid w:val="005403A4"/>
    <w:rsid w:val="00540D0E"/>
    <w:rsid w:val="00540DC2"/>
    <w:rsid w:val="005411EB"/>
    <w:rsid w:val="005419B9"/>
    <w:rsid w:val="00541E90"/>
    <w:rsid w:val="0054261A"/>
    <w:rsid w:val="00542725"/>
    <w:rsid w:val="00542C30"/>
    <w:rsid w:val="00543984"/>
    <w:rsid w:val="00543A4E"/>
    <w:rsid w:val="00543CAB"/>
    <w:rsid w:val="00543D24"/>
    <w:rsid w:val="0054461A"/>
    <w:rsid w:val="00544BD8"/>
    <w:rsid w:val="00545163"/>
    <w:rsid w:val="0054533D"/>
    <w:rsid w:val="0054576E"/>
    <w:rsid w:val="0054609E"/>
    <w:rsid w:val="00546227"/>
    <w:rsid w:val="00546381"/>
    <w:rsid w:val="0054692B"/>
    <w:rsid w:val="005470EC"/>
    <w:rsid w:val="00547D81"/>
    <w:rsid w:val="00547E02"/>
    <w:rsid w:val="0055003C"/>
    <w:rsid w:val="005502E7"/>
    <w:rsid w:val="00550440"/>
    <w:rsid w:val="00550555"/>
    <w:rsid w:val="00550840"/>
    <w:rsid w:val="00551392"/>
    <w:rsid w:val="00551E46"/>
    <w:rsid w:val="005523C1"/>
    <w:rsid w:val="00553818"/>
    <w:rsid w:val="005538DB"/>
    <w:rsid w:val="00553FDB"/>
    <w:rsid w:val="00554155"/>
    <w:rsid w:val="00554A92"/>
    <w:rsid w:val="005553CA"/>
    <w:rsid w:val="00555547"/>
    <w:rsid w:val="00555A8A"/>
    <w:rsid w:val="00555B85"/>
    <w:rsid w:val="00556693"/>
    <w:rsid w:val="005567D7"/>
    <w:rsid w:val="00556CF0"/>
    <w:rsid w:val="00557674"/>
    <w:rsid w:val="005605A4"/>
    <w:rsid w:val="005608DF"/>
    <w:rsid w:val="00561A0E"/>
    <w:rsid w:val="00561BAF"/>
    <w:rsid w:val="005622FA"/>
    <w:rsid w:val="00562491"/>
    <w:rsid w:val="005624E2"/>
    <w:rsid w:val="00562561"/>
    <w:rsid w:val="005629A6"/>
    <w:rsid w:val="0056314F"/>
    <w:rsid w:val="005634E0"/>
    <w:rsid w:val="005637E4"/>
    <w:rsid w:val="00563868"/>
    <w:rsid w:val="005641A9"/>
    <w:rsid w:val="005643B3"/>
    <w:rsid w:val="00564AB1"/>
    <w:rsid w:val="00564AF7"/>
    <w:rsid w:val="00564CC6"/>
    <w:rsid w:val="005669CD"/>
    <w:rsid w:val="00566A59"/>
    <w:rsid w:val="00566C00"/>
    <w:rsid w:val="005677A6"/>
    <w:rsid w:val="005677A7"/>
    <w:rsid w:val="00567A8E"/>
    <w:rsid w:val="00567D48"/>
    <w:rsid w:val="00567FB6"/>
    <w:rsid w:val="0057007E"/>
    <w:rsid w:val="00571232"/>
    <w:rsid w:val="00571D0D"/>
    <w:rsid w:val="0057258C"/>
    <w:rsid w:val="00572668"/>
    <w:rsid w:val="00572974"/>
    <w:rsid w:val="00572BD5"/>
    <w:rsid w:val="005731C4"/>
    <w:rsid w:val="0057326B"/>
    <w:rsid w:val="005737CF"/>
    <w:rsid w:val="00573C81"/>
    <w:rsid w:val="00574499"/>
    <w:rsid w:val="0057470B"/>
    <w:rsid w:val="00574C0B"/>
    <w:rsid w:val="0057502B"/>
    <w:rsid w:val="005752FD"/>
    <w:rsid w:val="00575C6E"/>
    <w:rsid w:val="00575EC6"/>
    <w:rsid w:val="00576220"/>
    <w:rsid w:val="00576378"/>
    <w:rsid w:val="00576A58"/>
    <w:rsid w:val="0057722F"/>
    <w:rsid w:val="0057740E"/>
    <w:rsid w:val="005779DA"/>
    <w:rsid w:val="005779FD"/>
    <w:rsid w:val="00577A00"/>
    <w:rsid w:val="00580040"/>
    <w:rsid w:val="005802DC"/>
    <w:rsid w:val="00580FF3"/>
    <w:rsid w:val="00581482"/>
    <w:rsid w:val="005817B7"/>
    <w:rsid w:val="005817C6"/>
    <w:rsid w:val="00581B54"/>
    <w:rsid w:val="0058221A"/>
    <w:rsid w:val="00582AAF"/>
    <w:rsid w:val="00582D0D"/>
    <w:rsid w:val="00582E6F"/>
    <w:rsid w:val="005832AB"/>
    <w:rsid w:val="00583C7A"/>
    <w:rsid w:val="00584595"/>
    <w:rsid w:val="00584A0A"/>
    <w:rsid w:val="0058531E"/>
    <w:rsid w:val="00585585"/>
    <w:rsid w:val="0058558D"/>
    <w:rsid w:val="00585CBD"/>
    <w:rsid w:val="005861DD"/>
    <w:rsid w:val="00586312"/>
    <w:rsid w:val="0058664D"/>
    <w:rsid w:val="00586A3C"/>
    <w:rsid w:val="00587420"/>
    <w:rsid w:val="00587B71"/>
    <w:rsid w:val="00587BC2"/>
    <w:rsid w:val="00587C2A"/>
    <w:rsid w:val="00587FC2"/>
    <w:rsid w:val="005900A1"/>
    <w:rsid w:val="0059060E"/>
    <w:rsid w:val="00590741"/>
    <w:rsid w:val="00590C72"/>
    <w:rsid w:val="00591424"/>
    <w:rsid w:val="005916BE"/>
    <w:rsid w:val="0059183E"/>
    <w:rsid w:val="005924C9"/>
    <w:rsid w:val="00592AB2"/>
    <w:rsid w:val="00593345"/>
    <w:rsid w:val="005936FD"/>
    <w:rsid w:val="00593AB4"/>
    <w:rsid w:val="00593D60"/>
    <w:rsid w:val="005943D4"/>
    <w:rsid w:val="0059458C"/>
    <w:rsid w:val="00595136"/>
    <w:rsid w:val="0059556E"/>
    <w:rsid w:val="00595D16"/>
    <w:rsid w:val="00596FA4"/>
    <w:rsid w:val="0059713E"/>
    <w:rsid w:val="005973A9"/>
    <w:rsid w:val="005973F4"/>
    <w:rsid w:val="00597463"/>
    <w:rsid w:val="00597AA8"/>
    <w:rsid w:val="00597C5D"/>
    <w:rsid w:val="00597C5F"/>
    <w:rsid w:val="005A06DE"/>
    <w:rsid w:val="005A1997"/>
    <w:rsid w:val="005A1C69"/>
    <w:rsid w:val="005A2769"/>
    <w:rsid w:val="005A2AEE"/>
    <w:rsid w:val="005A2D7B"/>
    <w:rsid w:val="005A34EE"/>
    <w:rsid w:val="005A34FA"/>
    <w:rsid w:val="005A3794"/>
    <w:rsid w:val="005A427B"/>
    <w:rsid w:val="005A44DF"/>
    <w:rsid w:val="005A48E1"/>
    <w:rsid w:val="005A4E3A"/>
    <w:rsid w:val="005A4FA5"/>
    <w:rsid w:val="005A52B7"/>
    <w:rsid w:val="005A5EF0"/>
    <w:rsid w:val="005A6DED"/>
    <w:rsid w:val="005A6E9F"/>
    <w:rsid w:val="005A7541"/>
    <w:rsid w:val="005A7AB3"/>
    <w:rsid w:val="005A7B1E"/>
    <w:rsid w:val="005B0143"/>
    <w:rsid w:val="005B030D"/>
    <w:rsid w:val="005B0A30"/>
    <w:rsid w:val="005B0F46"/>
    <w:rsid w:val="005B1108"/>
    <w:rsid w:val="005B1658"/>
    <w:rsid w:val="005B1C66"/>
    <w:rsid w:val="005B1CF0"/>
    <w:rsid w:val="005B2385"/>
    <w:rsid w:val="005B287E"/>
    <w:rsid w:val="005B29F4"/>
    <w:rsid w:val="005B2BBE"/>
    <w:rsid w:val="005B2D59"/>
    <w:rsid w:val="005B2ED6"/>
    <w:rsid w:val="005B311D"/>
    <w:rsid w:val="005B335B"/>
    <w:rsid w:val="005B34D2"/>
    <w:rsid w:val="005B3A16"/>
    <w:rsid w:val="005B3FD0"/>
    <w:rsid w:val="005B4514"/>
    <w:rsid w:val="005B4868"/>
    <w:rsid w:val="005B5079"/>
    <w:rsid w:val="005B54E6"/>
    <w:rsid w:val="005B5519"/>
    <w:rsid w:val="005B5856"/>
    <w:rsid w:val="005B5D13"/>
    <w:rsid w:val="005B614B"/>
    <w:rsid w:val="005B6A81"/>
    <w:rsid w:val="005B6B7E"/>
    <w:rsid w:val="005B740F"/>
    <w:rsid w:val="005B75CA"/>
    <w:rsid w:val="005B7B22"/>
    <w:rsid w:val="005B7CFF"/>
    <w:rsid w:val="005C027D"/>
    <w:rsid w:val="005C0CF0"/>
    <w:rsid w:val="005C1B51"/>
    <w:rsid w:val="005C2AD6"/>
    <w:rsid w:val="005C2FA4"/>
    <w:rsid w:val="005C32C6"/>
    <w:rsid w:val="005C388A"/>
    <w:rsid w:val="005C4313"/>
    <w:rsid w:val="005C447A"/>
    <w:rsid w:val="005C4B54"/>
    <w:rsid w:val="005C4EFB"/>
    <w:rsid w:val="005C5172"/>
    <w:rsid w:val="005C528B"/>
    <w:rsid w:val="005C5500"/>
    <w:rsid w:val="005C551E"/>
    <w:rsid w:val="005C5A05"/>
    <w:rsid w:val="005C5E6F"/>
    <w:rsid w:val="005C5FE9"/>
    <w:rsid w:val="005C60B6"/>
    <w:rsid w:val="005C61DD"/>
    <w:rsid w:val="005C6451"/>
    <w:rsid w:val="005C64ED"/>
    <w:rsid w:val="005C692A"/>
    <w:rsid w:val="005C7695"/>
    <w:rsid w:val="005C793B"/>
    <w:rsid w:val="005C7F9B"/>
    <w:rsid w:val="005D05CD"/>
    <w:rsid w:val="005D0E42"/>
    <w:rsid w:val="005D1811"/>
    <w:rsid w:val="005D1C01"/>
    <w:rsid w:val="005D2485"/>
    <w:rsid w:val="005D3327"/>
    <w:rsid w:val="005D372E"/>
    <w:rsid w:val="005D38EA"/>
    <w:rsid w:val="005D3D3C"/>
    <w:rsid w:val="005D3E9B"/>
    <w:rsid w:val="005D4157"/>
    <w:rsid w:val="005D4397"/>
    <w:rsid w:val="005D4580"/>
    <w:rsid w:val="005D4B1A"/>
    <w:rsid w:val="005D5456"/>
    <w:rsid w:val="005D5A83"/>
    <w:rsid w:val="005D6383"/>
    <w:rsid w:val="005D63CD"/>
    <w:rsid w:val="005D7110"/>
    <w:rsid w:val="005D7492"/>
    <w:rsid w:val="005D74CD"/>
    <w:rsid w:val="005D7B89"/>
    <w:rsid w:val="005D7CF3"/>
    <w:rsid w:val="005D7D6E"/>
    <w:rsid w:val="005D7E3D"/>
    <w:rsid w:val="005E0118"/>
    <w:rsid w:val="005E05FA"/>
    <w:rsid w:val="005E0CCB"/>
    <w:rsid w:val="005E0DC1"/>
    <w:rsid w:val="005E1086"/>
    <w:rsid w:val="005E1630"/>
    <w:rsid w:val="005E1C1B"/>
    <w:rsid w:val="005E1E09"/>
    <w:rsid w:val="005E21E4"/>
    <w:rsid w:val="005E25B4"/>
    <w:rsid w:val="005E2654"/>
    <w:rsid w:val="005E2ABC"/>
    <w:rsid w:val="005E3130"/>
    <w:rsid w:val="005E35B3"/>
    <w:rsid w:val="005E3D7F"/>
    <w:rsid w:val="005E3F66"/>
    <w:rsid w:val="005E3F68"/>
    <w:rsid w:val="005E4053"/>
    <w:rsid w:val="005E42F6"/>
    <w:rsid w:val="005E46A4"/>
    <w:rsid w:val="005E4C64"/>
    <w:rsid w:val="005E4CEE"/>
    <w:rsid w:val="005E4CF4"/>
    <w:rsid w:val="005E567A"/>
    <w:rsid w:val="005E572E"/>
    <w:rsid w:val="005E57B4"/>
    <w:rsid w:val="005E59F6"/>
    <w:rsid w:val="005E5B5C"/>
    <w:rsid w:val="005E60A6"/>
    <w:rsid w:val="005E6328"/>
    <w:rsid w:val="005E6E57"/>
    <w:rsid w:val="005E72BD"/>
    <w:rsid w:val="005E7BC4"/>
    <w:rsid w:val="005F0245"/>
    <w:rsid w:val="005F03DD"/>
    <w:rsid w:val="005F098A"/>
    <w:rsid w:val="005F0E61"/>
    <w:rsid w:val="005F17C6"/>
    <w:rsid w:val="005F1992"/>
    <w:rsid w:val="005F2004"/>
    <w:rsid w:val="005F217D"/>
    <w:rsid w:val="005F312F"/>
    <w:rsid w:val="005F3281"/>
    <w:rsid w:val="005F32A4"/>
    <w:rsid w:val="005F3593"/>
    <w:rsid w:val="005F35DB"/>
    <w:rsid w:val="005F3A68"/>
    <w:rsid w:val="005F3B1A"/>
    <w:rsid w:val="005F4089"/>
    <w:rsid w:val="005F46D0"/>
    <w:rsid w:val="005F48B4"/>
    <w:rsid w:val="005F4B69"/>
    <w:rsid w:val="005F4DE9"/>
    <w:rsid w:val="005F5639"/>
    <w:rsid w:val="005F5A11"/>
    <w:rsid w:val="005F5AE9"/>
    <w:rsid w:val="005F5E8C"/>
    <w:rsid w:val="005F607C"/>
    <w:rsid w:val="005F64EA"/>
    <w:rsid w:val="005F68BF"/>
    <w:rsid w:val="005F76F0"/>
    <w:rsid w:val="005F7ACE"/>
    <w:rsid w:val="005F7CCC"/>
    <w:rsid w:val="006005FA"/>
    <w:rsid w:val="00600A12"/>
    <w:rsid w:val="00600B3E"/>
    <w:rsid w:val="00600D0B"/>
    <w:rsid w:val="00600FC9"/>
    <w:rsid w:val="0060106B"/>
    <w:rsid w:val="00601703"/>
    <w:rsid w:val="00601AFA"/>
    <w:rsid w:val="00602656"/>
    <w:rsid w:val="00602933"/>
    <w:rsid w:val="0060294B"/>
    <w:rsid w:val="00602B92"/>
    <w:rsid w:val="00602DAB"/>
    <w:rsid w:val="0060347D"/>
    <w:rsid w:val="00603D97"/>
    <w:rsid w:val="00604757"/>
    <w:rsid w:val="00604B0B"/>
    <w:rsid w:val="00604BE2"/>
    <w:rsid w:val="006051E9"/>
    <w:rsid w:val="006054C3"/>
    <w:rsid w:val="00605A01"/>
    <w:rsid w:val="00605A4F"/>
    <w:rsid w:val="00605C41"/>
    <w:rsid w:val="00605D19"/>
    <w:rsid w:val="00606308"/>
    <w:rsid w:val="00606828"/>
    <w:rsid w:val="00606D4D"/>
    <w:rsid w:val="00606DB0"/>
    <w:rsid w:val="006071C1"/>
    <w:rsid w:val="00607D94"/>
    <w:rsid w:val="00607E28"/>
    <w:rsid w:val="006101D0"/>
    <w:rsid w:val="0061034D"/>
    <w:rsid w:val="0061044F"/>
    <w:rsid w:val="00610625"/>
    <w:rsid w:val="0061074A"/>
    <w:rsid w:val="00610F53"/>
    <w:rsid w:val="006121EF"/>
    <w:rsid w:val="00612A36"/>
    <w:rsid w:val="00612D03"/>
    <w:rsid w:val="006131A0"/>
    <w:rsid w:val="00613726"/>
    <w:rsid w:val="00613A09"/>
    <w:rsid w:val="006147A1"/>
    <w:rsid w:val="00614D0F"/>
    <w:rsid w:val="00614FF0"/>
    <w:rsid w:val="00615371"/>
    <w:rsid w:val="0061565B"/>
    <w:rsid w:val="00615A41"/>
    <w:rsid w:val="00615E2B"/>
    <w:rsid w:val="00616097"/>
    <w:rsid w:val="00616119"/>
    <w:rsid w:val="00616453"/>
    <w:rsid w:val="00616D81"/>
    <w:rsid w:val="0061703C"/>
    <w:rsid w:val="00617C2F"/>
    <w:rsid w:val="00617CA5"/>
    <w:rsid w:val="0062083E"/>
    <w:rsid w:val="006210E8"/>
    <w:rsid w:val="006211BD"/>
    <w:rsid w:val="006214A9"/>
    <w:rsid w:val="006218EE"/>
    <w:rsid w:val="00621B39"/>
    <w:rsid w:val="00621E9D"/>
    <w:rsid w:val="00622027"/>
    <w:rsid w:val="006225D5"/>
    <w:rsid w:val="006228B0"/>
    <w:rsid w:val="00622BDF"/>
    <w:rsid w:val="0062389D"/>
    <w:rsid w:val="0062408B"/>
    <w:rsid w:val="0062417A"/>
    <w:rsid w:val="006241FF"/>
    <w:rsid w:val="006242E2"/>
    <w:rsid w:val="00624566"/>
    <w:rsid w:val="0062491C"/>
    <w:rsid w:val="00624A76"/>
    <w:rsid w:val="00625127"/>
    <w:rsid w:val="006253A0"/>
    <w:rsid w:val="006253DE"/>
    <w:rsid w:val="00625947"/>
    <w:rsid w:val="00625949"/>
    <w:rsid w:val="006267CA"/>
    <w:rsid w:val="00626949"/>
    <w:rsid w:val="00627509"/>
    <w:rsid w:val="006278BD"/>
    <w:rsid w:val="00627E4C"/>
    <w:rsid w:val="00627F4D"/>
    <w:rsid w:val="00627FAB"/>
    <w:rsid w:val="00627FEC"/>
    <w:rsid w:val="0063044B"/>
    <w:rsid w:val="00630D15"/>
    <w:rsid w:val="00630E13"/>
    <w:rsid w:val="006311DC"/>
    <w:rsid w:val="006311E3"/>
    <w:rsid w:val="00631714"/>
    <w:rsid w:val="00631C19"/>
    <w:rsid w:val="00631D46"/>
    <w:rsid w:val="006320FB"/>
    <w:rsid w:val="00632332"/>
    <w:rsid w:val="006332B3"/>
    <w:rsid w:val="00633486"/>
    <w:rsid w:val="00633D2F"/>
    <w:rsid w:val="00633DEE"/>
    <w:rsid w:val="006340C6"/>
    <w:rsid w:val="006342AA"/>
    <w:rsid w:val="00634D84"/>
    <w:rsid w:val="006351E8"/>
    <w:rsid w:val="006354AC"/>
    <w:rsid w:val="00635B58"/>
    <w:rsid w:val="00636288"/>
    <w:rsid w:val="00636625"/>
    <w:rsid w:val="006366FC"/>
    <w:rsid w:val="00636778"/>
    <w:rsid w:val="00636AA6"/>
    <w:rsid w:val="00636C5A"/>
    <w:rsid w:val="00637656"/>
    <w:rsid w:val="00637773"/>
    <w:rsid w:val="0063779A"/>
    <w:rsid w:val="00637CC0"/>
    <w:rsid w:val="006407BB"/>
    <w:rsid w:val="00640DBF"/>
    <w:rsid w:val="00640E2E"/>
    <w:rsid w:val="0064118E"/>
    <w:rsid w:val="006417B4"/>
    <w:rsid w:val="00641CA7"/>
    <w:rsid w:val="00641F62"/>
    <w:rsid w:val="00642273"/>
    <w:rsid w:val="006426E2"/>
    <w:rsid w:val="00642A97"/>
    <w:rsid w:val="00643789"/>
    <w:rsid w:val="006438B5"/>
    <w:rsid w:val="006438F2"/>
    <w:rsid w:val="00643D52"/>
    <w:rsid w:val="00643E92"/>
    <w:rsid w:val="006446C3"/>
    <w:rsid w:val="00644737"/>
    <w:rsid w:val="0064551F"/>
    <w:rsid w:val="00645FDE"/>
    <w:rsid w:val="00645FE0"/>
    <w:rsid w:val="00646203"/>
    <w:rsid w:val="00646472"/>
    <w:rsid w:val="0064647C"/>
    <w:rsid w:val="00646633"/>
    <w:rsid w:val="00647256"/>
    <w:rsid w:val="006476FC"/>
    <w:rsid w:val="00647A97"/>
    <w:rsid w:val="006500E0"/>
    <w:rsid w:val="00650551"/>
    <w:rsid w:val="0065082A"/>
    <w:rsid w:val="00650951"/>
    <w:rsid w:val="00651131"/>
    <w:rsid w:val="0065181D"/>
    <w:rsid w:val="00651A7D"/>
    <w:rsid w:val="00651AE1"/>
    <w:rsid w:val="00651D8F"/>
    <w:rsid w:val="00651E8D"/>
    <w:rsid w:val="00652122"/>
    <w:rsid w:val="00652474"/>
    <w:rsid w:val="006528B1"/>
    <w:rsid w:val="00652B02"/>
    <w:rsid w:val="00652F66"/>
    <w:rsid w:val="00653705"/>
    <w:rsid w:val="00655455"/>
    <w:rsid w:val="00655773"/>
    <w:rsid w:val="00655959"/>
    <w:rsid w:val="00655C26"/>
    <w:rsid w:val="00655C8C"/>
    <w:rsid w:val="00655D6F"/>
    <w:rsid w:val="00656D66"/>
    <w:rsid w:val="00657116"/>
    <w:rsid w:val="00657E0F"/>
    <w:rsid w:val="006600E4"/>
    <w:rsid w:val="00660774"/>
    <w:rsid w:val="00660D64"/>
    <w:rsid w:val="00662348"/>
    <w:rsid w:val="0066243D"/>
    <w:rsid w:val="00662442"/>
    <w:rsid w:val="0066268E"/>
    <w:rsid w:val="00663999"/>
    <w:rsid w:val="00665183"/>
    <w:rsid w:val="00665C48"/>
    <w:rsid w:val="00665F52"/>
    <w:rsid w:val="00666589"/>
    <w:rsid w:val="00667714"/>
    <w:rsid w:val="00667AD0"/>
    <w:rsid w:val="00667CFD"/>
    <w:rsid w:val="006700EA"/>
    <w:rsid w:val="0067035E"/>
    <w:rsid w:val="00670428"/>
    <w:rsid w:val="0067054C"/>
    <w:rsid w:val="00670F94"/>
    <w:rsid w:val="006714BE"/>
    <w:rsid w:val="00671582"/>
    <w:rsid w:val="006715A6"/>
    <w:rsid w:val="0067198D"/>
    <w:rsid w:val="006719A6"/>
    <w:rsid w:val="00671BBB"/>
    <w:rsid w:val="00671BF9"/>
    <w:rsid w:val="00672004"/>
    <w:rsid w:val="006721DF"/>
    <w:rsid w:val="0067277F"/>
    <w:rsid w:val="00672944"/>
    <w:rsid w:val="0067333D"/>
    <w:rsid w:val="00673BAB"/>
    <w:rsid w:val="00673DB7"/>
    <w:rsid w:val="00674119"/>
    <w:rsid w:val="00674A11"/>
    <w:rsid w:val="00675265"/>
    <w:rsid w:val="00675B35"/>
    <w:rsid w:val="00675CE3"/>
    <w:rsid w:val="00675DF9"/>
    <w:rsid w:val="00676407"/>
    <w:rsid w:val="006769EA"/>
    <w:rsid w:val="00676C76"/>
    <w:rsid w:val="00676D0F"/>
    <w:rsid w:val="00676E28"/>
    <w:rsid w:val="0067771D"/>
    <w:rsid w:val="00680305"/>
    <w:rsid w:val="006805E4"/>
    <w:rsid w:val="0068073F"/>
    <w:rsid w:val="006808A2"/>
    <w:rsid w:val="00681B30"/>
    <w:rsid w:val="00681FE6"/>
    <w:rsid w:val="00682047"/>
    <w:rsid w:val="006824F2"/>
    <w:rsid w:val="00682633"/>
    <w:rsid w:val="00682C5B"/>
    <w:rsid w:val="00682F1F"/>
    <w:rsid w:val="00683A3D"/>
    <w:rsid w:val="00683CDE"/>
    <w:rsid w:val="00683D40"/>
    <w:rsid w:val="00683E54"/>
    <w:rsid w:val="00684431"/>
    <w:rsid w:val="006849B2"/>
    <w:rsid w:val="0068592E"/>
    <w:rsid w:val="00685CDF"/>
    <w:rsid w:val="00686123"/>
    <w:rsid w:val="00686447"/>
    <w:rsid w:val="006866F6"/>
    <w:rsid w:val="00686921"/>
    <w:rsid w:val="00686BAC"/>
    <w:rsid w:val="00687028"/>
    <w:rsid w:val="00687785"/>
    <w:rsid w:val="006878DB"/>
    <w:rsid w:val="00687BD8"/>
    <w:rsid w:val="00687BF1"/>
    <w:rsid w:val="00687E2C"/>
    <w:rsid w:val="006900C8"/>
    <w:rsid w:val="00690670"/>
    <w:rsid w:val="00690C1A"/>
    <w:rsid w:val="006914E0"/>
    <w:rsid w:val="00691570"/>
    <w:rsid w:val="006920DE"/>
    <w:rsid w:val="00692364"/>
    <w:rsid w:val="00692776"/>
    <w:rsid w:val="00692863"/>
    <w:rsid w:val="00692947"/>
    <w:rsid w:val="00692EAC"/>
    <w:rsid w:val="00692F8D"/>
    <w:rsid w:val="00693807"/>
    <w:rsid w:val="006939C9"/>
    <w:rsid w:val="006942B2"/>
    <w:rsid w:val="00694CC7"/>
    <w:rsid w:val="006951C4"/>
    <w:rsid w:val="0069538F"/>
    <w:rsid w:val="00695990"/>
    <w:rsid w:val="006963A8"/>
    <w:rsid w:val="0069663D"/>
    <w:rsid w:val="00696B0F"/>
    <w:rsid w:val="00697BF8"/>
    <w:rsid w:val="006A00CD"/>
    <w:rsid w:val="006A0153"/>
    <w:rsid w:val="006A04AC"/>
    <w:rsid w:val="006A0D1E"/>
    <w:rsid w:val="006A0DFF"/>
    <w:rsid w:val="006A0EA7"/>
    <w:rsid w:val="006A1060"/>
    <w:rsid w:val="006A11B3"/>
    <w:rsid w:val="006A2DAC"/>
    <w:rsid w:val="006A3063"/>
    <w:rsid w:val="006A32E3"/>
    <w:rsid w:val="006A4116"/>
    <w:rsid w:val="006A48A7"/>
    <w:rsid w:val="006A4C5A"/>
    <w:rsid w:val="006A4D5D"/>
    <w:rsid w:val="006A4DFD"/>
    <w:rsid w:val="006A5F75"/>
    <w:rsid w:val="006A6201"/>
    <w:rsid w:val="006A64C9"/>
    <w:rsid w:val="006A6590"/>
    <w:rsid w:val="006A6C73"/>
    <w:rsid w:val="006A727F"/>
    <w:rsid w:val="006B042A"/>
    <w:rsid w:val="006B0ACC"/>
    <w:rsid w:val="006B0CBB"/>
    <w:rsid w:val="006B0E81"/>
    <w:rsid w:val="006B17B1"/>
    <w:rsid w:val="006B2285"/>
    <w:rsid w:val="006B28FD"/>
    <w:rsid w:val="006B2BA1"/>
    <w:rsid w:val="006B2CAF"/>
    <w:rsid w:val="006B2D0A"/>
    <w:rsid w:val="006B2D5E"/>
    <w:rsid w:val="006B3FB6"/>
    <w:rsid w:val="006B429F"/>
    <w:rsid w:val="006B443A"/>
    <w:rsid w:val="006B4622"/>
    <w:rsid w:val="006B46E5"/>
    <w:rsid w:val="006B4C3C"/>
    <w:rsid w:val="006B5033"/>
    <w:rsid w:val="006B535E"/>
    <w:rsid w:val="006B5403"/>
    <w:rsid w:val="006B5593"/>
    <w:rsid w:val="006B59FD"/>
    <w:rsid w:val="006B79E0"/>
    <w:rsid w:val="006C07AB"/>
    <w:rsid w:val="006C0802"/>
    <w:rsid w:val="006C1186"/>
    <w:rsid w:val="006C11BA"/>
    <w:rsid w:val="006C15BB"/>
    <w:rsid w:val="006C331B"/>
    <w:rsid w:val="006C3451"/>
    <w:rsid w:val="006C3816"/>
    <w:rsid w:val="006C3E6A"/>
    <w:rsid w:val="006C3EBB"/>
    <w:rsid w:val="006C3F49"/>
    <w:rsid w:val="006C4007"/>
    <w:rsid w:val="006C4204"/>
    <w:rsid w:val="006C42D5"/>
    <w:rsid w:val="006C4D99"/>
    <w:rsid w:val="006C53E5"/>
    <w:rsid w:val="006C6028"/>
    <w:rsid w:val="006C704E"/>
    <w:rsid w:val="006C7EF9"/>
    <w:rsid w:val="006D00F0"/>
    <w:rsid w:val="006D035C"/>
    <w:rsid w:val="006D073F"/>
    <w:rsid w:val="006D088E"/>
    <w:rsid w:val="006D0DDE"/>
    <w:rsid w:val="006D0F7E"/>
    <w:rsid w:val="006D11E0"/>
    <w:rsid w:val="006D1377"/>
    <w:rsid w:val="006D1DA0"/>
    <w:rsid w:val="006D205F"/>
    <w:rsid w:val="006D29E5"/>
    <w:rsid w:val="006D2C5B"/>
    <w:rsid w:val="006D2C86"/>
    <w:rsid w:val="006D2E79"/>
    <w:rsid w:val="006D365E"/>
    <w:rsid w:val="006D3A01"/>
    <w:rsid w:val="006D3AF3"/>
    <w:rsid w:val="006D3B15"/>
    <w:rsid w:val="006D3EA7"/>
    <w:rsid w:val="006D4068"/>
    <w:rsid w:val="006D507F"/>
    <w:rsid w:val="006D55BA"/>
    <w:rsid w:val="006D5E4D"/>
    <w:rsid w:val="006D5F31"/>
    <w:rsid w:val="006D607E"/>
    <w:rsid w:val="006D664A"/>
    <w:rsid w:val="006D6762"/>
    <w:rsid w:val="006D68C2"/>
    <w:rsid w:val="006D6D39"/>
    <w:rsid w:val="006D710A"/>
    <w:rsid w:val="006D7395"/>
    <w:rsid w:val="006D7FD6"/>
    <w:rsid w:val="006E03A3"/>
    <w:rsid w:val="006E062B"/>
    <w:rsid w:val="006E0E94"/>
    <w:rsid w:val="006E0F34"/>
    <w:rsid w:val="006E0F66"/>
    <w:rsid w:val="006E10B3"/>
    <w:rsid w:val="006E13D8"/>
    <w:rsid w:val="006E21A7"/>
    <w:rsid w:val="006E21AE"/>
    <w:rsid w:val="006E255D"/>
    <w:rsid w:val="006E2AFA"/>
    <w:rsid w:val="006E2FC2"/>
    <w:rsid w:val="006E2FE5"/>
    <w:rsid w:val="006E38EE"/>
    <w:rsid w:val="006E3B1A"/>
    <w:rsid w:val="006E3D84"/>
    <w:rsid w:val="006E3F34"/>
    <w:rsid w:val="006E404D"/>
    <w:rsid w:val="006E46FA"/>
    <w:rsid w:val="006E4A12"/>
    <w:rsid w:val="006E519F"/>
    <w:rsid w:val="006E580E"/>
    <w:rsid w:val="006E5938"/>
    <w:rsid w:val="006E6697"/>
    <w:rsid w:val="006E6990"/>
    <w:rsid w:val="006E748D"/>
    <w:rsid w:val="006E768A"/>
    <w:rsid w:val="006E7A9D"/>
    <w:rsid w:val="006E7E1B"/>
    <w:rsid w:val="006E7EC3"/>
    <w:rsid w:val="006E7ED0"/>
    <w:rsid w:val="006F0010"/>
    <w:rsid w:val="006F012B"/>
    <w:rsid w:val="006F07E0"/>
    <w:rsid w:val="006F0AB4"/>
    <w:rsid w:val="006F0D9F"/>
    <w:rsid w:val="006F10BD"/>
    <w:rsid w:val="006F16AA"/>
    <w:rsid w:val="006F1800"/>
    <w:rsid w:val="006F20CA"/>
    <w:rsid w:val="006F328B"/>
    <w:rsid w:val="006F35CA"/>
    <w:rsid w:val="006F37A0"/>
    <w:rsid w:val="006F3A70"/>
    <w:rsid w:val="006F3AD8"/>
    <w:rsid w:val="006F449A"/>
    <w:rsid w:val="006F4671"/>
    <w:rsid w:val="006F4C71"/>
    <w:rsid w:val="006F4E2F"/>
    <w:rsid w:val="006F5EFE"/>
    <w:rsid w:val="006F5F3F"/>
    <w:rsid w:val="006F6494"/>
    <w:rsid w:val="006F6A85"/>
    <w:rsid w:val="006F6D93"/>
    <w:rsid w:val="006F6F4A"/>
    <w:rsid w:val="006F706E"/>
    <w:rsid w:val="006F7522"/>
    <w:rsid w:val="006F792C"/>
    <w:rsid w:val="006F7D81"/>
    <w:rsid w:val="00701A52"/>
    <w:rsid w:val="00701DA4"/>
    <w:rsid w:val="0070231C"/>
    <w:rsid w:val="007024FE"/>
    <w:rsid w:val="00702A7A"/>
    <w:rsid w:val="007039CC"/>
    <w:rsid w:val="00703F39"/>
    <w:rsid w:val="00704251"/>
    <w:rsid w:val="007053A2"/>
    <w:rsid w:val="0070564C"/>
    <w:rsid w:val="00705C4F"/>
    <w:rsid w:val="00705F5C"/>
    <w:rsid w:val="007060E2"/>
    <w:rsid w:val="007064D6"/>
    <w:rsid w:val="007069A4"/>
    <w:rsid w:val="00706A31"/>
    <w:rsid w:val="007077BA"/>
    <w:rsid w:val="00707F5B"/>
    <w:rsid w:val="0071021D"/>
    <w:rsid w:val="00710285"/>
    <w:rsid w:val="00710410"/>
    <w:rsid w:val="00710AAC"/>
    <w:rsid w:val="0071116A"/>
    <w:rsid w:val="00711313"/>
    <w:rsid w:val="0071193A"/>
    <w:rsid w:val="00711A40"/>
    <w:rsid w:val="007120B1"/>
    <w:rsid w:val="0071220D"/>
    <w:rsid w:val="00713010"/>
    <w:rsid w:val="0071301D"/>
    <w:rsid w:val="00713108"/>
    <w:rsid w:val="00713349"/>
    <w:rsid w:val="0071357E"/>
    <w:rsid w:val="00713CF1"/>
    <w:rsid w:val="007141E4"/>
    <w:rsid w:val="00714793"/>
    <w:rsid w:val="007148FE"/>
    <w:rsid w:val="00714911"/>
    <w:rsid w:val="00715154"/>
    <w:rsid w:val="00715506"/>
    <w:rsid w:val="00715A53"/>
    <w:rsid w:val="00715B46"/>
    <w:rsid w:val="00715F28"/>
    <w:rsid w:val="00715F7D"/>
    <w:rsid w:val="00716F81"/>
    <w:rsid w:val="0071760C"/>
    <w:rsid w:val="0072035D"/>
    <w:rsid w:val="007203A9"/>
    <w:rsid w:val="00720AB6"/>
    <w:rsid w:val="00720BB1"/>
    <w:rsid w:val="00720CA6"/>
    <w:rsid w:val="00720D73"/>
    <w:rsid w:val="00720E7B"/>
    <w:rsid w:val="00721206"/>
    <w:rsid w:val="007221FF"/>
    <w:rsid w:val="00722B47"/>
    <w:rsid w:val="007232B1"/>
    <w:rsid w:val="00723AC8"/>
    <w:rsid w:val="0072407A"/>
    <w:rsid w:val="00724466"/>
    <w:rsid w:val="00724931"/>
    <w:rsid w:val="007249B2"/>
    <w:rsid w:val="00724B93"/>
    <w:rsid w:val="00724BED"/>
    <w:rsid w:val="0072553F"/>
    <w:rsid w:val="007255D2"/>
    <w:rsid w:val="0072649B"/>
    <w:rsid w:val="0072660F"/>
    <w:rsid w:val="00726DCD"/>
    <w:rsid w:val="007272B0"/>
    <w:rsid w:val="00727370"/>
    <w:rsid w:val="0072762E"/>
    <w:rsid w:val="00730231"/>
    <w:rsid w:val="00730881"/>
    <w:rsid w:val="0073178D"/>
    <w:rsid w:val="00731F09"/>
    <w:rsid w:val="00732241"/>
    <w:rsid w:val="007329E3"/>
    <w:rsid w:val="00732A08"/>
    <w:rsid w:val="00733392"/>
    <w:rsid w:val="00733E8B"/>
    <w:rsid w:val="007340A3"/>
    <w:rsid w:val="0073410F"/>
    <w:rsid w:val="00734285"/>
    <w:rsid w:val="00734327"/>
    <w:rsid w:val="0073467F"/>
    <w:rsid w:val="00734968"/>
    <w:rsid w:val="00734978"/>
    <w:rsid w:val="00734981"/>
    <w:rsid w:val="007353A1"/>
    <w:rsid w:val="0073560E"/>
    <w:rsid w:val="007362F4"/>
    <w:rsid w:val="00736D4A"/>
    <w:rsid w:val="00737151"/>
    <w:rsid w:val="0073732B"/>
    <w:rsid w:val="00737FF0"/>
    <w:rsid w:val="007409AF"/>
    <w:rsid w:val="00740A3A"/>
    <w:rsid w:val="00740CA9"/>
    <w:rsid w:val="00740E1C"/>
    <w:rsid w:val="00740EBC"/>
    <w:rsid w:val="00740FB4"/>
    <w:rsid w:val="00741179"/>
    <w:rsid w:val="00741D6E"/>
    <w:rsid w:val="00741EFE"/>
    <w:rsid w:val="00742265"/>
    <w:rsid w:val="007427F3"/>
    <w:rsid w:val="00742CED"/>
    <w:rsid w:val="00743029"/>
    <w:rsid w:val="0074306C"/>
    <w:rsid w:val="007432D6"/>
    <w:rsid w:val="00743641"/>
    <w:rsid w:val="007437FD"/>
    <w:rsid w:val="00743B49"/>
    <w:rsid w:val="00743DB1"/>
    <w:rsid w:val="00744053"/>
    <w:rsid w:val="00744C2E"/>
    <w:rsid w:val="00745236"/>
    <w:rsid w:val="00745565"/>
    <w:rsid w:val="007459D3"/>
    <w:rsid w:val="0074634B"/>
    <w:rsid w:val="00746E18"/>
    <w:rsid w:val="00746E6F"/>
    <w:rsid w:val="007474DB"/>
    <w:rsid w:val="0074757F"/>
    <w:rsid w:val="00747EC5"/>
    <w:rsid w:val="007501C0"/>
    <w:rsid w:val="00750549"/>
    <w:rsid w:val="007506E3"/>
    <w:rsid w:val="007506F1"/>
    <w:rsid w:val="00750827"/>
    <w:rsid w:val="00750833"/>
    <w:rsid w:val="00750DC4"/>
    <w:rsid w:val="0075147A"/>
    <w:rsid w:val="007518B5"/>
    <w:rsid w:val="0075218A"/>
    <w:rsid w:val="007525A9"/>
    <w:rsid w:val="007525CE"/>
    <w:rsid w:val="00752D1E"/>
    <w:rsid w:val="0075362F"/>
    <w:rsid w:val="007536DB"/>
    <w:rsid w:val="007538FA"/>
    <w:rsid w:val="00753E61"/>
    <w:rsid w:val="00754055"/>
    <w:rsid w:val="00754EA1"/>
    <w:rsid w:val="007555D6"/>
    <w:rsid w:val="0075635F"/>
    <w:rsid w:val="00757014"/>
    <w:rsid w:val="00757237"/>
    <w:rsid w:val="007573F2"/>
    <w:rsid w:val="007574CD"/>
    <w:rsid w:val="0075783D"/>
    <w:rsid w:val="007578C5"/>
    <w:rsid w:val="007601A0"/>
    <w:rsid w:val="0076068A"/>
    <w:rsid w:val="0076106F"/>
    <w:rsid w:val="007614C5"/>
    <w:rsid w:val="007620C6"/>
    <w:rsid w:val="00762259"/>
    <w:rsid w:val="007623BB"/>
    <w:rsid w:val="00762866"/>
    <w:rsid w:val="00762A8E"/>
    <w:rsid w:val="00762C3C"/>
    <w:rsid w:val="00762D24"/>
    <w:rsid w:val="00763703"/>
    <w:rsid w:val="007644A9"/>
    <w:rsid w:val="007649C0"/>
    <w:rsid w:val="00764B83"/>
    <w:rsid w:val="00764F76"/>
    <w:rsid w:val="00765427"/>
    <w:rsid w:val="00765E9B"/>
    <w:rsid w:val="007666BF"/>
    <w:rsid w:val="0076731F"/>
    <w:rsid w:val="007679A9"/>
    <w:rsid w:val="00767BF5"/>
    <w:rsid w:val="00767F92"/>
    <w:rsid w:val="0077030C"/>
    <w:rsid w:val="007703C5"/>
    <w:rsid w:val="0077044D"/>
    <w:rsid w:val="0077070D"/>
    <w:rsid w:val="00770908"/>
    <w:rsid w:val="00770AD6"/>
    <w:rsid w:val="00770B37"/>
    <w:rsid w:val="00771460"/>
    <w:rsid w:val="007727E0"/>
    <w:rsid w:val="00772CC2"/>
    <w:rsid w:val="00772E98"/>
    <w:rsid w:val="007733A3"/>
    <w:rsid w:val="00773961"/>
    <w:rsid w:val="0077399A"/>
    <w:rsid w:val="00773A2C"/>
    <w:rsid w:val="00774337"/>
    <w:rsid w:val="007744DF"/>
    <w:rsid w:val="007746E4"/>
    <w:rsid w:val="007747F8"/>
    <w:rsid w:val="007748BD"/>
    <w:rsid w:val="00774B33"/>
    <w:rsid w:val="00774F6F"/>
    <w:rsid w:val="0077612B"/>
    <w:rsid w:val="007761B6"/>
    <w:rsid w:val="00776595"/>
    <w:rsid w:val="00776B3F"/>
    <w:rsid w:val="00777031"/>
    <w:rsid w:val="007770F3"/>
    <w:rsid w:val="00777588"/>
    <w:rsid w:val="00777E35"/>
    <w:rsid w:val="00780B1E"/>
    <w:rsid w:val="0078120C"/>
    <w:rsid w:val="007814C1"/>
    <w:rsid w:val="00781E43"/>
    <w:rsid w:val="007825B9"/>
    <w:rsid w:val="007831E1"/>
    <w:rsid w:val="007833F5"/>
    <w:rsid w:val="00783656"/>
    <w:rsid w:val="007836EC"/>
    <w:rsid w:val="0078377C"/>
    <w:rsid w:val="00783F38"/>
    <w:rsid w:val="00784595"/>
    <w:rsid w:val="0078545E"/>
    <w:rsid w:val="007865E2"/>
    <w:rsid w:val="0079024C"/>
    <w:rsid w:val="00790C62"/>
    <w:rsid w:val="00790CFF"/>
    <w:rsid w:val="00790FF4"/>
    <w:rsid w:val="00791669"/>
    <w:rsid w:val="00791DEC"/>
    <w:rsid w:val="00791F66"/>
    <w:rsid w:val="007926BE"/>
    <w:rsid w:val="007929BD"/>
    <w:rsid w:val="00792A39"/>
    <w:rsid w:val="00793230"/>
    <w:rsid w:val="007933DF"/>
    <w:rsid w:val="00793883"/>
    <w:rsid w:val="00794243"/>
    <w:rsid w:val="00794865"/>
    <w:rsid w:val="0079491D"/>
    <w:rsid w:val="00794B45"/>
    <w:rsid w:val="00795290"/>
    <w:rsid w:val="007957A8"/>
    <w:rsid w:val="00795883"/>
    <w:rsid w:val="007960D9"/>
    <w:rsid w:val="00796A28"/>
    <w:rsid w:val="00797393"/>
    <w:rsid w:val="00797427"/>
    <w:rsid w:val="00797CFE"/>
    <w:rsid w:val="007A030F"/>
    <w:rsid w:val="007A057C"/>
    <w:rsid w:val="007A0611"/>
    <w:rsid w:val="007A06E7"/>
    <w:rsid w:val="007A095D"/>
    <w:rsid w:val="007A0DD6"/>
    <w:rsid w:val="007A1344"/>
    <w:rsid w:val="007A1994"/>
    <w:rsid w:val="007A1A74"/>
    <w:rsid w:val="007A1EED"/>
    <w:rsid w:val="007A20D1"/>
    <w:rsid w:val="007A20DF"/>
    <w:rsid w:val="007A26F5"/>
    <w:rsid w:val="007A2A00"/>
    <w:rsid w:val="007A338A"/>
    <w:rsid w:val="007A38B9"/>
    <w:rsid w:val="007A3A28"/>
    <w:rsid w:val="007A3C2F"/>
    <w:rsid w:val="007A4F61"/>
    <w:rsid w:val="007A5A27"/>
    <w:rsid w:val="007A5C78"/>
    <w:rsid w:val="007A5EFC"/>
    <w:rsid w:val="007A6181"/>
    <w:rsid w:val="007A648E"/>
    <w:rsid w:val="007A6DDD"/>
    <w:rsid w:val="007A70C7"/>
    <w:rsid w:val="007A74A3"/>
    <w:rsid w:val="007A77BD"/>
    <w:rsid w:val="007B0161"/>
    <w:rsid w:val="007B0232"/>
    <w:rsid w:val="007B024C"/>
    <w:rsid w:val="007B0832"/>
    <w:rsid w:val="007B1135"/>
    <w:rsid w:val="007B14AF"/>
    <w:rsid w:val="007B16DA"/>
    <w:rsid w:val="007B17B9"/>
    <w:rsid w:val="007B1D1F"/>
    <w:rsid w:val="007B2646"/>
    <w:rsid w:val="007B26FA"/>
    <w:rsid w:val="007B2DBC"/>
    <w:rsid w:val="007B2E5A"/>
    <w:rsid w:val="007B2EDD"/>
    <w:rsid w:val="007B3B73"/>
    <w:rsid w:val="007B463B"/>
    <w:rsid w:val="007B4997"/>
    <w:rsid w:val="007B4DCE"/>
    <w:rsid w:val="007B56BD"/>
    <w:rsid w:val="007B5C26"/>
    <w:rsid w:val="007B5DD3"/>
    <w:rsid w:val="007B604E"/>
    <w:rsid w:val="007B62AA"/>
    <w:rsid w:val="007B66DC"/>
    <w:rsid w:val="007B722B"/>
    <w:rsid w:val="007B75D3"/>
    <w:rsid w:val="007B78C2"/>
    <w:rsid w:val="007C00A2"/>
    <w:rsid w:val="007C0C41"/>
    <w:rsid w:val="007C0F49"/>
    <w:rsid w:val="007C1469"/>
    <w:rsid w:val="007C1528"/>
    <w:rsid w:val="007C1BDD"/>
    <w:rsid w:val="007C1D5E"/>
    <w:rsid w:val="007C216F"/>
    <w:rsid w:val="007C24C4"/>
    <w:rsid w:val="007C2648"/>
    <w:rsid w:val="007C2845"/>
    <w:rsid w:val="007C290B"/>
    <w:rsid w:val="007C2962"/>
    <w:rsid w:val="007C3CA4"/>
    <w:rsid w:val="007C3DAB"/>
    <w:rsid w:val="007C468A"/>
    <w:rsid w:val="007C48C8"/>
    <w:rsid w:val="007C4ADF"/>
    <w:rsid w:val="007C5601"/>
    <w:rsid w:val="007C594A"/>
    <w:rsid w:val="007C620C"/>
    <w:rsid w:val="007C6A7F"/>
    <w:rsid w:val="007C7012"/>
    <w:rsid w:val="007C7786"/>
    <w:rsid w:val="007C7853"/>
    <w:rsid w:val="007C79A7"/>
    <w:rsid w:val="007D0777"/>
    <w:rsid w:val="007D0969"/>
    <w:rsid w:val="007D20D8"/>
    <w:rsid w:val="007D2407"/>
    <w:rsid w:val="007D2F81"/>
    <w:rsid w:val="007D3A59"/>
    <w:rsid w:val="007D4118"/>
    <w:rsid w:val="007D4258"/>
    <w:rsid w:val="007D428F"/>
    <w:rsid w:val="007D4405"/>
    <w:rsid w:val="007D4813"/>
    <w:rsid w:val="007D4FDF"/>
    <w:rsid w:val="007D597D"/>
    <w:rsid w:val="007D59F7"/>
    <w:rsid w:val="007D5CDD"/>
    <w:rsid w:val="007D5D24"/>
    <w:rsid w:val="007D6132"/>
    <w:rsid w:val="007D6224"/>
    <w:rsid w:val="007D650F"/>
    <w:rsid w:val="007D6673"/>
    <w:rsid w:val="007D675B"/>
    <w:rsid w:val="007D7213"/>
    <w:rsid w:val="007E0259"/>
    <w:rsid w:val="007E035D"/>
    <w:rsid w:val="007E0372"/>
    <w:rsid w:val="007E132C"/>
    <w:rsid w:val="007E1886"/>
    <w:rsid w:val="007E188C"/>
    <w:rsid w:val="007E2737"/>
    <w:rsid w:val="007E2C76"/>
    <w:rsid w:val="007E2CC6"/>
    <w:rsid w:val="007E30E2"/>
    <w:rsid w:val="007E31AF"/>
    <w:rsid w:val="007E3520"/>
    <w:rsid w:val="007E396C"/>
    <w:rsid w:val="007E3A10"/>
    <w:rsid w:val="007E40BD"/>
    <w:rsid w:val="007E4666"/>
    <w:rsid w:val="007E48AA"/>
    <w:rsid w:val="007E4AD9"/>
    <w:rsid w:val="007E4B52"/>
    <w:rsid w:val="007E4CA7"/>
    <w:rsid w:val="007E51A2"/>
    <w:rsid w:val="007E5B24"/>
    <w:rsid w:val="007E600C"/>
    <w:rsid w:val="007E6B57"/>
    <w:rsid w:val="007F1095"/>
    <w:rsid w:val="007F139D"/>
    <w:rsid w:val="007F15EB"/>
    <w:rsid w:val="007F1978"/>
    <w:rsid w:val="007F240E"/>
    <w:rsid w:val="007F27EB"/>
    <w:rsid w:val="007F302A"/>
    <w:rsid w:val="007F399D"/>
    <w:rsid w:val="007F4066"/>
    <w:rsid w:val="007F4095"/>
    <w:rsid w:val="007F46B6"/>
    <w:rsid w:val="007F50BF"/>
    <w:rsid w:val="007F5127"/>
    <w:rsid w:val="007F545A"/>
    <w:rsid w:val="007F54C5"/>
    <w:rsid w:val="007F5BC4"/>
    <w:rsid w:val="007F5CBD"/>
    <w:rsid w:val="007F5EA7"/>
    <w:rsid w:val="007F6D9E"/>
    <w:rsid w:val="007F70BF"/>
    <w:rsid w:val="007F748D"/>
    <w:rsid w:val="007F76FF"/>
    <w:rsid w:val="007F7C82"/>
    <w:rsid w:val="007F7CF8"/>
    <w:rsid w:val="007F7F34"/>
    <w:rsid w:val="00800489"/>
    <w:rsid w:val="008004A3"/>
    <w:rsid w:val="00800910"/>
    <w:rsid w:val="0080130A"/>
    <w:rsid w:val="0080135E"/>
    <w:rsid w:val="00801818"/>
    <w:rsid w:val="00801DD4"/>
    <w:rsid w:val="00801F09"/>
    <w:rsid w:val="00802747"/>
    <w:rsid w:val="00803083"/>
    <w:rsid w:val="00803A69"/>
    <w:rsid w:val="00803A74"/>
    <w:rsid w:val="00803DE8"/>
    <w:rsid w:val="00803EA2"/>
    <w:rsid w:val="00804089"/>
    <w:rsid w:val="00804695"/>
    <w:rsid w:val="008052AA"/>
    <w:rsid w:val="00805994"/>
    <w:rsid w:val="008059B5"/>
    <w:rsid w:val="00805A7E"/>
    <w:rsid w:val="008064E8"/>
    <w:rsid w:val="008067AD"/>
    <w:rsid w:val="00806AD2"/>
    <w:rsid w:val="00806E27"/>
    <w:rsid w:val="00807001"/>
    <w:rsid w:val="008071C4"/>
    <w:rsid w:val="00807369"/>
    <w:rsid w:val="008073F1"/>
    <w:rsid w:val="00807895"/>
    <w:rsid w:val="008107DE"/>
    <w:rsid w:val="008109BD"/>
    <w:rsid w:val="008115AB"/>
    <w:rsid w:val="008119B3"/>
    <w:rsid w:val="00811C8C"/>
    <w:rsid w:val="00811EDC"/>
    <w:rsid w:val="008120F9"/>
    <w:rsid w:val="00812119"/>
    <w:rsid w:val="00812BA6"/>
    <w:rsid w:val="0081321D"/>
    <w:rsid w:val="00813593"/>
    <w:rsid w:val="00814337"/>
    <w:rsid w:val="008143A5"/>
    <w:rsid w:val="0081442E"/>
    <w:rsid w:val="008145A8"/>
    <w:rsid w:val="008148C2"/>
    <w:rsid w:val="00814F26"/>
    <w:rsid w:val="0081517B"/>
    <w:rsid w:val="0081584B"/>
    <w:rsid w:val="00815E56"/>
    <w:rsid w:val="00815F1D"/>
    <w:rsid w:val="008165EF"/>
    <w:rsid w:val="0081744C"/>
    <w:rsid w:val="008174DD"/>
    <w:rsid w:val="008177BA"/>
    <w:rsid w:val="00817D9D"/>
    <w:rsid w:val="00817FE9"/>
    <w:rsid w:val="00820DE5"/>
    <w:rsid w:val="00820E6F"/>
    <w:rsid w:val="00821121"/>
    <w:rsid w:val="0082149D"/>
    <w:rsid w:val="00821986"/>
    <w:rsid w:val="00822019"/>
    <w:rsid w:val="00822083"/>
    <w:rsid w:val="00822306"/>
    <w:rsid w:val="008223F5"/>
    <w:rsid w:val="008224F1"/>
    <w:rsid w:val="00822EFF"/>
    <w:rsid w:val="0082355D"/>
    <w:rsid w:val="00823750"/>
    <w:rsid w:val="00823817"/>
    <w:rsid w:val="00823CCE"/>
    <w:rsid w:val="00823CEE"/>
    <w:rsid w:val="00823FBD"/>
    <w:rsid w:val="00824612"/>
    <w:rsid w:val="00824D87"/>
    <w:rsid w:val="00825B31"/>
    <w:rsid w:val="00825DC6"/>
    <w:rsid w:val="00825FBA"/>
    <w:rsid w:val="00825FF7"/>
    <w:rsid w:val="008266DB"/>
    <w:rsid w:val="008271EB"/>
    <w:rsid w:val="0082736B"/>
    <w:rsid w:val="008273D0"/>
    <w:rsid w:val="0082759D"/>
    <w:rsid w:val="00827C92"/>
    <w:rsid w:val="008301CD"/>
    <w:rsid w:val="008309C8"/>
    <w:rsid w:val="00830D49"/>
    <w:rsid w:val="008318BF"/>
    <w:rsid w:val="00831D74"/>
    <w:rsid w:val="008325EA"/>
    <w:rsid w:val="00832D58"/>
    <w:rsid w:val="00832EAD"/>
    <w:rsid w:val="00832ED1"/>
    <w:rsid w:val="00833563"/>
    <w:rsid w:val="00833D2E"/>
    <w:rsid w:val="00834012"/>
    <w:rsid w:val="00834069"/>
    <w:rsid w:val="00834215"/>
    <w:rsid w:val="00834526"/>
    <w:rsid w:val="00834C4B"/>
    <w:rsid w:val="008354A5"/>
    <w:rsid w:val="0083566A"/>
    <w:rsid w:val="00835C51"/>
    <w:rsid w:val="00836118"/>
    <w:rsid w:val="0083620E"/>
    <w:rsid w:val="00836529"/>
    <w:rsid w:val="00836761"/>
    <w:rsid w:val="00836A24"/>
    <w:rsid w:val="00836ABE"/>
    <w:rsid w:val="00836BB6"/>
    <w:rsid w:val="0083736A"/>
    <w:rsid w:val="00837472"/>
    <w:rsid w:val="00837719"/>
    <w:rsid w:val="00837AED"/>
    <w:rsid w:val="0084077A"/>
    <w:rsid w:val="00840924"/>
    <w:rsid w:val="008412FF"/>
    <w:rsid w:val="00841332"/>
    <w:rsid w:val="008422C9"/>
    <w:rsid w:val="00842D03"/>
    <w:rsid w:val="00844432"/>
    <w:rsid w:val="00844497"/>
    <w:rsid w:val="0084536A"/>
    <w:rsid w:val="00845712"/>
    <w:rsid w:val="008459EF"/>
    <w:rsid w:val="00845B39"/>
    <w:rsid w:val="00845F36"/>
    <w:rsid w:val="00846180"/>
    <w:rsid w:val="008466EF"/>
    <w:rsid w:val="00846753"/>
    <w:rsid w:val="00846D27"/>
    <w:rsid w:val="00846E11"/>
    <w:rsid w:val="00846F15"/>
    <w:rsid w:val="00847ACA"/>
    <w:rsid w:val="00847D1D"/>
    <w:rsid w:val="00847D6B"/>
    <w:rsid w:val="00850E7D"/>
    <w:rsid w:val="0085160D"/>
    <w:rsid w:val="008516D8"/>
    <w:rsid w:val="00852BC6"/>
    <w:rsid w:val="00853EA3"/>
    <w:rsid w:val="00854533"/>
    <w:rsid w:val="008550B4"/>
    <w:rsid w:val="0085541B"/>
    <w:rsid w:val="00855E94"/>
    <w:rsid w:val="00856047"/>
    <w:rsid w:val="0085785E"/>
    <w:rsid w:val="00857AC6"/>
    <w:rsid w:val="00857F4B"/>
    <w:rsid w:val="00860A56"/>
    <w:rsid w:val="0086129A"/>
    <w:rsid w:val="008614D0"/>
    <w:rsid w:val="008615B0"/>
    <w:rsid w:val="008615D6"/>
    <w:rsid w:val="00861628"/>
    <w:rsid w:val="0086186D"/>
    <w:rsid w:val="00861E2B"/>
    <w:rsid w:val="008623B1"/>
    <w:rsid w:val="008623B2"/>
    <w:rsid w:val="00862561"/>
    <w:rsid w:val="00862AA7"/>
    <w:rsid w:val="00862C00"/>
    <w:rsid w:val="00862DB7"/>
    <w:rsid w:val="00863817"/>
    <w:rsid w:val="00863D44"/>
    <w:rsid w:val="00863FFD"/>
    <w:rsid w:val="00864002"/>
    <w:rsid w:val="00864430"/>
    <w:rsid w:val="00864568"/>
    <w:rsid w:val="00864C2A"/>
    <w:rsid w:val="00864C72"/>
    <w:rsid w:val="0086502E"/>
    <w:rsid w:val="00865D60"/>
    <w:rsid w:val="0086705A"/>
    <w:rsid w:val="00867782"/>
    <w:rsid w:val="0087055D"/>
    <w:rsid w:val="008706AB"/>
    <w:rsid w:val="0087117B"/>
    <w:rsid w:val="008712DC"/>
    <w:rsid w:val="0087156F"/>
    <w:rsid w:val="00871BC1"/>
    <w:rsid w:val="00871EEF"/>
    <w:rsid w:val="0087239C"/>
    <w:rsid w:val="00872574"/>
    <w:rsid w:val="00872C76"/>
    <w:rsid w:val="00872CE3"/>
    <w:rsid w:val="008731F5"/>
    <w:rsid w:val="00873500"/>
    <w:rsid w:val="00873634"/>
    <w:rsid w:val="008737FA"/>
    <w:rsid w:val="00873E54"/>
    <w:rsid w:val="00873E9E"/>
    <w:rsid w:val="0087472E"/>
    <w:rsid w:val="0087541D"/>
    <w:rsid w:val="00875660"/>
    <w:rsid w:val="0087584B"/>
    <w:rsid w:val="00875C2D"/>
    <w:rsid w:val="00875CB6"/>
    <w:rsid w:val="00876A5C"/>
    <w:rsid w:val="00876B7E"/>
    <w:rsid w:val="0087726C"/>
    <w:rsid w:val="008775F0"/>
    <w:rsid w:val="00877D12"/>
    <w:rsid w:val="00877DC8"/>
    <w:rsid w:val="00877EBF"/>
    <w:rsid w:val="00880C53"/>
    <w:rsid w:val="00880CE9"/>
    <w:rsid w:val="00880F84"/>
    <w:rsid w:val="0088129A"/>
    <w:rsid w:val="008813E3"/>
    <w:rsid w:val="0088165F"/>
    <w:rsid w:val="00881A8C"/>
    <w:rsid w:val="0088234E"/>
    <w:rsid w:val="00882D46"/>
    <w:rsid w:val="008843EB"/>
    <w:rsid w:val="00884AD2"/>
    <w:rsid w:val="00884C16"/>
    <w:rsid w:val="00884F8F"/>
    <w:rsid w:val="00885475"/>
    <w:rsid w:val="00885863"/>
    <w:rsid w:val="00885B71"/>
    <w:rsid w:val="00886946"/>
    <w:rsid w:val="00886A92"/>
    <w:rsid w:val="00886E28"/>
    <w:rsid w:val="008871E7"/>
    <w:rsid w:val="00887233"/>
    <w:rsid w:val="0088751F"/>
    <w:rsid w:val="008878C7"/>
    <w:rsid w:val="008879C0"/>
    <w:rsid w:val="00887E5F"/>
    <w:rsid w:val="00890CF7"/>
    <w:rsid w:val="00890F79"/>
    <w:rsid w:val="00891726"/>
    <w:rsid w:val="00891E95"/>
    <w:rsid w:val="00891F6A"/>
    <w:rsid w:val="00892508"/>
    <w:rsid w:val="00892941"/>
    <w:rsid w:val="00892C2C"/>
    <w:rsid w:val="00892C52"/>
    <w:rsid w:val="00892D19"/>
    <w:rsid w:val="00893016"/>
    <w:rsid w:val="00893ECE"/>
    <w:rsid w:val="00893F31"/>
    <w:rsid w:val="0089444E"/>
    <w:rsid w:val="008945C4"/>
    <w:rsid w:val="0089483D"/>
    <w:rsid w:val="008948AB"/>
    <w:rsid w:val="008949A7"/>
    <w:rsid w:val="008950A0"/>
    <w:rsid w:val="008950E1"/>
    <w:rsid w:val="0089520F"/>
    <w:rsid w:val="008952A7"/>
    <w:rsid w:val="0089545C"/>
    <w:rsid w:val="00895786"/>
    <w:rsid w:val="00895D46"/>
    <w:rsid w:val="00897014"/>
    <w:rsid w:val="0089703B"/>
    <w:rsid w:val="0089711A"/>
    <w:rsid w:val="0089714B"/>
    <w:rsid w:val="00897260"/>
    <w:rsid w:val="00897BE0"/>
    <w:rsid w:val="008A0D91"/>
    <w:rsid w:val="008A1922"/>
    <w:rsid w:val="008A1B4E"/>
    <w:rsid w:val="008A25BC"/>
    <w:rsid w:val="008A2ADB"/>
    <w:rsid w:val="008A2B02"/>
    <w:rsid w:val="008A3234"/>
    <w:rsid w:val="008A446A"/>
    <w:rsid w:val="008A46DC"/>
    <w:rsid w:val="008A472B"/>
    <w:rsid w:val="008A5840"/>
    <w:rsid w:val="008A6717"/>
    <w:rsid w:val="008A673B"/>
    <w:rsid w:val="008A69E0"/>
    <w:rsid w:val="008A6DF0"/>
    <w:rsid w:val="008A6F6D"/>
    <w:rsid w:val="008A76A6"/>
    <w:rsid w:val="008A7737"/>
    <w:rsid w:val="008B024B"/>
    <w:rsid w:val="008B02C9"/>
    <w:rsid w:val="008B0958"/>
    <w:rsid w:val="008B0B7E"/>
    <w:rsid w:val="008B0DEF"/>
    <w:rsid w:val="008B0E60"/>
    <w:rsid w:val="008B0EDB"/>
    <w:rsid w:val="008B1017"/>
    <w:rsid w:val="008B1034"/>
    <w:rsid w:val="008B1506"/>
    <w:rsid w:val="008B1584"/>
    <w:rsid w:val="008B1996"/>
    <w:rsid w:val="008B2207"/>
    <w:rsid w:val="008B22D9"/>
    <w:rsid w:val="008B271E"/>
    <w:rsid w:val="008B3A5E"/>
    <w:rsid w:val="008B45A1"/>
    <w:rsid w:val="008B4678"/>
    <w:rsid w:val="008B479C"/>
    <w:rsid w:val="008B4BBC"/>
    <w:rsid w:val="008B50DB"/>
    <w:rsid w:val="008B5446"/>
    <w:rsid w:val="008B5520"/>
    <w:rsid w:val="008B5D5E"/>
    <w:rsid w:val="008B61D9"/>
    <w:rsid w:val="008B6806"/>
    <w:rsid w:val="008B6C10"/>
    <w:rsid w:val="008B729F"/>
    <w:rsid w:val="008B76BC"/>
    <w:rsid w:val="008B76C3"/>
    <w:rsid w:val="008B79FB"/>
    <w:rsid w:val="008B7B83"/>
    <w:rsid w:val="008B7D5F"/>
    <w:rsid w:val="008C05B3"/>
    <w:rsid w:val="008C0BED"/>
    <w:rsid w:val="008C1470"/>
    <w:rsid w:val="008C2761"/>
    <w:rsid w:val="008C2F27"/>
    <w:rsid w:val="008C2FB9"/>
    <w:rsid w:val="008C333D"/>
    <w:rsid w:val="008C33BD"/>
    <w:rsid w:val="008C3EB4"/>
    <w:rsid w:val="008C4403"/>
    <w:rsid w:val="008C4AD3"/>
    <w:rsid w:val="008C4E84"/>
    <w:rsid w:val="008C52A9"/>
    <w:rsid w:val="008C5672"/>
    <w:rsid w:val="008C5CAA"/>
    <w:rsid w:val="008C5E4D"/>
    <w:rsid w:val="008C617B"/>
    <w:rsid w:val="008C6235"/>
    <w:rsid w:val="008C69EB"/>
    <w:rsid w:val="008C6B75"/>
    <w:rsid w:val="008C6EEC"/>
    <w:rsid w:val="008C7BB1"/>
    <w:rsid w:val="008C7C96"/>
    <w:rsid w:val="008C7E7B"/>
    <w:rsid w:val="008C7EA5"/>
    <w:rsid w:val="008C7F1E"/>
    <w:rsid w:val="008D0340"/>
    <w:rsid w:val="008D0441"/>
    <w:rsid w:val="008D048E"/>
    <w:rsid w:val="008D0535"/>
    <w:rsid w:val="008D05BD"/>
    <w:rsid w:val="008D0766"/>
    <w:rsid w:val="008D0C30"/>
    <w:rsid w:val="008D0DCF"/>
    <w:rsid w:val="008D1001"/>
    <w:rsid w:val="008D2192"/>
    <w:rsid w:val="008D2A9D"/>
    <w:rsid w:val="008D2ACF"/>
    <w:rsid w:val="008D3727"/>
    <w:rsid w:val="008D3B34"/>
    <w:rsid w:val="008D47FC"/>
    <w:rsid w:val="008D4F6D"/>
    <w:rsid w:val="008D50E2"/>
    <w:rsid w:val="008D53AB"/>
    <w:rsid w:val="008D56CB"/>
    <w:rsid w:val="008D6695"/>
    <w:rsid w:val="008E0498"/>
    <w:rsid w:val="008E0833"/>
    <w:rsid w:val="008E092B"/>
    <w:rsid w:val="008E0AC1"/>
    <w:rsid w:val="008E1032"/>
    <w:rsid w:val="008E22E6"/>
    <w:rsid w:val="008E2AA8"/>
    <w:rsid w:val="008E2E14"/>
    <w:rsid w:val="008E2FC1"/>
    <w:rsid w:val="008E303D"/>
    <w:rsid w:val="008E344E"/>
    <w:rsid w:val="008E3984"/>
    <w:rsid w:val="008E3C2E"/>
    <w:rsid w:val="008E3D75"/>
    <w:rsid w:val="008E3FC5"/>
    <w:rsid w:val="008E4132"/>
    <w:rsid w:val="008E43B2"/>
    <w:rsid w:val="008E4579"/>
    <w:rsid w:val="008E468F"/>
    <w:rsid w:val="008E46DD"/>
    <w:rsid w:val="008E509A"/>
    <w:rsid w:val="008E57A3"/>
    <w:rsid w:val="008E5886"/>
    <w:rsid w:val="008E5A3E"/>
    <w:rsid w:val="008E5CA6"/>
    <w:rsid w:val="008E5E9C"/>
    <w:rsid w:val="008E71DB"/>
    <w:rsid w:val="008E7393"/>
    <w:rsid w:val="008E7538"/>
    <w:rsid w:val="008F0C34"/>
    <w:rsid w:val="008F1026"/>
    <w:rsid w:val="008F1351"/>
    <w:rsid w:val="008F13AD"/>
    <w:rsid w:val="008F148D"/>
    <w:rsid w:val="008F231C"/>
    <w:rsid w:val="008F2326"/>
    <w:rsid w:val="008F25D1"/>
    <w:rsid w:val="008F29E5"/>
    <w:rsid w:val="008F317E"/>
    <w:rsid w:val="008F34AF"/>
    <w:rsid w:val="008F3614"/>
    <w:rsid w:val="008F36CB"/>
    <w:rsid w:val="008F377D"/>
    <w:rsid w:val="008F3A64"/>
    <w:rsid w:val="008F3B0F"/>
    <w:rsid w:val="008F3B7B"/>
    <w:rsid w:val="008F46A3"/>
    <w:rsid w:val="008F49F9"/>
    <w:rsid w:val="008F5078"/>
    <w:rsid w:val="008F51E8"/>
    <w:rsid w:val="008F548C"/>
    <w:rsid w:val="008F5E90"/>
    <w:rsid w:val="008F6573"/>
    <w:rsid w:val="008F6636"/>
    <w:rsid w:val="008F7BC7"/>
    <w:rsid w:val="008F7DAE"/>
    <w:rsid w:val="008F7E5C"/>
    <w:rsid w:val="00900961"/>
    <w:rsid w:val="00900C35"/>
    <w:rsid w:val="00900CA4"/>
    <w:rsid w:val="009010BF"/>
    <w:rsid w:val="009017A8"/>
    <w:rsid w:val="009018D4"/>
    <w:rsid w:val="00901FA8"/>
    <w:rsid w:val="009021BD"/>
    <w:rsid w:val="00902444"/>
    <w:rsid w:val="009025D4"/>
    <w:rsid w:val="009025FE"/>
    <w:rsid w:val="00902C24"/>
    <w:rsid w:val="009034AB"/>
    <w:rsid w:val="009035B4"/>
    <w:rsid w:val="009037FF"/>
    <w:rsid w:val="00903834"/>
    <w:rsid w:val="00903917"/>
    <w:rsid w:val="00903D6F"/>
    <w:rsid w:val="00903DF6"/>
    <w:rsid w:val="00904214"/>
    <w:rsid w:val="0090433B"/>
    <w:rsid w:val="009049EA"/>
    <w:rsid w:val="00904A93"/>
    <w:rsid w:val="009056CB"/>
    <w:rsid w:val="00905DAF"/>
    <w:rsid w:val="009065C0"/>
    <w:rsid w:val="0090682F"/>
    <w:rsid w:val="00907822"/>
    <w:rsid w:val="00907D53"/>
    <w:rsid w:val="0091022E"/>
    <w:rsid w:val="00910A7E"/>
    <w:rsid w:val="0091257C"/>
    <w:rsid w:val="00912CBE"/>
    <w:rsid w:val="0091372D"/>
    <w:rsid w:val="00914472"/>
    <w:rsid w:val="009148B2"/>
    <w:rsid w:val="00914A50"/>
    <w:rsid w:val="00914A69"/>
    <w:rsid w:val="00914B9F"/>
    <w:rsid w:val="00914D4C"/>
    <w:rsid w:val="00914E2E"/>
    <w:rsid w:val="00914F0A"/>
    <w:rsid w:val="009152A0"/>
    <w:rsid w:val="009154E7"/>
    <w:rsid w:val="009155D8"/>
    <w:rsid w:val="00915AEF"/>
    <w:rsid w:val="00915C73"/>
    <w:rsid w:val="0091615B"/>
    <w:rsid w:val="009161F7"/>
    <w:rsid w:val="009162D4"/>
    <w:rsid w:val="00916ADD"/>
    <w:rsid w:val="009175AB"/>
    <w:rsid w:val="009179E0"/>
    <w:rsid w:val="00917B15"/>
    <w:rsid w:val="00917D80"/>
    <w:rsid w:val="00917E82"/>
    <w:rsid w:val="009200AF"/>
    <w:rsid w:val="009201D3"/>
    <w:rsid w:val="00920316"/>
    <w:rsid w:val="00920577"/>
    <w:rsid w:val="009206B1"/>
    <w:rsid w:val="00920A77"/>
    <w:rsid w:val="0092186D"/>
    <w:rsid w:val="00922505"/>
    <w:rsid w:val="00922519"/>
    <w:rsid w:val="009227CF"/>
    <w:rsid w:val="00922E86"/>
    <w:rsid w:val="0092377F"/>
    <w:rsid w:val="0092511C"/>
    <w:rsid w:val="00925329"/>
    <w:rsid w:val="0092595B"/>
    <w:rsid w:val="00925A4A"/>
    <w:rsid w:val="009261EC"/>
    <w:rsid w:val="0092647F"/>
    <w:rsid w:val="00926A37"/>
    <w:rsid w:val="00926EF6"/>
    <w:rsid w:val="009271E1"/>
    <w:rsid w:val="00927368"/>
    <w:rsid w:val="0092768B"/>
    <w:rsid w:val="009276A4"/>
    <w:rsid w:val="0092777C"/>
    <w:rsid w:val="0092792E"/>
    <w:rsid w:val="00927DE7"/>
    <w:rsid w:val="00930445"/>
    <w:rsid w:val="00930524"/>
    <w:rsid w:val="00930598"/>
    <w:rsid w:val="009309C7"/>
    <w:rsid w:val="00930E8D"/>
    <w:rsid w:val="00931214"/>
    <w:rsid w:val="00931E58"/>
    <w:rsid w:val="00931E62"/>
    <w:rsid w:val="00932C6A"/>
    <w:rsid w:val="00933356"/>
    <w:rsid w:val="00933485"/>
    <w:rsid w:val="0093397F"/>
    <w:rsid w:val="009339AE"/>
    <w:rsid w:val="00933E2A"/>
    <w:rsid w:val="009349BF"/>
    <w:rsid w:val="00934C08"/>
    <w:rsid w:val="00935383"/>
    <w:rsid w:val="009354E4"/>
    <w:rsid w:val="009356D8"/>
    <w:rsid w:val="00935B6B"/>
    <w:rsid w:val="0093697E"/>
    <w:rsid w:val="009369CB"/>
    <w:rsid w:val="00936A88"/>
    <w:rsid w:val="00936FF8"/>
    <w:rsid w:val="00937122"/>
    <w:rsid w:val="0094011D"/>
    <w:rsid w:val="0094022C"/>
    <w:rsid w:val="00940241"/>
    <w:rsid w:val="009402D7"/>
    <w:rsid w:val="0094042A"/>
    <w:rsid w:val="00940506"/>
    <w:rsid w:val="00940A5F"/>
    <w:rsid w:val="00940DFB"/>
    <w:rsid w:val="009412A3"/>
    <w:rsid w:val="00941491"/>
    <w:rsid w:val="00941D92"/>
    <w:rsid w:val="00941FD4"/>
    <w:rsid w:val="009421D8"/>
    <w:rsid w:val="009429DE"/>
    <w:rsid w:val="00942B75"/>
    <w:rsid w:val="00942B76"/>
    <w:rsid w:val="00942FAD"/>
    <w:rsid w:val="00943119"/>
    <w:rsid w:val="0094312A"/>
    <w:rsid w:val="00943510"/>
    <w:rsid w:val="00943B7E"/>
    <w:rsid w:val="00943BCA"/>
    <w:rsid w:val="00943F2D"/>
    <w:rsid w:val="009441EF"/>
    <w:rsid w:val="00944A00"/>
    <w:rsid w:val="00944BF9"/>
    <w:rsid w:val="00944C9C"/>
    <w:rsid w:val="00944CFF"/>
    <w:rsid w:val="0094504C"/>
    <w:rsid w:val="009454B6"/>
    <w:rsid w:val="009454EE"/>
    <w:rsid w:val="009455E3"/>
    <w:rsid w:val="0094567E"/>
    <w:rsid w:val="009456C1"/>
    <w:rsid w:val="00945764"/>
    <w:rsid w:val="00945C0D"/>
    <w:rsid w:val="00945EB9"/>
    <w:rsid w:val="00946101"/>
    <w:rsid w:val="009463CB"/>
    <w:rsid w:val="0094647D"/>
    <w:rsid w:val="00946E8B"/>
    <w:rsid w:val="009502F8"/>
    <w:rsid w:val="009505C4"/>
    <w:rsid w:val="00951784"/>
    <w:rsid w:val="009519E2"/>
    <w:rsid w:val="00951CDF"/>
    <w:rsid w:val="0095228A"/>
    <w:rsid w:val="00953044"/>
    <w:rsid w:val="009533FA"/>
    <w:rsid w:val="00953659"/>
    <w:rsid w:val="009536BC"/>
    <w:rsid w:val="00953BA7"/>
    <w:rsid w:val="00954B86"/>
    <w:rsid w:val="00954E9C"/>
    <w:rsid w:val="00954EB6"/>
    <w:rsid w:val="009553CB"/>
    <w:rsid w:val="00955EB2"/>
    <w:rsid w:val="009562BA"/>
    <w:rsid w:val="00957096"/>
    <w:rsid w:val="009570CE"/>
    <w:rsid w:val="009572AE"/>
    <w:rsid w:val="0095782A"/>
    <w:rsid w:val="009578A6"/>
    <w:rsid w:val="009579F9"/>
    <w:rsid w:val="00957C22"/>
    <w:rsid w:val="00957DA6"/>
    <w:rsid w:val="00957E78"/>
    <w:rsid w:val="00960063"/>
    <w:rsid w:val="00960165"/>
    <w:rsid w:val="009607E2"/>
    <w:rsid w:val="00960964"/>
    <w:rsid w:val="00960A2C"/>
    <w:rsid w:val="00960B89"/>
    <w:rsid w:val="00960E3F"/>
    <w:rsid w:val="00961575"/>
    <w:rsid w:val="00961684"/>
    <w:rsid w:val="00961D6E"/>
    <w:rsid w:val="00961FEB"/>
    <w:rsid w:val="009621FD"/>
    <w:rsid w:val="009624F7"/>
    <w:rsid w:val="0096312A"/>
    <w:rsid w:val="00963792"/>
    <w:rsid w:val="00963B23"/>
    <w:rsid w:val="00963B37"/>
    <w:rsid w:val="00963D4B"/>
    <w:rsid w:val="00964031"/>
    <w:rsid w:val="0096431A"/>
    <w:rsid w:val="00964F33"/>
    <w:rsid w:val="009653B9"/>
    <w:rsid w:val="00965744"/>
    <w:rsid w:val="00965878"/>
    <w:rsid w:val="00966713"/>
    <w:rsid w:val="00966A1B"/>
    <w:rsid w:val="00966B92"/>
    <w:rsid w:val="00966C98"/>
    <w:rsid w:val="00967EB6"/>
    <w:rsid w:val="00970193"/>
    <w:rsid w:val="009702B9"/>
    <w:rsid w:val="00970356"/>
    <w:rsid w:val="00970705"/>
    <w:rsid w:val="00970853"/>
    <w:rsid w:val="009713BE"/>
    <w:rsid w:val="00971B29"/>
    <w:rsid w:val="00971D59"/>
    <w:rsid w:val="009724DF"/>
    <w:rsid w:val="009728AB"/>
    <w:rsid w:val="009731D8"/>
    <w:rsid w:val="0097340D"/>
    <w:rsid w:val="009736C0"/>
    <w:rsid w:val="0097370A"/>
    <w:rsid w:val="009740A7"/>
    <w:rsid w:val="0097413E"/>
    <w:rsid w:val="0097507B"/>
    <w:rsid w:val="0097564D"/>
    <w:rsid w:val="00976635"/>
    <w:rsid w:val="0097703B"/>
    <w:rsid w:val="00977D48"/>
    <w:rsid w:val="00977E6B"/>
    <w:rsid w:val="0098028A"/>
    <w:rsid w:val="009808BA"/>
    <w:rsid w:val="00980BE0"/>
    <w:rsid w:val="009819AB"/>
    <w:rsid w:val="00981BB5"/>
    <w:rsid w:val="00981EF1"/>
    <w:rsid w:val="00981FE5"/>
    <w:rsid w:val="00982490"/>
    <w:rsid w:val="009824C2"/>
    <w:rsid w:val="00982957"/>
    <w:rsid w:val="00982A54"/>
    <w:rsid w:val="00983A3F"/>
    <w:rsid w:val="0098524A"/>
    <w:rsid w:val="00985285"/>
    <w:rsid w:val="00986290"/>
    <w:rsid w:val="00986674"/>
    <w:rsid w:val="00986BC2"/>
    <w:rsid w:val="00986E92"/>
    <w:rsid w:val="00986FCA"/>
    <w:rsid w:val="00987152"/>
    <w:rsid w:val="00987817"/>
    <w:rsid w:val="009878FA"/>
    <w:rsid w:val="00987DDA"/>
    <w:rsid w:val="009905E6"/>
    <w:rsid w:val="0099061C"/>
    <w:rsid w:val="0099144D"/>
    <w:rsid w:val="0099185B"/>
    <w:rsid w:val="00991A16"/>
    <w:rsid w:val="00991A27"/>
    <w:rsid w:val="00991DE8"/>
    <w:rsid w:val="00991E0F"/>
    <w:rsid w:val="00992393"/>
    <w:rsid w:val="00992405"/>
    <w:rsid w:val="00992433"/>
    <w:rsid w:val="00992743"/>
    <w:rsid w:val="00992964"/>
    <w:rsid w:val="00993BB9"/>
    <w:rsid w:val="00993EEB"/>
    <w:rsid w:val="009941EE"/>
    <w:rsid w:val="0099431D"/>
    <w:rsid w:val="0099454A"/>
    <w:rsid w:val="00994845"/>
    <w:rsid w:val="00994B26"/>
    <w:rsid w:val="00994B50"/>
    <w:rsid w:val="00994BD4"/>
    <w:rsid w:val="00994FCF"/>
    <w:rsid w:val="00995C49"/>
    <w:rsid w:val="00995EB3"/>
    <w:rsid w:val="00995EBB"/>
    <w:rsid w:val="00995FE9"/>
    <w:rsid w:val="009964B4"/>
    <w:rsid w:val="0099653E"/>
    <w:rsid w:val="009966B6"/>
    <w:rsid w:val="009974CD"/>
    <w:rsid w:val="009979F7"/>
    <w:rsid w:val="00997C6C"/>
    <w:rsid w:val="009A004A"/>
    <w:rsid w:val="009A032E"/>
    <w:rsid w:val="009A033C"/>
    <w:rsid w:val="009A09E9"/>
    <w:rsid w:val="009A0BAA"/>
    <w:rsid w:val="009A100A"/>
    <w:rsid w:val="009A12EE"/>
    <w:rsid w:val="009A1C46"/>
    <w:rsid w:val="009A21AF"/>
    <w:rsid w:val="009A27BC"/>
    <w:rsid w:val="009A28AA"/>
    <w:rsid w:val="009A2BE0"/>
    <w:rsid w:val="009A34CB"/>
    <w:rsid w:val="009A3AB8"/>
    <w:rsid w:val="009A436D"/>
    <w:rsid w:val="009A44B5"/>
    <w:rsid w:val="009A506B"/>
    <w:rsid w:val="009A56B4"/>
    <w:rsid w:val="009A5AFF"/>
    <w:rsid w:val="009A766E"/>
    <w:rsid w:val="009A791E"/>
    <w:rsid w:val="009A7CAD"/>
    <w:rsid w:val="009B019D"/>
    <w:rsid w:val="009B03BB"/>
    <w:rsid w:val="009B08D7"/>
    <w:rsid w:val="009B0D71"/>
    <w:rsid w:val="009B0F08"/>
    <w:rsid w:val="009B0FB9"/>
    <w:rsid w:val="009B114A"/>
    <w:rsid w:val="009B1449"/>
    <w:rsid w:val="009B15FF"/>
    <w:rsid w:val="009B1619"/>
    <w:rsid w:val="009B186A"/>
    <w:rsid w:val="009B196B"/>
    <w:rsid w:val="009B1A53"/>
    <w:rsid w:val="009B20C6"/>
    <w:rsid w:val="009B27C0"/>
    <w:rsid w:val="009B2851"/>
    <w:rsid w:val="009B2DF2"/>
    <w:rsid w:val="009B2E2F"/>
    <w:rsid w:val="009B30DC"/>
    <w:rsid w:val="009B3594"/>
    <w:rsid w:val="009B36AB"/>
    <w:rsid w:val="009B4785"/>
    <w:rsid w:val="009B49FC"/>
    <w:rsid w:val="009B4D63"/>
    <w:rsid w:val="009B4F2E"/>
    <w:rsid w:val="009B5499"/>
    <w:rsid w:val="009B56DA"/>
    <w:rsid w:val="009B57D1"/>
    <w:rsid w:val="009B5D04"/>
    <w:rsid w:val="009B5E36"/>
    <w:rsid w:val="009B60C5"/>
    <w:rsid w:val="009B6861"/>
    <w:rsid w:val="009B6E1F"/>
    <w:rsid w:val="009B719E"/>
    <w:rsid w:val="009B744B"/>
    <w:rsid w:val="009B7BC3"/>
    <w:rsid w:val="009C053A"/>
    <w:rsid w:val="009C0662"/>
    <w:rsid w:val="009C0A85"/>
    <w:rsid w:val="009C0AE5"/>
    <w:rsid w:val="009C0ECE"/>
    <w:rsid w:val="009C142D"/>
    <w:rsid w:val="009C15AE"/>
    <w:rsid w:val="009C18ED"/>
    <w:rsid w:val="009C1CA0"/>
    <w:rsid w:val="009C1FAF"/>
    <w:rsid w:val="009C3169"/>
    <w:rsid w:val="009C35A2"/>
    <w:rsid w:val="009C39BF"/>
    <w:rsid w:val="009C3B79"/>
    <w:rsid w:val="009C4680"/>
    <w:rsid w:val="009C47A9"/>
    <w:rsid w:val="009C4B61"/>
    <w:rsid w:val="009C4EF9"/>
    <w:rsid w:val="009C5482"/>
    <w:rsid w:val="009C7975"/>
    <w:rsid w:val="009C7E27"/>
    <w:rsid w:val="009C7E67"/>
    <w:rsid w:val="009C7EDC"/>
    <w:rsid w:val="009D04F3"/>
    <w:rsid w:val="009D072D"/>
    <w:rsid w:val="009D099A"/>
    <w:rsid w:val="009D1ED9"/>
    <w:rsid w:val="009D204F"/>
    <w:rsid w:val="009D2C50"/>
    <w:rsid w:val="009D3577"/>
    <w:rsid w:val="009D398F"/>
    <w:rsid w:val="009D3A81"/>
    <w:rsid w:val="009D3D02"/>
    <w:rsid w:val="009D3DC9"/>
    <w:rsid w:val="009D49F7"/>
    <w:rsid w:val="009D4B08"/>
    <w:rsid w:val="009D515E"/>
    <w:rsid w:val="009D541E"/>
    <w:rsid w:val="009D5519"/>
    <w:rsid w:val="009D5F04"/>
    <w:rsid w:val="009D6B67"/>
    <w:rsid w:val="009D73DC"/>
    <w:rsid w:val="009D783E"/>
    <w:rsid w:val="009D791A"/>
    <w:rsid w:val="009E01B7"/>
    <w:rsid w:val="009E01F5"/>
    <w:rsid w:val="009E022D"/>
    <w:rsid w:val="009E0745"/>
    <w:rsid w:val="009E0AC5"/>
    <w:rsid w:val="009E0BF4"/>
    <w:rsid w:val="009E14F8"/>
    <w:rsid w:val="009E173A"/>
    <w:rsid w:val="009E198F"/>
    <w:rsid w:val="009E20D0"/>
    <w:rsid w:val="009E277E"/>
    <w:rsid w:val="009E2786"/>
    <w:rsid w:val="009E2B70"/>
    <w:rsid w:val="009E2D3F"/>
    <w:rsid w:val="009E2EE2"/>
    <w:rsid w:val="009E3048"/>
    <w:rsid w:val="009E308C"/>
    <w:rsid w:val="009E33B0"/>
    <w:rsid w:val="009E3F7A"/>
    <w:rsid w:val="009E409B"/>
    <w:rsid w:val="009E4524"/>
    <w:rsid w:val="009E48FB"/>
    <w:rsid w:val="009E4EB1"/>
    <w:rsid w:val="009E5075"/>
    <w:rsid w:val="009E6188"/>
    <w:rsid w:val="009E61CA"/>
    <w:rsid w:val="009E63A0"/>
    <w:rsid w:val="009E6513"/>
    <w:rsid w:val="009E68B5"/>
    <w:rsid w:val="009E7304"/>
    <w:rsid w:val="009E7322"/>
    <w:rsid w:val="009E734A"/>
    <w:rsid w:val="009E75C6"/>
    <w:rsid w:val="009E786F"/>
    <w:rsid w:val="009F05DC"/>
    <w:rsid w:val="009F0692"/>
    <w:rsid w:val="009F07FD"/>
    <w:rsid w:val="009F104B"/>
    <w:rsid w:val="009F2BBD"/>
    <w:rsid w:val="009F2DD1"/>
    <w:rsid w:val="009F3152"/>
    <w:rsid w:val="009F36BB"/>
    <w:rsid w:val="009F39BF"/>
    <w:rsid w:val="009F3C35"/>
    <w:rsid w:val="009F3D66"/>
    <w:rsid w:val="009F4B9C"/>
    <w:rsid w:val="009F4BD6"/>
    <w:rsid w:val="009F4CC2"/>
    <w:rsid w:val="009F5756"/>
    <w:rsid w:val="009F5AEA"/>
    <w:rsid w:val="009F5C12"/>
    <w:rsid w:val="009F6141"/>
    <w:rsid w:val="009F632D"/>
    <w:rsid w:val="009F6878"/>
    <w:rsid w:val="009F6A8B"/>
    <w:rsid w:val="009F70D6"/>
    <w:rsid w:val="009F7F04"/>
    <w:rsid w:val="00A0056C"/>
    <w:rsid w:val="00A00BDA"/>
    <w:rsid w:val="00A00C5F"/>
    <w:rsid w:val="00A00D3B"/>
    <w:rsid w:val="00A017DD"/>
    <w:rsid w:val="00A02058"/>
    <w:rsid w:val="00A0213D"/>
    <w:rsid w:val="00A02457"/>
    <w:rsid w:val="00A02535"/>
    <w:rsid w:val="00A03031"/>
    <w:rsid w:val="00A03A77"/>
    <w:rsid w:val="00A04FAB"/>
    <w:rsid w:val="00A0542C"/>
    <w:rsid w:val="00A0583C"/>
    <w:rsid w:val="00A05854"/>
    <w:rsid w:val="00A059FE"/>
    <w:rsid w:val="00A05A57"/>
    <w:rsid w:val="00A05EC9"/>
    <w:rsid w:val="00A076A6"/>
    <w:rsid w:val="00A07724"/>
    <w:rsid w:val="00A079AD"/>
    <w:rsid w:val="00A07D83"/>
    <w:rsid w:val="00A107DA"/>
    <w:rsid w:val="00A1101F"/>
    <w:rsid w:val="00A1109F"/>
    <w:rsid w:val="00A110D6"/>
    <w:rsid w:val="00A11606"/>
    <w:rsid w:val="00A12373"/>
    <w:rsid w:val="00A1266B"/>
    <w:rsid w:val="00A126CF"/>
    <w:rsid w:val="00A133A9"/>
    <w:rsid w:val="00A13A62"/>
    <w:rsid w:val="00A13A9B"/>
    <w:rsid w:val="00A141A2"/>
    <w:rsid w:val="00A1422E"/>
    <w:rsid w:val="00A142E8"/>
    <w:rsid w:val="00A14AB9"/>
    <w:rsid w:val="00A153ED"/>
    <w:rsid w:val="00A15549"/>
    <w:rsid w:val="00A161D5"/>
    <w:rsid w:val="00A1623B"/>
    <w:rsid w:val="00A166F3"/>
    <w:rsid w:val="00A16B64"/>
    <w:rsid w:val="00A1734B"/>
    <w:rsid w:val="00A205E3"/>
    <w:rsid w:val="00A207B0"/>
    <w:rsid w:val="00A20E02"/>
    <w:rsid w:val="00A20ED7"/>
    <w:rsid w:val="00A21054"/>
    <w:rsid w:val="00A213E7"/>
    <w:rsid w:val="00A21879"/>
    <w:rsid w:val="00A21BA9"/>
    <w:rsid w:val="00A21D6D"/>
    <w:rsid w:val="00A22111"/>
    <w:rsid w:val="00A2238E"/>
    <w:rsid w:val="00A2255B"/>
    <w:rsid w:val="00A2262E"/>
    <w:rsid w:val="00A2266B"/>
    <w:rsid w:val="00A22D56"/>
    <w:rsid w:val="00A24251"/>
    <w:rsid w:val="00A24AF9"/>
    <w:rsid w:val="00A24F5A"/>
    <w:rsid w:val="00A24FF3"/>
    <w:rsid w:val="00A252ED"/>
    <w:rsid w:val="00A2551D"/>
    <w:rsid w:val="00A25717"/>
    <w:rsid w:val="00A25B1E"/>
    <w:rsid w:val="00A25FE5"/>
    <w:rsid w:val="00A260BA"/>
    <w:rsid w:val="00A26108"/>
    <w:rsid w:val="00A263D4"/>
    <w:rsid w:val="00A2663E"/>
    <w:rsid w:val="00A26BCA"/>
    <w:rsid w:val="00A2728D"/>
    <w:rsid w:val="00A27C11"/>
    <w:rsid w:val="00A27E2E"/>
    <w:rsid w:val="00A31107"/>
    <w:rsid w:val="00A31986"/>
    <w:rsid w:val="00A31A7E"/>
    <w:rsid w:val="00A320DB"/>
    <w:rsid w:val="00A322E8"/>
    <w:rsid w:val="00A324C0"/>
    <w:rsid w:val="00A32738"/>
    <w:rsid w:val="00A32E06"/>
    <w:rsid w:val="00A32F04"/>
    <w:rsid w:val="00A3351A"/>
    <w:rsid w:val="00A33F6D"/>
    <w:rsid w:val="00A341B6"/>
    <w:rsid w:val="00A34244"/>
    <w:rsid w:val="00A34712"/>
    <w:rsid w:val="00A34F92"/>
    <w:rsid w:val="00A350C7"/>
    <w:rsid w:val="00A35240"/>
    <w:rsid w:val="00A3544D"/>
    <w:rsid w:val="00A35478"/>
    <w:rsid w:val="00A35910"/>
    <w:rsid w:val="00A36162"/>
    <w:rsid w:val="00A363C2"/>
    <w:rsid w:val="00A36803"/>
    <w:rsid w:val="00A37023"/>
    <w:rsid w:val="00A37379"/>
    <w:rsid w:val="00A37532"/>
    <w:rsid w:val="00A37E42"/>
    <w:rsid w:val="00A4075B"/>
    <w:rsid w:val="00A407CF"/>
    <w:rsid w:val="00A41204"/>
    <w:rsid w:val="00A41461"/>
    <w:rsid w:val="00A41CD1"/>
    <w:rsid w:val="00A41F42"/>
    <w:rsid w:val="00A420A1"/>
    <w:rsid w:val="00A42350"/>
    <w:rsid w:val="00A42378"/>
    <w:rsid w:val="00A42AEF"/>
    <w:rsid w:val="00A42C7C"/>
    <w:rsid w:val="00A4301B"/>
    <w:rsid w:val="00A43377"/>
    <w:rsid w:val="00A433C2"/>
    <w:rsid w:val="00A434B2"/>
    <w:rsid w:val="00A43BDD"/>
    <w:rsid w:val="00A442D3"/>
    <w:rsid w:val="00A44353"/>
    <w:rsid w:val="00A447D2"/>
    <w:rsid w:val="00A44839"/>
    <w:rsid w:val="00A44866"/>
    <w:rsid w:val="00A4515D"/>
    <w:rsid w:val="00A452C7"/>
    <w:rsid w:val="00A45378"/>
    <w:rsid w:val="00A45D35"/>
    <w:rsid w:val="00A46C76"/>
    <w:rsid w:val="00A4796B"/>
    <w:rsid w:val="00A47E76"/>
    <w:rsid w:val="00A5085D"/>
    <w:rsid w:val="00A50AFA"/>
    <w:rsid w:val="00A50DFF"/>
    <w:rsid w:val="00A50FB7"/>
    <w:rsid w:val="00A51100"/>
    <w:rsid w:val="00A51274"/>
    <w:rsid w:val="00A513C5"/>
    <w:rsid w:val="00A51921"/>
    <w:rsid w:val="00A51FFF"/>
    <w:rsid w:val="00A520FE"/>
    <w:rsid w:val="00A52196"/>
    <w:rsid w:val="00A52507"/>
    <w:rsid w:val="00A5264E"/>
    <w:rsid w:val="00A527AB"/>
    <w:rsid w:val="00A53516"/>
    <w:rsid w:val="00A53AFE"/>
    <w:rsid w:val="00A53D58"/>
    <w:rsid w:val="00A53DD3"/>
    <w:rsid w:val="00A54082"/>
    <w:rsid w:val="00A54265"/>
    <w:rsid w:val="00A554A8"/>
    <w:rsid w:val="00A55996"/>
    <w:rsid w:val="00A55FF5"/>
    <w:rsid w:val="00A565D4"/>
    <w:rsid w:val="00A567B9"/>
    <w:rsid w:val="00A568F9"/>
    <w:rsid w:val="00A5712E"/>
    <w:rsid w:val="00A578AD"/>
    <w:rsid w:val="00A57DCD"/>
    <w:rsid w:val="00A60126"/>
    <w:rsid w:val="00A60878"/>
    <w:rsid w:val="00A612F4"/>
    <w:rsid w:val="00A61602"/>
    <w:rsid w:val="00A61810"/>
    <w:rsid w:val="00A61DFD"/>
    <w:rsid w:val="00A6215B"/>
    <w:rsid w:val="00A628A6"/>
    <w:rsid w:val="00A62AE3"/>
    <w:rsid w:val="00A62E7D"/>
    <w:rsid w:val="00A64416"/>
    <w:rsid w:val="00A64721"/>
    <w:rsid w:val="00A647E2"/>
    <w:rsid w:val="00A64C98"/>
    <w:rsid w:val="00A65242"/>
    <w:rsid w:val="00A652C7"/>
    <w:rsid w:val="00A65DDF"/>
    <w:rsid w:val="00A65E4A"/>
    <w:rsid w:val="00A65FA0"/>
    <w:rsid w:val="00A6626C"/>
    <w:rsid w:val="00A667A2"/>
    <w:rsid w:val="00A66C5A"/>
    <w:rsid w:val="00A66D8F"/>
    <w:rsid w:val="00A66F5C"/>
    <w:rsid w:val="00A67EE6"/>
    <w:rsid w:val="00A703EA"/>
    <w:rsid w:val="00A7060E"/>
    <w:rsid w:val="00A70711"/>
    <w:rsid w:val="00A70773"/>
    <w:rsid w:val="00A70981"/>
    <w:rsid w:val="00A70C38"/>
    <w:rsid w:val="00A70CB7"/>
    <w:rsid w:val="00A71122"/>
    <w:rsid w:val="00A71F7D"/>
    <w:rsid w:val="00A720F4"/>
    <w:rsid w:val="00A722C8"/>
    <w:rsid w:val="00A726D4"/>
    <w:rsid w:val="00A72A6D"/>
    <w:rsid w:val="00A72E8F"/>
    <w:rsid w:val="00A73433"/>
    <w:rsid w:val="00A73890"/>
    <w:rsid w:val="00A738A4"/>
    <w:rsid w:val="00A7391B"/>
    <w:rsid w:val="00A73CC6"/>
    <w:rsid w:val="00A73DFB"/>
    <w:rsid w:val="00A74057"/>
    <w:rsid w:val="00A742E0"/>
    <w:rsid w:val="00A746FA"/>
    <w:rsid w:val="00A74794"/>
    <w:rsid w:val="00A747AC"/>
    <w:rsid w:val="00A748DA"/>
    <w:rsid w:val="00A74CDD"/>
    <w:rsid w:val="00A74FF3"/>
    <w:rsid w:val="00A757BA"/>
    <w:rsid w:val="00A75A55"/>
    <w:rsid w:val="00A75C42"/>
    <w:rsid w:val="00A7626A"/>
    <w:rsid w:val="00A769B1"/>
    <w:rsid w:val="00A76A9D"/>
    <w:rsid w:val="00A77102"/>
    <w:rsid w:val="00A7730D"/>
    <w:rsid w:val="00A80645"/>
    <w:rsid w:val="00A80752"/>
    <w:rsid w:val="00A80AE5"/>
    <w:rsid w:val="00A810ED"/>
    <w:rsid w:val="00A81DC7"/>
    <w:rsid w:val="00A81F95"/>
    <w:rsid w:val="00A82584"/>
    <w:rsid w:val="00A828E5"/>
    <w:rsid w:val="00A82D2E"/>
    <w:rsid w:val="00A82DF1"/>
    <w:rsid w:val="00A82FE5"/>
    <w:rsid w:val="00A83822"/>
    <w:rsid w:val="00A83A46"/>
    <w:rsid w:val="00A83A6E"/>
    <w:rsid w:val="00A83E4C"/>
    <w:rsid w:val="00A83E81"/>
    <w:rsid w:val="00A8497A"/>
    <w:rsid w:val="00A84DCD"/>
    <w:rsid w:val="00A85223"/>
    <w:rsid w:val="00A85418"/>
    <w:rsid w:val="00A85E22"/>
    <w:rsid w:val="00A869CE"/>
    <w:rsid w:val="00A871D0"/>
    <w:rsid w:val="00A8732C"/>
    <w:rsid w:val="00A8779E"/>
    <w:rsid w:val="00A87C04"/>
    <w:rsid w:val="00A90036"/>
    <w:rsid w:val="00A9014E"/>
    <w:rsid w:val="00A90336"/>
    <w:rsid w:val="00A905D9"/>
    <w:rsid w:val="00A90606"/>
    <w:rsid w:val="00A90A3A"/>
    <w:rsid w:val="00A90BFD"/>
    <w:rsid w:val="00A90CB2"/>
    <w:rsid w:val="00A90FF9"/>
    <w:rsid w:val="00A91076"/>
    <w:rsid w:val="00A9179C"/>
    <w:rsid w:val="00A917DD"/>
    <w:rsid w:val="00A918D0"/>
    <w:rsid w:val="00A91C23"/>
    <w:rsid w:val="00A92E53"/>
    <w:rsid w:val="00A94338"/>
    <w:rsid w:val="00A943BC"/>
    <w:rsid w:val="00A9444B"/>
    <w:rsid w:val="00A94516"/>
    <w:rsid w:val="00A948AE"/>
    <w:rsid w:val="00A948C0"/>
    <w:rsid w:val="00A94971"/>
    <w:rsid w:val="00A9576F"/>
    <w:rsid w:val="00A95FB5"/>
    <w:rsid w:val="00A962E5"/>
    <w:rsid w:val="00A963FE"/>
    <w:rsid w:val="00A965DC"/>
    <w:rsid w:val="00A968FA"/>
    <w:rsid w:val="00A96916"/>
    <w:rsid w:val="00A97B4F"/>
    <w:rsid w:val="00AA031A"/>
    <w:rsid w:val="00AA04D5"/>
    <w:rsid w:val="00AA0587"/>
    <w:rsid w:val="00AA0EEF"/>
    <w:rsid w:val="00AA14EC"/>
    <w:rsid w:val="00AA204A"/>
    <w:rsid w:val="00AA26E3"/>
    <w:rsid w:val="00AA2A6F"/>
    <w:rsid w:val="00AA2D41"/>
    <w:rsid w:val="00AA2ED6"/>
    <w:rsid w:val="00AA2F71"/>
    <w:rsid w:val="00AA30BF"/>
    <w:rsid w:val="00AA3164"/>
    <w:rsid w:val="00AA3881"/>
    <w:rsid w:val="00AA38A6"/>
    <w:rsid w:val="00AA3A73"/>
    <w:rsid w:val="00AA3C61"/>
    <w:rsid w:val="00AA4048"/>
    <w:rsid w:val="00AA4E6E"/>
    <w:rsid w:val="00AA5434"/>
    <w:rsid w:val="00AA5C75"/>
    <w:rsid w:val="00AA5FAE"/>
    <w:rsid w:val="00AA600D"/>
    <w:rsid w:val="00AA7CAC"/>
    <w:rsid w:val="00AB047B"/>
    <w:rsid w:val="00AB0486"/>
    <w:rsid w:val="00AB0583"/>
    <w:rsid w:val="00AB0BBB"/>
    <w:rsid w:val="00AB183D"/>
    <w:rsid w:val="00AB1AD7"/>
    <w:rsid w:val="00AB1B62"/>
    <w:rsid w:val="00AB1C25"/>
    <w:rsid w:val="00AB2106"/>
    <w:rsid w:val="00AB2124"/>
    <w:rsid w:val="00AB2D59"/>
    <w:rsid w:val="00AB2DD3"/>
    <w:rsid w:val="00AB2F54"/>
    <w:rsid w:val="00AB33A8"/>
    <w:rsid w:val="00AB3DFD"/>
    <w:rsid w:val="00AB465B"/>
    <w:rsid w:val="00AB47DA"/>
    <w:rsid w:val="00AB493B"/>
    <w:rsid w:val="00AB4B2E"/>
    <w:rsid w:val="00AB4C99"/>
    <w:rsid w:val="00AB5075"/>
    <w:rsid w:val="00AB54FC"/>
    <w:rsid w:val="00AB56F0"/>
    <w:rsid w:val="00AB5AD5"/>
    <w:rsid w:val="00AB6351"/>
    <w:rsid w:val="00AB659C"/>
    <w:rsid w:val="00AB678C"/>
    <w:rsid w:val="00AB736D"/>
    <w:rsid w:val="00AB7679"/>
    <w:rsid w:val="00AB7686"/>
    <w:rsid w:val="00AB7DE4"/>
    <w:rsid w:val="00AB7EDA"/>
    <w:rsid w:val="00AC05D9"/>
    <w:rsid w:val="00AC061B"/>
    <w:rsid w:val="00AC0635"/>
    <w:rsid w:val="00AC0E69"/>
    <w:rsid w:val="00AC1427"/>
    <w:rsid w:val="00AC1EAA"/>
    <w:rsid w:val="00AC2397"/>
    <w:rsid w:val="00AC24DE"/>
    <w:rsid w:val="00AC2FC8"/>
    <w:rsid w:val="00AC3091"/>
    <w:rsid w:val="00AC3951"/>
    <w:rsid w:val="00AC39BC"/>
    <w:rsid w:val="00AC4A95"/>
    <w:rsid w:val="00AC4EB1"/>
    <w:rsid w:val="00AC52E3"/>
    <w:rsid w:val="00AC5369"/>
    <w:rsid w:val="00AC5929"/>
    <w:rsid w:val="00AC5FC0"/>
    <w:rsid w:val="00AC61BE"/>
    <w:rsid w:val="00AC690E"/>
    <w:rsid w:val="00AC7CCB"/>
    <w:rsid w:val="00AC7DAE"/>
    <w:rsid w:val="00AD096F"/>
    <w:rsid w:val="00AD0B46"/>
    <w:rsid w:val="00AD1180"/>
    <w:rsid w:val="00AD11F4"/>
    <w:rsid w:val="00AD1619"/>
    <w:rsid w:val="00AD1823"/>
    <w:rsid w:val="00AD18D0"/>
    <w:rsid w:val="00AD18DB"/>
    <w:rsid w:val="00AD1BFC"/>
    <w:rsid w:val="00AD259F"/>
    <w:rsid w:val="00AD25A9"/>
    <w:rsid w:val="00AD2812"/>
    <w:rsid w:val="00AD2834"/>
    <w:rsid w:val="00AD2B29"/>
    <w:rsid w:val="00AD2DB4"/>
    <w:rsid w:val="00AD2EC2"/>
    <w:rsid w:val="00AD2FC6"/>
    <w:rsid w:val="00AD38E8"/>
    <w:rsid w:val="00AD39D9"/>
    <w:rsid w:val="00AD3FDD"/>
    <w:rsid w:val="00AD44FB"/>
    <w:rsid w:val="00AD45A7"/>
    <w:rsid w:val="00AD4D7E"/>
    <w:rsid w:val="00AD4E0F"/>
    <w:rsid w:val="00AD5698"/>
    <w:rsid w:val="00AD652C"/>
    <w:rsid w:val="00AD6A4E"/>
    <w:rsid w:val="00AD701B"/>
    <w:rsid w:val="00AD72FA"/>
    <w:rsid w:val="00AD7526"/>
    <w:rsid w:val="00AD76CF"/>
    <w:rsid w:val="00AD7BB3"/>
    <w:rsid w:val="00AD7DD9"/>
    <w:rsid w:val="00AE069C"/>
    <w:rsid w:val="00AE0C11"/>
    <w:rsid w:val="00AE0FE4"/>
    <w:rsid w:val="00AE1042"/>
    <w:rsid w:val="00AE18E2"/>
    <w:rsid w:val="00AE1993"/>
    <w:rsid w:val="00AE1DBA"/>
    <w:rsid w:val="00AE212A"/>
    <w:rsid w:val="00AE2AE9"/>
    <w:rsid w:val="00AE2DC4"/>
    <w:rsid w:val="00AE2F6A"/>
    <w:rsid w:val="00AE343D"/>
    <w:rsid w:val="00AE39FA"/>
    <w:rsid w:val="00AE3C70"/>
    <w:rsid w:val="00AE3C73"/>
    <w:rsid w:val="00AE46DA"/>
    <w:rsid w:val="00AE4A5A"/>
    <w:rsid w:val="00AE4E28"/>
    <w:rsid w:val="00AE538B"/>
    <w:rsid w:val="00AE5DE5"/>
    <w:rsid w:val="00AE62B1"/>
    <w:rsid w:val="00AE7518"/>
    <w:rsid w:val="00AE7FD3"/>
    <w:rsid w:val="00AF0407"/>
    <w:rsid w:val="00AF041E"/>
    <w:rsid w:val="00AF0D80"/>
    <w:rsid w:val="00AF0DAD"/>
    <w:rsid w:val="00AF1140"/>
    <w:rsid w:val="00AF143D"/>
    <w:rsid w:val="00AF15C3"/>
    <w:rsid w:val="00AF1629"/>
    <w:rsid w:val="00AF17E2"/>
    <w:rsid w:val="00AF1BAD"/>
    <w:rsid w:val="00AF247C"/>
    <w:rsid w:val="00AF24BF"/>
    <w:rsid w:val="00AF27D6"/>
    <w:rsid w:val="00AF281A"/>
    <w:rsid w:val="00AF2BD3"/>
    <w:rsid w:val="00AF3139"/>
    <w:rsid w:val="00AF3BC0"/>
    <w:rsid w:val="00AF416D"/>
    <w:rsid w:val="00AF481F"/>
    <w:rsid w:val="00AF4B1F"/>
    <w:rsid w:val="00AF4BCB"/>
    <w:rsid w:val="00AF4D4F"/>
    <w:rsid w:val="00AF5364"/>
    <w:rsid w:val="00AF5CD1"/>
    <w:rsid w:val="00AF6130"/>
    <w:rsid w:val="00AF6562"/>
    <w:rsid w:val="00AF6EF4"/>
    <w:rsid w:val="00AF737D"/>
    <w:rsid w:val="00AF7BB8"/>
    <w:rsid w:val="00AF7C05"/>
    <w:rsid w:val="00B0075C"/>
    <w:rsid w:val="00B01742"/>
    <w:rsid w:val="00B01854"/>
    <w:rsid w:val="00B02156"/>
    <w:rsid w:val="00B02293"/>
    <w:rsid w:val="00B03D26"/>
    <w:rsid w:val="00B04BCF"/>
    <w:rsid w:val="00B053AE"/>
    <w:rsid w:val="00B05BCF"/>
    <w:rsid w:val="00B06B3E"/>
    <w:rsid w:val="00B07193"/>
    <w:rsid w:val="00B077FA"/>
    <w:rsid w:val="00B07818"/>
    <w:rsid w:val="00B07A1F"/>
    <w:rsid w:val="00B07BC4"/>
    <w:rsid w:val="00B10753"/>
    <w:rsid w:val="00B107D1"/>
    <w:rsid w:val="00B10AEC"/>
    <w:rsid w:val="00B10BC6"/>
    <w:rsid w:val="00B10EE6"/>
    <w:rsid w:val="00B1194C"/>
    <w:rsid w:val="00B11A33"/>
    <w:rsid w:val="00B11EBE"/>
    <w:rsid w:val="00B12381"/>
    <w:rsid w:val="00B129E2"/>
    <w:rsid w:val="00B1334A"/>
    <w:rsid w:val="00B139DF"/>
    <w:rsid w:val="00B13C56"/>
    <w:rsid w:val="00B13CAF"/>
    <w:rsid w:val="00B14122"/>
    <w:rsid w:val="00B14CF5"/>
    <w:rsid w:val="00B15428"/>
    <w:rsid w:val="00B1595E"/>
    <w:rsid w:val="00B15BDA"/>
    <w:rsid w:val="00B15DAB"/>
    <w:rsid w:val="00B15EB1"/>
    <w:rsid w:val="00B166A0"/>
    <w:rsid w:val="00B16897"/>
    <w:rsid w:val="00B16A7E"/>
    <w:rsid w:val="00B17171"/>
    <w:rsid w:val="00B17288"/>
    <w:rsid w:val="00B175F3"/>
    <w:rsid w:val="00B17E9D"/>
    <w:rsid w:val="00B205C2"/>
    <w:rsid w:val="00B20A3B"/>
    <w:rsid w:val="00B20C88"/>
    <w:rsid w:val="00B214FC"/>
    <w:rsid w:val="00B215B4"/>
    <w:rsid w:val="00B21C2F"/>
    <w:rsid w:val="00B21F8C"/>
    <w:rsid w:val="00B22158"/>
    <w:rsid w:val="00B2246D"/>
    <w:rsid w:val="00B2276D"/>
    <w:rsid w:val="00B22AC7"/>
    <w:rsid w:val="00B22ACD"/>
    <w:rsid w:val="00B2306B"/>
    <w:rsid w:val="00B2345A"/>
    <w:rsid w:val="00B23AB9"/>
    <w:rsid w:val="00B23D1A"/>
    <w:rsid w:val="00B23E3D"/>
    <w:rsid w:val="00B24A2D"/>
    <w:rsid w:val="00B24F0C"/>
    <w:rsid w:val="00B25585"/>
    <w:rsid w:val="00B25606"/>
    <w:rsid w:val="00B25A7A"/>
    <w:rsid w:val="00B25C35"/>
    <w:rsid w:val="00B25D49"/>
    <w:rsid w:val="00B25E27"/>
    <w:rsid w:val="00B2618F"/>
    <w:rsid w:val="00B26222"/>
    <w:rsid w:val="00B2666A"/>
    <w:rsid w:val="00B2677D"/>
    <w:rsid w:val="00B26C27"/>
    <w:rsid w:val="00B26F28"/>
    <w:rsid w:val="00B26FBB"/>
    <w:rsid w:val="00B27008"/>
    <w:rsid w:val="00B27233"/>
    <w:rsid w:val="00B27548"/>
    <w:rsid w:val="00B279FB"/>
    <w:rsid w:val="00B27BD1"/>
    <w:rsid w:val="00B27D4F"/>
    <w:rsid w:val="00B308D3"/>
    <w:rsid w:val="00B30A86"/>
    <w:rsid w:val="00B30BE7"/>
    <w:rsid w:val="00B30F04"/>
    <w:rsid w:val="00B31081"/>
    <w:rsid w:val="00B311C4"/>
    <w:rsid w:val="00B31DAA"/>
    <w:rsid w:val="00B32758"/>
    <w:rsid w:val="00B3289A"/>
    <w:rsid w:val="00B32EA2"/>
    <w:rsid w:val="00B336DB"/>
    <w:rsid w:val="00B3478B"/>
    <w:rsid w:val="00B35478"/>
    <w:rsid w:val="00B35F76"/>
    <w:rsid w:val="00B35FF4"/>
    <w:rsid w:val="00B36487"/>
    <w:rsid w:val="00B3721B"/>
    <w:rsid w:val="00B37B65"/>
    <w:rsid w:val="00B37D7A"/>
    <w:rsid w:val="00B37E47"/>
    <w:rsid w:val="00B37F05"/>
    <w:rsid w:val="00B400FA"/>
    <w:rsid w:val="00B40437"/>
    <w:rsid w:val="00B40AB7"/>
    <w:rsid w:val="00B40CBB"/>
    <w:rsid w:val="00B40EA3"/>
    <w:rsid w:val="00B40EE9"/>
    <w:rsid w:val="00B4181D"/>
    <w:rsid w:val="00B419BE"/>
    <w:rsid w:val="00B41D25"/>
    <w:rsid w:val="00B41E56"/>
    <w:rsid w:val="00B4325D"/>
    <w:rsid w:val="00B43309"/>
    <w:rsid w:val="00B4350B"/>
    <w:rsid w:val="00B43C2B"/>
    <w:rsid w:val="00B43F49"/>
    <w:rsid w:val="00B44111"/>
    <w:rsid w:val="00B44989"/>
    <w:rsid w:val="00B459F6"/>
    <w:rsid w:val="00B46E3C"/>
    <w:rsid w:val="00B46EEC"/>
    <w:rsid w:val="00B47445"/>
    <w:rsid w:val="00B47B7A"/>
    <w:rsid w:val="00B47BB7"/>
    <w:rsid w:val="00B5021E"/>
    <w:rsid w:val="00B50C73"/>
    <w:rsid w:val="00B513E2"/>
    <w:rsid w:val="00B515E2"/>
    <w:rsid w:val="00B52099"/>
    <w:rsid w:val="00B52694"/>
    <w:rsid w:val="00B527DA"/>
    <w:rsid w:val="00B52898"/>
    <w:rsid w:val="00B52E2F"/>
    <w:rsid w:val="00B52FEA"/>
    <w:rsid w:val="00B535FA"/>
    <w:rsid w:val="00B53847"/>
    <w:rsid w:val="00B5389A"/>
    <w:rsid w:val="00B53F83"/>
    <w:rsid w:val="00B54AAC"/>
    <w:rsid w:val="00B54E6B"/>
    <w:rsid w:val="00B552AA"/>
    <w:rsid w:val="00B55F03"/>
    <w:rsid w:val="00B56209"/>
    <w:rsid w:val="00B568C1"/>
    <w:rsid w:val="00B56BC5"/>
    <w:rsid w:val="00B57456"/>
    <w:rsid w:val="00B57492"/>
    <w:rsid w:val="00B57A64"/>
    <w:rsid w:val="00B57ED4"/>
    <w:rsid w:val="00B60859"/>
    <w:rsid w:val="00B60E00"/>
    <w:rsid w:val="00B610CB"/>
    <w:rsid w:val="00B620C8"/>
    <w:rsid w:val="00B62246"/>
    <w:rsid w:val="00B625CB"/>
    <w:rsid w:val="00B62BFF"/>
    <w:rsid w:val="00B63146"/>
    <w:rsid w:val="00B635B9"/>
    <w:rsid w:val="00B637E4"/>
    <w:rsid w:val="00B64752"/>
    <w:rsid w:val="00B6477B"/>
    <w:rsid w:val="00B648BD"/>
    <w:rsid w:val="00B64C74"/>
    <w:rsid w:val="00B64CEC"/>
    <w:rsid w:val="00B64F33"/>
    <w:rsid w:val="00B65295"/>
    <w:rsid w:val="00B654BA"/>
    <w:rsid w:val="00B65636"/>
    <w:rsid w:val="00B6621A"/>
    <w:rsid w:val="00B66546"/>
    <w:rsid w:val="00B66851"/>
    <w:rsid w:val="00B67121"/>
    <w:rsid w:val="00B671B0"/>
    <w:rsid w:val="00B673F5"/>
    <w:rsid w:val="00B677FC"/>
    <w:rsid w:val="00B6780F"/>
    <w:rsid w:val="00B67FA3"/>
    <w:rsid w:val="00B70724"/>
    <w:rsid w:val="00B70B56"/>
    <w:rsid w:val="00B70EAA"/>
    <w:rsid w:val="00B71076"/>
    <w:rsid w:val="00B71150"/>
    <w:rsid w:val="00B7141C"/>
    <w:rsid w:val="00B7166F"/>
    <w:rsid w:val="00B71842"/>
    <w:rsid w:val="00B71C85"/>
    <w:rsid w:val="00B71EC1"/>
    <w:rsid w:val="00B721A8"/>
    <w:rsid w:val="00B72281"/>
    <w:rsid w:val="00B726B4"/>
    <w:rsid w:val="00B73077"/>
    <w:rsid w:val="00B732D9"/>
    <w:rsid w:val="00B736E0"/>
    <w:rsid w:val="00B73AF7"/>
    <w:rsid w:val="00B73E4F"/>
    <w:rsid w:val="00B74FC9"/>
    <w:rsid w:val="00B7506C"/>
    <w:rsid w:val="00B75518"/>
    <w:rsid w:val="00B7579C"/>
    <w:rsid w:val="00B75F53"/>
    <w:rsid w:val="00B7693E"/>
    <w:rsid w:val="00B76C4A"/>
    <w:rsid w:val="00B76F98"/>
    <w:rsid w:val="00B77742"/>
    <w:rsid w:val="00B77C89"/>
    <w:rsid w:val="00B801EE"/>
    <w:rsid w:val="00B80A43"/>
    <w:rsid w:val="00B80F0A"/>
    <w:rsid w:val="00B8186C"/>
    <w:rsid w:val="00B819C1"/>
    <w:rsid w:val="00B81D5E"/>
    <w:rsid w:val="00B8212F"/>
    <w:rsid w:val="00B82670"/>
    <w:rsid w:val="00B82B7B"/>
    <w:rsid w:val="00B82F8D"/>
    <w:rsid w:val="00B8418F"/>
    <w:rsid w:val="00B84720"/>
    <w:rsid w:val="00B848E2"/>
    <w:rsid w:val="00B854C9"/>
    <w:rsid w:val="00B860D7"/>
    <w:rsid w:val="00B86977"/>
    <w:rsid w:val="00B86F84"/>
    <w:rsid w:val="00B8703A"/>
    <w:rsid w:val="00B8728C"/>
    <w:rsid w:val="00B873A0"/>
    <w:rsid w:val="00B873F0"/>
    <w:rsid w:val="00B8767A"/>
    <w:rsid w:val="00B908B9"/>
    <w:rsid w:val="00B916CE"/>
    <w:rsid w:val="00B9197A"/>
    <w:rsid w:val="00B91C4C"/>
    <w:rsid w:val="00B92361"/>
    <w:rsid w:val="00B92407"/>
    <w:rsid w:val="00B92666"/>
    <w:rsid w:val="00B929CA"/>
    <w:rsid w:val="00B92EEB"/>
    <w:rsid w:val="00B93253"/>
    <w:rsid w:val="00B93FF7"/>
    <w:rsid w:val="00B943C2"/>
    <w:rsid w:val="00B95173"/>
    <w:rsid w:val="00B9531C"/>
    <w:rsid w:val="00B95592"/>
    <w:rsid w:val="00B95B2C"/>
    <w:rsid w:val="00B95BB5"/>
    <w:rsid w:val="00B95FFA"/>
    <w:rsid w:val="00B971F2"/>
    <w:rsid w:val="00B973CE"/>
    <w:rsid w:val="00B97563"/>
    <w:rsid w:val="00B97720"/>
    <w:rsid w:val="00B9789D"/>
    <w:rsid w:val="00BA0569"/>
    <w:rsid w:val="00BA07EB"/>
    <w:rsid w:val="00BA0958"/>
    <w:rsid w:val="00BA0A76"/>
    <w:rsid w:val="00BA120D"/>
    <w:rsid w:val="00BA2D31"/>
    <w:rsid w:val="00BA2D9B"/>
    <w:rsid w:val="00BA2E2F"/>
    <w:rsid w:val="00BA3C84"/>
    <w:rsid w:val="00BA3FD6"/>
    <w:rsid w:val="00BA431B"/>
    <w:rsid w:val="00BA497D"/>
    <w:rsid w:val="00BA5155"/>
    <w:rsid w:val="00BA6D9C"/>
    <w:rsid w:val="00BA7044"/>
    <w:rsid w:val="00BA75B3"/>
    <w:rsid w:val="00BA7DF5"/>
    <w:rsid w:val="00BB00A2"/>
    <w:rsid w:val="00BB041B"/>
    <w:rsid w:val="00BB055C"/>
    <w:rsid w:val="00BB056E"/>
    <w:rsid w:val="00BB07A5"/>
    <w:rsid w:val="00BB1040"/>
    <w:rsid w:val="00BB132B"/>
    <w:rsid w:val="00BB22DE"/>
    <w:rsid w:val="00BB2DF7"/>
    <w:rsid w:val="00BB317C"/>
    <w:rsid w:val="00BB33F8"/>
    <w:rsid w:val="00BB3975"/>
    <w:rsid w:val="00BB3D4D"/>
    <w:rsid w:val="00BB4584"/>
    <w:rsid w:val="00BB482C"/>
    <w:rsid w:val="00BB4CE0"/>
    <w:rsid w:val="00BB512D"/>
    <w:rsid w:val="00BB552B"/>
    <w:rsid w:val="00BB59CC"/>
    <w:rsid w:val="00BB6022"/>
    <w:rsid w:val="00BB6178"/>
    <w:rsid w:val="00BB61C7"/>
    <w:rsid w:val="00BB6B96"/>
    <w:rsid w:val="00BB6DC0"/>
    <w:rsid w:val="00BB732A"/>
    <w:rsid w:val="00BB7DD3"/>
    <w:rsid w:val="00BC07C9"/>
    <w:rsid w:val="00BC0AD0"/>
    <w:rsid w:val="00BC0C18"/>
    <w:rsid w:val="00BC0C20"/>
    <w:rsid w:val="00BC1161"/>
    <w:rsid w:val="00BC131D"/>
    <w:rsid w:val="00BC1CE9"/>
    <w:rsid w:val="00BC243C"/>
    <w:rsid w:val="00BC2698"/>
    <w:rsid w:val="00BC271C"/>
    <w:rsid w:val="00BC2AAB"/>
    <w:rsid w:val="00BC2BAE"/>
    <w:rsid w:val="00BC2D1C"/>
    <w:rsid w:val="00BC34A0"/>
    <w:rsid w:val="00BC3A91"/>
    <w:rsid w:val="00BC3B94"/>
    <w:rsid w:val="00BC3EAF"/>
    <w:rsid w:val="00BC4054"/>
    <w:rsid w:val="00BC4373"/>
    <w:rsid w:val="00BC46E9"/>
    <w:rsid w:val="00BC4F7F"/>
    <w:rsid w:val="00BC4F87"/>
    <w:rsid w:val="00BC52B5"/>
    <w:rsid w:val="00BC5486"/>
    <w:rsid w:val="00BC55B4"/>
    <w:rsid w:val="00BC5972"/>
    <w:rsid w:val="00BC622F"/>
    <w:rsid w:val="00BC63E9"/>
    <w:rsid w:val="00BC6467"/>
    <w:rsid w:val="00BC68DD"/>
    <w:rsid w:val="00BC69FC"/>
    <w:rsid w:val="00BC71BA"/>
    <w:rsid w:val="00BD14ED"/>
    <w:rsid w:val="00BD237B"/>
    <w:rsid w:val="00BD255E"/>
    <w:rsid w:val="00BD2CA4"/>
    <w:rsid w:val="00BD2E4F"/>
    <w:rsid w:val="00BD2F43"/>
    <w:rsid w:val="00BD2F73"/>
    <w:rsid w:val="00BD3361"/>
    <w:rsid w:val="00BD3ADB"/>
    <w:rsid w:val="00BD3DE9"/>
    <w:rsid w:val="00BD4569"/>
    <w:rsid w:val="00BD466F"/>
    <w:rsid w:val="00BD4867"/>
    <w:rsid w:val="00BD4C46"/>
    <w:rsid w:val="00BD58DC"/>
    <w:rsid w:val="00BD5938"/>
    <w:rsid w:val="00BD597B"/>
    <w:rsid w:val="00BD601E"/>
    <w:rsid w:val="00BD61D5"/>
    <w:rsid w:val="00BD6911"/>
    <w:rsid w:val="00BD694C"/>
    <w:rsid w:val="00BD6BF1"/>
    <w:rsid w:val="00BD7446"/>
    <w:rsid w:val="00BE053B"/>
    <w:rsid w:val="00BE0540"/>
    <w:rsid w:val="00BE11DB"/>
    <w:rsid w:val="00BE13B0"/>
    <w:rsid w:val="00BE1407"/>
    <w:rsid w:val="00BE154F"/>
    <w:rsid w:val="00BE211C"/>
    <w:rsid w:val="00BE2661"/>
    <w:rsid w:val="00BE30D4"/>
    <w:rsid w:val="00BE3132"/>
    <w:rsid w:val="00BE344E"/>
    <w:rsid w:val="00BE3634"/>
    <w:rsid w:val="00BE3FDF"/>
    <w:rsid w:val="00BE45CB"/>
    <w:rsid w:val="00BE483B"/>
    <w:rsid w:val="00BE4E88"/>
    <w:rsid w:val="00BE5131"/>
    <w:rsid w:val="00BE522F"/>
    <w:rsid w:val="00BE53F7"/>
    <w:rsid w:val="00BE59C6"/>
    <w:rsid w:val="00BE5F56"/>
    <w:rsid w:val="00BE62A4"/>
    <w:rsid w:val="00BE63E5"/>
    <w:rsid w:val="00BE6940"/>
    <w:rsid w:val="00BE7196"/>
    <w:rsid w:val="00BF06BC"/>
    <w:rsid w:val="00BF06EF"/>
    <w:rsid w:val="00BF128E"/>
    <w:rsid w:val="00BF1B01"/>
    <w:rsid w:val="00BF1BE2"/>
    <w:rsid w:val="00BF1C36"/>
    <w:rsid w:val="00BF2427"/>
    <w:rsid w:val="00BF256E"/>
    <w:rsid w:val="00BF32B2"/>
    <w:rsid w:val="00BF3510"/>
    <w:rsid w:val="00BF3720"/>
    <w:rsid w:val="00BF3EAF"/>
    <w:rsid w:val="00BF4097"/>
    <w:rsid w:val="00BF411A"/>
    <w:rsid w:val="00BF42E9"/>
    <w:rsid w:val="00BF4D2A"/>
    <w:rsid w:val="00BF4F56"/>
    <w:rsid w:val="00BF4FFF"/>
    <w:rsid w:val="00BF60C1"/>
    <w:rsid w:val="00BF681F"/>
    <w:rsid w:val="00BF7EC1"/>
    <w:rsid w:val="00BF7FE6"/>
    <w:rsid w:val="00C001A4"/>
    <w:rsid w:val="00C00560"/>
    <w:rsid w:val="00C012BF"/>
    <w:rsid w:val="00C012C4"/>
    <w:rsid w:val="00C013A3"/>
    <w:rsid w:val="00C0192E"/>
    <w:rsid w:val="00C019BB"/>
    <w:rsid w:val="00C01A57"/>
    <w:rsid w:val="00C02AA4"/>
    <w:rsid w:val="00C02C4C"/>
    <w:rsid w:val="00C03044"/>
    <w:rsid w:val="00C033BC"/>
    <w:rsid w:val="00C03BB2"/>
    <w:rsid w:val="00C041E1"/>
    <w:rsid w:val="00C044BB"/>
    <w:rsid w:val="00C0455B"/>
    <w:rsid w:val="00C047D4"/>
    <w:rsid w:val="00C04812"/>
    <w:rsid w:val="00C04857"/>
    <w:rsid w:val="00C04EA1"/>
    <w:rsid w:val="00C04F11"/>
    <w:rsid w:val="00C04F1D"/>
    <w:rsid w:val="00C054CF"/>
    <w:rsid w:val="00C054D9"/>
    <w:rsid w:val="00C05D4C"/>
    <w:rsid w:val="00C061EB"/>
    <w:rsid w:val="00C065CC"/>
    <w:rsid w:val="00C06744"/>
    <w:rsid w:val="00C0686C"/>
    <w:rsid w:val="00C069E5"/>
    <w:rsid w:val="00C06DE7"/>
    <w:rsid w:val="00C06EE6"/>
    <w:rsid w:val="00C07015"/>
    <w:rsid w:val="00C072B3"/>
    <w:rsid w:val="00C07632"/>
    <w:rsid w:val="00C079EA"/>
    <w:rsid w:val="00C10497"/>
    <w:rsid w:val="00C10ABD"/>
    <w:rsid w:val="00C10EEE"/>
    <w:rsid w:val="00C11011"/>
    <w:rsid w:val="00C115F7"/>
    <w:rsid w:val="00C1202C"/>
    <w:rsid w:val="00C120B8"/>
    <w:rsid w:val="00C12889"/>
    <w:rsid w:val="00C1312E"/>
    <w:rsid w:val="00C1369C"/>
    <w:rsid w:val="00C139C6"/>
    <w:rsid w:val="00C140FB"/>
    <w:rsid w:val="00C14632"/>
    <w:rsid w:val="00C14893"/>
    <w:rsid w:val="00C14B52"/>
    <w:rsid w:val="00C156F8"/>
    <w:rsid w:val="00C15C2C"/>
    <w:rsid w:val="00C15D07"/>
    <w:rsid w:val="00C1657E"/>
    <w:rsid w:val="00C165F4"/>
    <w:rsid w:val="00C16631"/>
    <w:rsid w:val="00C16BB8"/>
    <w:rsid w:val="00C16FF7"/>
    <w:rsid w:val="00C1708E"/>
    <w:rsid w:val="00C1795B"/>
    <w:rsid w:val="00C17B9C"/>
    <w:rsid w:val="00C17D11"/>
    <w:rsid w:val="00C17E49"/>
    <w:rsid w:val="00C205EB"/>
    <w:rsid w:val="00C20679"/>
    <w:rsid w:val="00C20852"/>
    <w:rsid w:val="00C20920"/>
    <w:rsid w:val="00C20D89"/>
    <w:rsid w:val="00C21E5D"/>
    <w:rsid w:val="00C223BC"/>
    <w:rsid w:val="00C22A19"/>
    <w:rsid w:val="00C22B97"/>
    <w:rsid w:val="00C22CDF"/>
    <w:rsid w:val="00C22DD2"/>
    <w:rsid w:val="00C2323F"/>
    <w:rsid w:val="00C238DE"/>
    <w:rsid w:val="00C23BA4"/>
    <w:rsid w:val="00C24433"/>
    <w:rsid w:val="00C24B88"/>
    <w:rsid w:val="00C24C17"/>
    <w:rsid w:val="00C24E6B"/>
    <w:rsid w:val="00C256C3"/>
    <w:rsid w:val="00C258D4"/>
    <w:rsid w:val="00C26B44"/>
    <w:rsid w:val="00C26F93"/>
    <w:rsid w:val="00C2754E"/>
    <w:rsid w:val="00C27EDA"/>
    <w:rsid w:val="00C300B7"/>
    <w:rsid w:val="00C3073F"/>
    <w:rsid w:val="00C30BAE"/>
    <w:rsid w:val="00C30D5A"/>
    <w:rsid w:val="00C3146E"/>
    <w:rsid w:val="00C31CFD"/>
    <w:rsid w:val="00C31F8B"/>
    <w:rsid w:val="00C3206F"/>
    <w:rsid w:val="00C320FE"/>
    <w:rsid w:val="00C32243"/>
    <w:rsid w:val="00C325A9"/>
    <w:rsid w:val="00C33469"/>
    <w:rsid w:val="00C33DE4"/>
    <w:rsid w:val="00C33F52"/>
    <w:rsid w:val="00C34C9F"/>
    <w:rsid w:val="00C34CBC"/>
    <w:rsid w:val="00C35063"/>
    <w:rsid w:val="00C3561C"/>
    <w:rsid w:val="00C3589A"/>
    <w:rsid w:val="00C3589F"/>
    <w:rsid w:val="00C35E1E"/>
    <w:rsid w:val="00C367F7"/>
    <w:rsid w:val="00C369E0"/>
    <w:rsid w:val="00C370E1"/>
    <w:rsid w:val="00C378BC"/>
    <w:rsid w:val="00C37DC6"/>
    <w:rsid w:val="00C37E4B"/>
    <w:rsid w:val="00C40275"/>
    <w:rsid w:val="00C402B1"/>
    <w:rsid w:val="00C40700"/>
    <w:rsid w:val="00C40ECD"/>
    <w:rsid w:val="00C410C9"/>
    <w:rsid w:val="00C4112D"/>
    <w:rsid w:val="00C41322"/>
    <w:rsid w:val="00C41574"/>
    <w:rsid w:val="00C41C7C"/>
    <w:rsid w:val="00C41D7A"/>
    <w:rsid w:val="00C4226D"/>
    <w:rsid w:val="00C42582"/>
    <w:rsid w:val="00C4293F"/>
    <w:rsid w:val="00C4332B"/>
    <w:rsid w:val="00C435D5"/>
    <w:rsid w:val="00C43D84"/>
    <w:rsid w:val="00C43E7C"/>
    <w:rsid w:val="00C44015"/>
    <w:rsid w:val="00C4439A"/>
    <w:rsid w:val="00C448B2"/>
    <w:rsid w:val="00C44C58"/>
    <w:rsid w:val="00C44E4C"/>
    <w:rsid w:val="00C46306"/>
    <w:rsid w:val="00C46311"/>
    <w:rsid w:val="00C466A2"/>
    <w:rsid w:val="00C4680B"/>
    <w:rsid w:val="00C4726D"/>
    <w:rsid w:val="00C5014D"/>
    <w:rsid w:val="00C50EDF"/>
    <w:rsid w:val="00C50FC5"/>
    <w:rsid w:val="00C51617"/>
    <w:rsid w:val="00C52400"/>
    <w:rsid w:val="00C525D4"/>
    <w:rsid w:val="00C52903"/>
    <w:rsid w:val="00C53960"/>
    <w:rsid w:val="00C54F9D"/>
    <w:rsid w:val="00C54FB4"/>
    <w:rsid w:val="00C55251"/>
    <w:rsid w:val="00C553ED"/>
    <w:rsid w:val="00C559CE"/>
    <w:rsid w:val="00C57575"/>
    <w:rsid w:val="00C602D8"/>
    <w:rsid w:val="00C6044D"/>
    <w:rsid w:val="00C6059A"/>
    <w:rsid w:val="00C6093C"/>
    <w:rsid w:val="00C60A8E"/>
    <w:rsid w:val="00C610FB"/>
    <w:rsid w:val="00C612E0"/>
    <w:rsid w:val="00C61A09"/>
    <w:rsid w:val="00C61A7D"/>
    <w:rsid w:val="00C61DD4"/>
    <w:rsid w:val="00C61EA9"/>
    <w:rsid w:val="00C62366"/>
    <w:rsid w:val="00C6238B"/>
    <w:rsid w:val="00C6268E"/>
    <w:rsid w:val="00C62D9D"/>
    <w:rsid w:val="00C632DD"/>
    <w:rsid w:val="00C638BE"/>
    <w:rsid w:val="00C63B4B"/>
    <w:rsid w:val="00C647D5"/>
    <w:rsid w:val="00C64902"/>
    <w:rsid w:val="00C6523B"/>
    <w:rsid w:val="00C65950"/>
    <w:rsid w:val="00C66140"/>
    <w:rsid w:val="00C66188"/>
    <w:rsid w:val="00C668DE"/>
    <w:rsid w:val="00C66EBA"/>
    <w:rsid w:val="00C66FD2"/>
    <w:rsid w:val="00C67312"/>
    <w:rsid w:val="00C679E1"/>
    <w:rsid w:val="00C67A28"/>
    <w:rsid w:val="00C67CFF"/>
    <w:rsid w:val="00C70279"/>
    <w:rsid w:val="00C70A71"/>
    <w:rsid w:val="00C7139D"/>
    <w:rsid w:val="00C71F7A"/>
    <w:rsid w:val="00C7262E"/>
    <w:rsid w:val="00C72793"/>
    <w:rsid w:val="00C72910"/>
    <w:rsid w:val="00C72C42"/>
    <w:rsid w:val="00C73E17"/>
    <w:rsid w:val="00C74122"/>
    <w:rsid w:val="00C74420"/>
    <w:rsid w:val="00C7451C"/>
    <w:rsid w:val="00C7495C"/>
    <w:rsid w:val="00C74A5B"/>
    <w:rsid w:val="00C74C08"/>
    <w:rsid w:val="00C74D7B"/>
    <w:rsid w:val="00C74E71"/>
    <w:rsid w:val="00C74EDF"/>
    <w:rsid w:val="00C757B6"/>
    <w:rsid w:val="00C75B8C"/>
    <w:rsid w:val="00C75BC2"/>
    <w:rsid w:val="00C75BC4"/>
    <w:rsid w:val="00C75EFB"/>
    <w:rsid w:val="00C7607C"/>
    <w:rsid w:val="00C76AB7"/>
    <w:rsid w:val="00C77430"/>
    <w:rsid w:val="00C77E77"/>
    <w:rsid w:val="00C801C1"/>
    <w:rsid w:val="00C80884"/>
    <w:rsid w:val="00C80930"/>
    <w:rsid w:val="00C8108A"/>
    <w:rsid w:val="00C81B67"/>
    <w:rsid w:val="00C822B9"/>
    <w:rsid w:val="00C8253A"/>
    <w:rsid w:val="00C8305E"/>
    <w:rsid w:val="00C8340B"/>
    <w:rsid w:val="00C8350D"/>
    <w:rsid w:val="00C83601"/>
    <w:rsid w:val="00C83A85"/>
    <w:rsid w:val="00C842DF"/>
    <w:rsid w:val="00C843B6"/>
    <w:rsid w:val="00C84728"/>
    <w:rsid w:val="00C84C35"/>
    <w:rsid w:val="00C84F53"/>
    <w:rsid w:val="00C854FF"/>
    <w:rsid w:val="00C858BC"/>
    <w:rsid w:val="00C85E5D"/>
    <w:rsid w:val="00C861D3"/>
    <w:rsid w:val="00C86663"/>
    <w:rsid w:val="00C86714"/>
    <w:rsid w:val="00C86722"/>
    <w:rsid w:val="00C876D4"/>
    <w:rsid w:val="00C87FEA"/>
    <w:rsid w:val="00C87FF6"/>
    <w:rsid w:val="00C901F3"/>
    <w:rsid w:val="00C90420"/>
    <w:rsid w:val="00C9067A"/>
    <w:rsid w:val="00C90961"/>
    <w:rsid w:val="00C90C38"/>
    <w:rsid w:val="00C90DB9"/>
    <w:rsid w:val="00C919DA"/>
    <w:rsid w:val="00C91BD7"/>
    <w:rsid w:val="00C91EF8"/>
    <w:rsid w:val="00C92D58"/>
    <w:rsid w:val="00C92E97"/>
    <w:rsid w:val="00C93368"/>
    <w:rsid w:val="00C93421"/>
    <w:rsid w:val="00C9344E"/>
    <w:rsid w:val="00C934E1"/>
    <w:rsid w:val="00C9379E"/>
    <w:rsid w:val="00C93CA8"/>
    <w:rsid w:val="00C94273"/>
    <w:rsid w:val="00C94C94"/>
    <w:rsid w:val="00C94F61"/>
    <w:rsid w:val="00C95103"/>
    <w:rsid w:val="00C9576A"/>
    <w:rsid w:val="00C95E57"/>
    <w:rsid w:val="00C95F20"/>
    <w:rsid w:val="00C9613F"/>
    <w:rsid w:val="00C9626B"/>
    <w:rsid w:val="00C9654E"/>
    <w:rsid w:val="00C96B29"/>
    <w:rsid w:val="00C96CAC"/>
    <w:rsid w:val="00C971B2"/>
    <w:rsid w:val="00C97226"/>
    <w:rsid w:val="00C97556"/>
    <w:rsid w:val="00C97634"/>
    <w:rsid w:val="00C97BBE"/>
    <w:rsid w:val="00CA0023"/>
    <w:rsid w:val="00CA0092"/>
    <w:rsid w:val="00CA1A98"/>
    <w:rsid w:val="00CA1DF9"/>
    <w:rsid w:val="00CA2196"/>
    <w:rsid w:val="00CA3497"/>
    <w:rsid w:val="00CA4103"/>
    <w:rsid w:val="00CA4392"/>
    <w:rsid w:val="00CA4A1B"/>
    <w:rsid w:val="00CA4FC4"/>
    <w:rsid w:val="00CA50EB"/>
    <w:rsid w:val="00CA5868"/>
    <w:rsid w:val="00CA5D06"/>
    <w:rsid w:val="00CA5E46"/>
    <w:rsid w:val="00CA68ED"/>
    <w:rsid w:val="00CA6A05"/>
    <w:rsid w:val="00CA6B9C"/>
    <w:rsid w:val="00CA6C18"/>
    <w:rsid w:val="00CA7249"/>
    <w:rsid w:val="00CA7C00"/>
    <w:rsid w:val="00CA7CE5"/>
    <w:rsid w:val="00CB11AF"/>
    <w:rsid w:val="00CB2265"/>
    <w:rsid w:val="00CB3303"/>
    <w:rsid w:val="00CB359F"/>
    <w:rsid w:val="00CB39CC"/>
    <w:rsid w:val="00CB3A4D"/>
    <w:rsid w:val="00CB41B1"/>
    <w:rsid w:val="00CB421D"/>
    <w:rsid w:val="00CB44B1"/>
    <w:rsid w:val="00CB4655"/>
    <w:rsid w:val="00CB4ABF"/>
    <w:rsid w:val="00CB4CDF"/>
    <w:rsid w:val="00CB4FE3"/>
    <w:rsid w:val="00CB53D1"/>
    <w:rsid w:val="00CB5CE6"/>
    <w:rsid w:val="00CB5D18"/>
    <w:rsid w:val="00CB6523"/>
    <w:rsid w:val="00CB68E0"/>
    <w:rsid w:val="00CB6AE3"/>
    <w:rsid w:val="00CB6C3F"/>
    <w:rsid w:val="00CB7C44"/>
    <w:rsid w:val="00CC0522"/>
    <w:rsid w:val="00CC07F8"/>
    <w:rsid w:val="00CC0B66"/>
    <w:rsid w:val="00CC0C23"/>
    <w:rsid w:val="00CC0D78"/>
    <w:rsid w:val="00CC0F3B"/>
    <w:rsid w:val="00CC1502"/>
    <w:rsid w:val="00CC1A71"/>
    <w:rsid w:val="00CC1BD5"/>
    <w:rsid w:val="00CC1D44"/>
    <w:rsid w:val="00CC26C6"/>
    <w:rsid w:val="00CC272C"/>
    <w:rsid w:val="00CC2F7D"/>
    <w:rsid w:val="00CC374D"/>
    <w:rsid w:val="00CC37E3"/>
    <w:rsid w:val="00CC3A83"/>
    <w:rsid w:val="00CC4023"/>
    <w:rsid w:val="00CC42EB"/>
    <w:rsid w:val="00CC460B"/>
    <w:rsid w:val="00CC4766"/>
    <w:rsid w:val="00CC4A79"/>
    <w:rsid w:val="00CC4E23"/>
    <w:rsid w:val="00CC54E1"/>
    <w:rsid w:val="00CC59E8"/>
    <w:rsid w:val="00CC5E0A"/>
    <w:rsid w:val="00CC5F84"/>
    <w:rsid w:val="00CC5FEB"/>
    <w:rsid w:val="00CC62B6"/>
    <w:rsid w:val="00CC6452"/>
    <w:rsid w:val="00CC6605"/>
    <w:rsid w:val="00CC6614"/>
    <w:rsid w:val="00CC6818"/>
    <w:rsid w:val="00CC6840"/>
    <w:rsid w:val="00CC6E2F"/>
    <w:rsid w:val="00CC708E"/>
    <w:rsid w:val="00CC7BF6"/>
    <w:rsid w:val="00CD174D"/>
    <w:rsid w:val="00CD2532"/>
    <w:rsid w:val="00CD4762"/>
    <w:rsid w:val="00CD47A3"/>
    <w:rsid w:val="00CD483F"/>
    <w:rsid w:val="00CD4F41"/>
    <w:rsid w:val="00CD5482"/>
    <w:rsid w:val="00CD5B90"/>
    <w:rsid w:val="00CD5E58"/>
    <w:rsid w:val="00CD6112"/>
    <w:rsid w:val="00CD6244"/>
    <w:rsid w:val="00CD6510"/>
    <w:rsid w:val="00CD6707"/>
    <w:rsid w:val="00CD6C46"/>
    <w:rsid w:val="00CD6F4D"/>
    <w:rsid w:val="00CD7BA1"/>
    <w:rsid w:val="00CE02A1"/>
    <w:rsid w:val="00CE0921"/>
    <w:rsid w:val="00CE09D8"/>
    <w:rsid w:val="00CE17F6"/>
    <w:rsid w:val="00CE1831"/>
    <w:rsid w:val="00CE1B09"/>
    <w:rsid w:val="00CE1EEE"/>
    <w:rsid w:val="00CE1F71"/>
    <w:rsid w:val="00CE2704"/>
    <w:rsid w:val="00CE2E10"/>
    <w:rsid w:val="00CE3A0C"/>
    <w:rsid w:val="00CE3DAA"/>
    <w:rsid w:val="00CE46A4"/>
    <w:rsid w:val="00CE47E0"/>
    <w:rsid w:val="00CE5596"/>
    <w:rsid w:val="00CE59B3"/>
    <w:rsid w:val="00CE5B69"/>
    <w:rsid w:val="00CE64BA"/>
    <w:rsid w:val="00CE663D"/>
    <w:rsid w:val="00CE6770"/>
    <w:rsid w:val="00CE6E13"/>
    <w:rsid w:val="00CE736A"/>
    <w:rsid w:val="00CE7382"/>
    <w:rsid w:val="00CE78C0"/>
    <w:rsid w:val="00CF0018"/>
    <w:rsid w:val="00CF024B"/>
    <w:rsid w:val="00CF031C"/>
    <w:rsid w:val="00CF0A8A"/>
    <w:rsid w:val="00CF117D"/>
    <w:rsid w:val="00CF11CC"/>
    <w:rsid w:val="00CF166A"/>
    <w:rsid w:val="00CF1C6F"/>
    <w:rsid w:val="00CF1FE7"/>
    <w:rsid w:val="00CF25DC"/>
    <w:rsid w:val="00CF2D20"/>
    <w:rsid w:val="00CF2E11"/>
    <w:rsid w:val="00CF31F7"/>
    <w:rsid w:val="00CF3965"/>
    <w:rsid w:val="00CF55F4"/>
    <w:rsid w:val="00CF5B35"/>
    <w:rsid w:val="00CF5D41"/>
    <w:rsid w:val="00CF5F36"/>
    <w:rsid w:val="00CF5F86"/>
    <w:rsid w:val="00CF62D9"/>
    <w:rsid w:val="00CF725C"/>
    <w:rsid w:val="00CF7776"/>
    <w:rsid w:val="00CF7AAA"/>
    <w:rsid w:val="00D003A1"/>
    <w:rsid w:val="00D009E5"/>
    <w:rsid w:val="00D00FA7"/>
    <w:rsid w:val="00D01381"/>
    <w:rsid w:val="00D013AE"/>
    <w:rsid w:val="00D016AA"/>
    <w:rsid w:val="00D016CE"/>
    <w:rsid w:val="00D01D5F"/>
    <w:rsid w:val="00D01F6B"/>
    <w:rsid w:val="00D01F8F"/>
    <w:rsid w:val="00D02745"/>
    <w:rsid w:val="00D03BD1"/>
    <w:rsid w:val="00D043AC"/>
    <w:rsid w:val="00D044FE"/>
    <w:rsid w:val="00D04502"/>
    <w:rsid w:val="00D046E8"/>
    <w:rsid w:val="00D047CD"/>
    <w:rsid w:val="00D0489E"/>
    <w:rsid w:val="00D049C9"/>
    <w:rsid w:val="00D04C26"/>
    <w:rsid w:val="00D04C33"/>
    <w:rsid w:val="00D04CC4"/>
    <w:rsid w:val="00D04F2D"/>
    <w:rsid w:val="00D0563A"/>
    <w:rsid w:val="00D059C5"/>
    <w:rsid w:val="00D059D5"/>
    <w:rsid w:val="00D05D39"/>
    <w:rsid w:val="00D05F9E"/>
    <w:rsid w:val="00D068FD"/>
    <w:rsid w:val="00D06D45"/>
    <w:rsid w:val="00D10358"/>
    <w:rsid w:val="00D1045B"/>
    <w:rsid w:val="00D10C8D"/>
    <w:rsid w:val="00D10EB6"/>
    <w:rsid w:val="00D10F7B"/>
    <w:rsid w:val="00D112DD"/>
    <w:rsid w:val="00D116D1"/>
    <w:rsid w:val="00D119E0"/>
    <w:rsid w:val="00D11F71"/>
    <w:rsid w:val="00D120BA"/>
    <w:rsid w:val="00D12FF2"/>
    <w:rsid w:val="00D13369"/>
    <w:rsid w:val="00D134D7"/>
    <w:rsid w:val="00D1445D"/>
    <w:rsid w:val="00D149B5"/>
    <w:rsid w:val="00D14AFC"/>
    <w:rsid w:val="00D15339"/>
    <w:rsid w:val="00D15752"/>
    <w:rsid w:val="00D15C28"/>
    <w:rsid w:val="00D15E06"/>
    <w:rsid w:val="00D15FE2"/>
    <w:rsid w:val="00D16888"/>
    <w:rsid w:val="00D16953"/>
    <w:rsid w:val="00D16954"/>
    <w:rsid w:val="00D16D5F"/>
    <w:rsid w:val="00D1788E"/>
    <w:rsid w:val="00D17B43"/>
    <w:rsid w:val="00D201E3"/>
    <w:rsid w:val="00D20256"/>
    <w:rsid w:val="00D2095E"/>
    <w:rsid w:val="00D20EC0"/>
    <w:rsid w:val="00D21838"/>
    <w:rsid w:val="00D218B0"/>
    <w:rsid w:val="00D21B02"/>
    <w:rsid w:val="00D2205B"/>
    <w:rsid w:val="00D2213C"/>
    <w:rsid w:val="00D22314"/>
    <w:rsid w:val="00D224AE"/>
    <w:rsid w:val="00D22D55"/>
    <w:rsid w:val="00D238DD"/>
    <w:rsid w:val="00D239F3"/>
    <w:rsid w:val="00D23E27"/>
    <w:rsid w:val="00D24838"/>
    <w:rsid w:val="00D24998"/>
    <w:rsid w:val="00D24EB4"/>
    <w:rsid w:val="00D25CCA"/>
    <w:rsid w:val="00D261C1"/>
    <w:rsid w:val="00D2699A"/>
    <w:rsid w:val="00D26A80"/>
    <w:rsid w:val="00D27019"/>
    <w:rsid w:val="00D27058"/>
    <w:rsid w:val="00D27321"/>
    <w:rsid w:val="00D279F5"/>
    <w:rsid w:val="00D27A8B"/>
    <w:rsid w:val="00D304F0"/>
    <w:rsid w:val="00D30541"/>
    <w:rsid w:val="00D3099A"/>
    <w:rsid w:val="00D31CAF"/>
    <w:rsid w:val="00D31DAD"/>
    <w:rsid w:val="00D3208B"/>
    <w:rsid w:val="00D320AE"/>
    <w:rsid w:val="00D3214B"/>
    <w:rsid w:val="00D322D5"/>
    <w:rsid w:val="00D32456"/>
    <w:rsid w:val="00D325B4"/>
    <w:rsid w:val="00D32CC3"/>
    <w:rsid w:val="00D33A40"/>
    <w:rsid w:val="00D33EA5"/>
    <w:rsid w:val="00D347A6"/>
    <w:rsid w:val="00D3523B"/>
    <w:rsid w:val="00D356DA"/>
    <w:rsid w:val="00D359D7"/>
    <w:rsid w:val="00D35A78"/>
    <w:rsid w:val="00D35B10"/>
    <w:rsid w:val="00D35BA1"/>
    <w:rsid w:val="00D369AF"/>
    <w:rsid w:val="00D36A48"/>
    <w:rsid w:val="00D377A9"/>
    <w:rsid w:val="00D40BDD"/>
    <w:rsid w:val="00D40EC3"/>
    <w:rsid w:val="00D4133A"/>
    <w:rsid w:val="00D4133E"/>
    <w:rsid w:val="00D4164E"/>
    <w:rsid w:val="00D417BC"/>
    <w:rsid w:val="00D4180F"/>
    <w:rsid w:val="00D41E56"/>
    <w:rsid w:val="00D4262C"/>
    <w:rsid w:val="00D42F82"/>
    <w:rsid w:val="00D4302E"/>
    <w:rsid w:val="00D4347B"/>
    <w:rsid w:val="00D438FE"/>
    <w:rsid w:val="00D4390B"/>
    <w:rsid w:val="00D43F01"/>
    <w:rsid w:val="00D4430A"/>
    <w:rsid w:val="00D45693"/>
    <w:rsid w:val="00D46197"/>
    <w:rsid w:val="00D47103"/>
    <w:rsid w:val="00D47250"/>
    <w:rsid w:val="00D475EE"/>
    <w:rsid w:val="00D47632"/>
    <w:rsid w:val="00D4768A"/>
    <w:rsid w:val="00D4778F"/>
    <w:rsid w:val="00D47A87"/>
    <w:rsid w:val="00D47B7A"/>
    <w:rsid w:val="00D47DD1"/>
    <w:rsid w:val="00D47E9A"/>
    <w:rsid w:val="00D50343"/>
    <w:rsid w:val="00D505C4"/>
    <w:rsid w:val="00D510C2"/>
    <w:rsid w:val="00D5143C"/>
    <w:rsid w:val="00D51520"/>
    <w:rsid w:val="00D519A3"/>
    <w:rsid w:val="00D51F50"/>
    <w:rsid w:val="00D52142"/>
    <w:rsid w:val="00D52441"/>
    <w:rsid w:val="00D5244E"/>
    <w:rsid w:val="00D52A1C"/>
    <w:rsid w:val="00D52A2F"/>
    <w:rsid w:val="00D52ADC"/>
    <w:rsid w:val="00D52BC1"/>
    <w:rsid w:val="00D53F4E"/>
    <w:rsid w:val="00D54F2D"/>
    <w:rsid w:val="00D55A1D"/>
    <w:rsid w:val="00D55F0F"/>
    <w:rsid w:val="00D5650D"/>
    <w:rsid w:val="00D567D7"/>
    <w:rsid w:val="00D56899"/>
    <w:rsid w:val="00D56AEC"/>
    <w:rsid w:val="00D56C97"/>
    <w:rsid w:val="00D56D4B"/>
    <w:rsid w:val="00D5752C"/>
    <w:rsid w:val="00D602B2"/>
    <w:rsid w:val="00D605C1"/>
    <w:rsid w:val="00D608F3"/>
    <w:rsid w:val="00D609BF"/>
    <w:rsid w:val="00D6132A"/>
    <w:rsid w:val="00D61732"/>
    <w:rsid w:val="00D6193A"/>
    <w:rsid w:val="00D61C51"/>
    <w:rsid w:val="00D61E3E"/>
    <w:rsid w:val="00D620A4"/>
    <w:rsid w:val="00D6244F"/>
    <w:rsid w:val="00D62450"/>
    <w:rsid w:val="00D6255F"/>
    <w:rsid w:val="00D62D0E"/>
    <w:rsid w:val="00D63428"/>
    <w:rsid w:val="00D63555"/>
    <w:rsid w:val="00D63C6D"/>
    <w:rsid w:val="00D63E8D"/>
    <w:rsid w:val="00D63EF5"/>
    <w:rsid w:val="00D6403C"/>
    <w:rsid w:val="00D642FB"/>
    <w:rsid w:val="00D643A6"/>
    <w:rsid w:val="00D645CA"/>
    <w:rsid w:val="00D64A1F"/>
    <w:rsid w:val="00D64E11"/>
    <w:rsid w:val="00D66B1F"/>
    <w:rsid w:val="00D679B3"/>
    <w:rsid w:val="00D70091"/>
    <w:rsid w:val="00D70198"/>
    <w:rsid w:val="00D702D7"/>
    <w:rsid w:val="00D70849"/>
    <w:rsid w:val="00D71048"/>
    <w:rsid w:val="00D71168"/>
    <w:rsid w:val="00D7116E"/>
    <w:rsid w:val="00D715A0"/>
    <w:rsid w:val="00D716A7"/>
    <w:rsid w:val="00D7213B"/>
    <w:rsid w:val="00D72B6E"/>
    <w:rsid w:val="00D72B76"/>
    <w:rsid w:val="00D72F75"/>
    <w:rsid w:val="00D73105"/>
    <w:rsid w:val="00D73478"/>
    <w:rsid w:val="00D739ED"/>
    <w:rsid w:val="00D73EFB"/>
    <w:rsid w:val="00D73FC4"/>
    <w:rsid w:val="00D74096"/>
    <w:rsid w:val="00D74A5A"/>
    <w:rsid w:val="00D75376"/>
    <w:rsid w:val="00D754FD"/>
    <w:rsid w:val="00D75943"/>
    <w:rsid w:val="00D76245"/>
    <w:rsid w:val="00D76365"/>
    <w:rsid w:val="00D767A6"/>
    <w:rsid w:val="00D76A83"/>
    <w:rsid w:val="00D76BB2"/>
    <w:rsid w:val="00D776FC"/>
    <w:rsid w:val="00D8014F"/>
    <w:rsid w:val="00D80436"/>
    <w:rsid w:val="00D80FFF"/>
    <w:rsid w:val="00D81272"/>
    <w:rsid w:val="00D81350"/>
    <w:rsid w:val="00D820A4"/>
    <w:rsid w:val="00D826A0"/>
    <w:rsid w:val="00D82D76"/>
    <w:rsid w:val="00D83343"/>
    <w:rsid w:val="00D84164"/>
    <w:rsid w:val="00D853BD"/>
    <w:rsid w:val="00D856D9"/>
    <w:rsid w:val="00D85C77"/>
    <w:rsid w:val="00D85FC0"/>
    <w:rsid w:val="00D85FEA"/>
    <w:rsid w:val="00D86032"/>
    <w:rsid w:val="00D865E1"/>
    <w:rsid w:val="00D8685A"/>
    <w:rsid w:val="00D868E3"/>
    <w:rsid w:val="00D869BF"/>
    <w:rsid w:val="00D86A18"/>
    <w:rsid w:val="00D902A3"/>
    <w:rsid w:val="00D90B9F"/>
    <w:rsid w:val="00D90F6B"/>
    <w:rsid w:val="00D9161D"/>
    <w:rsid w:val="00D91AF0"/>
    <w:rsid w:val="00D91C55"/>
    <w:rsid w:val="00D924B8"/>
    <w:rsid w:val="00D92882"/>
    <w:rsid w:val="00D92BDA"/>
    <w:rsid w:val="00D93298"/>
    <w:rsid w:val="00D93376"/>
    <w:rsid w:val="00D93710"/>
    <w:rsid w:val="00D93C96"/>
    <w:rsid w:val="00D93E7D"/>
    <w:rsid w:val="00D944FE"/>
    <w:rsid w:val="00D94F07"/>
    <w:rsid w:val="00D94FB5"/>
    <w:rsid w:val="00D95EB2"/>
    <w:rsid w:val="00D96089"/>
    <w:rsid w:val="00D96A66"/>
    <w:rsid w:val="00D96FC8"/>
    <w:rsid w:val="00D9714D"/>
    <w:rsid w:val="00D975F1"/>
    <w:rsid w:val="00D977E5"/>
    <w:rsid w:val="00DA098F"/>
    <w:rsid w:val="00DA0FF4"/>
    <w:rsid w:val="00DA102D"/>
    <w:rsid w:val="00DA107D"/>
    <w:rsid w:val="00DA11E0"/>
    <w:rsid w:val="00DA2BCF"/>
    <w:rsid w:val="00DA2C25"/>
    <w:rsid w:val="00DA2D2C"/>
    <w:rsid w:val="00DA2F4A"/>
    <w:rsid w:val="00DA34C4"/>
    <w:rsid w:val="00DA3E70"/>
    <w:rsid w:val="00DA3EDB"/>
    <w:rsid w:val="00DA3F24"/>
    <w:rsid w:val="00DA4308"/>
    <w:rsid w:val="00DA43F1"/>
    <w:rsid w:val="00DA4585"/>
    <w:rsid w:val="00DA537D"/>
    <w:rsid w:val="00DA58E7"/>
    <w:rsid w:val="00DA5A42"/>
    <w:rsid w:val="00DA5B75"/>
    <w:rsid w:val="00DA6446"/>
    <w:rsid w:val="00DA6A81"/>
    <w:rsid w:val="00DA6D71"/>
    <w:rsid w:val="00DA73DE"/>
    <w:rsid w:val="00DA7505"/>
    <w:rsid w:val="00DA7F2F"/>
    <w:rsid w:val="00DB033B"/>
    <w:rsid w:val="00DB0410"/>
    <w:rsid w:val="00DB0761"/>
    <w:rsid w:val="00DB0F3D"/>
    <w:rsid w:val="00DB197C"/>
    <w:rsid w:val="00DB1A17"/>
    <w:rsid w:val="00DB20B7"/>
    <w:rsid w:val="00DB30D0"/>
    <w:rsid w:val="00DB3230"/>
    <w:rsid w:val="00DB3316"/>
    <w:rsid w:val="00DB33E4"/>
    <w:rsid w:val="00DB3635"/>
    <w:rsid w:val="00DB36AB"/>
    <w:rsid w:val="00DB38FA"/>
    <w:rsid w:val="00DB3FBF"/>
    <w:rsid w:val="00DB5187"/>
    <w:rsid w:val="00DB6725"/>
    <w:rsid w:val="00DB6854"/>
    <w:rsid w:val="00DB6EB0"/>
    <w:rsid w:val="00DB708D"/>
    <w:rsid w:val="00DC0303"/>
    <w:rsid w:val="00DC08A9"/>
    <w:rsid w:val="00DC0AF7"/>
    <w:rsid w:val="00DC0CA1"/>
    <w:rsid w:val="00DC0DDD"/>
    <w:rsid w:val="00DC0DEB"/>
    <w:rsid w:val="00DC0EDB"/>
    <w:rsid w:val="00DC0F85"/>
    <w:rsid w:val="00DC0FDE"/>
    <w:rsid w:val="00DC2359"/>
    <w:rsid w:val="00DC243A"/>
    <w:rsid w:val="00DC28F5"/>
    <w:rsid w:val="00DC2EB3"/>
    <w:rsid w:val="00DC3830"/>
    <w:rsid w:val="00DC3897"/>
    <w:rsid w:val="00DC39BE"/>
    <w:rsid w:val="00DC40E5"/>
    <w:rsid w:val="00DC4CED"/>
    <w:rsid w:val="00DC4D3E"/>
    <w:rsid w:val="00DC4E8A"/>
    <w:rsid w:val="00DC544F"/>
    <w:rsid w:val="00DC62BB"/>
    <w:rsid w:val="00DC6B45"/>
    <w:rsid w:val="00DC70B8"/>
    <w:rsid w:val="00DC72CA"/>
    <w:rsid w:val="00DC7C7A"/>
    <w:rsid w:val="00DD09BA"/>
    <w:rsid w:val="00DD0B50"/>
    <w:rsid w:val="00DD0D70"/>
    <w:rsid w:val="00DD1849"/>
    <w:rsid w:val="00DD1DC3"/>
    <w:rsid w:val="00DD24BE"/>
    <w:rsid w:val="00DD340E"/>
    <w:rsid w:val="00DD3820"/>
    <w:rsid w:val="00DD39E4"/>
    <w:rsid w:val="00DD3B8C"/>
    <w:rsid w:val="00DD3D63"/>
    <w:rsid w:val="00DD4081"/>
    <w:rsid w:val="00DD4806"/>
    <w:rsid w:val="00DD53D8"/>
    <w:rsid w:val="00DD5452"/>
    <w:rsid w:val="00DD5F5B"/>
    <w:rsid w:val="00DD64CE"/>
    <w:rsid w:val="00DD6569"/>
    <w:rsid w:val="00DD685A"/>
    <w:rsid w:val="00DD692F"/>
    <w:rsid w:val="00DD6B71"/>
    <w:rsid w:val="00DD6B8E"/>
    <w:rsid w:val="00DD6C74"/>
    <w:rsid w:val="00DD71BF"/>
    <w:rsid w:val="00DD728F"/>
    <w:rsid w:val="00DE0384"/>
    <w:rsid w:val="00DE04A0"/>
    <w:rsid w:val="00DE0977"/>
    <w:rsid w:val="00DE0F9C"/>
    <w:rsid w:val="00DE135F"/>
    <w:rsid w:val="00DE1735"/>
    <w:rsid w:val="00DE1BD4"/>
    <w:rsid w:val="00DE1E84"/>
    <w:rsid w:val="00DE224A"/>
    <w:rsid w:val="00DE32D4"/>
    <w:rsid w:val="00DE33EF"/>
    <w:rsid w:val="00DE352D"/>
    <w:rsid w:val="00DE35BA"/>
    <w:rsid w:val="00DE35BB"/>
    <w:rsid w:val="00DE37FA"/>
    <w:rsid w:val="00DE3B7A"/>
    <w:rsid w:val="00DE4018"/>
    <w:rsid w:val="00DE4C48"/>
    <w:rsid w:val="00DE5072"/>
    <w:rsid w:val="00DE5BF1"/>
    <w:rsid w:val="00DE617E"/>
    <w:rsid w:val="00DE6880"/>
    <w:rsid w:val="00DE6BE4"/>
    <w:rsid w:val="00DE6CD0"/>
    <w:rsid w:val="00DE70D1"/>
    <w:rsid w:val="00DE74EA"/>
    <w:rsid w:val="00DE7820"/>
    <w:rsid w:val="00DE78BB"/>
    <w:rsid w:val="00DE7935"/>
    <w:rsid w:val="00DE7B92"/>
    <w:rsid w:val="00DE7BB1"/>
    <w:rsid w:val="00DE7DE8"/>
    <w:rsid w:val="00DF00AB"/>
    <w:rsid w:val="00DF08D6"/>
    <w:rsid w:val="00DF0A66"/>
    <w:rsid w:val="00DF0A92"/>
    <w:rsid w:val="00DF0ACC"/>
    <w:rsid w:val="00DF1210"/>
    <w:rsid w:val="00DF1683"/>
    <w:rsid w:val="00DF246C"/>
    <w:rsid w:val="00DF2820"/>
    <w:rsid w:val="00DF28A5"/>
    <w:rsid w:val="00DF2D53"/>
    <w:rsid w:val="00DF3310"/>
    <w:rsid w:val="00DF40BD"/>
    <w:rsid w:val="00DF442F"/>
    <w:rsid w:val="00DF464B"/>
    <w:rsid w:val="00DF4824"/>
    <w:rsid w:val="00DF4989"/>
    <w:rsid w:val="00DF4FD6"/>
    <w:rsid w:val="00DF6153"/>
    <w:rsid w:val="00DF63EC"/>
    <w:rsid w:val="00DF6787"/>
    <w:rsid w:val="00DF6D80"/>
    <w:rsid w:val="00DF75DC"/>
    <w:rsid w:val="00DF7604"/>
    <w:rsid w:val="00DF790A"/>
    <w:rsid w:val="00DF7C45"/>
    <w:rsid w:val="00DF7D1D"/>
    <w:rsid w:val="00E00414"/>
    <w:rsid w:val="00E0052C"/>
    <w:rsid w:val="00E00679"/>
    <w:rsid w:val="00E006AC"/>
    <w:rsid w:val="00E009E1"/>
    <w:rsid w:val="00E00BBE"/>
    <w:rsid w:val="00E0101B"/>
    <w:rsid w:val="00E016C0"/>
    <w:rsid w:val="00E016E2"/>
    <w:rsid w:val="00E02096"/>
    <w:rsid w:val="00E02202"/>
    <w:rsid w:val="00E02A65"/>
    <w:rsid w:val="00E02DDE"/>
    <w:rsid w:val="00E02E95"/>
    <w:rsid w:val="00E03357"/>
    <w:rsid w:val="00E03DEE"/>
    <w:rsid w:val="00E04373"/>
    <w:rsid w:val="00E05639"/>
    <w:rsid w:val="00E0588D"/>
    <w:rsid w:val="00E05E27"/>
    <w:rsid w:val="00E0633B"/>
    <w:rsid w:val="00E064EE"/>
    <w:rsid w:val="00E069FA"/>
    <w:rsid w:val="00E071CA"/>
    <w:rsid w:val="00E074E2"/>
    <w:rsid w:val="00E07649"/>
    <w:rsid w:val="00E077A7"/>
    <w:rsid w:val="00E077CB"/>
    <w:rsid w:val="00E0784F"/>
    <w:rsid w:val="00E1038A"/>
    <w:rsid w:val="00E104E0"/>
    <w:rsid w:val="00E10AB2"/>
    <w:rsid w:val="00E119C4"/>
    <w:rsid w:val="00E119FA"/>
    <w:rsid w:val="00E11DBF"/>
    <w:rsid w:val="00E11FDF"/>
    <w:rsid w:val="00E123BB"/>
    <w:rsid w:val="00E12DD0"/>
    <w:rsid w:val="00E1363F"/>
    <w:rsid w:val="00E14142"/>
    <w:rsid w:val="00E14518"/>
    <w:rsid w:val="00E14FCA"/>
    <w:rsid w:val="00E15111"/>
    <w:rsid w:val="00E15ABA"/>
    <w:rsid w:val="00E15C69"/>
    <w:rsid w:val="00E16198"/>
    <w:rsid w:val="00E1635C"/>
    <w:rsid w:val="00E1750F"/>
    <w:rsid w:val="00E176D7"/>
    <w:rsid w:val="00E1796B"/>
    <w:rsid w:val="00E2032F"/>
    <w:rsid w:val="00E20CA7"/>
    <w:rsid w:val="00E20E63"/>
    <w:rsid w:val="00E20ECF"/>
    <w:rsid w:val="00E22676"/>
    <w:rsid w:val="00E22ACB"/>
    <w:rsid w:val="00E22DD6"/>
    <w:rsid w:val="00E23AD5"/>
    <w:rsid w:val="00E23F1B"/>
    <w:rsid w:val="00E241EE"/>
    <w:rsid w:val="00E242C3"/>
    <w:rsid w:val="00E242E9"/>
    <w:rsid w:val="00E24368"/>
    <w:rsid w:val="00E243DB"/>
    <w:rsid w:val="00E246E2"/>
    <w:rsid w:val="00E24C62"/>
    <w:rsid w:val="00E250CA"/>
    <w:rsid w:val="00E25B48"/>
    <w:rsid w:val="00E2602F"/>
    <w:rsid w:val="00E26474"/>
    <w:rsid w:val="00E26AE6"/>
    <w:rsid w:val="00E26E8F"/>
    <w:rsid w:val="00E2782E"/>
    <w:rsid w:val="00E27901"/>
    <w:rsid w:val="00E30369"/>
    <w:rsid w:val="00E304D2"/>
    <w:rsid w:val="00E30C50"/>
    <w:rsid w:val="00E30DA6"/>
    <w:rsid w:val="00E315FF"/>
    <w:rsid w:val="00E31BC5"/>
    <w:rsid w:val="00E3209C"/>
    <w:rsid w:val="00E32386"/>
    <w:rsid w:val="00E324BE"/>
    <w:rsid w:val="00E3317A"/>
    <w:rsid w:val="00E345E8"/>
    <w:rsid w:val="00E34740"/>
    <w:rsid w:val="00E35574"/>
    <w:rsid w:val="00E35BD3"/>
    <w:rsid w:val="00E3613B"/>
    <w:rsid w:val="00E36224"/>
    <w:rsid w:val="00E36BB0"/>
    <w:rsid w:val="00E36E8A"/>
    <w:rsid w:val="00E373E8"/>
    <w:rsid w:val="00E37534"/>
    <w:rsid w:val="00E375B2"/>
    <w:rsid w:val="00E377FA"/>
    <w:rsid w:val="00E37B49"/>
    <w:rsid w:val="00E400D6"/>
    <w:rsid w:val="00E40383"/>
    <w:rsid w:val="00E40CCC"/>
    <w:rsid w:val="00E411BA"/>
    <w:rsid w:val="00E41432"/>
    <w:rsid w:val="00E417E9"/>
    <w:rsid w:val="00E41D23"/>
    <w:rsid w:val="00E423FE"/>
    <w:rsid w:val="00E42B27"/>
    <w:rsid w:val="00E4310E"/>
    <w:rsid w:val="00E437A5"/>
    <w:rsid w:val="00E439A0"/>
    <w:rsid w:val="00E44066"/>
    <w:rsid w:val="00E44831"/>
    <w:rsid w:val="00E449F6"/>
    <w:rsid w:val="00E4540E"/>
    <w:rsid w:val="00E45441"/>
    <w:rsid w:val="00E4555C"/>
    <w:rsid w:val="00E459BD"/>
    <w:rsid w:val="00E45CCC"/>
    <w:rsid w:val="00E45D06"/>
    <w:rsid w:val="00E46093"/>
    <w:rsid w:val="00E464A3"/>
    <w:rsid w:val="00E466F3"/>
    <w:rsid w:val="00E46769"/>
    <w:rsid w:val="00E46B42"/>
    <w:rsid w:val="00E46D13"/>
    <w:rsid w:val="00E47293"/>
    <w:rsid w:val="00E47607"/>
    <w:rsid w:val="00E47893"/>
    <w:rsid w:val="00E478CB"/>
    <w:rsid w:val="00E47FD7"/>
    <w:rsid w:val="00E50284"/>
    <w:rsid w:val="00E50D18"/>
    <w:rsid w:val="00E50DC1"/>
    <w:rsid w:val="00E50E8C"/>
    <w:rsid w:val="00E5112A"/>
    <w:rsid w:val="00E51369"/>
    <w:rsid w:val="00E520B5"/>
    <w:rsid w:val="00E52928"/>
    <w:rsid w:val="00E52AED"/>
    <w:rsid w:val="00E52C58"/>
    <w:rsid w:val="00E52FEE"/>
    <w:rsid w:val="00E532F0"/>
    <w:rsid w:val="00E53868"/>
    <w:rsid w:val="00E53BE8"/>
    <w:rsid w:val="00E53C5B"/>
    <w:rsid w:val="00E53E6B"/>
    <w:rsid w:val="00E54636"/>
    <w:rsid w:val="00E54BDD"/>
    <w:rsid w:val="00E55435"/>
    <w:rsid w:val="00E55786"/>
    <w:rsid w:val="00E563A7"/>
    <w:rsid w:val="00E56AA3"/>
    <w:rsid w:val="00E56AC6"/>
    <w:rsid w:val="00E576DA"/>
    <w:rsid w:val="00E60258"/>
    <w:rsid w:val="00E60363"/>
    <w:rsid w:val="00E613C3"/>
    <w:rsid w:val="00E617D3"/>
    <w:rsid w:val="00E6181A"/>
    <w:rsid w:val="00E618D4"/>
    <w:rsid w:val="00E61DAB"/>
    <w:rsid w:val="00E637B4"/>
    <w:rsid w:val="00E63A6D"/>
    <w:rsid w:val="00E64272"/>
    <w:rsid w:val="00E6454A"/>
    <w:rsid w:val="00E64B06"/>
    <w:rsid w:val="00E64C16"/>
    <w:rsid w:val="00E64ED8"/>
    <w:rsid w:val="00E64FBA"/>
    <w:rsid w:val="00E65190"/>
    <w:rsid w:val="00E6529A"/>
    <w:rsid w:val="00E653A5"/>
    <w:rsid w:val="00E65A62"/>
    <w:rsid w:val="00E65C4E"/>
    <w:rsid w:val="00E65F65"/>
    <w:rsid w:val="00E65F6C"/>
    <w:rsid w:val="00E66439"/>
    <w:rsid w:val="00E664CC"/>
    <w:rsid w:val="00E668BD"/>
    <w:rsid w:val="00E66F56"/>
    <w:rsid w:val="00E674DF"/>
    <w:rsid w:val="00E67DD8"/>
    <w:rsid w:val="00E67FBC"/>
    <w:rsid w:val="00E70042"/>
    <w:rsid w:val="00E700F9"/>
    <w:rsid w:val="00E70375"/>
    <w:rsid w:val="00E706B9"/>
    <w:rsid w:val="00E70B1C"/>
    <w:rsid w:val="00E70C40"/>
    <w:rsid w:val="00E70CC1"/>
    <w:rsid w:val="00E71469"/>
    <w:rsid w:val="00E716DB"/>
    <w:rsid w:val="00E71825"/>
    <w:rsid w:val="00E71A60"/>
    <w:rsid w:val="00E725C1"/>
    <w:rsid w:val="00E73186"/>
    <w:rsid w:val="00E7338C"/>
    <w:rsid w:val="00E735A0"/>
    <w:rsid w:val="00E73A53"/>
    <w:rsid w:val="00E74098"/>
    <w:rsid w:val="00E74651"/>
    <w:rsid w:val="00E74731"/>
    <w:rsid w:val="00E752C5"/>
    <w:rsid w:val="00E752F8"/>
    <w:rsid w:val="00E75560"/>
    <w:rsid w:val="00E75839"/>
    <w:rsid w:val="00E75C96"/>
    <w:rsid w:val="00E7613D"/>
    <w:rsid w:val="00E76403"/>
    <w:rsid w:val="00E76462"/>
    <w:rsid w:val="00E76F75"/>
    <w:rsid w:val="00E772A7"/>
    <w:rsid w:val="00E7766E"/>
    <w:rsid w:val="00E80942"/>
    <w:rsid w:val="00E8094D"/>
    <w:rsid w:val="00E80A57"/>
    <w:rsid w:val="00E81289"/>
    <w:rsid w:val="00E816F8"/>
    <w:rsid w:val="00E81A7C"/>
    <w:rsid w:val="00E81C5B"/>
    <w:rsid w:val="00E81F46"/>
    <w:rsid w:val="00E82124"/>
    <w:rsid w:val="00E823FF"/>
    <w:rsid w:val="00E8247B"/>
    <w:rsid w:val="00E82C03"/>
    <w:rsid w:val="00E82E7E"/>
    <w:rsid w:val="00E82F7A"/>
    <w:rsid w:val="00E83069"/>
    <w:rsid w:val="00E8330F"/>
    <w:rsid w:val="00E83311"/>
    <w:rsid w:val="00E83EEF"/>
    <w:rsid w:val="00E84A70"/>
    <w:rsid w:val="00E85072"/>
    <w:rsid w:val="00E85D01"/>
    <w:rsid w:val="00E8602A"/>
    <w:rsid w:val="00E863C2"/>
    <w:rsid w:val="00E86581"/>
    <w:rsid w:val="00E86E14"/>
    <w:rsid w:val="00E86E3E"/>
    <w:rsid w:val="00E86E7C"/>
    <w:rsid w:val="00E86EC0"/>
    <w:rsid w:val="00E8740F"/>
    <w:rsid w:val="00E875F0"/>
    <w:rsid w:val="00E87BA2"/>
    <w:rsid w:val="00E87CA1"/>
    <w:rsid w:val="00E87CFA"/>
    <w:rsid w:val="00E90438"/>
    <w:rsid w:val="00E905B1"/>
    <w:rsid w:val="00E90E0F"/>
    <w:rsid w:val="00E9167C"/>
    <w:rsid w:val="00E91F0E"/>
    <w:rsid w:val="00E91F58"/>
    <w:rsid w:val="00E91F8C"/>
    <w:rsid w:val="00E92869"/>
    <w:rsid w:val="00E92D58"/>
    <w:rsid w:val="00E93062"/>
    <w:rsid w:val="00E9350A"/>
    <w:rsid w:val="00E93981"/>
    <w:rsid w:val="00E940D8"/>
    <w:rsid w:val="00E95022"/>
    <w:rsid w:val="00E95484"/>
    <w:rsid w:val="00E95538"/>
    <w:rsid w:val="00E9580A"/>
    <w:rsid w:val="00E95812"/>
    <w:rsid w:val="00E95836"/>
    <w:rsid w:val="00E95B2E"/>
    <w:rsid w:val="00E95BF9"/>
    <w:rsid w:val="00E95DD4"/>
    <w:rsid w:val="00E9601E"/>
    <w:rsid w:val="00E96109"/>
    <w:rsid w:val="00E9640D"/>
    <w:rsid w:val="00E97102"/>
    <w:rsid w:val="00E97177"/>
    <w:rsid w:val="00E974E6"/>
    <w:rsid w:val="00E976C5"/>
    <w:rsid w:val="00E97E0F"/>
    <w:rsid w:val="00EA0EEC"/>
    <w:rsid w:val="00EA1661"/>
    <w:rsid w:val="00EA18FC"/>
    <w:rsid w:val="00EA1C94"/>
    <w:rsid w:val="00EA1CD2"/>
    <w:rsid w:val="00EA21D4"/>
    <w:rsid w:val="00EA21D9"/>
    <w:rsid w:val="00EA26BB"/>
    <w:rsid w:val="00EA2B59"/>
    <w:rsid w:val="00EA2B93"/>
    <w:rsid w:val="00EA3796"/>
    <w:rsid w:val="00EA3D31"/>
    <w:rsid w:val="00EA44FE"/>
    <w:rsid w:val="00EA47B5"/>
    <w:rsid w:val="00EA491E"/>
    <w:rsid w:val="00EA4D22"/>
    <w:rsid w:val="00EA5020"/>
    <w:rsid w:val="00EA554C"/>
    <w:rsid w:val="00EA5B6E"/>
    <w:rsid w:val="00EA615B"/>
    <w:rsid w:val="00EA6216"/>
    <w:rsid w:val="00EA64A5"/>
    <w:rsid w:val="00EA667C"/>
    <w:rsid w:val="00EA69D2"/>
    <w:rsid w:val="00EA6BF0"/>
    <w:rsid w:val="00EA7129"/>
    <w:rsid w:val="00EA715D"/>
    <w:rsid w:val="00EA7974"/>
    <w:rsid w:val="00EA79CE"/>
    <w:rsid w:val="00EA7AD5"/>
    <w:rsid w:val="00EA7D62"/>
    <w:rsid w:val="00EB02A4"/>
    <w:rsid w:val="00EB0371"/>
    <w:rsid w:val="00EB0806"/>
    <w:rsid w:val="00EB0E91"/>
    <w:rsid w:val="00EB0F73"/>
    <w:rsid w:val="00EB1587"/>
    <w:rsid w:val="00EB1F9E"/>
    <w:rsid w:val="00EB1FB3"/>
    <w:rsid w:val="00EB2BCF"/>
    <w:rsid w:val="00EB2C66"/>
    <w:rsid w:val="00EB311D"/>
    <w:rsid w:val="00EB32C6"/>
    <w:rsid w:val="00EB3674"/>
    <w:rsid w:val="00EB3C7E"/>
    <w:rsid w:val="00EB3CC9"/>
    <w:rsid w:val="00EB3D83"/>
    <w:rsid w:val="00EB49E1"/>
    <w:rsid w:val="00EB4AB2"/>
    <w:rsid w:val="00EB50D2"/>
    <w:rsid w:val="00EB633A"/>
    <w:rsid w:val="00EB6BD1"/>
    <w:rsid w:val="00EB705C"/>
    <w:rsid w:val="00EB7132"/>
    <w:rsid w:val="00EB726E"/>
    <w:rsid w:val="00EB74EA"/>
    <w:rsid w:val="00EB7AD4"/>
    <w:rsid w:val="00EB7EA5"/>
    <w:rsid w:val="00EC04A1"/>
    <w:rsid w:val="00EC05D1"/>
    <w:rsid w:val="00EC0B8B"/>
    <w:rsid w:val="00EC0D92"/>
    <w:rsid w:val="00EC0FE2"/>
    <w:rsid w:val="00EC1275"/>
    <w:rsid w:val="00EC17F1"/>
    <w:rsid w:val="00EC1B10"/>
    <w:rsid w:val="00EC2867"/>
    <w:rsid w:val="00EC2947"/>
    <w:rsid w:val="00EC2A3C"/>
    <w:rsid w:val="00EC2CFC"/>
    <w:rsid w:val="00EC3445"/>
    <w:rsid w:val="00EC401E"/>
    <w:rsid w:val="00EC44D8"/>
    <w:rsid w:val="00EC4A0C"/>
    <w:rsid w:val="00EC57C3"/>
    <w:rsid w:val="00EC57E2"/>
    <w:rsid w:val="00EC59E9"/>
    <w:rsid w:val="00EC5D89"/>
    <w:rsid w:val="00EC61E1"/>
    <w:rsid w:val="00EC63E2"/>
    <w:rsid w:val="00EC64EF"/>
    <w:rsid w:val="00EC6540"/>
    <w:rsid w:val="00EC65C3"/>
    <w:rsid w:val="00EC6E68"/>
    <w:rsid w:val="00EC716F"/>
    <w:rsid w:val="00EC741F"/>
    <w:rsid w:val="00EC76A9"/>
    <w:rsid w:val="00EC76C2"/>
    <w:rsid w:val="00EC7AE2"/>
    <w:rsid w:val="00ED01CF"/>
    <w:rsid w:val="00ED0616"/>
    <w:rsid w:val="00ED07FE"/>
    <w:rsid w:val="00ED11D1"/>
    <w:rsid w:val="00ED1B94"/>
    <w:rsid w:val="00ED1FF1"/>
    <w:rsid w:val="00ED2100"/>
    <w:rsid w:val="00ED216E"/>
    <w:rsid w:val="00ED22A7"/>
    <w:rsid w:val="00ED23AC"/>
    <w:rsid w:val="00ED2525"/>
    <w:rsid w:val="00ED25D8"/>
    <w:rsid w:val="00ED342D"/>
    <w:rsid w:val="00ED352D"/>
    <w:rsid w:val="00ED3D9F"/>
    <w:rsid w:val="00ED4192"/>
    <w:rsid w:val="00ED4505"/>
    <w:rsid w:val="00ED4784"/>
    <w:rsid w:val="00ED498A"/>
    <w:rsid w:val="00ED4A4D"/>
    <w:rsid w:val="00ED4AE5"/>
    <w:rsid w:val="00ED4B2C"/>
    <w:rsid w:val="00ED506A"/>
    <w:rsid w:val="00ED51BB"/>
    <w:rsid w:val="00ED66BA"/>
    <w:rsid w:val="00ED6F30"/>
    <w:rsid w:val="00ED73DD"/>
    <w:rsid w:val="00ED7524"/>
    <w:rsid w:val="00ED7A9F"/>
    <w:rsid w:val="00EE015E"/>
    <w:rsid w:val="00EE02D4"/>
    <w:rsid w:val="00EE02D5"/>
    <w:rsid w:val="00EE05CE"/>
    <w:rsid w:val="00EE071D"/>
    <w:rsid w:val="00EE086C"/>
    <w:rsid w:val="00EE0E33"/>
    <w:rsid w:val="00EE0F04"/>
    <w:rsid w:val="00EE1404"/>
    <w:rsid w:val="00EE14B0"/>
    <w:rsid w:val="00EE227D"/>
    <w:rsid w:val="00EE2BD8"/>
    <w:rsid w:val="00EE3480"/>
    <w:rsid w:val="00EE3A45"/>
    <w:rsid w:val="00EE3ED2"/>
    <w:rsid w:val="00EE4100"/>
    <w:rsid w:val="00EE4352"/>
    <w:rsid w:val="00EE4483"/>
    <w:rsid w:val="00EE4953"/>
    <w:rsid w:val="00EE4D4D"/>
    <w:rsid w:val="00EE5928"/>
    <w:rsid w:val="00EE5C8F"/>
    <w:rsid w:val="00EE645B"/>
    <w:rsid w:val="00EE6FDB"/>
    <w:rsid w:val="00EE6FF7"/>
    <w:rsid w:val="00EE7298"/>
    <w:rsid w:val="00EE72B9"/>
    <w:rsid w:val="00EE766B"/>
    <w:rsid w:val="00EE7D7E"/>
    <w:rsid w:val="00EE7F27"/>
    <w:rsid w:val="00EF04D6"/>
    <w:rsid w:val="00EF08B6"/>
    <w:rsid w:val="00EF10F9"/>
    <w:rsid w:val="00EF16E2"/>
    <w:rsid w:val="00EF1A66"/>
    <w:rsid w:val="00EF1A75"/>
    <w:rsid w:val="00EF1AC4"/>
    <w:rsid w:val="00EF1B07"/>
    <w:rsid w:val="00EF1BA8"/>
    <w:rsid w:val="00EF1F36"/>
    <w:rsid w:val="00EF2140"/>
    <w:rsid w:val="00EF2646"/>
    <w:rsid w:val="00EF26E6"/>
    <w:rsid w:val="00EF28A3"/>
    <w:rsid w:val="00EF2B25"/>
    <w:rsid w:val="00EF2BEA"/>
    <w:rsid w:val="00EF3366"/>
    <w:rsid w:val="00EF3A79"/>
    <w:rsid w:val="00EF4ACC"/>
    <w:rsid w:val="00EF58D8"/>
    <w:rsid w:val="00EF5A29"/>
    <w:rsid w:val="00EF6115"/>
    <w:rsid w:val="00EF6435"/>
    <w:rsid w:val="00EF6BC9"/>
    <w:rsid w:val="00EF7089"/>
    <w:rsid w:val="00EF754E"/>
    <w:rsid w:val="00EF7A86"/>
    <w:rsid w:val="00EF7EB9"/>
    <w:rsid w:val="00F000E7"/>
    <w:rsid w:val="00F00728"/>
    <w:rsid w:val="00F01394"/>
    <w:rsid w:val="00F014BB"/>
    <w:rsid w:val="00F01542"/>
    <w:rsid w:val="00F01ADA"/>
    <w:rsid w:val="00F01E13"/>
    <w:rsid w:val="00F022F8"/>
    <w:rsid w:val="00F02324"/>
    <w:rsid w:val="00F02331"/>
    <w:rsid w:val="00F0298A"/>
    <w:rsid w:val="00F02D57"/>
    <w:rsid w:val="00F02DF5"/>
    <w:rsid w:val="00F0348B"/>
    <w:rsid w:val="00F0359A"/>
    <w:rsid w:val="00F03D5B"/>
    <w:rsid w:val="00F04840"/>
    <w:rsid w:val="00F04BE2"/>
    <w:rsid w:val="00F057B6"/>
    <w:rsid w:val="00F05832"/>
    <w:rsid w:val="00F058D6"/>
    <w:rsid w:val="00F05EDC"/>
    <w:rsid w:val="00F05F6C"/>
    <w:rsid w:val="00F061F2"/>
    <w:rsid w:val="00F063FE"/>
    <w:rsid w:val="00F0641D"/>
    <w:rsid w:val="00F06492"/>
    <w:rsid w:val="00F06658"/>
    <w:rsid w:val="00F06E33"/>
    <w:rsid w:val="00F070A7"/>
    <w:rsid w:val="00F07FE1"/>
    <w:rsid w:val="00F10085"/>
    <w:rsid w:val="00F10643"/>
    <w:rsid w:val="00F10FCC"/>
    <w:rsid w:val="00F11441"/>
    <w:rsid w:val="00F118C0"/>
    <w:rsid w:val="00F11F1F"/>
    <w:rsid w:val="00F11FAB"/>
    <w:rsid w:val="00F12C03"/>
    <w:rsid w:val="00F131E6"/>
    <w:rsid w:val="00F136D9"/>
    <w:rsid w:val="00F137F2"/>
    <w:rsid w:val="00F13955"/>
    <w:rsid w:val="00F13E48"/>
    <w:rsid w:val="00F13E6C"/>
    <w:rsid w:val="00F13EBF"/>
    <w:rsid w:val="00F142A0"/>
    <w:rsid w:val="00F14339"/>
    <w:rsid w:val="00F14CDB"/>
    <w:rsid w:val="00F14D5F"/>
    <w:rsid w:val="00F159EB"/>
    <w:rsid w:val="00F15AFA"/>
    <w:rsid w:val="00F15DC9"/>
    <w:rsid w:val="00F15EC9"/>
    <w:rsid w:val="00F162B7"/>
    <w:rsid w:val="00F16612"/>
    <w:rsid w:val="00F16EE4"/>
    <w:rsid w:val="00F1719B"/>
    <w:rsid w:val="00F17843"/>
    <w:rsid w:val="00F17A69"/>
    <w:rsid w:val="00F17BBD"/>
    <w:rsid w:val="00F20151"/>
    <w:rsid w:val="00F203CB"/>
    <w:rsid w:val="00F2079B"/>
    <w:rsid w:val="00F20A28"/>
    <w:rsid w:val="00F20CDB"/>
    <w:rsid w:val="00F20E5F"/>
    <w:rsid w:val="00F211F2"/>
    <w:rsid w:val="00F21421"/>
    <w:rsid w:val="00F21460"/>
    <w:rsid w:val="00F2156C"/>
    <w:rsid w:val="00F21C1E"/>
    <w:rsid w:val="00F21E54"/>
    <w:rsid w:val="00F221ED"/>
    <w:rsid w:val="00F223F0"/>
    <w:rsid w:val="00F22801"/>
    <w:rsid w:val="00F228B8"/>
    <w:rsid w:val="00F231D3"/>
    <w:rsid w:val="00F23709"/>
    <w:rsid w:val="00F23883"/>
    <w:rsid w:val="00F23E75"/>
    <w:rsid w:val="00F246B4"/>
    <w:rsid w:val="00F249B7"/>
    <w:rsid w:val="00F25567"/>
    <w:rsid w:val="00F25BAD"/>
    <w:rsid w:val="00F260A8"/>
    <w:rsid w:val="00F2624F"/>
    <w:rsid w:val="00F26D63"/>
    <w:rsid w:val="00F26E00"/>
    <w:rsid w:val="00F27094"/>
    <w:rsid w:val="00F3091A"/>
    <w:rsid w:val="00F3118F"/>
    <w:rsid w:val="00F325FD"/>
    <w:rsid w:val="00F326B1"/>
    <w:rsid w:val="00F32B9B"/>
    <w:rsid w:val="00F3339D"/>
    <w:rsid w:val="00F33410"/>
    <w:rsid w:val="00F3380C"/>
    <w:rsid w:val="00F33EB6"/>
    <w:rsid w:val="00F341D8"/>
    <w:rsid w:val="00F34348"/>
    <w:rsid w:val="00F34AD5"/>
    <w:rsid w:val="00F350B5"/>
    <w:rsid w:val="00F35F77"/>
    <w:rsid w:val="00F35F80"/>
    <w:rsid w:val="00F378CE"/>
    <w:rsid w:val="00F37CC8"/>
    <w:rsid w:val="00F37EC6"/>
    <w:rsid w:val="00F40446"/>
    <w:rsid w:val="00F40638"/>
    <w:rsid w:val="00F4063D"/>
    <w:rsid w:val="00F4100E"/>
    <w:rsid w:val="00F411ED"/>
    <w:rsid w:val="00F420A6"/>
    <w:rsid w:val="00F42988"/>
    <w:rsid w:val="00F4339E"/>
    <w:rsid w:val="00F4361C"/>
    <w:rsid w:val="00F44425"/>
    <w:rsid w:val="00F44BDD"/>
    <w:rsid w:val="00F44E40"/>
    <w:rsid w:val="00F45152"/>
    <w:rsid w:val="00F45311"/>
    <w:rsid w:val="00F456B2"/>
    <w:rsid w:val="00F45A86"/>
    <w:rsid w:val="00F45ED3"/>
    <w:rsid w:val="00F46462"/>
    <w:rsid w:val="00F46DED"/>
    <w:rsid w:val="00F50AEE"/>
    <w:rsid w:val="00F50ECE"/>
    <w:rsid w:val="00F5128F"/>
    <w:rsid w:val="00F51333"/>
    <w:rsid w:val="00F52E2C"/>
    <w:rsid w:val="00F52F23"/>
    <w:rsid w:val="00F533D7"/>
    <w:rsid w:val="00F53452"/>
    <w:rsid w:val="00F53509"/>
    <w:rsid w:val="00F53535"/>
    <w:rsid w:val="00F536C2"/>
    <w:rsid w:val="00F53A23"/>
    <w:rsid w:val="00F54B1C"/>
    <w:rsid w:val="00F55227"/>
    <w:rsid w:val="00F5526F"/>
    <w:rsid w:val="00F55AFB"/>
    <w:rsid w:val="00F55C60"/>
    <w:rsid w:val="00F56D6E"/>
    <w:rsid w:val="00F56FEB"/>
    <w:rsid w:val="00F57100"/>
    <w:rsid w:val="00F5725E"/>
    <w:rsid w:val="00F573B2"/>
    <w:rsid w:val="00F578C9"/>
    <w:rsid w:val="00F57E61"/>
    <w:rsid w:val="00F60264"/>
    <w:rsid w:val="00F60D5D"/>
    <w:rsid w:val="00F60F04"/>
    <w:rsid w:val="00F6114D"/>
    <w:rsid w:val="00F61260"/>
    <w:rsid w:val="00F61518"/>
    <w:rsid w:val="00F61574"/>
    <w:rsid w:val="00F618FC"/>
    <w:rsid w:val="00F61A50"/>
    <w:rsid w:val="00F61F4A"/>
    <w:rsid w:val="00F6266F"/>
    <w:rsid w:val="00F62981"/>
    <w:rsid w:val="00F62A54"/>
    <w:rsid w:val="00F62AD9"/>
    <w:rsid w:val="00F62B2C"/>
    <w:rsid w:val="00F62BB8"/>
    <w:rsid w:val="00F62E23"/>
    <w:rsid w:val="00F62F18"/>
    <w:rsid w:val="00F631C7"/>
    <w:rsid w:val="00F6380F"/>
    <w:rsid w:val="00F63FB6"/>
    <w:rsid w:val="00F64226"/>
    <w:rsid w:val="00F64A39"/>
    <w:rsid w:val="00F6527C"/>
    <w:rsid w:val="00F652AD"/>
    <w:rsid w:val="00F65392"/>
    <w:rsid w:val="00F65859"/>
    <w:rsid w:val="00F65AA6"/>
    <w:rsid w:val="00F65D48"/>
    <w:rsid w:val="00F660A3"/>
    <w:rsid w:val="00F66760"/>
    <w:rsid w:val="00F66762"/>
    <w:rsid w:val="00F66E5A"/>
    <w:rsid w:val="00F67C13"/>
    <w:rsid w:val="00F67E45"/>
    <w:rsid w:val="00F70097"/>
    <w:rsid w:val="00F70E57"/>
    <w:rsid w:val="00F71456"/>
    <w:rsid w:val="00F717E0"/>
    <w:rsid w:val="00F71B3B"/>
    <w:rsid w:val="00F71E76"/>
    <w:rsid w:val="00F724F2"/>
    <w:rsid w:val="00F726CB"/>
    <w:rsid w:val="00F730AB"/>
    <w:rsid w:val="00F73B7C"/>
    <w:rsid w:val="00F74937"/>
    <w:rsid w:val="00F74ED7"/>
    <w:rsid w:val="00F757ED"/>
    <w:rsid w:val="00F764DF"/>
    <w:rsid w:val="00F767C0"/>
    <w:rsid w:val="00F77474"/>
    <w:rsid w:val="00F775A8"/>
    <w:rsid w:val="00F77821"/>
    <w:rsid w:val="00F802C5"/>
    <w:rsid w:val="00F805F0"/>
    <w:rsid w:val="00F808DF"/>
    <w:rsid w:val="00F80FCD"/>
    <w:rsid w:val="00F80FF9"/>
    <w:rsid w:val="00F81410"/>
    <w:rsid w:val="00F81FDD"/>
    <w:rsid w:val="00F8245E"/>
    <w:rsid w:val="00F82708"/>
    <w:rsid w:val="00F82935"/>
    <w:rsid w:val="00F82B0F"/>
    <w:rsid w:val="00F837E4"/>
    <w:rsid w:val="00F83A11"/>
    <w:rsid w:val="00F83A44"/>
    <w:rsid w:val="00F83B8F"/>
    <w:rsid w:val="00F842A5"/>
    <w:rsid w:val="00F8452B"/>
    <w:rsid w:val="00F84868"/>
    <w:rsid w:val="00F84ADF"/>
    <w:rsid w:val="00F84B37"/>
    <w:rsid w:val="00F85148"/>
    <w:rsid w:val="00F8522C"/>
    <w:rsid w:val="00F853B8"/>
    <w:rsid w:val="00F856DA"/>
    <w:rsid w:val="00F85A47"/>
    <w:rsid w:val="00F85CAE"/>
    <w:rsid w:val="00F85CB6"/>
    <w:rsid w:val="00F86421"/>
    <w:rsid w:val="00F8681B"/>
    <w:rsid w:val="00F86DDA"/>
    <w:rsid w:val="00F87353"/>
    <w:rsid w:val="00F8760E"/>
    <w:rsid w:val="00F87C59"/>
    <w:rsid w:val="00F903D1"/>
    <w:rsid w:val="00F90696"/>
    <w:rsid w:val="00F907EC"/>
    <w:rsid w:val="00F908D3"/>
    <w:rsid w:val="00F90A49"/>
    <w:rsid w:val="00F90DEC"/>
    <w:rsid w:val="00F91AFA"/>
    <w:rsid w:val="00F921A0"/>
    <w:rsid w:val="00F92833"/>
    <w:rsid w:val="00F92D81"/>
    <w:rsid w:val="00F93270"/>
    <w:rsid w:val="00F93D70"/>
    <w:rsid w:val="00F93FAE"/>
    <w:rsid w:val="00F94585"/>
    <w:rsid w:val="00F9474D"/>
    <w:rsid w:val="00F9523E"/>
    <w:rsid w:val="00F9531D"/>
    <w:rsid w:val="00F953A4"/>
    <w:rsid w:val="00F954A9"/>
    <w:rsid w:val="00F95819"/>
    <w:rsid w:val="00F95FF4"/>
    <w:rsid w:val="00F95FF9"/>
    <w:rsid w:val="00F96D90"/>
    <w:rsid w:val="00F96E37"/>
    <w:rsid w:val="00FA0871"/>
    <w:rsid w:val="00FA0DC2"/>
    <w:rsid w:val="00FA11D4"/>
    <w:rsid w:val="00FA1460"/>
    <w:rsid w:val="00FA1740"/>
    <w:rsid w:val="00FA19AB"/>
    <w:rsid w:val="00FA19E3"/>
    <w:rsid w:val="00FA1EBE"/>
    <w:rsid w:val="00FA2032"/>
    <w:rsid w:val="00FA213A"/>
    <w:rsid w:val="00FA2777"/>
    <w:rsid w:val="00FA2980"/>
    <w:rsid w:val="00FA3014"/>
    <w:rsid w:val="00FA30AF"/>
    <w:rsid w:val="00FA352D"/>
    <w:rsid w:val="00FA3DE9"/>
    <w:rsid w:val="00FA3E2B"/>
    <w:rsid w:val="00FA4294"/>
    <w:rsid w:val="00FA5248"/>
    <w:rsid w:val="00FA540B"/>
    <w:rsid w:val="00FA63FA"/>
    <w:rsid w:val="00FA6AB5"/>
    <w:rsid w:val="00FA6F68"/>
    <w:rsid w:val="00FA738F"/>
    <w:rsid w:val="00FA773A"/>
    <w:rsid w:val="00FA7A5C"/>
    <w:rsid w:val="00FA7FB6"/>
    <w:rsid w:val="00FB13A9"/>
    <w:rsid w:val="00FB15FE"/>
    <w:rsid w:val="00FB1783"/>
    <w:rsid w:val="00FB1BE5"/>
    <w:rsid w:val="00FB2385"/>
    <w:rsid w:val="00FB23CF"/>
    <w:rsid w:val="00FB263E"/>
    <w:rsid w:val="00FB2893"/>
    <w:rsid w:val="00FB28F0"/>
    <w:rsid w:val="00FB29A0"/>
    <w:rsid w:val="00FB2E4F"/>
    <w:rsid w:val="00FB30FF"/>
    <w:rsid w:val="00FB3525"/>
    <w:rsid w:val="00FB3868"/>
    <w:rsid w:val="00FB4640"/>
    <w:rsid w:val="00FB487F"/>
    <w:rsid w:val="00FB4BC8"/>
    <w:rsid w:val="00FB50FB"/>
    <w:rsid w:val="00FB546B"/>
    <w:rsid w:val="00FB5DB9"/>
    <w:rsid w:val="00FB62A3"/>
    <w:rsid w:val="00FB63D0"/>
    <w:rsid w:val="00FB6B19"/>
    <w:rsid w:val="00FB6BDA"/>
    <w:rsid w:val="00FB6D91"/>
    <w:rsid w:val="00FB6F63"/>
    <w:rsid w:val="00FB7088"/>
    <w:rsid w:val="00FB70F0"/>
    <w:rsid w:val="00FB7328"/>
    <w:rsid w:val="00FC0035"/>
    <w:rsid w:val="00FC01C0"/>
    <w:rsid w:val="00FC0288"/>
    <w:rsid w:val="00FC06C1"/>
    <w:rsid w:val="00FC0BBC"/>
    <w:rsid w:val="00FC12E8"/>
    <w:rsid w:val="00FC14F1"/>
    <w:rsid w:val="00FC16F3"/>
    <w:rsid w:val="00FC24D7"/>
    <w:rsid w:val="00FC286B"/>
    <w:rsid w:val="00FC3C36"/>
    <w:rsid w:val="00FC3C91"/>
    <w:rsid w:val="00FC3F5F"/>
    <w:rsid w:val="00FC4260"/>
    <w:rsid w:val="00FC4628"/>
    <w:rsid w:val="00FC46EE"/>
    <w:rsid w:val="00FC5109"/>
    <w:rsid w:val="00FC5233"/>
    <w:rsid w:val="00FC52DB"/>
    <w:rsid w:val="00FC57E4"/>
    <w:rsid w:val="00FC603A"/>
    <w:rsid w:val="00FC649B"/>
    <w:rsid w:val="00FC6F49"/>
    <w:rsid w:val="00FC7466"/>
    <w:rsid w:val="00FD07E8"/>
    <w:rsid w:val="00FD0AB1"/>
    <w:rsid w:val="00FD0D7B"/>
    <w:rsid w:val="00FD1009"/>
    <w:rsid w:val="00FD1379"/>
    <w:rsid w:val="00FD1608"/>
    <w:rsid w:val="00FD1C77"/>
    <w:rsid w:val="00FD1D95"/>
    <w:rsid w:val="00FD1DA6"/>
    <w:rsid w:val="00FD2B64"/>
    <w:rsid w:val="00FD2E62"/>
    <w:rsid w:val="00FD3010"/>
    <w:rsid w:val="00FD3086"/>
    <w:rsid w:val="00FD4369"/>
    <w:rsid w:val="00FD4E3E"/>
    <w:rsid w:val="00FD5367"/>
    <w:rsid w:val="00FD5482"/>
    <w:rsid w:val="00FD576C"/>
    <w:rsid w:val="00FD61F9"/>
    <w:rsid w:val="00FD6484"/>
    <w:rsid w:val="00FD66E6"/>
    <w:rsid w:val="00FD66F5"/>
    <w:rsid w:val="00FD6A95"/>
    <w:rsid w:val="00FD6FF3"/>
    <w:rsid w:val="00FD7245"/>
    <w:rsid w:val="00FD72C5"/>
    <w:rsid w:val="00FD7E45"/>
    <w:rsid w:val="00FD7F9F"/>
    <w:rsid w:val="00FE03D0"/>
    <w:rsid w:val="00FE099F"/>
    <w:rsid w:val="00FE10B0"/>
    <w:rsid w:val="00FE1424"/>
    <w:rsid w:val="00FE146D"/>
    <w:rsid w:val="00FE190F"/>
    <w:rsid w:val="00FE29D8"/>
    <w:rsid w:val="00FE2E3A"/>
    <w:rsid w:val="00FE2EDE"/>
    <w:rsid w:val="00FE2F01"/>
    <w:rsid w:val="00FE35A6"/>
    <w:rsid w:val="00FE3A87"/>
    <w:rsid w:val="00FE3C02"/>
    <w:rsid w:val="00FE49BE"/>
    <w:rsid w:val="00FE516C"/>
    <w:rsid w:val="00FE5368"/>
    <w:rsid w:val="00FE53BE"/>
    <w:rsid w:val="00FE55B4"/>
    <w:rsid w:val="00FE57C4"/>
    <w:rsid w:val="00FE5CB0"/>
    <w:rsid w:val="00FE5F2B"/>
    <w:rsid w:val="00FE617C"/>
    <w:rsid w:val="00FE6303"/>
    <w:rsid w:val="00FE6773"/>
    <w:rsid w:val="00FE6BAB"/>
    <w:rsid w:val="00FE6E58"/>
    <w:rsid w:val="00FE76CF"/>
    <w:rsid w:val="00FF04C4"/>
    <w:rsid w:val="00FF0BD9"/>
    <w:rsid w:val="00FF212A"/>
    <w:rsid w:val="00FF222C"/>
    <w:rsid w:val="00FF2625"/>
    <w:rsid w:val="00FF2C17"/>
    <w:rsid w:val="00FF2D4A"/>
    <w:rsid w:val="00FF3624"/>
    <w:rsid w:val="00FF3AE4"/>
    <w:rsid w:val="00FF3F5C"/>
    <w:rsid w:val="00FF4230"/>
    <w:rsid w:val="00FF4A1D"/>
    <w:rsid w:val="00FF5182"/>
    <w:rsid w:val="00FF5A0B"/>
    <w:rsid w:val="00FF6162"/>
    <w:rsid w:val="00FF6D84"/>
    <w:rsid w:val="00FF739D"/>
    <w:rsid w:val="00FF740E"/>
    <w:rsid w:val="00FF75A5"/>
    <w:rsid w:val="00FF7D93"/>
    <w:rsid w:val="013E3576"/>
    <w:rsid w:val="016F18A7"/>
    <w:rsid w:val="01942445"/>
    <w:rsid w:val="01CE1D22"/>
    <w:rsid w:val="022E3488"/>
    <w:rsid w:val="026816FD"/>
    <w:rsid w:val="028B1328"/>
    <w:rsid w:val="02CB71D6"/>
    <w:rsid w:val="037E0B42"/>
    <w:rsid w:val="041E26D8"/>
    <w:rsid w:val="04A55DC5"/>
    <w:rsid w:val="04D922D3"/>
    <w:rsid w:val="0553590A"/>
    <w:rsid w:val="05C56ED2"/>
    <w:rsid w:val="063A7320"/>
    <w:rsid w:val="06415425"/>
    <w:rsid w:val="067E7AEB"/>
    <w:rsid w:val="06C76C2F"/>
    <w:rsid w:val="06E610E6"/>
    <w:rsid w:val="06F4134A"/>
    <w:rsid w:val="072D19CC"/>
    <w:rsid w:val="074A13CD"/>
    <w:rsid w:val="07561AEC"/>
    <w:rsid w:val="07F27D92"/>
    <w:rsid w:val="09172D06"/>
    <w:rsid w:val="09EE09DD"/>
    <w:rsid w:val="0A323755"/>
    <w:rsid w:val="0A50702E"/>
    <w:rsid w:val="0B35618E"/>
    <w:rsid w:val="0B3E6280"/>
    <w:rsid w:val="0B5A5A07"/>
    <w:rsid w:val="0B60785D"/>
    <w:rsid w:val="0BA360D3"/>
    <w:rsid w:val="0C9570B1"/>
    <w:rsid w:val="0CF56F29"/>
    <w:rsid w:val="0D6A7001"/>
    <w:rsid w:val="0DCD0DE5"/>
    <w:rsid w:val="0EDA2E2B"/>
    <w:rsid w:val="0F250FC2"/>
    <w:rsid w:val="0F3A0931"/>
    <w:rsid w:val="0F6D27B4"/>
    <w:rsid w:val="0FA77227"/>
    <w:rsid w:val="0FF87EA4"/>
    <w:rsid w:val="1032543D"/>
    <w:rsid w:val="10AA6E42"/>
    <w:rsid w:val="10E615B0"/>
    <w:rsid w:val="11305976"/>
    <w:rsid w:val="12027926"/>
    <w:rsid w:val="12236F4E"/>
    <w:rsid w:val="122530B5"/>
    <w:rsid w:val="12C0735F"/>
    <w:rsid w:val="136370FF"/>
    <w:rsid w:val="13720B06"/>
    <w:rsid w:val="13AB3D9B"/>
    <w:rsid w:val="13AB6798"/>
    <w:rsid w:val="13C62EEA"/>
    <w:rsid w:val="143E1E53"/>
    <w:rsid w:val="14FA3CB8"/>
    <w:rsid w:val="15020D7A"/>
    <w:rsid w:val="155826ED"/>
    <w:rsid w:val="155C722A"/>
    <w:rsid w:val="163020EE"/>
    <w:rsid w:val="16922FCB"/>
    <w:rsid w:val="16CC3FF8"/>
    <w:rsid w:val="17AB0E04"/>
    <w:rsid w:val="17FF51CD"/>
    <w:rsid w:val="18433D2D"/>
    <w:rsid w:val="18522AE9"/>
    <w:rsid w:val="185B6B37"/>
    <w:rsid w:val="18661761"/>
    <w:rsid w:val="18AB7A1D"/>
    <w:rsid w:val="18AE3FCB"/>
    <w:rsid w:val="197E00B5"/>
    <w:rsid w:val="1A1B0732"/>
    <w:rsid w:val="1A4105B5"/>
    <w:rsid w:val="1A43251E"/>
    <w:rsid w:val="1B1B6586"/>
    <w:rsid w:val="1B2A271F"/>
    <w:rsid w:val="1B55183D"/>
    <w:rsid w:val="1BC34C45"/>
    <w:rsid w:val="1BD26212"/>
    <w:rsid w:val="1C2D5C27"/>
    <w:rsid w:val="1C490EFD"/>
    <w:rsid w:val="1CB77D97"/>
    <w:rsid w:val="1D0D001D"/>
    <w:rsid w:val="1D3A4981"/>
    <w:rsid w:val="1D953427"/>
    <w:rsid w:val="1DC120E9"/>
    <w:rsid w:val="1DCB6300"/>
    <w:rsid w:val="1E516244"/>
    <w:rsid w:val="1F8F31A4"/>
    <w:rsid w:val="1F930AAE"/>
    <w:rsid w:val="1FE358D0"/>
    <w:rsid w:val="1FF589B8"/>
    <w:rsid w:val="20354A30"/>
    <w:rsid w:val="205F0546"/>
    <w:rsid w:val="20A94DBC"/>
    <w:rsid w:val="213774F2"/>
    <w:rsid w:val="21B34DBB"/>
    <w:rsid w:val="21C944F7"/>
    <w:rsid w:val="21F6299D"/>
    <w:rsid w:val="22376DB9"/>
    <w:rsid w:val="227F6B28"/>
    <w:rsid w:val="2286728E"/>
    <w:rsid w:val="23A30CCB"/>
    <w:rsid w:val="23DF4442"/>
    <w:rsid w:val="24032612"/>
    <w:rsid w:val="24C676E6"/>
    <w:rsid w:val="24FB27E0"/>
    <w:rsid w:val="250F54BE"/>
    <w:rsid w:val="25567252"/>
    <w:rsid w:val="256765A3"/>
    <w:rsid w:val="257D7016"/>
    <w:rsid w:val="25D84B2D"/>
    <w:rsid w:val="26073AC4"/>
    <w:rsid w:val="26B1459C"/>
    <w:rsid w:val="26F63E62"/>
    <w:rsid w:val="26FF11C1"/>
    <w:rsid w:val="277D4CF6"/>
    <w:rsid w:val="27E85014"/>
    <w:rsid w:val="2854778B"/>
    <w:rsid w:val="286D6E59"/>
    <w:rsid w:val="28E03290"/>
    <w:rsid w:val="29AF353B"/>
    <w:rsid w:val="29CD3595"/>
    <w:rsid w:val="2A4459B2"/>
    <w:rsid w:val="2B066822"/>
    <w:rsid w:val="2B136206"/>
    <w:rsid w:val="2B34526C"/>
    <w:rsid w:val="2BA17E97"/>
    <w:rsid w:val="2BC32637"/>
    <w:rsid w:val="2BC43764"/>
    <w:rsid w:val="2BD55FDA"/>
    <w:rsid w:val="2C5E6006"/>
    <w:rsid w:val="2C7704DD"/>
    <w:rsid w:val="2D214C00"/>
    <w:rsid w:val="2D253B6D"/>
    <w:rsid w:val="2D712600"/>
    <w:rsid w:val="2D775A22"/>
    <w:rsid w:val="2DCF54AA"/>
    <w:rsid w:val="2E493737"/>
    <w:rsid w:val="2E6C3E4E"/>
    <w:rsid w:val="2E763EEB"/>
    <w:rsid w:val="2F2BBA24"/>
    <w:rsid w:val="2F2F6F03"/>
    <w:rsid w:val="2F533245"/>
    <w:rsid w:val="2FC451FE"/>
    <w:rsid w:val="2FCE04BD"/>
    <w:rsid w:val="2FE66F94"/>
    <w:rsid w:val="3043367A"/>
    <w:rsid w:val="305A28B6"/>
    <w:rsid w:val="30CF29C6"/>
    <w:rsid w:val="314617E0"/>
    <w:rsid w:val="316B273B"/>
    <w:rsid w:val="31FB0FEE"/>
    <w:rsid w:val="325E1A33"/>
    <w:rsid w:val="32A16677"/>
    <w:rsid w:val="32E74670"/>
    <w:rsid w:val="333C7553"/>
    <w:rsid w:val="33F69E55"/>
    <w:rsid w:val="34B46E39"/>
    <w:rsid w:val="34EE20E0"/>
    <w:rsid w:val="35800A2B"/>
    <w:rsid w:val="35872BA1"/>
    <w:rsid w:val="35E17FF2"/>
    <w:rsid w:val="366A0FAE"/>
    <w:rsid w:val="36812A1E"/>
    <w:rsid w:val="374A5682"/>
    <w:rsid w:val="37851C43"/>
    <w:rsid w:val="37D306F3"/>
    <w:rsid w:val="38CC318C"/>
    <w:rsid w:val="39914351"/>
    <w:rsid w:val="399419C4"/>
    <w:rsid w:val="39C7437C"/>
    <w:rsid w:val="39EFCE3E"/>
    <w:rsid w:val="3A106281"/>
    <w:rsid w:val="3A2971D7"/>
    <w:rsid w:val="3A3756BC"/>
    <w:rsid w:val="3A3B2D3F"/>
    <w:rsid w:val="3AF1C371"/>
    <w:rsid w:val="3B134DF2"/>
    <w:rsid w:val="3B271005"/>
    <w:rsid w:val="3B6E2093"/>
    <w:rsid w:val="3BBA117D"/>
    <w:rsid w:val="3BBF7E11"/>
    <w:rsid w:val="3BCF6479"/>
    <w:rsid w:val="3BD27A69"/>
    <w:rsid w:val="3BDFE81A"/>
    <w:rsid w:val="3C3B4E67"/>
    <w:rsid w:val="3C9D1B58"/>
    <w:rsid w:val="3CBD6F16"/>
    <w:rsid w:val="3CED0519"/>
    <w:rsid w:val="3CF111B2"/>
    <w:rsid w:val="3CF2475B"/>
    <w:rsid w:val="3D0A29F5"/>
    <w:rsid w:val="3D2F6F32"/>
    <w:rsid w:val="3D794501"/>
    <w:rsid w:val="3D98059B"/>
    <w:rsid w:val="3E2626E3"/>
    <w:rsid w:val="3E2B5C30"/>
    <w:rsid w:val="3E992306"/>
    <w:rsid w:val="3EB85F28"/>
    <w:rsid w:val="3EDE0153"/>
    <w:rsid w:val="3F3E89B3"/>
    <w:rsid w:val="3F6B766A"/>
    <w:rsid w:val="3F8D61C8"/>
    <w:rsid w:val="3F984F46"/>
    <w:rsid w:val="3FBA789F"/>
    <w:rsid w:val="3FFBA6E0"/>
    <w:rsid w:val="40A83C79"/>
    <w:rsid w:val="40E24AD5"/>
    <w:rsid w:val="418E0C1A"/>
    <w:rsid w:val="419948A1"/>
    <w:rsid w:val="4204500F"/>
    <w:rsid w:val="428668DB"/>
    <w:rsid w:val="42C478C8"/>
    <w:rsid w:val="42F27FBF"/>
    <w:rsid w:val="43173A6A"/>
    <w:rsid w:val="434B7668"/>
    <w:rsid w:val="435F9DCF"/>
    <w:rsid w:val="44441422"/>
    <w:rsid w:val="44855AC1"/>
    <w:rsid w:val="4499337D"/>
    <w:rsid w:val="44C80E26"/>
    <w:rsid w:val="45493525"/>
    <w:rsid w:val="459C439E"/>
    <w:rsid w:val="45EB39DA"/>
    <w:rsid w:val="46772BFC"/>
    <w:rsid w:val="46A54DD8"/>
    <w:rsid w:val="46B828F3"/>
    <w:rsid w:val="47234B66"/>
    <w:rsid w:val="47B045AE"/>
    <w:rsid w:val="47D54AED"/>
    <w:rsid w:val="484F5643"/>
    <w:rsid w:val="48A87047"/>
    <w:rsid w:val="48B87698"/>
    <w:rsid w:val="499442BC"/>
    <w:rsid w:val="49A20BFB"/>
    <w:rsid w:val="4B7D7A64"/>
    <w:rsid w:val="4BCC5E32"/>
    <w:rsid w:val="4C1F718F"/>
    <w:rsid w:val="4C365584"/>
    <w:rsid w:val="4CC0301D"/>
    <w:rsid w:val="4D7F6FC6"/>
    <w:rsid w:val="4DB118E1"/>
    <w:rsid w:val="4DEF7282"/>
    <w:rsid w:val="4E16768E"/>
    <w:rsid w:val="4E21055F"/>
    <w:rsid w:val="4E941BD8"/>
    <w:rsid w:val="4EA903CC"/>
    <w:rsid w:val="4F6CC1B9"/>
    <w:rsid w:val="4FAF9F66"/>
    <w:rsid w:val="5064344D"/>
    <w:rsid w:val="51502975"/>
    <w:rsid w:val="51AD61EC"/>
    <w:rsid w:val="51AF1CAA"/>
    <w:rsid w:val="51C77CD3"/>
    <w:rsid w:val="525F1D77"/>
    <w:rsid w:val="527D538A"/>
    <w:rsid w:val="529C0149"/>
    <w:rsid w:val="52C4759C"/>
    <w:rsid w:val="52FF4BAA"/>
    <w:rsid w:val="532F7294"/>
    <w:rsid w:val="5332650C"/>
    <w:rsid w:val="533F7695"/>
    <w:rsid w:val="53413B11"/>
    <w:rsid w:val="53D866B9"/>
    <w:rsid w:val="53EB3535"/>
    <w:rsid w:val="53EB55F4"/>
    <w:rsid w:val="54B4340E"/>
    <w:rsid w:val="54B470C7"/>
    <w:rsid w:val="55050ED3"/>
    <w:rsid w:val="551625BE"/>
    <w:rsid w:val="55FB1424"/>
    <w:rsid w:val="56CF8D5C"/>
    <w:rsid w:val="56EBAAAB"/>
    <w:rsid w:val="56EF5115"/>
    <w:rsid w:val="56F363B3"/>
    <w:rsid w:val="57454643"/>
    <w:rsid w:val="574F09E0"/>
    <w:rsid w:val="5776440D"/>
    <w:rsid w:val="57E76842"/>
    <w:rsid w:val="58710DD8"/>
    <w:rsid w:val="58B65E69"/>
    <w:rsid w:val="58D609B4"/>
    <w:rsid w:val="594D6F72"/>
    <w:rsid w:val="59A94D81"/>
    <w:rsid w:val="59F7DF66"/>
    <w:rsid w:val="5A2D6C07"/>
    <w:rsid w:val="5B1B5005"/>
    <w:rsid w:val="5B7D0BA5"/>
    <w:rsid w:val="5BAF0FAB"/>
    <w:rsid w:val="5BC227E3"/>
    <w:rsid w:val="5BEE38E5"/>
    <w:rsid w:val="5C025B47"/>
    <w:rsid w:val="5C2E291F"/>
    <w:rsid w:val="5C355B2A"/>
    <w:rsid w:val="5C4415CC"/>
    <w:rsid w:val="5CB70CBD"/>
    <w:rsid w:val="5CDF41C2"/>
    <w:rsid w:val="5D15272A"/>
    <w:rsid w:val="5D291442"/>
    <w:rsid w:val="5D302F04"/>
    <w:rsid w:val="5D472DB2"/>
    <w:rsid w:val="5D782103"/>
    <w:rsid w:val="5DA00833"/>
    <w:rsid w:val="5DA34520"/>
    <w:rsid w:val="5DCA6D19"/>
    <w:rsid w:val="5DF8686A"/>
    <w:rsid w:val="5E5455CE"/>
    <w:rsid w:val="5E9E480A"/>
    <w:rsid w:val="5EA30896"/>
    <w:rsid w:val="5EA6BC03"/>
    <w:rsid w:val="5EA70D85"/>
    <w:rsid w:val="5EB70AF5"/>
    <w:rsid w:val="5F58537A"/>
    <w:rsid w:val="5F7EDCF8"/>
    <w:rsid w:val="5F7F31BC"/>
    <w:rsid w:val="5F8B01E7"/>
    <w:rsid w:val="5FCF0B19"/>
    <w:rsid w:val="5FE50461"/>
    <w:rsid w:val="5FFE462F"/>
    <w:rsid w:val="5FFFFFE7"/>
    <w:rsid w:val="601938CD"/>
    <w:rsid w:val="60EC38E4"/>
    <w:rsid w:val="61156689"/>
    <w:rsid w:val="6158542F"/>
    <w:rsid w:val="616B1165"/>
    <w:rsid w:val="61B322A6"/>
    <w:rsid w:val="627E6D3A"/>
    <w:rsid w:val="628A0DAB"/>
    <w:rsid w:val="62A41E80"/>
    <w:rsid w:val="62A8670A"/>
    <w:rsid w:val="62BB3415"/>
    <w:rsid w:val="633E1A58"/>
    <w:rsid w:val="636838CF"/>
    <w:rsid w:val="637F51A3"/>
    <w:rsid w:val="63B27E48"/>
    <w:rsid w:val="640E7205"/>
    <w:rsid w:val="648A0E54"/>
    <w:rsid w:val="64B345AD"/>
    <w:rsid w:val="64B96D77"/>
    <w:rsid w:val="64C3600D"/>
    <w:rsid w:val="65274B89"/>
    <w:rsid w:val="65A82C1D"/>
    <w:rsid w:val="65AC1192"/>
    <w:rsid w:val="65C03087"/>
    <w:rsid w:val="65C450F1"/>
    <w:rsid w:val="65F67484"/>
    <w:rsid w:val="660A6C66"/>
    <w:rsid w:val="663463BB"/>
    <w:rsid w:val="66445F22"/>
    <w:rsid w:val="66845CBA"/>
    <w:rsid w:val="670907D6"/>
    <w:rsid w:val="6725016C"/>
    <w:rsid w:val="674F2C73"/>
    <w:rsid w:val="676C7AA3"/>
    <w:rsid w:val="6785043A"/>
    <w:rsid w:val="67B045CC"/>
    <w:rsid w:val="67BFCF0C"/>
    <w:rsid w:val="67DF4F16"/>
    <w:rsid w:val="67F84FF4"/>
    <w:rsid w:val="67FFB99D"/>
    <w:rsid w:val="682E14CD"/>
    <w:rsid w:val="68516F74"/>
    <w:rsid w:val="68791697"/>
    <w:rsid w:val="68D707E5"/>
    <w:rsid w:val="69014ECD"/>
    <w:rsid w:val="699F3596"/>
    <w:rsid w:val="69FD9E8A"/>
    <w:rsid w:val="6A370C96"/>
    <w:rsid w:val="6ADE4542"/>
    <w:rsid w:val="6AE13C31"/>
    <w:rsid w:val="6B760D15"/>
    <w:rsid w:val="6C1F7975"/>
    <w:rsid w:val="6C3E1AB1"/>
    <w:rsid w:val="6C454D2F"/>
    <w:rsid w:val="6C7F4E7C"/>
    <w:rsid w:val="6C8C52EE"/>
    <w:rsid w:val="6CC834A6"/>
    <w:rsid w:val="6D8B1D45"/>
    <w:rsid w:val="6D9829DA"/>
    <w:rsid w:val="6EA20A3A"/>
    <w:rsid w:val="6F6FD29D"/>
    <w:rsid w:val="6FE721F0"/>
    <w:rsid w:val="70CB21E7"/>
    <w:rsid w:val="7128150C"/>
    <w:rsid w:val="71281D15"/>
    <w:rsid w:val="71363EBC"/>
    <w:rsid w:val="71A7C633"/>
    <w:rsid w:val="71EE2090"/>
    <w:rsid w:val="71FE49F8"/>
    <w:rsid w:val="7253000A"/>
    <w:rsid w:val="72793538"/>
    <w:rsid w:val="72FF81C0"/>
    <w:rsid w:val="7312270A"/>
    <w:rsid w:val="73805249"/>
    <w:rsid w:val="739159EB"/>
    <w:rsid w:val="73CF4B6D"/>
    <w:rsid w:val="73FB4C67"/>
    <w:rsid w:val="73FC5452"/>
    <w:rsid w:val="73FF5150"/>
    <w:rsid w:val="745200D1"/>
    <w:rsid w:val="750D09EE"/>
    <w:rsid w:val="75590BB4"/>
    <w:rsid w:val="758E10C4"/>
    <w:rsid w:val="75F3CA7C"/>
    <w:rsid w:val="76472434"/>
    <w:rsid w:val="7667329F"/>
    <w:rsid w:val="76744B57"/>
    <w:rsid w:val="76C5756B"/>
    <w:rsid w:val="76D753E1"/>
    <w:rsid w:val="77351661"/>
    <w:rsid w:val="77586DE6"/>
    <w:rsid w:val="775989F9"/>
    <w:rsid w:val="77881B19"/>
    <w:rsid w:val="77AFD296"/>
    <w:rsid w:val="77BAB2DE"/>
    <w:rsid w:val="77BD0ACE"/>
    <w:rsid w:val="77F78412"/>
    <w:rsid w:val="77F93497"/>
    <w:rsid w:val="77FA47E7"/>
    <w:rsid w:val="783001D7"/>
    <w:rsid w:val="783869C2"/>
    <w:rsid w:val="784644C7"/>
    <w:rsid w:val="78986F77"/>
    <w:rsid w:val="79130F5B"/>
    <w:rsid w:val="791717F8"/>
    <w:rsid w:val="7917347F"/>
    <w:rsid w:val="79391FC6"/>
    <w:rsid w:val="796A5940"/>
    <w:rsid w:val="79706DF2"/>
    <w:rsid w:val="79B432D0"/>
    <w:rsid w:val="79D36FD3"/>
    <w:rsid w:val="79DDF8F6"/>
    <w:rsid w:val="7A123595"/>
    <w:rsid w:val="7ABB585A"/>
    <w:rsid w:val="7ABEF822"/>
    <w:rsid w:val="7AD46261"/>
    <w:rsid w:val="7AE90509"/>
    <w:rsid w:val="7B1D19B6"/>
    <w:rsid w:val="7B394A90"/>
    <w:rsid w:val="7B3D7E18"/>
    <w:rsid w:val="7B598FC0"/>
    <w:rsid w:val="7B8C5F58"/>
    <w:rsid w:val="7BA07830"/>
    <w:rsid w:val="7BEF7A82"/>
    <w:rsid w:val="7BF77B70"/>
    <w:rsid w:val="7C110FAD"/>
    <w:rsid w:val="7C223962"/>
    <w:rsid w:val="7C7739EA"/>
    <w:rsid w:val="7CAB4058"/>
    <w:rsid w:val="7CEFB018"/>
    <w:rsid w:val="7D5E6469"/>
    <w:rsid w:val="7D5F165B"/>
    <w:rsid w:val="7D757B36"/>
    <w:rsid w:val="7D7F4E42"/>
    <w:rsid w:val="7DA17E27"/>
    <w:rsid w:val="7E2D6EC7"/>
    <w:rsid w:val="7E7E3D2C"/>
    <w:rsid w:val="7EB87640"/>
    <w:rsid w:val="7EBF77B0"/>
    <w:rsid w:val="7EF69CCE"/>
    <w:rsid w:val="7F0621B9"/>
    <w:rsid w:val="7F4C0ABC"/>
    <w:rsid w:val="7F5C6565"/>
    <w:rsid w:val="7F6F1552"/>
    <w:rsid w:val="7F7582B0"/>
    <w:rsid w:val="7F8B2477"/>
    <w:rsid w:val="7FAD3999"/>
    <w:rsid w:val="7FBB124D"/>
    <w:rsid w:val="7FBC0B34"/>
    <w:rsid w:val="7FBF1550"/>
    <w:rsid w:val="7FBF2951"/>
    <w:rsid w:val="7FD14040"/>
    <w:rsid w:val="7FDF6975"/>
    <w:rsid w:val="7FFDBD34"/>
    <w:rsid w:val="7FFF0182"/>
    <w:rsid w:val="7FFF5514"/>
    <w:rsid w:val="8FF7A75D"/>
    <w:rsid w:val="95FFB3FE"/>
    <w:rsid w:val="A71575D2"/>
    <w:rsid w:val="AAF93095"/>
    <w:rsid w:val="AD1DD3B0"/>
    <w:rsid w:val="ADFB4F1D"/>
    <w:rsid w:val="AF4F62D5"/>
    <w:rsid w:val="AFFFB296"/>
    <w:rsid w:val="B78DF694"/>
    <w:rsid w:val="B7EFB83D"/>
    <w:rsid w:val="B7FEFF16"/>
    <w:rsid w:val="B7FF5975"/>
    <w:rsid w:val="B96E8A33"/>
    <w:rsid w:val="BB794CA9"/>
    <w:rsid w:val="BF3BDBEB"/>
    <w:rsid w:val="BF7F82D9"/>
    <w:rsid w:val="BFEB9318"/>
    <w:rsid w:val="BFEE9831"/>
    <w:rsid w:val="BFFD2FF0"/>
    <w:rsid w:val="BFFF310D"/>
    <w:rsid w:val="C6FF73E0"/>
    <w:rsid w:val="CE850B64"/>
    <w:rsid w:val="CF76133C"/>
    <w:rsid w:val="D2E686F7"/>
    <w:rsid w:val="D7BF35F4"/>
    <w:rsid w:val="D9F7B433"/>
    <w:rsid w:val="DB1CFD55"/>
    <w:rsid w:val="DB3F881D"/>
    <w:rsid w:val="DBDB6D36"/>
    <w:rsid w:val="DCDF0108"/>
    <w:rsid w:val="DCFBE073"/>
    <w:rsid w:val="DDBF3BFA"/>
    <w:rsid w:val="DF778623"/>
    <w:rsid w:val="DF7B4379"/>
    <w:rsid w:val="DF7E1DC5"/>
    <w:rsid w:val="DF7F3450"/>
    <w:rsid w:val="E3E6A3C0"/>
    <w:rsid w:val="E6B4681E"/>
    <w:rsid w:val="E7BF62CF"/>
    <w:rsid w:val="E97E355C"/>
    <w:rsid w:val="EBF77B1E"/>
    <w:rsid w:val="EDBF5A2D"/>
    <w:rsid w:val="EF3902E5"/>
    <w:rsid w:val="EF7E36BE"/>
    <w:rsid w:val="EFAF8AC7"/>
    <w:rsid w:val="EFDC9458"/>
    <w:rsid w:val="EFEFA6A9"/>
    <w:rsid w:val="EFFBC82D"/>
    <w:rsid w:val="F3FA9F93"/>
    <w:rsid w:val="F5B78EFC"/>
    <w:rsid w:val="F6D5D472"/>
    <w:rsid w:val="F7E9F158"/>
    <w:rsid w:val="F7EDACCA"/>
    <w:rsid w:val="F95E5CB5"/>
    <w:rsid w:val="F975A6C4"/>
    <w:rsid w:val="FCED1D40"/>
    <w:rsid w:val="FCFF867B"/>
    <w:rsid w:val="FCFFC2F2"/>
    <w:rsid w:val="FD5D43F3"/>
    <w:rsid w:val="FDCA2BF9"/>
    <w:rsid w:val="FDFF6D86"/>
    <w:rsid w:val="FE3518B8"/>
    <w:rsid w:val="FEBB1786"/>
    <w:rsid w:val="FEDF6E27"/>
    <w:rsid w:val="FEF73CA3"/>
    <w:rsid w:val="FF676D32"/>
    <w:rsid w:val="FF772032"/>
    <w:rsid w:val="FF78CCE9"/>
    <w:rsid w:val="FF7E5C2A"/>
    <w:rsid w:val="FFBD85D2"/>
    <w:rsid w:val="FFDBA881"/>
    <w:rsid w:val="FFE7B18A"/>
    <w:rsid w:val="FFEF275B"/>
    <w:rsid w:val="FFFC02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widowControl/>
      <w:spacing w:before="284" w:line="360" w:lineRule="auto"/>
      <w:jc w:val="center"/>
      <w:outlineLvl w:val="0"/>
    </w:pPr>
    <w:rPr>
      <w:rFonts w:ascii="宋体" w:hAnsi="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74"/>
    <w:qFormat/>
    <w:uiPriority w:val="0"/>
    <w:pPr>
      <w:keepNext/>
      <w:keepLines/>
      <w:spacing w:before="280" w:after="290" w:line="376" w:lineRule="auto"/>
      <w:outlineLvl w:val="4"/>
    </w:pPr>
    <w:rPr>
      <w:b/>
      <w:bCs/>
      <w:sz w:val="28"/>
      <w:szCs w:val="28"/>
    </w:rPr>
  </w:style>
  <w:style w:type="paragraph" w:styleId="8">
    <w:name w:val="heading 7"/>
    <w:basedOn w:val="1"/>
    <w:next w:val="2"/>
    <w:link w:val="53"/>
    <w:qFormat/>
    <w:uiPriority w:val="0"/>
    <w:pPr>
      <w:keepNext/>
      <w:keepLines/>
      <w:spacing w:before="240" w:after="64" w:line="320" w:lineRule="auto"/>
      <w:outlineLvl w:val="6"/>
    </w:pPr>
    <w:rPr>
      <w:b/>
      <w:sz w:val="24"/>
      <w:szCs w:val="20"/>
    </w:rPr>
  </w:style>
  <w:style w:type="paragraph" w:styleId="9">
    <w:name w:val="heading 8"/>
    <w:basedOn w:val="1"/>
    <w:next w:val="2"/>
    <w:link w:val="70"/>
    <w:qFormat/>
    <w:uiPriority w:val="0"/>
    <w:pPr>
      <w:keepNext/>
      <w:keepLines/>
      <w:spacing w:before="240" w:after="64" w:line="320" w:lineRule="auto"/>
      <w:outlineLvl w:val="7"/>
    </w:pPr>
    <w:rPr>
      <w:rFonts w:ascii="Arial" w:hAnsi="Arial" w:eastAsia="黑体"/>
      <w:sz w:val="24"/>
      <w:szCs w:val="20"/>
    </w:rPr>
  </w:style>
  <w:style w:type="paragraph" w:styleId="10">
    <w:name w:val="heading 9"/>
    <w:basedOn w:val="1"/>
    <w:next w:val="2"/>
    <w:link w:val="80"/>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qFormat/>
    <w:uiPriority w:val="0"/>
  </w:style>
  <w:style w:type="table" w:default="1" w:styleId="43">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11">
    <w:name w:val="List 3"/>
    <w:basedOn w:val="1"/>
    <w:qFormat/>
    <w:uiPriority w:val="0"/>
    <w:pPr>
      <w:ind w:left="100" w:leftChars="400" w:hanging="200" w:hangingChars="200"/>
    </w:pPr>
  </w:style>
  <w:style w:type="paragraph" w:styleId="12">
    <w:name w:val="toc 7"/>
    <w:basedOn w:val="1"/>
    <w:next w:val="1"/>
    <w:qFormat/>
    <w:uiPriority w:val="39"/>
    <w:pPr>
      <w:ind w:left="1260"/>
      <w:jc w:val="left"/>
    </w:pPr>
    <w:rPr>
      <w:sz w:val="18"/>
      <w:szCs w:val="18"/>
    </w:rPr>
  </w:style>
  <w:style w:type="paragraph" w:styleId="13">
    <w:name w:val="index 5"/>
    <w:basedOn w:val="1"/>
    <w:next w:val="1"/>
    <w:qFormat/>
    <w:uiPriority w:val="0"/>
    <w:pPr>
      <w:ind w:left="800" w:leftChars="800"/>
    </w:pPr>
  </w:style>
  <w:style w:type="paragraph" w:styleId="14">
    <w:name w:val="Document Map"/>
    <w:basedOn w:val="1"/>
    <w:semiHidden/>
    <w:qFormat/>
    <w:uiPriority w:val="0"/>
    <w:pPr>
      <w:shd w:val="clear" w:color="auto" w:fill="000080"/>
    </w:pPr>
  </w:style>
  <w:style w:type="paragraph" w:styleId="15">
    <w:name w:val="annotation text"/>
    <w:basedOn w:val="1"/>
    <w:semiHidden/>
    <w:qFormat/>
    <w:uiPriority w:val="0"/>
    <w:pPr>
      <w:jc w:val="left"/>
    </w:pPr>
  </w:style>
  <w:style w:type="paragraph" w:styleId="16">
    <w:name w:val="Body Text"/>
    <w:basedOn w:val="1"/>
    <w:link w:val="73"/>
    <w:qFormat/>
    <w:uiPriority w:val="0"/>
    <w:pPr>
      <w:spacing w:after="120"/>
    </w:pPr>
  </w:style>
  <w:style w:type="paragraph" w:styleId="17">
    <w:name w:val="Body Text Indent"/>
    <w:basedOn w:val="1"/>
    <w:qFormat/>
    <w:uiPriority w:val="0"/>
    <w:pPr>
      <w:spacing w:line="360" w:lineRule="auto"/>
      <w:ind w:left="-360" w:firstLine="360"/>
    </w:pPr>
    <w:rPr>
      <w:rFonts w:ascii="宋体" w:hAnsi="宋体"/>
      <w:sz w:val="24"/>
    </w:rPr>
  </w:style>
  <w:style w:type="paragraph" w:styleId="18">
    <w:name w:val="List 2"/>
    <w:basedOn w:val="1"/>
    <w:qFormat/>
    <w:uiPriority w:val="0"/>
    <w:pPr>
      <w:ind w:left="100" w:leftChars="200" w:hanging="200" w:hangingChars="200"/>
    </w:pPr>
  </w:style>
  <w:style w:type="paragraph" w:styleId="19">
    <w:name w:val="Block Text"/>
    <w:basedOn w:val="1"/>
    <w:qFormat/>
    <w:uiPriority w:val="0"/>
    <w:pPr>
      <w:spacing w:line="360" w:lineRule="auto"/>
      <w:ind w:left="-2" w:leftChars="-1" w:right="-288" w:rightChars="-137" w:firstLine="540" w:firstLineChars="225"/>
    </w:pPr>
    <w:rPr>
      <w:rFonts w:ascii="宋体" w:hAnsi="宋体"/>
      <w:color w:val="000000"/>
      <w:sz w:val="24"/>
      <w:szCs w:val="30"/>
    </w:rPr>
  </w:style>
  <w:style w:type="paragraph" w:styleId="20">
    <w:name w:val="toc 5"/>
    <w:basedOn w:val="1"/>
    <w:next w:val="1"/>
    <w:qFormat/>
    <w:uiPriority w:val="39"/>
    <w:pPr>
      <w:ind w:left="840"/>
      <w:jc w:val="left"/>
    </w:pPr>
    <w:rPr>
      <w:sz w:val="18"/>
      <w:szCs w:val="18"/>
    </w:rPr>
  </w:style>
  <w:style w:type="paragraph" w:styleId="21">
    <w:name w:val="toc 3"/>
    <w:basedOn w:val="1"/>
    <w:next w:val="1"/>
    <w:qFormat/>
    <w:uiPriority w:val="39"/>
    <w:pPr>
      <w:ind w:left="420"/>
      <w:jc w:val="left"/>
    </w:pPr>
    <w:rPr>
      <w:i/>
      <w:iCs/>
      <w:sz w:val="20"/>
      <w:szCs w:val="20"/>
    </w:rPr>
  </w:style>
  <w:style w:type="paragraph" w:styleId="22">
    <w:name w:val="Plain Text"/>
    <w:basedOn w:val="1"/>
    <w:link w:val="77"/>
    <w:qFormat/>
    <w:uiPriority w:val="0"/>
    <w:rPr>
      <w:rFonts w:ascii="宋体" w:hAnsi="Courier New"/>
      <w:sz w:val="24"/>
      <w:szCs w:val="20"/>
    </w:rPr>
  </w:style>
  <w:style w:type="paragraph" w:styleId="23">
    <w:name w:val="toc 8"/>
    <w:basedOn w:val="1"/>
    <w:next w:val="1"/>
    <w:qFormat/>
    <w:uiPriority w:val="39"/>
    <w:pPr>
      <w:ind w:left="1470"/>
      <w:jc w:val="left"/>
    </w:pPr>
    <w:rPr>
      <w:sz w:val="18"/>
      <w:szCs w:val="18"/>
    </w:rPr>
  </w:style>
  <w:style w:type="paragraph" w:styleId="24">
    <w:name w:val="Date"/>
    <w:basedOn w:val="1"/>
    <w:next w:val="1"/>
    <w:qFormat/>
    <w:uiPriority w:val="0"/>
    <w:pPr>
      <w:ind w:left="100" w:leftChars="2500"/>
    </w:pPr>
  </w:style>
  <w:style w:type="paragraph" w:styleId="25">
    <w:name w:val="Body Text Indent 2"/>
    <w:basedOn w:val="1"/>
    <w:qFormat/>
    <w:uiPriority w:val="0"/>
    <w:pPr>
      <w:spacing w:line="360" w:lineRule="auto"/>
      <w:ind w:firstLine="480" w:firstLineChars="200"/>
    </w:pPr>
    <w:rPr>
      <w:rFonts w:ascii="宋体" w:hAnsi="宋体"/>
      <w:sz w:val="24"/>
    </w:rPr>
  </w:style>
  <w:style w:type="paragraph" w:styleId="26">
    <w:name w:val="Balloon Text"/>
    <w:basedOn w:val="1"/>
    <w:semiHidden/>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18"/>
    </w:rPr>
  </w:style>
  <w:style w:type="paragraph" w:styleId="2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tabs>
        <w:tab w:val="right" w:leader="dot" w:pos="9060"/>
      </w:tabs>
      <w:jc w:val="left"/>
    </w:pPr>
    <w:rPr>
      <w:b/>
      <w:bCs/>
      <w:caps/>
      <w:sz w:val="20"/>
      <w:szCs w:val="20"/>
    </w:rPr>
  </w:style>
  <w:style w:type="paragraph" w:styleId="30">
    <w:name w:val="toc 4"/>
    <w:basedOn w:val="1"/>
    <w:next w:val="1"/>
    <w:qFormat/>
    <w:uiPriority w:val="39"/>
    <w:pPr>
      <w:ind w:left="630"/>
      <w:jc w:val="left"/>
    </w:pPr>
    <w:rPr>
      <w:sz w:val="18"/>
      <w:szCs w:val="18"/>
    </w:rPr>
  </w:style>
  <w:style w:type="paragraph" w:styleId="31">
    <w:name w:val="List"/>
    <w:basedOn w:val="1"/>
    <w:qFormat/>
    <w:uiPriority w:val="0"/>
    <w:pPr>
      <w:ind w:left="200" w:hanging="200" w:hangingChars="200"/>
    </w:pPr>
  </w:style>
  <w:style w:type="paragraph" w:styleId="32">
    <w:name w:val="footnote text"/>
    <w:basedOn w:val="1"/>
    <w:link w:val="103"/>
    <w:qFormat/>
    <w:uiPriority w:val="0"/>
    <w:pPr>
      <w:snapToGrid w:val="0"/>
      <w:jc w:val="left"/>
    </w:pPr>
    <w:rPr>
      <w:sz w:val="18"/>
      <w:szCs w:val="18"/>
    </w:rPr>
  </w:style>
  <w:style w:type="paragraph" w:styleId="33">
    <w:name w:val="toc 6"/>
    <w:basedOn w:val="1"/>
    <w:next w:val="1"/>
    <w:qFormat/>
    <w:uiPriority w:val="39"/>
    <w:pPr>
      <w:ind w:left="1050"/>
      <w:jc w:val="left"/>
    </w:pPr>
    <w:rPr>
      <w:sz w:val="18"/>
      <w:szCs w:val="18"/>
    </w:rPr>
  </w:style>
  <w:style w:type="paragraph" w:styleId="34">
    <w:name w:val="List 5"/>
    <w:basedOn w:val="1"/>
    <w:qFormat/>
    <w:uiPriority w:val="0"/>
    <w:pPr>
      <w:ind w:left="100" w:leftChars="800" w:hanging="200" w:hangingChars="200"/>
    </w:pPr>
  </w:style>
  <w:style w:type="paragraph" w:styleId="35">
    <w:name w:val="Body Text Indent 3"/>
    <w:basedOn w:val="1"/>
    <w:qFormat/>
    <w:uiPriority w:val="0"/>
    <w:pPr>
      <w:spacing w:line="240" w:lineRule="atLeast"/>
      <w:ind w:left="141" w:leftChars="67" w:firstLine="1120" w:firstLineChars="400"/>
    </w:pPr>
    <w:rPr>
      <w:rFonts w:ascii="宋体" w:hAnsi="宋体"/>
      <w:color w:val="000000"/>
      <w:kern w:val="0"/>
      <w:sz w:val="28"/>
      <w:szCs w:val="28"/>
    </w:rPr>
  </w:style>
  <w:style w:type="paragraph" w:styleId="36">
    <w:name w:val="toc 2"/>
    <w:basedOn w:val="1"/>
    <w:next w:val="1"/>
    <w:qFormat/>
    <w:uiPriority w:val="39"/>
    <w:pPr>
      <w:tabs>
        <w:tab w:val="right" w:leader="dot" w:pos="9060"/>
      </w:tabs>
      <w:jc w:val="left"/>
    </w:pPr>
    <w:rPr>
      <w:smallCaps/>
      <w:sz w:val="20"/>
      <w:szCs w:val="20"/>
    </w:rPr>
  </w:style>
  <w:style w:type="paragraph" w:styleId="37">
    <w:name w:val="toc 9"/>
    <w:basedOn w:val="1"/>
    <w:next w:val="1"/>
    <w:qFormat/>
    <w:uiPriority w:val="39"/>
    <w:pPr>
      <w:ind w:left="1680"/>
      <w:jc w:val="left"/>
    </w:pPr>
    <w:rPr>
      <w:sz w:val="18"/>
      <w:szCs w:val="18"/>
    </w:rPr>
  </w:style>
  <w:style w:type="paragraph" w:styleId="38">
    <w:name w:val="List 4"/>
    <w:basedOn w:val="1"/>
    <w:qFormat/>
    <w:uiPriority w:val="0"/>
    <w:pPr>
      <w:ind w:left="100" w:leftChars="600" w:hanging="200" w:hangingChars="200"/>
    </w:pPr>
  </w:style>
  <w:style w:type="paragraph" w:styleId="3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qFormat/>
    <w:uiPriority w:val="99"/>
    <w:pPr>
      <w:widowControl/>
      <w:spacing w:before="284" w:after="100" w:afterAutospacing="1" w:line="360" w:lineRule="auto"/>
      <w:jc w:val="left"/>
    </w:pPr>
    <w:rPr>
      <w:rFonts w:ascii="宋体" w:hAnsi="宋体"/>
      <w:kern w:val="0"/>
      <w:sz w:val="24"/>
    </w:rPr>
  </w:style>
  <w:style w:type="paragraph" w:styleId="41">
    <w:name w:val="annotation subject"/>
    <w:basedOn w:val="15"/>
    <w:next w:val="15"/>
    <w:semiHidden/>
    <w:qFormat/>
    <w:uiPriority w:val="0"/>
    <w:rPr>
      <w:b/>
      <w:bCs/>
    </w:rPr>
  </w:style>
  <w:style w:type="paragraph" w:styleId="42">
    <w:name w:val="Body Text First Indent"/>
    <w:basedOn w:val="16"/>
    <w:link w:val="71"/>
    <w:qFormat/>
    <w:uiPriority w:val="0"/>
    <w:pPr>
      <w:ind w:firstLine="420" w:firstLineChars="100"/>
    </w:p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6">
    <w:name w:val="Strong"/>
    <w:qFormat/>
    <w:uiPriority w:val="0"/>
    <w:rPr>
      <w:b/>
      <w:bCs/>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Hyperlink"/>
    <w:qFormat/>
    <w:uiPriority w:val="99"/>
    <w:rPr>
      <w:color w:val="0000FF"/>
      <w:u w:val="single"/>
    </w:rPr>
  </w:style>
  <w:style w:type="character" w:styleId="50">
    <w:name w:val="annotation reference"/>
    <w:semiHidden/>
    <w:qFormat/>
    <w:uiPriority w:val="0"/>
    <w:rPr>
      <w:sz w:val="21"/>
      <w:szCs w:val="21"/>
    </w:rPr>
  </w:style>
  <w:style w:type="character" w:styleId="51">
    <w:name w:val="footnote reference"/>
    <w:qFormat/>
    <w:uiPriority w:val="0"/>
    <w:rPr>
      <w:vertAlign w:val="superscript"/>
    </w:rPr>
  </w:style>
  <w:style w:type="paragraph" w:customStyle="1" w:styleId="52">
    <w:name w:val="样式13"/>
    <w:basedOn w:val="7"/>
    <w:qFormat/>
    <w:uiPriority w:val="0"/>
    <w:rPr>
      <w:rFonts w:ascii="Times New Roman" w:hAnsi="Times New Roman"/>
    </w:rPr>
  </w:style>
  <w:style w:type="character" w:customStyle="1" w:styleId="53">
    <w:name w:val="标题 7 字符"/>
    <w:link w:val="8"/>
    <w:qFormat/>
    <w:uiPriority w:val="0"/>
    <w:rPr>
      <w:b/>
      <w:kern w:val="2"/>
      <w:sz w:val="24"/>
    </w:rPr>
  </w:style>
  <w:style w:type="paragraph" w:customStyle="1" w:styleId="54">
    <w:name w:val="样式1"/>
    <w:basedOn w:val="3"/>
    <w:qFormat/>
    <w:uiPriority w:val="0"/>
    <w:pPr>
      <w:jc w:val="both"/>
    </w:pPr>
    <w:rPr>
      <w:sz w:val="36"/>
      <w:szCs w:val="36"/>
    </w:rPr>
  </w:style>
  <w:style w:type="paragraph" w:customStyle="1" w:styleId="55">
    <w:name w:val="样式17"/>
    <w:basedOn w:val="6"/>
    <w:qFormat/>
    <w:uiPriority w:val="0"/>
  </w:style>
  <w:style w:type="paragraph" w:customStyle="1" w:styleId="56">
    <w:name w:val="章节一"/>
    <w:basedOn w:val="57"/>
    <w:next w:val="57"/>
    <w:qFormat/>
    <w:uiPriority w:val="0"/>
    <w:pPr>
      <w:spacing w:before="50" w:beforeLines="50" w:after="50" w:afterLines="50" w:line="240" w:lineRule="auto"/>
      <w:ind w:firstLine="0" w:firstLineChars="0"/>
      <w:jc w:val="center"/>
      <w:outlineLvl w:val="0"/>
    </w:pPr>
    <w:rPr>
      <w:rFonts w:eastAsia="黑体"/>
      <w:b/>
      <w:sz w:val="36"/>
      <w:szCs w:val="36"/>
    </w:rPr>
  </w:style>
  <w:style w:type="paragraph" w:customStyle="1" w:styleId="57">
    <w:name w:val="文一"/>
    <w:link w:val="89"/>
    <w:qFormat/>
    <w:uiPriority w:val="0"/>
    <w:pPr>
      <w:widowControl w:val="0"/>
      <w:topLinePunct/>
      <w:adjustRightInd w:val="0"/>
      <w:snapToGrid w:val="0"/>
      <w:spacing w:line="360" w:lineRule="auto"/>
      <w:ind w:firstLine="200" w:firstLineChars="200"/>
      <w:jc w:val="both"/>
    </w:pPr>
    <w:rPr>
      <w:rFonts w:asciiTheme="minorHAnsi" w:hAnsiTheme="minorHAnsi" w:eastAsiaTheme="minorEastAsia" w:cstheme="minorBidi"/>
      <w:snapToGrid w:val="0"/>
      <w:spacing w:val="4"/>
      <w:kern w:val="0"/>
      <w:sz w:val="24"/>
      <w:szCs w:val="24"/>
      <w:lang w:val="en-US" w:eastAsia="zh-CN" w:bidi="ar-SA"/>
    </w:rPr>
  </w:style>
  <w:style w:type="paragraph" w:customStyle="1" w:styleId="58">
    <w:name w:val="样式11"/>
    <w:basedOn w:val="7"/>
    <w:qFormat/>
    <w:uiPriority w:val="0"/>
    <w:rPr>
      <w:rFonts w:ascii="Times New Roman" w:hAnsi="Times New Roman"/>
    </w:rPr>
  </w:style>
  <w:style w:type="paragraph" w:customStyle="1" w:styleId="59">
    <w:name w:val="表头"/>
    <w:basedOn w:val="1"/>
    <w:qFormat/>
    <w:uiPriority w:val="0"/>
    <w:pPr>
      <w:spacing w:line="360" w:lineRule="auto"/>
      <w:jc w:val="center"/>
    </w:pPr>
    <w:rPr>
      <w:rFonts w:ascii="黑体" w:eastAsia="黑体"/>
      <w:kern w:val="0"/>
      <w:sz w:val="24"/>
      <w:szCs w:val="20"/>
    </w:rPr>
  </w:style>
  <w:style w:type="paragraph" w:customStyle="1" w:styleId="60">
    <w:name w:val="小正题"/>
    <w:basedOn w:val="61"/>
    <w:qFormat/>
    <w:uiPriority w:val="0"/>
    <w:rPr>
      <w:sz w:val="28"/>
    </w:rPr>
  </w:style>
  <w:style w:type="paragraph" w:customStyle="1" w:styleId="61">
    <w:name w:val="正题"/>
    <w:basedOn w:val="57"/>
    <w:next w:val="57"/>
    <w:qFormat/>
    <w:uiPriority w:val="0"/>
    <w:pPr>
      <w:ind w:firstLine="0" w:firstLineChars="0"/>
      <w:jc w:val="center"/>
    </w:pPr>
    <w:rPr>
      <w:rFonts w:eastAsia="黑体"/>
      <w:b/>
      <w:sz w:val="36"/>
      <w:szCs w:val="36"/>
    </w:rPr>
  </w:style>
  <w:style w:type="paragraph" w:customStyle="1" w:styleId="62">
    <w:name w:val="样式3"/>
    <w:basedOn w:val="6"/>
    <w:qFormat/>
    <w:uiPriority w:val="0"/>
    <w:rPr>
      <w:rFonts w:ascii="宋体" w:hAnsi="宋体"/>
      <w:sz w:val="28"/>
      <w:szCs w:val="28"/>
    </w:rPr>
  </w:style>
  <w:style w:type="paragraph" w:customStyle="1" w:styleId="63">
    <w:name w:val="样式6"/>
    <w:basedOn w:val="57"/>
    <w:next w:val="64"/>
    <w:qFormat/>
    <w:uiPriority w:val="0"/>
    <w:rPr>
      <w:rFonts w:ascii="Times New Roman" w:hAnsi="Times New Roman"/>
    </w:rPr>
  </w:style>
  <w:style w:type="paragraph" w:customStyle="1" w:styleId="64">
    <w:name w:val="样式5"/>
    <w:basedOn w:val="57"/>
    <w:qFormat/>
    <w:uiPriority w:val="0"/>
    <w:rPr>
      <w:rFonts w:ascii="Times New Roman" w:hAnsi="Times New Roman"/>
    </w:rPr>
  </w:style>
  <w:style w:type="paragraph" w:customStyle="1" w:styleId="65">
    <w:name w:val="章节三"/>
    <w:basedOn w:val="57"/>
    <w:next w:val="57"/>
    <w:qFormat/>
    <w:uiPriority w:val="0"/>
    <w:pPr>
      <w:spacing w:before="50" w:beforeLines="50" w:after="50" w:afterLines="50" w:line="240" w:lineRule="auto"/>
      <w:ind w:firstLine="0" w:firstLineChars="0"/>
      <w:jc w:val="left"/>
      <w:outlineLvl w:val="2"/>
    </w:pPr>
    <w:rPr>
      <w:rFonts w:ascii="黑体" w:hAnsi="宋体" w:eastAsia="黑体"/>
      <w:b/>
    </w:rPr>
  </w:style>
  <w:style w:type="paragraph" w:customStyle="1" w:styleId="66">
    <w:name w:val="样式10"/>
    <w:basedOn w:val="7"/>
    <w:qFormat/>
    <w:uiPriority w:val="0"/>
    <w:rPr>
      <w:rFonts w:ascii="Times New Roman" w:hAnsi="Times New Roman"/>
    </w:rPr>
  </w:style>
  <w:style w:type="paragraph" w:customStyle="1" w:styleId="67">
    <w:name w:val="封二"/>
    <w:basedOn w:val="57"/>
    <w:next w:val="57"/>
    <w:qFormat/>
    <w:uiPriority w:val="0"/>
    <w:pPr>
      <w:ind w:firstLine="0" w:firstLineChars="0"/>
      <w:jc w:val="center"/>
    </w:pPr>
    <w:rPr>
      <w:rFonts w:eastAsia="黑体"/>
      <w:b/>
      <w:sz w:val="36"/>
      <w:szCs w:val="36"/>
    </w:rPr>
  </w:style>
  <w:style w:type="paragraph" w:customStyle="1" w:styleId="68">
    <w:name w:val="Char"/>
    <w:basedOn w:val="1"/>
    <w:qFormat/>
    <w:uiPriority w:val="0"/>
    <w:pPr>
      <w:widowControl/>
      <w:spacing w:before="100" w:beforeAutospacing="1" w:after="100" w:afterAutospacing="1" w:line="360" w:lineRule="auto"/>
      <w:jc w:val="left"/>
    </w:pPr>
    <w:rPr>
      <w:sz w:val="24"/>
    </w:rPr>
  </w:style>
  <w:style w:type="paragraph" w:customStyle="1" w:styleId="69">
    <w:name w:val="章节二"/>
    <w:basedOn w:val="57"/>
    <w:next w:val="57"/>
    <w:qFormat/>
    <w:uiPriority w:val="0"/>
    <w:pPr>
      <w:spacing w:before="50" w:beforeLines="50" w:after="50" w:afterLines="50" w:line="240" w:lineRule="auto"/>
      <w:ind w:firstLine="0" w:firstLineChars="0"/>
      <w:jc w:val="center"/>
      <w:outlineLvl w:val="1"/>
    </w:pPr>
    <w:rPr>
      <w:rFonts w:eastAsia="黑体"/>
      <w:b/>
      <w:sz w:val="30"/>
      <w:szCs w:val="30"/>
    </w:rPr>
  </w:style>
  <w:style w:type="character" w:customStyle="1" w:styleId="70">
    <w:name w:val="标题 8 字符"/>
    <w:link w:val="9"/>
    <w:qFormat/>
    <w:uiPriority w:val="0"/>
    <w:rPr>
      <w:rFonts w:ascii="Arial" w:hAnsi="Arial" w:eastAsia="黑体"/>
      <w:kern w:val="2"/>
      <w:sz w:val="24"/>
    </w:rPr>
  </w:style>
  <w:style w:type="character" w:customStyle="1" w:styleId="71">
    <w:name w:val="正文文本首行缩进 字符"/>
    <w:link w:val="42"/>
    <w:qFormat/>
    <w:uiPriority w:val="0"/>
  </w:style>
  <w:style w:type="paragraph" w:customStyle="1" w:styleId="72">
    <w:name w:val="封四"/>
    <w:basedOn w:val="57"/>
    <w:next w:val="57"/>
    <w:qFormat/>
    <w:uiPriority w:val="0"/>
    <w:pPr>
      <w:jc w:val="left"/>
    </w:pPr>
    <w:rPr>
      <w:sz w:val="30"/>
      <w:szCs w:val="30"/>
    </w:rPr>
  </w:style>
  <w:style w:type="character" w:customStyle="1" w:styleId="73">
    <w:name w:val="正文文本 字符"/>
    <w:link w:val="16"/>
    <w:qFormat/>
    <w:uiPriority w:val="0"/>
    <w:rPr>
      <w:kern w:val="2"/>
      <w:sz w:val="21"/>
      <w:szCs w:val="24"/>
    </w:rPr>
  </w:style>
  <w:style w:type="character" w:customStyle="1" w:styleId="74">
    <w:name w:val="标题 5 字符"/>
    <w:link w:val="7"/>
    <w:qFormat/>
    <w:uiPriority w:val="0"/>
    <w:rPr>
      <w:b/>
      <w:bCs/>
      <w:kern w:val="2"/>
      <w:sz w:val="28"/>
      <w:szCs w:val="28"/>
    </w:rPr>
  </w:style>
  <w:style w:type="paragraph" w:customStyle="1" w:styleId="75">
    <w:name w:val="封一"/>
    <w:basedOn w:val="57"/>
    <w:next w:val="57"/>
    <w:qFormat/>
    <w:uiPriority w:val="0"/>
    <w:pPr>
      <w:ind w:firstLine="0" w:firstLineChars="0"/>
      <w:jc w:val="center"/>
    </w:pPr>
    <w:rPr>
      <w:rFonts w:eastAsia="黑体"/>
      <w:b/>
      <w:sz w:val="84"/>
      <w:szCs w:val="84"/>
    </w:rPr>
  </w:style>
  <w:style w:type="paragraph" w:customStyle="1" w:styleId="76">
    <w:name w:val="样式8"/>
    <w:basedOn w:val="13"/>
    <w:qFormat/>
    <w:uiPriority w:val="0"/>
    <w:rPr>
      <w:rFonts w:ascii="Times New Roman" w:hAnsi="Times New Roman"/>
    </w:rPr>
  </w:style>
  <w:style w:type="character" w:customStyle="1" w:styleId="77">
    <w:name w:val="纯文本 字符"/>
    <w:link w:val="22"/>
    <w:qFormat/>
    <w:uiPriority w:val="0"/>
    <w:rPr>
      <w:rFonts w:ascii="宋体" w:hAnsi="Courier New" w:eastAsia="宋体"/>
      <w:kern w:val="2"/>
      <w:sz w:val="24"/>
      <w:lang w:val="en-US" w:eastAsia="zh-CN" w:bidi="ar-SA"/>
    </w:rPr>
  </w:style>
  <w:style w:type="paragraph" w:customStyle="1" w:styleId="78">
    <w:name w:val=" Char Char Char Char Char Char Char Char Char"/>
    <w:basedOn w:val="14"/>
    <w:qFormat/>
    <w:uiPriority w:val="0"/>
    <w:rPr>
      <w:rFonts w:ascii="Tahoma" w:hAnsi="Tahoma"/>
      <w:sz w:val="24"/>
    </w:rPr>
  </w:style>
  <w:style w:type="paragraph" w:customStyle="1" w:styleId="79">
    <w:name w:val=" Char2"/>
    <w:basedOn w:val="1"/>
    <w:qFormat/>
    <w:uiPriority w:val="0"/>
    <w:rPr>
      <w:rFonts w:ascii="宋体" w:hAnsi="宋体"/>
      <w:bCs/>
      <w:snapToGrid w:val="0"/>
      <w:kern w:val="0"/>
      <w:szCs w:val="21"/>
    </w:rPr>
  </w:style>
  <w:style w:type="character" w:customStyle="1" w:styleId="80">
    <w:name w:val="标题 9 字符"/>
    <w:link w:val="10"/>
    <w:qFormat/>
    <w:uiPriority w:val="0"/>
    <w:rPr>
      <w:rFonts w:ascii="Arial" w:hAnsi="Arial" w:eastAsia="黑体"/>
      <w:kern w:val="2"/>
      <w:sz w:val="21"/>
    </w:rPr>
  </w:style>
  <w:style w:type="paragraph" w:customStyle="1" w:styleId="81">
    <w:name w:val="文二"/>
    <w:basedOn w:val="1"/>
    <w:qFormat/>
    <w:uiPriority w:val="0"/>
    <w:pPr>
      <w:jc w:val="left"/>
    </w:pPr>
    <w:rPr>
      <w:rFonts w:ascii="宋体" w:hAnsi="宋体"/>
      <w:szCs w:val="21"/>
    </w:rPr>
  </w:style>
  <w:style w:type="paragraph" w:customStyle="1" w:styleId="82">
    <w:name w:val="默认段落字体 Para Char"/>
    <w:basedOn w:val="1"/>
    <w:qFormat/>
    <w:uiPriority w:val="0"/>
    <w:rPr>
      <w:sz w:val="30"/>
    </w:rPr>
  </w:style>
  <w:style w:type="paragraph" w:customStyle="1" w:styleId="83">
    <w:name w:val="样式18"/>
    <w:basedOn w:val="7"/>
    <w:qFormat/>
    <w:uiPriority w:val="0"/>
    <w:rPr>
      <w:rFonts w:ascii="Times New Roman" w:hAnsi="Times New Roman"/>
    </w:rPr>
  </w:style>
  <w:style w:type="paragraph" w:customStyle="1" w:styleId="84">
    <w:name w:val="Char Char Char1 Char"/>
    <w:basedOn w:val="14"/>
    <w:qFormat/>
    <w:uiPriority w:val="0"/>
    <w:rPr>
      <w:rFonts w:ascii="Tahoma" w:hAnsi="Tahoma"/>
      <w:sz w:val="24"/>
    </w:rPr>
  </w:style>
  <w:style w:type="paragraph" w:customStyle="1" w:styleId="85">
    <w:name w:val=" Char Char3"/>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86">
    <w:name w:val="封三"/>
    <w:basedOn w:val="57"/>
    <w:next w:val="57"/>
    <w:qFormat/>
    <w:uiPriority w:val="0"/>
    <w:pPr>
      <w:ind w:firstLine="0" w:firstLineChars="0"/>
      <w:jc w:val="center"/>
    </w:pPr>
    <w:rPr>
      <w:sz w:val="30"/>
    </w:rPr>
  </w:style>
  <w:style w:type="paragraph" w:customStyle="1" w:styleId="87">
    <w:name w:val="样式15"/>
    <w:basedOn w:val="7"/>
    <w:qFormat/>
    <w:uiPriority w:val="0"/>
    <w:rPr>
      <w:rFonts w:ascii="Times New Roman" w:hAnsi="Times New Roman"/>
    </w:rPr>
  </w:style>
  <w:style w:type="paragraph" w:customStyle="1" w:styleId="88">
    <w:name w:val="样式14"/>
    <w:basedOn w:val="7"/>
    <w:qFormat/>
    <w:uiPriority w:val="0"/>
    <w:rPr>
      <w:rFonts w:ascii="Times New Roman" w:hAnsi="Times New Roman"/>
    </w:rPr>
  </w:style>
  <w:style w:type="character" w:customStyle="1" w:styleId="89">
    <w:name w:val="文一 Char"/>
    <w:link w:val="57"/>
    <w:qFormat/>
    <w:uiPriority w:val="0"/>
    <w:rPr>
      <w:rFonts w:eastAsia="宋体"/>
      <w:snapToGrid w:val="0"/>
      <w:spacing w:val="4"/>
      <w:sz w:val="24"/>
      <w:szCs w:val="24"/>
      <w:lang w:val="en-US" w:eastAsia="zh-CN" w:bidi="ar-SA"/>
    </w:rPr>
  </w:style>
  <w:style w:type="paragraph" w:customStyle="1" w:styleId="90">
    <w:name w:val="样式 标题 6 + 非加粗"/>
    <w:basedOn w:val="7"/>
    <w:link w:val="102"/>
    <w:qFormat/>
    <w:uiPriority w:val="0"/>
    <w:rPr>
      <w:rFonts w:ascii="宋体" w:hAnsi="宋体"/>
      <w:bCs w:val="0"/>
      <w:sz w:val="24"/>
      <w:szCs w:val="24"/>
    </w:rPr>
  </w:style>
  <w:style w:type="paragraph" w:customStyle="1" w:styleId="91">
    <w:name w:val="默认段落字体 Para Char Char Char Char Char Char Char"/>
    <w:basedOn w:val="14"/>
    <w:qFormat/>
    <w:uiPriority w:val="0"/>
    <w:pPr>
      <w:adjustRightInd w:val="0"/>
      <w:spacing w:line="436" w:lineRule="exact"/>
      <w:ind w:left="357"/>
      <w:jc w:val="left"/>
      <w:outlineLvl w:val="3"/>
    </w:pPr>
    <w:rPr>
      <w:rFonts w:ascii="Tahoma" w:hAnsi="Tahoma"/>
      <w:b/>
      <w:sz w:val="24"/>
    </w:rPr>
  </w:style>
  <w:style w:type="paragraph" w:customStyle="1" w:styleId="92">
    <w:name w:val="样式4"/>
    <w:basedOn w:val="7"/>
    <w:qFormat/>
    <w:uiPriority w:val="0"/>
    <w:rPr>
      <w:rFonts w:ascii="Times New Roman" w:hAnsi="Times New Roman"/>
    </w:rPr>
  </w:style>
  <w:style w:type="paragraph" w:styleId="93">
    <w:name w:val="List Paragraph"/>
    <w:basedOn w:val="1"/>
    <w:qFormat/>
    <w:uiPriority w:val="34"/>
    <w:pPr>
      <w:ind w:firstLine="420" w:firstLineChars="200"/>
    </w:pPr>
    <w:rPr>
      <w:rFonts w:ascii="等线" w:hAnsi="等线" w:eastAsia="等线" w:cs="Times New Roman"/>
      <w:szCs w:val="22"/>
    </w:rPr>
  </w:style>
  <w:style w:type="paragraph" w:customStyle="1" w:styleId="94">
    <w:name w:val="样式16"/>
    <w:basedOn w:val="6"/>
    <w:next w:val="6"/>
    <w:qFormat/>
    <w:uiPriority w:val="0"/>
  </w:style>
  <w:style w:type="paragraph" w:customStyle="1" w:styleId="95">
    <w:name w:val="正文1"/>
    <w:basedOn w:val="1"/>
    <w:qFormat/>
    <w:uiPriority w:val="0"/>
    <w:pPr>
      <w:spacing w:before="0" w:beforeAutospacing="0" w:after="0" w:afterAutospacing="0"/>
      <w:ind w:left="0" w:right="0"/>
      <w:jc w:val="left"/>
    </w:pPr>
    <w:rPr>
      <w:rFonts w:hint="default" w:ascii="Times New Roman" w:hAnsi="Times New Roman" w:eastAsia="宋体" w:cs="Times New Roman"/>
      <w:kern w:val="0"/>
      <w:sz w:val="24"/>
      <w:szCs w:val="24"/>
      <w:lang w:val="en-US" w:eastAsia="zh-CN" w:bidi="ar"/>
    </w:rPr>
  </w:style>
  <w:style w:type="paragraph" w:customStyle="1" w:styleId="96">
    <w:name w:val="样式9"/>
    <w:basedOn w:val="7"/>
    <w:qFormat/>
    <w:uiPriority w:val="0"/>
    <w:rPr>
      <w:rFonts w:ascii="Times New Roman" w:hAnsi="Times New Roman"/>
    </w:rPr>
  </w:style>
  <w:style w:type="paragraph" w:customStyle="1" w:styleId="97">
    <w:name w:val="样式7"/>
    <w:basedOn w:val="13"/>
    <w:qFormat/>
    <w:uiPriority w:val="0"/>
    <w:rPr>
      <w:rFonts w:ascii="Times New Roman" w:hAnsi="Times New Roman"/>
    </w:rPr>
  </w:style>
  <w:style w:type="character" w:customStyle="1" w:styleId="98">
    <w:name w:val="文一 Char Char"/>
    <w:qFormat/>
    <w:uiPriority w:val="0"/>
    <w:rPr>
      <w:rFonts w:eastAsia="宋体"/>
      <w:snapToGrid w:val="0"/>
      <w:spacing w:val="4"/>
      <w:sz w:val="24"/>
      <w:szCs w:val="24"/>
      <w:lang w:val="en-US" w:eastAsia="zh-CN" w:bidi="ar-SA"/>
    </w:rPr>
  </w:style>
  <w:style w:type="paragraph" w:customStyle="1" w:styleId="99">
    <w:name w:val="样式12"/>
    <w:basedOn w:val="7"/>
    <w:qFormat/>
    <w:uiPriority w:val="0"/>
    <w:rPr>
      <w:rFonts w:ascii="Times New Roman" w:hAnsi="Times New Roman"/>
    </w:rPr>
  </w:style>
  <w:style w:type="paragraph" w:customStyle="1" w:styleId="100">
    <w:name w:val="Revision"/>
    <w:semiHidden/>
    <w:qFormat/>
    <w:uiPriority w:val="99"/>
    <w:rPr>
      <w:rFonts w:asciiTheme="minorHAnsi" w:hAnsiTheme="minorHAnsi" w:eastAsiaTheme="minorEastAsia" w:cstheme="minorBidi"/>
      <w:kern w:val="2"/>
      <w:sz w:val="21"/>
      <w:szCs w:val="24"/>
      <w:lang w:val="en-US" w:eastAsia="zh-CN" w:bidi="ar-SA"/>
    </w:rPr>
  </w:style>
  <w:style w:type="paragraph" w:customStyle="1" w:styleId="101">
    <w:name w:val="Char Char Char Char Char Char Char Char Char Char Char Char Char Char Char Char"/>
    <w:basedOn w:val="1"/>
    <w:qFormat/>
    <w:uiPriority w:val="0"/>
    <w:pPr>
      <w:spacing w:line="330" w:lineRule="atLeast"/>
      <w:ind w:left="360" w:firstLine="360" w:firstLineChars="150"/>
      <w:jc w:val="left"/>
    </w:pPr>
    <w:rPr>
      <w:rFonts w:ascii="ˎ̥" w:hAnsi="ˎ̥" w:cs="宋体"/>
      <w:color w:val="51585D"/>
      <w:kern w:val="0"/>
      <w:sz w:val="24"/>
      <w:szCs w:val="18"/>
    </w:rPr>
  </w:style>
  <w:style w:type="character" w:customStyle="1" w:styleId="102">
    <w:name w:val="样式 标题 6 + 非加粗 Char"/>
    <w:link w:val="90"/>
    <w:qFormat/>
    <w:uiPriority w:val="0"/>
    <w:rPr>
      <w:rFonts w:ascii="宋体" w:hAnsi="宋体" w:eastAsia="宋体"/>
      <w:b/>
      <w:kern w:val="2"/>
      <w:sz w:val="24"/>
      <w:szCs w:val="24"/>
      <w:lang w:val="en-US" w:eastAsia="zh-CN" w:bidi="ar-SA"/>
    </w:rPr>
  </w:style>
  <w:style w:type="character" w:customStyle="1" w:styleId="103">
    <w:name w:val="脚注文本 字符"/>
    <w:link w:val="32"/>
    <w:qFormat/>
    <w:uiPriority w:val="0"/>
    <w:rPr>
      <w:kern w:val="2"/>
      <w:sz w:val="18"/>
      <w:szCs w:val="18"/>
    </w:rPr>
  </w:style>
  <w:style w:type="paragraph" w:customStyle="1" w:styleId="104">
    <w:name w:val="样式2"/>
    <w:basedOn w:val="6"/>
    <w:qFormat/>
    <w:uiPriority w:val="0"/>
    <w:rPr>
      <w:rFonts w:ascii="宋体" w:hAnsi="宋体"/>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17</TotalTime>
  <ScaleCrop>false</ScaleCrop>
  <LinksUpToDate>false</LinksUpToDate>
  <Application>WPS Office_11.8.2.8411_F1E327BC-269C-435d-A152-05C5408002CA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2023-09-08T10:42:00Z</dcterms:created>
  <dc:creator>gzjc20191215-2</dc:creator>
  <cp:lastModifiedBy>HP</cp:lastModifiedBy>
  <dcterms:modified xsi:type="dcterms:W3CDTF">2023-11-13T08:06:20Z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EFFA56DB86E04DC9A8960A16D9C21982_12</vt:lpwstr>
  </property>
</Properties>
</file>